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p>
      <w:pPr>
        <w:spacing w:line="297" w:lineRule="auto" w:before="2"/>
        <w:ind w:left="3125" w:right="2960" w:firstLine="0"/>
        <w:jc w:val="center"/>
        <w:rPr>
          <w:sz w:val="21"/>
        </w:rPr>
      </w:pPr>
      <w:r>
        <w:rPr/>
        <w:pict>
          <v:group style="position:absolute;margin-left:460.665009pt;margin-top:-28.432226pt;width:73.6pt;height:89.6pt;mso-position-horizontal-relative:page;mso-position-vertical-relative:paragraph;z-index:-137416" coordorigin="9213,-569" coordsize="1472,1792">
            <v:shape style="position:absolute;left:9327;top:-569;width:1170;height:1170" type="#_x0000_t75" stroked="false">
              <v:imagedata r:id="rId6" o:title=""/>
            </v:shape>
            <v:rect style="position:absolute;left:9220;top:571;width:1457;height:645" filled="false" stroked="true" strokeweight=".75pt" strokecolor="#ffffff">
              <v:stroke dashstyle="solid"/>
            </v:rect>
            <v:shape style="position:absolute;left:9213;top:-569;width:1472;height:1792"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12"/>
                      <w:rPr>
                        <w:b/>
                        <w:sz w:val="31"/>
                      </w:rPr>
                    </w:pPr>
                  </w:p>
                  <w:p>
                    <w:pPr>
                      <w:spacing w:line="219" w:lineRule="exact" w:before="0"/>
                      <w:ind w:left="1284" w:right="0" w:firstLine="0"/>
                      <w:jc w:val="left"/>
                      <w:rPr>
                        <w:rFonts w:ascii="Courier New" w:hAnsi="Courier New"/>
                        <w:sz w:val="21"/>
                      </w:rPr>
                    </w:pPr>
                    <w:r>
                      <w:rPr>
                        <w:rFonts w:ascii="Courier New" w:hAnsi="Courier New"/>
                        <w:w w:val="99"/>
                        <w:sz w:val="21"/>
                      </w:rPr>
                      <w:t>þ</w:t>
                    </w:r>
                  </w:p>
                  <w:p>
                    <w:pPr>
                      <w:spacing w:line="208" w:lineRule="exact" w:before="0"/>
                      <w:ind w:left="216" w:right="133" w:hanging="40"/>
                      <w:jc w:val="right"/>
                      <w:rPr>
                        <w:sz w:val="16"/>
                      </w:rPr>
                    </w:pPr>
                    <w:r>
                      <w:rPr>
                        <w:w w:val="95"/>
                        <w:sz w:val="16"/>
                      </w:rPr>
                      <w:t>安邦人寿[2016] </w:t>
                    </w:r>
                    <w:r>
                      <w:rPr>
                        <w:sz w:val="16"/>
                      </w:rPr>
                      <w:t>疾病保险 31 号 </w:t>
                    </w:r>
                  </w:p>
                </w:txbxContent>
              </v:textbox>
              <w10:wrap type="none"/>
            </v:shape>
            <w10:wrap type="none"/>
          </v:group>
        </w:pict>
      </w:r>
      <w:r>
        <w:rPr>
          <w:b/>
          <w:sz w:val="32"/>
        </w:rPr>
        <w:t>安邦长青树重大疾病保险条款阅 读 指 引</w:t>
      </w:r>
      <w:r>
        <w:rPr>
          <w:sz w:val="21"/>
        </w:rPr>
        <w:t> </w:t>
      </w:r>
    </w:p>
    <w:p>
      <w:pPr>
        <w:spacing w:line="242" w:lineRule="auto" w:before="119"/>
        <w:ind w:left="394" w:right="328" w:hanging="1"/>
        <w:jc w:val="left"/>
        <w:rPr>
          <w:b/>
          <w:sz w:val="21"/>
        </w:rPr>
      </w:pPr>
      <w:r>
        <w:rPr/>
        <w:drawing>
          <wp:anchor distT="0" distB="0" distL="0" distR="0" allowOverlap="1" layoutInCell="1" locked="0" behindDoc="1" simplePos="0" relativeHeight="268298063">
            <wp:simplePos x="0" y="0"/>
            <wp:positionH relativeFrom="page">
              <wp:posOffset>544068</wp:posOffset>
            </wp:positionH>
            <wp:positionV relativeFrom="paragraph">
              <wp:posOffset>555167</wp:posOffset>
            </wp:positionV>
            <wp:extent cx="6475476" cy="765200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475476" cy="7652004"/>
                    </a:xfrm>
                    <a:prstGeom prst="rect">
                      <a:avLst/>
                    </a:prstGeom>
                  </pic:spPr>
                </pic:pic>
              </a:graphicData>
            </a:graphic>
          </wp:anchor>
        </w:drawing>
      </w:r>
      <w:r>
        <w:rPr>
          <w:b/>
          <w:spacing w:val="-147"/>
          <w:w w:val="99"/>
          <w:sz w:val="21"/>
        </w:rPr>
        <w:t>本</w:t>
      </w:r>
      <w:r>
        <w:rPr>
          <w:spacing w:val="-63"/>
          <w:position w:val="-7"/>
          <w:sz w:val="21"/>
        </w:rPr>
        <w:t>．</w:t>
      </w:r>
      <w:r>
        <w:rPr>
          <w:b/>
          <w:spacing w:val="-147"/>
          <w:w w:val="99"/>
          <w:sz w:val="21"/>
        </w:rPr>
        <w:t>阅</w:t>
      </w:r>
      <w:r>
        <w:rPr>
          <w:spacing w:val="-63"/>
          <w:position w:val="-7"/>
          <w:sz w:val="21"/>
        </w:rPr>
        <w:t>．</w:t>
      </w:r>
      <w:r>
        <w:rPr>
          <w:b/>
          <w:spacing w:val="-147"/>
          <w:w w:val="99"/>
          <w:sz w:val="21"/>
        </w:rPr>
        <w:t>读</w:t>
      </w:r>
      <w:r>
        <w:rPr>
          <w:spacing w:val="-63"/>
          <w:position w:val="-7"/>
          <w:sz w:val="21"/>
        </w:rPr>
        <w:t>．</w:t>
      </w:r>
      <w:r>
        <w:rPr>
          <w:b/>
          <w:spacing w:val="-148"/>
          <w:w w:val="99"/>
          <w:sz w:val="21"/>
        </w:rPr>
        <w:t>指</w:t>
      </w:r>
      <w:r>
        <w:rPr>
          <w:spacing w:val="-63"/>
          <w:position w:val="-7"/>
          <w:sz w:val="21"/>
        </w:rPr>
        <w:t>．</w:t>
      </w:r>
      <w:r>
        <w:rPr>
          <w:b/>
          <w:spacing w:val="-148"/>
          <w:w w:val="99"/>
          <w:sz w:val="21"/>
        </w:rPr>
        <w:t>引</w:t>
      </w:r>
      <w:r>
        <w:rPr>
          <w:spacing w:val="-63"/>
          <w:position w:val="-7"/>
          <w:sz w:val="21"/>
        </w:rPr>
        <w:t>．</w:t>
      </w:r>
      <w:r>
        <w:rPr>
          <w:b/>
          <w:spacing w:val="-147"/>
          <w:w w:val="99"/>
          <w:sz w:val="21"/>
        </w:rPr>
        <w:t>有</w:t>
      </w:r>
      <w:r>
        <w:rPr>
          <w:spacing w:val="-63"/>
          <w:position w:val="-7"/>
          <w:sz w:val="21"/>
        </w:rPr>
        <w:t>．</w:t>
      </w:r>
      <w:r>
        <w:rPr>
          <w:b/>
          <w:spacing w:val="-147"/>
          <w:w w:val="99"/>
          <w:sz w:val="21"/>
        </w:rPr>
        <w:t>助</w:t>
      </w:r>
      <w:r>
        <w:rPr>
          <w:spacing w:val="-63"/>
          <w:position w:val="-7"/>
          <w:sz w:val="21"/>
        </w:rPr>
        <w:t>．</w:t>
      </w:r>
      <w:r>
        <w:rPr>
          <w:b/>
          <w:spacing w:val="-147"/>
          <w:w w:val="99"/>
          <w:sz w:val="21"/>
        </w:rPr>
        <w:t>于</w:t>
      </w:r>
      <w:r>
        <w:rPr>
          <w:spacing w:val="-63"/>
          <w:position w:val="-7"/>
          <w:sz w:val="21"/>
        </w:rPr>
        <w:t>．</w:t>
      </w:r>
      <w:r>
        <w:rPr>
          <w:b/>
          <w:spacing w:val="-148"/>
          <w:w w:val="99"/>
          <w:sz w:val="21"/>
        </w:rPr>
        <w:t>您</w:t>
      </w:r>
      <w:r>
        <w:rPr>
          <w:spacing w:val="-63"/>
          <w:position w:val="-7"/>
          <w:sz w:val="21"/>
        </w:rPr>
        <w:t>．</w:t>
      </w:r>
      <w:r>
        <w:rPr>
          <w:b/>
          <w:spacing w:val="-148"/>
          <w:w w:val="99"/>
          <w:sz w:val="21"/>
        </w:rPr>
        <w:t>理</w:t>
      </w:r>
      <w:r>
        <w:rPr>
          <w:spacing w:val="-63"/>
          <w:position w:val="-7"/>
          <w:sz w:val="21"/>
        </w:rPr>
        <w:t>．</w:t>
      </w:r>
      <w:r>
        <w:rPr>
          <w:b/>
          <w:spacing w:val="-147"/>
          <w:w w:val="99"/>
          <w:sz w:val="21"/>
        </w:rPr>
        <w:t>解</w:t>
      </w:r>
      <w:r>
        <w:rPr>
          <w:spacing w:val="-63"/>
          <w:position w:val="-7"/>
          <w:sz w:val="21"/>
        </w:rPr>
        <w:t>．</w:t>
      </w:r>
      <w:r>
        <w:rPr>
          <w:b/>
          <w:spacing w:val="-147"/>
          <w:w w:val="99"/>
          <w:sz w:val="21"/>
        </w:rPr>
        <w:t>条</w:t>
      </w:r>
      <w:r>
        <w:rPr>
          <w:spacing w:val="-63"/>
          <w:position w:val="-7"/>
          <w:sz w:val="21"/>
        </w:rPr>
        <w:t>．</w:t>
      </w:r>
      <w:r>
        <w:rPr>
          <w:b/>
          <w:spacing w:val="-147"/>
          <w:w w:val="99"/>
          <w:sz w:val="21"/>
        </w:rPr>
        <w:t>款</w:t>
      </w:r>
      <w:r>
        <w:rPr>
          <w:spacing w:val="-63"/>
          <w:position w:val="-7"/>
          <w:sz w:val="21"/>
        </w:rPr>
        <w:t>．</w:t>
      </w:r>
      <w:r>
        <w:rPr>
          <w:b/>
          <w:spacing w:val="-164"/>
          <w:w w:val="99"/>
          <w:sz w:val="21"/>
        </w:rPr>
        <w:t>，</w:t>
      </w:r>
      <w:r>
        <w:rPr>
          <w:spacing w:val="-80"/>
          <w:position w:val="-7"/>
          <w:sz w:val="21"/>
        </w:rPr>
        <w:t>．</w:t>
      </w:r>
      <w:r>
        <w:rPr>
          <w:b/>
          <w:spacing w:val="-148"/>
          <w:w w:val="99"/>
          <w:sz w:val="21"/>
        </w:rPr>
        <w:t>对</w:t>
      </w:r>
      <w:r>
        <w:rPr>
          <w:spacing w:val="-63"/>
          <w:position w:val="-7"/>
          <w:sz w:val="21"/>
        </w:rPr>
        <w:t>．</w:t>
      </w:r>
      <w:r>
        <w:rPr>
          <w:b/>
          <w:spacing w:val="-147"/>
          <w:w w:val="99"/>
          <w:sz w:val="21"/>
        </w:rPr>
        <w:t>本</w:t>
      </w:r>
      <w:r>
        <w:rPr>
          <w:spacing w:val="-63"/>
          <w:position w:val="-7"/>
          <w:sz w:val="21"/>
        </w:rPr>
        <w:t>．</w:t>
      </w:r>
      <w:r>
        <w:rPr>
          <w:b/>
          <w:spacing w:val="-147"/>
          <w:w w:val="99"/>
          <w:sz w:val="21"/>
        </w:rPr>
        <w:t>主</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8"/>
          <w:w w:val="99"/>
          <w:sz w:val="21"/>
        </w:rPr>
        <w:t>同</w:t>
      </w:r>
      <w:r>
        <w:rPr>
          <w:spacing w:val="-63"/>
          <w:position w:val="-7"/>
          <w:sz w:val="21"/>
        </w:rPr>
        <w:t>．</w:t>
      </w:r>
      <w:r>
        <w:rPr>
          <w:b/>
          <w:spacing w:val="-147"/>
          <w:w w:val="99"/>
          <w:sz w:val="21"/>
        </w:rPr>
        <w:t>内</w:t>
      </w:r>
      <w:r>
        <w:rPr>
          <w:spacing w:val="-63"/>
          <w:position w:val="-7"/>
          <w:sz w:val="21"/>
        </w:rPr>
        <w:t>．</w:t>
      </w:r>
      <w:r>
        <w:rPr>
          <w:b/>
          <w:spacing w:val="-147"/>
          <w:w w:val="99"/>
          <w:sz w:val="21"/>
        </w:rPr>
        <w:t>容</w:t>
      </w:r>
      <w:r>
        <w:rPr>
          <w:spacing w:val="-63"/>
          <w:position w:val="-7"/>
          <w:sz w:val="21"/>
        </w:rPr>
        <w:t>．</w:t>
      </w:r>
      <w:r>
        <w:rPr>
          <w:b/>
          <w:spacing w:val="-147"/>
          <w:w w:val="99"/>
          <w:sz w:val="21"/>
        </w:rPr>
        <w:t>的</w:t>
      </w:r>
      <w:r>
        <w:rPr>
          <w:spacing w:val="-63"/>
          <w:position w:val="-7"/>
          <w:sz w:val="21"/>
        </w:rPr>
        <w:t>．</w:t>
      </w:r>
      <w:r>
        <w:rPr>
          <w:b/>
          <w:spacing w:val="-148"/>
          <w:w w:val="99"/>
          <w:sz w:val="21"/>
        </w:rPr>
        <w:t>解</w:t>
      </w:r>
      <w:r>
        <w:rPr>
          <w:spacing w:val="-63"/>
          <w:position w:val="-7"/>
          <w:sz w:val="21"/>
        </w:rPr>
        <w:t>．</w:t>
      </w:r>
      <w:r>
        <w:rPr>
          <w:b/>
          <w:spacing w:val="-148"/>
          <w:w w:val="99"/>
          <w:sz w:val="21"/>
        </w:rPr>
        <w:t>释</w:t>
      </w:r>
      <w:r>
        <w:rPr>
          <w:spacing w:val="-63"/>
          <w:position w:val="-7"/>
          <w:sz w:val="21"/>
        </w:rPr>
        <w:t>．</w:t>
      </w:r>
      <w:r>
        <w:rPr>
          <w:b/>
          <w:spacing w:val="-147"/>
          <w:w w:val="99"/>
          <w:sz w:val="21"/>
        </w:rPr>
        <w:t>以</w:t>
      </w:r>
      <w:r>
        <w:rPr>
          <w:spacing w:val="-63"/>
          <w:position w:val="-7"/>
          <w:sz w:val="21"/>
        </w:rPr>
        <w:t>．</w:t>
      </w:r>
      <w:r>
        <w:rPr>
          <w:b/>
          <w:spacing w:val="-147"/>
          <w:w w:val="99"/>
          <w:sz w:val="21"/>
        </w:rPr>
        <w:t>条</w:t>
      </w:r>
      <w:r>
        <w:rPr>
          <w:spacing w:val="-63"/>
          <w:position w:val="-7"/>
          <w:sz w:val="21"/>
        </w:rPr>
        <w:t>．</w:t>
      </w:r>
      <w:r>
        <w:rPr>
          <w:b/>
          <w:spacing w:val="-147"/>
          <w:w w:val="99"/>
          <w:sz w:val="21"/>
        </w:rPr>
        <w:t>款</w:t>
      </w:r>
      <w:r>
        <w:rPr>
          <w:spacing w:val="-63"/>
          <w:position w:val="-7"/>
          <w:sz w:val="21"/>
        </w:rPr>
        <w:t>．</w:t>
      </w:r>
      <w:r>
        <w:rPr>
          <w:b/>
          <w:spacing w:val="-148"/>
          <w:w w:val="99"/>
          <w:sz w:val="21"/>
        </w:rPr>
        <w:t>为</w:t>
      </w:r>
      <w:r>
        <w:rPr>
          <w:spacing w:val="-63"/>
          <w:position w:val="-7"/>
          <w:sz w:val="21"/>
        </w:rPr>
        <w:t>．</w:t>
      </w:r>
      <w:r>
        <w:rPr>
          <w:b/>
          <w:spacing w:val="-148"/>
          <w:w w:val="99"/>
          <w:sz w:val="21"/>
        </w:rPr>
        <w:t>准</w:t>
      </w:r>
      <w:r>
        <w:rPr>
          <w:spacing w:val="-63"/>
          <w:position w:val="-7"/>
          <w:sz w:val="21"/>
        </w:rPr>
        <w:t>．</w:t>
      </w:r>
      <w:r>
        <w:rPr>
          <w:b/>
          <w:spacing w:val="-164"/>
          <w:w w:val="99"/>
          <w:sz w:val="21"/>
        </w:rPr>
        <w:t>。</w:t>
      </w:r>
      <w:r>
        <w:rPr>
          <w:spacing w:val="-80"/>
          <w:position w:val="-7"/>
          <w:sz w:val="21"/>
        </w:rPr>
        <w:t>．</w:t>
      </w:r>
      <w:r>
        <w:rPr>
          <w:b/>
          <w:spacing w:val="-147"/>
          <w:w w:val="99"/>
          <w:sz w:val="21"/>
        </w:rPr>
        <w:t>在</w:t>
      </w:r>
      <w:r>
        <w:rPr>
          <w:spacing w:val="-63"/>
          <w:position w:val="-7"/>
          <w:sz w:val="21"/>
        </w:rPr>
        <w:t>．</w:t>
      </w:r>
      <w:r>
        <w:rPr>
          <w:b/>
          <w:spacing w:val="-147"/>
          <w:w w:val="99"/>
          <w:sz w:val="21"/>
        </w:rPr>
        <w:t>本</w:t>
      </w:r>
      <w:r>
        <w:rPr>
          <w:spacing w:val="-63"/>
          <w:position w:val="-7"/>
          <w:sz w:val="21"/>
        </w:rPr>
        <w:t>．</w:t>
      </w:r>
      <w:r>
        <w:rPr>
          <w:b/>
          <w:spacing w:val="-147"/>
          <w:w w:val="99"/>
          <w:sz w:val="21"/>
        </w:rPr>
        <w:t>条</w:t>
      </w:r>
      <w:r>
        <w:rPr>
          <w:spacing w:val="-63"/>
          <w:position w:val="-7"/>
          <w:sz w:val="21"/>
        </w:rPr>
        <w:t>．</w:t>
      </w:r>
      <w:r>
        <w:rPr>
          <w:b/>
          <w:spacing w:val="-148"/>
          <w:w w:val="99"/>
          <w:sz w:val="21"/>
        </w:rPr>
        <w:t>款</w:t>
      </w:r>
      <w:r>
        <w:rPr>
          <w:spacing w:val="-63"/>
          <w:position w:val="-7"/>
          <w:sz w:val="21"/>
        </w:rPr>
        <w:t>．</w:t>
      </w:r>
      <w:r>
        <w:rPr>
          <w:b/>
          <w:spacing w:val="-147"/>
          <w:w w:val="99"/>
          <w:sz w:val="21"/>
        </w:rPr>
        <w:t>中</w:t>
      </w:r>
      <w:r>
        <w:rPr>
          <w:spacing w:val="-63"/>
          <w:position w:val="-7"/>
          <w:sz w:val="21"/>
        </w:rPr>
        <w:t>．</w:t>
      </w:r>
      <w:r>
        <w:rPr>
          <w:b/>
          <w:spacing w:val="-200"/>
          <w:w w:val="99"/>
          <w:sz w:val="21"/>
        </w:rPr>
        <w:t>，</w:t>
      </w:r>
      <w:r>
        <w:rPr>
          <w:spacing w:val="-149"/>
          <w:position w:val="-7"/>
          <w:sz w:val="21"/>
        </w:rPr>
        <w:t>．</w:t>
      </w:r>
      <w:r>
        <w:rPr>
          <w:b/>
          <w:spacing w:val="-130"/>
          <w:w w:val="99"/>
          <w:sz w:val="21"/>
        </w:rPr>
        <w:t>“</w:t>
      </w:r>
      <w:r>
        <w:rPr>
          <w:spacing w:val="-80"/>
          <w:position w:val="-7"/>
          <w:sz w:val="21"/>
        </w:rPr>
        <w:t>．</w:t>
      </w:r>
      <w:r>
        <w:rPr>
          <w:b/>
          <w:spacing w:val="-147"/>
          <w:w w:val="99"/>
          <w:sz w:val="21"/>
        </w:rPr>
        <w:t>您</w:t>
      </w:r>
      <w:r>
        <w:rPr>
          <w:spacing w:val="-63"/>
          <w:position w:val="-7"/>
          <w:sz w:val="21"/>
        </w:rPr>
        <w:t>．</w:t>
      </w:r>
      <w:r>
        <w:rPr>
          <w:b/>
          <w:spacing w:val="-164"/>
          <w:w w:val="99"/>
          <w:sz w:val="21"/>
        </w:rPr>
        <w:t>”</w:t>
      </w:r>
      <w:r>
        <w:rPr>
          <w:spacing w:val="-80"/>
          <w:position w:val="-7"/>
          <w:sz w:val="21"/>
        </w:rPr>
        <w:t>．</w:t>
      </w:r>
      <w:r>
        <w:rPr>
          <w:b/>
          <w:spacing w:val="-148"/>
          <w:w w:val="99"/>
          <w:sz w:val="21"/>
        </w:rPr>
        <w:t>指</w:t>
      </w:r>
      <w:r>
        <w:rPr>
          <w:spacing w:val="-63"/>
          <w:position w:val="-7"/>
          <w:sz w:val="21"/>
        </w:rPr>
        <w:t>．</w:t>
      </w:r>
      <w:r>
        <w:rPr>
          <w:b/>
          <w:spacing w:val="-147"/>
          <w:w w:val="99"/>
          <w:sz w:val="21"/>
        </w:rPr>
        <w:t>投</w:t>
      </w:r>
      <w:r>
        <w:rPr>
          <w:spacing w:val="-63"/>
          <w:position w:val="-7"/>
          <w:sz w:val="21"/>
        </w:rPr>
        <w:t>．</w:t>
      </w:r>
      <w:r>
        <w:rPr>
          <w:b/>
          <w:spacing w:val="-147"/>
          <w:w w:val="99"/>
          <w:sz w:val="21"/>
        </w:rPr>
        <w:t>保</w:t>
      </w:r>
      <w:r>
        <w:rPr>
          <w:spacing w:val="-63"/>
          <w:position w:val="-7"/>
          <w:sz w:val="21"/>
        </w:rPr>
        <w:t>．</w:t>
      </w:r>
      <w:r>
        <w:rPr>
          <w:b/>
          <w:spacing w:val="-147"/>
          <w:w w:val="99"/>
          <w:sz w:val="21"/>
        </w:rPr>
        <w:t>人</w:t>
      </w:r>
      <w:r>
        <w:rPr>
          <w:spacing w:val="-63"/>
          <w:position w:val="-7"/>
          <w:sz w:val="21"/>
        </w:rPr>
        <w:t>．</w:t>
      </w:r>
      <w:r>
        <w:rPr>
          <w:b/>
          <w:spacing w:val="-164"/>
          <w:w w:val="99"/>
          <w:sz w:val="21"/>
        </w:rPr>
        <w:t>，</w:t>
      </w:r>
      <w:r>
        <w:rPr>
          <w:spacing w:val="-80"/>
          <w:position w:val="-7"/>
          <w:sz w:val="21"/>
        </w:rPr>
        <w:t>．</w:t>
      </w:r>
      <w:r>
        <w:rPr>
          <w:b/>
          <w:spacing w:val="-147"/>
          <w:w w:val="99"/>
          <w:sz w:val="21"/>
        </w:rPr>
        <w:t>“</w:t>
      </w:r>
      <w:r>
        <w:rPr>
          <w:spacing w:val="-63"/>
          <w:position w:val="-7"/>
          <w:sz w:val="21"/>
        </w:rPr>
        <w:t>．</w:t>
      </w:r>
      <w:r>
        <w:rPr>
          <w:b/>
          <w:spacing w:val="-147"/>
          <w:w w:val="99"/>
          <w:sz w:val="21"/>
        </w:rPr>
        <w:t>本</w:t>
      </w:r>
      <w:r>
        <w:rPr>
          <w:position w:val="-7"/>
          <w:sz w:val="21"/>
        </w:rPr>
        <w:t>．</w:t>
      </w:r>
      <w:r>
        <w:rPr>
          <w:b/>
          <w:spacing w:val="-147"/>
          <w:w w:val="99"/>
          <w:sz w:val="21"/>
        </w:rPr>
        <w:t>公</w:t>
      </w:r>
      <w:r>
        <w:rPr>
          <w:spacing w:val="-63"/>
          <w:w w:val="95"/>
          <w:position w:val="-7"/>
          <w:sz w:val="21"/>
        </w:rPr>
        <w:t>．</w:t>
      </w:r>
      <w:r>
        <w:rPr>
          <w:b/>
          <w:spacing w:val="-147"/>
          <w:w w:val="95"/>
          <w:sz w:val="21"/>
        </w:rPr>
        <w:t>司</w:t>
      </w:r>
      <w:r>
        <w:rPr>
          <w:spacing w:val="-91"/>
          <w:w w:val="95"/>
          <w:position w:val="-7"/>
          <w:sz w:val="21"/>
        </w:rPr>
        <w:t>．</w:t>
      </w:r>
      <w:r>
        <w:rPr>
          <w:b/>
          <w:spacing w:val="-91"/>
          <w:w w:val="95"/>
          <w:sz w:val="21"/>
        </w:rPr>
        <w:t>”</w:t>
      </w:r>
      <w:r>
        <w:rPr>
          <w:spacing w:val="-91"/>
          <w:w w:val="95"/>
          <w:position w:val="-7"/>
          <w:sz w:val="21"/>
        </w:rPr>
        <w:t>．</w:t>
      </w:r>
      <w:r>
        <w:rPr>
          <w:b/>
          <w:spacing w:val="-148"/>
          <w:w w:val="95"/>
          <w:sz w:val="21"/>
        </w:rPr>
        <w:t>指</w:t>
      </w:r>
      <w:r>
        <w:rPr>
          <w:spacing w:val="-63"/>
          <w:w w:val="95"/>
          <w:position w:val="-7"/>
          <w:sz w:val="21"/>
        </w:rPr>
        <w:t>．</w:t>
      </w:r>
      <w:r>
        <w:rPr>
          <w:b/>
          <w:spacing w:val="-148"/>
          <w:w w:val="95"/>
          <w:sz w:val="21"/>
        </w:rPr>
        <w:t>安</w:t>
      </w:r>
      <w:r>
        <w:rPr>
          <w:spacing w:val="-63"/>
          <w:w w:val="95"/>
          <w:position w:val="-7"/>
          <w:sz w:val="21"/>
        </w:rPr>
        <w:t>．</w:t>
      </w:r>
      <w:r>
        <w:rPr>
          <w:b/>
          <w:spacing w:val="-147"/>
          <w:w w:val="95"/>
          <w:sz w:val="21"/>
        </w:rPr>
        <w:t>邦</w:t>
      </w:r>
      <w:r>
        <w:rPr>
          <w:spacing w:val="-63"/>
          <w:w w:val="95"/>
          <w:position w:val="-7"/>
          <w:sz w:val="21"/>
        </w:rPr>
        <w:t>．</w:t>
      </w:r>
      <w:r>
        <w:rPr>
          <w:b/>
          <w:spacing w:val="-147"/>
          <w:w w:val="95"/>
          <w:sz w:val="21"/>
        </w:rPr>
        <w:t>人</w:t>
      </w:r>
      <w:r>
        <w:rPr>
          <w:spacing w:val="-63"/>
          <w:w w:val="95"/>
          <w:position w:val="-7"/>
          <w:sz w:val="21"/>
        </w:rPr>
        <w:t>．</w:t>
      </w:r>
      <w:r>
        <w:rPr>
          <w:b/>
          <w:spacing w:val="-147"/>
          <w:w w:val="95"/>
          <w:sz w:val="21"/>
        </w:rPr>
        <w:t>寿</w:t>
      </w:r>
      <w:r>
        <w:rPr>
          <w:spacing w:val="-63"/>
          <w:w w:val="95"/>
          <w:position w:val="-7"/>
          <w:sz w:val="21"/>
        </w:rPr>
        <w:t>．</w:t>
      </w:r>
      <w:r>
        <w:rPr>
          <w:b/>
          <w:spacing w:val="-148"/>
          <w:w w:val="95"/>
          <w:sz w:val="21"/>
        </w:rPr>
        <w:t>保</w:t>
      </w:r>
      <w:r>
        <w:rPr>
          <w:spacing w:val="-63"/>
          <w:w w:val="95"/>
          <w:position w:val="-7"/>
          <w:sz w:val="21"/>
        </w:rPr>
        <w:t>．</w:t>
      </w:r>
      <w:r>
        <w:rPr>
          <w:b/>
          <w:spacing w:val="-148"/>
          <w:w w:val="95"/>
          <w:sz w:val="21"/>
        </w:rPr>
        <w:t>险</w:t>
      </w:r>
      <w:r>
        <w:rPr>
          <w:spacing w:val="-63"/>
          <w:w w:val="95"/>
          <w:position w:val="-7"/>
          <w:sz w:val="21"/>
        </w:rPr>
        <w:t>．</w:t>
      </w:r>
      <w:r>
        <w:rPr>
          <w:b/>
          <w:spacing w:val="-147"/>
          <w:w w:val="95"/>
          <w:sz w:val="21"/>
        </w:rPr>
        <w:t>股</w:t>
      </w:r>
      <w:r>
        <w:rPr>
          <w:spacing w:val="-63"/>
          <w:w w:val="95"/>
          <w:position w:val="-7"/>
          <w:sz w:val="21"/>
        </w:rPr>
        <w:t>．</w:t>
      </w:r>
      <w:r>
        <w:rPr>
          <w:b/>
          <w:spacing w:val="-147"/>
          <w:w w:val="95"/>
          <w:sz w:val="21"/>
        </w:rPr>
        <w:t>份</w:t>
      </w:r>
      <w:r>
        <w:rPr>
          <w:spacing w:val="-63"/>
          <w:w w:val="95"/>
          <w:position w:val="-7"/>
          <w:sz w:val="21"/>
        </w:rPr>
        <w:t>．</w:t>
      </w:r>
      <w:r>
        <w:rPr>
          <w:b/>
          <w:spacing w:val="-147"/>
          <w:w w:val="95"/>
          <w:sz w:val="21"/>
        </w:rPr>
        <w:t>有</w:t>
      </w:r>
      <w:r>
        <w:rPr>
          <w:spacing w:val="-63"/>
          <w:w w:val="95"/>
          <w:position w:val="-7"/>
          <w:sz w:val="21"/>
        </w:rPr>
        <w:t>．</w:t>
      </w:r>
      <w:r>
        <w:rPr>
          <w:b/>
          <w:spacing w:val="-148"/>
          <w:w w:val="95"/>
          <w:sz w:val="21"/>
        </w:rPr>
        <w:t>限</w:t>
      </w:r>
      <w:r>
        <w:rPr>
          <w:spacing w:val="-63"/>
          <w:w w:val="95"/>
          <w:position w:val="-7"/>
          <w:sz w:val="21"/>
        </w:rPr>
        <w:t>．</w:t>
      </w:r>
      <w:r>
        <w:rPr>
          <w:b/>
          <w:spacing w:val="-148"/>
          <w:w w:val="95"/>
          <w:sz w:val="21"/>
        </w:rPr>
        <w:t>公</w:t>
      </w:r>
      <w:r>
        <w:rPr>
          <w:spacing w:val="-63"/>
          <w:w w:val="95"/>
          <w:position w:val="-7"/>
          <w:sz w:val="21"/>
        </w:rPr>
        <w:t>．</w:t>
      </w:r>
      <w:r>
        <w:rPr>
          <w:b/>
          <w:spacing w:val="-147"/>
          <w:w w:val="95"/>
          <w:sz w:val="21"/>
        </w:rPr>
        <w:t>司</w:t>
      </w:r>
      <w:r>
        <w:rPr>
          <w:spacing w:val="-63"/>
          <w:w w:val="95"/>
          <w:position w:val="-7"/>
          <w:sz w:val="21"/>
        </w:rPr>
        <w:t>．</w:t>
      </w:r>
      <w:r>
        <w:rPr>
          <w:b/>
          <w:spacing w:val="-148"/>
          <w:w w:val="95"/>
          <w:sz w:val="21"/>
        </w:rPr>
        <w:t>。</w:t>
      </w:r>
      <w:r>
        <w:rPr>
          <w:spacing w:val="-63"/>
          <w:w w:val="95"/>
          <w:position w:val="-7"/>
          <w:sz w:val="21"/>
        </w:rPr>
        <w:t>．</w:t>
      </w:r>
      <w:r>
        <w:rPr>
          <w:b/>
          <w:w w:val="99"/>
          <w:sz w:val="21"/>
        </w:rPr>
        <w:t> </w:t>
      </w:r>
    </w:p>
    <w:p>
      <w:pPr>
        <w:pStyle w:val="Heading5"/>
        <w:tabs>
          <w:tab w:pos="1286" w:val="left" w:leader="none"/>
        </w:tabs>
        <w:spacing w:before="108"/>
        <w:ind w:left="276"/>
      </w:pPr>
      <w:r>
        <w:rPr>
          <w:rFonts w:ascii="Arial" w:hAnsi="Arial" w:eastAsia="Arial"/>
          <w:w w:val="105"/>
          <w:position w:val="-11"/>
          <w:sz w:val="52"/>
        </w:rPr>
        <w:t></w:t>
        <w:tab/>
      </w:r>
      <w:r>
        <w:rPr>
          <w:w w:val="95"/>
        </w:rPr>
        <w:t>您拥有的重要权益 </w:t>
      </w:r>
    </w:p>
    <w:p>
      <w:pPr>
        <w:pStyle w:val="ListParagraph"/>
        <w:numPr>
          <w:ilvl w:val="0"/>
          <w:numId w:val="1"/>
        </w:numPr>
        <w:tabs>
          <w:tab w:pos="675" w:val="left" w:leader="none"/>
        </w:tabs>
        <w:spacing w:line="240" w:lineRule="auto" w:before="22" w:after="0"/>
        <w:ind w:left="674" w:right="0" w:hanging="188"/>
        <w:jc w:val="left"/>
        <w:rPr>
          <w:sz w:val="21"/>
        </w:rPr>
      </w:pPr>
      <w:r>
        <w:rPr>
          <w:spacing w:val="-6"/>
          <w:sz w:val="21"/>
        </w:rPr>
        <w:t>签收本主险合同次日零时起 </w:t>
      </w:r>
      <w:r>
        <w:rPr>
          <w:sz w:val="21"/>
        </w:rPr>
        <w:t>20</w:t>
      </w:r>
      <w:r>
        <w:rPr>
          <w:spacing w:val="-16"/>
          <w:sz w:val="21"/>
        </w:rPr>
        <w:t> 个自然日</w:t>
      </w:r>
      <w:r>
        <w:rPr>
          <w:sz w:val="21"/>
        </w:rPr>
        <w:t>（即犹豫期）内您若要求退保，本公司仅扣除工本费...1.4 </w:t>
      </w:r>
    </w:p>
    <w:p>
      <w:pPr>
        <w:pStyle w:val="ListParagraph"/>
        <w:numPr>
          <w:ilvl w:val="0"/>
          <w:numId w:val="1"/>
        </w:numPr>
        <w:tabs>
          <w:tab w:pos="675" w:val="left" w:leader="none"/>
        </w:tabs>
        <w:spacing w:line="240" w:lineRule="auto" w:before="22" w:after="0"/>
        <w:ind w:left="674" w:right="0" w:hanging="188"/>
        <w:jc w:val="left"/>
        <w:rPr>
          <w:sz w:val="21"/>
        </w:rPr>
      </w:pPr>
      <w:r>
        <w:rPr>
          <w:spacing w:val="-2"/>
          <w:sz w:val="21"/>
        </w:rPr>
        <w:t>您有退保的权利............................................................... . ....</w:t>
      </w:r>
      <w:r>
        <w:rPr>
          <w:sz w:val="21"/>
        </w:rPr>
        <w:t>1.6 </w:t>
      </w:r>
    </w:p>
    <w:p>
      <w:pPr>
        <w:pStyle w:val="ListParagraph"/>
        <w:numPr>
          <w:ilvl w:val="0"/>
          <w:numId w:val="1"/>
        </w:numPr>
        <w:tabs>
          <w:tab w:pos="675" w:val="left" w:leader="none"/>
        </w:tabs>
        <w:spacing w:line="240" w:lineRule="auto" w:before="22" w:after="0"/>
        <w:ind w:left="674" w:right="0" w:hanging="188"/>
        <w:jc w:val="left"/>
        <w:rPr>
          <w:sz w:val="21"/>
        </w:rPr>
      </w:pPr>
      <w:r>
        <w:rPr>
          <w:spacing w:val="-2"/>
          <w:sz w:val="21"/>
        </w:rPr>
        <w:t>本主险合同提供的保障在保险责任条款中列明.................................. .... ....</w:t>
      </w:r>
      <w:r>
        <w:rPr>
          <w:sz w:val="21"/>
        </w:rPr>
        <w:t>2.5 </w:t>
      </w:r>
    </w:p>
    <w:p>
      <w:pPr>
        <w:pStyle w:val="Heading5"/>
        <w:tabs>
          <w:tab w:pos="1286" w:val="left" w:leader="none"/>
        </w:tabs>
        <w:spacing w:before="25"/>
        <w:ind w:left="276"/>
      </w:pPr>
      <w:r>
        <w:rPr>
          <w:rFonts w:ascii="Arial" w:hAnsi="Arial" w:eastAsia="Arial"/>
          <w:w w:val="105"/>
          <w:position w:val="-11"/>
          <w:sz w:val="52"/>
        </w:rPr>
        <w:t></w:t>
        <w:tab/>
      </w:r>
      <w:r>
        <w:rPr>
          <w:w w:val="95"/>
        </w:rPr>
        <w:t>您应当特别注意的事项</w:t>
      </w:r>
      <w:r>
        <w:rPr>
          <w:w w:val="99"/>
        </w:rPr>
        <w:t> </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2"/>
          <w:sz w:val="21"/>
        </w:rPr>
        <w:t>退保会给您造成一定的损失，请您慎重决策...................................... ... ...</w:t>
      </w:r>
      <w:r>
        <w:rPr>
          <w:sz w:val="21"/>
        </w:rPr>
        <w:t>1.6 </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9"/>
          <w:sz w:val="21"/>
        </w:rPr>
        <w:t>本主险合同有 </w:t>
      </w:r>
      <w:r>
        <w:rPr>
          <w:sz w:val="21"/>
        </w:rPr>
        <w:t>90</w:t>
      </w:r>
      <w:r>
        <w:rPr>
          <w:spacing w:val="-7"/>
          <w:sz w:val="21"/>
        </w:rPr>
        <w:t> 日的等待期 ........................... ............. .......... .... </w:t>
      </w:r>
      <w:r>
        <w:rPr>
          <w:sz w:val="21"/>
        </w:rPr>
        <w:t>2.5</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2"/>
          <w:sz w:val="21"/>
        </w:rPr>
        <w:t>在某些情况下，本公司不承担保险责任......................................... .... ...</w:t>
      </w:r>
      <w:r>
        <w:rPr>
          <w:sz w:val="21"/>
        </w:rPr>
        <w:t>2.6 </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2"/>
          <w:sz w:val="21"/>
        </w:rPr>
        <w:t>保险事故发生后请您及时通知本公司........................................... . ......</w:t>
      </w:r>
      <w:r>
        <w:rPr>
          <w:sz w:val="21"/>
        </w:rPr>
        <w:t>3.2 </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2"/>
          <w:sz w:val="21"/>
        </w:rPr>
        <w:t>您有如实告知的义务......................................................... . ......</w:t>
      </w:r>
      <w:r>
        <w:rPr>
          <w:sz w:val="21"/>
        </w:rPr>
        <w:t>5.1 </w:t>
      </w:r>
    </w:p>
    <w:p>
      <w:pPr>
        <w:pStyle w:val="ListParagraph"/>
        <w:numPr>
          <w:ilvl w:val="0"/>
          <w:numId w:val="1"/>
        </w:numPr>
        <w:tabs>
          <w:tab w:pos="883" w:val="left" w:leader="none"/>
          <w:tab w:pos="884" w:val="left" w:leader="none"/>
        </w:tabs>
        <w:spacing w:line="240" w:lineRule="auto" w:before="22" w:after="0"/>
        <w:ind w:left="883" w:right="0" w:hanging="397"/>
        <w:jc w:val="left"/>
        <w:rPr>
          <w:sz w:val="21"/>
        </w:rPr>
      </w:pPr>
      <w:r>
        <w:rPr>
          <w:spacing w:val="-4"/>
          <w:sz w:val="21"/>
        </w:rPr>
        <w:t>本公司对一些重要术语进行了解释，并作了显著标识，请您注意.................... . ...... </w:t>
      </w:r>
      <w:r>
        <w:rPr>
          <w:sz w:val="21"/>
        </w:rPr>
        <w:t>6 </w:t>
      </w:r>
    </w:p>
    <w:p>
      <w:pPr>
        <w:pStyle w:val="Heading5"/>
        <w:tabs>
          <w:tab w:pos="1286" w:val="left" w:leader="none"/>
        </w:tabs>
        <w:spacing w:before="25"/>
        <w:ind w:left="276"/>
      </w:pPr>
      <w:r>
        <w:rPr>
          <w:rFonts w:ascii="Arial" w:hAnsi="Arial" w:eastAsia="Arial"/>
          <w:w w:val="105"/>
          <w:position w:val="-11"/>
          <w:sz w:val="52"/>
        </w:rPr>
        <w:t></w:t>
        <w:tab/>
      </w:r>
      <w:r>
        <w:rPr>
          <w:w w:val="95"/>
        </w:rPr>
        <w:t>条款是保险合同的重要内容，为充分保障您的权益，请您仔细阅读本条款。</w:t>
      </w:r>
      <w:r>
        <w:rPr>
          <w:w w:val="99"/>
        </w:rPr>
        <w:t> </w:t>
      </w:r>
    </w:p>
    <w:p>
      <w:pPr>
        <w:tabs>
          <w:tab w:pos="1286" w:val="left" w:leader="none"/>
        </w:tabs>
        <w:spacing w:before="25"/>
        <w:ind w:left="276" w:right="0" w:firstLine="0"/>
        <w:jc w:val="left"/>
        <w:rPr>
          <w:b/>
          <w:sz w:val="21"/>
        </w:rPr>
      </w:pPr>
      <w:r>
        <w:rPr>
          <w:rFonts w:ascii="Arial" w:hAnsi="Arial" w:eastAsia="Arial"/>
          <w:b/>
          <w:w w:val="110"/>
          <w:position w:val="-11"/>
          <w:sz w:val="52"/>
        </w:rPr>
        <w:t></w:t>
        <w:tab/>
      </w:r>
      <w:r>
        <w:rPr>
          <w:b/>
          <w:w w:val="95"/>
          <w:sz w:val="21"/>
        </w:rPr>
        <w:t>条款目录</w:t>
      </w:r>
      <w:r>
        <w:rPr>
          <w:b/>
          <w:w w:val="99"/>
          <w:sz w:val="21"/>
        </w:rPr>
        <w:t> </w:t>
      </w:r>
    </w:p>
    <w:p>
      <w:pPr>
        <w:pStyle w:val="BodyText"/>
        <w:spacing w:before="8"/>
        <w:rPr>
          <w:b/>
          <w:sz w:val="6"/>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5"/>
        <w:gridCol w:w="2949"/>
        <w:gridCol w:w="3819"/>
      </w:tblGrid>
      <w:tr>
        <w:trPr>
          <w:trHeight w:val="1204" w:hRule="atLeast"/>
        </w:trPr>
        <w:tc>
          <w:tcPr>
            <w:tcW w:w="3095" w:type="dxa"/>
          </w:tcPr>
          <w:p>
            <w:pPr>
              <w:pStyle w:val="TableParagraph"/>
              <w:spacing w:line="210" w:lineRule="exact"/>
              <w:ind w:left="50"/>
              <w:rPr>
                <w:b/>
                <w:sz w:val="21"/>
              </w:rPr>
            </w:pPr>
            <w:r>
              <w:rPr>
                <w:b/>
                <w:sz w:val="21"/>
              </w:rPr>
              <w:t>1. 您与本公司的合同</w:t>
            </w:r>
            <w:r>
              <w:rPr>
                <w:b/>
                <w:w w:val="99"/>
                <w:sz w:val="21"/>
              </w:rPr>
              <w:t> </w:t>
            </w:r>
          </w:p>
          <w:p>
            <w:pPr>
              <w:pStyle w:val="TableParagraph"/>
              <w:numPr>
                <w:ilvl w:val="1"/>
                <w:numId w:val="2"/>
              </w:numPr>
              <w:tabs>
                <w:tab w:pos="472" w:val="left" w:leader="none"/>
              </w:tabs>
              <w:spacing w:line="240" w:lineRule="auto" w:before="37" w:after="0"/>
              <w:ind w:left="471" w:right="0" w:hanging="316"/>
              <w:jc w:val="left"/>
              <w:rPr>
                <w:sz w:val="21"/>
              </w:rPr>
            </w:pPr>
            <w:r>
              <w:rPr>
                <w:spacing w:val="-1"/>
                <w:sz w:val="21"/>
              </w:rPr>
              <w:t>合同构成 </w:t>
            </w:r>
          </w:p>
          <w:p>
            <w:pPr>
              <w:pStyle w:val="TableParagraph"/>
              <w:numPr>
                <w:ilvl w:val="1"/>
                <w:numId w:val="2"/>
              </w:numPr>
              <w:tabs>
                <w:tab w:pos="472" w:val="left" w:leader="none"/>
              </w:tabs>
              <w:spacing w:line="240" w:lineRule="auto" w:before="37" w:after="0"/>
              <w:ind w:left="471" w:right="0" w:hanging="316"/>
              <w:jc w:val="left"/>
              <w:rPr>
                <w:sz w:val="21"/>
              </w:rPr>
            </w:pPr>
            <w:r>
              <w:rPr>
                <w:spacing w:val="-1"/>
                <w:sz w:val="21"/>
              </w:rPr>
              <w:t>投保范围 </w:t>
            </w:r>
          </w:p>
          <w:p>
            <w:pPr>
              <w:pStyle w:val="TableParagraph"/>
              <w:numPr>
                <w:ilvl w:val="1"/>
                <w:numId w:val="2"/>
              </w:numPr>
              <w:tabs>
                <w:tab w:pos="472" w:val="left" w:leader="none"/>
              </w:tabs>
              <w:spacing w:line="240" w:lineRule="auto" w:before="37" w:after="0"/>
              <w:ind w:left="471" w:right="0" w:hanging="316"/>
              <w:jc w:val="left"/>
              <w:rPr>
                <w:sz w:val="21"/>
              </w:rPr>
            </w:pPr>
            <w:r>
              <w:rPr>
                <w:spacing w:val="-1"/>
                <w:sz w:val="21"/>
              </w:rPr>
              <w:t>合同成立与生效和保险责</w:t>
            </w:r>
          </w:p>
        </w:tc>
        <w:tc>
          <w:tcPr>
            <w:tcW w:w="2949" w:type="dxa"/>
          </w:tcPr>
          <w:p>
            <w:pPr>
              <w:pStyle w:val="TableParagraph"/>
              <w:spacing w:line="210" w:lineRule="exact"/>
              <w:ind w:left="210"/>
              <w:rPr>
                <w:sz w:val="21"/>
              </w:rPr>
            </w:pPr>
            <w:r>
              <w:rPr>
                <w:sz w:val="21"/>
              </w:rPr>
              <w:t>3.6 诉讼时效 </w:t>
            </w:r>
          </w:p>
          <w:p>
            <w:pPr>
              <w:pStyle w:val="TableParagraph"/>
              <w:spacing w:before="45"/>
              <w:ind w:left="138" w:right="1188"/>
              <w:jc w:val="center"/>
              <w:rPr>
                <w:b/>
                <w:sz w:val="21"/>
              </w:rPr>
            </w:pPr>
            <w:r>
              <w:rPr>
                <w:b/>
                <w:sz w:val="21"/>
              </w:rPr>
              <w:t>4. 保险费的支付</w:t>
            </w:r>
            <w:r>
              <w:rPr>
                <w:b/>
                <w:w w:val="99"/>
                <w:sz w:val="21"/>
              </w:rPr>
              <w:t> </w:t>
            </w:r>
          </w:p>
          <w:p>
            <w:pPr>
              <w:pStyle w:val="TableParagraph"/>
              <w:numPr>
                <w:ilvl w:val="1"/>
                <w:numId w:val="3"/>
              </w:numPr>
              <w:tabs>
                <w:tab w:pos="527" w:val="left" w:leader="none"/>
              </w:tabs>
              <w:spacing w:line="240" w:lineRule="auto" w:before="44" w:after="0"/>
              <w:ind w:left="526" w:right="0" w:hanging="316"/>
              <w:jc w:val="left"/>
              <w:rPr>
                <w:sz w:val="21"/>
              </w:rPr>
            </w:pPr>
            <w:r>
              <w:rPr>
                <w:spacing w:val="-1"/>
                <w:sz w:val="21"/>
              </w:rPr>
              <w:t>保险费的支付 </w:t>
            </w:r>
          </w:p>
          <w:p>
            <w:pPr>
              <w:pStyle w:val="TableParagraph"/>
              <w:numPr>
                <w:ilvl w:val="1"/>
                <w:numId w:val="3"/>
              </w:numPr>
              <w:tabs>
                <w:tab w:pos="527" w:val="left" w:leader="none"/>
              </w:tabs>
              <w:spacing w:line="240" w:lineRule="auto" w:before="37" w:after="0"/>
              <w:ind w:left="526" w:right="0" w:hanging="316"/>
              <w:jc w:val="left"/>
              <w:rPr>
                <w:sz w:val="21"/>
              </w:rPr>
            </w:pPr>
            <w:r>
              <w:rPr>
                <w:spacing w:val="-1"/>
                <w:sz w:val="21"/>
              </w:rPr>
              <w:t>保险单的现金价值 </w:t>
            </w:r>
          </w:p>
        </w:tc>
        <w:tc>
          <w:tcPr>
            <w:tcW w:w="3819" w:type="dxa"/>
          </w:tcPr>
          <w:p>
            <w:pPr>
              <w:pStyle w:val="TableParagraph"/>
              <w:spacing w:line="210" w:lineRule="exact"/>
              <w:ind w:left="324"/>
              <w:rPr>
                <w:sz w:val="21"/>
              </w:rPr>
            </w:pPr>
            <w:r>
              <w:rPr>
                <w:sz w:val="21"/>
              </w:rPr>
              <w:t>6.4 医 院 </w:t>
            </w:r>
          </w:p>
          <w:p>
            <w:pPr>
              <w:pStyle w:val="TableParagraph"/>
              <w:numPr>
                <w:ilvl w:val="1"/>
                <w:numId w:val="4"/>
              </w:numPr>
              <w:tabs>
                <w:tab w:pos="640" w:val="left" w:leader="none"/>
              </w:tabs>
              <w:spacing w:line="240" w:lineRule="auto" w:before="37" w:after="0"/>
              <w:ind w:left="639" w:right="0" w:hanging="315"/>
              <w:jc w:val="left"/>
              <w:rPr>
                <w:sz w:val="21"/>
              </w:rPr>
            </w:pPr>
            <w:r>
              <w:rPr>
                <w:spacing w:val="-1"/>
                <w:sz w:val="21"/>
              </w:rPr>
              <w:t>专科医生 </w:t>
            </w:r>
          </w:p>
          <w:p>
            <w:pPr>
              <w:pStyle w:val="TableParagraph"/>
              <w:numPr>
                <w:ilvl w:val="1"/>
                <w:numId w:val="4"/>
              </w:numPr>
              <w:tabs>
                <w:tab w:pos="640" w:val="left" w:leader="none"/>
              </w:tabs>
              <w:spacing w:line="240" w:lineRule="auto" w:before="37" w:after="0"/>
              <w:ind w:left="639" w:right="0" w:hanging="315"/>
              <w:jc w:val="left"/>
              <w:rPr>
                <w:sz w:val="21"/>
              </w:rPr>
            </w:pPr>
            <w:r>
              <w:rPr>
                <w:spacing w:val="-1"/>
                <w:sz w:val="21"/>
              </w:rPr>
              <w:t>初次罹患 </w:t>
            </w:r>
          </w:p>
          <w:p>
            <w:pPr>
              <w:pStyle w:val="TableParagraph"/>
              <w:numPr>
                <w:ilvl w:val="1"/>
                <w:numId w:val="4"/>
              </w:numPr>
              <w:tabs>
                <w:tab w:pos="641" w:val="left" w:leader="none"/>
              </w:tabs>
              <w:spacing w:line="240" w:lineRule="auto" w:before="37" w:after="0"/>
              <w:ind w:left="640" w:right="0" w:hanging="316"/>
              <w:jc w:val="left"/>
              <w:rPr>
                <w:sz w:val="21"/>
              </w:rPr>
            </w:pPr>
            <w:r>
              <w:rPr>
                <w:spacing w:val="-1"/>
                <w:sz w:val="21"/>
              </w:rPr>
              <w:t>疾病终末期阶段 </w:t>
            </w:r>
          </w:p>
        </w:tc>
      </w:tr>
      <w:tr>
        <w:trPr>
          <w:trHeight w:val="311" w:hRule="atLeast"/>
        </w:trPr>
        <w:tc>
          <w:tcPr>
            <w:tcW w:w="3095" w:type="dxa"/>
          </w:tcPr>
          <w:p>
            <w:pPr>
              <w:pStyle w:val="TableParagraph"/>
              <w:spacing w:line="253" w:lineRule="exact"/>
              <w:ind w:left="575"/>
              <w:rPr>
                <w:sz w:val="21"/>
              </w:rPr>
            </w:pPr>
            <w:r>
              <w:rPr>
                <w:sz w:val="21"/>
              </w:rPr>
              <w:t>任开始 </w:t>
            </w:r>
          </w:p>
        </w:tc>
        <w:tc>
          <w:tcPr>
            <w:tcW w:w="2949" w:type="dxa"/>
          </w:tcPr>
          <w:p>
            <w:pPr>
              <w:pStyle w:val="TableParagraph"/>
              <w:spacing w:line="269" w:lineRule="exact"/>
              <w:ind w:left="210"/>
              <w:rPr>
                <w:sz w:val="21"/>
              </w:rPr>
            </w:pPr>
            <w:r>
              <w:rPr>
                <w:sz w:val="21"/>
              </w:rPr>
              <w:t>4.3 宽限期 </w:t>
            </w:r>
          </w:p>
        </w:tc>
        <w:tc>
          <w:tcPr>
            <w:tcW w:w="3819" w:type="dxa"/>
          </w:tcPr>
          <w:p>
            <w:pPr>
              <w:pStyle w:val="TableParagraph"/>
              <w:spacing w:line="253" w:lineRule="exact"/>
              <w:ind w:left="324"/>
              <w:rPr>
                <w:sz w:val="21"/>
              </w:rPr>
            </w:pPr>
            <w:r>
              <w:rPr>
                <w:sz w:val="21"/>
              </w:rPr>
              <w:t>6.8 意外伤害 </w:t>
            </w:r>
          </w:p>
        </w:tc>
      </w:tr>
      <w:tr>
        <w:trPr>
          <w:trHeight w:val="311" w:hRule="atLeast"/>
        </w:trPr>
        <w:tc>
          <w:tcPr>
            <w:tcW w:w="3095" w:type="dxa"/>
          </w:tcPr>
          <w:p>
            <w:pPr>
              <w:pStyle w:val="TableParagraph"/>
              <w:spacing w:line="253" w:lineRule="exact"/>
              <w:ind w:left="155"/>
              <w:rPr>
                <w:sz w:val="21"/>
              </w:rPr>
            </w:pPr>
            <w:r>
              <w:rPr>
                <w:sz w:val="21"/>
              </w:rPr>
              <w:t>1.4 犹豫期 </w:t>
            </w:r>
          </w:p>
        </w:tc>
        <w:tc>
          <w:tcPr>
            <w:tcW w:w="2949" w:type="dxa"/>
          </w:tcPr>
          <w:p>
            <w:pPr>
              <w:pStyle w:val="TableParagraph"/>
              <w:spacing w:line="269" w:lineRule="exact"/>
              <w:ind w:left="210"/>
              <w:rPr>
                <w:sz w:val="21"/>
              </w:rPr>
            </w:pPr>
            <w:r>
              <w:rPr>
                <w:sz w:val="21"/>
              </w:rPr>
              <w:t>4.4 自动垫交 </w:t>
            </w:r>
          </w:p>
        </w:tc>
        <w:tc>
          <w:tcPr>
            <w:tcW w:w="3819" w:type="dxa"/>
          </w:tcPr>
          <w:p>
            <w:pPr>
              <w:pStyle w:val="TableParagraph"/>
              <w:spacing w:line="253" w:lineRule="exact"/>
              <w:ind w:left="324"/>
              <w:rPr>
                <w:sz w:val="21"/>
              </w:rPr>
            </w:pPr>
            <w:r>
              <w:rPr>
                <w:sz w:val="21"/>
              </w:rPr>
              <w:t>6.9 全 残 </w:t>
            </w:r>
          </w:p>
        </w:tc>
      </w:tr>
      <w:tr>
        <w:trPr>
          <w:trHeight w:val="311" w:hRule="atLeast"/>
        </w:trPr>
        <w:tc>
          <w:tcPr>
            <w:tcW w:w="3095" w:type="dxa"/>
          </w:tcPr>
          <w:p>
            <w:pPr>
              <w:pStyle w:val="TableParagraph"/>
              <w:spacing w:line="253" w:lineRule="exact"/>
              <w:ind w:left="155"/>
              <w:rPr>
                <w:sz w:val="21"/>
              </w:rPr>
            </w:pPr>
            <w:r>
              <w:rPr>
                <w:sz w:val="21"/>
              </w:rPr>
              <w:t>1.5 合同内容变更 </w:t>
            </w:r>
          </w:p>
        </w:tc>
        <w:tc>
          <w:tcPr>
            <w:tcW w:w="2949" w:type="dxa"/>
          </w:tcPr>
          <w:p>
            <w:pPr>
              <w:pStyle w:val="TableParagraph"/>
              <w:spacing w:line="269" w:lineRule="exact"/>
              <w:ind w:left="210"/>
              <w:rPr>
                <w:sz w:val="21"/>
              </w:rPr>
            </w:pPr>
            <w:r>
              <w:rPr>
                <w:sz w:val="21"/>
              </w:rPr>
              <w:t>4.5 保单质押贷款 </w:t>
            </w:r>
          </w:p>
        </w:tc>
        <w:tc>
          <w:tcPr>
            <w:tcW w:w="3819" w:type="dxa"/>
          </w:tcPr>
          <w:p>
            <w:pPr>
              <w:pStyle w:val="TableParagraph"/>
              <w:spacing w:line="253" w:lineRule="exact"/>
              <w:ind w:left="324"/>
              <w:rPr>
                <w:sz w:val="21"/>
              </w:rPr>
            </w:pPr>
            <w:r>
              <w:rPr>
                <w:sz w:val="21"/>
              </w:rPr>
              <w:t>6.10 轻症疾病 </w:t>
            </w:r>
          </w:p>
        </w:tc>
      </w:tr>
      <w:tr>
        <w:trPr>
          <w:trHeight w:val="311" w:hRule="atLeast"/>
        </w:trPr>
        <w:tc>
          <w:tcPr>
            <w:tcW w:w="3095" w:type="dxa"/>
          </w:tcPr>
          <w:p>
            <w:pPr>
              <w:pStyle w:val="TableParagraph"/>
              <w:spacing w:line="253" w:lineRule="exact"/>
              <w:ind w:left="155"/>
              <w:rPr>
                <w:sz w:val="21"/>
              </w:rPr>
            </w:pPr>
            <w:r>
              <w:rPr>
                <w:sz w:val="21"/>
              </w:rPr>
              <w:t>1.6 解除合同的手续及风险 </w:t>
            </w:r>
          </w:p>
        </w:tc>
        <w:tc>
          <w:tcPr>
            <w:tcW w:w="2949" w:type="dxa"/>
          </w:tcPr>
          <w:p>
            <w:pPr>
              <w:pStyle w:val="TableParagraph"/>
              <w:spacing w:line="269" w:lineRule="exact"/>
              <w:ind w:left="210"/>
              <w:rPr>
                <w:sz w:val="21"/>
              </w:rPr>
            </w:pPr>
            <w:r>
              <w:rPr>
                <w:sz w:val="21"/>
              </w:rPr>
              <w:t>4.6 合同效力中止 </w:t>
            </w:r>
          </w:p>
        </w:tc>
        <w:tc>
          <w:tcPr>
            <w:tcW w:w="3819" w:type="dxa"/>
          </w:tcPr>
          <w:p>
            <w:pPr>
              <w:pStyle w:val="TableParagraph"/>
              <w:spacing w:line="253" w:lineRule="exact"/>
              <w:ind w:left="324"/>
              <w:rPr>
                <w:sz w:val="21"/>
              </w:rPr>
            </w:pPr>
            <w:r>
              <w:rPr>
                <w:sz w:val="21"/>
              </w:rPr>
              <w:t>6.11 重大疾病 </w:t>
            </w:r>
          </w:p>
        </w:tc>
      </w:tr>
      <w:tr>
        <w:trPr>
          <w:trHeight w:val="311" w:hRule="atLeast"/>
        </w:trPr>
        <w:tc>
          <w:tcPr>
            <w:tcW w:w="3095" w:type="dxa"/>
          </w:tcPr>
          <w:p>
            <w:pPr>
              <w:pStyle w:val="TableParagraph"/>
              <w:spacing w:line="253" w:lineRule="exact"/>
              <w:ind w:left="50"/>
              <w:rPr>
                <w:b/>
                <w:sz w:val="21"/>
              </w:rPr>
            </w:pPr>
            <w:r>
              <w:rPr>
                <w:b/>
                <w:sz w:val="21"/>
              </w:rPr>
              <w:t>2. 本公司提供的保障</w:t>
            </w:r>
            <w:r>
              <w:rPr>
                <w:b/>
                <w:w w:val="99"/>
                <w:sz w:val="21"/>
              </w:rPr>
              <w:t> </w:t>
            </w:r>
          </w:p>
        </w:tc>
        <w:tc>
          <w:tcPr>
            <w:tcW w:w="2949" w:type="dxa"/>
          </w:tcPr>
          <w:p>
            <w:pPr>
              <w:pStyle w:val="TableParagraph"/>
              <w:spacing w:line="269" w:lineRule="exact"/>
              <w:ind w:left="210"/>
              <w:rPr>
                <w:sz w:val="21"/>
              </w:rPr>
            </w:pPr>
            <w:r>
              <w:rPr>
                <w:sz w:val="21"/>
              </w:rPr>
              <w:t>4.7 合同效力恢复 </w:t>
            </w:r>
          </w:p>
        </w:tc>
        <w:tc>
          <w:tcPr>
            <w:tcW w:w="3819" w:type="dxa"/>
          </w:tcPr>
          <w:p>
            <w:pPr>
              <w:pStyle w:val="TableParagraph"/>
              <w:spacing w:line="253" w:lineRule="exact"/>
              <w:ind w:left="324"/>
              <w:rPr>
                <w:sz w:val="21"/>
              </w:rPr>
            </w:pPr>
            <w:r>
              <w:rPr>
                <w:sz w:val="21"/>
              </w:rPr>
              <w:t>6.12 毒品 </w:t>
            </w:r>
          </w:p>
        </w:tc>
      </w:tr>
      <w:tr>
        <w:trPr>
          <w:trHeight w:val="316" w:hRule="atLeast"/>
        </w:trPr>
        <w:tc>
          <w:tcPr>
            <w:tcW w:w="3095" w:type="dxa"/>
          </w:tcPr>
          <w:p>
            <w:pPr>
              <w:pStyle w:val="TableParagraph"/>
              <w:spacing w:line="253" w:lineRule="exact"/>
              <w:ind w:left="155"/>
              <w:rPr>
                <w:sz w:val="21"/>
              </w:rPr>
            </w:pPr>
            <w:r>
              <w:rPr>
                <w:sz w:val="21"/>
              </w:rPr>
              <w:t>2.1 保险金额 </w:t>
            </w:r>
          </w:p>
        </w:tc>
        <w:tc>
          <w:tcPr>
            <w:tcW w:w="2949" w:type="dxa"/>
          </w:tcPr>
          <w:p>
            <w:pPr>
              <w:pStyle w:val="TableParagraph"/>
              <w:spacing w:before="2"/>
              <w:ind w:left="105"/>
              <w:rPr>
                <w:b/>
                <w:sz w:val="21"/>
              </w:rPr>
            </w:pPr>
            <w:r>
              <w:rPr>
                <w:b/>
                <w:sz w:val="21"/>
              </w:rPr>
              <w:t>5. 其他事项</w:t>
            </w:r>
            <w:r>
              <w:rPr>
                <w:b/>
                <w:w w:val="99"/>
                <w:sz w:val="21"/>
              </w:rPr>
              <w:t> </w:t>
            </w:r>
          </w:p>
        </w:tc>
        <w:tc>
          <w:tcPr>
            <w:tcW w:w="3819" w:type="dxa"/>
          </w:tcPr>
          <w:p>
            <w:pPr>
              <w:pStyle w:val="TableParagraph"/>
              <w:spacing w:line="253" w:lineRule="exact"/>
              <w:ind w:left="324"/>
              <w:rPr>
                <w:sz w:val="21"/>
              </w:rPr>
            </w:pPr>
            <w:r>
              <w:rPr>
                <w:sz w:val="21"/>
              </w:rPr>
              <w:t>6.13 酒后驾驶 </w:t>
            </w:r>
          </w:p>
        </w:tc>
      </w:tr>
      <w:tr>
        <w:trPr>
          <w:trHeight w:val="315" w:hRule="atLeast"/>
        </w:trPr>
        <w:tc>
          <w:tcPr>
            <w:tcW w:w="3095" w:type="dxa"/>
          </w:tcPr>
          <w:p>
            <w:pPr>
              <w:pStyle w:val="TableParagraph"/>
              <w:spacing w:line="249" w:lineRule="exact"/>
              <w:ind w:left="155"/>
              <w:rPr>
                <w:sz w:val="21"/>
              </w:rPr>
            </w:pPr>
            <w:r>
              <w:rPr>
                <w:sz w:val="21"/>
              </w:rPr>
              <w:t>2.2 基本保险金额 </w:t>
            </w:r>
          </w:p>
        </w:tc>
        <w:tc>
          <w:tcPr>
            <w:tcW w:w="2949" w:type="dxa"/>
          </w:tcPr>
          <w:p>
            <w:pPr>
              <w:pStyle w:val="TableParagraph"/>
              <w:spacing w:before="5"/>
              <w:ind w:left="210"/>
              <w:rPr>
                <w:sz w:val="21"/>
              </w:rPr>
            </w:pPr>
            <w:r>
              <w:rPr>
                <w:sz w:val="21"/>
              </w:rPr>
              <w:t>5.1 明确说明与如实告知 </w:t>
            </w:r>
          </w:p>
        </w:tc>
        <w:tc>
          <w:tcPr>
            <w:tcW w:w="3819" w:type="dxa"/>
          </w:tcPr>
          <w:p>
            <w:pPr>
              <w:pStyle w:val="TableParagraph"/>
              <w:spacing w:line="249" w:lineRule="exact"/>
              <w:ind w:left="324"/>
              <w:rPr>
                <w:sz w:val="21"/>
              </w:rPr>
            </w:pPr>
            <w:r>
              <w:rPr>
                <w:sz w:val="21"/>
              </w:rPr>
              <w:t>6.14 无合法有效驾驶证驾驶 </w:t>
            </w:r>
          </w:p>
        </w:tc>
      </w:tr>
      <w:tr>
        <w:trPr>
          <w:trHeight w:val="311" w:hRule="atLeast"/>
        </w:trPr>
        <w:tc>
          <w:tcPr>
            <w:tcW w:w="3095" w:type="dxa"/>
          </w:tcPr>
          <w:p>
            <w:pPr>
              <w:pStyle w:val="TableParagraph"/>
              <w:spacing w:line="245" w:lineRule="exact"/>
              <w:ind w:left="155"/>
              <w:rPr>
                <w:sz w:val="21"/>
              </w:rPr>
            </w:pPr>
            <w:r>
              <w:rPr>
                <w:sz w:val="21"/>
              </w:rPr>
              <w:t>2.3 未成年人身故保险金限制 </w:t>
            </w:r>
          </w:p>
        </w:tc>
        <w:tc>
          <w:tcPr>
            <w:tcW w:w="2949" w:type="dxa"/>
          </w:tcPr>
          <w:p>
            <w:pPr>
              <w:pStyle w:val="TableParagraph"/>
              <w:spacing w:before="2"/>
              <w:ind w:left="210"/>
              <w:rPr>
                <w:sz w:val="21"/>
              </w:rPr>
            </w:pPr>
            <w:r>
              <w:rPr>
                <w:sz w:val="21"/>
              </w:rPr>
              <w:t>5.2 合同解除权的限制 </w:t>
            </w:r>
          </w:p>
        </w:tc>
        <w:tc>
          <w:tcPr>
            <w:tcW w:w="3819" w:type="dxa"/>
          </w:tcPr>
          <w:p>
            <w:pPr>
              <w:pStyle w:val="TableParagraph"/>
              <w:spacing w:line="245" w:lineRule="exact"/>
              <w:ind w:left="324"/>
              <w:rPr>
                <w:sz w:val="21"/>
              </w:rPr>
            </w:pPr>
            <w:r>
              <w:rPr>
                <w:sz w:val="21"/>
              </w:rPr>
              <w:t>6.15 无有效行驶证 </w:t>
            </w:r>
          </w:p>
        </w:tc>
      </w:tr>
      <w:tr>
        <w:trPr>
          <w:trHeight w:val="311" w:hRule="atLeast"/>
        </w:trPr>
        <w:tc>
          <w:tcPr>
            <w:tcW w:w="3095" w:type="dxa"/>
          </w:tcPr>
          <w:p>
            <w:pPr>
              <w:pStyle w:val="TableParagraph"/>
              <w:spacing w:line="245" w:lineRule="exact"/>
              <w:ind w:left="155"/>
              <w:rPr>
                <w:sz w:val="21"/>
              </w:rPr>
            </w:pPr>
            <w:r>
              <w:rPr>
                <w:sz w:val="21"/>
              </w:rPr>
              <w:t>2.4 保险期间 </w:t>
            </w:r>
          </w:p>
        </w:tc>
        <w:tc>
          <w:tcPr>
            <w:tcW w:w="2949" w:type="dxa"/>
          </w:tcPr>
          <w:p>
            <w:pPr>
              <w:pStyle w:val="TableParagraph"/>
              <w:spacing w:before="2"/>
              <w:ind w:left="210"/>
              <w:rPr>
                <w:sz w:val="21"/>
              </w:rPr>
            </w:pPr>
            <w:r>
              <w:rPr>
                <w:sz w:val="21"/>
              </w:rPr>
              <w:t>5.3 年龄性别错误 </w:t>
            </w:r>
          </w:p>
        </w:tc>
        <w:tc>
          <w:tcPr>
            <w:tcW w:w="3819" w:type="dxa"/>
          </w:tcPr>
          <w:p>
            <w:pPr>
              <w:pStyle w:val="TableParagraph"/>
              <w:spacing w:line="245" w:lineRule="exact"/>
              <w:ind w:left="324"/>
              <w:rPr>
                <w:sz w:val="21"/>
              </w:rPr>
            </w:pPr>
            <w:r>
              <w:rPr>
                <w:sz w:val="21"/>
              </w:rPr>
              <w:t>6.16 遗传性疾病 </w:t>
            </w:r>
          </w:p>
        </w:tc>
      </w:tr>
      <w:tr>
        <w:trPr>
          <w:trHeight w:val="311" w:hRule="atLeast"/>
        </w:trPr>
        <w:tc>
          <w:tcPr>
            <w:tcW w:w="3095" w:type="dxa"/>
          </w:tcPr>
          <w:p>
            <w:pPr>
              <w:pStyle w:val="TableParagraph"/>
              <w:spacing w:line="245" w:lineRule="exact"/>
              <w:ind w:left="155"/>
              <w:rPr>
                <w:sz w:val="21"/>
              </w:rPr>
            </w:pPr>
            <w:r>
              <w:rPr>
                <w:sz w:val="21"/>
              </w:rPr>
              <w:t>2.5 保险责任 </w:t>
            </w:r>
          </w:p>
        </w:tc>
        <w:tc>
          <w:tcPr>
            <w:tcW w:w="2949" w:type="dxa"/>
          </w:tcPr>
          <w:p>
            <w:pPr>
              <w:pStyle w:val="TableParagraph"/>
              <w:spacing w:before="2"/>
              <w:ind w:left="210"/>
              <w:rPr>
                <w:sz w:val="21"/>
              </w:rPr>
            </w:pPr>
            <w:r>
              <w:rPr>
                <w:sz w:val="21"/>
              </w:rPr>
              <w:t>5.4 未还款项 </w:t>
            </w:r>
          </w:p>
        </w:tc>
        <w:tc>
          <w:tcPr>
            <w:tcW w:w="3819" w:type="dxa"/>
          </w:tcPr>
          <w:p>
            <w:pPr>
              <w:pStyle w:val="TableParagraph"/>
              <w:spacing w:line="245" w:lineRule="exact"/>
              <w:ind w:left="324"/>
              <w:rPr>
                <w:sz w:val="21"/>
              </w:rPr>
            </w:pPr>
            <w:r>
              <w:rPr>
                <w:sz w:val="21"/>
              </w:rPr>
              <w:t>6.17 先天性畸形、变形或染色体异常</w:t>
            </w:r>
          </w:p>
        </w:tc>
      </w:tr>
      <w:tr>
        <w:trPr>
          <w:trHeight w:val="311" w:hRule="atLeast"/>
        </w:trPr>
        <w:tc>
          <w:tcPr>
            <w:tcW w:w="3095" w:type="dxa"/>
          </w:tcPr>
          <w:p>
            <w:pPr>
              <w:pStyle w:val="TableParagraph"/>
              <w:spacing w:line="245" w:lineRule="exact"/>
              <w:ind w:left="155"/>
              <w:rPr>
                <w:sz w:val="21"/>
              </w:rPr>
            </w:pPr>
            <w:r>
              <w:rPr>
                <w:sz w:val="21"/>
              </w:rPr>
              <w:t>2.6 保险责任的免除 </w:t>
            </w:r>
          </w:p>
        </w:tc>
        <w:tc>
          <w:tcPr>
            <w:tcW w:w="2949" w:type="dxa"/>
          </w:tcPr>
          <w:p>
            <w:pPr>
              <w:pStyle w:val="TableParagraph"/>
              <w:spacing w:before="2"/>
              <w:ind w:left="210"/>
              <w:rPr>
                <w:sz w:val="21"/>
              </w:rPr>
            </w:pPr>
            <w:r>
              <w:rPr>
                <w:sz w:val="21"/>
              </w:rPr>
              <w:t>5.5 事故鉴定 </w:t>
            </w:r>
          </w:p>
        </w:tc>
        <w:tc>
          <w:tcPr>
            <w:tcW w:w="3819" w:type="dxa"/>
          </w:tcPr>
          <w:p>
            <w:pPr>
              <w:pStyle w:val="TableParagraph"/>
              <w:spacing w:line="245" w:lineRule="exact"/>
              <w:ind w:left="324"/>
              <w:rPr>
                <w:sz w:val="21"/>
              </w:rPr>
            </w:pPr>
            <w:r>
              <w:rPr>
                <w:sz w:val="21"/>
              </w:rPr>
              <w:t>6.18 感染艾滋病病毒或患艾滋病 </w:t>
            </w:r>
          </w:p>
        </w:tc>
      </w:tr>
      <w:tr>
        <w:trPr>
          <w:trHeight w:val="311" w:hRule="atLeast"/>
        </w:trPr>
        <w:tc>
          <w:tcPr>
            <w:tcW w:w="3095" w:type="dxa"/>
          </w:tcPr>
          <w:p>
            <w:pPr>
              <w:pStyle w:val="TableParagraph"/>
              <w:spacing w:line="245" w:lineRule="exact"/>
              <w:ind w:left="50"/>
              <w:rPr>
                <w:b/>
                <w:sz w:val="21"/>
              </w:rPr>
            </w:pPr>
            <w:r>
              <w:rPr>
                <w:b/>
                <w:sz w:val="21"/>
              </w:rPr>
              <w:t>3. 保险金的申请与给付</w:t>
            </w:r>
            <w:r>
              <w:rPr>
                <w:b/>
                <w:w w:val="99"/>
                <w:sz w:val="21"/>
              </w:rPr>
              <w:t> </w:t>
            </w:r>
          </w:p>
        </w:tc>
        <w:tc>
          <w:tcPr>
            <w:tcW w:w="2949" w:type="dxa"/>
          </w:tcPr>
          <w:p>
            <w:pPr>
              <w:pStyle w:val="TableParagraph"/>
              <w:spacing w:before="2"/>
              <w:ind w:left="210"/>
              <w:rPr>
                <w:sz w:val="21"/>
              </w:rPr>
            </w:pPr>
            <w:r>
              <w:rPr>
                <w:sz w:val="21"/>
              </w:rPr>
              <w:t>5.6 效力终止 </w:t>
            </w:r>
          </w:p>
        </w:tc>
        <w:tc>
          <w:tcPr>
            <w:tcW w:w="3819" w:type="dxa"/>
          </w:tcPr>
          <w:p>
            <w:pPr>
              <w:pStyle w:val="TableParagraph"/>
              <w:spacing w:line="245" w:lineRule="exact"/>
              <w:ind w:left="324"/>
              <w:rPr>
                <w:sz w:val="21"/>
              </w:rPr>
            </w:pPr>
            <w:r>
              <w:rPr>
                <w:sz w:val="21"/>
              </w:rPr>
              <w:t>6.19 永久不可逆 </w:t>
            </w:r>
          </w:p>
        </w:tc>
      </w:tr>
      <w:tr>
        <w:trPr>
          <w:trHeight w:val="311" w:hRule="atLeast"/>
        </w:trPr>
        <w:tc>
          <w:tcPr>
            <w:tcW w:w="3095" w:type="dxa"/>
          </w:tcPr>
          <w:p>
            <w:pPr>
              <w:pStyle w:val="TableParagraph"/>
              <w:spacing w:line="245" w:lineRule="exact"/>
              <w:ind w:left="155"/>
              <w:rPr>
                <w:sz w:val="21"/>
              </w:rPr>
            </w:pPr>
            <w:r>
              <w:rPr>
                <w:sz w:val="21"/>
              </w:rPr>
              <w:t>3.1 保险金受益人 </w:t>
            </w:r>
          </w:p>
        </w:tc>
        <w:tc>
          <w:tcPr>
            <w:tcW w:w="2949" w:type="dxa"/>
          </w:tcPr>
          <w:p>
            <w:pPr>
              <w:pStyle w:val="TableParagraph"/>
              <w:spacing w:before="2"/>
              <w:ind w:left="210"/>
              <w:rPr>
                <w:sz w:val="21"/>
              </w:rPr>
            </w:pPr>
            <w:r>
              <w:rPr>
                <w:sz w:val="21"/>
              </w:rPr>
              <w:t>5.7 争议处理  </w:t>
            </w:r>
          </w:p>
        </w:tc>
        <w:tc>
          <w:tcPr>
            <w:tcW w:w="3819" w:type="dxa"/>
          </w:tcPr>
          <w:p>
            <w:pPr>
              <w:pStyle w:val="TableParagraph"/>
              <w:spacing w:line="245" w:lineRule="exact"/>
              <w:ind w:left="324"/>
              <w:rPr>
                <w:sz w:val="21"/>
              </w:rPr>
            </w:pPr>
            <w:r>
              <w:rPr>
                <w:sz w:val="21"/>
              </w:rPr>
              <w:t>6.20 肢体机能完全丧失 </w:t>
            </w:r>
          </w:p>
        </w:tc>
      </w:tr>
      <w:tr>
        <w:trPr>
          <w:trHeight w:val="311" w:hRule="atLeast"/>
        </w:trPr>
        <w:tc>
          <w:tcPr>
            <w:tcW w:w="3095" w:type="dxa"/>
          </w:tcPr>
          <w:p>
            <w:pPr>
              <w:pStyle w:val="TableParagraph"/>
              <w:spacing w:line="245" w:lineRule="exact"/>
              <w:ind w:left="155"/>
              <w:rPr>
                <w:sz w:val="21"/>
              </w:rPr>
            </w:pPr>
            <w:r>
              <w:rPr>
                <w:sz w:val="21"/>
              </w:rPr>
              <w:t>3.2 保险事故通知 </w:t>
            </w:r>
          </w:p>
        </w:tc>
        <w:tc>
          <w:tcPr>
            <w:tcW w:w="2949" w:type="dxa"/>
          </w:tcPr>
          <w:p>
            <w:pPr>
              <w:pStyle w:val="TableParagraph"/>
              <w:spacing w:before="2"/>
              <w:ind w:left="105"/>
              <w:rPr>
                <w:b/>
                <w:sz w:val="21"/>
              </w:rPr>
            </w:pPr>
            <w:r>
              <w:rPr>
                <w:b/>
                <w:sz w:val="21"/>
              </w:rPr>
              <w:t>6. 释义 </w:t>
            </w:r>
          </w:p>
        </w:tc>
        <w:tc>
          <w:tcPr>
            <w:tcW w:w="3819" w:type="dxa"/>
          </w:tcPr>
          <w:p>
            <w:pPr>
              <w:pStyle w:val="TableParagraph"/>
              <w:spacing w:line="245" w:lineRule="exact"/>
              <w:ind w:left="324"/>
              <w:rPr>
                <w:sz w:val="21"/>
              </w:rPr>
            </w:pPr>
            <w:r>
              <w:rPr>
                <w:sz w:val="21"/>
              </w:rPr>
              <w:t>6.21 语言能力或咀嚼吞咽能力完全</w:t>
            </w:r>
          </w:p>
        </w:tc>
      </w:tr>
      <w:tr>
        <w:trPr>
          <w:trHeight w:val="311" w:hRule="atLeast"/>
        </w:trPr>
        <w:tc>
          <w:tcPr>
            <w:tcW w:w="3095" w:type="dxa"/>
          </w:tcPr>
          <w:p>
            <w:pPr>
              <w:pStyle w:val="TableParagraph"/>
              <w:spacing w:line="245" w:lineRule="exact"/>
              <w:ind w:left="155"/>
              <w:rPr>
                <w:sz w:val="21"/>
              </w:rPr>
            </w:pPr>
            <w:r>
              <w:rPr>
                <w:sz w:val="21"/>
              </w:rPr>
              <w:t>3.3 保险金申请 </w:t>
            </w:r>
          </w:p>
        </w:tc>
        <w:tc>
          <w:tcPr>
            <w:tcW w:w="2949" w:type="dxa"/>
          </w:tcPr>
          <w:p>
            <w:pPr>
              <w:pStyle w:val="TableParagraph"/>
              <w:spacing w:before="2"/>
              <w:ind w:left="210"/>
              <w:rPr>
                <w:sz w:val="21"/>
              </w:rPr>
            </w:pPr>
            <w:r>
              <w:rPr>
                <w:sz w:val="21"/>
              </w:rPr>
              <w:t>6.1 周岁 </w:t>
            </w:r>
          </w:p>
        </w:tc>
        <w:tc>
          <w:tcPr>
            <w:tcW w:w="3819" w:type="dxa"/>
          </w:tcPr>
          <w:p>
            <w:pPr>
              <w:pStyle w:val="TableParagraph"/>
              <w:spacing w:line="245" w:lineRule="exact"/>
              <w:ind w:left="848"/>
              <w:rPr>
                <w:sz w:val="21"/>
              </w:rPr>
            </w:pPr>
            <w:r>
              <w:rPr>
                <w:sz w:val="21"/>
              </w:rPr>
              <w:t>丧失 </w:t>
            </w:r>
          </w:p>
        </w:tc>
      </w:tr>
      <w:tr>
        <w:trPr>
          <w:trHeight w:val="588" w:hRule="atLeast"/>
        </w:trPr>
        <w:tc>
          <w:tcPr>
            <w:tcW w:w="3095" w:type="dxa"/>
          </w:tcPr>
          <w:p>
            <w:pPr>
              <w:pStyle w:val="TableParagraph"/>
              <w:numPr>
                <w:ilvl w:val="1"/>
                <w:numId w:val="5"/>
              </w:numPr>
              <w:tabs>
                <w:tab w:pos="472" w:val="left" w:leader="none"/>
              </w:tabs>
              <w:spacing w:line="245" w:lineRule="exact" w:before="0" w:after="0"/>
              <w:ind w:left="471" w:right="0" w:hanging="316"/>
              <w:jc w:val="left"/>
              <w:rPr>
                <w:sz w:val="21"/>
              </w:rPr>
            </w:pPr>
            <w:r>
              <w:rPr>
                <w:spacing w:val="-1"/>
                <w:sz w:val="21"/>
              </w:rPr>
              <w:t>保险金给付 </w:t>
            </w:r>
          </w:p>
          <w:p>
            <w:pPr>
              <w:pStyle w:val="TableParagraph"/>
              <w:numPr>
                <w:ilvl w:val="1"/>
                <w:numId w:val="5"/>
              </w:numPr>
              <w:tabs>
                <w:tab w:pos="525" w:val="left" w:leader="none"/>
              </w:tabs>
              <w:spacing w:line="240" w:lineRule="auto" w:before="37" w:after="0"/>
              <w:ind w:left="524" w:right="0" w:hanging="369"/>
              <w:jc w:val="left"/>
              <w:rPr>
                <w:sz w:val="21"/>
              </w:rPr>
            </w:pPr>
            <w:r>
              <w:rPr>
                <w:spacing w:val="-1"/>
                <w:sz w:val="21"/>
              </w:rPr>
              <w:t>失踪处理 </w:t>
            </w:r>
          </w:p>
        </w:tc>
        <w:tc>
          <w:tcPr>
            <w:tcW w:w="2949" w:type="dxa"/>
          </w:tcPr>
          <w:p>
            <w:pPr>
              <w:pStyle w:val="TableParagraph"/>
              <w:numPr>
                <w:ilvl w:val="1"/>
                <w:numId w:val="6"/>
              </w:numPr>
              <w:tabs>
                <w:tab w:pos="527" w:val="left" w:leader="none"/>
              </w:tabs>
              <w:spacing w:line="240" w:lineRule="auto" w:before="2" w:after="0"/>
              <w:ind w:left="526" w:right="0" w:hanging="316"/>
              <w:jc w:val="left"/>
              <w:rPr>
                <w:sz w:val="21"/>
              </w:rPr>
            </w:pPr>
            <w:r>
              <w:rPr>
                <w:spacing w:val="-1"/>
                <w:sz w:val="21"/>
              </w:rPr>
              <w:t>有效身份证件 </w:t>
            </w:r>
          </w:p>
          <w:p>
            <w:pPr>
              <w:pStyle w:val="TableParagraph"/>
              <w:numPr>
                <w:ilvl w:val="1"/>
                <w:numId w:val="6"/>
              </w:numPr>
              <w:tabs>
                <w:tab w:pos="527" w:val="left" w:leader="none"/>
              </w:tabs>
              <w:spacing w:line="255" w:lineRule="exact" w:before="37" w:after="0"/>
              <w:ind w:left="526" w:right="0" w:hanging="316"/>
              <w:jc w:val="left"/>
              <w:rPr>
                <w:sz w:val="21"/>
              </w:rPr>
            </w:pPr>
            <w:r>
              <w:rPr>
                <w:spacing w:val="-1"/>
                <w:sz w:val="21"/>
              </w:rPr>
              <w:t>现金价值 </w:t>
            </w:r>
          </w:p>
        </w:tc>
        <w:tc>
          <w:tcPr>
            <w:tcW w:w="3819" w:type="dxa"/>
          </w:tcPr>
          <w:p>
            <w:pPr>
              <w:pStyle w:val="TableParagraph"/>
              <w:spacing w:line="245" w:lineRule="exact"/>
              <w:ind w:left="324"/>
              <w:rPr>
                <w:sz w:val="21"/>
              </w:rPr>
            </w:pPr>
            <w:r>
              <w:rPr>
                <w:sz w:val="21"/>
              </w:rPr>
              <w:t>6.22 六项基本日常生活活动 </w:t>
            </w:r>
          </w:p>
        </w:tc>
      </w:tr>
    </w:tbl>
    <w:p>
      <w:pPr>
        <w:spacing w:before="40"/>
        <w:ind w:left="276" w:right="0" w:firstLine="0"/>
        <w:jc w:val="left"/>
        <w:rPr>
          <w:b/>
          <w:sz w:val="2"/>
        </w:rPr>
      </w:pPr>
      <w:r>
        <w:rPr>
          <w:b/>
          <w:w w:val="95"/>
          <w:sz w:val="2"/>
        </w:rPr>
        <w:t> </w:t>
      </w:r>
    </w:p>
    <w:p>
      <w:pPr>
        <w:spacing w:after="0"/>
        <w:jc w:val="left"/>
        <w:rPr>
          <w:sz w:val="2"/>
        </w:rPr>
        <w:sectPr>
          <w:headerReference w:type="default" r:id="rId5"/>
          <w:type w:val="continuous"/>
          <w:pgSz w:w="11910" w:h="16840"/>
          <w:pgMar w:header="501" w:top="700" w:bottom="280" w:left="740" w:right="740"/>
        </w:sectPr>
      </w:pPr>
    </w:p>
    <w:p>
      <w:pPr>
        <w:pStyle w:val="BodyText"/>
        <w:rPr>
          <w:b/>
          <w:sz w:val="20"/>
        </w:rPr>
      </w:pPr>
    </w:p>
    <w:p>
      <w:pPr>
        <w:pStyle w:val="BodyText"/>
        <w:rPr>
          <w:b/>
          <w:sz w:val="20"/>
        </w:rPr>
      </w:pPr>
    </w:p>
    <w:p>
      <w:pPr>
        <w:pStyle w:val="BodyText"/>
        <w:spacing w:before="8"/>
        <w:rPr>
          <w:b/>
          <w:sz w:val="18"/>
        </w:rPr>
      </w:pPr>
    </w:p>
    <w:p>
      <w:pPr>
        <w:spacing w:before="2"/>
        <w:ind w:left="104" w:right="158" w:firstLine="0"/>
        <w:jc w:val="center"/>
        <w:rPr>
          <w:b/>
          <w:sz w:val="32"/>
        </w:rPr>
      </w:pPr>
      <w:r>
        <w:rPr>
          <w:b/>
          <w:w w:val="95"/>
          <w:sz w:val="32"/>
        </w:rPr>
        <w:t>安邦长青树重大疾病保险条款 </w:t>
      </w:r>
    </w:p>
    <w:p>
      <w:pPr>
        <w:pStyle w:val="BodyText"/>
        <w:spacing w:before="162"/>
        <w:ind w:left="931"/>
      </w:pPr>
      <w:r>
        <w:rPr/>
        <w:t> </w:t>
      </w:r>
    </w:p>
    <w:p>
      <w:pPr>
        <w:pStyle w:val="Heading1"/>
        <w:tabs>
          <w:tab w:pos="813" w:val="left" w:leader="none"/>
        </w:tabs>
        <w:ind w:left="104"/>
        <w:jc w:val="center"/>
      </w:pPr>
      <w:r>
        <w:rPr/>
        <w:pict>
          <v:group style="position:absolute;margin-left:56.700001pt;margin-top:30.840027pt;width:489.1pt;height:1pt;mso-position-horizontal-relative:page;mso-position-vertical-relative:paragraph;z-index:1096;mso-wrap-distance-left:0;mso-wrap-distance-right:0" coordorigin="1134,617" coordsize="9782,20">
            <v:line style="position:absolute" from="1134,626" to="3653,626" stroked="true" strokeweight=".96002pt" strokecolor="#000000">
              <v:stroke dashstyle="solid"/>
            </v:line>
            <v:line style="position:absolute" from="3653,626" to="10915,626" stroked="true" strokeweight=".96pt" strokecolor="#000000">
              <v:stroke dashstyle="solid"/>
            </v:line>
            <w10:wrap type="topAndBottom"/>
          </v:group>
        </w:pict>
      </w:r>
      <w:r>
        <w:rPr>
          <w:rFonts w:ascii="Arial" w:hAnsi="Arial" w:eastAsia="Arial"/>
          <w:position w:val="-3"/>
          <w:sz w:val="40"/>
        </w:rPr>
        <w:t></w:t>
        <w:tab/>
      </w:r>
      <w:r>
        <w:rPr>
          <w:w w:val="95"/>
        </w:rPr>
        <w:t>您与本公司的合同              </w:t>
      </w:r>
      <w:r>
        <w:rPr>
          <w:spacing w:val="0"/>
          <w:w w:val="95"/>
        </w:rPr>
        <w:t> </w:t>
      </w:r>
      <w:r>
        <w:rPr>
          <w:w w:val="99"/>
        </w:rPr>
        <w:t>              </w:t>
      </w:r>
      <w:r>
        <w:rPr>
          <w:spacing w:val="0"/>
          <w:w w:val="99"/>
        </w:rPr>
        <w:t> </w:t>
      </w:r>
      <w:r>
        <w:rPr>
          <w:w w:val="99"/>
        </w:rPr>
        <w:t>            </w:t>
      </w:r>
      <w:r>
        <w:rPr>
          <w:spacing w:val="0"/>
          <w:w w:val="99"/>
        </w:rPr>
        <w:t> </w:t>
      </w:r>
      <w:r>
        <w:rPr>
          <w:w w:val="99"/>
        </w:rPr>
        <w:t>           </w:t>
      </w:r>
      <w:r>
        <w:rPr>
          <w:spacing w:val="0"/>
          <w:w w:val="99"/>
        </w:rPr>
        <w:t> </w:t>
      </w:r>
      <w:r>
        <w:rPr>
          <w:w w:val="99"/>
        </w:rPr>
        <w:t>    </w:t>
      </w:r>
    </w:p>
    <w:p>
      <w:pPr>
        <w:pStyle w:val="BodyText"/>
        <w:spacing w:before="8"/>
        <w:rPr>
          <w:b/>
          <w:sz w:val="11"/>
        </w:rPr>
      </w:pPr>
    </w:p>
    <w:p>
      <w:pPr>
        <w:pStyle w:val="ListParagraph"/>
        <w:numPr>
          <w:ilvl w:val="1"/>
          <w:numId w:val="7"/>
        </w:numPr>
        <w:tabs>
          <w:tab w:pos="541" w:val="left" w:leader="none"/>
        </w:tabs>
        <w:spacing w:line="314" w:lineRule="auto" w:before="35" w:after="0"/>
        <w:ind w:left="2721" w:right="296" w:hanging="2499"/>
        <w:jc w:val="both"/>
        <w:rPr>
          <w:sz w:val="21"/>
        </w:rPr>
      </w:pPr>
      <w:r>
        <w:rPr>
          <w:b/>
          <w:w w:val="99"/>
          <w:sz w:val="21"/>
        </w:rPr>
        <w:t>合同构成</w:t>
      </w:r>
      <w:r>
        <w:rPr>
          <w:b/>
          <w:w w:val="99"/>
          <w:sz w:val="21"/>
        </w:rPr>
        <w:t> </w:t>
      </w:r>
      <w:r>
        <w:rPr>
          <w:b/>
          <w:spacing w:val="-1"/>
          <w:sz w:val="21"/>
        </w:rPr>
        <w:t>        </w:t>
      </w:r>
      <w:r>
        <w:rPr>
          <w:sz w:val="21"/>
        </w:rPr>
        <w:t>安邦长青树重大疾病保险合同（</w:t>
      </w:r>
      <w:r>
        <w:rPr>
          <w:spacing w:val="-10"/>
          <w:sz w:val="21"/>
        </w:rPr>
        <w:t>以下简称“本主险合同”</w:t>
      </w:r>
      <w:r>
        <w:rPr>
          <w:spacing w:val="-2"/>
          <w:sz w:val="21"/>
        </w:rPr>
        <w:t>）由以下几个部分构成：</w:t>
      </w:r>
      <w:r>
        <w:rPr>
          <w:spacing w:val="-6"/>
          <w:sz w:val="21"/>
        </w:rPr>
        <w:t>本保险条款、保险单或其他保险凭证、投保单</w:t>
      </w:r>
      <w:r>
        <w:rPr>
          <w:sz w:val="21"/>
        </w:rPr>
        <w:t>（经本公司核实的复印件或电子影像印刷件与正本具有同等效力</w:t>
      </w:r>
      <w:r>
        <w:rPr>
          <w:spacing w:val="-105"/>
          <w:sz w:val="21"/>
        </w:rPr>
        <w:t>）</w:t>
      </w:r>
      <w:r>
        <w:rPr>
          <w:sz w:val="21"/>
        </w:rPr>
        <w:t>、合法有效的声明、批注、批单及您与本公司共同认可的与本主险合同有关的其他书面文件。 </w:t>
      </w:r>
    </w:p>
    <w:p>
      <w:pPr>
        <w:pStyle w:val="Heading5"/>
        <w:tabs>
          <w:tab w:pos="931" w:val="left" w:leader="none"/>
          <w:tab w:pos="2721" w:val="left" w:leader="none"/>
        </w:tabs>
        <w:spacing w:line="269" w:lineRule="exact" w:before="18"/>
        <w:ind w:left="222"/>
        <w:rPr>
          <w:b w:val="0"/>
        </w:rPr>
      </w:pPr>
      <w:r>
        <w:rPr>
          <w:w w:val="99"/>
        </w:rPr>
        <w:t> </w:t>
      </w:r>
      <w:r>
        <w:rPr/>
        <w:tab/>
      </w:r>
      <w:r>
        <w:rPr>
          <w:w w:val="99"/>
        </w:rPr>
        <w:t> </w:t>
      </w:r>
      <w:r>
        <w:rPr/>
        <w:tab/>
      </w:r>
      <w:r>
        <w:rPr>
          <w:b w:val="0"/>
        </w:rPr>
        <w:t> </w:t>
      </w:r>
    </w:p>
    <w:p>
      <w:pPr>
        <w:pStyle w:val="ListParagraph"/>
        <w:numPr>
          <w:ilvl w:val="1"/>
          <w:numId w:val="7"/>
        </w:numPr>
        <w:tabs>
          <w:tab w:pos="541" w:val="left" w:leader="none"/>
        </w:tabs>
        <w:spacing w:line="292" w:lineRule="auto" w:before="0" w:after="0"/>
        <w:ind w:left="2721" w:right="296" w:hanging="2499"/>
        <w:jc w:val="both"/>
        <w:rPr>
          <w:sz w:val="21"/>
        </w:rPr>
      </w:pPr>
      <w:r>
        <w:rPr>
          <w:b/>
          <w:w w:val="99"/>
          <w:sz w:val="21"/>
        </w:rPr>
        <w:t>投保范围</w:t>
      </w:r>
      <w:r>
        <w:rPr>
          <w:b/>
          <w:w w:val="99"/>
          <w:sz w:val="21"/>
        </w:rPr>
        <w:t> </w:t>
      </w:r>
      <w:r>
        <w:rPr>
          <w:b/>
          <w:spacing w:val="-1"/>
          <w:sz w:val="21"/>
        </w:rPr>
        <w:t>        </w:t>
      </w:r>
      <w:r>
        <w:rPr>
          <w:spacing w:val="-14"/>
          <w:position w:val="1"/>
          <w:sz w:val="21"/>
        </w:rPr>
        <w:t>凡年满 </w:t>
      </w:r>
      <w:r>
        <w:rPr>
          <w:spacing w:val="-1"/>
          <w:position w:val="1"/>
          <w:sz w:val="21"/>
        </w:rPr>
        <w:t>1</w:t>
      </w:r>
      <w:r>
        <w:rPr>
          <w:position w:val="1"/>
          <w:sz w:val="21"/>
        </w:rPr>
        <w:t>8</w:t>
      </w:r>
      <w:r>
        <w:rPr>
          <w:spacing w:val="-52"/>
          <w:position w:val="1"/>
          <w:sz w:val="21"/>
        </w:rPr>
        <w:t> </w:t>
      </w:r>
      <w:r>
        <w:rPr>
          <w:b/>
          <w:spacing w:val="-6"/>
          <w:w w:val="99"/>
          <w:position w:val="1"/>
          <w:sz w:val="21"/>
        </w:rPr>
        <w:t>周岁</w:t>
      </w:r>
      <w:r>
        <w:rPr>
          <w:spacing w:val="-1"/>
          <w:position w:val="1"/>
          <w:sz w:val="21"/>
        </w:rPr>
        <w:t>（</w:t>
      </w:r>
      <w:r>
        <w:rPr>
          <w:spacing w:val="-14"/>
          <w:position w:val="1"/>
          <w:sz w:val="21"/>
        </w:rPr>
        <w:t>见释义 </w:t>
      </w:r>
      <w:r>
        <w:rPr>
          <w:spacing w:val="-1"/>
          <w:position w:val="1"/>
          <w:sz w:val="21"/>
        </w:rPr>
        <w:t>6.1</w:t>
      </w:r>
      <w:r>
        <w:rPr>
          <w:spacing w:val="-105"/>
          <w:position w:val="1"/>
          <w:sz w:val="21"/>
        </w:rPr>
        <w:t>）</w:t>
      </w:r>
      <w:r>
        <w:rPr>
          <w:spacing w:val="-4"/>
          <w:position w:val="1"/>
          <w:sz w:val="21"/>
        </w:rPr>
        <w:t>，具有完全民事行为能力且在本主险合同订立时</w:t>
      </w:r>
      <w:r>
        <w:rPr>
          <w:sz w:val="21"/>
        </w:rPr>
        <w:t>对被保险人具有保险利益的人，均可以作为投保人。 </w:t>
      </w:r>
    </w:p>
    <w:p>
      <w:pPr>
        <w:pStyle w:val="BodyText"/>
        <w:spacing w:before="37"/>
        <w:ind w:left="2721"/>
      </w:pPr>
      <w:r>
        <w:rPr/>
        <w:t>凡出生满 28 日至 60 周岁，符合本公司承保条件的人，均可作为被保险人。 </w:t>
      </w:r>
    </w:p>
    <w:p>
      <w:pPr>
        <w:pStyle w:val="Heading5"/>
        <w:tabs>
          <w:tab w:pos="931" w:val="left" w:leader="none"/>
          <w:tab w:pos="2721" w:val="left" w:leader="none"/>
        </w:tabs>
        <w:spacing w:before="83"/>
        <w:ind w:left="222"/>
        <w:rPr>
          <w:b w:val="0"/>
        </w:rPr>
      </w:pPr>
      <w:r>
        <w:rPr>
          <w:w w:val="99"/>
        </w:rPr>
        <w:t> </w:t>
      </w:r>
      <w:r>
        <w:rPr/>
        <w:tab/>
      </w:r>
      <w:r>
        <w:rPr>
          <w:w w:val="99"/>
        </w:rPr>
        <w:t> </w:t>
      </w:r>
      <w:r>
        <w:rPr/>
        <w:tab/>
      </w:r>
      <w:r>
        <w:rPr>
          <w:b w:val="0"/>
        </w:rPr>
        <w:t> </w:t>
      </w:r>
    </w:p>
    <w:p>
      <w:pPr>
        <w:spacing w:after="0"/>
        <w:sectPr>
          <w:footerReference w:type="default" r:id="rId8"/>
          <w:pgSz w:w="11910" w:h="16840"/>
          <w:pgMar w:footer="998" w:header="501" w:top="700" w:bottom="1180" w:left="1020" w:right="800"/>
          <w:pgNumType w:start="1"/>
        </w:sectPr>
      </w:pPr>
    </w:p>
    <w:p>
      <w:pPr>
        <w:pStyle w:val="ListParagraph"/>
        <w:numPr>
          <w:ilvl w:val="1"/>
          <w:numId w:val="7"/>
        </w:numPr>
        <w:tabs>
          <w:tab w:pos="541" w:val="left" w:leader="none"/>
        </w:tabs>
        <w:spacing w:line="272" w:lineRule="exact" w:before="0" w:after="0"/>
        <w:ind w:left="540" w:right="0" w:hanging="318"/>
        <w:jc w:val="left"/>
        <w:rPr>
          <w:b/>
          <w:sz w:val="21"/>
        </w:rPr>
      </w:pPr>
      <w:r>
        <w:rPr>
          <w:b/>
          <w:w w:val="95"/>
          <w:sz w:val="21"/>
        </w:rPr>
        <w:t>合同成立与生效</w:t>
      </w:r>
    </w:p>
    <w:p>
      <w:pPr>
        <w:spacing w:before="84"/>
        <w:ind w:left="931" w:right="0" w:firstLine="0"/>
        <w:jc w:val="left"/>
        <w:rPr>
          <w:b/>
          <w:sz w:val="21"/>
        </w:rPr>
      </w:pPr>
      <w:r>
        <w:rPr>
          <w:b/>
          <w:w w:val="95"/>
          <w:sz w:val="21"/>
        </w:rPr>
        <w:t>和保险责任开始  </w:t>
      </w:r>
    </w:p>
    <w:p>
      <w:pPr>
        <w:pStyle w:val="BodyText"/>
        <w:spacing w:line="314" w:lineRule="auto"/>
        <w:ind w:left="64" w:right="296"/>
        <w:jc w:val="both"/>
      </w:pPr>
      <w:r>
        <w:rPr/>
        <w:br w:type="column"/>
      </w:r>
      <w:r>
        <w:rPr>
          <w:spacing w:val="-7"/>
        </w:rPr>
        <w:t>您提出保险申请、本公司同意承保，本主险合同成立，合同成立日期在保险单上载明。 </w:t>
      </w:r>
    </w:p>
    <w:p>
      <w:pPr>
        <w:pStyle w:val="BodyText"/>
        <w:spacing w:line="314" w:lineRule="auto" w:before="22"/>
        <w:ind w:left="64" w:right="295"/>
        <w:jc w:val="both"/>
      </w:pPr>
      <w:r>
        <w:rPr>
          <w:spacing w:val="-9"/>
        </w:rPr>
        <w:t>自本主险合同成立、本公司收取保险费并签发保险单的次日零时起本主险合同</w:t>
      </w:r>
      <w:r>
        <w:rPr>
          <w:spacing w:val="-10"/>
        </w:rPr>
        <w:t>生效，合同生效日期在保险单上载明。保险合同生效日以后每年的对应日是保</w:t>
      </w:r>
      <w:r>
        <w:rPr>
          <w:spacing w:val="-12"/>
        </w:rPr>
        <w:t>单周年日。保单年度以该日期计算。如果当月无对应的同一日，则以该月最后一日作为对应日。 </w:t>
      </w:r>
    </w:p>
    <w:p>
      <w:pPr>
        <w:pStyle w:val="BodyText"/>
        <w:spacing w:before="19"/>
        <w:ind w:left="64"/>
        <w:jc w:val="both"/>
      </w:pPr>
      <w:r>
        <w:rPr/>
        <w:t>除另有约定外，本主险合同生效的日期为本公司开始承担保险责任的日期。 </w:t>
      </w:r>
    </w:p>
    <w:p>
      <w:pPr>
        <w:spacing w:after="0"/>
        <w:jc w:val="both"/>
        <w:sectPr>
          <w:type w:val="continuous"/>
          <w:pgSz w:w="11910" w:h="16840"/>
          <w:pgMar w:top="700" w:bottom="280" w:left="1020" w:right="800"/>
          <w:cols w:num="2" w:equalWidth="0">
            <w:col w:w="2617" w:space="40"/>
            <w:col w:w="7433"/>
          </w:cols>
        </w:sectPr>
      </w:pPr>
    </w:p>
    <w:p>
      <w:pPr>
        <w:pStyle w:val="Heading5"/>
        <w:tabs>
          <w:tab w:pos="931" w:val="left" w:leader="none"/>
          <w:tab w:pos="2721" w:val="left" w:leader="none"/>
        </w:tabs>
        <w:spacing w:line="273" w:lineRule="exact" w:before="84"/>
        <w:ind w:left="221"/>
        <w:rPr>
          <w:b w:val="0"/>
        </w:rPr>
      </w:pPr>
      <w:r>
        <w:rPr>
          <w:w w:val="99"/>
        </w:rPr>
        <w:t> </w:t>
      </w:r>
      <w:r>
        <w:rPr/>
        <w:tab/>
      </w:r>
      <w:r>
        <w:rPr>
          <w:w w:val="99"/>
        </w:rPr>
        <w:t> </w:t>
      </w:r>
      <w:r>
        <w:rPr/>
        <w:tab/>
      </w:r>
      <w:r>
        <w:rPr>
          <w:b w:val="0"/>
        </w:rPr>
        <w:t> </w:t>
      </w:r>
    </w:p>
    <w:p>
      <w:pPr>
        <w:pStyle w:val="ListParagraph"/>
        <w:numPr>
          <w:ilvl w:val="1"/>
          <w:numId w:val="7"/>
        </w:numPr>
        <w:tabs>
          <w:tab w:pos="541" w:val="left" w:leader="none"/>
          <w:tab w:pos="931" w:val="left" w:leader="none"/>
        </w:tabs>
        <w:spacing w:line="314" w:lineRule="auto" w:before="0" w:after="0"/>
        <w:ind w:left="2721" w:right="190" w:hanging="2500"/>
        <w:jc w:val="left"/>
        <w:rPr>
          <w:sz w:val="21"/>
        </w:rPr>
      </w:pPr>
      <w:r>
        <w:rPr>
          <w:b/>
          <w:spacing w:val="6"/>
          <w:sz w:val="21"/>
        </w:rPr>
        <w:t>犹豫期         </w:t>
      </w:r>
      <w:r>
        <w:rPr>
          <w:spacing w:val="-4"/>
          <w:sz w:val="21"/>
        </w:rPr>
        <w:t>为了使您充分了解本主险合同的保障范围，确定选择了合适的保险金额、交费期限</w:t>
      </w:r>
      <w:r>
        <w:rPr>
          <w:spacing w:val="-12"/>
          <w:sz w:val="21"/>
        </w:rPr>
        <w:t>和交费金额，自您签收本主险合同次日零时起，有 </w:t>
      </w:r>
      <w:r>
        <w:rPr>
          <w:sz w:val="21"/>
        </w:rPr>
        <w:t>20</w:t>
      </w:r>
      <w:r>
        <w:rPr>
          <w:spacing w:val="-8"/>
          <w:sz w:val="21"/>
        </w:rPr>
        <w:t> 个自然日的犹豫期。如果您在此期间提出解除本主险合同（即</w:t>
      </w:r>
      <w:r>
        <w:rPr>
          <w:b/>
          <w:spacing w:val="0"/>
          <w:w w:val="99"/>
          <w:sz w:val="21"/>
        </w:rPr>
        <w:t>退保</w:t>
      </w:r>
      <w:r>
        <w:rPr>
          <w:spacing w:val="-106"/>
          <w:sz w:val="21"/>
        </w:rPr>
        <w:t>）</w:t>
      </w:r>
      <w:r>
        <w:rPr>
          <w:sz w:val="21"/>
        </w:rPr>
        <w:t>，需要填写书面申请书，并提供您的保险合同及</w:t>
      </w:r>
      <w:r>
        <w:rPr>
          <w:b/>
          <w:w w:val="99"/>
          <w:sz w:val="21"/>
        </w:rPr>
        <w:t>有效身份证件</w:t>
      </w:r>
      <w:r>
        <w:rPr>
          <w:spacing w:val="-2"/>
          <w:sz w:val="21"/>
        </w:rPr>
        <w:t>（</w:t>
      </w:r>
      <w:r>
        <w:rPr>
          <w:spacing w:val="-14"/>
          <w:sz w:val="21"/>
        </w:rPr>
        <w:t>见释义 </w:t>
      </w:r>
      <w:r>
        <w:rPr>
          <w:sz w:val="21"/>
        </w:rPr>
        <w:t>6</w:t>
      </w:r>
      <w:r>
        <w:rPr>
          <w:spacing w:val="-1"/>
          <w:sz w:val="21"/>
        </w:rPr>
        <w:t>.</w:t>
      </w:r>
      <w:r>
        <w:rPr>
          <w:sz w:val="21"/>
        </w:rPr>
        <w:t>2</w:t>
      </w:r>
      <w:r>
        <w:rPr>
          <w:spacing w:val="-106"/>
          <w:sz w:val="21"/>
        </w:rPr>
        <w:t>）</w:t>
      </w:r>
      <w:r>
        <w:rPr>
          <w:spacing w:val="-4"/>
          <w:sz w:val="21"/>
        </w:rPr>
        <w:t>，本公司会在扣除不超过人民币 </w:t>
      </w:r>
      <w:r>
        <w:rPr>
          <w:spacing w:val="-1"/>
          <w:sz w:val="21"/>
        </w:rPr>
        <w:t>1</w:t>
      </w:r>
      <w:r>
        <w:rPr>
          <w:sz w:val="21"/>
        </w:rPr>
        <w:t>0</w:t>
      </w:r>
      <w:r>
        <w:rPr>
          <w:spacing w:val="-52"/>
          <w:sz w:val="21"/>
        </w:rPr>
        <w:t> </w:t>
      </w:r>
      <w:r>
        <w:rPr>
          <w:sz w:val="21"/>
        </w:rPr>
        <w:t>元的保单工本费后无息退还您所交的保险费。自本公司收到您解除本主险合同</w:t>
      </w:r>
      <w:r>
        <w:rPr>
          <w:spacing w:val="-7"/>
          <w:sz w:val="21"/>
        </w:rPr>
        <w:t>的书面申请时起，本主险合同即被解除。</w:t>
      </w:r>
      <w:r>
        <w:rPr>
          <w:rFonts w:ascii="黑体" w:eastAsia="黑体" w:hint="eastAsia"/>
          <w:sz w:val="21"/>
        </w:rPr>
        <w:t>对本主险合同解除前发Th的保险事故本公司不承担保险责任。</w:t>
      </w:r>
      <w:r>
        <w:rPr>
          <w:sz w:val="21"/>
        </w:rPr>
        <w:t> </w:t>
      </w:r>
    </w:p>
    <w:p>
      <w:pPr>
        <w:pStyle w:val="Heading5"/>
        <w:tabs>
          <w:tab w:pos="931" w:val="left" w:leader="none"/>
          <w:tab w:pos="2721" w:val="left" w:leader="none"/>
        </w:tabs>
        <w:spacing w:line="274" w:lineRule="exact" w:before="20"/>
        <w:ind w:left="221"/>
        <w:rPr>
          <w:b w:val="0"/>
        </w:rPr>
      </w:pPr>
      <w:r>
        <w:rPr>
          <w:w w:val="99"/>
        </w:rPr>
        <w:t> </w:t>
      </w:r>
      <w:r>
        <w:rPr/>
        <w:tab/>
      </w:r>
      <w:r>
        <w:rPr>
          <w:w w:val="99"/>
        </w:rPr>
        <w:t> </w:t>
      </w:r>
      <w:r>
        <w:rPr/>
        <w:tab/>
      </w:r>
      <w:r>
        <w:rPr>
          <w:b w:val="0"/>
        </w:rPr>
        <w:t> </w:t>
      </w:r>
    </w:p>
    <w:p>
      <w:pPr>
        <w:pStyle w:val="ListParagraph"/>
        <w:numPr>
          <w:ilvl w:val="1"/>
          <w:numId w:val="7"/>
        </w:numPr>
        <w:tabs>
          <w:tab w:pos="541" w:val="left" w:leader="none"/>
          <w:tab w:pos="931" w:val="left" w:leader="none"/>
        </w:tabs>
        <w:spacing w:line="314" w:lineRule="auto" w:before="0" w:after="0"/>
        <w:ind w:left="2721" w:right="220" w:hanging="2500"/>
        <w:jc w:val="left"/>
        <w:rPr>
          <w:sz w:val="21"/>
        </w:rPr>
      </w:pPr>
      <w:r>
        <w:rPr>
          <w:b/>
          <w:spacing w:val="10"/>
          <w:sz w:val="21"/>
        </w:rPr>
        <w:t>合同内容变更   </w:t>
      </w:r>
      <w:r>
        <w:rPr>
          <w:spacing w:val="-6"/>
          <w:sz w:val="21"/>
        </w:rPr>
        <w:t>在本主险合同有效期内，您与本公司可以协商变更本主险合同内容。变更本主险合同内容的，应当由本公司在保险单或其他保险凭证上批注或者附贴批单，或者由您和本公司订立变更的书面协议。 </w:t>
      </w:r>
    </w:p>
    <w:p>
      <w:pPr>
        <w:pStyle w:val="BodyText"/>
        <w:spacing w:line="314" w:lineRule="auto" w:before="21"/>
        <w:ind w:left="2721" w:right="295"/>
        <w:jc w:val="both"/>
      </w:pPr>
      <w:r>
        <w:rPr>
          <w:spacing w:val="-6"/>
        </w:rPr>
        <w:t>为了保障您的合法权益，在本主险合同有效期内，若您提供给本公司的住所或</w:t>
      </w:r>
      <w:r>
        <w:rPr>
          <w:spacing w:val="-11"/>
        </w:rPr>
        <w:t>其他投保信息发生了变更，请及时以书面形式通知本公司，以便于本公司及时为您变更本主险合同上的相关信息。 </w:t>
      </w:r>
    </w:p>
    <w:p>
      <w:pPr>
        <w:pStyle w:val="Heading5"/>
        <w:spacing w:line="314" w:lineRule="auto" w:before="19"/>
        <w:ind w:left="2721" w:right="296"/>
        <w:jc w:val="both"/>
      </w:pPr>
      <w:r>
        <w:rPr>
          <w:spacing w:val="-5"/>
        </w:rPr>
        <w:t>如因您的住所或通讯地址变更后未及时通知本公司，则本公司按本主险合同载</w:t>
      </w:r>
      <w:r>
        <w:rPr>
          <w:spacing w:val="-10"/>
        </w:rPr>
        <w:t>明的最后住所或通讯地址发送的有关通知，均视为已送达给您，由此产生的法</w:t>
      </w:r>
      <w:r>
        <w:rPr>
          <w:spacing w:val="-10"/>
          <w:w w:val="95"/>
        </w:rPr>
        <w:t>律后果由您个人独立承担。 </w:t>
      </w:r>
    </w:p>
    <w:p>
      <w:pPr>
        <w:tabs>
          <w:tab w:pos="931" w:val="left" w:leader="none"/>
          <w:tab w:pos="2721" w:val="left" w:leader="none"/>
        </w:tabs>
        <w:spacing w:line="248" w:lineRule="exact" w:before="0"/>
        <w:ind w:left="221" w:right="0" w:firstLine="0"/>
        <w:jc w:val="left"/>
        <w:rPr>
          <w:sz w:val="21"/>
        </w:rPr>
      </w:pPr>
      <w:r>
        <w:rPr>
          <w:b/>
          <w:w w:val="99"/>
          <w:sz w:val="21"/>
        </w:rPr>
        <w:t> </w:t>
      </w:r>
      <w:r>
        <w:rPr>
          <w:b/>
          <w:sz w:val="21"/>
        </w:rPr>
        <w:tab/>
      </w:r>
      <w:r>
        <w:rPr>
          <w:b/>
          <w:w w:val="99"/>
          <w:sz w:val="21"/>
        </w:rPr>
        <w:t> </w:t>
      </w:r>
      <w:r>
        <w:rPr>
          <w:b/>
          <w:sz w:val="21"/>
        </w:rPr>
        <w:tab/>
      </w:r>
      <w:r>
        <w:rPr>
          <w:sz w:val="21"/>
        </w:rPr>
        <w:t> </w:t>
      </w:r>
    </w:p>
    <w:p>
      <w:pPr>
        <w:spacing w:after="0" w:line="248" w:lineRule="exact"/>
        <w:jc w:val="left"/>
        <w:rPr>
          <w:sz w:val="21"/>
        </w:rPr>
        <w:sectPr>
          <w:type w:val="continuous"/>
          <w:pgSz w:w="11910" w:h="16840"/>
          <w:pgMar w:top="700" w:bottom="280" w:left="1020" w:right="800"/>
        </w:sectPr>
      </w:pPr>
    </w:p>
    <w:p>
      <w:pPr>
        <w:pStyle w:val="BodyText"/>
        <w:rPr>
          <w:sz w:val="20"/>
        </w:rPr>
      </w:pPr>
    </w:p>
    <w:p>
      <w:pPr>
        <w:pStyle w:val="BodyText"/>
        <w:rPr>
          <w:sz w:val="20"/>
        </w:rPr>
      </w:pPr>
    </w:p>
    <w:p>
      <w:pPr>
        <w:spacing w:after="0"/>
        <w:rPr>
          <w:sz w:val="20"/>
        </w:rPr>
        <w:sectPr>
          <w:pgSz w:w="11910" w:h="16840"/>
          <w:pgMar w:header="501" w:footer="998" w:top="700" w:bottom="1180" w:left="1020" w:right="800"/>
        </w:sectPr>
      </w:pPr>
    </w:p>
    <w:p>
      <w:pPr>
        <w:pStyle w:val="BodyText"/>
        <w:spacing w:before="6"/>
        <w:rPr>
          <w:sz w:val="15"/>
        </w:rPr>
      </w:pPr>
    </w:p>
    <w:p>
      <w:pPr>
        <w:pStyle w:val="ListParagraph"/>
        <w:numPr>
          <w:ilvl w:val="1"/>
          <w:numId w:val="7"/>
        </w:numPr>
        <w:tabs>
          <w:tab w:pos="541" w:val="left" w:leader="none"/>
          <w:tab w:pos="931" w:val="left" w:leader="none"/>
        </w:tabs>
        <w:spacing w:line="240" w:lineRule="auto" w:before="0" w:after="0"/>
        <w:ind w:left="540" w:right="0" w:hanging="318"/>
        <w:jc w:val="left"/>
        <w:rPr>
          <w:b/>
          <w:sz w:val="21"/>
        </w:rPr>
      </w:pPr>
      <w:r>
        <w:rPr>
          <w:b/>
          <w:w w:val="95"/>
          <w:sz w:val="21"/>
        </w:rPr>
        <w:t>解除合同的手续</w:t>
      </w:r>
    </w:p>
    <w:p>
      <w:pPr>
        <w:spacing w:before="83"/>
        <w:ind w:left="931" w:right="0" w:firstLine="0"/>
        <w:jc w:val="left"/>
        <w:rPr>
          <w:b/>
          <w:sz w:val="21"/>
        </w:rPr>
      </w:pPr>
      <w:r>
        <w:rPr>
          <w:b/>
          <w:w w:val="95"/>
          <w:sz w:val="21"/>
        </w:rPr>
        <w:t>及风险     </w:t>
      </w:r>
      <w:r>
        <w:rPr>
          <w:b/>
          <w:w w:val="99"/>
          <w:sz w:val="21"/>
        </w:rPr>
        <w:t>     </w:t>
      </w:r>
    </w:p>
    <w:p>
      <w:pPr>
        <w:pStyle w:val="BodyText"/>
        <w:spacing w:before="6"/>
        <w:rPr>
          <w:b/>
          <w:sz w:val="15"/>
        </w:rPr>
      </w:pPr>
      <w:r>
        <w:rPr/>
        <w:br w:type="column"/>
      </w:r>
      <w:r>
        <w:rPr>
          <w:b/>
          <w:sz w:val="15"/>
        </w:rPr>
      </w:r>
    </w:p>
    <w:p>
      <w:pPr>
        <w:pStyle w:val="BodyText"/>
        <w:spacing w:line="314" w:lineRule="auto"/>
        <w:ind w:left="63" w:right="222"/>
      </w:pPr>
      <w:r>
        <w:rPr/>
        <w:t>如您在犹豫期后申请解除本主险合同，请填写解除合同申请书并向本公司提供下列资料： </w:t>
      </w:r>
    </w:p>
    <w:p>
      <w:pPr>
        <w:pStyle w:val="BodyText"/>
        <w:spacing w:before="18"/>
        <w:ind w:left="63"/>
      </w:pPr>
      <w:r>
        <w:rPr/>
        <w:t>（1） 保险合同； </w:t>
      </w:r>
    </w:p>
    <w:p>
      <w:pPr>
        <w:pStyle w:val="BodyText"/>
        <w:spacing w:before="83"/>
        <w:ind w:left="63"/>
      </w:pPr>
      <w:r>
        <w:rPr/>
        <w:t>（2） 您的有效身份证件。 </w:t>
      </w:r>
    </w:p>
    <w:p>
      <w:pPr>
        <w:pStyle w:val="BodyText"/>
        <w:spacing w:line="314" w:lineRule="auto" w:before="83"/>
        <w:ind w:left="63" w:right="295"/>
      </w:pPr>
      <w:r>
        <w:rPr>
          <w:spacing w:val="-5"/>
        </w:rPr>
        <w:t>自本公司收到解除合同申请书时起，本主险合同终止。本公司自收到解除合同</w:t>
      </w:r>
      <w:r>
        <w:rPr>
          <w:spacing w:val="-9"/>
        </w:rPr>
        <w:t>申请书之日起 </w:t>
      </w:r>
      <w:r>
        <w:rPr>
          <w:spacing w:val="-1"/>
        </w:rPr>
        <w:t>3</w:t>
      </w:r>
      <w:r>
        <w:rPr/>
        <w:t>0</w:t>
      </w:r>
      <w:r>
        <w:rPr>
          <w:spacing w:val="-9"/>
        </w:rPr>
        <w:t> 日内向您退还本主险合同的</w:t>
      </w:r>
      <w:r>
        <w:rPr>
          <w:b/>
          <w:spacing w:val="0"/>
          <w:w w:val="99"/>
        </w:rPr>
        <w:t>现金价值</w:t>
      </w:r>
      <w:r>
        <w:rPr/>
        <w:t>（</w:t>
      </w:r>
      <w:r>
        <w:rPr>
          <w:spacing w:val="-14"/>
        </w:rPr>
        <w:t>见释义 </w:t>
      </w:r>
      <w:r>
        <w:rPr/>
        <w:t>6.3</w:t>
      </w:r>
      <w:r>
        <w:rPr>
          <w:spacing w:val="-105"/>
        </w:rPr>
        <w:t>）</w:t>
      </w:r>
      <w:r>
        <w:rPr>
          <w:spacing w:val="-2"/>
        </w:rPr>
        <w:t>。 </w:t>
      </w:r>
    </w:p>
    <w:p>
      <w:pPr>
        <w:pStyle w:val="BodyText"/>
        <w:spacing w:line="314" w:lineRule="auto" w:before="18"/>
        <w:ind w:left="63" w:right="221"/>
      </w:pPr>
      <w:r>
        <w:rPr>
          <w:rFonts w:ascii="黑体" w:eastAsia="黑体" w:hint="eastAsia"/>
        </w:rPr>
        <w:t>您在犹豫期后解除合同会遭受一定损失，合同解除后，本公司不承担任何保险责任 。</w:t>
      </w:r>
      <w:r>
        <w:rPr/>
        <w:t> </w:t>
      </w:r>
    </w:p>
    <w:p>
      <w:pPr>
        <w:spacing w:after="0" w:line="314" w:lineRule="auto"/>
        <w:sectPr>
          <w:type w:val="continuous"/>
          <w:pgSz w:w="11910" w:h="16840"/>
          <w:pgMar w:top="700" w:bottom="280" w:left="1020" w:right="800"/>
          <w:cols w:num="2" w:equalWidth="0">
            <w:col w:w="2619" w:space="40"/>
            <w:col w:w="7431"/>
          </w:cols>
        </w:sectPr>
      </w:pPr>
    </w:p>
    <w:p>
      <w:pPr>
        <w:pStyle w:val="Heading5"/>
        <w:tabs>
          <w:tab w:pos="931" w:val="left" w:leader="none"/>
          <w:tab w:pos="2721" w:val="left" w:leader="none"/>
        </w:tabs>
        <w:spacing w:before="18"/>
        <w:ind w:left="221"/>
        <w:rPr>
          <w:b w:val="0"/>
        </w:rPr>
      </w:pPr>
      <w:r>
        <w:rPr>
          <w:w w:val="99"/>
        </w:rPr>
        <w:t> </w:t>
      </w:r>
      <w:r>
        <w:rPr/>
        <w:tab/>
      </w:r>
      <w:r>
        <w:rPr>
          <w:w w:val="99"/>
        </w:rPr>
        <w:t> </w:t>
      </w:r>
      <w:r>
        <w:rPr/>
        <w:tab/>
      </w:r>
      <w:r>
        <w:rPr>
          <w:b w:val="0"/>
        </w:rPr>
        <w:t> </w:t>
      </w:r>
    </w:p>
    <w:p>
      <w:pPr>
        <w:tabs>
          <w:tab w:pos="931" w:val="left" w:leader="none"/>
        </w:tabs>
        <w:spacing w:before="50"/>
        <w:ind w:left="222" w:right="0" w:firstLine="0"/>
        <w:jc w:val="left"/>
        <w:rPr>
          <w:b/>
          <w:sz w:val="24"/>
        </w:rPr>
      </w:pPr>
      <w:r>
        <w:rPr/>
        <w:pict>
          <v:group style="position:absolute;margin-left:56.700001pt;margin-top:30.540089pt;width:489.1pt;height:1pt;mso-position-horizontal-relative:page;mso-position-vertical-relative:paragraph;z-index:1120;mso-wrap-distance-left:0;mso-wrap-distance-right:0" coordorigin="1134,611" coordsize="9782,20">
            <v:line style="position:absolute" from="1134,620" to="3787,620" stroked="true" strokeweight=".95996pt" strokecolor="#000000">
              <v:stroke dashstyle="solid"/>
            </v:line>
            <v:line style="position:absolute" from="3787,620" to="10915,620" stroked="true" strokeweight=".96pt" strokecolor="#000000">
              <v:stroke dashstyle="solid"/>
            </v:line>
            <w10:wrap type="topAndBottom"/>
          </v:group>
        </w:pict>
      </w:r>
      <w:r>
        <w:rPr>
          <w:rFonts w:ascii="Arial" w:hAnsi="Arial" w:eastAsia="Arial"/>
          <w:b/>
          <w:position w:val="-3"/>
          <w:sz w:val="40"/>
        </w:rPr>
        <w:t></w:t>
        <w:tab/>
      </w:r>
      <w:r>
        <w:rPr>
          <w:b/>
          <w:w w:val="95"/>
          <w:sz w:val="24"/>
        </w:rPr>
        <w:t>本公司提供的保障              </w:t>
      </w:r>
      <w:r>
        <w:rPr>
          <w:b/>
          <w:spacing w:val="0"/>
          <w:w w:val="95"/>
          <w:sz w:val="24"/>
        </w:rPr>
        <w:t> </w:t>
      </w:r>
      <w:r>
        <w:rPr>
          <w:b/>
          <w:w w:val="99"/>
          <w:sz w:val="24"/>
        </w:rPr>
        <w:t>              </w:t>
      </w:r>
      <w:r>
        <w:rPr>
          <w:b/>
          <w:spacing w:val="0"/>
          <w:w w:val="99"/>
          <w:sz w:val="24"/>
        </w:rPr>
        <w:t> </w:t>
      </w:r>
      <w:r>
        <w:rPr>
          <w:b/>
          <w:w w:val="99"/>
          <w:sz w:val="24"/>
        </w:rPr>
        <w:t>            </w:t>
      </w:r>
      <w:r>
        <w:rPr>
          <w:b/>
          <w:spacing w:val="0"/>
          <w:w w:val="99"/>
          <w:sz w:val="24"/>
        </w:rPr>
        <w:t> </w:t>
      </w:r>
      <w:r>
        <w:rPr>
          <w:b/>
          <w:w w:val="99"/>
          <w:sz w:val="24"/>
        </w:rPr>
        <w:t>           </w:t>
      </w:r>
      <w:r>
        <w:rPr>
          <w:b/>
          <w:spacing w:val="0"/>
          <w:w w:val="99"/>
          <w:sz w:val="24"/>
        </w:rPr>
        <w:t> </w:t>
      </w:r>
      <w:r>
        <w:rPr>
          <w:b/>
          <w:w w:val="99"/>
          <w:sz w:val="24"/>
        </w:rPr>
        <w:t>    </w:t>
      </w:r>
    </w:p>
    <w:p>
      <w:pPr>
        <w:pStyle w:val="BodyText"/>
        <w:spacing w:before="8"/>
        <w:rPr>
          <w:b/>
          <w:sz w:val="11"/>
        </w:rPr>
      </w:pPr>
    </w:p>
    <w:p>
      <w:pPr>
        <w:pStyle w:val="ListParagraph"/>
        <w:numPr>
          <w:ilvl w:val="1"/>
          <w:numId w:val="8"/>
        </w:numPr>
        <w:tabs>
          <w:tab w:pos="540" w:val="left" w:leader="none"/>
          <w:tab w:pos="930" w:val="left" w:leader="none"/>
        </w:tabs>
        <w:spacing w:line="314" w:lineRule="auto" w:before="35" w:after="0"/>
        <w:ind w:left="2856" w:right="296" w:hanging="2634"/>
        <w:jc w:val="left"/>
        <w:rPr>
          <w:sz w:val="21"/>
        </w:rPr>
      </w:pPr>
      <w:r>
        <w:rPr>
          <w:b/>
          <w:spacing w:val="0"/>
          <w:sz w:val="21"/>
        </w:rPr>
        <w:t>保险金额          </w:t>
      </w:r>
      <w:r>
        <w:rPr>
          <w:sz w:val="21"/>
        </w:rPr>
        <w:t>保险金额是本公司承担给付保险金责任的最高限额。本公司将按照本主险合同关于保险责任的约定，确定实际给付的保险金额。 </w:t>
      </w:r>
    </w:p>
    <w:p>
      <w:pPr>
        <w:pStyle w:val="Heading5"/>
        <w:tabs>
          <w:tab w:pos="931" w:val="left" w:leader="none"/>
          <w:tab w:pos="2855" w:val="left" w:leader="none"/>
        </w:tabs>
        <w:spacing w:line="274" w:lineRule="exact" w:before="18"/>
        <w:ind w:left="221"/>
        <w:rPr>
          <w:b w:val="0"/>
        </w:rPr>
      </w:pPr>
      <w:r>
        <w:rPr>
          <w:w w:val="99"/>
        </w:rPr>
        <w:t> </w:t>
      </w:r>
      <w:r>
        <w:rPr/>
        <w:tab/>
      </w:r>
      <w:r>
        <w:rPr>
          <w:w w:val="99"/>
        </w:rPr>
        <w:t> </w:t>
      </w:r>
      <w:r>
        <w:rPr/>
        <w:tab/>
      </w:r>
      <w:r>
        <w:rPr>
          <w:b w:val="0"/>
        </w:rPr>
        <w:t> </w:t>
      </w:r>
    </w:p>
    <w:p>
      <w:pPr>
        <w:pStyle w:val="ListParagraph"/>
        <w:numPr>
          <w:ilvl w:val="1"/>
          <w:numId w:val="8"/>
        </w:numPr>
        <w:tabs>
          <w:tab w:pos="541" w:val="left" w:leader="none"/>
          <w:tab w:pos="931" w:val="left" w:leader="none"/>
          <w:tab w:pos="2855" w:val="left" w:leader="none"/>
        </w:tabs>
        <w:spacing w:line="314" w:lineRule="auto" w:before="0" w:after="0"/>
        <w:ind w:left="2856" w:right="296" w:hanging="2634"/>
        <w:jc w:val="left"/>
        <w:rPr>
          <w:sz w:val="21"/>
        </w:rPr>
      </w:pPr>
      <w:r>
        <w:rPr>
          <w:b/>
          <w:sz w:val="21"/>
        </w:rPr>
        <w:t>基本保险金额</w:t>
        <w:tab/>
      </w:r>
      <w:r>
        <w:rPr>
          <w:sz w:val="21"/>
        </w:rPr>
        <w:t>本主险合同的基本保险金额是由您在投保时提出，并经本公司承保时审核并最终确定的。基本保险金额在保险单中载明。 </w:t>
      </w:r>
    </w:p>
    <w:p>
      <w:pPr>
        <w:pStyle w:val="BodyText"/>
        <w:spacing w:line="314" w:lineRule="auto" w:before="20"/>
        <w:ind w:left="2856" w:right="296"/>
      </w:pPr>
      <w:r>
        <w:rPr/>
        <w:t>若该基本保险金额发生变更，则以变更后的基本保险金额为准。变更身故基本保险金额的应当得到被保险人同意并认可。 </w:t>
      </w:r>
    </w:p>
    <w:p>
      <w:pPr>
        <w:pStyle w:val="Heading5"/>
        <w:tabs>
          <w:tab w:pos="931" w:val="left" w:leader="none"/>
          <w:tab w:pos="2855" w:val="left" w:leader="none"/>
        </w:tabs>
        <w:spacing w:before="18"/>
        <w:ind w:left="221"/>
        <w:rPr>
          <w:b w:val="0"/>
        </w:rPr>
      </w:pPr>
      <w:r>
        <w:rPr>
          <w:w w:val="99"/>
        </w:rPr>
        <w:t> </w:t>
      </w:r>
      <w:r>
        <w:rPr/>
        <w:tab/>
      </w:r>
      <w:r>
        <w:rPr>
          <w:w w:val="99"/>
        </w:rPr>
        <w:t> </w:t>
      </w:r>
      <w:r>
        <w:rPr/>
        <w:tab/>
      </w:r>
      <w:r>
        <w:rPr>
          <w:b w:val="0"/>
        </w:rPr>
        <w:t> </w:t>
      </w:r>
    </w:p>
    <w:p>
      <w:pPr>
        <w:spacing w:after="0"/>
        <w:sectPr>
          <w:type w:val="continuous"/>
          <w:pgSz w:w="11910" w:h="16840"/>
          <w:pgMar w:top="700" w:bottom="280" w:left="1020" w:right="800"/>
        </w:sectPr>
      </w:pPr>
    </w:p>
    <w:p>
      <w:pPr>
        <w:pStyle w:val="ListParagraph"/>
        <w:numPr>
          <w:ilvl w:val="1"/>
          <w:numId w:val="8"/>
        </w:numPr>
        <w:tabs>
          <w:tab w:pos="541" w:val="left" w:leader="none"/>
          <w:tab w:pos="931" w:val="left" w:leader="none"/>
        </w:tabs>
        <w:spacing w:line="314" w:lineRule="auto" w:before="0" w:after="0"/>
        <w:ind w:left="931" w:right="0" w:hanging="709"/>
        <w:jc w:val="left"/>
        <w:rPr>
          <w:sz w:val="21"/>
        </w:rPr>
      </w:pPr>
      <w:r>
        <w:rPr>
          <w:b/>
          <w:sz w:val="21"/>
        </w:rPr>
        <w:t>未成年人身故保险金</w:t>
      </w:r>
      <w:r>
        <w:rPr>
          <w:b/>
          <w:w w:val="95"/>
          <w:sz w:val="21"/>
        </w:rPr>
        <w:t>限制</w:t>
      </w:r>
      <w:r>
        <w:rPr>
          <w:sz w:val="21"/>
        </w:rPr>
        <w:t> </w:t>
      </w:r>
    </w:p>
    <w:p>
      <w:pPr>
        <w:pStyle w:val="BodyText"/>
        <w:spacing w:line="314" w:lineRule="auto"/>
        <w:ind w:left="197" w:right="296"/>
        <w:jc w:val="both"/>
      </w:pPr>
      <w:r>
        <w:rPr/>
        <w:br w:type="column"/>
      </w:r>
      <w:r>
        <w:rPr/>
        <w:t>为未成年子女投保的人身保险，因被保险人身故给付的保险金总和不得超过</w:t>
      </w:r>
      <w:r>
        <w:rPr>
          <w:rFonts w:ascii="黑体" w:eastAsia="黑体" w:hint="eastAsia"/>
        </w:rPr>
        <w:t>国务院保险监督管理机构规定的限额</w:t>
      </w:r>
      <w:r>
        <w:rPr/>
        <w:t>，身故给付的保险金额总和约定也不得超过前述限额。 </w:t>
      </w:r>
    </w:p>
    <w:p>
      <w:pPr>
        <w:spacing w:after="0" w:line="314" w:lineRule="auto"/>
        <w:jc w:val="both"/>
        <w:sectPr>
          <w:type w:val="continuous"/>
          <w:pgSz w:w="11910" w:h="16840"/>
          <w:pgMar w:top="700" w:bottom="280" w:left="1020" w:right="800"/>
          <w:cols w:num="2" w:equalWidth="0">
            <w:col w:w="2619" w:space="40"/>
            <w:col w:w="7431"/>
          </w:cols>
        </w:sectPr>
      </w:pPr>
    </w:p>
    <w:p>
      <w:pPr>
        <w:pStyle w:val="Heading5"/>
        <w:tabs>
          <w:tab w:pos="931" w:val="left" w:leader="none"/>
          <w:tab w:pos="2855" w:val="left" w:leader="none"/>
        </w:tabs>
        <w:spacing w:line="273" w:lineRule="exact" w:before="21"/>
        <w:ind w:left="221"/>
        <w:rPr>
          <w:b w:val="0"/>
        </w:rPr>
      </w:pPr>
      <w:r>
        <w:rPr>
          <w:w w:val="99"/>
        </w:rPr>
        <w:t> </w:t>
      </w:r>
      <w:r>
        <w:rPr/>
        <w:tab/>
      </w:r>
      <w:r>
        <w:rPr>
          <w:w w:val="99"/>
        </w:rPr>
        <w:t> </w:t>
      </w:r>
      <w:r>
        <w:rPr/>
        <w:tab/>
      </w:r>
      <w:r>
        <w:rPr>
          <w:b w:val="0"/>
        </w:rPr>
        <w:t> </w:t>
      </w:r>
    </w:p>
    <w:p>
      <w:pPr>
        <w:pStyle w:val="ListParagraph"/>
        <w:numPr>
          <w:ilvl w:val="1"/>
          <w:numId w:val="8"/>
        </w:numPr>
        <w:tabs>
          <w:tab w:pos="541" w:val="left" w:leader="none"/>
          <w:tab w:pos="931" w:val="left" w:leader="none"/>
          <w:tab w:pos="2855" w:val="left" w:leader="none"/>
        </w:tabs>
        <w:spacing w:line="314" w:lineRule="auto" w:before="0" w:after="0"/>
        <w:ind w:left="2855" w:right="296" w:hanging="2634"/>
        <w:jc w:val="left"/>
        <w:rPr>
          <w:sz w:val="21"/>
        </w:rPr>
      </w:pPr>
      <w:r>
        <w:rPr>
          <w:b/>
          <w:sz w:val="21"/>
        </w:rPr>
        <w:t>保险期间</w:t>
        <w:tab/>
      </w:r>
      <w:r>
        <w:rPr>
          <w:sz w:val="21"/>
        </w:rPr>
        <w:t>本主险合同的保险期间为被保险人终身，自保险单上记载的保险合同生效日零时起至被保险人身故时止。 </w:t>
      </w:r>
    </w:p>
    <w:p>
      <w:pPr>
        <w:pStyle w:val="Heading5"/>
        <w:tabs>
          <w:tab w:pos="931" w:val="left" w:leader="none"/>
          <w:tab w:pos="2855" w:val="left" w:leader="none"/>
        </w:tabs>
        <w:spacing w:line="274" w:lineRule="exact" w:before="21"/>
        <w:ind w:left="221"/>
        <w:rPr>
          <w:b w:val="0"/>
        </w:rPr>
      </w:pPr>
      <w:r>
        <w:rPr>
          <w:w w:val="99"/>
        </w:rPr>
        <w:t> </w:t>
      </w:r>
      <w:r>
        <w:rPr/>
        <w:tab/>
      </w:r>
      <w:r>
        <w:rPr>
          <w:w w:val="99"/>
        </w:rPr>
        <w:t> </w:t>
      </w:r>
      <w:r>
        <w:rPr/>
        <w:tab/>
      </w:r>
      <w:r>
        <w:rPr>
          <w:b w:val="0"/>
        </w:rPr>
        <w:t> </w:t>
      </w:r>
    </w:p>
    <w:p>
      <w:pPr>
        <w:pStyle w:val="ListParagraph"/>
        <w:numPr>
          <w:ilvl w:val="1"/>
          <w:numId w:val="8"/>
        </w:numPr>
        <w:tabs>
          <w:tab w:pos="540" w:val="left" w:leader="none"/>
          <w:tab w:pos="930" w:val="left" w:leader="none"/>
        </w:tabs>
        <w:spacing w:line="274" w:lineRule="exact" w:before="0" w:after="0"/>
        <w:ind w:left="539" w:right="0" w:hanging="318"/>
        <w:jc w:val="left"/>
        <w:rPr>
          <w:sz w:val="21"/>
        </w:rPr>
      </w:pPr>
      <w:r>
        <w:rPr>
          <w:b/>
          <w:sz w:val="21"/>
        </w:rPr>
        <w:t>保险责任          </w:t>
      </w:r>
      <w:r>
        <w:rPr>
          <w:sz w:val="21"/>
        </w:rPr>
        <w:t>在本主险合同有效期间内，本公司承担如下保险责任： </w:t>
      </w:r>
    </w:p>
    <w:p>
      <w:pPr>
        <w:pStyle w:val="BodyText"/>
        <w:tabs>
          <w:tab w:pos="931" w:val="left" w:leader="none"/>
          <w:tab w:pos="2855" w:val="left" w:leader="none"/>
        </w:tabs>
        <w:spacing w:before="84"/>
        <w:ind w:left="221"/>
        <w:rPr>
          <w:rFonts w:ascii="黑体" w:eastAsia="黑体" w:hint="eastAsia"/>
        </w:rPr>
      </w:pPr>
      <w:r>
        <w:rPr>
          <w:b/>
          <w:w w:val="99"/>
        </w:rPr>
        <w:t> </w:t>
      </w:r>
      <w:r>
        <w:rPr>
          <w:b/>
        </w:rPr>
        <w:tab/>
      </w:r>
      <w:r>
        <w:rPr>
          <w:rFonts w:ascii="黑体" w:eastAsia="黑体" w:hint="eastAsia"/>
        </w:rPr>
        <w:t>等待期</w:t>
        <w:tab/>
        <w:t>被保险人在本主险合同Th效（或最后复效）之日起</w:t>
      </w:r>
      <w:r>
        <w:rPr>
          <w:rFonts w:ascii="黑体" w:eastAsia="黑体" w:hint="eastAsia"/>
          <w:spacing w:val="-67"/>
        </w:rPr>
        <w:t> </w:t>
      </w:r>
      <w:r>
        <w:rPr>
          <w:rFonts w:ascii="黑体" w:eastAsia="黑体" w:hint="eastAsia"/>
        </w:rPr>
        <w:t>90</w:t>
      </w:r>
      <w:r>
        <w:rPr>
          <w:rFonts w:ascii="黑体" w:eastAsia="黑体" w:hint="eastAsia"/>
          <w:spacing w:val="-67"/>
        </w:rPr>
        <w:t> </w:t>
      </w:r>
      <w:r>
        <w:rPr>
          <w:rFonts w:ascii="黑体" w:eastAsia="黑体" w:hint="eastAsia"/>
        </w:rPr>
        <w:t>天内经</w:t>
      </w:r>
      <w:r>
        <w:rPr>
          <w:rFonts w:ascii="黑体" w:eastAsia="黑体" w:hint="eastAsia"/>
          <w:b/>
        </w:rPr>
        <w:t>医院</w:t>
      </w:r>
      <w:r>
        <w:rPr>
          <w:rFonts w:ascii="黑体" w:eastAsia="黑体" w:hint="eastAsia"/>
        </w:rPr>
        <w:t>（见释义</w:t>
      </w:r>
    </w:p>
    <w:p>
      <w:pPr>
        <w:pStyle w:val="BodyText"/>
        <w:spacing w:line="314" w:lineRule="auto" w:before="83"/>
        <w:ind w:left="2855" w:right="190"/>
        <w:rPr>
          <w:rFonts w:ascii="黑体" w:eastAsia="黑体" w:hint="eastAsia"/>
        </w:rPr>
      </w:pPr>
      <w:r>
        <w:rPr>
          <w:rFonts w:ascii="黑体" w:eastAsia="黑体" w:hint="eastAsia"/>
        </w:rPr>
        <w:t>6.4）</w:t>
      </w:r>
      <w:r>
        <w:rPr>
          <w:rFonts w:ascii="黑体" w:eastAsia="黑体" w:hint="eastAsia"/>
          <w:b/>
        </w:rPr>
        <w:t>专科医Th</w:t>
      </w:r>
      <w:r>
        <w:rPr>
          <w:rFonts w:ascii="黑体" w:eastAsia="黑体" w:hint="eastAsia"/>
        </w:rPr>
        <w:t>（</w:t>
      </w:r>
      <w:r>
        <w:rPr>
          <w:rFonts w:ascii="黑体" w:eastAsia="黑体" w:hint="eastAsia"/>
          <w:spacing w:val="-15"/>
        </w:rPr>
        <w:t>见释义 </w:t>
      </w:r>
      <w:r>
        <w:rPr>
          <w:rFonts w:ascii="黑体" w:eastAsia="黑体" w:hint="eastAsia"/>
        </w:rPr>
        <w:t>6.5）确诊</w:t>
      </w:r>
      <w:r>
        <w:rPr>
          <w:rFonts w:ascii="黑体" w:eastAsia="黑体" w:hint="eastAsia"/>
          <w:b/>
        </w:rPr>
        <w:t>初次罹患</w:t>
      </w:r>
      <w:r>
        <w:rPr>
          <w:rFonts w:ascii="黑体" w:eastAsia="黑体" w:hint="eastAsia"/>
        </w:rPr>
        <w:t>（</w:t>
      </w:r>
      <w:r>
        <w:rPr>
          <w:rFonts w:ascii="黑体" w:eastAsia="黑体" w:hint="eastAsia"/>
          <w:spacing w:val="-15"/>
        </w:rPr>
        <w:t>见释义 </w:t>
      </w:r>
      <w:r>
        <w:rPr>
          <w:rFonts w:ascii="黑体" w:eastAsia="黑体" w:hint="eastAsia"/>
        </w:rPr>
        <w:t>6.6）本主险合同所约定的重大疾病、</w:t>
      </w:r>
      <w:r>
        <w:rPr>
          <w:rFonts w:ascii="黑体" w:eastAsia="黑体" w:hint="eastAsia"/>
          <w:b/>
        </w:rPr>
        <w:t>达到疾病终末期阶段</w:t>
      </w:r>
      <w:r>
        <w:rPr>
          <w:rFonts w:ascii="黑体" w:eastAsia="黑体" w:hint="eastAsia"/>
        </w:rPr>
        <w:t>（</w:t>
      </w:r>
      <w:r>
        <w:rPr>
          <w:rFonts w:ascii="黑体" w:eastAsia="黑体" w:hint="eastAsia"/>
          <w:spacing w:val="-14"/>
        </w:rPr>
        <w:t>见释义 </w:t>
      </w:r>
      <w:r>
        <w:rPr>
          <w:rFonts w:ascii="黑体" w:eastAsia="黑体" w:hint="eastAsia"/>
        </w:rPr>
        <w:t>6.7）的，或因</w:t>
      </w:r>
      <w:r>
        <w:rPr>
          <w:rFonts w:ascii="黑体" w:eastAsia="黑体" w:hint="eastAsia"/>
          <w:b/>
        </w:rPr>
        <w:t>意外伤害</w:t>
      </w:r>
      <w:r>
        <w:rPr>
          <w:rFonts w:ascii="黑体" w:eastAsia="黑体" w:hint="eastAsia"/>
        </w:rPr>
        <w:t>（见</w:t>
      </w:r>
      <w:r>
        <w:rPr>
          <w:rFonts w:ascii="黑体" w:eastAsia="黑体" w:hint="eastAsia"/>
          <w:spacing w:val="-18"/>
        </w:rPr>
        <w:t>释义 </w:t>
      </w:r>
      <w:r>
        <w:rPr>
          <w:rFonts w:ascii="黑体" w:eastAsia="黑体" w:hint="eastAsia"/>
        </w:rPr>
        <w:t>6.8</w:t>
      </w:r>
      <w:r>
        <w:rPr>
          <w:rFonts w:ascii="黑体" w:eastAsia="黑体" w:hint="eastAsia"/>
          <w:spacing w:val="-2"/>
        </w:rPr>
        <w:t>）</w:t>
      </w:r>
      <w:r>
        <w:rPr>
          <w:rFonts w:ascii="黑体" w:eastAsia="黑体" w:hint="eastAsia"/>
          <w:spacing w:val="-1"/>
        </w:rPr>
        <w:t>以外的原因导致</w:t>
      </w:r>
      <w:r>
        <w:rPr>
          <w:rFonts w:ascii="黑体" w:eastAsia="黑体" w:hint="eastAsia"/>
          <w:b/>
          <w:w w:val="99"/>
        </w:rPr>
        <w:t>全残</w:t>
      </w:r>
      <w:r>
        <w:rPr>
          <w:rFonts w:ascii="黑体" w:eastAsia="黑体" w:hint="eastAsia"/>
          <w:spacing w:val="-1"/>
        </w:rPr>
        <w:t>（</w:t>
      </w:r>
      <w:r>
        <w:rPr>
          <w:rFonts w:ascii="黑体" w:eastAsia="黑体" w:hint="eastAsia"/>
          <w:spacing w:val="-14"/>
        </w:rPr>
        <w:t>见释义 </w:t>
      </w:r>
      <w:r>
        <w:rPr>
          <w:rFonts w:ascii="黑体" w:eastAsia="黑体" w:hint="eastAsia"/>
          <w:spacing w:val="-1"/>
        </w:rPr>
        <w:t>6.9</w:t>
      </w:r>
      <w:r>
        <w:rPr>
          <w:rFonts w:ascii="黑体" w:eastAsia="黑体" w:hint="eastAsia"/>
          <w:spacing w:val="-105"/>
        </w:rPr>
        <w:t>）</w:t>
      </w:r>
      <w:r>
        <w:rPr>
          <w:rFonts w:ascii="黑体" w:eastAsia="黑体" w:hint="eastAsia"/>
          <w:b/>
          <w:spacing w:val="-1"/>
          <w:w w:val="99"/>
        </w:rPr>
        <w:t>、身故</w:t>
      </w:r>
      <w:r>
        <w:rPr>
          <w:rFonts w:ascii="黑体" w:eastAsia="黑体" w:hint="eastAsia"/>
          <w:spacing w:val="-1"/>
        </w:rPr>
        <w:t>的，本公司将无息返还</w:t>
      </w:r>
      <w:r>
        <w:rPr>
          <w:rFonts w:ascii="黑体" w:eastAsia="黑体" w:hint="eastAsia"/>
          <w:spacing w:val="-16"/>
        </w:rPr>
        <w:t>您所交的本主险合同的保险费，本主险合同终止。这 </w:t>
      </w:r>
      <w:r>
        <w:rPr>
          <w:rFonts w:ascii="黑体" w:eastAsia="黑体" w:hint="eastAsia"/>
        </w:rPr>
        <w:t>90</w:t>
      </w:r>
      <w:r>
        <w:rPr>
          <w:rFonts w:ascii="黑体" w:eastAsia="黑体" w:hint="eastAsia"/>
          <w:spacing w:val="-8"/>
        </w:rPr>
        <w:t> 天的时间称为等待期。被保险人因意外伤害导致本主险合同所约定的重大疾病、身故、全残、达到疾病终末期阶段的，无等待期限制。</w:t>
      </w:r>
    </w:p>
    <w:p>
      <w:pPr>
        <w:pStyle w:val="BodyText"/>
        <w:spacing w:before="18"/>
        <w:ind w:left="2855"/>
        <w:rPr>
          <w:rFonts w:ascii="黑体" w:eastAsia="黑体" w:hint="eastAsia"/>
        </w:rPr>
      </w:pPr>
      <w:r>
        <w:rPr>
          <w:rFonts w:ascii="黑体" w:eastAsia="黑体" w:hint="eastAsia"/>
        </w:rPr>
        <w:t>等待期后发Th保险事故，本公司承担如下保险责任：</w:t>
      </w:r>
    </w:p>
    <w:p>
      <w:pPr>
        <w:pStyle w:val="Heading5"/>
        <w:spacing w:before="84"/>
        <w:ind w:left="221"/>
      </w:pPr>
      <w:r>
        <w:rPr>
          <w:w w:val="99"/>
        </w:rPr>
        <w:t> </w:t>
      </w:r>
    </w:p>
    <w:p>
      <w:pPr>
        <w:pStyle w:val="BodyText"/>
        <w:tabs>
          <w:tab w:pos="931" w:val="left" w:leader="none"/>
          <w:tab w:pos="2855" w:val="left" w:leader="none"/>
        </w:tabs>
        <w:spacing w:before="60"/>
        <w:ind w:left="221"/>
        <w:rPr>
          <w:b/>
        </w:rPr>
      </w:pPr>
      <w:r>
        <w:rPr>
          <w:b/>
          <w:w w:val="99"/>
          <w:position w:val="-1"/>
        </w:rPr>
        <w:t> </w:t>
      </w:r>
      <w:r>
        <w:rPr>
          <w:b/>
          <w:position w:val="-1"/>
        </w:rPr>
        <w:tab/>
      </w:r>
      <w:r>
        <w:rPr>
          <w:rFonts w:ascii="黑体" w:eastAsia="黑体" w:hint="eastAsia"/>
          <w:position w:val="-1"/>
        </w:rPr>
        <w:t>轻症疾病保险金</w:t>
        <w:tab/>
      </w:r>
      <w:r>
        <w:rPr>
          <w:spacing w:val="5"/>
        </w:rPr>
        <w:t>若被</w:t>
      </w:r>
      <w:r>
        <w:rPr>
          <w:spacing w:val="5"/>
        </w:rPr>
        <w:t>保</w:t>
      </w:r>
      <w:r>
        <w:rPr>
          <w:spacing w:val="5"/>
        </w:rPr>
        <w:t>险</w:t>
      </w:r>
      <w:r>
        <w:rPr>
          <w:spacing w:val="5"/>
        </w:rPr>
        <w:t>人</w:t>
      </w:r>
      <w:r>
        <w:rPr>
          <w:spacing w:val="5"/>
        </w:rPr>
        <w:t>在等</w:t>
      </w:r>
      <w:r>
        <w:rPr>
          <w:spacing w:val="5"/>
        </w:rPr>
        <w:t>待</w:t>
      </w:r>
      <w:r>
        <w:rPr>
          <w:spacing w:val="5"/>
        </w:rPr>
        <w:t>期</w:t>
      </w:r>
      <w:r>
        <w:rPr>
          <w:spacing w:val="5"/>
        </w:rPr>
        <w:t>后</w:t>
      </w:r>
      <w:r>
        <w:rPr>
          <w:spacing w:val="5"/>
        </w:rPr>
        <w:t>经医</w:t>
      </w:r>
      <w:r>
        <w:rPr>
          <w:spacing w:val="5"/>
        </w:rPr>
        <w:t>院</w:t>
      </w:r>
      <w:r>
        <w:rPr>
          <w:spacing w:val="5"/>
        </w:rPr>
        <w:t>确</w:t>
      </w:r>
      <w:r>
        <w:rPr>
          <w:spacing w:val="5"/>
        </w:rPr>
        <w:t>诊</w:t>
      </w:r>
      <w:r>
        <w:rPr>
          <w:spacing w:val="5"/>
        </w:rPr>
        <w:t>初次</w:t>
      </w:r>
      <w:r>
        <w:rPr>
          <w:spacing w:val="5"/>
        </w:rPr>
        <w:t>罹</w:t>
      </w:r>
      <w:r>
        <w:rPr>
          <w:spacing w:val="5"/>
        </w:rPr>
        <w:t>患</w:t>
      </w:r>
      <w:r>
        <w:rPr>
          <w:spacing w:val="5"/>
        </w:rPr>
        <w:t>本</w:t>
      </w:r>
      <w:r>
        <w:rPr>
          <w:spacing w:val="5"/>
        </w:rPr>
        <w:t>主险</w:t>
      </w:r>
      <w:r>
        <w:rPr>
          <w:spacing w:val="5"/>
        </w:rPr>
        <w:t>合</w:t>
      </w:r>
      <w:r>
        <w:rPr>
          <w:spacing w:val="5"/>
        </w:rPr>
        <w:t>同</w:t>
      </w:r>
      <w:r>
        <w:rPr>
          <w:spacing w:val="5"/>
        </w:rPr>
        <w:t>所</w:t>
      </w:r>
      <w:r>
        <w:rPr>
          <w:spacing w:val="5"/>
        </w:rPr>
        <w:t>约定</w:t>
      </w:r>
      <w:r>
        <w:rPr>
          <w:spacing w:val="5"/>
        </w:rPr>
        <w:t>的</w:t>
      </w:r>
      <w:r>
        <w:rPr>
          <w:b/>
          <w:spacing w:val="5"/>
        </w:rPr>
        <w:t>轻症</w:t>
      </w:r>
      <w:r>
        <w:rPr>
          <w:b/>
          <w:spacing w:val="6"/>
        </w:rPr>
        <w:t>疾</w:t>
      </w:r>
      <w:r>
        <w:rPr>
          <w:b/>
        </w:rPr>
        <w:t>病</w:t>
      </w:r>
    </w:p>
    <w:p>
      <w:pPr>
        <w:pStyle w:val="BodyText"/>
        <w:spacing w:line="273" w:lineRule="auto" w:before="17"/>
        <w:ind w:left="2855" w:right="295"/>
      </w:pPr>
      <w:r>
        <w:rPr/>
        <w:t>（</w:t>
      </w:r>
      <w:r>
        <w:rPr>
          <w:spacing w:val="-14"/>
        </w:rPr>
        <w:t>见释义 </w:t>
      </w:r>
      <w:r>
        <w:rPr/>
        <w:t>6.10</w:t>
      </w:r>
      <w:r>
        <w:rPr>
          <w:spacing w:val="-105"/>
        </w:rPr>
        <w:t>）</w:t>
      </w:r>
      <w:r>
        <w:rPr>
          <w:spacing w:val="-11"/>
        </w:rPr>
        <w:t>，本公司将按本主险合同约定的基本保险金额的 </w:t>
      </w:r>
      <w:r>
        <w:rPr/>
        <w:t>20%</w:t>
      </w:r>
      <w:r>
        <w:rPr>
          <w:spacing w:val="-14"/>
        </w:rPr>
        <w:t>给付“轻</w:t>
      </w:r>
      <w:r>
        <w:rPr>
          <w:spacing w:val="-15"/>
        </w:rPr>
        <w:t>症疾病保险金”，本主险合同继续有效。 </w:t>
      </w:r>
    </w:p>
    <w:p>
      <w:pPr>
        <w:pStyle w:val="Heading5"/>
        <w:spacing w:before="7"/>
        <w:ind w:left="2855"/>
      </w:pPr>
      <w:r>
        <w:rPr>
          <w:spacing w:val="-7"/>
        </w:rPr>
        <w:t>每种轻症疾病的给付以 </w:t>
      </w:r>
      <w:r>
        <w:rPr/>
        <w:t>1</w:t>
      </w:r>
      <w:r>
        <w:rPr>
          <w:spacing w:val="-14"/>
        </w:rPr>
        <w:t> 次为限，给付后该种轻症疾病保险金给付责任终止。</w:t>
      </w:r>
    </w:p>
    <w:p>
      <w:pPr>
        <w:spacing w:after="0"/>
        <w:sectPr>
          <w:type w:val="continuous"/>
          <w:pgSz w:w="11910" w:h="16840"/>
          <w:pgMar w:top="700" w:bottom="280" w:left="1020" w:right="800"/>
        </w:sectPr>
      </w:pPr>
    </w:p>
    <w:p>
      <w:pPr>
        <w:pStyle w:val="BodyText"/>
        <w:rPr>
          <w:b/>
          <w:sz w:val="20"/>
        </w:rPr>
      </w:pPr>
    </w:p>
    <w:p>
      <w:pPr>
        <w:pStyle w:val="BodyText"/>
        <w:rPr>
          <w:b/>
          <w:sz w:val="20"/>
        </w:rPr>
      </w:pPr>
    </w:p>
    <w:p>
      <w:pPr>
        <w:spacing w:before="178"/>
        <w:ind w:left="2856" w:right="0" w:firstLine="0"/>
        <w:jc w:val="left"/>
        <w:rPr>
          <w:b/>
          <w:sz w:val="21"/>
        </w:rPr>
      </w:pPr>
      <w:r>
        <w:rPr>
          <w:b/>
          <w:sz w:val="21"/>
        </w:rPr>
        <w:t>本主险合同的轻症疾病保险金累计给付以 5 次为限。</w:t>
      </w:r>
      <w:r>
        <w:rPr>
          <w:b/>
          <w:w w:val="99"/>
          <w:sz w:val="21"/>
        </w:rPr>
        <w:t> </w:t>
      </w:r>
    </w:p>
    <w:p>
      <w:pPr>
        <w:spacing w:line="273" w:lineRule="auto" w:before="36"/>
        <w:ind w:left="2856" w:right="110" w:firstLine="0"/>
        <w:jc w:val="both"/>
        <w:rPr>
          <w:sz w:val="21"/>
        </w:rPr>
      </w:pPr>
      <w:r>
        <w:rPr>
          <w:b/>
          <w:sz w:val="21"/>
        </w:rPr>
        <w:t>被保险人因同一原因或在同一事故中导致其发生本主险合同所约定的两种或两种以上的轻症疾病的，本公司仅按一种轻症疾病给付轻症疾病保险金。</w:t>
      </w:r>
      <w:r>
        <w:rPr>
          <w:b/>
          <w:w w:val="95"/>
          <w:sz w:val="21"/>
        </w:rPr>
        <w:t>轻症疾病</w:t>
      </w:r>
      <w:r>
        <w:rPr>
          <w:w w:val="95"/>
          <w:sz w:val="21"/>
        </w:rPr>
        <w:t>种类：  </w:t>
      </w:r>
    </w:p>
    <w:p>
      <w:pPr>
        <w:spacing w:line="284" w:lineRule="exact" w:before="0"/>
        <w:ind w:left="2856" w:right="0" w:firstLine="0"/>
        <w:jc w:val="both"/>
        <w:rPr>
          <w:i/>
          <w:sz w:val="22"/>
        </w:rPr>
      </w:pPr>
      <w:r>
        <w:rPr>
          <w:i/>
          <w:sz w:val="22"/>
        </w:rPr>
        <w:t>1. 非危及生命的（极早期的）恶性病变 2. 冠状动脉介入手术 </w:t>
      </w:r>
    </w:p>
    <w:p>
      <w:pPr>
        <w:spacing w:before="24"/>
        <w:ind w:left="2855" w:right="0" w:firstLine="0"/>
        <w:jc w:val="both"/>
        <w:rPr>
          <w:i/>
          <w:sz w:val="22"/>
        </w:rPr>
      </w:pPr>
      <w:r>
        <w:rPr>
          <w:i/>
          <w:sz w:val="22"/>
        </w:rPr>
        <w:t>3. 轻 微 脑 中 风           4. 心 脏 瓣 膜 介 入 手 术 </w:t>
      </w:r>
    </w:p>
    <w:p>
      <w:pPr>
        <w:spacing w:before="23"/>
        <w:ind w:left="2855" w:right="0" w:firstLine="0"/>
        <w:jc w:val="both"/>
        <w:rPr>
          <w:i/>
          <w:sz w:val="22"/>
        </w:rPr>
      </w:pPr>
      <w:r>
        <w:rPr>
          <w:i/>
          <w:w w:val="95"/>
          <w:sz w:val="22"/>
        </w:rPr>
        <w:t>5. 脑垂体瘤、脑囊肿 </w:t>
      </w:r>
    </w:p>
    <w:p>
      <w:pPr>
        <w:spacing w:before="23"/>
        <w:ind w:left="2855" w:right="0" w:firstLine="0"/>
        <w:jc w:val="both"/>
        <w:rPr>
          <w:i/>
          <w:sz w:val="22"/>
        </w:rPr>
      </w:pPr>
      <w:r>
        <w:rPr>
          <w:i/>
          <w:sz w:val="22"/>
        </w:rPr>
        <w:t>6. 视力严重受损（3周岁始理赔）     7. 主动脉内介入手术 </w:t>
      </w:r>
    </w:p>
    <w:p>
      <w:pPr>
        <w:spacing w:before="23"/>
        <w:ind w:left="2855" w:right="0" w:firstLine="0"/>
        <w:jc w:val="both"/>
        <w:rPr>
          <w:i/>
          <w:sz w:val="22"/>
        </w:rPr>
      </w:pPr>
      <w:r>
        <w:rPr>
          <w:i/>
          <w:w w:val="95"/>
          <w:sz w:val="22"/>
        </w:rPr>
        <w:t>8. 较小面积III度烧伤（10%） </w:t>
      </w:r>
    </w:p>
    <w:p>
      <w:pPr>
        <w:spacing w:before="23"/>
        <w:ind w:left="2855" w:right="0" w:firstLine="0"/>
        <w:jc w:val="both"/>
        <w:rPr>
          <w:i/>
          <w:sz w:val="22"/>
        </w:rPr>
      </w:pPr>
      <w:r>
        <w:rPr>
          <w:i/>
          <w:sz w:val="22"/>
        </w:rPr>
        <w:t>9. 慢性肾功能损害–肾功能衰竭期     10. 重症头部外伤 </w:t>
      </w:r>
    </w:p>
    <w:p>
      <w:pPr>
        <w:spacing w:before="23"/>
        <w:ind w:left="2855" w:right="0" w:firstLine="0"/>
        <w:jc w:val="both"/>
        <w:rPr>
          <w:i/>
          <w:sz w:val="22"/>
        </w:rPr>
      </w:pPr>
      <w:r>
        <w:rPr>
          <w:i/>
          <w:sz w:val="22"/>
        </w:rPr>
        <w:t>11. 单 个 肢 体 缺 失         12. 单 侧 肺 脏 切 除 </w:t>
      </w:r>
    </w:p>
    <w:p>
      <w:pPr>
        <w:spacing w:before="23"/>
        <w:ind w:left="2855" w:right="0" w:firstLine="0"/>
        <w:jc w:val="both"/>
        <w:rPr>
          <w:i/>
          <w:sz w:val="22"/>
        </w:rPr>
      </w:pPr>
      <w:r>
        <w:rPr>
          <w:i/>
          <w:sz w:val="22"/>
        </w:rPr>
        <w:t>13. 肝 脏 手 术            14. 早 期 运 动 神 经 性 疾 病 </w:t>
      </w:r>
    </w:p>
    <w:p>
      <w:pPr>
        <w:spacing w:before="23"/>
        <w:ind w:left="2856" w:right="0" w:firstLine="0"/>
        <w:jc w:val="both"/>
        <w:rPr>
          <w:i/>
          <w:sz w:val="22"/>
        </w:rPr>
      </w:pPr>
      <w:r>
        <w:rPr>
          <w:i/>
          <w:sz w:val="22"/>
        </w:rPr>
        <w:t>15. 人 工 耳 蜗 植 入 术      16. 胆 道 重 建 手 术 </w:t>
      </w:r>
    </w:p>
    <w:p>
      <w:pPr>
        <w:spacing w:before="23"/>
        <w:ind w:left="2856" w:right="0" w:firstLine="0"/>
        <w:jc w:val="both"/>
        <w:rPr>
          <w:i/>
          <w:sz w:val="22"/>
        </w:rPr>
      </w:pPr>
      <w:r>
        <w:rPr>
          <w:i/>
          <w:sz w:val="22"/>
        </w:rPr>
        <w:t>17. 双 侧 卵 巢 切 除 术      18. 单 侧 肾 脏 切 除 </w:t>
      </w:r>
    </w:p>
    <w:p>
      <w:pPr>
        <w:spacing w:before="23"/>
        <w:ind w:left="2856" w:right="0" w:firstLine="0"/>
        <w:jc w:val="both"/>
        <w:rPr>
          <w:i/>
          <w:sz w:val="22"/>
        </w:rPr>
      </w:pPr>
      <w:r>
        <w:rPr>
          <w:i/>
          <w:sz w:val="22"/>
        </w:rPr>
        <w:t>19. 肝 叶 切 除                 20. 单 耳 失 聪 </w:t>
      </w:r>
    </w:p>
    <w:p>
      <w:pPr>
        <w:spacing w:before="23"/>
        <w:ind w:left="2856" w:right="0" w:firstLine="0"/>
        <w:jc w:val="both"/>
        <w:rPr>
          <w:i/>
          <w:sz w:val="22"/>
        </w:rPr>
      </w:pPr>
      <w:r>
        <w:rPr>
          <w:i/>
          <w:w w:val="95"/>
          <w:sz w:val="22"/>
        </w:rPr>
        <w:t>21. 微创冠状动脉搭桥手术 </w:t>
      </w:r>
    </w:p>
    <w:p>
      <w:pPr>
        <w:spacing w:before="23"/>
        <w:ind w:left="2855" w:right="0" w:firstLine="0"/>
        <w:jc w:val="both"/>
        <w:rPr>
          <w:i/>
          <w:sz w:val="22"/>
        </w:rPr>
      </w:pPr>
      <w:r>
        <w:rPr>
          <w:i/>
          <w:w w:val="95"/>
          <w:sz w:val="22"/>
        </w:rPr>
        <w:t>22. Ⅲ度房室传导阻滞-已放置心脏起搏器 </w:t>
      </w:r>
    </w:p>
    <w:p>
      <w:pPr>
        <w:spacing w:before="23"/>
        <w:ind w:left="2855" w:right="0" w:firstLine="0"/>
        <w:jc w:val="both"/>
        <w:rPr>
          <w:i/>
          <w:sz w:val="22"/>
        </w:rPr>
      </w:pPr>
      <w:r>
        <w:rPr>
          <w:i/>
          <w:w w:val="95"/>
          <w:sz w:val="22"/>
        </w:rPr>
        <w:t>23. 于颈动脉进行血管成形术或内膜切除术 </w:t>
      </w:r>
    </w:p>
    <w:p>
      <w:pPr>
        <w:spacing w:before="23"/>
        <w:ind w:left="2855" w:right="0" w:firstLine="0"/>
        <w:jc w:val="both"/>
        <w:rPr>
          <w:i/>
          <w:sz w:val="22"/>
        </w:rPr>
      </w:pPr>
      <w:r>
        <w:rPr>
          <w:i/>
          <w:sz w:val="22"/>
        </w:rPr>
        <w:t>24. 心包膜切除术 </w:t>
      </w:r>
    </w:p>
    <w:p>
      <w:pPr>
        <w:spacing w:before="23"/>
        <w:ind w:left="2855" w:right="0" w:firstLine="0"/>
        <w:jc w:val="both"/>
        <w:rPr>
          <w:i/>
          <w:sz w:val="22"/>
        </w:rPr>
      </w:pPr>
      <w:r>
        <w:rPr>
          <w:i/>
          <w:sz w:val="22"/>
        </w:rPr>
        <w:t>25. 脑 炎 或 脑 膜 炎       26. 硬 脑 膜 下 血 肿 手 术 </w:t>
      </w:r>
    </w:p>
    <w:p>
      <w:pPr>
        <w:spacing w:before="23"/>
        <w:ind w:left="2856" w:right="0" w:firstLine="0"/>
        <w:jc w:val="both"/>
        <w:rPr>
          <w:i/>
          <w:sz w:val="22"/>
        </w:rPr>
      </w:pPr>
      <w:r>
        <w:rPr>
          <w:i/>
          <w:w w:val="95"/>
          <w:sz w:val="22"/>
        </w:rPr>
        <w:t>27. 严重阻塞性睡眠窒息症 </w:t>
      </w:r>
    </w:p>
    <w:p>
      <w:pPr>
        <w:spacing w:before="23"/>
        <w:ind w:left="2855" w:right="0" w:firstLine="0"/>
        <w:jc w:val="both"/>
        <w:rPr>
          <w:i/>
          <w:sz w:val="22"/>
        </w:rPr>
      </w:pPr>
      <w:r>
        <w:rPr>
          <w:i/>
          <w:sz w:val="22"/>
        </w:rPr>
        <w:t>28. 因意外毁容而施行的面部整形手术  29. 角膜移植 </w:t>
      </w:r>
    </w:p>
    <w:p>
      <w:pPr>
        <w:spacing w:before="23"/>
        <w:ind w:left="2856" w:right="0" w:firstLine="0"/>
        <w:jc w:val="both"/>
        <w:rPr>
          <w:i/>
          <w:sz w:val="22"/>
        </w:rPr>
      </w:pPr>
      <w:r>
        <w:rPr>
          <w:i/>
          <w:sz w:val="22"/>
        </w:rPr>
        <w:t>30. 单 眼 失 明           31. 可 逆 性 再 生 障 碍 性 贫 血 </w:t>
      </w:r>
    </w:p>
    <w:p>
      <w:pPr>
        <w:spacing w:before="23"/>
        <w:ind w:left="2856" w:right="0" w:firstLine="0"/>
        <w:jc w:val="both"/>
        <w:rPr>
          <w:i/>
          <w:sz w:val="22"/>
        </w:rPr>
      </w:pPr>
      <w:r>
        <w:rPr>
          <w:i/>
          <w:w w:val="95"/>
          <w:sz w:val="22"/>
        </w:rPr>
        <w:t>32. 慢性肝功能衰竭  </w:t>
      </w:r>
    </w:p>
    <w:p>
      <w:pPr>
        <w:spacing w:before="23"/>
        <w:ind w:left="2855" w:right="0" w:firstLine="0"/>
        <w:jc w:val="both"/>
        <w:rPr>
          <w:i/>
          <w:sz w:val="22"/>
        </w:rPr>
      </w:pPr>
      <w:r>
        <w:rPr>
          <w:i/>
          <w:w w:val="95"/>
          <w:sz w:val="22"/>
        </w:rPr>
        <w:t>33. 特定周围动脉疾病的血管介入治疗 </w:t>
      </w:r>
    </w:p>
    <w:p>
      <w:pPr>
        <w:spacing w:before="23"/>
        <w:ind w:left="2855" w:right="0" w:firstLine="0"/>
        <w:jc w:val="both"/>
        <w:rPr>
          <w:i/>
          <w:sz w:val="22"/>
        </w:rPr>
      </w:pPr>
      <w:r>
        <w:rPr>
          <w:i/>
          <w:sz w:val="22"/>
        </w:rPr>
        <w:t>34. 因肾上腺皮质腺瘤切除肾上腺     35. 植入腔静脉过滤器 </w:t>
      </w:r>
    </w:p>
    <w:p>
      <w:pPr>
        <w:spacing w:before="23"/>
        <w:ind w:left="2855" w:right="0" w:firstLine="0"/>
        <w:jc w:val="both"/>
        <w:rPr>
          <w:i/>
          <w:sz w:val="22"/>
        </w:rPr>
      </w:pPr>
      <w:r>
        <w:rPr>
          <w:i/>
          <w:sz w:val="22"/>
        </w:rPr>
        <w:t>36. 脑动脉瘤及脑血管瘤             37. 双侧睾丸切除术 </w:t>
      </w:r>
    </w:p>
    <w:p>
      <w:pPr>
        <w:spacing w:before="23"/>
        <w:ind w:left="2856" w:right="0" w:firstLine="0"/>
        <w:jc w:val="both"/>
        <w:rPr>
          <w:i/>
          <w:sz w:val="22"/>
        </w:rPr>
      </w:pPr>
      <w:r>
        <w:rPr>
          <w:i/>
          <w:w w:val="95"/>
          <w:sz w:val="22"/>
        </w:rPr>
        <w:t>38. 出血性登革热</w:t>
      </w:r>
      <w:r>
        <w:rPr>
          <w:i/>
          <w:color w:val="FF0000"/>
          <w:w w:val="95"/>
          <w:sz w:val="22"/>
        </w:rPr>
        <w:t> </w:t>
      </w:r>
    </w:p>
    <w:p>
      <w:pPr>
        <w:pStyle w:val="BodyText"/>
        <w:spacing w:before="3"/>
        <w:rPr>
          <w:i/>
          <w:sz w:val="29"/>
        </w:rPr>
      </w:pPr>
    </w:p>
    <w:p>
      <w:pPr>
        <w:pStyle w:val="BodyText"/>
        <w:spacing w:line="314" w:lineRule="auto" w:before="35"/>
        <w:ind w:left="2855" w:right="136" w:hanging="2634"/>
        <w:jc w:val="both"/>
      </w:pPr>
      <w:r>
        <w:rPr>
          <w:b/>
          <w:w w:val="99"/>
        </w:rPr>
        <w:t> </w:t>
      </w:r>
      <w:r>
        <w:rPr>
          <w:b/>
        </w:rPr>
        <w:t>      </w:t>
      </w:r>
      <w:r>
        <w:rPr>
          <w:rFonts w:ascii="黑体" w:hAnsi="黑体" w:eastAsia="黑体" w:hint="eastAsia"/>
          <w:spacing w:val="3"/>
        </w:rPr>
        <w:t>重大疾病保险金 </w:t>
      </w:r>
      <w:r>
        <w:rPr/>
        <w:t>若被保险人因意外伤害，或在等待期结束后因意外伤害以外的原因经医院确诊初次罹患本主险合同所约定的</w:t>
      </w:r>
      <w:r>
        <w:rPr>
          <w:b/>
          <w:spacing w:val="0"/>
          <w:w w:val="99"/>
        </w:rPr>
        <w:t>重大疾病</w:t>
      </w:r>
      <w:r>
        <w:rPr/>
        <w:t>（</w:t>
      </w:r>
      <w:r>
        <w:rPr>
          <w:spacing w:val="-14"/>
        </w:rPr>
        <w:t>见释义 </w:t>
      </w:r>
      <w:r>
        <w:rPr/>
        <w:t>6.11</w:t>
      </w:r>
      <w:r>
        <w:rPr>
          <w:spacing w:val="-105"/>
        </w:rPr>
        <w:t>）</w:t>
      </w:r>
      <w:r>
        <w:rPr>
          <w:spacing w:val="-1"/>
        </w:rPr>
        <w:t>，本公司将按本主险</w:t>
      </w:r>
      <w:r>
        <w:rPr>
          <w:spacing w:val="-6"/>
        </w:rPr>
        <w:t>合同约定的基本保险金额给付“重大疾病保险金”，本主险合同终止。</w:t>
      </w:r>
    </w:p>
    <w:p>
      <w:pPr>
        <w:spacing w:line="270" w:lineRule="exact" w:before="0"/>
        <w:ind w:left="2856" w:right="0" w:firstLine="0"/>
        <w:jc w:val="left"/>
        <w:rPr>
          <w:sz w:val="21"/>
        </w:rPr>
      </w:pPr>
      <w:r>
        <w:rPr>
          <w:b/>
          <w:w w:val="95"/>
          <w:sz w:val="21"/>
        </w:rPr>
        <w:t>重大疾病</w:t>
      </w:r>
      <w:r>
        <w:rPr>
          <w:w w:val="95"/>
          <w:sz w:val="21"/>
        </w:rPr>
        <w:t>种类：  </w:t>
      </w:r>
    </w:p>
    <w:p>
      <w:pPr>
        <w:spacing w:before="26"/>
        <w:ind w:left="2856" w:right="0" w:firstLine="0"/>
        <w:jc w:val="left"/>
        <w:rPr>
          <w:i/>
          <w:sz w:val="22"/>
        </w:rPr>
      </w:pPr>
      <w:r>
        <w:rPr>
          <w:i/>
          <w:sz w:val="22"/>
        </w:rPr>
        <w:t>1. 恶 性 肿 瘤              2. 急 性 心 肌 梗 塞 </w:t>
      </w:r>
    </w:p>
    <w:p>
      <w:pPr>
        <w:spacing w:before="24"/>
        <w:ind w:left="2855" w:right="0" w:firstLine="0"/>
        <w:jc w:val="left"/>
        <w:rPr>
          <w:i/>
          <w:sz w:val="22"/>
        </w:rPr>
      </w:pPr>
      <w:r>
        <w:rPr>
          <w:i/>
          <w:w w:val="95"/>
          <w:sz w:val="22"/>
        </w:rPr>
        <w:t>3. 脑中风后遗症 </w:t>
      </w:r>
    </w:p>
    <w:p>
      <w:pPr>
        <w:spacing w:before="24"/>
        <w:ind w:left="2855" w:right="0" w:firstLine="0"/>
        <w:jc w:val="left"/>
        <w:rPr>
          <w:i/>
          <w:sz w:val="22"/>
        </w:rPr>
      </w:pPr>
      <w:r>
        <w:rPr>
          <w:i/>
          <w:w w:val="95"/>
          <w:sz w:val="22"/>
        </w:rPr>
        <w:t>4. 重大器官移植术或造血干细胞移植术  </w:t>
      </w:r>
    </w:p>
    <w:p>
      <w:pPr>
        <w:spacing w:before="24"/>
        <w:ind w:left="2855" w:right="0" w:firstLine="0"/>
        <w:jc w:val="left"/>
        <w:rPr>
          <w:i/>
          <w:sz w:val="22"/>
        </w:rPr>
      </w:pPr>
      <w:r>
        <w:rPr>
          <w:i/>
          <w:w w:val="95"/>
          <w:sz w:val="22"/>
        </w:rPr>
        <w:t>5. 冠状动脉搭桥术（或称冠状动脉旁路移植术） </w:t>
      </w:r>
    </w:p>
    <w:p>
      <w:pPr>
        <w:spacing w:before="24"/>
        <w:ind w:left="2855" w:right="0" w:firstLine="0"/>
        <w:jc w:val="left"/>
        <w:rPr>
          <w:i/>
          <w:sz w:val="22"/>
        </w:rPr>
      </w:pPr>
      <w:r>
        <w:rPr>
          <w:i/>
          <w:w w:val="95"/>
          <w:sz w:val="22"/>
        </w:rPr>
        <w:t>6. 终末期肾病（或称慢性肾功能衰竭尿毒症期）  </w:t>
      </w:r>
    </w:p>
    <w:p>
      <w:pPr>
        <w:spacing w:before="24"/>
        <w:ind w:left="2855" w:right="0" w:firstLine="0"/>
        <w:jc w:val="left"/>
        <w:rPr>
          <w:i/>
          <w:sz w:val="22"/>
        </w:rPr>
      </w:pPr>
      <w:r>
        <w:rPr>
          <w:i/>
          <w:sz w:val="22"/>
        </w:rPr>
        <w:t>7. 多个肢体缺失                  8. 急性或亚急性重症肝炎 </w:t>
      </w:r>
    </w:p>
    <w:p>
      <w:pPr>
        <w:spacing w:before="24"/>
        <w:ind w:left="2855" w:right="0" w:firstLine="0"/>
        <w:jc w:val="left"/>
        <w:rPr>
          <w:i/>
          <w:sz w:val="22"/>
        </w:rPr>
      </w:pPr>
      <w:r>
        <w:rPr>
          <w:i/>
          <w:sz w:val="22"/>
        </w:rPr>
        <w:t>9. 良性脑肿瘤                    10. 慢性肝功能衰竭失代偿期 </w:t>
      </w:r>
    </w:p>
    <w:p>
      <w:pPr>
        <w:spacing w:before="24"/>
        <w:ind w:left="2855" w:right="0" w:firstLine="0"/>
        <w:jc w:val="left"/>
        <w:rPr>
          <w:i/>
          <w:sz w:val="22"/>
        </w:rPr>
      </w:pPr>
      <w:r>
        <w:rPr>
          <w:i/>
          <w:sz w:val="22"/>
        </w:rPr>
        <w:t>11. 脑炎后遗症或脑膜炎后遗症      12. 深度昏迷 </w:t>
      </w:r>
    </w:p>
    <w:p>
      <w:pPr>
        <w:spacing w:before="24"/>
        <w:ind w:left="2855" w:right="0" w:firstLine="0"/>
        <w:jc w:val="left"/>
        <w:rPr>
          <w:i/>
          <w:sz w:val="22"/>
        </w:rPr>
      </w:pPr>
      <w:r>
        <w:rPr>
          <w:i/>
          <w:sz w:val="22"/>
        </w:rPr>
        <w:t>13. 双 耳 失 聪               14. 双 目 失 明 </w:t>
      </w:r>
    </w:p>
    <w:p>
      <w:pPr>
        <w:spacing w:before="24"/>
        <w:ind w:left="2855" w:right="0" w:firstLine="0"/>
        <w:jc w:val="left"/>
        <w:rPr>
          <w:i/>
          <w:sz w:val="22"/>
        </w:rPr>
      </w:pPr>
      <w:r>
        <w:rPr>
          <w:i/>
          <w:sz w:val="22"/>
        </w:rPr>
        <w:t>15. 瘫 痪                   16. 心 脏 瓣 膜 手 术 </w:t>
      </w:r>
    </w:p>
    <w:p>
      <w:pPr>
        <w:spacing w:before="24"/>
        <w:ind w:left="2855" w:right="0" w:firstLine="0"/>
        <w:jc w:val="left"/>
        <w:rPr>
          <w:i/>
          <w:sz w:val="22"/>
        </w:rPr>
      </w:pPr>
      <w:r>
        <w:rPr>
          <w:i/>
          <w:sz w:val="22"/>
        </w:rPr>
        <w:t>17. 严重阿尔茨海默病             18. 严重脑损伤 </w:t>
      </w:r>
    </w:p>
    <w:p>
      <w:pPr>
        <w:spacing w:after="0"/>
        <w:jc w:val="left"/>
        <w:rPr>
          <w:sz w:val="22"/>
        </w:rPr>
        <w:sectPr>
          <w:pgSz w:w="11910" w:h="16840"/>
          <w:pgMar w:header="501" w:footer="998" w:top="700" w:bottom="1180" w:left="1020" w:right="96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789"/>
        <w:gridCol w:w="7418"/>
      </w:tblGrid>
      <w:tr>
        <w:trPr>
          <w:trHeight w:val="266" w:hRule="atLeast"/>
        </w:trPr>
        <w:tc>
          <w:tcPr>
            <w:tcW w:w="2246" w:type="dxa"/>
            <w:gridSpan w:val="2"/>
            <w:vMerge w:val="restart"/>
          </w:tcPr>
          <w:p>
            <w:pPr>
              <w:pStyle w:val="TableParagraph"/>
              <w:rPr>
                <w:rFonts w:ascii="Times New Roman"/>
                <w:sz w:val="20"/>
              </w:rPr>
            </w:pPr>
          </w:p>
        </w:tc>
        <w:tc>
          <w:tcPr>
            <w:tcW w:w="7418" w:type="dxa"/>
          </w:tcPr>
          <w:p>
            <w:pPr>
              <w:pStyle w:val="TableParagraph"/>
              <w:spacing w:line="222" w:lineRule="exact"/>
              <w:ind w:left="438"/>
              <w:rPr>
                <w:i/>
                <w:sz w:val="22"/>
              </w:rPr>
            </w:pPr>
            <w:r>
              <w:rPr>
                <w:i/>
                <w:sz w:val="22"/>
              </w:rPr>
              <w:t>19. 严 重 帕 金 森 病       20. 严 重 III 度 烧 伤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21. 严重原发性肺动脉高压         22. 严重运动神经元病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23. 语言能力丧失                 24. 重型再生障碍性贫血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25. 主 动 脉 手 术        26. 慢 性 呼 吸 功 能 衰 竭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27. 严 重 多 发 性 硬 化     28. 脊 髓 灰 质 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29. 全身性重症肌无力             30. 严重冠心病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31. 严重心肌病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w w:val="95"/>
                <w:sz w:val="22"/>
              </w:rPr>
              <w:t>32. 系统性红斑狼疮-III型或以上狼疮性肾炎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w w:val="95"/>
                <w:sz w:val="22"/>
              </w:rPr>
              <w:t>33. 因职业关系导致的人类免疫缺陷病毒（HIV）感染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w w:val="95"/>
                <w:sz w:val="22"/>
              </w:rPr>
              <w:t>34. 经输血导致的人类免疫缺陷病毒（HIV）感染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8"/>
              <w:rPr>
                <w:i/>
                <w:sz w:val="22"/>
              </w:rPr>
            </w:pPr>
            <w:r>
              <w:rPr>
                <w:i/>
                <w:sz w:val="22"/>
              </w:rPr>
              <w:t>35. 严 重 克 隆 病        36. 严 重 溃 疡 性 结 肠 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37. 1 型 糖 尿 病           38. 肺 源 性 心 脏 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39. 植 物 人 状 态       40. 严 重 类 风 湿 性 关 节 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41. 非阿尔茨海默病所致严重痴呆    42. 埃博拉病毒感染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43. 严重哮喘（25周岁前理赔）      44. 严重川崎病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45. 严重的系统性硬皮病           46. 丝虫病所致象皮肿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47. 胰 腺 移 植       48. 急 性 坏 死 胰 腺 炎 开 腹 手 术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49. 慢 性 复 发 性 胰 腺 炎    50. 疯 牛 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51. 肾髓质囊性病                 52. 严重的原发性硬化性胆管炎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53. 特发性慢性肾上腺皮质功能减退  54. 溶血性链球菌引起的坏疽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55. 颅 脑 手 术           56. 严 重 肌 营 养 不 良 症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57. 严重心肌炎                   58. 肝豆状核变性(或称Wilson病)</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59. 侵蚀性葡萄胎(或称恶性葡萄胎)  60. 破裂脑动脉瘤夹闭手术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w w:val="95"/>
                <w:sz w:val="22"/>
              </w:rPr>
              <w:t>61. 需手术切除的嗜铬细胞瘤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w w:val="95"/>
                <w:sz w:val="22"/>
              </w:rPr>
              <w:t>62. 进行性核上性麻痹(Steele-Rchardson—Olszewski综合征)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63. 原发性骨髓纤维化             64. 严重肠道疾病并发症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w w:val="95"/>
                <w:sz w:val="22"/>
              </w:rPr>
              <w:t>65. 严重瑞氏综合症（Reye综合征，也称赖氏综合征、雷氏综合征）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66. 严重自身免疫性肝炎           67. 严重慢性缩窄型心包炎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68. 坏死性筋膜炎                 69. 严重感染性心内膜炎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70. 严重的骨髓增生异常综合征      71. 严重癫痫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72. 自体造血干细胞移植           73. 肺淋巴管肌瘤病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74. 肺泡蛋白质沉积症              75. 小肠移植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76. 疾病或外伤所致智力障碍        77. 骨生长不全症 </w:t>
            </w:r>
          </w:p>
        </w:tc>
      </w:tr>
      <w:tr>
        <w:trPr>
          <w:trHeight w:val="311" w:hRule="atLeast"/>
        </w:trPr>
        <w:tc>
          <w:tcPr>
            <w:tcW w:w="2246" w:type="dxa"/>
            <w:gridSpan w:val="2"/>
            <w:vMerge/>
            <w:tcBorders>
              <w:top w:val="nil"/>
            </w:tcBorders>
          </w:tcPr>
          <w:p>
            <w:pPr>
              <w:rPr>
                <w:sz w:val="2"/>
                <w:szCs w:val="2"/>
              </w:rPr>
            </w:pPr>
          </w:p>
        </w:tc>
        <w:tc>
          <w:tcPr>
            <w:tcW w:w="7418" w:type="dxa"/>
          </w:tcPr>
          <w:p>
            <w:pPr>
              <w:pStyle w:val="TableParagraph"/>
              <w:spacing w:line="267" w:lineRule="exact"/>
              <w:ind w:left="437"/>
              <w:rPr>
                <w:i/>
                <w:sz w:val="22"/>
              </w:rPr>
            </w:pPr>
            <w:r>
              <w:rPr>
                <w:i/>
                <w:sz w:val="22"/>
              </w:rPr>
              <w:t>78. 失去一肢及一眼               79. 重症手足口病 </w:t>
            </w:r>
          </w:p>
        </w:tc>
      </w:tr>
      <w:tr>
        <w:trPr>
          <w:trHeight w:val="671" w:hRule="atLeast"/>
        </w:trPr>
        <w:tc>
          <w:tcPr>
            <w:tcW w:w="457" w:type="dxa"/>
          </w:tcPr>
          <w:p>
            <w:pPr>
              <w:pStyle w:val="TableParagraph"/>
              <w:spacing w:before="4"/>
              <w:rPr>
                <w:rFonts w:ascii="Times New Roman"/>
                <w:sz w:val="28"/>
              </w:rPr>
            </w:pPr>
          </w:p>
          <w:p>
            <w:pPr>
              <w:pStyle w:val="TableParagraph"/>
              <w:ind w:left="50"/>
              <w:rPr>
                <w:b/>
                <w:sz w:val="21"/>
              </w:rPr>
            </w:pPr>
            <w:r>
              <w:rPr>
                <w:b/>
                <w:w w:val="99"/>
                <w:sz w:val="21"/>
              </w:rPr>
              <w:t> </w:t>
            </w:r>
          </w:p>
        </w:tc>
        <w:tc>
          <w:tcPr>
            <w:tcW w:w="1789" w:type="dxa"/>
          </w:tcPr>
          <w:p>
            <w:pPr>
              <w:pStyle w:val="TableParagraph"/>
              <w:rPr>
                <w:rFonts w:ascii="Times New Roman"/>
                <w:sz w:val="20"/>
              </w:rPr>
            </w:pPr>
          </w:p>
        </w:tc>
        <w:tc>
          <w:tcPr>
            <w:tcW w:w="7418" w:type="dxa"/>
          </w:tcPr>
          <w:p>
            <w:pPr>
              <w:pStyle w:val="TableParagraph"/>
              <w:spacing w:line="267" w:lineRule="exact"/>
              <w:ind w:left="437"/>
              <w:rPr>
                <w:sz w:val="21"/>
              </w:rPr>
            </w:pPr>
            <w:r>
              <w:rPr>
                <w:i/>
                <w:w w:val="95"/>
                <w:sz w:val="22"/>
              </w:rPr>
              <w:t>80. 严重面部烧伤</w:t>
            </w:r>
            <w:r>
              <w:rPr>
                <w:sz w:val="21"/>
              </w:rPr>
              <w:t> </w:t>
            </w:r>
          </w:p>
        </w:tc>
      </w:tr>
      <w:tr>
        <w:trPr>
          <w:trHeight w:val="690" w:hRule="atLeast"/>
        </w:trPr>
        <w:tc>
          <w:tcPr>
            <w:tcW w:w="457" w:type="dxa"/>
          </w:tcPr>
          <w:p>
            <w:pPr>
              <w:pStyle w:val="TableParagraph"/>
              <w:spacing w:before="13"/>
              <w:ind w:left="50"/>
              <w:rPr>
                <w:b/>
                <w:sz w:val="21"/>
              </w:rPr>
            </w:pPr>
            <w:r>
              <w:rPr>
                <w:b/>
                <w:w w:val="99"/>
                <w:sz w:val="21"/>
              </w:rPr>
              <w:t> </w:t>
            </w:r>
          </w:p>
        </w:tc>
        <w:tc>
          <w:tcPr>
            <w:tcW w:w="1789" w:type="dxa"/>
          </w:tcPr>
          <w:p>
            <w:pPr>
              <w:pStyle w:val="TableParagraph"/>
              <w:spacing w:before="13"/>
              <w:ind w:left="302"/>
              <w:rPr>
                <w:rFonts w:ascii="黑体" w:eastAsia="黑体" w:hint="eastAsia"/>
                <w:sz w:val="21"/>
              </w:rPr>
            </w:pPr>
            <w:r>
              <w:rPr>
                <w:rFonts w:ascii="黑体" w:eastAsia="黑体" w:hint="eastAsia"/>
                <w:sz w:val="21"/>
              </w:rPr>
              <w:t>身故保险金</w:t>
            </w:r>
          </w:p>
        </w:tc>
        <w:tc>
          <w:tcPr>
            <w:tcW w:w="7418" w:type="dxa"/>
          </w:tcPr>
          <w:p>
            <w:pPr>
              <w:pStyle w:val="TableParagraph"/>
              <w:spacing w:before="5"/>
              <w:ind w:left="438"/>
              <w:rPr>
                <w:sz w:val="21"/>
              </w:rPr>
            </w:pPr>
            <w:r>
              <w:rPr>
                <w:sz w:val="21"/>
              </w:rPr>
              <w:t>被保险人因意外伤害，或在等待期结束后因意外伤害以外原因身故的： </w:t>
            </w:r>
          </w:p>
          <w:p>
            <w:pPr>
              <w:pStyle w:val="TableParagraph"/>
              <w:spacing w:before="68"/>
              <w:ind w:left="438"/>
              <w:rPr>
                <w:sz w:val="21"/>
              </w:rPr>
            </w:pPr>
            <w:r>
              <w:rPr>
                <w:spacing w:val="-6"/>
                <w:sz w:val="21"/>
              </w:rPr>
              <w:t>若被保险人身故时未满 </w:t>
            </w:r>
            <w:r>
              <w:rPr>
                <w:sz w:val="21"/>
              </w:rPr>
              <w:t>18</w:t>
            </w:r>
            <w:r>
              <w:rPr>
                <w:spacing w:val="-15"/>
                <w:sz w:val="21"/>
              </w:rPr>
              <w:t> 周岁，本公司按累计已交保险费的 </w:t>
            </w:r>
            <w:r>
              <w:rPr>
                <w:sz w:val="21"/>
              </w:rPr>
              <w:t>2</w:t>
            </w:r>
            <w:r>
              <w:rPr>
                <w:spacing w:val="-18"/>
                <w:sz w:val="21"/>
              </w:rPr>
              <w:t> 倍给付“身故</w:t>
            </w:r>
          </w:p>
        </w:tc>
      </w:tr>
      <w:tr>
        <w:trPr>
          <w:trHeight w:val="343" w:hRule="atLeast"/>
        </w:trPr>
        <w:tc>
          <w:tcPr>
            <w:tcW w:w="457" w:type="dxa"/>
          </w:tcPr>
          <w:p>
            <w:pPr>
              <w:pStyle w:val="TableParagraph"/>
              <w:rPr>
                <w:rFonts w:ascii="Times New Roman"/>
                <w:sz w:val="20"/>
              </w:rPr>
            </w:pPr>
          </w:p>
        </w:tc>
        <w:tc>
          <w:tcPr>
            <w:tcW w:w="1789" w:type="dxa"/>
          </w:tcPr>
          <w:p>
            <w:pPr>
              <w:pStyle w:val="TableParagraph"/>
              <w:rPr>
                <w:rFonts w:ascii="Times New Roman"/>
                <w:sz w:val="20"/>
              </w:rPr>
            </w:pPr>
          </w:p>
        </w:tc>
        <w:tc>
          <w:tcPr>
            <w:tcW w:w="7418" w:type="dxa"/>
          </w:tcPr>
          <w:p>
            <w:pPr>
              <w:pStyle w:val="TableParagraph"/>
              <w:spacing w:before="1"/>
              <w:ind w:left="438"/>
              <w:rPr>
                <w:sz w:val="21"/>
              </w:rPr>
            </w:pPr>
            <w:r>
              <w:rPr>
                <w:spacing w:val="-11"/>
                <w:sz w:val="21"/>
              </w:rPr>
              <w:t>保险金”，本主险合同终止； </w:t>
            </w:r>
          </w:p>
        </w:tc>
      </w:tr>
      <w:tr>
        <w:trPr>
          <w:trHeight w:val="343" w:hRule="atLeast"/>
        </w:trPr>
        <w:tc>
          <w:tcPr>
            <w:tcW w:w="457" w:type="dxa"/>
          </w:tcPr>
          <w:p>
            <w:pPr>
              <w:pStyle w:val="TableParagraph"/>
              <w:rPr>
                <w:rFonts w:ascii="Times New Roman"/>
                <w:sz w:val="20"/>
              </w:rPr>
            </w:pPr>
          </w:p>
        </w:tc>
        <w:tc>
          <w:tcPr>
            <w:tcW w:w="1789" w:type="dxa"/>
          </w:tcPr>
          <w:p>
            <w:pPr>
              <w:pStyle w:val="TableParagraph"/>
              <w:rPr>
                <w:rFonts w:ascii="Times New Roman"/>
                <w:sz w:val="20"/>
              </w:rPr>
            </w:pPr>
          </w:p>
        </w:tc>
        <w:tc>
          <w:tcPr>
            <w:tcW w:w="7418" w:type="dxa"/>
          </w:tcPr>
          <w:p>
            <w:pPr>
              <w:pStyle w:val="TableParagraph"/>
              <w:spacing w:before="1"/>
              <w:ind w:left="438"/>
              <w:rPr>
                <w:sz w:val="21"/>
              </w:rPr>
            </w:pPr>
            <w:r>
              <w:rPr>
                <w:spacing w:val="-6"/>
                <w:sz w:val="21"/>
              </w:rPr>
              <w:t>若被保险人身故时年满 </w:t>
            </w:r>
            <w:r>
              <w:rPr>
                <w:sz w:val="21"/>
              </w:rPr>
              <w:t>18</w:t>
            </w:r>
            <w:r>
              <w:rPr>
                <w:spacing w:val="-14"/>
                <w:sz w:val="21"/>
              </w:rPr>
              <w:t> 周岁，本公司按本主险合同约定的基本保险金额给</w:t>
            </w:r>
          </w:p>
        </w:tc>
      </w:tr>
      <w:tr>
        <w:trPr>
          <w:trHeight w:val="347" w:hRule="atLeast"/>
        </w:trPr>
        <w:tc>
          <w:tcPr>
            <w:tcW w:w="457" w:type="dxa"/>
          </w:tcPr>
          <w:p>
            <w:pPr>
              <w:pStyle w:val="TableParagraph"/>
              <w:rPr>
                <w:rFonts w:ascii="Times New Roman"/>
                <w:sz w:val="20"/>
              </w:rPr>
            </w:pPr>
          </w:p>
        </w:tc>
        <w:tc>
          <w:tcPr>
            <w:tcW w:w="1789" w:type="dxa"/>
          </w:tcPr>
          <w:p>
            <w:pPr>
              <w:pStyle w:val="TableParagraph"/>
              <w:rPr>
                <w:rFonts w:ascii="Times New Roman"/>
                <w:sz w:val="20"/>
              </w:rPr>
            </w:pPr>
          </w:p>
        </w:tc>
        <w:tc>
          <w:tcPr>
            <w:tcW w:w="7418" w:type="dxa"/>
          </w:tcPr>
          <w:p>
            <w:pPr>
              <w:pStyle w:val="TableParagraph"/>
              <w:spacing w:before="1"/>
              <w:ind w:left="438"/>
              <w:rPr>
                <w:sz w:val="21"/>
              </w:rPr>
            </w:pPr>
            <w:r>
              <w:rPr>
                <w:spacing w:val="-11"/>
                <w:sz w:val="21"/>
              </w:rPr>
              <w:t>付“身故保险金”，本主险合同终止。 </w:t>
            </w:r>
          </w:p>
        </w:tc>
      </w:tr>
      <w:tr>
        <w:trPr>
          <w:trHeight w:val="351" w:hRule="atLeast"/>
        </w:trPr>
        <w:tc>
          <w:tcPr>
            <w:tcW w:w="457" w:type="dxa"/>
          </w:tcPr>
          <w:p>
            <w:pPr>
              <w:pStyle w:val="TableParagraph"/>
              <w:spacing w:before="6"/>
              <w:ind w:left="50"/>
              <w:rPr>
                <w:b/>
                <w:sz w:val="21"/>
              </w:rPr>
            </w:pPr>
            <w:r>
              <w:rPr>
                <w:b/>
                <w:w w:val="99"/>
                <w:sz w:val="21"/>
              </w:rPr>
              <w:t> </w:t>
            </w:r>
          </w:p>
        </w:tc>
        <w:tc>
          <w:tcPr>
            <w:tcW w:w="1789" w:type="dxa"/>
          </w:tcPr>
          <w:p>
            <w:pPr>
              <w:pStyle w:val="TableParagraph"/>
              <w:rPr>
                <w:rFonts w:ascii="Times New Roman"/>
                <w:sz w:val="20"/>
              </w:rPr>
            </w:pPr>
          </w:p>
        </w:tc>
        <w:tc>
          <w:tcPr>
            <w:tcW w:w="7418" w:type="dxa"/>
          </w:tcPr>
          <w:p>
            <w:pPr>
              <w:pStyle w:val="TableParagraph"/>
              <w:rPr>
                <w:rFonts w:ascii="Times New Roman"/>
                <w:sz w:val="20"/>
              </w:rPr>
            </w:pPr>
          </w:p>
        </w:tc>
      </w:tr>
      <w:tr>
        <w:trPr>
          <w:trHeight w:val="288" w:hRule="atLeast"/>
        </w:trPr>
        <w:tc>
          <w:tcPr>
            <w:tcW w:w="457" w:type="dxa"/>
          </w:tcPr>
          <w:p>
            <w:pPr>
              <w:pStyle w:val="TableParagraph"/>
              <w:spacing w:line="255" w:lineRule="exact" w:before="13"/>
              <w:ind w:left="50"/>
              <w:rPr>
                <w:b/>
                <w:sz w:val="21"/>
              </w:rPr>
            </w:pPr>
            <w:r>
              <w:rPr>
                <w:b/>
                <w:w w:val="99"/>
                <w:sz w:val="21"/>
              </w:rPr>
              <w:t> </w:t>
            </w:r>
          </w:p>
        </w:tc>
        <w:tc>
          <w:tcPr>
            <w:tcW w:w="1789" w:type="dxa"/>
          </w:tcPr>
          <w:p>
            <w:pPr>
              <w:pStyle w:val="TableParagraph"/>
              <w:spacing w:line="255" w:lineRule="exact" w:before="13"/>
              <w:ind w:left="302"/>
              <w:rPr>
                <w:rFonts w:ascii="黑体" w:eastAsia="黑体" w:hint="eastAsia"/>
                <w:sz w:val="21"/>
              </w:rPr>
            </w:pPr>
            <w:r>
              <w:rPr>
                <w:rFonts w:ascii="黑体" w:eastAsia="黑体" w:hint="eastAsia"/>
                <w:sz w:val="21"/>
              </w:rPr>
              <w:t>全残保险金</w:t>
            </w:r>
          </w:p>
        </w:tc>
        <w:tc>
          <w:tcPr>
            <w:tcW w:w="7418" w:type="dxa"/>
          </w:tcPr>
          <w:p>
            <w:pPr>
              <w:pStyle w:val="TableParagraph"/>
              <w:spacing w:line="263" w:lineRule="exact" w:before="5"/>
              <w:ind w:left="437"/>
              <w:rPr>
                <w:sz w:val="21"/>
              </w:rPr>
            </w:pPr>
            <w:r>
              <w:rPr>
                <w:sz w:val="21"/>
              </w:rPr>
              <w:t>被保险人因意外伤害，或在等待期结束后因意外伤害以外原因全残的： </w:t>
            </w:r>
          </w:p>
        </w:tc>
      </w:tr>
    </w:tbl>
    <w:p>
      <w:pPr>
        <w:spacing w:after="0" w:line="263" w:lineRule="exact"/>
        <w:rPr>
          <w:sz w:val="21"/>
        </w:rPr>
        <w:sectPr>
          <w:pgSz w:w="11910" w:h="16840"/>
          <w:pgMar w:header="501" w:footer="998" w:top="700" w:bottom="1180" w:left="1020" w:right="94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pStyle w:val="BodyText"/>
        <w:spacing w:line="300" w:lineRule="auto" w:before="35"/>
        <w:ind w:left="2856" w:right="215"/>
      </w:pPr>
      <w:r>
        <w:rPr>
          <w:spacing w:val="-6"/>
        </w:rPr>
        <w:t>若被保险人全残时未满 </w:t>
      </w:r>
      <w:r>
        <w:rPr/>
        <w:t>18</w:t>
      </w:r>
      <w:r>
        <w:rPr>
          <w:spacing w:val="-15"/>
        </w:rPr>
        <w:t> 周岁，本公司按累计已交保险费的 </w:t>
      </w:r>
      <w:r>
        <w:rPr/>
        <w:t>2</w:t>
      </w:r>
      <w:r>
        <w:rPr>
          <w:spacing w:val="-18"/>
        </w:rPr>
        <w:t> 倍给付“全残</w:t>
      </w:r>
      <w:r>
        <w:rPr>
          <w:spacing w:val="-15"/>
        </w:rPr>
        <w:t>保险金”，本主险合同终止； </w:t>
      </w:r>
    </w:p>
    <w:p>
      <w:pPr>
        <w:pStyle w:val="BodyText"/>
        <w:spacing w:line="273" w:lineRule="auto"/>
        <w:ind w:left="2856" w:right="215"/>
      </w:pPr>
      <w:r>
        <w:rPr>
          <w:spacing w:val="-6"/>
        </w:rPr>
        <w:t>若被保险人全残时年满 </w:t>
      </w:r>
      <w:r>
        <w:rPr/>
        <w:t>18</w:t>
      </w:r>
      <w:r>
        <w:rPr>
          <w:spacing w:val="-14"/>
        </w:rPr>
        <w:t> 周岁，本公司按本主险合同约定的基本保险金额给</w:t>
      </w:r>
      <w:r>
        <w:rPr>
          <w:spacing w:val="-16"/>
        </w:rPr>
        <w:t>付“全残保险金”，本主险合同终止。 </w:t>
      </w:r>
    </w:p>
    <w:p>
      <w:pPr>
        <w:pStyle w:val="BodyText"/>
        <w:spacing w:before="4"/>
        <w:rPr>
          <w:sz w:val="25"/>
        </w:rPr>
      </w:pPr>
    </w:p>
    <w:p>
      <w:pPr>
        <w:pStyle w:val="BodyText"/>
        <w:tabs>
          <w:tab w:pos="931" w:val="left" w:leader="none"/>
          <w:tab w:pos="2855" w:val="left" w:leader="none"/>
        </w:tabs>
        <w:spacing w:line="254" w:lineRule="auto" w:before="35"/>
        <w:ind w:left="2855" w:right="216" w:hanging="2634"/>
      </w:pPr>
      <w:r>
        <w:rPr>
          <w:b/>
          <w:w w:val="99"/>
          <w:position w:val="-1"/>
        </w:rPr>
        <w:t> </w:t>
      </w:r>
      <w:r>
        <w:rPr>
          <w:b/>
          <w:position w:val="-1"/>
        </w:rPr>
        <w:tab/>
      </w:r>
      <w:r>
        <w:rPr>
          <w:rFonts w:ascii="黑体" w:eastAsia="黑体" w:hint="eastAsia"/>
          <w:position w:val="-1"/>
        </w:rPr>
        <w:t>疾病终末期保险金</w:t>
        <w:tab/>
      </w:r>
      <w:r>
        <w:rPr/>
        <w:t>被保险人因意外伤害，或在等待期结束后因意外伤害以外的原因经医院确诊初次达到本主险合同所约定的疾病终末期阶段的：</w:t>
      </w:r>
    </w:p>
    <w:p>
      <w:pPr>
        <w:pStyle w:val="BodyText"/>
        <w:spacing w:line="273" w:lineRule="auto" w:before="24"/>
        <w:ind w:left="2855" w:right="214"/>
      </w:pPr>
      <w:r>
        <w:rPr>
          <w:spacing w:val="1"/>
        </w:rPr>
        <w:t>若被保险人初次确诊时未满</w:t>
      </w:r>
      <w:r>
        <w:rPr/>
        <w:t>18</w:t>
      </w:r>
      <w:r>
        <w:rPr>
          <w:spacing w:val="-13"/>
        </w:rPr>
        <w:t> 周岁，本公司按累计已交保险费的</w:t>
      </w:r>
      <w:r>
        <w:rPr/>
        <w:t>2</w:t>
      </w:r>
      <w:r>
        <w:rPr>
          <w:spacing w:val="-31"/>
        </w:rPr>
        <w:t> 倍给付“疾</w:t>
      </w:r>
      <w:r>
        <w:rPr>
          <w:spacing w:val="-23"/>
        </w:rPr>
        <w:t>病终末期保险金”，本主险合同终止； </w:t>
      </w:r>
    </w:p>
    <w:p>
      <w:pPr>
        <w:pStyle w:val="BodyText"/>
        <w:spacing w:line="314" w:lineRule="auto" w:before="31"/>
        <w:ind w:left="2855" w:right="216"/>
      </w:pPr>
      <w:r>
        <w:rPr>
          <w:spacing w:val="-5"/>
        </w:rPr>
        <w:t>若被保险人初次确诊时年满 </w:t>
      </w:r>
      <w:r>
        <w:rPr/>
        <w:t>18</w:t>
      </w:r>
      <w:r>
        <w:rPr>
          <w:spacing w:val="-14"/>
        </w:rPr>
        <w:t> 周岁，本公司按本主险合同约定的基本保险金</w:t>
      </w:r>
      <w:r>
        <w:rPr>
          <w:spacing w:val="-17"/>
        </w:rPr>
        <w:t>额给付“疾病终末期保险金”，本主险合同终止。</w:t>
      </w:r>
    </w:p>
    <w:p>
      <w:pPr>
        <w:pStyle w:val="Heading5"/>
        <w:tabs>
          <w:tab w:pos="2855" w:val="left" w:leader="none"/>
        </w:tabs>
        <w:spacing w:line="314" w:lineRule="auto" w:before="18"/>
        <w:ind w:left="2855" w:right="216" w:hanging="2634"/>
      </w:pPr>
      <w:r>
        <w:rPr>
          <w:w w:val="99"/>
        </w:rPr>
        <w:t> </w:t>
      </w:r>
      <w:r>
        <w:rPr/>
        <w:tab/>
      </w:r>
      <w:r>
        <w:rPr>
          <w:spacing w:val="-4"/>
          <w:w w:val="95"/>
        </w:rPr>
        <w:t>重大疾病保险金、身故保险金、全残保险金与疾病终末期保险金，本公司仅    给付其中一项。</w:t>
      </w:r>
    </w:p>
    <w:p>
      <w:pPr>
        <w:spacing w:after="0" w:line="314" w:lineRule="auto"/>
        <w:sectPr>
          <w:pgSz w:w="11910" w:h="16840"/>
          <w:pgMar w:header="501" w:footer="998" w:top="700" w:bottom="1180" w:left="1020" w:right="880"/>
        </w:sectPr>
      </w:pPr>
    </w:p>
    <w:p>
      <w:pPr>
        <w:spacing w:before="18"/>
        <w:ind w:left="221" w:right="0" w:firstLine="0"/>
        <w:jc w:val="left"/>
        <w:rPr>
          <w:b/>
          <w:sz w:val="21"/>
        </w:rPr>
      </w:pPr>
      <w:r>
        <w:rPr>
          <w:b/>
          <w:w w:val="99"/>
          <w:sz w:val="21"/>
        </w:rPr>
        <w:t> </w:t>
      </w:r>
    </w:p>
    <w:p>
      <w:pPr>
        <w:pStyle w:val="BodyText"/>
        <w:tabs>
          <w:tab w:pos="931" w:val="left" w:leader="none"/>
        </w:tabs>
        <w:spacing w:line="314" w:lineRule="auto" w:before="83"/>
        <w:ind w:left="931" w:hanging="710"/>
        <w:rPr>
          <w:rFonts w:ascii="黑体" w:eastAsia="黑体" w:hint="eastAsia"/>
        </w:rPr>
      </w:pPr>
      <w:r>
        <w:rPr>
          <w:b/>
          <w:w w:val="99"/>
        </w:rPr>
        <w:t> </w:t>
      </w:r>
      <w:r>
        <w:rPr>
          <w:b/>
        </w:rPr>
        <w:tab/>
      </w:r>
      <w:r>
        <w:rPr>
          <w:rFonts w:ascii="黑体" w:eastAsia="黑体" w:hint="eastAsia"/>
        </w:rPr>
        <w:t>轻症疾病保险费豁免</w:t>
      </w:r>
    </w:p>
    <w:p>
      <w:pPr>
        <w:pStyle w:val="BodyText"/>
        <w:rPr>
          <w:rFonts w:ascii="黑体"/>
          <w:sz w:val="20"/>
        </w:rPr>
      </w:pPr>
    </w:p>
    <w:p>
      <w:pPr>
        <w:pStyle w:val="BodyText"/>
        <w:spacing w:before="6"/>
        <w:rPr>
          <w:rFonts w:ascii="黑体"/>
          <w:sz w:val="25"/>
        </w:rPr>
      </w:pPr>
    </w:p>
    <w:p>
      <w:pPr>
        <w:pStyle w:val="Heading5"/>
        <w:spacing w:before="1"/>
        <w:ind w:left="221"/>
      </w:pPr>
      <w:r>
        <w:rPr>
          <w:w w:val="99"/>
        </w:rPr>
        <w:t> </w:t>
      </w:r>
    </w:p>
    <w:p>
      <w:pPr>
        <w:pStyle w:val="BodyText"/>
        <w:rPr>
          <w:b/>
          <w:sz w:val="27"/>
        </w:rPr>
      </w:pPr>
      <w:r>
        <w:rPr/>
        <w:br w:type="column"/>
      </w:r>
      <w:r>
        <w:rPr>
          <w:b/>
          <w:sz w:val="27"/>
        </w:rPr>
      </w:r>
    </w:p>
    <w:p>
      <w:pPr>
        <w:pStyle w:val="BodyText"/>
        <w:spacing w:line="273" w:lineRule="auto"/>
        <w:ind w:left="204" w:right="216"/>
        <w:jc w:val="both"/>
      </w:pPr>
      <w:r>
        <w:rPr/>
        <w:t>在交费期间内，若被保险人在等待期后经医院初次确诊发生本主险合同所列的轻症疾病，本公司将豁免本主险合同自轻症疾病确诊之日起以后各期保险费。</w:t>
      </w:r>
    </w:p>
    <w:p>
      <w:pPr>
        <w:pStyle w:val="Heading5"/>
        <w:spacing w:before="31"/>
        <w:ind w:left="204"/>
        <w:jc w:val="both"/>
      </w:pPr>
      <w:r>
        <w:rPr>
          <w:w w:val="95"/>
        </w:rPr>
        <w:t>被豁免的保险费视为已交纳，本主险合同继续有效。</w:t>
      </w:r>
    </w:p>
    <w:p>
      <w:pPr>
        <w:spacing w:after="0"/>
        <w:jc w:val="both"/>
        <w:sectPr>
          <w:type w:val="continuous"/>
          <w:pgSz w:w="11910" w:h="16840"/>
          <w:pgMar w:top="700" w:bottom="280" w:left="1020" w:right="880"/>
          <w:cols w:num="2" w:equalWidth="0">
            <w:col w:w="2612" w:space="40"/>
            <w:col w:w="7358"/>
          </w:cols>
        </w:sectPr>
      </w:pPr>
    </w:p>
    <w:p>
      <w:pPr>
        <w:pStyle w:val="ListParagraph"/>
        <w:numPr>
          <w:ilvl w:val="1"/>
          <w:numId w:val="8"/>
        </w:numPr>
        <w:tabs>
          <w:tab w:pos="541" w:val="left" w:leader="none"/>
        </w:tabs>
        <w:spacing w:line="295" w:lineRule="auto" w:before="74" w:after="0"/>
        <w:ind w:left="2855" w:right="216" w:hanging="2634"/>
        <w:jc w:val="both"/>
        <w:rPr>
          <w:rFonts w:ascii="黑体" w:eastAsia="黑体" w:hint="eastAsia"/>
          <w:sz w:val="21"/>
        </w:rPr>
      </w:pPr>
      <w:r>
        <w:rPr>
          <w:rFonts w:ascii="黑体" w:eastAsia="黑体" w:hint="eastAsia"/>
          <w:b/>
          <w:spacing w:val="0"/>
          <w:sz w:val="21"/>
        </w:rPr>
        <w:t>保险责任的免除    </w:t>
      </w:r>
      <w:r>
        <w:rPr>
          <w:rFonts w:ascii="黑体" w:eastAsia="黑体" w:hint="eastAsia"/>
          <w:position w:val="1"/>
          <w:sz w:val="21"/>
        </w:rPr>
        <w:t>因下列情形之一，导致被保险人身故、全残、达到疾病终末期阶段或初次诊</w:t>
      </w:r>
      <w:r>
        <w:rPr>
          <w:rFonts w:ascii="黑体" w:eastAsia="黑体" w:hint="eastAsia"/>
          <w:sz w:val="21"/>
        </w:rPr>
        <w:t>断罹患本主险合同定义的轻症疾病、重大疾病的，本公司不承担给付各项保险金的责任：</w:t>
      </w:r>
    </w:p>
    <w:p>
      <w:pPr>
        <w:pStyle w:val="BodyText"/>
        <w:spacing w:before="28"/>
        <w:ind w:left="2855"/>
        <w:rPr>
          <w:rFonts w:ascii="黑体" w:eastAsia="黑体" w:hint="eastAsia"/>
        </w:rPr>
      </w:pPr>
      <w:r>
        <w:rPr>
          <w:rFonts w:ascii="黑体" w:eastAsia="黑体" w:hint="eastAsia"/>
        </w:rPr>
        <w:t>（1） 投保人对被保险人的故意杀害、故意伤害；</w:t>
      </w:r>
    </w:p>
    <w:p>
      <w:pPr>
        <w:pStyle w:val="BodyText"/>
        <w:spacing w:before="83"/>
        <w:ind w:left="2855"/>
        <w:rPr>
          <w:rFonts w:ascii="黑体" w:eastAsia="黑体" w:hint="eastAsia"/>
        </w:rPr>
      </w:pPr>
      <w:r>
        <w:rPr>
          <w:rFonts w:ascii="黑体" w:eastAsia="黑体" w:hint="eastAsia"/>
        </w:rPr>
        <w:t>（2） 被保险人故意犯罪或者抗拒依法采取的刑事强制措施；</w:t>
      </w:r>
    </w:p>
    <w:p>
      <w:pPr>
        <w:pStyle w:val="BodyText"/>
        <w:spacing w:before="83"/>
        <w:ind w:left="2855"/>
        <w:rPr>
          <w:rFonts w:ascii="黑体" w:eastAsia="黑体" w:hint="eastAsia"/>
        </w:rPr>
      </w:pPr>
      <w:r>
        <w:rPr>
          <w:rFonts w:ascii="黑体" w:eastAsia="黑体" w:hint="eastAsia"/>
          <w:spacing w:val="-1"/>
        </w:rPr>
        <w:t>（3</w:t>
      </w:r>
      <w:r>
        <w:rPr>
          <w:rFonts w:ascii="黑体" w:eastAsia="黑体" w:hint="eastAsia"/>
          <w:spacing w:val="0"/>
        </w:rPr>
        <w:t>）</w:t>
      </w:r>
      <w:r>
        <w:rPr>
          <w:spacing w:val="-63"/>
        </w:rPr>
        <w:t> </w:t>
      </w:r>
      <w:r>
        <w:rPr>
          <w:rFonts w:ascii="黑体" w:eastAsia="黑体" w:hint="eastAsia"/>
        </w:rPr>
        <w:t>被保险人故意主动吸食或注射</w:t>
      </w:r>
      <w:r>
        <w:rPr>
          <w:rFonts w:ascii="黑体" w:eastAsia="黑体" w:hint="eastAsia"/>
          <w:b/>
          <w:w w:val="99"/>
        </w:rPr>
        <w:t>毒品</w:t>
      </w:r>
      <w:r>
        <w:rPr>
          <w:rFonts w:ascii="黑体" w:eastAsia="黑体" w:hint="eastAsia"/>
          <w:spacing w:val="-1"/>
        </w:rPr>
        <w:t>（</w:t>
      </w:r>
      <w:r>
        <w:rPr>
          <w:rFonts w:ascii="黑体" w:eastAsia="黑体" w:hint="eastAsia"/>
          <w:spacing w:val="-14"/>
        </w:rPr>
        <w:t>见释义 </w:t>
      </w:r>
      <w:r>
        <w:rPr>
          <w:rFonts w:ascii="黑体" w:eastAsia="黑体" w:hint="eastAsia"/>
          <w:spacing w:val="-1"/>
        </w:rPr>
        <w:t>6.12</w:t>
      </w:r>
      <w:r>
        <w:rPr>
          <w:rFonts w:ascii="黑体" w:eastAsia="黑体" w:hint="eastAsia"/>
          <w:spacing w:val="-105"/>
        </w:rPr>
        <w:t>）</w:t>
      </w:r>
      <w:r>
        <w:rPr>
          <w:rFonts w:ascii="黑体" w:eastAsia="黑体" w:hint="eastAsia"/>
        </w:rPr>
        <w:t>；</w:t>
      </w:r>
    </w:p>
    <w:p>
      <w:pPr>
        <w:pStyle w:val="BodyText"/>
        <w:spacing w:line="314" w:lineRule="auto" w:before="83"/>
        <w:ind w:left="3423" w:right="109" w:hanging="568"/>
        <w:rPr>
          <w:rFonts w:ascii="黑体" w:eastAsia="黑体" w:hint="eastAsia"/>
        </w:rPr>
      </w:pPr>
      <w:r>
        <w:rPr>
          <w:rFonts w:ascii="黑体" w:eastAsia="黑体" w:hint="eastAsia"/>
        </w:rPr>
        <w:t>（4）</w:t>
      </w:r>
      <w:r>
        <w:rPr>
          <w:rFonts w:ascii="黑体" w:eastAsia="黑体" w:hint="eastAsia"/>
          <w:spacing w:val="-8"/>
        </w:rPr>
        <w:t> 被保险人自本主险合同成立或合同效力恢复之日起</w:t>
      </w:r>
      <w:r>
        <w:rPr>
          <w:rFonts w:ascii="黑体" w:eastAsia="黑体" w:hint="eastAsia"/>
        </w:rPr>
        <w:t>2</w:t>
      </w:r>
      <w:r>
        <w:rPr>
          <w:rFonts w:ascii="黑体" w:eastAsia="黑体" w:hint="eastAsia"/>
          <w:spacing w:val="-10"/>
        </w:rPr>
        <w:t> 年内自杀或自伤， 但被保险人自杀或自伤时为无民事行为能力人的除外；</w:t>
      </w:r>
    </w:p>
    <w:p>
      <w:pPr>
        <w:spacing w:before="18"/>
        <w:ind w:left="2855" w:right="0" w:firstLine="0"/>
        <w:jc w:val="left"/>
        <w:rPr>
          <w:rFonts w:ascii="黑体" w:eastAsia="黑体" w:hint="eastAsia"/>
          <w:sz w:val="21"/>
        </w:rPr>
      </w:pPr>
      <w:r>
        <w:rPr>
          <w:rFonts w:ascii="黑体" w:eastAsia="黑体" w:hint="eastAsia"/>
          <w:spacing w:val="-1"/>
          <w:sz w:val="21"/>
        </w:rPr>
        <w:t>（5</w:t>
      </w:r>
      <w:r>
        <w:rPr>
          <w:rFonts w:ascii="黑体" w:eastAsia="黑体" w:hint="eastAsia"/>
          <w:spacing w:val="0"/>
          <w:sz w:val="21"/>
        </w:rPr>
        <w:t>）</w:t>
      </w:r>
      <w:r>
        <w:rPr>
          <w:spacing w:val="-63"/>
          <w:sz w:val="21"/>
        </w:rPr>
        <w:t> </w:t>
      </w:r>
      <w:r>
        <w:rPr>
          <w:rFonts w:ascii="黑体" w:eastAsia="黑体" w:hint="eastAsia"/>
          <w:spacing w:val="0"/>
          <w:sz w:val="21"/>
        </w:rPr>
        <w:t>被保险人</w:t>
      </w:r>
      <w:r>
        <w:rPr>
          <w:rFonts w:ascii="黑体" w:eastAsia="黑体" w:hint="eastAsia"/>
          <w:b/>
          <w:spacing w:val="1"/>
          <w:w w:val="99"/>
          <w:sz w:val="21"/>
        </w:rPr>
        <w:t>酒后驾驶</w:t>
      </w:r>
      <w:r>
        <w:rPr>
          <w:rFonts w:ascii="黑体" w:eastAsia="黑体" w:hint="eastAsia"/>
          <w:spacing w:val="1"/>
          <w:sz w:val="21"/>
        </w:rPr>
        <w:t>（</w:t>
      </w:r>
      <w:r>
        <w:rPr>
          <w:rFonts w:ascii="黑体" w:eastAsia="黑体" w:hint="eastAsia"/>
          <w:sz w:val="21"/>
        </w:rPr>
        <w:t>见释义 6</w:t>
      </w:r>
      <w:r>
        <w:rPr>
          <w:rFonts w:ascii="黑体" w:eastAsia="黑体" w:hint="eastAsia"/>
          <w:spacing w:val="-1"/>
          <w:sz w:val="21"/>
        </w:rPr>
        <w:t>.1</w:t>
      </w:r>
      <w:r>
        <w:rPr>
          <w:rFonts w:ascii="黑体" w:eastAsia="黑体" w:hint="eastAsia"/>
          <w:spacing w:val="0"/>
          <w:sz w:val="21"/>
        </w:rPr>
        <w:t>3</w:t>
      </w:r>
      <w:r>
        <w:rPr>
          <w:rFonts w:ascii="黑体" w:eastAsia="黑体" w:hint="eastAsia"/>
          <w:spacing w:val="-104"/>
          <w:sz w:val="21"/>
        </w:rPr>
        <w:t>）</w:t>
      </w:r>
      <w:r>
        <w:rPr>
          <w:rFonts w:ascii="黑体" w:eastAsia="黑体" w:hint="eastAsia"/>
          <w:spacing w:val="1"/>
          <w:sz w:val="21"/>
        </w:rPr>
        <w:t>，</w:t>
      </w:r>
      <w:r>
        <w:rPr>
          <w:rFonts w:ascii="黑体" w:eastAsia="黑体" w:hint="eastAsia"/>
          <w:b/>
          <w:w w:val="99"/>
          <w:sz w:val="21"/>
        </w:rPr>
        <w:t>无合法有效驾驶证驾驶</w:t>
      </w:r>
      <w:r>
        <w:rPr>
          <w:rFonts w:ascii="黑体" w:eastAsia="黑体" w:hint="eastAsia"/>
          <w:spacing w:val="0"/>
          <w:sz w:val="21"/>
        </w:rPr>
        <w:t>（</w:t>
      </w:r>
      <w:r>
        <w:rPr>
          <w:rFonts w:ascii="黑体" w:eastAsia="黑体" w:hint="eastAsia"/>
          <w:sz w:val="21"/>
        </w:rPr>
        <w:t>见释义</w:t>
      </w:r>
    </w:p>
    <w:p>
      <w:pPr>
        <w:spacing w:before="83"/>
        <w:ind w:left="3423" w:right="0" w:firstLine="0"/>
        <w:jc w:val="left"/>
        <w:rPr>
          <w:rFonts w:ascii="黑体" w:eastAsia="黑体" w:hint="eastAsia"/>
          <w:sz w:val="21"/>
        </w:rPr>
      </w:pPr>
      <w:r>
        <w:rPr>
          <w:rFonts w:ascii="黑体" w:eastAsia="黑体" w:hint="eastAsia"/>
          <w:sz w:val="21"/>
        </w:rPr>
        <w:t>6.14）或驾驶</w:t>
      </w:r>
      <w:r>
        <w:rPr>
          <w:rFonts w:ascii="黑体" w:eastAsia="黑体" w:hint="eastAsia"/>
          <w:b/>
          <w:sz w:val="21"/>
        </w:rPr>
        <w:t>无有效行驶证</w:t>
      </w:r>
      <w:r>
        <w:rPr>
          <w:rFonts w:ascii="黑体" w:eastAsia="黑体" w:hint="eastAsia"/>
          <w:sz w:val="21"/>
        </w:rPr>
        <w:t>（见释义 6.15）的机动车；</w:t>
      </w:r>
    </w:p>
    <w:p>
      <w:pPr>
        <w:pStyle w:val="BodyText"/>
        <w:spacing w:before="83"/>
        <w:ind w:left="2855"/>
        <w:rPr>
          <w:rFonts w:ascii="黑体" w:eastAsia="黑体" w:hint="eastAsia"/>
        </w:rPr>
      </w:pPr>
      <w:r>
        <w:rPr>
          <w:rFonts w:ascii="黑体" w:eastAsia="黑体" w:hint="eastAsia"/>
        </w:rPr>
        <w:t>（6） 战争、军事冲突、暴乱或武装叛乱；</w:t>
      </w:r>
    </w:p>
    <w:p>
      <w:pPr>
        <w:pStyle w:val="BodyText"/>
        <w:spacing w:before="83"/>
        <w:ind w:left="2855"/>
        <w:rPr>
          <w:rFonts w:ascii="黑体" w:eastAsia="黑体" w:hint="eastAsia"/>
        </w:rPr>
      </w:pPr>
      <w:r>
        <w:rPr>
          <w:rFonts w:ascii="黑体" w:eastAsia="黑体" w:hint="eastAsia"/>
        </w:rPr>
        <w:t>（7） 核爆炸、核辐射或核污染；</w:t>
      </w:r>
    </w:p>
    <w:p>
      <w:pPr>
        <w:spacing w:line="314" w:lineRule="auto" w:before="83"/>
        <w:ind w:left="3423" w:right="212" w:hanging="568"/>
        <w:jc w:val="left"/>
        <w:rPr>
          <w:rFonts w:ascii="黑体" w:eastAsia="黑体" w:hint="eastAsia"/>
          <w:sz w:val="21"/>
        </w:rPr>
      </w:pPr>
      <w:r>
        <w:rPr>
          <w:rFonts w:ascii="黑体" w:eastAsia="黑体" w:hint="eastAsia"/>
          <w:spacing w:val="-1"/>
          <w:sz w:val="21"/>
        </w:rPr>
        <w:t>（8</w:t>
      </w:r>
      <w:r>
        <w:rPr>
          <w:rFonts w:ascii="黑体" w:eastAsia="黑体" w:hint="eastAsia"/>
          <w:spacing w:val="0"/>
          <w:sz w:val="21"/>
        </w:rPr>
        <w:t>）</w:t>
      </w:r>
      <w:r>
        <w:rPr>
          <w:spacing w:val="-63"/>
          <w:sz w:val="21"/>
        </w:rPr>
        <w:t> </w:t>
      </w:r>
      <w:r>
        <w:rPr>
          <w:rFonts w:ascii="黑体" w:eastAsia="黑体" w:hint="eastAsia"/>
          <w:b/>
          <w:spacing w:val="1"/>
          <w:w w:val="99"/>
          <w:sz w:val="21"/>
        </w:rPr>
        <w:t>遗传性疾病</w:t>
      </w:r>
      <w:r>
        <w:rPr>
          <w:rFonts w:ascii="黑体" w:eastAsia="黑体" w:hint="eastAsia"/>
          <w:spacing w:val="1"/>
          <w:sz w:val="21"/>
        </w:rPr>
        <w:t>（</w:t>
      </w:r>
      <w:r>
        <w:rPr>
          <w:rFonts w:ascii="黑体" w:eastAsia="黑体" w:hint="eastAsia"/>
          <w:sz w:val="21"/>
        </w:rPr>
        <w:t>见释义 </w:t>
      </w:r>
      <w:r>
        <w:rPr>
          <w:rFonts w:ascii="黑体" w:eastAsia="黑体" w:hint="eastAsia"/>
          <w:spacing w:val="-1"/>
          <w:sz w:val="21"/>
        </w:rPr>
        <w:t>6.</w:t>
      </w:r>
      <w:r>
        <w:rPr>
          <w:rFonts w:ascii="黑体" w:eastAsia="黑体" w:hint="eastAsia"/>
          <w:sz w:val="21"/>
        </w:rPr>
        <w:t>16</w:t>
      </w:r>
      <w:r>
        <w:rPr>
          <w:rFonts w:ascii="黑体" w:eastAsia="黑体" w:hint="eastAsia"/>
          <w:spacing w:val="-102"/>
          <w:sz w:val="21"/>
        </w:rPr>
        <w:t>）</w:t>
      </w:r>
      <w:r>
        <w:rPr>
          <w:rFonts w:ascii="黑体" w:eastAsia="黑体" w:hint="eastAsia"/>
          <w:spacing w:val="0"/>
          <w:sz w:val="21"/>
        </w:rPr>
        <w:t>，</w:t>
      </w:r>
      <w:r>
        <w:rPr>
          <w:rFonts w:ascii="黑体" w:eastAsia="黑体" w:hint="eastAsia"/>
          <w:b/>
          <w:w w:val="99"/>
          <w:sz w:val="21"/>
        </w:rPr>
        <w:t>先天性畸形、变形或染色体异常</w:t>
      </w:r>
      <w:r>
        <w:rPr>
          <w:rFonts w:ascii="黑体" w:eastAsia="黑体" w:hint="eastAsia"/>
          <w:spacing w:val="0"/>
          <w:sz w:val="21"/>
        </w:rPr>
        <w:t>（见释</w:t>
      </w:r>
      <w:r>
        <w:rPr>
          <w:rFonts w:ascii="黑体" w:eastAsia="黑体" w:hint="eastAsia"/>
          <w:spacing w:val="-27"/>
          <w:sz w:val="21"/>
        </w:rPr>
        <w:t>义 </w:t>
      </w:r>
      <w:r>
        <w:rPr>
          <w:rFonts w:ascii="黑体" w:eastAsia="黑体" w:hint="eastAsia"/>
          <w:sz w:val="21"/>
        </w:rPr>
        <w:t>6</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5"/>
          <w:sz w:val="21"/>
        </w:rPr>
        <w:t>）</w:t>
      </w:r>
      <w:r>
        <w:rPr>
          <w:rFonts w:ascii="黑体" w:eastAsia="黑体" w:hint="eastAsia"/>
          <w:sz w:val="21"/>
        </w:rPr>
        <w:t>；</w:t>
      </w:r>
    </w:p>
    <w:p>
      <w:pPr>
        <w:spacing w:before="18"/>
        <w:ind w:left="2855" w:right="0" w:firstLine="0"/>
        <w:jc w:val="left"/>
        <w:rPr>
          <w:rFonts w:ascii="黑体" w:eastAsia="黑体" w:hint="eastAsia"/>
          <w:sz w:val="21"/>
        </w:rPr>
      </w:pPr>
      <w:r>
        <w:rPr>
          <w:rFonts w:ascii="黑体" w:eastAsia="黑体" w:hint="eastAsia"/>
          <w:spacing w:val="-1"/>
          <w:sz w:val="21"/>
        </w:rPr>
        <w:t>（9</w:t>
      </w:r>
      <w:r>
        <w:rPr>
          <w:rFonts w:ascii="黑体" w:eastAsia="黑体" w:hint="eastAsia"/>
          <w:spacing w:val="0"/>
          <w:sz w:val="21"/>
        </w:rPr>
        <w:t>）</w:t>
      </w:r>
      <w:r>
        <w:rPr>
          <w:spacing w:val="-63"/>
          <w:sz w:val="21"/>
        </w:rPr>
        <w:t> </w:t>
      </w:r>
      <w:r>
        <w:rPr>
          <w:rFonts w:ascii="黑体" w:eastAsia="黑体" w:hint="eastAsia"/>
          <w:sz w:val="21"/>
        </w:rPr>
        <w:t>感染</w:t>
      </w:r>
      <w:r>
        <w:rPr>
          <w:rFonts w:ascii="黑体" w:eastAsia="黑体" w:hint="eastAsia"/>
          <w:b/>
          <w:spacing w:val="-3"/>
          <w:w w:val="99"/>
          <w:sz w:val="21"/>
        </w:rPr>
        <w:t>艾滋病病毒或患艾滋病</w:t>
      </w:r>
      <w:r>
        <w:rPr>
          <w:rFonts w:ascii="黑体" w:eastAsia="黑体" w:hint="eastAsia"/>
          <w:sz w:val="21"/>
        </w:rPr>
        <w:t>（</w:t>
      </w:r>
      <w:r>
        <w:rPr>
          <w:rFonts w:ascii="黑体" w:eastAsia="黑体" w:hint="eastAsia"/>
          <w:spacing w:val="-14"/>
          <w:sz w:val="21"/>
        </w:rPr>
        <w:t>见释义 </w:t>
      </w:r>
      <w:r>
        <w:rPr>
          <w:rFonts w:ascii="黑体" w:eastAsia="黑体" w:hint="eastAsia"/>
          <w:sz w:val="21"/>
        </w:rPr>
        <w:t>6.18</w:t>
      </w:r>
      <w:r>
        <w:rPr>
          <w:rFonts w:ascii="黑体" w:eastAsia="黑体" w:hint="eastAsia"/>
          <w:spacing w:val="-105"/>
          <w:sz w:val="21"/>
        </w:rPr>
        <w:t>）</w:t>
      </w:r>
      <w:r>
        <w:rPr>
          <w:rFonts w:ascii="黑体" w:eastAsia="黑体" w:hint="eastAsia"/>
          <w:spacing w:val="-11"/>
          <w:sz w:val="21"/>
        </w:rPr>
        <w:t>，但本主险合同所列第 </w:t>
      </w:r>
      <w:r>
        <w:rPr>
          <w:rFonts w:ascii="黑体" w:eastAsia="黑体" w:hint="eastAsia"/>
          <w:sz w:val="21"/>
        </w:rPr>
        <w:t>33、</w:t>
      </w:r>
    </w:p>
    <w:p>
      <w:pPr>
        <w:pStyle w:val="BodyText"/>
        <w:spacing w:before="83"/>
        <w:ind w:left="3423"/>
        <w:rPr>
          <w:rFonts w:ascii="黑体" w:eastAsia="黑体" w:hint="eastAsia"/>
        </w:rPr>
      </w:pPr>
      <w:r>
        <w:rPr>
          <w:rFonts w:ascii="黑体" w:eastAsia="黑体" w:hint="eastAsia"/>
        </w:rPr>
        <w:t>34 种重大疾病除外。</w:t>
      </w:r>
    </w:p>
    <w:p>
      <w:pPr>
        <w:pStyle w:val="BodyText"/>
        <w:spacing w:line="300" w:lineRule="auto" w:before="75"/>
        <w:ind w:left="2855" w:right="216"/>
        <w:jc w:val="both"/>
        <w:rPr>
          <w:rFonts w:ascii="黑体" w:eastAsia="黑体" w:hint="eastAsia"/>
        </w:rPr>
      </w:pPr>
      <w:r>
        <w:rPr>
          <w:rFonts w:ascii="黑体" w:eastAsia="黑体" w:hint="eastAsia"/>
        </w:rPr>
        <w:t>发Th</w:t>
      </w:r>
      <w:r>
        <w:rPr>
          <w:rFonts w:ascii="黑体" w:eastAsia="黑体" w:hint="eastAsia"/>
          <w:spacing w:val="-9"/>
        </w:rPr>
        <w:t>上述第</w:t>
      </w:r>
      <w:r>
        <w:rPr>
          <w:rFonts w:ascii="黑体" w:eastAsia="黑体" w:hint="eastAsia"/>
          <w:spacing w:val="-10"/>
        </w:rPr>
        <w:t>（1）</w:t>
      </w:r>
      <w:r>
        <w:rPr>
          <w:rFonts w:ascii="黑体" w:eastAsia="黑体" w:hint="eastAsia"/>
          <w:spacing w:val="-5"/>
        </w:rPr>
        <w:t>项情形导致被保险人身故、全残、进入疾病终末期阶段或患</w:t>
      </w:r>
      <w:r>
        <w:rPr>
          <w:rFonts w:ascii="黑体" w:eastAsia="黑体" w:hint="eastAsia"/>
          <w:spacing w:val="-7"/>
        </w:rPr>
        <w:t>本主险合同定义的轻症疾病、重大疾病的，本主险合同终止，您已交足 </w:t>
      </w:r>
      <w:r>
        <w:rPr>
          <w:rFonts w:ascii="黑体" w:eastAsia="黑体" w:hint="eastAsia"/>
        </w:rPr>
        <w:t>2</w:t>
      </w:r>
      <w:r>
        <w:rPr>
          <w:rFonts w:ascii="黑体" w:eastAsia="黑体" w:hint="eastAsia"/>
          <w:spacing w:val="-27"/>
        </w:rPr>
        <w:t> 年以上保险费的，本公司向其他权利人退还本主险合同的现金价值。</w:t>
      </w:r>
    </w:p>
    <w:p>
      <w:pPr>
        <w:pStyle w:val="BodyText"/>
        <w:spacing w:line="300" w:lineRule="auto" w:before="15"/>
        <w:ind w:left="2855" w:right="216"/>
        <w:rPr>
          <w:rFonts w:ascii="黑体" w:eastAsia="黑体" w:hint="eastAsia"/>
        </w:rPr>
      </w:pPr>
      <w:r>
        <w:rPr>
          <w:rFonts w:ascii="黑体" w:eastAsia="黑体" w:hint="eastAsia"/>
        </w:rPr>
        <w:t>发Th</w:t>
      </w:r>
      <w:r>
        <w:rPr>
          <w:rFonts w:ascii="黑体" w:eastAsia="黑体" w:hint="eastAsia"/>
          <w:spacing w:val="-9"/>
        </w:rPr>
        <w:t>上述第</w:t>
      </w:r>
      <w:r>
        <w:rPr>
          <w:rFonts w:ascii="黑体" w:eastAsia="黑体" w:hint="eastAsia"/>
          <w:spacing w:val="-10"/>
        </w:rPr>
        <w:t>（2）</w:t>
      </w:r>
      <w:r>
        <w:rPr>
          <w:rFonts w:ascii="黑体" w:eastAsia="黑体" w:hint="eastAsia"/>
          <w:spacing w:val="-5"/>
        </w:rPr>
        <w:t>项情形导致被保险人身故、全残、进入疾病终末期阶段或患</w:t>
      </w:r>
      <w:r>
        <w:rPr>
          <w:rFonts w:ascii="黑体" w:eastAsia="黑体" w:hint="eastAsia"/>
          <w:spacing w:val="-7"/>
        </w:rPr>
        <w:t>本主险合同定义的轻症疾病、重大疾病的，本主险合同终止，您已交足 </w:t>
      </w:r>
      <w:r>
        <w:rPr>
          <w:rFonts w:ascii="黑体" w:eastAsia="黑体" w:hint="eastAsia"/>
        </w:rPr>
        <w:t>2</w:t>
      </w:r>
      <w:r>
        <w:rPr>
          <w:rFonts w:ascii="黑体" w:eastAsia="黑体" w:hint="eastAsia"/>
          <w:spacing w:val="-27"/>
        </w:rPr>
        <w:t> 年</w:t>
      </w:r>
    </w:p>
    <w:p>
      <w:pPr>
        <w:spacing w:after="0" w:line="300" w:lineRule="auto"/>
        <w:rPr>
          <w:rFonts w:ascii="黑体" w:eastAsia="黑体" w:hint="eastAsia"/>
        </w:rPr>
        <w:sectPr>
          <w:type w:val="continuous"/>
          <w:pgSz w:w="11910" w:h="16840"/>
          <w:pgMar w:top="700" w:bottom="280" w:left="1020" w:right="880"/>
        </w:sectPr>
      </w:pPr>
    </w:p>
    <w:p>
      <w:pPr>
        <w:pStyle w:val="BodyText"/>
        <w:rPr>
          <w:rFonts w:ascii="黑体"/>
          <w:sz w:val="20"/>
        </w:rPr>
      </w:pPr>
    </w:p>
    <w:p>
      <w:pPr>
        <w:pStyle w:val="BodyText"/>
        <w:rPr>
          <w:rFonts w:ascii="黑体"/>
          <w:sz w:val="20"/>
        </w:rPr>
      </w:pPr>
    </w:p>
    <w:p>
      <w:pPr>
        <w:pStyle w:val="BodyText"/>
        <w:spacing w:before="10"/>
        <w:rPr>
          <w:rFonts w:ascii="黑体"/>
          <w:sz w:val="19"/>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317"/>
        <w:gridCol w:w="7890"/>
      </w:tblGrid>
      <w:tr>
        <w:trPr>
          <w:trHeight w:val="636" w:hRule="atLeast"/>
        </w:trPr>
        <w:tc>
          <w:tcPr>
            <w:tcW w:w="1774" w:type="dxa"/>
            <w:gridSpan w:val="2"/>
            <w:vMerge w:val="restart"/>
          </w:tcPr>
          <w:p>
            <w:pPr>
              <w:pStyle w:val="TableParagraph"/>
              <w:rPr>
                <w:rFonts w:ascii="Times New Roman"/>
                <w:sz w:val="20"/>
              </w:rPr>
            </w:pPr>
          </w:p>
        </w:tc>
        <w:tc>
          <w:tcPr>
            <w:tcW w:w="7890" w:type="dxa"/>
          </w:tcPr>
          <w:p>
            <w:pPr>
              <w:pStyle w:val="TableParagraph"/>
              <w:spacing w:line="210" w:lineRule="exact"/>
              <w:ind w:left="910"/>
              <w:rPr>
                <w:rFonts w:ascii="黑体" w:eastAsia="黑体" w:hint="eastAsia"/>
                <w:sz w:val="21"/>
              </w:rPr>
            </w:pPr>
            <w:r>
              <w:rPr>
                <w:rFonts w:ascii="黑体" w:eastAsia="黑体" w:hint="eastAsia"/>
                <w:sz w:val="21"/>
              </w:rPr>
              <w:t>以上保险费的，本公司向您退还本主险合同的现金价值。</w:t>
            </w:r>
          </w:p>
          <w:p>
            <w:pPr>
              <w:pStyle w:val="TableParagraph"/>
              <w:spacing w:before="76"/>
              <w:ind w:left="910"/>
              <w:rPr>
                <w:rFonts w:ascii="黑体" w:eastAsia="黑体" w:hint="eastAsia"/>
                <w:sz w:val="21"/>
              </w:rPr>
            </w:pPr>
            <w:r>
              <w:rPr>
                <w:rFonts w:ascii="黑体" w:eastAsia="黑体" w:hint="eastAsia"/>
                <w:sz w:val="21"/>
              </w:rPr>
              <w:t>发Th上述其他项情形导致被保险人身故、全残、进入疾病终末期阶段或患本</w:t>
            </w:r>
          </w:p>
        </w:tc>
      </w:tr>
      <w:tr>
        <w:trPr>
          <w:trHeight w:val="358" w:hRule="atLeast"/>
        </w:trPr>
        <w:tc>
          <w:tcPr>
            <w:tcW w:w="1774" w:type="dxa"/>
            <w:gridSpan w:val="2"/>
            <w:vMerge/>
            <w:tcBorders>
              <w:top w:val="nil"/>
            </w:tcBorders>
          </w:tcPr>
          <w:p>
            <w:pPr>
              <w:rPr>
                <w:sz w:val="2"/>
                <w:szCs w:val="2"/>
              </w:rPr>
            </w:pPr>
          </w:p>
        </w:tc>
        <w:tc>
          <w:tcPr>
            <w:tcW w:w="7890" w:type="dxa"/>
          </w:tcPr>
          <w:p>
            <w:pPr>
              <w:pStyle w:val="TableParagraph"/>
              <w:spacing w:before="9"/>
              <w:ind w:left="910"/>
              <w:rPr>
                <w:rFonts w:ascii="黑体" w:eastAsia="黑体" w:hint="eastAsia"/>
                <w:sz w:val="21"/>
              </w:rPr>
            </w:pPr>
            <w:r>
              <w:rPr>
                <w:rFonts w:ascii="黑体" w:eastAsia="黑体" w:hint="eastAsia"/>
                <w:sz w:val="21"/>
              </w:rPr>
              <w:t>主险合同定义的轻症疾病、重大疾病的，本主险合同终止，本公司向您退还</w:t>
            </w:r>
          </w:p>
        </w:tc>
      </w:tr>
      <w:tr>
        <w:trPr>
          <w:trHeight w:val="358" w:hRule="atLeast"/>
        </w:trPr>
        <w:tc>
          <w:tcPr>
            <w:tcW w:w="1774" w:type="dxa"/>
            <w:gridSpan w:val="2"/>
            <w:vMerge/>
            <w:tcBorders>
              <w:top w:val="nil"/>
            </w:tcBorders>
          </w:tcPr>
          <w:p>
            <w:pPr>
              <w:rPr>
                <w:sz w:val="2"/>
                <w:szCs w:val="2"/>
              </w:rPr>
            </w:pPr>
          </w:p>
        </w:tc>
        <w:tc>
          <w:tcPr>
            <w:tcW w:w="7890" w:type="dxa"/>
          </w:tcPr>
          <w:p>
            <w:pPr>
              <w:pStyle w:val="TableParagraph"/>
              <w:spacing w:before="9"/>
              <w:ind w:left="910"/>
              <w:rPr>
                <w:rFonts w:ascii="黑体" w:eastAsia="黑体" w:hint="eastAsia"/>
                <w:sz w:val="21"/>
              </w:rPr>
            </w:pPr>
            <w:r>
              <w:rPr>
                <w:rFonts w:ascii="黑体" w:eastAsia="黑体" w:hint="eastAsia"/>
                <w:sz w:val="21"/>
              </w:rPr>
              <w:t>本主险合同的现金价值。</w:t>
            </w:r>
          </w:p>
        </w:tc>
      </w:tr>
      <w:tr>
        <w:trPr>
          <w:trHeight w:val="284" w:hRule="atLeast"/>
        </w:trPr>
        <w:tc>
          <w:tcPr>
            <w:tcW w:w="457" w:type="dxa"/>
          </w:tcPr>
          <w:p>
            <w:pPr>
              <w:pStyle w:val="TableParagraph"/>
              <w:spacing w:line="255" w:lineRule="exact" w:before="9"/>
              <w:ind w:left="50"/>
              <w:rPr>
                <w:b/>
                <w:sz w:val="21"/>
              </w:rPr>
            </w:pPr>
            <w:r>
              <w:rPr>
                <w:b/>
                <w:w w:val="99"/>
                <w:sz w:val="21"/>
              </w:rPr>
              <w:t> </w:t>
            </w:r>
          </w:p>
        </w:tc>
        <w:tc>
          <w:tcPr>
            <w:tcW w:w="1317" w:type="dxa"/>
          </w:tcPr>
          <w:p>
            <w:pPr>
              <w:pStyle w:val="TableParagraph"/>
              <w:spacing w:line="255" w:lineRule="exact" w:before="9"/>
              <w:ind w:left="302"/>
              <w:rPr>
                <w:b/>
                <w:sz w:val="21"/>
              </w:rPr>
            </w:pPr>
            <w:r>
              <w:rPr>
                <w:b/>
                <w:w w:val="99"/>
                <w:sz w:val="21"/>
              </w:rPr>
              <w:t> </w:t>
            </w:r>
          </w:p>
        </w:tc>
        <w:tc>
          <w:tcPr>
            <w:tcW w:w="7890" w:type="dxa"/>
          </w:tcPr>
          <w:p>
            <w:pPr>
              <w:pStyle w:val="TableParagraph"/>
              <w:spacing w:line="255" w:lineRule="exact" w:before="9"/>
              <w:ind w:left="910"/>
              <w:rPr>
                <w:sz w:val="21"/>
              </w:rPr>
            </w:pPr>
            <w:r>
              <w:rPr>
                <w:sz w:val="21"/>
              </w:rPr>
              <w:t> </w:t>
            </w:r>
          </w:p>
        </w:tc>
      </w:tr>
    </w:tbl>
    <w:p>
      <w:pPr>
        <w:pStyle w:val="Heading1"/>
        <w:tabs>
          <w:tab w:pos="931" w:val="left" w:leader="none"/>
        </w:tabs>
      </w:pPr>
      <w:r>
        <w:rPr/>
        <w:pict>
          <v:group style="position:absolute;margin-left:56.700001pt;margin-top:30.840078pt;width:489.1pt;height:1pt;mso-position-horizontal-relative:page;mso-position-vertical-relative:paragraph;z-index:1144;mso-wrap-distance-left:0;mso-wrap-distance-right:0" coordorigin="1134,617" coordsize="9782,20">
            <v:line style="position:absolute" from="1134,626" to="3787,626" stroked="true" strokeweight=".95996pt" strokecolor="#000000">
              <v:stroke dashstyle="solid"/>
            </v:line>
            <v:line style="position:absolute" from="3787,626" to="10915,626" stroked="true" strokeweight=".96pt" strokecolor="#000000">
              <v:stroke dashstyle="solid"/>
            </v:line>
            <w10:wrap type="topAndBottom"/>
          </v:group>
        </w:pict>
      </w:r>
      <w:r>
        <w:rPr>
          <w:rFonts w:ascii="Arial" w:hAnsi="Arial" w:eastAsia="Arial"/>
          <w:position w:val="-3"/>
          <w:sz w:val="40"/>
        </w:rPr>
        <w:t></w:t>
        <w:tab/>
      </w:r>
      <w:r>
        <w:rPr>
          <w:w w:val="95"/>
        </w:rPr>
        <w:t>保险金的申请与给付                        </w:t>
      </w:r>
      <w:r>
        <w:rPr>
          <w:spacing w:val="0"/>
          <w:w w:val="95"/>
        </w:rPr>
        <w:t> </w:t>
      </w:r>
      <w:r>
        <w:rPr>
          <w:w w:val="99"/>
        </w:rPr>
        <w:t>               </w:t>
      </w:r>
      <w:r>
        <w:rPr>
          <w:spacing w:val="0"/>
          <w:w w:val="99"/>
        </w:rPr>
        <w:t> </w:t>
      </w:r>
      <w:r>
        <w:rPr>
          <w:w w:val="99"/>
        </w:rPr>
        <w:t>            </w:t>
      </w:r>
      <w:r>
        <w:rPr>
          <w:spacing w:val="-1"/>
          <w:w w:val="99"/>
        </w:rPr>
        <w:t> </w:t>
      </w:r>
      <w:r>
        <w:rPr>
          <w:w w:val="99"/>
        </w:rPr>
        <w:t>   </w:t>
      </w:r>
    </w:p>
    <w:p>
      <w:pPr>
        <w:pStyle w:val="BodyText"/>
        <w:spacing w:before="8"/>
        <w:rPr>
          <w:b/>
          <w:sz w:val="11"/>
        </w:rPr>
      </w:pPr>
    </w:p>
    <w:p>
      <w:pPr>
        <w:pStyle w:val="ListParagraph"/>
        <w:numPr>
          <w:ilvl w:val="1"/>
          <w:numId w:val="9"/>
        </w:numPr>
        <w:tabs>
          <w:tab w:pos="541" w:val="left" w:leader="none"/>
        </w:tabs>
        <w:spacing w:line="314" w:lineRule="auto" w:before="35" w:after="0"/>
        <w:ind w:left="2856" w:right="190" w:hanging="2634"/>
        <w:jc w:val="left"/>
        <w:rPr>
          <w:sz w:val="21"/>
        </w:rPr>
      </w:pPr>
      <w:r>
        <w:rPr>
          <w:b/>
          <w:spacing w:val="0"/>
          <w:sz w:val="21"/>
        </w:rPr>
        <w:t>保险金受益人      </w:t>
      </w:r>
      <w:r>
        <w:rPr>
          <w:spacing w:val="-5"/>
          <w:sz w:val="21"/>
        </w:rPr>
        <w:t>除另有约定外，</w:t>
      </w:r>
      <w:r>
        <w:rPr>
          <w:rFonts w:ascii="黑体" w:eastAsia="黑体" w:hint="eastAsia"/>
          <w:spacing w:val="-5"/>
          <w:sz w:val="21"/>
        </w:rPr>
        <w:t>本主险合同轻症疾病保险金、重大疾病保险金、全残保险金、疾</w:t>
      </w:r>
      <w:r>
        <w:rPr>
          <w:rFonts w:ascii="黑体" w:eastAsia="黑体" w:hint="eastAsia"/>
          <w:spacing w:val="-1"/>
          <w:sz w:val="21"/>
        </w:rPr>
        <w:t>病终末期保险金的受益人均为被保险人</w:t>
      </w:r>
      <w:r>
        <w:rPr>
          <w:sz w:val="21"/>
        </w:rPr>
        <w:t>。 </w:t>
      </w:r>
    </w:p>
    <w:p>
      <w:pPr>
        <w:pStyle w:val="BodyText"/>
        <w:rPr>
          <w:sz w:val="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2108"/>
        <w:gridCol w:w="7099"/>
      </w:tblGrid>
      <w:tr>
        <w:trPr>
          <w:trHeight w:val="280" w:hRule="atLeast"/>
        </w:trPr>
        <w:tc>
          <w:tcPr>
            <w:tcW w:w="457" w:type="dxa"/>
          </w:tcPr>
          <w:p>
            <w:pPr>
              <w:pStyle w:val="TableParagraph"/>
              <w:spacing w:line="214" w:lineRule="exact"/>
              <w:ind w:left="50"/>
              <w:rPr>
                <w:b/>
                <w:sz w:val="21"/>
              </w:rPr>
            </w:pPr>
            <w:r>
              <w:rPr>
                <w:b/>
                <w:w w:val="99"/>
                <w:sz w:val="21"/>
              </w:rPr>
              <w:t> </w:t>
            </w:r>
          </w:p>
        </w:tc>
        <w:tc>
          <w:tcPr>
            <w:tcW w:w="2108" w:type="dxa"/>
          </w:tcPr>
          <w:p>
            <w:pPr>
              <w:pStyle w:val="TableParagraph"/>
              <w:spacing w:line="214" w:lineRule="exact"/>
              <w:ind w:left="302"/>
              <w:rPr>
                <w:b/>
                <w:sz w:val="21"/>
              </w:rPr>
            </w:pPr>
            <w:r>
              <w:rPr>
                <w:b/>
                <w:w w:val="99"/>
                <w:sz w:val="21"/>
              </w:rPr>
              <w:t> </w:t>
            </w:r>
          </w:p>
        </w:tc>
        <w:tc>
          <w:tcPr>
            <w:tcW w:w="7099" w:type="dxa"/>
          </w:tcPr>
          <w:p>
            <w:pPr>
              <w:pStyle w:val="TableParagraph"/>
              <w:spacing w:line="214" w:lineRule="exact"/>
              <w:ind w:left="119"/>
              <w:rPr>
                <w:sz w:val="21"/>
              </w:rPr>
            </w:pPr>
            <w:r>
              <w:rPr>
                <w:sz w:val="21"/>
              </w:rPr>
              <w:t> </w:t>
            </w:r>
          </w:p>
        </w:tc>
      </w:tr>
      <w:tr>
        <w:trPr>
          <w:trHeight w:val="351" w:hRule="atLeast"/>
        </w:trPr>
        <w:tc>
          <w:tcPr>
            <w:tcW w:w="457" w:type="dxa"/>
          </w:tcPr>
          <w:p>
            <w:pPr>
              <w:pStyle w:val="TableParagraph"/>
              <w:spacing w:before="18"/>
              <w:ind w:left="50"/>
              <w:rPr>
                <w:b/>
                <w:sz w:val="21"/>
              </w:rPr>
            </w:pPr>
            <w:r>
              <w:rPr>
                <w:b/>
                <w:w w:val="99"/>
                <w:sz w:val="21"/>
              </w:rPr>
              <w:t> </w:t>
            </w:r>
          </w:p>
        </w:tc>
        <w:tc>
          <w:tcPr>
            <w:tcW w:w="2108" w:type="dxa"/>
          </w:tcPr>
          <w:p>
            <w:pPr>
              <w:pStyle w:val="TableParagraph"/>
              <w:spacing w:before="18"/>
              <w:ind w:left="302"/>
              <w:rPr>
                <w:rFonts w:ascii="黑体" w:eastAsia="黑体" w:hint="eastAsia"/>
                <w:b/>
                <w:sz w:val="21"/>
              </w:rPr>
            </w:pPr>
            <w:r>
              <w:rPr>
                <w:rFonts w:ascii="黑体" w:eastAsia="黑体" w:hint="eastAsia"/>
                <w:b/>
                <w:w w:val="95"/>
                <w:sz w:val="21"/>
              </w:rPr>
              <w:t>身故保险金受益人</w:t>
            </w:r>
          </w:p>
        </w:tc>
        <w:tc>
          <w:tcPr>
            <w:tcW w:w="7099" w:type="dxa"/>
          </w:tcPr>
          <w:p>
            <w:pPr>
              <w:pStyle w:val="TableParagraph"/>
              <w:spacing w:before="9"/>
              <w:ind w:left="119"/>
              <w:rPr>
                <w:sz w:val="21"/>
              </w:rPr>
            </w:pPr>
            <w:r>
              <w:rPr>
                <w:sz w:val="21"/>
              </w:rPr>
              <w:t>您或被保险人可以指定一人或多人为身故保险金受益人。 </w:t>
            </w:r>
          </w:p>
        </w:tc>
      </w:tr>
      <w:tr>
        <w:trPr>
          <w:trHeight w:val="351" w:hRule="atLeast"/>
        </w:trPr>
        <w:tc>
          <w:tcPr>
            <w:tcW w:w="457" w:type="dxa"/>
          </w:tcPr>
          <w:p>
            <w:pPr>
              <w:pStyle w:val="TableParagraph"/>
              <w:spacing w:before="25"/>
              <w:ind w:left="50"/>
              <w:rPr>
                <w:b/>
                <w:sz w:val="21"/>
              </w:rPr>
            </w:pPr>
            <w:r>
              <w:rPr>
                <w:b/>
                <w:w w:val="99"/>
                <w:sz w:val="21"/>
              </w:rPr>
              <w:t> </w:t>
            </w:r>
          </w:p>
        </w:tc>
        <w:tc>
          <w:tcPr>
            <w:tcW w:w="2108" w:type="dxa"/>
          </w:tcPr>
          <w:p>
            <w:pPr>
              <w:pStyle w:val="TableParagraph"/>
              <w:spacing w:before="25"/>
              <w:ind w:left="302"/>
              <w:rPr>
                <w:b/>
                <w:sz w:val="21"/>
              </w:rPr>
            </w:pPr>
            <w:r>
              <w:rPr>
                <w:b/>
                <w:w w:val="99"/>
                <w:sz w:val="21"/>
              </w:rPr>
              <w:t> </w:t>
            </w:r>
          </w:p>
        </w:tc>
        <w:tc>
          <w:tcPr>
            <w:tcW w:w="7099" w:type="dxa"/>
          </w:tcPr>
          <w:p>
            <w:pPr>
              <w:pStyle w:val="TableParagraph"/>
              <w:spacing w:before="1"/>
              <w:ind w:left="119"/>
              <w:rPr>
                <w:sz w:val="21"/>
              </w:rPr>
            </w:pPr>
            <w:r>
              <w:rPr>
                <w:sz w:val="21"/>
              </w:rPr>
              <w:t>被保险人为无民事行为能力人或限制民事行为能力人的，可以由其监护人指</w:t>
            </w:r>
          </w:p>
        </w:tc>
      </w:tr>
      <w:tr>
        <w:trPr>
          <w:trHeight w:val="331"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line="269" w:lineRule="exact"/>
              <w:ind w:left="119"/>
              <w:rPr>
                <w:sz w:val="21"/>
              </w:rPr>
            </w:pPr>
            <w:r>
              <w:rPr>
                <w:sz w:val="21"/>
              </w:rPr>
              <w:t>定受益人。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身故保险金受益人为多人时，可以确定受益顺序和受益份额；如果没有确定</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份额，各身故保险金受益人按照相等份额享有受益权。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您或被保险人可以变更身故保险金受益人并书面通知本公司。本公司收到变</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更身故保险金受益人的书面通知后，将及时在保险单或者其他保险凭证上批</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注或者附贴批单。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您在指定和变更身故保险金受益人时，必须经被保险人同意。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被保险人身故后，遇有下列情形之一的，保险金作为被保险人的遗产，由本</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公司依照《中华人民共和国继承法》的规定履行给付保险金的义务：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（1）没有指定受益人，或者受益人指定不明无法确定的；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（2）受益人先于被保险人身故，没有其他受益人的；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（3）受益人依法丧失受益权或者放弃受益权，没有其他受益人的。 </w:t>
            </w:r>
          </w:p>
        </w:tc>
      </w:tr>
      <w:tr>
        <w:trPr>
          <w:trHeight w:val="3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受益人与被保险人在同一事件中身故，且不能确定身故先后顺序的，推定受</w:t>
            </w:r>
          </w:p>
        </w:tc>
      </w:tr>
      <w:tr>
        <w:trPr>
          <w:trHeight w:val="335"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before="6"/>
              <w:ind w:left="119"/>
              <w:rPr>
                <w:sz w:val="21"/>
              </w:rPr>
            </w:pPr>
            <w:r>
              <w:rPr>
                <w:sz w:val="21"/>
              </w:rPr>
              <w:t>益人身故在先。 </w:t>
            </w:r>
          </w:p>
        </w:tc>
      </w:tr>
      <w:tr>
        <w:trPr>
          <w:trHeight w:val="643" w:hRule="atLeast"/>
        </w:trPr>
        <w:tc>
          <w:tcPr>
            <w:tcW w:w="457" w:type="dxa"/>
          </w:tcPr>
          <w:p>
            <w:pPr>
              <w:pStyle w:val="TableParagraph"/>
              <w:rPr>
                <w:rFonts w:ascii="Times New Roman"/>
                <w:sz w:val="20"/>
              </w:rPr>
            </w:pPr>
          </w:p>
        </w:tc>
        <w:tc>
          <w:tcPr>
            <w:tcW w:w="2108" w:type="dxa"/>
          </w:tcPr>
          <w:p>
            <w:pPr>
              <w:pStyle w:val="TableParagraph"/>
              <w:rPr>
                <w:rFonts w:ascii="Times New Roman"/>
                <w:sz w:val="20"/>
              </w:rPr>
            </w:pPr>
          </w:p>
        </w:tc>
        <w:tc>
          <w:tcPr>
            <w:tcW w:w="7099" w:type="dxa"/>
          </w:tcPr>
          <w:p>
            <w:pPr>
              <w:pStyle w:val="TableParagraph"/>
              <w:spacing w:line="273" w:lineRule="auto"/>
              <w:ind w:left="119" w:right="47"/>
              <w:rPr>
                <w:sz w:val="21"/>
              </w:rPr>
            </w:pPr>
            <w:r>
              <w:rPr>
                <w:sz w:val="21"/>
              </w:rPr>
              <w:t>受益人故意造成被保险人身故、伤残、疾病的，或者故意杀害被保险人未遂的，该受益人丧失受益权。</w:t>
            </w:r>
          </w:p>
        </w:tc>
      </w:tr>
      <w:tr>
        <w:trPr>
          <w:trHeight w:val="272" w:hRule="atLeast"/>
        </w:trPr>
        <w:tc>
          <w:tcPr>
            <w:tcW w:w="457" w:type="dxa"/>
          </w:tcPr>
          <w:p>
            <w:pPr>
              <w:pStyle w:val="TableParagraph"/>
              <w:spacing w:line="251" w:lineRule="exact" w:before="2"/>
              <w:ind w:left="50"/>
              <w:rPr>
                <w:b/>
                <w:sz w:val="21"/>
              </w:rPr>
            </w:pPr>
            <w:r>
              <w:rPr>
                <w:b/>
                <w:w w:val="99"/>
                <w:sz w:val="21"/>
              </w:rPr>
              <w:t> </w:t>
            </w:r>
          </w:p>
        </w:tc>
        <w:tc>
          <w:tcPr>
            <w:tcW w:w="2108" w:type="dxa"/>
          </w:tcPr>
          <w:p>
            <w:pPr>
              <w:pStyle w:val="TableParagraph"/>
              <w:spacing w:line="251" w:lineRule="exact" w:before="2"/>
              <w:ind w:left="302"/>
              <w:rPr>
                <w:b/>
                <w:sz w:val="21"/>
              </w:rPr>
            </w:pPr>
            <w:r>
              <w:rPr>
                <w:b/>
                <w:w w:val="99"/>
                <w:sz w:val="21"/>
              </w:rPr>
              <w:t> </w:t>
            </w:r>
          </w:p>
        </w:tc>
        <w:tc>
          <w:tcPr>
            <w:tcW w:w="7099" w:type="dxa"/>
          </w:tcPr>
          <w:p>
            <w:pPr>
              <w:pStyle w:val="TableParagraph"/>
              <w:spacing w:line="251" w:lineRule="exact" w:before="2"/>
              <w:ind w:left="119"/>
              <w:rPr>
                <w:sz w:val="21"/>
              </w:rPr>
            </w:pPr>
            <w:r>
              <w:rPr>
                <w:sz w:val="21"/>
              </w:rPr>
              <w:t> </w:t>
            </w:r>
          </w:p>
        </w:tc>
      </w:tr>
    </w:tbl>
    <w:p>
      <w:pPr>
        <w:pStyle w:val="ListParagraph"/>
        <w:numPr>
          <w:ilvl w:val="1"/>
          <w:numId w:val="9"/>
        </w:numPr>
        <w:tabs>
          <w:tab w:pos="541" w:val="left" w:leader="none"/>
        </w:tabs>
        <w:spacing w:line="240" w:lineRule="auto" w:before="0" w:after="0"/>
        <w:ind w:left="540" w:right="0" w:hanging="319"/>
        <w:jc w:val="left"/>
        <w:rPr>
          <w:sz w:val="21"/>
        </w:rPr>
      </w:pPr>
      <w:r>
        <w:rPr>
          <w:b/>
          <w:spacing w:val="7"/>
          <w:sz w:val="21"/>
        </w:rPr>
        <w:t>保险事故通知     </w:t>
      </w:r>
      <w:r>
        <w:rPr>
          <w:spacing w:val="-3"/>
          <w:position w:val="1"/>
          <w:sz w:val="21"/>
        </w:rPr>
        <w:t>您或受益人应当自知道保险事故发生之日起 </w:t>
      </w:r>
      <w:r>
        <w:rPr>
          <w:position w:val="1"/>
          <w:sz w:val="21"/>
        </w:rPr>
        <w:t>10</w:t>
      </w:r>
      <w:r>
        <w:rPr>
          <w:spacing w:val="-8"/>
          <w:position w:val="1"/>
          <w:sz w:val="21"/>
        </w:rPr>
        <w:t> 日内通知本公司</w:t>
      </w:r>
      <w:r>
        <w:rPr>
          <w:i/>
          <w:position w:val="1"/>
          <w:sz w:val="22"/>
        </w:rPr>
        <w:t>。</w:t>
      </w:r>
      <w:r>
        <w:rPr>
          <w:position w:val="1"/>
          <w:sz w:val="21"/>
        </w:rPr>
        <w:t> </w:t>
      </w:r>
    </w:p>
    <w:p>
      <w:pPr>
        <w:pStyle w:val="BodyText"/>
        <w:spacing w:line="314" w:lineRule="auto" w:before="68"/>
        <w:ind w:left="2856" w:right="296"/>
        <w:jc w:val="both"/>
      </w:pPr>
      <w:r>
        <w:rPr>
          <w:rFonts w:ascii="黑体" w:eastAsia="黑体" w:hint="eastAsia"/>
        </w:rPr>
        <w:t>如果您或受益人故意或者因重大过失未及时通知，致使保险事故的性质、原因、损失程度等难以确定的，本公司对无法确定的部分，不承担给付保险金的责任</w:t>
      </w:r>
      <w:r>
        <w:rPr/>
        <w:t>，但本公司通过其他途径已经及时知道或者应当及时知道保险事故发生或者虽未及时通知但不影响本公司确定保险事故的性质、原因、损失程度的除外。 </w:t>
      </w:r>
    </w:p>
    <w:p>
      <w:pPr>
        <w:pStyle w:val="BodyText"/>
        <w:spacing w:before="4"/>
        <w:rPr>
          <w:sz w:val="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949"/>
        <w:gridCol w:w="5944"/>
      </w:tblGrid>
      <w:tr>
        <w:trPr>
          <w:trHeight w:val="557" w:hRule="atLeast"/>
        </w:trPr>
        <w:tc>
          <w:tcPr>
            <w:tcW w:w="616" w:type="dxa"/>
          </w:tcPr>
          <w:p>
            <w:pPr>
              <w:pStyle w:val="TableParagraph"/>
              <w:spacing w:line="209" w:lineRule="exact"/>
              <w:ind w:left="50"/>
              <w:rPr>
                <w:b/>
                <w:sz w:val="21"/>
              </w:rPr>
            </w:pPr>
            <w:r>
              <w:rPr>
                <w:b/>
                <w:w w:val="99"/>
                <w:sz w:val="21"/>
              </w:rPr>
              <w:t> </w:t>
            </w:r>
          </w:p>
          <w:p>
            <w:pPr>
              <w:pStyle w:val="TableParagraph"/>
              <w:spacing w:line="274" w:lineRule="exact"/>
              <w:ind w:left="50"/>
              <w:rPr>
                <w:sz w:val="21"/>
              </w:rPr>
            </w:pPr>
            <w:r>
              <w:rPr>
                <w:b/>
                <w:sz w:val="21"/>
              </w:rPr>
              <w:t>3.3</w:t>
            </w:r>
            <w:r>
              <w:rPr>
                <w:sz w:val="21"/>
              </w:rPr>
              <w:t> </w:t>
            </w:r>
          </w:p>
        </w:tc>
        <w:tc>
          <w:tcPr>
            <w:tcW w:w="1949" w:type="dxa"/>
          </w:tcPr>
          <w:p>
            <w:pPr>
              <w:pStyle w:val="TableParagraph"/>
              <w:spacing w:line="209" w:lineRule="exact"/>
              <w:ind w:left="143"/>
              <w:rPr>
                <w:b/>
                <w:sz w:val="21"/>
              </w:rPr>
            </w:pPr>
            <w:r>
              <w:rPr>
                <w:b/>
                <w:w w:val="99"/>
                <w:sz w:val="21"/>
              </w:rPr>
              <w:t> </w:t>
            </w:r>
          </w:p>
          <w:p>
            <w:pPr>
              <w:pStyle w:val="TableParagraph"/>
              <w:spacing w:line="274" w:lineRule="exact"/>
              <w:ind w:left="143"/>
              <w:rPr>
                <w:i/>
                <w:sz w:val="22"/>
              </w:rPr>
            </w:pPr>
            <w:r>
              <w:rPr>
                <w:b/>
                <w:w w:val="95"/>
                <w:sz w:val="21"/>
              </w:rPr>
              <w:t>保险金申请</w:t>
            </w:r>
            <w:r>
              <w:rPr>
                <w:i/>
                <w:w w:val="95"/>
                <w:sz w:val="22"/>
              </w:rPr>
              <w:t> </w:t>
            </w:r>
          </w:p>
        </w:tc>
        <w:tc>
          <w:tcPr>
            <w:tcW w:w="5944" w:type="dxa"/>
          </w:tcPr>
          <w:p>
            <w:pPr>
              <w:pStyle w:val="TableParagraph"/>
              <w:spacing w:line="209" w:lineRule="exact"/>
              <w:ind w:left="119"/>
              <w:rPr>
                <w:sz w:val="21"/>
              </w:rPr>
            </w:pPr>
            <w:r>
              <w:rPr>
                <w:sz w:val="21"/>
              </w:rPr>
              <w:t> </w:t>
            </w:r>
          </w:p>
          <w:p>
            <w:pPr>
              <w:pStyle w:val="TableParagraph"/>
              <w:spacing w:line="274" w:lineRule="exact"/>
              <w:ind w:left="119"/>
              <w:rPr>
                <w:sz w:val="21"/>
              </w:rPr>
            </w:pPr>
            <w:r>
              <w:rPr>
                <w:sz w:val="21"/>
              </w:rPr>
              <w:t>在申请保险金时，请按照下列方式办理： </w:t>
            </w:r>
          </w:p>
        </w:tc>
      </w:tr>
      <w:tr>
        <w:trPr>
          <w:trHeight w:val="357" w:hRule="atLeast"/>
        </w:trPr>
        <w:tc>
          <w:tcPr>
            <w:tcW w:w="616" w:type="dxa"/>
          </w:tcPr>
          <w:p>
            <w:pPr>
              <w:pStyle w:val="TableParagraph"/>
              <w:spacing w:before="8"/>
              <w:ind w:left="50"/>
              <w:rPr>
                <w:b/>
                <w:sz w:val="21"/>
              </w:rPr>
            </w:pPr>
            <w:r>
              <w:rPr>
                <w:b/>
                <w:w w:val="99"/>
                <w:sz w:val="21"/>
              </w:rPr>
              <w:t> </w:t>
            </w:r>
          </w:p>
        </w:tc>
        <w:tc>
          <w:tcPr>
            <w:tcW w:w="1949" w:type="dxa"/>
          </w:tcPr>
          <w:p>
            <w:pPr>
              <w:pStyle w:val="TableParagraph"/>
              <w:spacing w:before="8"/>
              <w:ind w:left="143"/>
              <w:rPr>
                <w:b/>
                <w:sz w:val="21"/>
              </w:rPr>
            </w:pPr>
            <w:r>
              <w:rPr>
                <w:b/>
                <w:w w:val="99"/>
                <w:sz w:val="21"/>
              </w:rPr>
              <w:t> </w:t>
            </w:r>
          </w:p>
        </w:tc>
        <w:tc>
          <w:tcPr>
            <w:tcW w:w="5944" w:type="dxa"/>
          </w:tcPr>
          <w:p>
            <w:pPr>
              <w:pStyle w:val="TableParagraph"/>
              <w:spacing w:before="8"/>
              <w:ind w:left="119"/>
              <w:rPr>
                <w:sz w:val="21"/>
              </w:rPr>
            </w:pPr>
            <w:r>
              <w:rPr>
                <w:sz w:val="21"/>
              </w:rPr>
              <w:t> </w:t>
            </w:r>
          </w:p>
        </w:tc>
      </w:tr>
      <w:tr>
        <w:trPr>
          <w:trHeight w:val="358" w:hRule="atLeast"/>
        </w:trPr>
        <w:tc>
          <w:tcPr>
            <w:tcW w:w="616" w:type="dxa"/>
          </w:tcPr>
          <w:p>
            <w:pPr>
              <w:pStyle w:val="TableParagraph"/>
              <w:spacing w:before="9"/>
              <w:ind w:left="50"/>
              <w:rPr>
                <w:b/>
                <w:sz w:val="21"/>
              </w:rPr>
            </w:pPr>
            <w:r>
              <w:rPr>
                <w:b/>
                <w:w w:val="99"/>
                <w:sz w:val="21"/>
              </w:rPr>
              <w:t> </w:t>
            </w:r>
          </w:p>
        </w:tc>
        <w:tc>
          <w:tcPr>
            <w:tcW w:w="1949" w:type="dxa"/>
          </w:tcPr>
          <w:p>
            <w:pPr>
              <w:pStyle w:val="TableParagraph"/>
              <w:spacing w:before="9"/>
              <w:ind w:left="143"/>
              <w:rPr>
                <w:rFonts w:ascii="黑体" w:eastAsia="黑体" w:hint="eastAsia"/>
                <w:b/>
                <w:sz w:val="21"/>
              </w:rPr>
            </w:pPr>
            <w:r>
              <w:rPr>
                <w:rFonts w:ascii="黑体" w:eastAsia="黑体" w:hint="eastAsia"/>
                <w:b/>
                <w:w w:val="95"/>
                <w:sz w:val="21"/>
              </w:rPr>
              <w:t>轻症疾病保险金、</w:t>
            </w:r>
          </w:p>
        </w:tc>
        <w:tc>
          <w:tcPr>
            <w:tcW w:w="5944" w:type="dxa"/>
          </w:tcPr>
          <w:p>
            <w:pPr>
              <w:pStyle w:val="TableParagraph"/>
              <w:spacing w:before="9"/>
              <w:ind w:left="118"/>
              <w:rPr>
                <w:sz w:val="21"/>
              </w:rPr>
            </w:pPr>
            <w:r>
              <w:rPr>
                <w:sz w:val="21"/>
              </w:rPr>
              <w:t>申请人须填写保险金给付申请书，并须提供下列证明和资料： </w:t>
            </w:r>
          </w:p>
        </w:tc>
      </w:tr>
      <w:tr>
        <w:trPr>
          <w:trHeight w:val="284" w:hRule="atLeast"/>
        </w:trPr>
        <w:tc>
          <w:tcPr>
            <w:tcW w:w="616" w:type="dxa"/>
          </w:tcPr>
          <w:p>
            <w:pPr>
              <w:pStyle w:val="TableParagraph"/>
              <w:rPr>
                <w:rFonts w:ascii="Times New Roman"/>
                <w:sz w:val="20"/>
              </w:rPr>
            </w:pPr>
          </w:p>
        </w:tc>
        <w:tc>
          <w:tcPr>
            <w:tcW w:w="1949" w:type="dxa"/>
          </w:tcPr>
          <w:p>
            <w:pPr>
              <w:pStyle w:val="TableParagraph"/>
              <w:spacing w:line="255" w:lineRule="exact" w:before="9"/>
              <w:ind w:left="143"/>
              <w:rPr>
                <w:rFonts w:ascii="黑体" w:eastAsia="黑体" w:hint="eastAsia"/>
                <w:b/>
                <w:sz w:val="21"/>
              </w:rPr>
            </w:pPr>
            <w:r>
              <w:rPr>
                <w:rFonts w:ascii="黑体" w:eastAsia="黑体" w:hint="eastAsia"/>
                <w:b/>
                <w:w w:val="95"/>
                <w:sz w:val="21"/>
              </w:rPr>
              <w:t>重大疾病保险金、</w:t>
            </w:r>
          </w:p>
        </w:tc>
        <w:tc>
          <w:tcPr>
            <w:tcW w:w="5944" w:type="dxa"/>
          </w:tcPr>
          <w:p>
            <w:pPr>
              <w:pStyle w:val="TableParagraph"/>
              <w:spacing w:line="255" w:lineRule="exact" w:before="9"/>
              <w:ind w:left="118"/>
              <w:rPr>
                <w:sz w:val="21"/>
              </w:rPr>
            </w:pPr>
            <w:r>
              <w:rPr>
                <w:sz w:val="21"/>
              </w:rPr>
              <w:t>（1）保险合同；  </w:t>
            </w:r>
          </w:p>
        </w:tc>
      </w:tr>
    </w:tbl>
    <w:p>
      <w:pPr>
        <w:spacing w:after="0" w:line="255" w:lineRule="exact"/>
        <w:rPr>
          <w:sz w:val="21"/>
        </w:rPr>
        <w:sectPr>
          <w:pgSz w:w="11910" w:h="16840"/>
          <w:pgMar w:header="501" w:footer="998" w:top="700" w:bottom="1180" w:left="1020" w:right="800"/>
        </w:sectPr>
      </w:pPr>
    </w:p>
    <w:p>
      <w:pPr>
        <w:pStyle w:val="BodyText"/>
        <w:rPr>
          <w:sz w:val="20"/>
        </w:rPr>
      </w:pPr>
    </w:p>
    <w:p>
      <w:pPr>
        <w:pStyle w:val="BodyText"/>
        <w:rPr>
          <w:sz w:val="20"/>
        </w:rPr>
      </w:pPr>
    </w:p>
    <w:p>
      <w:pPr>
        <w:spacing w:after="0"/>
        <w:rPr>
          <w:sz w:val="20"/>
        </w:rPr>
        <w:sectPr>
          <w:pgSz w:w="11910" w:h="16840"/>
          <w:pgMar w:header="501" w:footer="998" w:top="700" w:bottom="1180" w:left="1020" w:right="980"/>
        </w:sectPr>
      </w:pPr>
    </w:p>
    <w:p>
      <w:pPr>
        <w:pStyle w:val="BodyText"/>
        <w:spacing w:before="6"/>
        <w:rPr>
          <w:sz w:val="15"/>
        </w:rPr>
      </w:pPr>
    </w:p>
    <w:p>
      <w:pPr>
        <w:pStyle w:val="Heading5"/>
        <w:spacing w:line="314" w:lineRule="auto"/>
        <w:rPr>
          <w:rFonts w:ascii="黑体" w:eastAsia="黑体" w:hint="eastAsia"/>
        </w:rPr>
      </w:pPr>
      <w:r>
        <w:rPr>
          <w:rFonts w:ascii="黑体" w:eastAsia="黑体" w:hint="eastAsia"/>
        </w:rPr>
        <w:t>疾病终末期保险金申请</w:t>
      </w:r>
    </w:p>
    <w:p>
      <w:pPr>
        <w:pStyle w:val="BodyText"/>
        <w:spacing w:before="6"/>
        <w:rPr>
          <w:rFonts w:ascii="黑体"/>
          <w:b/>
          <w:sz w:val="15"/>
        </w:rPr>
      </w:pPr>
      <w:r>
        <w:rPr/>
        <w:br w:type="column"/>
      </w:r>
      <w:r>
        <w:rPr>
          <w:rFonts w:ascii="黑体"/>
          <w:b/>
          <w:sz w:val="15"/>
        </w:rPr>
      </w:r>
    </w:p>
    <w:p>
      <w:pPr>
        <w:pStyle w:val="BodyText"/>
        <w:ind w:left="197"/>
      </w:pPr>
      <w:r>
        <w:rPr/>
        <w:t>（2）受益人的有效身份证件； </w:t>
      </w:r>
    </w:p>
    <w:p>
      <w:pPr>
        <w:pStyle w:val="BodyText"/>
        <w:spacing w:line="314" w:lineRule="auto" w:before="83"/>
        <w:ind w:left="723" w:right="113" w:hanging="526"/>
        <w:jc w:val="both"/>
      </w:pPr>
      <w:r>
        <w:rPr/>
        <w:t>（3）专科医生出具的诊断证明书(包括：完整病历、出院小结、病理组织检</w:t>
      </w:r>
      <w:r>
        <w:rPr>
          <w:spacing w:val="-11"/>
        </w:rPr>
        <w:t>查报告、血液检查、其他科学方法检验报告的病史资料及疾病诊断报告</w:t>
      </w:r>
      <w:r>
        <w:rPr>
          <w:spacing w:val="-1"/>
        </w:rPr>
        <w:t>书)；</w:t>
      </w:r>
      <w:r>
        <w:rPr/>
        <w:t> </w:t>
      </w:r>
    </w:p>
    <w:p>
      <w:pPr>
        <w:pStyle w:val="BodyText"/>
        <w:spacing w:line="314" w:lineRule="auto" w:before="18"/>
        <w:ind w:left="723" w:right="115" w:hanging="526"/>
        <w:jc w:val="both"/>
      </w:pPr>
      <w:r>
        <w:rPr>
          <w:spacing w:val="-12"/>
        </w:rPr>
        <w:t>（4）</w:t>
      </w:r>
      <w:r>
        <w:rPr>
          <w:spacing w:val="-5"/>
        </w:rPr>
        <w:t>若由代理人代为申请保险金，则还应提供授权委托书、代理人有效身份证件等文件； </w:t>
      </w:r>
    </w:p>
    <w:p>
      <w:pPr>
        <w:pStyle w:val="BodyText"/>
        <w:spacing w:line="314" w:lineRule="auto" w:before="18"/>
        <w:ind w:left="197" w:right="116"/>
        <w:jc w:val="both"/>
      </w:pPr>
      <w:r>
        <w:rPr/>
        <w:t>（5）所能提供的与确认保险事故的性质、原因等有关的其他证明和资料。以上证明和资料不完整的，本公司将及时一次性通知申请人补充提供有关证明和资料。 </w:t>
      </w:r>
    </w:p>
    <w:p>
      <w:pPr>
        <w:spacing w:after="0" w:line="314" w:lineRule="auto"/>
        <w:jc w:val="both"/>
        <w:sectPr>
          <w:type w:val="continuous"/>
          <w:pgSz w:w="11910" w:h="16840"/>
          <w:pgMar w:top="700" w:bottom="280" w:left="1020" w:right="980"/>
          <w:cols w:num="2" w:equalWidth="0">
            <w:col w:w="2619" w:space="40"/>
            <w:col w:w="7251"/>
          </w:cols>
        </w:sectPr>
      </w:pPr>
    </w:p>
    <w:p>
      <w:pPr>
        <w:pStyle w:val="Heading5"/>
        <w:tabs>
          <w:tab w:pos="931" w:val="left" w:leader="none"/>
          <w:tab w:pos="2855" w:val="left" w:leader="none"/>
        </w:tabs>
        <w:spacing w:before="18"/>
        <w:ind w:left="221"/>
        <w:rPr>
          <w:b w:val="0"/>
        </w:rPr>
      </w:pPr>
      <w:r>
        <w:rPr>
          <w:w w:val="99"/>
        </w:rPr>
        <w:t> </w:t>
      </w:r>
      <w:r>
        <w:rPr/>
        <w:tab/>
      </w:r>
      <w:r>
        <w:rPr>
          <w:w w:val="99"/>
        </w:rPr>
        <w:t> </w:t>
      </w:r>
      <w:r>
        <w:rPr/>
        <w:tab/>
      </w:r>
      <w:r>
        <w:rPr>
          <w:b w:val="0"/>
        </w:rPr>
        <w:t> </w:t>
      </w:r>
    </w:p>
    <w:p>
      <w:pPr>
        <w:tabs>
          <w:tab w:pos="931" w:val="left" w:leader="none"/>
          <w:tab w:pos="2855" w:val="left" w:leader="none"/>
        </w:tabs>
        <w:spacing w:before="83"/>
        <w:ind w:left="221" w:right="0" w:firstLine="0"/>
        <w:jc w:val="left"/>
        <w:rPr>
          <w:sz w:val="21"/>
        </w:rPr>
      </w:pPr>
      <w:r>
        <w:rPr>
          <w:sz w:val="21"/>
        </w:rPr>
        <w:t> </w:t>
        <w:tab/>
      </w:r>
      <w:r>
        <w:rPr>
          <w:rFonts w:ascii="黑体" w:eastAsia="黑体" w:hint="eastAsia"/>
          <w:b/>
          <w:sz w:val="21"/>
        </w:rPr>
        <w:t>身故保险金申请</w:t>
        <w:tab/>
      </w:r>
      <w:r>
        <w:rPr>
          <w:sz w:val="21"/>
        </w:rPr>
        <w:t>申请人须填写保险金给付申请书，并须提供下列证明和资料： </w:t>
      </w:r>
    </w:p>
    <w:p>
      <w:pPr>
        <w:pStyle w:val="BodyText"/>
        <w:spacing w:before="83"/>
        <w:ind w:left="2855"/>
        <w:jc w:val="both"/>
      </w:pPr>
      <w:r>
        <w:rPr/>
        <w:t>（1）保险合同；  </w:t>
      </w:r>
    </w:p>
    <w:p>
      <w:pPr>
        <w:pStyle w:val="BodyText"/>
        <w:spacing w:before="83"/>
        <w:ind w:left="2855"/>
        <w:jc w:val="both"/>
      </w:pPr>
      <w:r>
        <w:rPr/>
        <w:t>（2）受益人的有效身份证件； </w:t>
      </w:r>
    </w:p>
    <w:p>
      <w:pPr>
        <w:pStyle w:val="BodyText"/>
        <w:spacing w:line="314" w:lineRule="auto" w:before="83"/>
        <w:ind w:left="3423" w:right="178" w:hanging="568"/>
      </w:pPr>
      <w:r>
        <w:rPr/>
        <w:t>（3）</w:t>
      </w:r>
      <w:r>
        <w:rPr>
          <w:spacing w:val="-9"/>
        </w:rPr>
        <w:t> 国务院卫生行政部门认定的医疗机构、公安部门或其他相关机构出具的被保险人的死亡证明； </w:t>
      </w:r>
    </w:p>
    <w:p>
      <w:pPr>
        <w:pStyle w:val="BodyText"/>
        <w:spacing w:line="314" w:lineRule="auto" w:before="18"/>
        <w:ind w:left="3381" w:right="115" w:hanging="526"/>
      </w:pPr>
      <w:r>
        <w:rPr>
          <w:spacing w:val="-12"/>
        </w:rPr>
        <w:t>（4）</w:t>
      </w:r>
      <w:r>
        <w:rPr>
          <w:spacing w:val="-5"/>
        </w:rPr>
        <w:t>若由代理人代为申请保险金，则还应提供授权委托书、代理人有效身份证件等文件； </w:t>
      </w:r>
    </w:p>
    <w:p>
      <w:pPr>
        <w:pStyle w:val="BodyText"/>
        <w:spacing w:line="314" w:lineRule="auto" w:before="18"/>
        <w:ind w:left="2855" w:right="116"/>
        <w:jc w:val="both"/>
      </w:pPr>
      <w:r>
        <w:rPr/>
        <w:t>（5）所能提供的与确认保险事故的性质、原因等有关的其他证明和资料。保险金作为被保险人遗产时，必须提供可证明合法继承权的相关权利文件。以上证明和资料不完整的，本公司将及时一次性通知申请人补充提供有关证明和资料。</w:t>
      </w:r>
    </w:p>
    <w:p>
      <w:pPr>
        <w:tabs>
          <w:tab w:pos="931" w:val="left" w:leader="none"/>
          <w:tab w:pos="2855" w:val="left" w:leader="none"/>
        </w:tabs>
        <w:spacing w:line="273" w:lineRule="exact" w:before="18"/>
        <w:ind w:left="221" w:right="0" w:firstLine="0"/>
        <w:jc w:val="left"/>
        <w:rPr>
          <w:sz w:val="21"/>
        </w:rPr>
      </w:pPr>
      <w:r>
        <w:rPr>
          <w:sz w:val="21"/>
        </w:rPr>
        <w:t> </w:t>
        <w:tab/>
      </w:r>
      <w:r>
        <w:rPr>
          <w:i/>
          <w:w w:val="95"/>
          <w:sz w:val="22"/>
        </w:rPr>
        <w:t> </w:t>
      </w:r>
      <w:r>
        <w:rPr>
          <w:i/>
          <w:sz w:val="22"/>
        </w:rPr>
        <w:tab/>
      </w:r>
      <w:r>
        <w:rPr>
          <w:sz w:val="21"/>
        </w:rPr>
        <w:t> </w:t>
      </w:r>
    </w:p>
    <w:p>
      <w:pPr>
        <w:tabs>
          <w:tab w:pos="931" w:val="left" w:leader="none"/>
          <w:tab w:pos="2855" w:val="left" w:leader="none"/>
        </w:tabs>
        <w:spacing w:line="273" w:lineRule="exact" w:before="0"/>
        <w:ind w:left="221" w:right="0" w:firstLine="0"/>
        <w:jc w:val="left"/>
        <w:rPr>
          <w:sz w:val="21"/>
        </w:rPr>
      </w:pPr>
      <w:r>
        <w:rPr>
          <w:sz w:val="21"/>
        </w:rPr>
        <w:t> </w:t>
        <w:tab/>
      </w:r>
      <w:r>
        <w:rPr>
          <w:rFonts w:ascii="黑体" w:eastAsia="黑体" w:hint="eastAsia"/>
          <w:b/>
          <w:sz w:val="21"/>
        </w:rPr>
        <w:t>全残保险金申请</w:t>
        <w:tab/>
      </w:r>
      <w:r>
        <w:rPr>
          <w:sz w:val="21"/>
        </w:rPr>
        <w:t>申请人须填写保险金给付申请书，并须提供下列证明和资料： </w:t>
      </w:r>
    </w:p>
    <w:p>
      <w:pPr>
        <w:pStyle w:val="BodyText"/>
        <w:spacing w:before="84"/>
        <w:ind w:left="2856"/>
        <w:jc w:val="both"/>
      </w:pPr>
      <w:r>
        <w:rPr/>
        <w:t>（1）保险合同； </w:t>
      </w:r>
    </w:p>
    <w:p>
      <w:pPr>
        <w:pStyle w:val="BodyText"/>
        <w:spacing w:before="83"/>
        <w:ind w:left="2856"/>
        <w:jc w:val="both"/>
      </w:pPr>
      <w:r>
        <w:rPr/>
        <w:t>（2）受益人的有效身份证件； </w:t>
      </w:r>
    </w:p>
    <w:p>
      <w:pPr>
        <w:pStyle w:val="BodyText"/>
        <w:spacing w:before="83"/>
        <w:ind w:left="2856"/>
        <w:jc w:val="both"/>
      </w:pPr>
      <w:r>
        <w:rPr/>
        <w:t>（3）具有相应鉴定资格的专业鉴定机构出具的残疾程度鉴定书； </w:t>
      </w:r>
    </w:p>
    <w:p>
      <w:pPr>
        <w:pStyle w:val="BodyText"/>
        <w:spacing w:line="314" w:lineRule="auto" w:before="83"/>
        <w:ind w:left="3381" w:right="115" w:hanging="526"/>
      </w:pPr>
      <w:r>
        <w:rPr>
          <w:spacing w:val="-12"/>
        </w:rPr>
        <w:t>（4）</w:t>
      </w:r>
      <w:r>
        <w:rPr>
          <w:spacing w:val="-5"/>
        </w:rPr>
        <w:t>若由代理人代为申请保险金，则还应提供授权委托书、代理人有效身份证件等文件； </w:t>
      </w:r>
    </w:p>
    <w:p>
      <w:pPr>
        <w:pStyle w:val="BodyText"/>
        <w:spacing w:line="314" w:lineRule="auto" w:before="18"/>
        <w:ind w:left="2856" w:right="116"/>
        <w:jc w:val="both"/>
      </w:pPr>
      <w:r>
        <w:rPr/>
        <w:t>（5）所能提供的与确认保险事故的性质、原因等有关的其他证明和资料。以上证明和资料不完整的，本公司将及时一次性通知申请人补充提供有关证明和资料。 </w:t>
      </w:r>
    </w:p>
    <w:p>
      <w:pPr>
        <w:tabs>
          <w:tab w:pos="931" w:val="left" w:leader="none"/>
          <w:tab w:pos="2855" w:val="left" w:leader="none"/>
        </w:tabs>
        <w:spacing w:line="269" w:lineRule="exact" w:before="18"/>
        <w:ind w:left="221" w:right="0" w:firstLine="0"/>
        <w:jc w:val="left"/>
        <w:rPr>
          <w:sz w:val="21"/>
        </w:rPr>
      </w:pPr>
      <w:r>
        <w:rPr>
          <w:sz w:val="21"/>
        </w:rPr>
        <w:t> </w:t>
        <w:tab/>
      </w:r>
      <w:r>
        <w:rPr>
          <w:i/>
          <w:w w:val="95"/>
          <w:sz w:val="22"/>
        </w:rPr>
        <w:t> </w:t>
      </w:r>
      <w:r>
        <w:rPr>
          <w:i/>
          <w:sz w:val="22"/>
        </w:rPr>
        <w:tab/>
      </w:r>
      <w:r>
        <w:rPr>
          <w:sz w:val="21"/>
        </w:rPr>
        <w:t> </w:t>
      </w:r>
    </w:p>
    <w:p>
      <w:pPr>
        <w:spacing w:line="292" w:lineRule="auto" w:before="0"/>
        <w:ind w:left="2856" w:right="116" w:hanging="2635"/>
        <w:jc w:val="left"/>
        <w:rPr>
          <w:sz w:val="21"/>
        </w:rPr>
      </w:pPr>
      <w:r>
        <w:rPr>
          <w:b/>
          <w:sz w:val="21"/>
        </w:rPr>
        <w:t>3.4   保险金给付       </w:t>
      </w:r>
      <w:r>
        <w:rPr>
          <w:position w:val="1"/>
          <w:sz w:val="21"/>
        </w:rPr>
        <w:t>本公司在收到保险金给付申请书及合同约定的证明和资料后，将在 5 日内作</w:t>
      </w:r>
      <w:r>
        <w:rPr>
          <w:sz w:val="21"/>
        </w:rPr>
        <w:t>出核定；情形复杂的，在 30 日内作出核定。本主险合同另有约定的除外。 </w:t>
      </w:r>
    </w:p>
    <w:p>
      <w:pPr>
        <w:pStyle w:val="BodyText"/>
        <w:spacing w:line="300" w:lineRule="auto" w:before="29"/>
        <w:ind w:left="2856" w:right="115"/>
        <w:jc w:val="both"/>
      </w:pPr>
      <w:r>
        <w:rPr>
          <w:spacing w:val="-8"/>
        </w:rPr>
        <w:t>对属于保险责任的，本公司在与受益人达成给付保险金的协议后 </w:t>
      </w:r>
      <w:r>
        <w:rPr/>
        <w:t>10</w:t>
      </w:r>
      <w:r>
        <w:rPr>
          <w:spacing w:val="-24"/>
        </w:rPr>
        <w:t> 日内，履行给付保险金义务。 </w:t>
      </w:r>
    </w:p>
    <w:p>
      <w:pPr>
        <w:pStyle w:val="BodyText"/>
        <w:spacing w:line="300" w:lineRule="auto" w:before="16"/>
        <w:ind w:left="2856" w:right="116"/>
        <w:jc w:val="both"/>
      </w:pPr>
      <w:r>
        <w:rPr/>
        <w:t>本公司未及时履行前款规定义务的，除支付保险金外，应当赔偿受益人因此受到的损失。 </w:t>
      </w:r>
    </w:p>
    <w:p>
      <w:pPr>
        <w:pStyle w:val="BodyText"/>
        <w:spacing w:before="16"/>
        <w:ind w:left="2856"/>
        <w:jc w:val="both"/>
      </w:pPr>
      <w:r>
        <w:rPr/>
        <w:t>对不属于保险责任的，本公司自作出核定之日起 3 日内向受益人发出拒绝给</w:t>
      </w:r>
    </w:p>
    <w:p>
      <w:pPr>
        <w:spacing w:after="0"/>
        <w:jc w:val="both"/>
        <w:sectPr>
          <w:type w:val="continuous"/>
          <w:pgSz w:w="11910" w:h="16840"/>
          <w:pgMar w:top="700" w:bottom="280" w:left="1020" w:right="980"/>
        </w:sectPr>
      </w:pPr>
    </w:p>
    <w:p>
      <w:pPr>
        <w:pStyle w:val="BodyText"/>
        <w:rPr>
          <w:sz w:val="20"/>
        </w:rPr>
      </w:pPr>
    </w:p>
    <w:p>
      <w:pPr>
        <w:pStyle w:val="BodyText"/>
        <w:rPr>
          <w:sz w:val="20"/>
        </w:rPr>
      </w:pPr>
    </w:p>
    <w:p>
      <w:pPr>
        <w:pStyle w:val="BodyText"/>
        <w:spacing w:before="10"/>
        <w:rPr>
          <w:sz w:val="19"/>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579"/>
        <w:gridCol w:w="7469"/>
      </w:tblGrid>
      <w:tr>
        <w:trPr>
          <w:trHeight w:val="1353" w:hRule="atLeast"/>
        </w:trPr>
        <w:tc>
          <w:tcPr>
            <w:tcW w:w="2196" w:type="dxa"/>
            <w:gridSpan w:val="2"/>
          </w:tcPr>
          <w:p>
            <w:pPr>
              <w:pStyle w:val="TableParagraph"/>
              <w:rPr>
                <w:rFonts w:ascii="Times New Roman"/>
                <w:sz w:val="20"/>
              </w:rPr>
            </w:pPr>
          </w:p>
        </w:tc>
        <w:tc>
          <w:tcPr>
            <w:tcW w:w="7469" w:type="dxa"/>
          </w:tcPr>
          <w:p>
            <w:pPr>
              <w:pStyle w:val="TableParagraph"/>
              <w:spacing w:line="210" w:lineRule="exact"/>
              <w:ind w:left="488"/>
              <w:rPr>
                <w:sz w:val="21"/>
              </w:rPr>
            </w:pPr>
            <w:r>
              <w:rPr>
                <w:sz w:val="21"/>
              </w:rPr>
              <w:t>付保险金通知书并说明理由。 </w:t>
            </w:r>
          </w:p>
          <w:p>
            <w:pPr>
              <w:pStyle w:val="TableParagraph"/>
              <w:spacing w:line="358" w:lineRule="exact" w:before="35"/>
              <w:ind w:left="488" w:right="47"/>
              <w:jc w:val="both"/>
              <w:rPr>
                <w:sz w:val="21"/>
              </w:rPr>
            </w:pPr>
            <w:r>
              <w:rPr>
                <w:spacing w:val="-3"/>
                <w:sz w:val="21"/>
              </w:rPr>
              <w:t>本公司在收到保险金给付申请书及有关证明和资料之日起 </w:t>
            </w:r>
            <w:r>
              <w:rPr>
                <w:sz w:val="21"/>
              </w:rPr>
              <w:t>60</w:t>
            </w:r>
            <w:r>
              <w:rPr>
                <w:spacing w:val="-23"/>
                <w:sz w:val="21"/>
              </w:rPr>
              <w:t> 日内，对给付保险金的数额不能确定的，根据已有证明和资料可以确定的数额先予支付；本公司最终确定给付保险金的数额后，将支付相应的差额。 </w:t>
            </w:r>
          </w:p>
        </w:tc>
      </w:tr>
      <w:tr>
        <w:trPr>
          <w:trHeight w:val="307" w:hRule="atLeast"/>
        </w:trPr>
        <w:tc>
          <w:tcPr>
            <w:tcW w:w="617" w:type="dxa"/>
          </w:tcPr>
          <w:p>
            <w:pPr>
              <w:pStyle w:val="TableParagraph"/>
              <w:spacing w:before="9"/>
              <w:ind w:left="50"/>
              <w:rPr>
                <w:b/>
                <w:sz w:val="21"/>
              </w:rPr>
            </w:pPr>
            <w:r>
              <w:rPr>
                <w:b/>
                <w:w w:val="99"/>
                <w:sz w:val="21"/>
              </w:rPr>
              <w:t> </w:t>
            </w:r>
          </w:p>
        </w:tc>
        <w:tc>
          <w:tcPr>
            <w:tcW w:w="1579" w:type="dxa"/>
          </w:tcPr>
          <w:p>
            <w:pPr>
              <w:pStyle w:val="TableParagraph"/>
              <w:spacing w:before="9"/>
              <w:ind w:left="142"/>
              <w:rPr>
                <w:b/>
                <w:sz w:val="21"/>
              </w:rPr>
            </w:pPr>
            <w:r>
              <w:rPr>
                <w:b/>
                <w:w w:val="99"/>
                <w:sz w:val="21"/>
              </w:rPr>
              <w:t> </w:t>
            </w:r>
          </w:p>
        </w:tc>
        <w:tc>
          <w:tcPr>
            <w:tcW w:w="7469" w:type="dxa"/>
          </w:tcPr>
          <w:p>
            <w:pPr>
              <w:pStyle w:val="TableParagraph"/>
              <w:spacing w:before="9"/>
              <w:ind w:left="488"/>
              <w:rPr>
                <w:sz w:val="21"/>
              </w:rPr>
            </w:pPr>
            <w:r>
              <w:rPr>
                <w:sz w:val="21"/>
              </w:rPr>
              <w:t> </w:t>
            </w:r>
          </w:p>
        </w:tc>
      </w:tr>
      <w:tr>
        <w:trPr>
          <w:trHeight w:val="299" w:hRule="atLeast"/>
        </w:trPr>
        <w:tc>
          <w:tcPr>
            <w:tcW w:w="617" w:type="dxa"/>
          </w:tcPr>
          <w:p>
            <w:pPr>
              <w:pStyle w:val="TableParagraph"/>
              <w:spacing w:line="248" w:lineRule="exact"/>
              <w:ind w:left="50"/>
              <w:rPr>
                <w:b/>
                <w:sz w:val="21"/>
              </w:rPr>
            </w:pPr>
            <w:r>
              <w:rPr>
                <w:b/>
                <w:sz w:val="21"/>
              </w:rPr>
              <w:t>3.5 </w:t>
            </w:r>
          </w:p>
        </w:tc>
        <w:tc>
          <w:tcPr>
            <w:tcW w:w="1579" w:type="dxa"/>
          </w:tcPr>
          <w:p>
            <w:pPr>
              <w:pStyle w:val="TableParagraph"/>
              <w:spacing w:line="248" w:lineRule="exact"/>
              <w:ind w:left="142"/>
              <w:rPr>
                <w:b/>
                <w:sz w:val="21"/>
              </w:rPr>
            </w:pPr>
            <w:r>
              <w:rPr>
                <w:b/>
                <w:w w:val="95"/>
                <w:sz w:val="21"/>
              </w:rPr>
              <w:t>失踪处理</w:t>
            </w:r>
            <w:r>
              <w:rPr>
                <w:b/>
                <w:w w:val="99"/>
                <w:sz w:val="21"/>
              </w:rPr>
              <w:t> </w:t>
            </w:r>
          </w:p>
        </w:tc>
        <w:tc>
          <w:tcPr>
            <w:tcW w:w="7469" w:type="dxa"/>
          </w:tcPr>
          <w:p>
            <w:pPr>
              <w:pStyle w:val="TableParagraph"/>
              <w:spacing w:line="233" w:lineRule="exact"/>
              <w:ind w:left="488"/>
              <w:rPr>
                <w:sz w:val="21"/>
              </w:rPr>
            </w:pPr>
            <w:r>
              <w:rPr>
                <w:sz w:val="21"/>
              </w:rPr>
              <w:t>在本主险合同有效期内，如果被保险人失踪且被法院宣告死亡，本公司以法</w:t>
            </w:r>
          </w:p>
        </w:tc>
      </w:tr>
      <w:tr>
        <w:trPr>
          <w:trHeight w:val="319" w:hRule="atLeast"/>
        </w:trPr>
        <w:tc>
          <w:tcPr>
            <w:tcW w:w="617" w:type="dxa"/>
          </w:tcPr>
          <w:p>
            <w:pPr>
              <w:pStyle w:val="TableParagraph"/>
              <w:rPr>
                <w:rFonts w:ascii="Times New Roman"/>
                <w:sz w:val="20"/>
              </w:rPr>
            </w:pPr>
          </w:p>
        </w:tc>
        <w:tc>
          <w:tcPr>
            <w:tcW w:w="1579" w:type="dxa"/>
          </w:tcPr>
          <w:p>
            <w:pPr>
              <w:pStyle w:val="TableParagraph"/>
              <w:rPr>
                <w:rFonts w:ascii="Times New Roman"/>
                <w:sz w:val="20"/>
              </w:rPr>
            </w:pPr>
          </w:p>
        </w:tc>
        <w:tc>
          <w:tcPr>
            <w:tcW w:w="7469" w:type="dxa"/>
          </w:tcPr>
          <w:p>
            <w:pPr>
              <w:pStyle w:val="TableParagraph"/>
              <w:spacing w:line="261" w:lineRule="exact"/>
              <w:ind w:left="488"/>
              <w:rPr>
                <w:sz w:val="21"/>
              </w:rPr>
            </w:pPr>
            <w:r>
              <w:rPr>
                <w:spacing w:val="-9"/>
                <w:sz w:val="21"/>
              </w:rPr>
              <w:t>院判决宣告死亡之日作为被保险人的身故时间，按本主险合同的约定给付“身</w:t>
            </w:r>
          </w:p>
        </w:tc>
      </w:tr>
      <w:tr>
        <w:trPr>
          <w:trHeight w:val="335" w:hRule="atLeast"/>
        </w:trPr>
        <w:tc>
          <w:tcPr>
            <w:tcW w:w="617" w:type="dxa"/>
          </w:tcPr>
          <w:p>
            <w:pPr>
              <w:pStyle w:val="TableParagraph"/>
              <w:rPr>
                <w:rFonts w:ascii="Times New Roman"/>
                <w:sz w:val="20"/>
              </w:rPr>
            </w:pPr>
          </w:p>
        </w:tc>
        <w:tc>
          <w:tcPr>
            <w:tcW w:w="1579" w:type="dxa"/>
          </w:tcPr>
          <w:p>
            <w:pPr>
              <w:pStyle w:val="TableParagraph"/>
              <w:rPr>
                <w:rFonts w:ascii="Times New Roman"/>
                <w:sz w:val="20"/>
              </w:rPr>
            </w:pPr>
          </w:p>
        </w:tc>
        <w:tc>
          <w:tcPr>
            <w:tcW w:w="7469" w:type="dxa"/>
          </w:tcPr>
          <w:p>
            <w:pPr>
              <w:pStyle w:val="TableParagraph"/>
              <w:spacing w:line="269" w:lineRule="exact"/>
              <w:ind w:left="488"/>
              <w:rPr>
                <w:sz w:val="21"/>
              </w:rPr>
            </w:pPr>
            <w:r>
              <w:rPr>
                <w:spacing w:val="-11"/>
                <w:sz w:val="21"/>
              </w:rPr>
              <w:t>故保险金”，本主险合同终止。 </w:t>
            </w:r>
          </w:p>
        </w:tc>
      </w:tr>
      <w:tr>
        <w:trPr>
          <w:trHeight w:val="351" w:hRule="atLeast"/>
        </w:trPr>
        <w:tc>
          <w:tcPr>
            <w:tcW w:w="617" w:type="dxa"/>
          </w:tcPr>
          <w:p>
            <w:pPr>
              <w:pStyle w:val="TableParagraph"/>
              <w:rPr>
                <w:rFonts w:ascii="Times New Roman"/>
                <w:sz w:val="20"/>
              </w:rPr>
            </w:pPr>
          </w:p>
        </w:tc>
        <w:tc>
          <w:tcPr>
            <w:tcW w:w="1579" w:type="dxa"/>
          </w:tcPr>
          <w:p>
            <w:pPr>
              <w:pStyle w:val="TableParagraph"/>
              <w:rPr>
                <w:rFonts w:ascii="Times New Roman"/>
                <w:sz w:val="20"/>
              </w:rPr>
            </w:pPr>
          </w:p>
        </w:tc>
        <w:tc>
          <w:tcPr>
            <w:tcW w:w="7469" w:type="dxa"/>
          </w:tcPr>
          <w:p>
            <w:pPr>
              <w:pStyle w:val="TableParagraph"/>
              <w:spacing w:before="1"/>
              <w:ind w:left="488"/>
              <w:rPr>
                <w:sz w:val="21"/>
              </w:rPr>
            </w:pPr>
            <w:r>
              <w:rPr>
                <w:sz w:val="21"/>
              </w:rPr>
              <w:t>如果被保险人在宣告死亡后重新出现或者身故保险金受益人确知其没有死亡</w:t>
            </w:r>
          </w:p>
        </w:tc>
      </w:tr>
      <w:tr>
        <w:trPr>
          <w:trHeight w:val="358" w:hRule="atLeast"/>
        </w:trPr>
        <w:tc>
          <w:tcPr>
            <w:tcW w:w="617" w:type="dxa"/>
          </w:tcPr>
          <w:p>
            <w:pPr>
              <w:pStyle w:val="TableParagraph"/>
              <w:rPr>
                <w:rFonts w:ascii="Times New Roman"/>
                <w:sz w:val="20"/>
              </w:rPr>
            </w:pPr>
          </w:p>
        </w:tc>
        <w:tc>
          <w:tcPr>
            <w:tcW w:w="1579" w:type="dxa"/>
          </w:tcPr>
          <w:p>
            <w:pPr>
              <w:pStyle w:val="TableParagraph"/>
              <w:rPr>
                <w:rFonts w:ascii="Times New Roman"/>
                <w:sz w:val="20"/>
              </w:rPr>
            </w:pPr>
          </w:p>
        </w:tc>
        <w:tc>
          <w:tcPr>
            <w:tcW w:w="7469" w:type="dxa"/>
          </w:tcPr>
          <w:p>
            <w:pPr>
              <w:pStyle w:val="TableParagraph"/>
              <w:spacing w:before="9"/>
              <w:ind w:left="488"/>
              <w:rPr>
                <w:sz w:val="21"/>
              </w:rPr>
            </w:pPr>
            <w:r>
              <w:rPr>
                <w:spacing w:val="-12"/>
                <w:sz w:val="21"/>
              </w:rPr>
              <w:t>的，身故保险金受益人应于知道之日起 </w:t>
            </w:r>
            <w:r>
              <w:rPr>
                <w:sz w:val="21"/>
              </w:rPr>
              <w:t>30</w:t>
            </w:r>
            <w:r>
              <w:rPr>
                <w:spacing w:val="-13"/>
                <w:sz w:val="21"/>
              </w:rPr>
              <w:t> 日内向本公司退还已给付的“身故</w:t>
            </w:r>
          </w:p>
        </w:tc>
      </w:tr>
      <w:tr>
        <w:trPr>
          <w:trHeight w:val="358" w:hRule="atLeast"/>
        </w:trPr>
        <w:tc>
          <w:tcPr>
            <w:tcW w:w="617" w:type="dxa"/>
          </w:tcPr>
          <w:p>
            <w:pPr>
              <w:pStyle w:val="TableParagraph"/>
              <w:rPr>
                <w:rFonts w:ascii="Times New Roman"/>
                <w:sz w:val="20"/>
              </w:rPr>
            </w:pPr>
          </w:p>
        </w:tc>
        <w:tc>
          <w:tcPr>
            <w:tcW w:w="1579" w:type="dxa"/>
          </w:tcPr>
          <w:p>
            <w:pPr>
              <w:pStyle w:val="TableParagraph"/>
              <w:rPr>
                <w:rFonts w:ascii="Times New Roman"/>
                <w:sz w:val="20"/>
              </w:rPr>
            </w:pPr>
          </w:p>
        </w:tc>
        <w:tc>
          <w:tcPr>
            <w:tcW w:w="7469" w:type="dxa"/>
          </w:tcPr>
          <w:p>
            <w:pPr>
              <w:pStyle w:val="TableParagraph"/>
              <w:spacing w:before="9"/>
              <w:ind w:left="488"/>
              <w:rPr>
                <w:sz w:val="21"/>
              </w:rPr>
            </w:pPr>
            <w:r>
              <w:rPr>
                <w:spacing w:val="-11"/>
                <w:sz w:val="21"/>
              </w:rPr>
              <w:t>保险金”，本主险合同的效力依法确定。 </w:t>
            </w:r>
          </w:p>
        </w:tc>
      </w:tr>
      <w:tr>
        <w:trPr>
          <w:trHeight w:val="284" w:hRule="atLeast"/>
        </w:trPr>
        <w:tc>
          <w:tcPr>
            <w:tcW w:w="617" w:type="dxa"/>
          </w:tcPr>
          <w:p>
            <w:pPr>
              <w:pStyle w:val="TableParagraph"/>
              <w:spacing w:line="255" w:lineRule="exact" w:before="9"/>
              <w:ind w:left="50"/>
              <w:rPr>
                <w:b/>
                <w:sz w:val="21"/>
              </w:rPr>
            </w:pPr>
            <w:r>
              <w:rPr>
                <w:b/>
                <w:w w:val="99"/>
                <w:sz w:val="21"/>
              </w:rPr>
              <w:t> </w:t>
            </w:r>
          </w:p>
        </w:tc>
        <w:tc>
          <w:tcPr>
            <w:tcW w:w="1579" w:type="dxa"/>
          </w:tcPr>
          <w:p>
            <w:pPr>
              <w:pStyle w:val="TableParagraph"/>
              <w:spacing w:line="255" w:lineRule="exact" w:before="9"/>
              <w:ind w:left="142"/>
              <w:rPr>
                <w:b/>
                <w:sz w:val="21"/>
              </w:rPr>
            </w:pPr>
            <w:r>
              <w:rPr>
                <w:b/>
                <w:w w:val="99"/>
                <w:sz w:val="21"/>
              </w:rPr>
              <w:t> </w:t>
            </w:r>
          </w:p>
        </w:tc>
        <w:tc>
          <w:tcPr>
            <w:tcW w:w="7469" w:type="dxa"/>
          </w:tcPr>
          <w:p>
            <w:pPr>
              <w:pStyle w:val="TableParagraph"/>
              <w:spacing w:line="255" w:lineRule="exact" w:before="9"/>
              <w:ind w:left="488"/>
              <w:rPr>
                <w:sz w:val="21"/>
              </w:rPr>
            </w:pPr>
            <w:r>
              <w:rPr>
                <w:sz w:val="21"/>
              </w:rPr>
              <w:t> </w:t>
            </w:r>
          </w:p>
        </w:tc>
      </w:tr>
    </w:tbl>
    <w:p>
      <w:pPr>
        <w:spacing w:line="314" w:lineRule="auto" w:before="0"/>
        <w:ind w:left="2856" w:right="296" w:hanging="2635"/>
        <w:jc w:val="left"/>
        <w:rPr>
          <w:sz w:val="21"/>
        </w:rPr>
      </w:pPr>
      <w:r>
        <w:rPr>
          <w:b/>
          <w:sz w:val="21"/>
        </w:rPr>
        <w:t>3.6</w:t>
      </w:r>
      <w:r>
        <w:rPr>
          <w:b/>
          <w:spacing w:val="2"/>
          <w:sz w:val="21"/>
        </w:rPr>
        <w:t>   诉讼时效         </w:t>
      </w:r>
      <w:r>
        <w:rPr>
          <w:spacing w:val="-3"/>
          <w:sz w:val="21"/>
        </w:rPr>
        <w:t>受益人向本公司请求给付保险金的诉讼时效期间为 </w:t>
      </w:r>
      <w:r>
        <w:rPr>
          <w:sz w:val="21"/>
        </w:rPr>
        <w:t>5</w:t>
      </w:r>
      <w:r>
        <w:rPr>
          <w:spacing w:val="-8"/>
          <w:sz w:val="21"/>
        </w:rPr>
        <w:t> 年，自其知道或应当知道保险事故发生之日起计算。 </w:t>
      </w:r>
    </w:p>
    <w:p>
      <w:pPr>
        <w:tabs>
          <w:tab w:pos="931" w:val="left" w:leader="none"/>
          <w:tab w:pos="2855" w:val="left" w:leader="none"/>
        </w:tabs>
        <w:spacing w:before="45"/>
        <w:ind w:left="222" w:right="0" w:firstLine="0"/>
        <w:jc w:val="left"/>
        <w:rPr>
          <w:sz w:val="18"/>
        </w:rPr>
      </w:pPr>
      <w:r>
        <w:rPr>
          <w:sz w:val="18"/>
        </w:rPr>
        <w:t> </w:t>
        <w:tab/>
        <w:t> </w:t>
        <w:tab/>
        <w:t> </w:t>
      </w:r>
    </w:p>
    <w:p>
      <w:pPr>
        <w:pStyle w:val="Heading1"/>
        <w:tabs>
          <w:tab w:pos="931" w:val="left" w:leader="none"/>
        </w:tabs>
        <w:spacing w:before="71"/>
      </w:pPr>
      <w:r>
        <w:rPr/>
        <w:pict>
          <v:group style="position:absolute;margin-left:56.700001pt;margin-top:31.650059pt;width:489.1pt;height:1pt;mso-position-horizontal-relative:page;mso-position-vertical-relative:paragraph;z-index:1168;mso-wrap-distance-left:0;mso-wrap-distance-right:0" coordorigin="1134,633" coordsize="9782,20">
            <v:line style="position:absolute" from="1134,643" to="3787,643" stroked="true" strokeweight=".95999pt" strokecolor="#000000">
              <v:stroke dashstyle="solid"/>
            </v:line>
            <v:line style="position:absolute" from="3787,643" to="10915,643" stroked="true" strokeweight=".96pt" strokecolor="#000000">
              <v:stroke dashstyle="solid"/>
            </v:line>
            <w10:wrap type="topAndBottom"/>
          </v:group>
        </w:pict>
      </w:r>
      <w:r>
        <w:rPr>
          <w:rFonts w:ascii="Arial" w:hAnsi="Arial" w:eastAsia="Arial"/>
          <w:position w:val="-3"/>
          <w:sz w:val="40"/>
        </w:rPr>
        <w:t></w:t>
        <w:tab/>
      </w:r>
      <w:r>
        <w:rPr>
          <w:w w:val="95"/>
        </w:rPr>
        <w:t>保险费的支付                </w:t>
      </w:r>
      <w:r>
        <w:rPr>
          <w:spacing w:val="0"/>
          <w:w w:val="95"/>
        </w:rPr>
        <w:t> </w:t>
      </w:r>
      <w:r>
        <w:rPr>
          <w:w w:val="99"/>
        </w:rPr>
        <w:t>             </w:t>
      </w:r>
      <w:r>
        <w:rPr>
          <w:spacing w:val="0"/>
          <w:w w:val="99"/>
        </w:rPr>
        <w:t> </w:t>
      </w:r>
      <w:r>
        <w:rPr>
          <w:w w:val="99"/>
        </w:rPr>
        <w:t>            </w:t>
      </w:r>
      <w:r>
        <w:rPr>
          <w:spacing w:val="0"/>
          <w:w w:val="99"/>
        </w:rPr>
        <w:t> </w:t>
      </w:r>
      <w:r>
        <w:rPr>
          <w:w w:val="99"/>
        </w:rPr>
        <w:t>            </w:t>
      </w:r>
      <w:r>
        <w:rPr>
          <w:spacing w:val="0"/>
          <w:w w:val="99"/>
        </w:rPr>
        <w:t> </w:t>
      </w:r>
      <w:r>
        <w:rPr>
          <w:w w:val="99"/>
        </w:rPr>
        <w:t>      </w:t>
      </w:r>
    </w:p>
    <w:p>
      <w:pPr>
        <w:pStyle w:val="BodyText"/>
        <w:spacing w:before="3"/>
        <w:rPr>
          <w:b/>
          <w:sz w:val="19"/>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948"/>
        <w:gridCol w:w="7099"/>
      </w:tblGrid>
      <w:tr>
        <w:trPr>
          <w:trHeight w:val="1002" w:hRule="atLeast"/>
        </w:trPr>
        <w:tc>
          <w:tcPr>
            <w:tcW w:w="617" w:type="dxa"/>
          </w:tcPr>
          <w:p>
            <w:pPr>
              <w:pStyle w:val="TableParagraph"/>
              <w:spacing w:line="210" w:lineRule="exact"/>
              <w:ind w:left="50"/>
              <w:rPr>
                <w:b/>
                <w:sz w:val="21"/>
              </w:rPr>
            </w:pPr>
            <w:r>
              <w:rPr>
                <w:b/>
                <w:sz w:val="21"/>
              </w:rPr>
              <w:t>4.1 </w:t>
            </w:r>
          </w:p>
        </w:tc>
        <w:tc>
          <w:tcPr>
            <w:tcW w:w="1948" w:type="dxa"/>
          </w:tcPr>
          <w:p>
            <w:pPr>
              <w:pStyle w:val="TableParagraph"/>
              <w:spacing w:line="210" w:lineRule="exact"/>
              <w:ind w:left="142"/>
              <w:rPr>
                <w:b/>
                <w:sz w:val="21"/>
              </w:rPr>
            </w:pPr>
            <w:r>
              <w:rPr>
                <w:b/>
                <w:w w:val="95"/>
                <w:sz w:val="21"/>
              </w:rPr>
              <w:t>保险费的支付 </w:t>
            </w:r>
          </w:p>
        </w:tc>
        <w:tc>
          <w:tcPr>
            <w:tcW w:w="7099" w:type="dxa"/>
          </w:tcPr>
          <w:p>
            <w:pPr>
              <w:pStyle w:val="TableParagraph"/>
              <w:spacing w:line="210" w:lineRule="exact"/>
              <w:ind w:left="119"/>
              <w:rPr>
                <w:sz w:val="21"/>
              </w:rPr>
            </w:pPr>
            <w:r>
              <w:rPr>
                <w:sz w:val="21"/>
              </w:rPr>
              <w:t>本主险合同的交费方式和交费期限由您和本公司约定并在保险单上载明。本</w:t>
            </w:r>
          </w:p>
          <w:p>
            <w:pPr>
              <w:pStyle w:val="TableParagraph"/>
              <w:spacing w:line="360" w:lineRule="atLeast"/>
              <w:ind w:left="119" w:right="47"/>
              <w:rPr>
                <w:sz w:val="21"/>
              </w:rPr>
            </w:pPr>
            <w:r>
              <w:rPr>
                <w:sz w:val="21"/>
              </w:rPr>
              <w:t>主险合同采用分期支付的交费方式，在支付首期保险费后，您应当按约定的交费日期支付其余各期的保险费。 </w:t>
            </w:r>
          </w:p>
        </w:tc>
      </w:tr>
      <w:tr>
        <w:trPr>
          <w:trHeight w:val="315" w:hRule="atLeast"/>
        </w:trPr>
        <w:tc>
          <w:tcPr>
            <w:tcW w:w="617" w:type="dxa"/>
          </w:tcPr>
          <w:p>
            <w:pPr>
              <w:pStyle w:val="TableParagraph"/>
              <w:spacing w:before="9"/>
              <w:ind w:left="50"/>
              <w:rPr>
                <w:b/>
                <w:sz w:val="21"/>
              </w:rPr>
            </w:pPr>
            <w:r>
              <w:rPr>
                <w:b/>
                <w:w w:val="99"/>
                <w:sz w:val="21"/>
              </w:rPr>
              <w:t> </w:t>
            </w:r>
          </w:p>
        </w:tc>
        <w:tc>
          <w:tcPr>
            <w:tcW w:w="1948" w:type="dxa"/>
          </w:tcPr>
          <w:p>
            <w:pPr>
              <w:pStyle w:val="TableParagraph"/>
              <w:spacing w:before="9"/>
              <w:ind w:left="142"/>
              <w:rPr>
                <w:b/>
                <w:sz w:val="21"/>
              </w:rPr>
            </w:pPr>
            <w:r>
              <w:rPr>
                <w:b/>
                <w:w w:val="99"/>
                <w:sz w:val="21"/>
              </w:rPr>
              <w:t> </w:t>
            </w:r>
          </w:p>
        </w:tc>
        <w:tc>
          <w:tcPr>
            <w:tcW w:w="7099" w:type="dxa"/>
          </w:tcPr>
          <w:p>
            <w:pPr>
              <w:pStyle w:val="TableParagraph"/>
              <w:spacing w:before="9"/>
              <w:ind w:left="119"/>
              <w:rPr>
                <w:sz w:val="21"/>
              </w:rPr>
            </w:pPr>
            <w:r>
              <w:rPr>
                <w:sz w:val="21"/>
              </w:rPr>
              <w:t> </w:t>
            </w:r>
          </w:p>
        </w:tc>
      </w:tr>
      <w:tr>
        <w:trPr>
          <w:trHeight w:val="315" w:hRule="atLeast"/>
        </w:trPr>
        <w:tc>
          <w:tcPr>
            <w:tcW w:w="617" w:type="dxa"/>
          </w:tcPr>
          <w:p>
            <w:pPr>
              <w:pStyle w:val="TableParagraph"/>
              <w:spacing w:line="241" w:lineRule="exact"/>
              <w:ind w:left="50"/>
              <w:rPr>
                <w:b/>
                <w:sz w:val="21"/>
              </w:rPr>
            </w:pPr>
            <w:r>
              <w:rPr>
                <w:b/>
                <w:sz w:val="21"/>
              </w:rPr>
              <w:t>4.2 </w:t>
            </w:r>
          </w:p>
        </w:tc>
        <w:tc>
          <w:tcPr>
            <w:tcW w:w="1948" w:type="dxa"/>
          </w:tcPr>
          <w:p>
            <w:pPr>
              <w:pStyle w:val="TableParagraph"/>
              <w:spacing w:line="241" w:lineRule="exact"/>
              <w:ind w:left="142"/>
              <w:rPr>
                <w:b/>
                <w:sz w:val="21"/>
              </w:rPr>
            </w:pPr>
            <w:r>
              <w:rPr>
                <w:b/>
                <w:w w:val="95"/>
                <w:sz w:val="21"/>
              </w:rPr>
              <w:t>保险单的现金价值</w:t>
            </w:r>
          </w:p>
        </w:tc>
        <w:tc>
          <w:tcPr>
            <w:tcW w:w="7099" w:type="dxa"/>
          </w:tcPr>
          <w:p>
            <w:pPr>
              <w:pStyle w:val="TableParagraph"/>
              <w:spacing w:line="241" w:lineRule="exact"/>
              <w:ind w:left="119"/>
              <w:rPr>
                <w:sz w:val="21"/>
              </w:rPr>
            </w:pPr>
            <w:r>
              <w:rPr>
                <w:sz w:val="21"/>
              </w:rPr>
              <w:t>本主险合同保单年度末的现金价值会在保险单上载明。保单年度内的现金价</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值，您可以向本公司咨询。 </w:t>
            </w:r>
          </w:p>
        </w:tc>
      </w:tr>
      <w:tr>
        <w:trPr>
          <w:trHeight w:val="311" w:hRule="atLeast"/>
        </w:trPr>
        <w:tc>
          <w:tcPr>
            <w:tcW w:w="617" w:type="dxa"/>
          </w:tcPr>
          <w:p>
            <w:pPr>
              <w:pStyle w:val="TableParagraph"/>
              <w:spacing w:before="9"/>
              <w:ind w:left="50"/>
              <w:rPr>
                <w:b/>
                <w:sz w:val="21"/>
              </w:rPr>
            </w:pPr>
            <w:r>
              <w:rPr>
                <w:b/>
                <w:w w:val="99"/>
                <w:sz w:val="21"/>
              </w:rPr>
              <w:t> </w:t>
            </w:r>
          </w:p>
        </w:tc>
        <w:tc>
          <w:tcPr>
            <w:tcW w:w="1948" w:type="dxa"/>
          </w:tcPr>
          <w:p>
            <w:pPr>
              <w:pStyle w:val="TableParagraph"/>
              <w:spacing w:before="9"/>
              <w:ind w:left="142"/>
              <w:rPr>
                <w:b/>
                <w:sz w:val="21"/>
              </w:rPr>
            </w:pPr>
            <w:r>
              <w:rPr>
                <w:b/>
                <w:w w:val="99"/>
                <w:sz w:val="21"/>
              </w:rPr>
              <w:t> </w:t>
            </w:r>
          </w:p>
        </w:tc>
        <w:tc>
          <w:tcPr>
            <w:tcW w:w="7099" w:type="dxa"/>
          </w:tcPr>
          <w:p>
            <w:pPr>
              <w:pStyle w:val="TableParagraph"/>
              <w:spacing w:before="9"/>
              <w:ind w:left="119"/>
              <w:rPr>
                <w:sz w:val="21"/>
              </w:rPr>
            </w:pPr>
            <w:r>
              <w:rPr>
                <w:sz w:val="21"/>
              </w:rPr>
              <w:t> </w:t>
            </w:r>
          </w:p>
        </w:tc>
      </w:tr>
      <w:tr>
        <w:trPr>
          <w:trHeight w:val="307" w:hRule="atLeast"/>
        </w:trPr>
        <w:tc>
          <w:tcPr>
            <w:tcW w:w="617" w:type="dxa"/>
          </w:tcPr>
          <w:p>
            <w:pPr>
              <w:pStyle w:val="TableParagraph"/>
              <w:spacing w:line="245" w:lineRule="exact"/>
              <w:ind w:left="50"/>
              <w:rPr>
                <w:b/>
                <w:sz w:val="21"/>
              </w:rPr>
            </w:pPr>
            <w:r>
              <w:rPr>
                <w:b/>
                <w:sz w:val="21"/>
              </w:rPr>
              <w:t>4.3 </w:t>
            </w:r>
          </w:p>
        </w:tc>
        <w:tc>
          <w:tcPr>
            <w:tcW w:w="1948" w:type="dxa"/>
          </w:tcPr>
          <w:p>
            <w:pPr>
              <w:pStyle w:val="TableParagraph"/>
              <w:spacing w:line="245" w:lineRule="exact"/>
              <w:ind w:left="142"/>
              <w:rPr>
                <w:b/>
                <w:sz w:val="21"/>
              </w:rPr>
            </w:pPr>
            <w:r>
              <w:rPr>
                <w:b/>
                <w:w w:val="95"/>
                <w:sz w:val="21"/>
              </w:rPr>
              <w:t>宽限期 </w:t>
            </w:r>
          </w:p>
        </w:tc>
        <w:tc>
          <w:tcPr>
            <w:tcW w:w="7099" w:type="dxa"/>
          </w:tcPr>
          <w:p>
            <w:pPr>
              <w:pStyle w:val="TableParagraph"/>
              <w:spacing w:line="237" w:lineRule="exact"/>
              <w:ind w:left="119"/>
              <w:rPr>
                <w:sz w:val="21"/>
              </w:rPr>
            </w:pPr>
            <w:r>
              <w:rPr>
                <w:sz w:val="21"/>
              </w:rPr>
              <w:t>分期支付保险费的，您支付首期保险费后，除本主险合同另有约定外，如果</w:t>
            </w:r>
          </w:p>
        </w:tc>
      </w:tr>
      <w:tr>
        <w:trPr>
          <w:trHeight w:val="339"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line="272" w:lineRule="exact"/>
              <w:ind w:left="119"/>
              <w:rPr>
                <w:sz w:val="21"/>
              </w:rPr>
            </w:pPr>
            <w:r>
              <w:rPr>
                <w:spacing w:val="-9"/>
                <w:sz w:val="21"/>
              </w:rPr>
              <w:t>您到期未支付保险费，自保险费约定支付日的次日零时起 </w:t>
            </w:r>
            <w:r>
              <w:rPr>
                <w:sz w:val="21"/>
              </w:rPr>
              <w:t>60</w:t>
            </w:r>
            <w:r>
              <w:rPr>
                <w:spacing w:val="-17"/>
                <w:sz w:val="21"/>
              </w:rPr>
              <w:t> 日为宽限期。宽</w:t>
            </w:r>
          </w:p>
        </w:tc>
      </w:tr>
      <w:tr>
        <w:trPr>
          <w:trHeight w:val="343"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1"/>
              <w:ind w:left="119"/>
              <w:rPr>
                <w:sz w:val="21"/>
              </w:rPr>
            </w:pPr>
            <w:r>
              <w:rPr>
                <w:sz w:val="21"/>
              </w:rPr>
              <w:t>限期内发生的保险事故，本公司仍会承担保险责任，但在给付保险金时会扣</w:t>
            </w:r>
          </w:p>
        </w:tc>
      </w:tr>
      <w:tr>
        <w:trPr>
          <w:trHeight w:val="347"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1"/>
              <w:ind w:left="119"/>
              <w:rPr>
                <w:sz w:val="21"/>
              </w:rPr>
            </w:pPr>
            <w:r>
              <w:rPr>
                <w:sz w:val="21"/>
              </w:rPr>
              <w:t>减您欠交的保险费。 </w:t>
            </w:r>
          </w:p>
        </w:tc>
      </w:tr>
      <w:tr>
        <w:trPr>
          <w:trHeight w:val="355"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6"/>
              <w:ind w:left="119"/>
              <w:rPr>
                <w:sz w:val="21"/>
              </w:rPr>
            </w:pPr>
            <w:r>
              <w:rPr>
                <w:sz w:val="21"/>
              </w:rPr>
              <w:t>如果您宽限期结束之后仍未支付保险费，则本主险合同自宽限期满的次日零</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时起效力中止。 </w:t>
            </w:r>
          </w:p>
        </w:tc>
      </w:tr>
      <w:tr>
        <w:trPr>
          <w:trHeight w:val="315" w:hRule="atLeast"/>
        </w:trPr>
        <w:tc>
          <w:tcPr>
            <w:tcW w:w="617" w:type="dxa"/>
          </w:tcPr>
          <w:p>
            <w:pPr>
              <w:pStyle w:val="TableParagraph"/>
              <w:spacing w:before="9"/>
              <w:ind w:left="50"/>
              <w:rPr>
                <w:b/>
                <w:sz w:val="21"/>
              </w:rPr>
            </w:pPr>
            <w:r>
              <w:rPr>
                <w:b/>
                <w:w w:val="99"/>
                <w:sz w:val="21"/>
              </w:rPr>
              <w:t> </w:t>
            </w:r>
          </w:p>
        </w:tc>
        <w:tc>
          <w:tcPr>
            <w:tcW w:w="1948" w:type="dxa"/>
          </w:tcPr>
          <w:p>
            <w:pPr>
              <w:pStyle w:val="TableParagraph"/>
              <w:spacing w:before="9"/>
              <w:ind w:left="142"/>
              <w:rPr>
                <w:b/>
                <w:sz w:val="21"/>
              </w:rPr>
            </w:pPr>
            <w:r>
              <w:rPr>
                <w:b/>
                <w:w w:val="99"/>
                <w:sz w:val="21"/>
              </w:rPr>
              <w:t> </w:t>
            </w:r>
          </w:p>
        </w:tc>
        <w:tc>
          <w:tcPr>
            <w:tcW w:w="7099" w:type="dxa"/>
          </w:tcPr>
          <w:p>
            <w:pPr>
              <w:pStyle w:val="TableParagraph"/>
              <w:spacing w:before="9"/>
              <w:ind w:left="119"/>
              <w:rPr>
                <w:sz w:val="21"/>
              </w:rPr>
            </w:pPr>
            <w:r>
              <w:rPr>
                <w:sz w:val="21"/>
              </w:rPr>
              <w:t> </w:t>
            </w:r>
          </w:p>
        </w:tc>
      </w:tr>
      <w:tr>
        <w:trPr>
          <w:trHeight w:val="315" w:hRule="atLeast"/>
        </w:trPr>
        <w:tc>
          <w:tcPr>
            <w:tcW w:w="617" w:type="dxa"/>
          </w:tcPr>
          <w:p>
            <w:pPr>
              <w:pStyle w:val="TableParagraph"/>
              <w:spacing w:line="241" w:lineRule="exact"/>
              <w:ind w:left="50"/>
              <w:rPr>
                <w:b/>
                <w:sz w:val="21"/>
              </w:rPr>
            </w:pPr>
            <w:r>
              <w:rPr>
                <w:b/>
                <w:sz w:val="21"/>
              </w:rPr>
              <w:t>4.4 </w:t>
            </w:r>
          </w:p>
        </w:tc>
        <w:tc>
          <w:tcPr>
            <w:tcW w:w="1948" w:type="dxa"/>
          </w:tcPr>
          <w:p>
            <w:pPr>
              <w:pStyle w:val="TableParagraph"/>
              <w:spacing w:line="241" w:lineRule="exact"/>
              <w:ind w:left="142"/>
              <w:rPr>
                <w:b/>
                <w:sz w:val="21"/>
              </w:rPr>
            </w:pPr>
            <w:r>
              <w:rPr>
                <w:b/>
                <w:w w:val="95"/>
                <w:sz w:val="21"/>
              </w:rPr>
              <w:t>自动垫交</w:t>
            </w:r>
            <w:r>
              <w:rPr>
                <w:b/>
                <w:w w:val="99"/>
                <w:sz w:val="21"/>
              </w:rPr>
              <w:t> </w:t>
            </w:r>
          </w:p>
        </w:tc>
        <w:tc>
          <w:tcPr>
            <w:tcW w:w="7099" w:type="dxa"/>
          </w:tcPr>
          <w:p>
            <w:pPr>
              <w:pStyle w:val="TableParagraph"/>
              <w:spacing w:line="241" w:lineRule="exact"/>
              <w:ind w:left="119"/>
              <w:rPr>
                <w:sz w:val="21"/>
              </w:rPr>
            </w:pPr>
            <w:r>
              <w:rPr>
                <w:sz w:val="21"/>
              </w:rPr>
              <w:t>如果您在宽限期结束之后仍未支付保险费，且您在投保时对保险费逾期未付</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的处理方式选择了自动垫交，本公司将以本主险合同保险单的现金价值扣除</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您尚未偿还的各项欠款之后的余额自动垫交到期应交的保险费，本主险合同</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继续有效。所垫交的保险费视同保单质押贷款，按照保单质押贷款利率计算</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利息。当现金价值扣除各项欠款后的余额不足以垫交一期保险费的，本公司</w:t>
            </w:r>
          </w:p>
        </w:tc>
      </w:tr>
      <w:tr>
        <w:trPr>
          <w:trHeight w:val="358"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sz w:val="21"/>
              </w:rPr>
              <w:t>将根据现金价值的余额计算本主险合同可以继续有效的天数，本主险合同在</w:t>
            </w:r>
          </w:p>
        </w:tc>
      </w:tr>
      <w:tr>
        <w:trPr>
          <w:trHeight w:val="382" w:hRule="atLeast"/>
        </w:trPr>
        <w:tc>
          <w:tcPr>
            <w:tcW w:w="617" w:type="dxa"/>
          </w:tcPr>
          <w:p>
            <w:pPr>
              <w:pStyle w:val="TableParagraph"/>
              <w:rPr>
                <w:rFonts w:ascii="Times New Roman"/>
                <w:sz w:val="20"/>
              </w:rPr>
            </w:pPr>
          </w:p>
        </w:tc>
        <w:tc>
          <w:tcPr>
            <w:tcW w:w="1948" w:type="dxa"/>
          </w:tcPr>
          <w:p>
            <w:pPr>
              <w:pStyle w:val="TableParagraph"/>
              <w:rPr>
                <w:rFonts w:ascii="Times New Roman"/>
                <w:sz w:val="20"/>
              </w:rPr>
            </w:pPr>
          </w:p>
        </w:tc>
        <w:tc>
          <w:tcPr>
            <w:tcW w:w="7099" w:type="dxa"/>
          </w:tcPr>
          <w:p>
            <w:pPr>
              <w:pStyle w:val="TableParagraph"/>
              <w:spacing w:before="9"/>
              <w:ind w:left="119"/>
              <w:rPr>
                <w:sz w:val="21"/>
              </w:rPr>
            </w:pPr>
            <w:r>
              <w:rPr>
                <w:w w:val="95"/>
                <w:sz w:val="21"/>
              </w:rPr>
              <w:t>此期间继续有效。</w:t>
            </w:r>
            <w:r>
              <w:rPr>
                <w:b/>
                <w:w w:val="95"/>
                <w:sz w:val="21"/>
              </w:rPr>
              <w:t>当现金价值余额为零时，本主险合同效力即行中止。</w:t>
            </w:r>
            <w:r>
              <w:rPr>
                <w:sz w:val="21"/>
              </w:rPr>
              <w:t> </w:t>
            </w:r>
          </w:p>
        </w:tc>
      </w:tr>
      <w:tr>
        <w:trPr>
          <w:trHeight w:val="307" w:hRule="atLeast"/>
        </w:trPr>
        <w:tc>
          <w:tcPr>
            <w:tcW w:w="617" w:type="dxa"/>
          </w:tcPr>
          <w:p>
            <w:pPr>
              <w:pStyle w:val="TableParagraph"/>
              <w:spacing w:line="255" w:lineRule="exact" w:before="33"/>
              <w:ind w:left="50"/>
              <w:rPr>
                <w:b/>
                <w:sz w:val="21"/>
              </w:rPr>
            </w:pPr>
            <w:r>
              <w:rPr>
                <w:b/>
                <w:w w:val="99"/>
                <w:sz w:val="21"/>
              </w:rPr>
              <w:t> </w:t>
            </w:r>
          </w:p>
        </w:tc>
        <w:tc>
          <w:tcPr>
            <w:tcW w:w="1948" w:type="dxa"/>
          </w:tcPr>
          <w:p>
            <w:pPr>
              <w:pStyle w:val="TableParagraph"/>
              <w:spacing w:line="255" w:lineRule="exact" w:before="33"/>
              <w:ind w:left="142"/>
              <w:rPr>
                <w:b/>
                <w:sz w:val="21"/>
              </w:rPr>
            </w:pPr>
            <w:r>
              <w:rPr>
                <w:b/>
                <w:w w:val="99"/>
                <w:sz w:val="21"/>
              </w:rPr>
              <w:t> </w:t>
            </w:r>
          </w:p>
        </w:tc>
        <w:tc>
          <w:tcPr>
            <w:tcW w:w="7099" w:type="dxa"/>
          </w:tcPr>
          <w:p>
            <w:pPr>
              <w:pStyle w:val="TableParagraph"/>
              <w:spacing w:line="255" w:lineRule="exact" w:before="33"/>
              <w:ind w:left="119"/>
              <w:rPr>
                <w:sz w:val="21"/>
              </w:rPr>
            </w:pPr>
            <w:r>
              <w:rPr>
                <w:sz w:val="21"/>
              </w:rPr>
              <w:t> </w:t>
            </w:r>
          </w:p>
        </w:tc>
      </w:tr>
    </w:tbl>
    <w:p>
      <w:pPr>
        <w:spacing w:after="0" w:line="255" w:lineRule="exact"/>
        <w:rPr>
          <w:sz w:val="21"/>
        </w:rPr>
        <w:sectPr>
          <w:pgSz w:w="11910" w:h="16840"/>
          <w:pgMar w:header="501" w:footer="998" w:top="700" w:bottom="1180" w:left="1020" w:right="800"/>
        </w:sectPr>
      </w:pPr>
    </w:p>
    <w:p>
      <w:pPr>
        <w:pStyle w:val="BodyText"/>
        <w:rPr>
          <w:b/>
          <w:sz w:val="20"/>
        </w:rPr>
      </w:pPr>
    </w:p>
    <w:p>
      <w:pPr>
        <w:pStyle w:val="BodyText"/>
        <w:rPr>
          <w:b/>
          <w:sz w:val="20"/>
        </w:rPr>
      </w:pPr>
    </w:p>
    <w:p>
      <w:pPr>
        <w:pStyle w:val="BodyText"/>
        <w:spacing w:before="3"/>
        <w:rPr>
          <w:b/>
          <w:sz w:val="19"/>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791"/>
        <w:gridCol w:w="7260"/>
      </w:tblGrid>
      <w:tr>
        <w:trPr>
          <w:trHeight w:val="276" w:hRule="atLeast"/>
        </w:trPr>
        <w:tc>
          <w:tcPr>
            <w:tcW w:w="617" w:type="dxa"/>
          </w:tcPr>
          <w:p>
            <w:pPr>
              <w:pStyle w:val="TableParagraph"/>
              <w:spacing w:line="226" w:lineRule="exact"/>
              <w:ind w:left="50"/>
              <w:rPr>
                <w:b/>
                <w:sz w:val="21"/>
              </w:rPr>
            </w:pPr>
            <w:r>
              <w:rPr>
                <w:b/>
                <w:sz w:val="21"/>
              </w:rPr>
              <w:t>4.5 </w:t>
            </w:r>
          </w:p>
        </w:tc>
        <w:tc>
          <w:tcPr>
            <w:tcW w:w="1791" w:type="dxa"/>
          </w:tcPr>
          <w:p>
            <w:pPr>
              <w:pStyle w:val="TableParagraph"/>
              <w:spacing w:line="226" w:lineRule="exact"/>
              <w:ind w:left="142"/>
              <w:rPr>
                <w:b/>
                <w:sz w:val="21"/>
              </w:rPr>
            </w:pPr>
            <w:r>
              <w:rPr>
                <w:b/>
                <w:w w:val="95"/>
                <w:sz w:val="21"/>
              </w:rPr>
              <w:t>保单质押贷款 </w:t>
            </w:r>
          </w:p>
        </w:tc>
        <w:tc>
          <w:tcPr>
            <w:tcW w:w="7260" w:type="dxa"/>
          </w:tcPr>
          <w:p>
            <w:pPr>
              <w:pStyle w:val="TableParagraph"/>
              <w:spacing w:line="210" w:lineRule="exact"/>
              <w:ind w:left="276"/>
              <w:rPr>
                <w:sz w:val="21"/>
              </w:rPr>
            </w:pPr>
            <w:r>
              <w:rPr>
                <w:sz w:val="21"/>
              </w:rPr>
              <w:t>在本主险合同有效期内，您可以申请并经本公司审核同意后办理保单质押贷</w:t>
            </w:r>
          </w:p>
        </w:tc>
      </w:tr>
      <w:tr>
        <w:trPr>
          <w:trHeight w:val="319"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line="261" w:lineRule="exact"/>
              <w:ind w:left="276"/>
              <w:rPr>
                <w:sz w:val="21"/>
              </w:rPr>
            </w:pPr>
            <w:r>
              <w:rPr>
                <w:sz w:val="21"/>
              </w:rPr>
              <w:t>款。贷款金额不得超过申请时本主险合同现金价值扣除各项欠款后余额的</w:t>
            </w:r>
          </w:p>
        </w:tc>
      </w:tr>
      <w:tr>
        <w:trPr>
          <w:trHeight w:val="327"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line="269" w:lineRule="exact"/>
              <w:ind w:left="276"/>
              <w:rPr>
                <w:sz w:val="21"/>
              </w:rPr>
            </w:pPr>
            <w:r>
              <w:rPr>
                <w:spacing w:val="-9"/>
                <w:sz w:val="21"/>
              </w:rPr>
              <w:t>80%</w:t>
            </w:r>
            <w:r>
              <w:rPr>
                <w:spacing w:val="-7"/>
                <w:sz w:val="21"/>
              </w:rPr>
              <w:t>，每次贷款期限最长不超过 </w:t>
            </w:r>
            <w:r>
              <w:rPr>
                <w:sz w:val="21"/>
              </w:rPr>
              <w:t>6</w:t>
            </w:r>
            <w:r>
              <w:rPr>
                <w:spacing w:val="-12"/>
                <w:sz w:val="21"/>
              </w:rPr>
              <w:t> 个月，贷款利率在贷款协议中载明，计息方</w:t>
            </w:r>
          </w:p>
        </w:tc>
      </w:tr>
      <w:tr>
        <w:trPr>
          <w:trHeight w:val="327"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line="269" w:lineRule="exact"/>
              <w:ind w:left="276"/>
              <w:rPr>
                <w:sz w:val="21"/>
              </w:rPr>
            </w:pPr>
            <w:r>
              <w:rPr>
                <w:sz w:val="21"/>
              </w:rPr>
              <w:t>式为日复利。贷款本息在贷款到期时一并归还。若您到期未能足额偿还贷款</w:t>
            </w:r>
          </w:p>
        </w:tc>
      </w:tr>
      <w:tr>
        <w:trPr>
          <w:trHeight w:val="335"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line="269" w:lineRule="exact"/>
              <w:ind w:left="276"/>
              <w:rPr>
                <w:sz w:val="21"/>
              </w:rPr>
            </w:pPr>
            <w:r>
              <w:rPr>
                <w:sz w:val="21"/>
              </w:rPr>
              <w:t>本息，则您所欠的贷款本金及利息将作为新的贷款本金计息。 </w:t>
            </w:r>
          </w:p>
        </w:tc>
      </w:tr>
      <w:tr>
        <w:trPr>
          <w:trHeight w:val="351"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1"/>
              <w:ind w:left="276"/>
              <w:rPr>
                <w:b/>
                <w:sz w:val="21"/>
              </w:rPr>
            </w:pPr>
            <w:r>
              <w:rPr>
                <w:b/>
                <w:w w:val="95"/>
                <w:sz w:val="21"/>
              </w:rPr>
              <w:t>当未还贷款本金及利息加上其他各项欠款达到本主险合同现金价值时，本主</w:t>
            </w:r>
          </w:p>
        </w:tc>
      </w:tr>
      <w:tr>
        <w:trPr>
          <w:trHeight w:val="442"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9"/>
              <w:ind w:left="276"/>
              <w:rPr>
                <w:b/>
                <w:sz w:val="21"/>
              </w:rPr>
            </w:pPr>
            <w:r>
              <w:rPr>
                <w:b/>
                <w:w w:val="95"/>
                <w:sz w:val="21"/>
              </w:rPr>
              <w:t>险合同的效力即行中止。</w:t>
            </w:r>
            <w:r>
              <w:rPr>
                <w:b/>
                <w:w w:val="99"/>
                <w:sz w:val="21"/>
              </w:rPr>
              <w:t> </w:t>
            </w:r>
          </w:p>
        </w:tc>
      </w:tr>
      <w:tr>
        <w:trPr>
          <w:trHeight w:val="399" w:hRule="atLeast"/>
        </w:trPr>
        <w:tc>
          <w:tcPr>
            <w:tcW w:w="617" w:type="dxa"/>
          </w:tcPr>
          <w:p>
            <w:pPr>
              <w:pStyle w:val="TableParagraph"/>
              <w:spacing w:before="93"/>
              <w:ind w:left="50"/>
              <w:rPr>
                <w:b/>
                <w:sz w:val="21"/>
              </w:rPr>
            </w:pPr>
            <w:r>
              <w:rPr>
                <w:b/>
                <w:w w:val="99"/>
                <w:sz w:val="21"/>
              </w:rPr>
              <w:t> </w:t>
            </w:r>
          </w:p>
        </w:tc>
        <w:tc>
          <w:tcPr>
            <w:tcW w:w="1791" w:type="dxa"/>
          </w:tcPr>
          <w:p>
            <w:pPr>
              <w:pStyle w:val="TableParagraph"/>
              <w:spacing w:before="93"/>
              <w:ind w:left="142"/>
              <w:rPr>
                <w:b/>
                <w:sz w:val="21"/>
              </w:rPr>
            </w:pPr>
            <w:r>
              <w:rPr>
                <w:b/>
                <w:w w:val="99"/>
                <w:sz w:val="21"/>
              </w:rPr>
              <w:t> </w:t>
            </w:r>
          </w:p>
        </w:tc>
        <w:tc>
          <w:tcPr>
            <w:tcW w:w="7260" w:type="dxa"/>
          </w:tcPr>
          <w:p>
            <w:pPr>
              <w:pStyle w:val="TableParagraph"/>
              <w:spacing w:before="93"/>
              <w:ind w:left="276"/>
              <w:rPr>
                <w:sz w:val="21"/>
              </w:rPr>
            </w:pPr>
            <w:r>
              <w:rPr>
                <w:sz w:val="21"/>
              </w:rPr>
              <w:t> </w:t>
            </w:r>
          </w:p>
        </w:tc>
      </w:tr>
      <w:tr>
        <w:trPr>
          <w:trHeight w:val="315" w:hRule="atLeast"/>
        </w:trPr>
        <w:tc>
          <w:tcPr>
            <w:tcW w:w="617" w:type="dxa"/>
          </w:tcPr>
          <w:p>
            <w:pPr>
              <w:pStyle w:val="TableParagraph"/>
              <w:spacing w:line="241" w:lineRule="exact"/>
              <w:ind w:left="50"/>
              <w:rPr>
                <w:b/>
                <w:sz w:val="21"/>
              </w:rPr>
            </w:pPr>
            <w:r>
              <w:rPr>
                <w:b/>
                <w:sz w:val="21"/>
              </w:rPr>
              <w:t>4.6 </w:t>
            </w:r>
          </w:p>
        </w:tc>
        <w:tc>
          <w:tcPr>
            <w:tcW w:w="1791" w:type="dxa"/>
          </w:tcPr>
          <w:p>
            <w:pPr>
              <w:pStyle w:val="TableParagraph"/>
              <w:spacing w:line="241" w:lineRule="exact"/>
              <w:ind w:left="142"/>
              <w:rPr>
                <w:b/>
                <w:sz w:val="21"/>
              </w:rPr>
            </w:pPr>
            <w:r>
              <w:rPr>
                <w:b/>
                <w:w w:val="95"/>
                <w:sz w:val="21"/>
              </w:rPr>
              <w:t>合同效力中止 </w:t>
            </w:r>
          </w:p>
        </w:tc>
        <w:tc>
          <w:tcPr>
            <w:tcW w:w="7260" w:type="dxa"/>
          </w:tcPr>
          <w:p>
            <w:pPr>
              <w:pStyle w:val="TableParagraph"/>
              <w:spacing w:line="241" w:lineRule="exact"/>
              <w:ind w:left="276"/>
              <w:rPr>
                <w:sz w:val="21"/>
              </w:rPr>
            </w:pPr>
            <w:r>
              <w:rPr>
                <w:sz w:val="21"/>
              </w:rPr>
              <w:t>当出现本主险合同约定的合同效力中止情形时，本主险合同效力即行中止。</w:t>
            </w:r>
          </w:p>
        </w:tc>
      </w:tr>
      <w:tr>
        <w:trPr>
          <w:trHeight w:val="358"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9"/>
              <w:ind w:left="276"/>
              <w:rPr>
                <w:sz w:val="21"/>
              </w:rPr>
            </w:pPr>
            <w:r>
              <w:rPr>
                <w:rFonts w:ascii="黑体" w:eastAsia="黑体" w:hint="eastAsia"/>
                <w:sz w:val="21"/>
              </w:rPr>
              <w:t>本主险合同效力中止期间，本公司不承担保险责任。</w:t>
            </w:r>
            <w:r>
              <w:rPr>
                <w:sz w:val="21"/>
              </w:rPr>
              <w:t> </w:t>
            </w:r>
          </w:p>
        </w:tc>
      </w:tr>
      <w:tr>
        <w:trPr>
          <w:trHeight w:val="307" w:hRule="atLeast"/>
        </w:trPr>
        <w:tc>
          <w:tcPr>
            <w:tcW w:w="617" w:type="dxa"/>
          </w:tcPr>
          <w:p>
            <w:pPr>
              <w:pStyle w:val="TableParagraph"/>
              <w:spacing w:before="9"/>
              <w:ind w:left="50"/>
              <w:rPr>
                <w:b/>
                <w:sz w:val="21"/>
              </w:rPr>
            </w:pPr>
            <w:r>
              <w:rPr>
                <w:b/>
                <w:w w:val="99"/>
                <w:sz w:val="21"/>
              </w:rPr>
              <w:t> </w:t>
            </w:r>
          </w:p>
        </w:tc>
        <w:tc>
          <w:tcPr>
            <w:tcW w:w="1791" w:type="dxa"/>
          </w:tcPr>
          <w:p>
            <w:pPr>
              <w:pStyle w:val="TableParagraph"/>
              <w:spacing w:before="9"/>
              <w:ind w:left="142"/>
              <w:rPr>
                <w:b/>
                <w:sz w:val="21"/>
              </w:rPr>
            </w:pPr>
            <w:r>
              <w:rPr>
                <w:b/>
                <w:w w:val="99"/>
                <w:sz w:val="21"/>
              </w:rPr>
              <w:t> </w:t>
            </w:r>
          </w:p>
        </w:tc>
        <w:tc>
          <w:tcPr>
            <w:tcW w:w="7260" w:type="dxa"/>
          </w:tcPr>
          <w:p>
            <w:pPr>
              <w:pStyle w:val="TableParagraph"/>
              <w:spacing w:before="9"/>
              <w:ind w:left="276"/>
              <w:rPr>
                <w:sz w:val="21"/>
              </w:rPr>
            </w:pPr>
            <w:r>
              <w:rPr>
                <w:sz w:val="21"/>
              </w:rPr>
              <w:t> </w:t>
            </w:r>
          </w:p>
        </w:tc>
      </w:tr>
      <w:tr>
        <w:trPr>
          <w:trHeight w:val="299" w:hRule="atLeast"/>
        </w:trPr>
        <w:tc>
          <w:tcPr>
            <w:tcW w:w="617" w:type="dxa"/>
          </w:tcPr>
          <w:p>
            <w:pPr>
              <w:pStyle w:val="TableParagraph"/>
              <w:spacing w:line="248" w:lineRule="exact"/>
              <w:ind w:left="50"/>
              <w:rPr>
                <w:b/>
                <w:sz w:val="21"/>
              </w:rPr>
            </w:pPr>
            <w:r>
              <w:rPr>
                <w:b/>
                <w:sz w:val="21"/>
              </w:rPr>
              <w:t>4.7 </w:t>
            </w:r>
          </w:p>
        </w:tc>
        <w:tc>
          <w:tcPr>
            <w:tcW w:w="1791" w:type="dxa"/>
          </w:tcPr>
          <w:p>
            <w:pPr>
              <w:pStyle w:val="TableParagraph"/>
              <w:spacing w:line="248" w:lineRule="exact"/>
              <w:ind w:left="142"/>
              <w:rPr>
                <w:b/>
                <w:sz w:val="21"/>
              </w:rPr>
            </w:pPr>
            <w:r>
              <w:rPr>
                <w:b/>
                <w:w w:val="95"/>
                <w:sz w:val="21"/>
              </w:rPr>
              <w:t>合同效力恢复 </w:t>
            </w:r>
          </w:p>
        </w:tc>
        <w:tc>
          <w:tcPr>
            <w:tcW w:w="7260" w:type="dxa"/>
          </w:tcPr>
          <w:p>
            <w:pPr>
              <w:pStyle w:val="TableParagraph"/>
              <w:spacing w:line="233" w:lineRule="exact"/>
              <w:ind w:left="276"/>
              <w:rPr>
                <w:sz w:val="21"/>
              </w:rPr>
            </w:pPr>
            <w:r>
              <w:rPr>
                <w:spacing w:val="-5"/>
                <w:sz w:val="21"/>
              </w:rPr>
              <w:t>本主险合同效力中止后 </w:t>
            </w:r>
            <w:r>
              <w:rPr>
                <w:sz w:val="21"/>
              </w:rPr>
              <w:t>2</w:t>
            </w:r>
            <w:r>
              <w:rPr>
                <w:spacing w:val="-8"/>
                <w:sz w:val="21"/>
              </w:rPr>
              <w:t> 年内，您可以申请恢复合同效力。经本公司与您协</w:t>
            </w:r>
          </w:p>
        </w:tc>
      </w:tr>
      <w:tr>
        <w:trPr>
          <w:trHeight w:val="327"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line="261" w:lineRule="exact"/>
              <w:ind w:left="276"/>
              <w:rPr>
                <w:sz w:val="21"/>
              </w:rPr>
            </w:pPr>
            <w:r>
              <w:rPr>
                <w:sz w:val="21"/>
              </w:rPr>
              <w:t>商并达成协议，在您补交保险费及其他未还款项之日起，合同效力恢复。 </w:t>
            </w:r>
          </w:p>
        </w:tc>
      </w:tr>
      <w:tr>
        <w:trPr>
          <w:trHeight w:val="351"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1"/>
              <w:ind w:left="276"/>
              <w:rPr>
                <w:rFonts w:ascii="黑体" w:eastAsia="黑体" w:hint="eastAsia"/>
                <w:sz w:val="21"/>
              </w:rPr>
            </w:pPr>
            <w:r>
              <w:rPr>
                <w:rFonts w:ascii="黑体" w:eastAsia="黑体" w:hint="eastAsia"/>
                <w:spacing w:val="-4"/>
                <w:sz w:val="21"/>
              </w:rPr>
              <w:t>自本主险合同效力中止之日起满 </w:t>
            </w:r>
            <w:r>
              <w:rPr>
                <w:rFonts w:ascii="黑体" w:eastAsia="黑体" w:hint="eastAsia"/>
                <w:sz w:val="21"/>
              </w:rPr>
              <w:t>2</w:t>
            </w:r>
            <w:r>
              <w:rPr>
                <w:rFonts w:ascii="黑体" w:eastAsia="黑体" w:hint="eastAsia"/>
                <w:spacing w:val="-8"/>
                <w:sz w:val="21"/>
              </w:rPr>
              <w:t> 年您和本公司未达成协议的，本公司有权</w:t>
            </w:r>
          </w:p>
        </w:tc>
      </w:tr>
      <w:tr>
        <w:trPr>
          <w:trHeight w:val="358"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9"/>
              <w:ind w:left="276"/>
              <w:rPr>
                <w:sz w:val="21"/>
              </w:rPr>
            </w:pPr>
            <w:r>
              <w:rPr>
                <w:rFonts w:ascii="黑体" w:eastAsia="黑体" w:hint="eastAsia"/>
                <w:sz w:val="21"/>
              </w:rPr>
              <w:t>解除本主险合同</w:t>
            </w:r>
            <w:r>
              <w:rPr>
                <w:sz w:val="21"/>
              </w:rPr>
              <w:t>。本公司解除本主险合同的，向您退还本主险合同效力中止</w:t>
            </w:r>
          </w:p>
        </w:tc>
      </w:tr>
      <w:tr>
        <w:trPr>
          <w:trHeight w:val="353" w:hRule="atLeast"/>
        </w:trPr>
        <w:tc>
          <w:tcPr>
            <w:tcW w:w="617" w:type="dxa"/>
          </w:tcPr>
          <w:p>
            <w:pPr>
              <w:pStyle w:val="TableParagraph"/>
              <w:rPr>
                <w:rFonts w:ascii="Times New Roman"/>
                <w:sz w:val="20"/>
              </w:rPr>
            </w:pPr>
          </w:p>
        </w:tc>
        <w:tc>
          <w:tcPr>
            <w:tcW w:w="1791" w:type="dxa"/>
          </w:tcPr>
          <w:p>
            <w:pPr>
              <w:pStyle w:val="TableParagraph"/>
              <w:rPr>
                <w:rFonts w:ascii="Times New Roman"/>
                <w:sz w:val="20"/>
              </w:rPr>
            </w:pPr>
          </w:p>
        </w:tc>
        <w:tc>
          <w:tcPr>
            <w:tcW w:w="7260" w:type="dxa"/>
          </w:tcPr>
          <w:p>
            <w:pPr>
              <w:pStyle w:val="TableParagraph"/>
              <w:spacing w:before="9"/>
              <w:ind w:left="276"/>
              <w:rPr>
                <w:sz w:val="21"/>
              </w:rPr>
            </w:pPr>
            <w:r>
              <w:rPr>
                <w:sz w:val="21"/>
              </w:rPr>
              <w:t>时本主险合同的现金价值。 </w:t>
            </w:r>
          </w:p>
        </w:tc>
      </w:tr>
      <w:tr>
        <w:trPr>
          <w:trHeight w:val="291" w:hRule="atLeast"/>
        </w:trPr>
        <w:tc>
          <w:tcPr>
            <w:tcW w:w="617" w:type="dxa"/>
          </w:tcPr>
          <w:p>
            <w:pPr>
              <w:pStyle w:val="TableParagraph"/>
              <w:spacing w:line="256" w:lineRule="exact" w:before="14"/>
              <w:ind w:left="50"/>
              <w:rPr>
                <w:sz w:val="21"/>
              </w:rPr>
            </w:pPr>
            <w:r>
              <w:rPr>
                <w:sz w:val="21"/>
              </w:rPr>
              <w:t> </w:t>
            </w:r>
          </w:p>
        </w:tc>
        <w:tc>
          <w:tcPr>
            <w:tcW w:w="1791" w:type="dxa"/>
          </w:tcPr>
          <w:p>
            <w:pPr>
              <w:pStyle w:val="TableParagraph"/>
              <w:spacing w:line="268" w:lineRule="exact" w:before="3"/>
              <w:ind w:left="142"/>
              <w:rPr>
                <w:i/>
                <w:sz w:val="22"/>
              </w:rPr>
            </w:pPr>
            <w:r>
              <w:rPr>
                <w:i/>
                <w:w w:val="95"/>
                <w:sz w:val="22"/>
              </w:rPr>
              <w:t> </w:t>
            </w:r>
          </w:p>
        </w:tc>
        <w:tc>
          <w:tcPr>
            <w:tcW w:w="7260" w:type="dxa"/>
          </w:tcPr>
          <w:p>
            <w:pPr>
              <w:pStyle w:val="TableParagraph"/>
              <w:spacing w:line="256" w:lineRule="exact" w:before="14"/>
              <w:ind w:left="276"/>
              <w:rPr>
                <w:sz w:val="21"/>
              </w:rPr>
            </w:pPr>
            <w:r>
              <w:rPr>
                <w:sz w:val="21"/>
              </w:rPr>
              <w:t> </w:t>
            </w:r>
          </w:p>
        </w:tc>
      </w:tr>
    </w:tbl>
    <w:p>
      <w:pPr>
        <w:tabs>
          <w:tab w:pos="931" w:val="left" w:leader="none"/>
        </w:tabs>
        <w:spacing w:before="56"/>
        <w:ind w:left="222" w:right="0" w:firstLine="0"/>
        <w:jc w:val="left"/>
        <w:rPr>
          <w:sz w:val="21"/>
        </w:rPr>
      </w:pPr>
      <w:r>
        <w:rPr/>
        <w:pict>
          <v:group style="position:absolute;margin-left:56.700001pt;margin-top:30.840052pt;width:489.1pt;height:1pt;mso-position-horizontal-relative:page;mso-position-vertical-relative:paragraph;z-index:1192;mso-wrap-distance-left:0;mso-wrap-distance-right:0" coordorigin="1134,617" coordsize="9782,20">
            <v:line style="position:absolute" from="1134,626" to="3787,626" stroked="true" strokeweight=".95999pt" strokecolor="#000000">
              <v:stroke dashstyle="solid"/>
            </v:line>
            <v:line style="position:absolute" from="3787,626" to="10915,626" stroked="true" strokeweight=".96pt" strokecolor="#000000">
              <v:stroke dashstyle="solid"/>
            </v:line>
            <w10:wrap type="topAndBottom"/>
          </v:group>
        </w:pict>
      </w:r>
      <w:r>
        <w:rPr>
          <w:rFonts w:ascii="Arial" w:hAnsi="Arial" w:eastAsia="Arial"/>
          <w:b/>
          <w:w w:val="105"/>
          <w:position w:val="-3"/>
          <w:sz w:val="40"/>
        </w:rPr>
        <w:t></w:t>
        <w:tab/>
      </w:r>
      <w:r>
        <w:rPr>
          <w:b/>
          <w:w w:val="95"/>
          <w:sz w:val="24"/>
        </w:rPr>
        <w:t>其他事项                 </w:t>
      </w:r>
      <w:r>
        <w:rPr>
          <w:b/>
          <w:spacing w:val="0"/>
          <w:w w:val="95"/>
          <w:sz w:val="24"/>
        </w:rPr>
        <w:t> </w:t>
      </w:r>
      <w:r>
        <w:rPr>
          <w:b/>
          <w:w w:val="99"/>
          <w:sz w:val="24"/>
        </w:rPr>
        <w:t>              </w:t>
      </w:r>
      <w:r>
        <w:rPr>
          <w:b/>
          <w:spacing w:val="0"/>
          <w:w w:val="99"/>
          <w:sz w:val="24"/>
        </w:rPr>
        <w:t> </w:t>
      </w:r>
      <w:r>
        <w:rPr>
          <w:b/>
          <w:w w:val="99"/>
          <w:sz w:val="24"/>
        </w:rPr>
        <w:t>              </w:t>
      </w:r>
      <w:r>
        <w:rPr>
          <w:b/>
          <w:spacing w:val="0"/>
          <w:w w:val="99"/>
          <w:sz w:val="24"/>
        </w:rPr>
        <w:t> </w:t>
      </w:r>
      <w:r>
        <w:rPr>
          <w:b/>
          <w:w w:val="99"/>
          <w:sz w:val="24"/>
        </w:rPr>
        <w:t>              </w:t>
      </w:r>
      <w:r>
        <w:rPr>
          <w:sz w:val="21"/>
        </w:rPr>
        <w:t> </w:t>
      </w:r>
    </w:p>
    <w:p>
      <w:pPr>
        <w:pStyle w:val="BodyText"/>
        <w:spacing w:before="5"/>
        <w:rPr>
          <w:sz w:val="10"/>
        </w:rPr>
      </w:pPr>
    </w:p>
    <w:p>
      <w:pPr>
        <w:pStyle w:val="ListParagraph"/>
        <w:numPr>
          <w:ilvl w:val="1"/>
          <w:numId w:val="10"/>
        </w:numPr>
        <w:tabs>
          <w:tab w:pos="541" w:val="left" w:leader="none"/>
          <w:tab w:pos="931" w:val="left" w:leader="none"/>
          <w:tab w:pos="2855" w:val="left" w:leader="none"/>
        </w:tabs>
        <w:spacing w:line="240" w:lineRule="auto" w:before="31" w:after="0"/>
        <w:ind w:left="2855" w:right="0" w:hanging="2633"/>
        <w:jc w:val="left"/>
        <w:rPr>
          <w:sz w:val="21"/>
        </w:rPr>
      </w:pPr>
      <w:r>
        <w:rPr>
          <w:b/>
          <w:sz w:val="21"/>
        </w:rPr>
        <w:t>明确说明与如实告</w:t>
        <w:tab/>
      </w:r>
      <w:r>
        <w:rPr>
          <w:position w:val="2"/>
          <w:sz w:val="21"/>
        </w:rPr>
        <w:t>订立本主险合同时，本公司应向您说明本主险合同的内容。 </w:t>
      </w:r>
    </w:p>
    <w:p>
      <w:pPr>
        <w:pStyle w:val="BodyText"/>
        <w:spacing w:line="328" w:lineRule="exact" w:before="19"/>
        <w:ind w:left="2855" w:right="216" w:hanging="1925"/>
        <w:jc w:val="both"/>
      </w:pPr>
      <w:r>
        <w:rPr>
          <w:b/>
          <w:position w:val="-4"/>
        </w:rPr>
        <w:t>知               </w:t>
      </w:r>
      <w:r>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
        <w:ind w:left="2855"/>
      </w:pPr>
      <w:r>
        <w:rPr/>
        <w:t>本公司就您和被保险人的有关情况提出询问，您应当如实告知。 </w:t>
      </w:r>
    </w:p>
    <w:p>
      <w:pPr>
        <w:pStyle w:val="BodyText"/>
        <w:spacing w:line="285" w:lineRule="auto" w:before="52"/>
        <w:ind w:left="2855" w:right="216"/>
        <w:rPr>
          <w:rFonts w:ascii="黑体" w:eastAsia="黑体" w:hint="eastAsia"/>
        </w:rPr>
      </w:pPr>
      <w:r>
        <w:rPr>
          <w:rFonts w:ascii="黑体" w:eastAsia="黑体" w:hint="eastAsia"/>
        </w:rPr>
        <w:t>如果您故意或者因重大过失未履行前款规定的如实告知义务，足以影响本公司决定是否同意承保或者提高保险费率的，本公司有权解除本主险合同。 如果您故意不履行如实告知义务，对于本主险合同解除前发Th的保险事故， 本公司不承担给付保险金的责任，并不退还保险费。</w:t>
      </w:r>
    </w:p>
    <w:p>
      <w:pPr>
        <w:pStyle w:val="BodyText"/>
        <w:spacing w:line="285" w:lineRule="auto" w:before="12"/>
        <w:ind w:left="2855" w:right="216"/>
        <w:jc w:val="both"/>
        <w:rPr>
          <w:rFonts w:ascii="黑体" w:eastAsia="黑体" w:hint="eastAsia"/>
        </w:rPr>
      </w:pPr>
      <w:r>
        <w:rPr>
          <w:rFonts w:ascii="黑体" w:eastAsia="黑体" w:hint="eastAsia"/>
        </w:rPr>
        <w:t>如果您因重大过失未履行如实告知义务，对保险事故的发Th有严重影响的， 对于本主险合同解除前发Th的保险事故，本公司不承担给付保险金的责任， 但应当退还保险费。</w:t>
      </w:r>
    </w:p>
    <w:p>
      <w:pPr>
        <w:pStyle w:val="BodyText"/>
        <w:spacing w:line="314" w:lineRule="auto" w:before="28"/>
        <w:ind w:left="2855" w:right="110"/>
      </w:pPr>
      <w:r>
        <w:rPr>
          <w:spacing w:val="-5"/>
        </w:rPr>
        <w:t>本公司在合同订立时已经知道您未如实告知的情况的，本公司不得解除合同； 发生保险事故的，本公司承担给付保险金的责任。 </w:t>
      </w:r>
    </w:p>
    <w:p>
      <w:pPr>
        <w:pStyle w:val="Heading5"/>
        <w:tabs>
          <w:tab w:pos="931" w:val="left" w:leader="none"/>
          <w:tab w:pos="2855" w:val="left" w:leader="none"/>
        </w:tabs>
        <w:spacing w:line="274" w:lineRule="exact" w:before="18"/>
        <w:ind w:left="221"/>
        <w:rPr>
          <w:b w:val="0"/>
        </w:rPr>
      </w:pPr>
      <w:r>
        <w:rPr>
          <w:w w:val="99"/>
        </w:rPr>
        <w:t> </w:t>
      </w:r>
      <w:r>
        <w:rPr/>
        <w:tab/>
      </w:r>
      <w:r>
        <w:rPr>
          <w:w w:val="99"/>
        </w:rPr>
        <w:t> </w:t>
      </w:r>
      <w:r>
        <w:rPr/>
        <w:tab/>
      </w:r>
      <w:r>
        <w:rPr>
          <w:b w:val="0"/>
        </w:rPr>
        <w:t> </w:t>
      </w:r>
    </w:p>
    <w:p>
      <w:pPr>
        <w:pStyle w:val="ListParagraph"/>
        <w:numPr>
          <w:ilvl w:val="1"/>
          <w:numId w:val="10"/>
        </w:numPr>
        <w:tabs>
          <w:tab w:pos="541" w:val="left" w:leader="none"/>
          <w:tab w:pos="931" w:val="left" w:leader="none"/>
          <w:tab w:pos="2855" w:val="left" w:leader="none"/>
        </w:tabs>
        <w:spacing w:line="314" w:lineRule="auto" w:before="0" w:after="0"/>
        <w:ind w:left="2855" w:right="215" w:hanging="2634"/>
        <w:jc w:val="left"/>
        <w:rPr>
          <w:sz w:val="21"/>
        </w:rPr>
      </w:pPr>
      <w:r>
        <w:rPr>
          <w:b/>
          <w:sz w:val="21"/>
        </w:rPr>
        <w:t>合同解除权的限制</w:t>
        <w:tab/>
      </w:r>
      <w:r>
        <w:rPr>
          <w:sz w:val="21"/>
        </w:rPr>
        <w:t>前款规定的合同解除权</w:t>
      </w:r>
      <w:r>
        <w:rPr>
          <w:spacing w:val="-52"/>
          <w:sz w:val="21"/>
        </w:rPr>
        <w:t>，</w:t>
      </w:r>
      <w:r>
        <w:rPr>
          <w:sz w:val="21"/>
        </w:rPr>
        <w:t>自本公司知道有解除事由之日起</w:t>
      </w:r>
      <w:r>
        <w:rPr>
          <w:spacing w:val="-52"/>
          <w:sz w:val="21"/>
        </w:rPr>
        <w:t>，</w:t>
      </w:r>
      <w:r>
        <w:rPr>
          <w:sz w:val="21"/>
        </w:rPr>
        <w:t>超过</w:t>
      </w:r>
      <w:r>
        <w:rPr>
          <w:spacing w:val="-68"/>
          <w:sz w:val="21"/>
        </w:rPr>
        <w:t> </w:t>
      </w:r>
      <w:r>
        <w:rPr>
          <w:sz w:val="21"/>
        </w:rPr>
        <w:t>30</w:t>
      </w:r>
      <w:r>
        <w:rPr>
          <w:spacing w:val="-68"/>
          <w:sz w:val="21"/>
        </w:rPr>
        <w:t> </w:t>
      </w:r>
      <w:r>
        <w:rPr>
          <w:sz w:val="21"/>
        </w:rPr>
        <w:t>日不行使而消灭。 </w:t>
      </w:r>
    </w:p>
    <w:p>
      <w:pPr>
        <w:pStyle w:val="Heading5"/>
        <w:tabs>
          <w:tab w:pos="931" w:val="left" w:leader="none"/>
          <w:tab w:pos="2855" w:val="left" w:leader="none"/>
        </w:tabs>
        <w:spacing w:line="274" w:lineRule="exact" w:before="20"/>
        <w:ind w:left="221"/>
        <w:rPr>
          <w:b w:val="0"/>
        </w:rPr>
      </w:pPr>
      <w:r>
        <w:rPr>
          <w:w w:val="99"/>
        </w:rPr>
        <w:t> </w:t>
      </w:r>
      <w:r>
        <w:rPr/>
        <w:tab/>
      </w:r>
      <w:r>
        <w:rPr>
          <w:w w:val="99"/>
        </w:rPr>
        <w:t> </w:t>
      </w:r>
      <w:r>
        <w:rPr/>
        <w:tab/>
      </w:r>
      <w:r>
        <w:rPr>
          <w:b w:val="0"/>
        </w:rPr>
        <w:t> </w:t>
      </w:r>
    </w:p>
    <w:p>
      <w:pPr>
        <w:pStyle w:val="ListParagraph"/>
        <w:numPr>
          <w:ilvl w:val="1"/>
          <w:numId w:val="10"/>
        </w:numPr>
        <w:tabs>
          <w:tab w:pos="541" w:val="left" w:leader="none"/>
          <w:tab w:pos="931" w:val="left" w:leader="none"/>
        </w:tabs>
        <w:spacing w:line="314" w:lineRule="auto" w:before="0" w:after="0"/>
        <w:ind w:left="2855" w:right="216" w:hanging="2634"/>
        <w:jc w:val="left"/>
        <w:rPr>
          <w:sz w:val="21"/>
        </w:rPr>
      </w:pPr>
      <w:r>
        <w:rPr>
          <w:b/>
          <w:spacing w:val="0"/>
          <w:sz w:val="21"/>
        </w:rPr>
        <w:t>年龄性别错误      </w:t>
      </w:r>
      <w:r>
        <w:rPr>
          <w:sz w:val="21"/>
        </w:rPr>
        <w:t>您在申请投保时，应将与有效身份证件相符的被保险人出生日期和性别在投保单上填明，如果发生错误按照下列方式办理： </w:t>
      </w:r>
    </w:p>
    <w:p>
      <w:pPr>
        <w:pStyle w:val="BodyText"/>
        <w:spacing w:line="249" w:lineRule="exact" w:before="2"/>
        <w:ind w:left="2855"/>
        <w:rPr>
          <w:rFonts w:ascii="黑体" w:eastAsia="黑体" w:hint="eastAsia"/>
        </w:rPr>
      </w:pPr>
      <w:r>
        <w:rPr/>
        <w:t>（1） </w:t>
      </w:r>
      <w:r>
        <w:rPr>
          <w:rFonts w:ascii="黑体" w:eastAsia="黑体" w:hint="eastAsia"/>
        </w:rPr>
        <w:t>您申报的被保险人年龄或性别不真实，并且其真实年龄或性别不符合</w:t>
      </w:r>
    </w:p>
    <w:p>
      <w:pPr>
        <w:spacing w:after="0" w:line="249" w:lineRule="exact"/>
        <w:rPr>
          <w:rFonts w:ascii="黑体" w:eastAsia="黑体" w:hint="eastAsia"/>
        </w:rPr>
        <w:sectPr>
          <w:pgSz w:w="11910" w:h="16840"/>
          <w:pgMar w:header="501" w:footer="998" w:top="700" w:bottom="1180" w:left="1020" w:right="880"/>
        </w:sectPr>
      </w:pPr>
    </w:p>
    <w:p>
      <w:pPr>
        <w:pStyle w:val="BodyText"/>
        <w:rPr>
          <w:rFonts w:ascii="黑体"/>
          <w:sz w:val="20"/>
        </w:rPr>
      </w:pPr>
    </w:p>
    <w:p>
      <w:pPr>
        <w:pStyle w:val="BodyText"/>
        <w:spacing w:before="5"/>
        <w:rPr>
          <w:rFonts w:ascii="黑体"/>
          <w:sz w:val="29"/>
        </w:rPr>
      </w:pPr>
    </w:p>
    <w:p>
      <w:pPr>
        <w:pStyle w:val="BodyText"/>
        <w:spacing w:line="273" w:lineRule="auto" w:before="35"/>
        <w:ind w:left="3423" w:right="132"/>
      </w:pPr>
      <w:r>
        <w:rPr>
          <w:rFonts w:ascii="黑体" w:hAnsi="黑体" w:eastAsia="黑体" w:hint="eastAsia"/>
        </w:rPr>
        <w:t>本主险合同约定投保年龄或性别限制的，本公司有权解除本主险合同， 并向您退还本主险合同的现金价值。</w:t>
      </w:r>
      <w:r>
        <w:rPr/>
        <w:t>本公司行使合同解除权适用“合同解除权的限制”的规定。 </w:t>
      </w:r>
    </w:p>
    <w:p>
      <w:pPr>
        <w:pStyle w:val="BodyText"/>
        <w:spacing w:line="314" w:lineRule="auto" w:before="53"/>
        <w:ind w:left="3423" w:right="358" w:hanging="568"/>
        <w:jc w:val="both"/>
      </w:pPr>
      <w:r>
        <w:rPr/>
        <w:t>（2）</w:t>
      </w:r>
      <w:r>
        <w:rPr>
          <w:spacing w:val="-9"/>
        </w:rPr>
        <w:t> 您申报的被保险人年龄或性别不真实，致使您实付保险费少于应付保险费的，本公司有权更正并要求您补交保险费。若已经发生保险事故的，在给付保险金时按实付保险费和应付保险费的比例给付。 </w:t>
      </w:r>
    </w:p>
    <w:p>
      <w:pPr>
        <w:pStyle w:val="BodyText"/>
        <w:spacing w:line="314" w:lineRule="auto" w:before="19"/>
        <w:ind w:left="3423" w:right="358" w:hanging="568"/>
      </w:pPr>
      <w:r>
        <w:rPr/>
        <w:t>（3）</w:t>
      </w:r>
      <w:r>
        <w:rPr>
          <w:spacing w:val="-9"/>
        </w:rPr>
        <w:t> 您申报的被保险人年龄或性别不真实，致使您实付保险费多于应付保险费的，本公司会将多收的保险费退还给您。 </w:t>
      </w:r>
    </w:p>
    <w:p>
      <w:pPr>
        <w:pStyle w:val="BodyText"/>
        <w:spacing w:before="12"/>
        <w:rPr>
          <w:sz w:val="17"/>
        </w:rPr>
      </w:pPr>
    </w:p>
    <w:p>
      <w:pPr>
        <w:pStyle w:val="ListParagraph"/>
        <w:numPr>
          <w:ilvl w:val="1"/>
          <w:numId w:val="10"/>
        </w:numPr>
        <w:tabs>
          <w:tab w:pos="541" w:val="left" w:leader="none"/>
        </w:tabs>
        <w:spacing w:line="314" w:lineRule="auto" w:before="0" w:after="0"/>
        <w:ind w:left="2856" w:right="296" w:hanging="2634"/>
        <w:jc w:val="both"/>
        <w:rPr>
          <w:sz w:val="21"/>
        </w:rPr>
      </w:pPr>
      <w:r>
        <w:rPr>
          <w:b/>
          <w:spacing w:val="0"/>
          <w:sz w:val="21"/>
        </w:rPr>
        <w:t>未还款项          </w:t>
      </w:r>
      <w:r>
        <w:rPr>
          <w:sz w:val="21"/>
        </w:rPr>
        <w:t>本公司在给付各项保险金、退还现金价值或返还保险费时，如果您有欠交的保险费、保单质押贷款或其他未还清款项，本公司会在扣除上述欠款及应付利息后给付。但本主险合同另有约定的除外。 </w:t>
      </w:r>
    </w:p>
    <w:p>
      <w:pPr>
        <w:pStyle w:val="BodyText"/>
        <w:tabs>
          <w:tab w:pos="931" w:val="left" w:leader="none"/>
          <w:tab w:pos="2855" w:val="left" w:leader="none"/>
        </w:tabs>
        <w:spacing w:line="274" w:lineRule="exact" w:before="19"/>
        <w:ind w:left="222"/>
      </w:pPr>
      <w:r>
        <w:rPr/>
        <w:t> </w:t>
        <w:tab/>
        <w:t> </w:t>
        <w:tab/>
        <w:t> </w:t>
      </w:r>
    </w:p>
    <w:p>
      <w:pPr>
        <w:pStyle w:val="ListParagraph"/>
        <w:numPr>
          <w:ilvl w:val="1"/>
          <w:numId w:val="10"/>
        </w:numPr>
        <w:tabs>
          <w:tab w:pos="540" w:val="left" w:leader="none"/>
          <w:tab w:pos="930" w:val="left" w:leader="none"/>
        </w:tabs>
        <w:spacing w:line="314" w:lineRule="auto" w:before="0" w:after="0"/>
        <w:ind w:left="2856" w:right="296" w:hanging="2634"/>
        <w:jc w:val="left"/>
        <w:rPr>
          <w:sz w:val="21"/>
        </w:rPr>
      </w:pPr>
      <w:r>
        <w:rPr>
          <w:b/>
          <w:spacing w:val="0"/>
          <w:sz w:val="21"/>
        </w:rPr>
        <w:t>事故鉴定          </w:t>
      </w:r>
      <w:r>
        <w:rPr>
          <w:sz w:val="21"/>
        </w:rPr>
        <w:t>如果被保险人身故且身故原因不明的，除法律所不允许的情形外，本公司可以要求解剖检验或要求司法鉴定机构对保险事故进行鉴定。 </w:t>
      </w:r>
    </w:p>
    <w:p>
      <w:pPr>
        <w:pStyle w:val="ListParagraph"/>
        <w:numPr>
          <w:ilvl w:val="1"/>
          <w:numId w:val="10"/>
        </w:numPr>
        <w:tabs>
          <w:tab w:pos="541" w:val="left" w:leader="none"/>
          <w:tab w:pos="931" w:val="left" w:leader="none"/>
          <w:tab w:pos="2855" w:val="left" w:leader="none"/>
        </w:tabs>
        <w:spacing w:line="240" w:lineRule="auto" w:before="151" w:after="0"/>
        <w:ind w:left="540" w:right="0" w:hanging="318"/>
        <w:jc w:val="left"/>
        <w:rPr>
          <w:sz w:val="21"/>
        </w:rPr>
      </w:pPr>
      <w:r>
        <w:rPr>
          <w:b/>
          <w:sz w:val="21"/>
        </w:rPr>
        <w:t>效力终止</w:t>
        <w:tab/>
      </w:r>
      <w:r>
        <w:rPr>
          <w:position w:val="2"/>
          <w:sz w:val="21"/>
        </w:rPr>
        <w:t>以下任何一种情况发生时，本主险合同及其保险责任自动终止： </w:t>
      </w:r>
    </w:p>
    <w:p>
      <w:pPr>
        <w:pStyle w:val="BodyText"/>
        <w:spacing w:before="53"/>
        <w:ind w:left="2856"/>
      </w:pPr>
      <w:r>
        <w:rPr/>
        <w:t>（1） 在本主险合同有效期内您向本公司申请解除合同； </w:t>
      </w:r>
    </w:p>
    <w:p>
      <w:pPr>
        <w:pStyle w:val="BodyText"/>
        <w:spacing w:before="84"/>
        <w:ind w:left="2856"/>
      </w:pPr>
      <w:r>
        <w:rPr/>
        <w:t>（2） 本主险合同其他条款所列保险责任终止或本主险合同终止的情形； </w:t>
      </w:r>
    </w:p>
    <w:p>
      <w:pPr>
        <w:pStyle w:val="BodyText"/>
        <w:spacing w:line="314" w:lineRule="auto" w:before="84"/>
        <w:ind w:left="3423" w:right="358" w:hanging="568"/>
      </w:pPr>
      <w:r>
        <w:rPr/>
        <w:t>（3）</w:t>
      </w:r>
      <w:r>
        <w:rPr>
          <w:spacing w:val="-9"/>
        </w:rPr>
        <w:t> 本主险合同因其他条款所列情况而中止效力，且自本主险合同效力中</w:t>
      </w:r>
      <w:r>
        <w:rPr>
          <w:spacing w:val="-18"/>
        </w:rPr>
        <w:t>止之日起 </w:t>
      </w:r>
      <w:r>
        <w:rPr/>
        <w:t>2</w:t>
      </w:r>
      <w:r>
        <w:rPr>
          <w:spacing w:val="-8"/>
        </w:rPr>
        <w:t> 年内您与本公司未达成复效协议的。 </w:t>
      </w:r>
    </w:p>
    <w:p>
      <w:pPr>
        <w:pStyle w:val="BodyText"/>
        <w:tabs>
          <w:tab w:pos="931" w:val="left" w:leader="none"/>
          <w:tab w:pos="2855" w:val="left" w:leader="none"/>
        </w:tabs>
        <w:spacing w:line="274" w:lineRule="exact" w:before="26"/>
        <w:ind w:left="222"/>
      </w:pPr>
      <w:r>
        <w:rPr/>
        <w:t> </w:t>
        <w:tab/>
        <w:t> </w:t>
        <w:tab/>
        <w:t> </w:t>
      </w:r>
    </w:p>
    <w:p>
      <w:pPr>
        <w:pStyle w:val="ListParagraph"/>
        <w:numPr>
          <w:ilvl w:val="1"/>
          <w:numId w:val="10"/>
        </w:numPr>
        <w:tabs>
          <w:tab w:pos="540" w:val="left" w:leader="none"/>
        </w:tabs>
        <w:spacing w:line="314" w:lineRule="auto" w:before="0" w:after="0"/>
        <w:ind w:left="2856" w:right="296" w:hanging="2634"/>
        <w:jc w:val="left"/>
        <w:rPr>
          <w:sz w:val="21"/>
        </w:rPr>
      </w:pPr>
      <w:r>
        <w:rPr>
          <w:b/>
          <w:spacing w:val="0"/>
          <w:sz w:val="21"/>
        </w:rPr>
        <w:t>争议处理          </w:t>
      </w:r>
      <w:r>
        <w:rPr>
          <w:sz w:val="21"/>
        </w:rPr>
        <w:t>因履行本主险合同发生的争议，由您和本公司协商解决，协商不成的，任何一方均有权依法向有管辖权的人民法院起诉。 </w:t>
      </w:r>
    </w:p>
    <w:p>
      <w:pPr>
        <w:pStyle w:val="BodyText"/>
        <w:tabs>
          <w:tab w:pos="931" w:val="left" w:leader="none"/>
          <w:tab w:pos="2855" w:val="left" w:leader="none"/>
        </w:tabs>
        <w:spacing w:before="20"/>
        <w:ind w:left="222"/>
      </w:pPr>
      <w:r>
        <w:rPr/>
        <w:t> </w:t>
        <w:tab/>
        <w:t> </w:t>
        <w:tab/>
        <w:t> </w:t>
      </w:r>
    </w:p>
    <w:p>
      <w:pPr>
        <w:pStyle w:val="Heading1"/>
        <w:tabs>
          <w:tab w:pos="931" w:val="left" w:leader="none"/>
        </w:tabs>
      </w:pPr>
      <w:r>
        <w:rPr/>
        <w:pict>
          <v:group style="position:absolute;margin-left:56.700001pt;margin-top:30.900074pt;width:489.1pt;height:1pt;mso-position-horizontal-relative:page;mso-position-vertical-relative:paragraph;z-index:1216;mso-wrap-distance-left:0;mso-wrap-distance-right:0" coordorigin="1134,618" coordsize="9782,20">
            <v:line style="position:absolute" from="1134,628" to="3563,628" stroked="true" strokeweight=".95999pt" strokecolor="#000000">
              <v:stroke dashstyle="solid"/>
            </v:line>
            <v:line style="position:absolute" from="3563,628" to="10915,628" stroked="true" strokeweight=".96pt" strokecolor="#000000">
              <v:stroke dashstyle="solid"/>
            </v:line>
            <w10:wrap type="topAndBottom"/>
          </v:group>
        </w:pict>
      </w:r>
      <w:r>
        <w:rPr>
          <w:rFonts w:ascii="Arial" w:hAnsi="Arial" w:eastAsia="Arial"/>
          <w:w w:val="110"/>
          <w:position w:val="-3"/>
          <w:sz w:val="40"/>
        </w:rPr>
        <w:t></w:t>
        <w:tab/>
      </w:r>
      <w:r>
        <w:rPr>
          <w:w w:val="95"/>
        </w:rPr>
        <w:t>释义              </w:t>
      </w:r>
      <w:r>
        <w:rPr>
          <w:spacing w:val="0"/>
          <w:w w:val="95"/>
        </w:rPr>
        <w:t> </w:t>
      </w:r>
      <w:r>
        <w:rPr>
          <w:w w:val="99"/>
        </w:rPr>
        <w:t>                </w:t>
      </w:r>
      <w:r>
        <w:rPr>
          <w:spacing w:val="0"/>
          <w:w w:val="99"/>
        </w:rPr>
        <w:t> </w:t>
      </w:r>
      <w:r>
        <w:rPr>
          <w:w w:val="99"/>
        </w:rPr>
        <w:t>              </w:t>
      </w:r>
      <w:r>
        <w:rPr>
          <w:spacing w:val="0"/>
          <w:w w:val="99"/>
        </w:rPr>
        <w:t> </w:t>
      </w:r>
      <w:r>
        <w:rPr>
          <w:w w:val="99"/>
        </w:rPr>
        <w:t>                        </w:t>
      </w:r>
    </w:p>
    <w:p>
      <w:pPr>
        <w:pStyle w:val="BodyText"/>
        <w:spacing w:before="8"/>
        <w:rPr>
          <w:b/>
          <w:sz w:val="11"/>
        </w:rPr>
      </w:pPr>
    </w:p>
    <w:p>
      <w:pPr>
        <w:pStyle w:val="ListParagraph"/>
        <w:numPr>
          <w:ilvl w:val="1"/>
          <w:numId w:val="11"/>
        </w:numPr>
        <w:tabs>
          <w:tab w:pos="541" w:val="left" w:leader="none"/>
          <w:tab w:pos="931" w:val="left" w:leader="none"/>
        </w:tabs>
        <w:spacing w:line="314" w:lineRule="auto" w:before="35" w:after="0"/>
        <w:ind w:left="2631" w:right="310" w:hanging="2409"/>
        <w:jc w:val="left"/>
        <w:rPr>
          <w:sz w:val="21"/>
        </w:rPr>
      </w:pPr>
      <w:r>
        <w:rPr>
          <w:b/>
          <w:sz w:val="21"/>
        </w:rPr>
        <w:t>周岁            </w:t>
      </w:r>
      <w:r>
        <w:rPr>
          <w:sz w:val="21"/>
        </w:rPr>
        <w:t>周岁是指按法定有效身份证件文件中记载的出生日期计算的年龄，自出生之日起为零周岁，每经过一年增加一周岁，不足一年的不计。 </w:t>
      </w:r>
    </w:p>
    <w:p>
      <w:pPr>
        <w:pStyle w:val="Heading5"/>
        <w:tabs>
          <w:tab w:pos="931" w:val="left" w:leader="none"/>
          <w:tab w:pos="2725" w:val="left" w:leader="none"/>
        </w:tabs>
        <w:spacing w:line="274" w:lineRule="exact" w:before="18"/>
        <w:ind w:left="222"/>
        <w:rPr>
          <w:b w:val="0"/>
        </w:rPr>
      </w:pPr>
      <w:r>
        <w:rPr>
          <w:w w:val="99"/>
        </w:rPr>
        <w:t> </w:t>
      </w:r>
      <w:r>
        <w:rPr/>
        <w:tab/>
      </w:r>
      <w:r>
        <w:rPr>
          <w:w w:val="99"/>
        </w:rPr>
        <w:t> </w:t>
      </w:r>
      <w:r>
        <w:rPr/>
        <w:tab/>
      </w:r>
      <w:r>
        <w:rPr>
          <w:b w:val="0"/>
        </w:rPr>
        <w:t> </w:t>
      </w:r>
    </w:p>
    <w:p>
      <w:pPr>
        <w:pStyle w:val="ListParagraph"/>
        <w:numPr>
          <w:ilvl w:val="1"/>
          <w:numId w:val="11"/>
        </w:numPr>
        <w:tabs>
          <w:tab w:pos="541" w:val="left" w:leader="none"/>
          <w:tab w:pos="931" w:val="left" w:leader="none"/>
          <w:tab w:pos="2631" w:val="left" w:leader="none"/>
        </w:tabs>
        <w:spacing w:line="314" w:lineRule="auto" w:before="0" w:after="0"/>
        <w:ind w:left="2631" w:right="310" w:hanging="2409"/>
        <w:jc w:val="left"/>
        <w:rPr>
          <w:sz w:val="21"/>
        </w:rPr>
      </w:pPr>
      <w:r>
        <w:rPr>
          <w:b/>
          <w:sz w:val="21"/>
        </w:rPr>
        <w:t>有效身份证件</w:t>
        <w:tab/>
      </w:r>
      <w:r>
        <w:rPr>
          <w:sz w:val="21"/>
        </w:rPr>
        <w:t>指依据法律规定，由有权机构制作颁发的证明身份的证件、文件等，如：居民身份证、户口簿、护照、军人证等。 </w:t>
      </w:r>
    </w:p>
    <w:p>
      <w:pPr>
        <w:pStyle w:val="Heading5"/>
        <w:tabs>
          <w:tab w:pos="931" w:val="left" w:leader="none"/>
        </w:tabs>
        <w:spacing w:line="273" w:lineRule="exact" w:before="20"/>
        <w:ind w:left="222"/>
      </w:pPr>
      <w:r>
        <w:rPr>
          <w:w w:val="99"/>
        </w:rPr>
        <w:t> </w:t>
      </w:r>
      <w:r>
        <w:rPr/>
        <w:tab/>
      </w:r>
      <w:r>
        <w:rPr>
          <w:w w:val="99"/>
        </w:rPr>
        <w:t> </w:t>
      </w:r>
    </w:p>
    <w:p>
      <w:pPr>
        <w:pStyle w:val="ListParagraph"/>
        <w:numPr>
          <w:ilvl w:val="1"/>
          <w:numId w:val="11"/>
        </w:numPr>
        <w:tabs>
          <w:tab w:pos="541" w:val="left" w:leader="none"/>
          <w:tab w:pos="931" w:val="left" w:leader="none"/>
          <w:tab w:pos="2631" w:val="left" w:leader="none"/>
        </w:tabs>
        <w:spacing w:line="314" w:lineRule="auto" w:before="0" w:after="0"/>
        <w:ind w:left="2631" w:right="310" w:hanging="2409"/>
        <w:jc w:val="left"/>
        <w:rPr>
          <w:sz w:val="21"/>
        </w:rPr>
      </w:pPr>
      <w:r>
        <w:rPr>
          <w:b/>
          <w:sz w:val="21"/>
        </w:rPr>
        <w:t>现金价值</w:t>
        <w:tab/>
      </w:r>
      <w:r>
        <w:rPr>
          <w:sz w:val="21"/>
        </w:rPr>
        <w:t>指保险单所具有的价值，通常体现为解除合同时，根据精算原理计算的，由本公司退还的那部分金额。 </w:t>
      </w:r>
    </w:p>
    <w:p>
      <w:pPr>
        <w:pStyle w:val="Heading5"/>
        <w:tabs>
          <w:tab w:pos="931" w:val="left" w:leader="none"/>
        </w:tabs>
        <w:spacing w:line="274" w:lineRule="exact" w:before="21"/>
        <w:ind w:left="222"/>
      </w:pPr>
      <w:r>
        <w:rPr>
          <w:w w:val="99"/>
        </w:rPr>
        <w:t> </w:t>
      </w:r>
      <w:r>
        <w:rPr/>
        <w:tab/>
      </w:r>
      <w:r>
        <w:rPr>
          <w:w w:val="99"/>
        </w:rPr>
        <w:t> </w:t>
      </w:r>
    </w:p>
    <w:p>
      <w:pPr>
        <w:pStyle w:val="ListParagraph"/>
        <w:numPr>
          <w:ilvl w:val="1"/>
          <w:numId w:val="11"/>
        </w:numPr>
        <w:tabs>
          <w:tab w:pos="541" w:val="left" w:leader="none"/>
          <w:tab w:pos="2631" w:val="left" w:leader="none"/>
        </w:tabs>
        <w:spacing w:line="314" w:lineRule="auto" w:before="0" w:after="0"/>
        <w:ind w:left="2631" w:right="310" w:hanging="2409"/>
        <w:jc w:val="both"/>
        <w:rPr>
          <w:sz w:val="21"/>
        </w:rPr>
      </w:pPr>
      <w:r>
        <w:rPr>
          <w:b/>
          <w:sz w:val="21"/>
        </w:rPr>
        <w:t>医院</w:t>
        <w:tab/>
      </w:r>
      <w:r>
        <w:rPr>
          <w:sz w:val="21"/>
        </w:rPr>
        <w:t>指拥有合法经营执照的，有合格医生和护士提供二十四小时医疗护理服务的，具有系统性诊疗程序、手术设备和住院诊疗设施的、经中华人民共和国国务院卫生行政部门评审合格的二级或二级以上医院，但不包括民办医院、疗养院、护理院、康复中心、戒酒或戒毒中心、精神心理治疗中心以及无相应医护人员或设备的二级或三级医院的联合医院或联合病房。 </w:t>
      </w:r>
    </w:p>
    <w:p>
      <w:pPr>
        <w:spacing w:after="0" w:line="314" w:lineRule="auto"/>
        <w:jc w:val="both"/>
        <w:rPr>
          <w:sz w:val="21"/>
        </w:rPr>
        <w:sectPr>
          <w:footerReference w:type="default" r:id="rId9"/>
          <w:pgSz w:w="11910" w:h="16840"/>
          <w:pgMar w:footer="998" w:header="501" w:top="700" w:bottom="1180" w:left="1020" w:right="800"/>
          <w:pgNumType w:start="10"/>
        </w:sectPr>
      </w:pPr>
    </w:p>
    <w:p>
      <w:pPr>
        <w:pStyle w:val="BodyText"/>
        <w:rPr>
          <w:sz w:val="20"/>
        </w:rPr>
      </w:pPr>
    </w:p>
    <w:p>
      <w:pPr>
        <w:pStyle w:val="BodyText"/>
        <w:rPr>
          <w:sz w:val="20"/>
        </w:rPr>
      </w:pPr>
    </w:p>
    <w:p>
      <w:pPr>
        <w:pStyle w:val="BodyText"/>
        <w:spacing w:before="5"/>
        <w:rPr>
          <w:sz w:val="20"/>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419"/>
        <w:gridCol w:w="7631"/>
      </w:tblGrid>
      <w:tr>
        <w:trPr>
          <w:trHeight w:val="280" w:hRule="atLeast"/>
        </w:trPr>
        <w:tc>
          <w:tcPr>
            <w:tcW w:w="617" w:type="dxa"/>
          </w:tcPr>
          <w:p>
            <w:pPr>
              <w:pStyle w:val="TableParagraph"/>
              <w:spacing w:line="210" w:lineRule="exact"/>
              <w:ind w:left="50"/>
              <w:rPr>
                <w:b/>
                <w:sz w:val="21"/>
              </w:rPr>
            </w:pPr>
            <w:r>
              <w:rPr>
                <w:b/>
                <w:w w:val="99"/>
                <w:sz w:val="21"/>
              </w:rPr>
              <w:t> </w:t>
            </w:r>
          </w:p>
        </w:tc>
        <w:tc>
          <w:tcPr>
            <w:tcW w:w="1419" w:type="dxa"/>
          </w:tcPr>
          <w:p>
            <w:pPr>
              <w:pStyle w:val="TableParagraph"/>
              <w:spacing w:line="210" w:lineRule="exact"/>
              <w:ind w:left="142"/>
              <w:rPr>
                <w:b/>
                <w:sz w:val="21"/>
              </w:rPr>
            </w:pPr>
            <w:r>
              <w:rPr>
                <w:b/>
                <w:w w:val="99"/>
                <w:sz w:val="21"/>
              </w:rPr>
              <w:t> </w:t>
            </w:r>
          </w:p>
        </w:tc>
        <w:tc>
          <w:tcPr>
            <w:tcW w:w="7631" w:type="dxa"/>
          </w:tcPr>
          <w:p>
            <w:pPr>
              <w:pStyle w:val="TableParagraph"/>
              <w:spacing w:line="210" w:lineRule="exact"/>
              <w:ind w:left="423"/>
              <w:rPr>
                <w:sz w:val="21"/>
              </w:rPr>
            </w:pPr>
            <w:r>
              <w:rPr>
                <w:sz w:val="21"/>
              </w:rPr>
              <w:t> </w:t>
            </w:r>
          </w:p>
        </w:tc>
      </w:tr>
      <w:tr>
        <w:trPr>
          <w:trHeight w:val="690" w:hRule="atLeast"/>
        </w:trPr>
        <w:tc>
          <w:tcPr>
            <w:tcW w:w="617" w:type="dxa"/>
          </w:tcPr>
          <w:p>
            <w:pPr>
              <w:pStyle w:val="TableParagraph"/>
              <w:spacing w:before="13"/>
              <w:ind w:left="50"/>
              <w:rPr>
                <w:b/>
                <w:sz w:val="21"/>
              </w:rPr>
            </w:pPr>
            <w:r>
              <w:rPr>
                <w:b/>
                <w:sz w:val="21"/>
              </w:rPr>
              <w:t>6.5 </w:t>
            </w:r>
          </w:p>
        </w:tc>
        <w:tc>
          <w:tcPr>
            <w:tcW w:w="1419" w:type="dxa"/>
          </w:tcPr>
          <w:p>
            <w:pPr>
              <w:pStyle w:val="TableParagraph"/>
              <w:spacing w:before="13"/>
              <w:ind w:left="142"/>
              <w:rPr>
                <w:b/>
                <w:sz w:val="21"/>
              </w:rPr>
            </w:pPr>
            <w:r>
              <w:rPr>
                <w:b/>
                <w:w w:val="95"/>
                <w:sz w:val="21"/>
              </w:rPr>
              <w:t>专科医生</w:t>
            </w:r>
            <w:r>
              <w:rPr>
                <w:b/>
                <w:w w:val="99"/>
                <w:sz w:val="21"/>
              </w:rPr>
              <w:t> </w:t>
            </w:r>
          </w:p>
        </w:tc>
        <w:tc>
          <w:tcPr>
            <w:tcW w:w="7631" w:type="dxa"/>
          </w:tcPr>
          <w:p>
            <w:pPr>
              <w:pStyle w:val="TableParagraph"/>
              <w:spacing w:before="5"/>
              <w:ind w:left="326"/>
              <w:rPr>
                <w:sz w:val="21"/>
              </w:rPr>
            </w:pPr>
            <w:r>
              <w:rPr>
                <w:sz w:val="21"/>
              </w:rPr>
              <w:t>专科医生应当同时满足以下四项资格条件： </w:t>
            </w:r>
          </w:p>
          <w:p>
            <w:pPr>
              <w:pStyle w:val="TableParagraph"/>
              <w:spacing w:before="68"/>
              <w:ind w:left="326"/>
              <w:rPr>
                <w:sz w:val="21"/>
              </w:rPr>
            </w:pPr>
            <w:r>
              <w:rPr>
                <w:sz w:val="21"/>
              </w:rPr>
              <w:t>（1）具有有效的中华人民共和国《医师资格证书》； </w:t>
            </w:r>
          </w:p>
        </w:tc>
      </w:tr>
      <w:tr>
        <w:trPr>
          <w:trHeight w:val="276" w:hRule="atLeast"/>
        </w:trPr>
        <w:tc>
          <w:tcPr>
            <w:tcW w:w="617" w:type="dxa"/>
          </w:tcPr>
          <w:p>
            <w:pPr>
              <w:pStyle w:val="TableParagraph"/>
              <w:rPr>
                <w:rFonts w:ascii="Times New Roman"/>
                <w:sz w:val="20"/>
              </w:rPr>
            </w:pPr>
          </w:p>
        </w:tc>
        <w:tc>
          <w:tcPr>
            <w:tcW w:w="1419" w:type="dxa"/>
          </w:tcPr>
          <w:p>
            <w:pPr>
              <w:pStyle w:val="TableParagraph"/>
              <w:rPr>
                <w:rFonts w:ascii="Times New Roman"/>
                <w:sz w:val="20"/>
              </w:rPr>
            </w:pPr>
          </w:p>
        </w:tc>
        <w:tc>
          <w:tcPr>
            <w:tcW w:w="7631" w:type="dxa"/>
          </w:tcPr>
          <w:p>
            <w:pPr>
              <w:pStyle w:val="TableParagraph"/>
              <w:spacing w:line="255" w:lineRule="exact" w:before="1"/>
              <w:ind w:left="326"/>
              <w:rPr>
                <w:sz w:val="21"/>
              </w:rPr>
            </w:pPr>
            <w:r>
              <w:rPr>
                <w:sz w:val="21"/>
              </w:rPr>
              <w:t>（2）具有有效的中华人民共和国《医师执业证书》，并按期到相关部门登记注</w:t>
            </w:r>
          </w:p>
        </w:tc>
      </w:tr>
    </w:tbl>
    <w:p>
      <w:pPr>
        <w:pStyle w:val="BodyText"/>
        <w:spacing w:before="68"/>
        <w:ind w:left="3073"/>
      </w:pPr>
      <w:r>
        <w:rPr/>
        <w:t>册； </w:t>
      </w:r>
    </w:p>
    <w:p>
      <w:pPr>
        <w:pStyle w:val="BodyText"/>
        <w:spacing w:line="300" w:lineRule="auto" w:before="68"/>
        <w:ind w:left="3073" w:right="155" w:hanging="539"/>
      </w:pPr>
      <w:r>
        <w:rPr/>
        <w:t>（3）具有有效的中华人民共和国主治医师或主治医师以上职称的《医师职称证书》； </w:t>
      </w:r>
    </w:p>
    <w:p>
      <w:pPr>
        <w:pStyle w:val="BodyText"/>
        <w:spacing w:before="16"/>
        <w:ind w:left="2534"/>
      </w:pPr>
      <w:r>
        <w:rPr/>
        <w:t>（4）在二级或二级以上医院的相应科室从事临床工作三年以上。 </w:t>
      </w:r>
    </w:p>
    <w:p>
      <w:pPr>
        <w:pStyle w:val="Heading5"/>
        <w:tabs>
          <w:tab w:pos="931" w:val="left" w:leader="none"/>
          <w:tab w:pos="2631" w:val="left" w:leader="none"/>
        </w:tabs>
        <w:spacing w:before="77"/>
        <w:ind w:left="221"/>
        <w:rPr>
          <w:b w:val="0"/>
        </w:rPr>
      </w:pPr>
      <w:r>
        <w:rPr>
          <w:w w:val="99"/>
        </w:rPr>
        <w:t> </w:t>
      </w:r>
      <w:r>
        <w:rPr/>
        <w:tab/>
      </w:r>
      <w:r>
        <w:rPr>
          <w:w w:val="99"/>
        </w:rPr>
        <w:t> </w:t>
      </w:r>
      <w:r>
        <w:rPr/>
        <w:tab/>
      </w:r>
      <w:r>
        <w:rPr>
          <w:b w:val="0"/>
        </w:rPr>
        <w:t> </w:t>
      </w:r>
    </w:p>
    <w:p>
      <w:pPr>
        <w:pStyle w:val="ListParagraph"/>
        <w:numPr>
          <w:ilvl w:val="1"/>
          <w:numId w:val="12"/>
        </w:numPr>
        <w:tabs>
          <w:tab w:pos="541" w:val="left" w:leader="none"/>
        </w:tabs>
        <w:spacing w:line="264" w:lineRule="auto" w:before="60" w:after="0"/>
        <w:ind w:left="2631" w:right="156" w:hanging="2409"/>
        <w:jc w:val="both"/>
        <w:rPr>
          <w:sz w:val="21"/>
        </w:rPr>
      </w:pPr>
      <w:r>
        <w:rPr>
          <w:b/>
          <w:spacing w:val="0"/>
          <w:position w:val="-1"/>
          <w:sz w:val="21"/>
        </w:rPr>
        <w:t>初次罹患        </w:t>
      </w:r>
      <w:r>
        <w:rPr>
          <w:sz w:val="21"/>
        </w:rPr>
        <w:t>指被保险人首次出现与本主险合同所约定疾病相关的症状或体征，而该症状或体征已足以引起一般人士注意并去医院寻求医疗检查，且被确诊为本主险合同所约定的疾病。</w:t>
      </w:r>
    </w:p>
    <w:p>
      <w:pPr>
        <w:spacing w:line="300" w:lineRule="auto" w:before="28"/>
        <w:ind w:left="2631" w:right="355" w:hanging="1"/>
        <w:jc w:val="left"/>
        <w:rPr>
          <w:i/>
          <w:sz w:val="22"/>
        </w:rPr>
      </w:pPr>
      <w:r>
        <w:rPr>
          <w:b/>
          <w:i/>
          <w:w w:val="95"/>
          <w:sz w:val="22"/>
        </w:rPr>
        <w:t>对于被保险人在本主险合同生效日前出现的本主险合同所列的疾病之症状体征或所患的疾病，本公司不承担保险责任</w:t>
      </w:r>
      <w:r>
        <w:rPr>
          <w:i/>
          <w:w w:val="95"/>
          <w:sz w:val="22"/>
        </w:rPr>
        <w:t>。 </w:t>
      </w:r>
    </w:p>
    <w:p>
      <w:pPr>
        <w:pStyle w:val="Heading5"/>
        <w:tabs>
          <w:tab w:pos="931" w:val="left" w:leader="none"/>
        </w:tabs>
        <w:spacing w:before="27"/>
        <w:ind w:left="222"/>
      </w:pPr>
      <w:r>
        <w:rPr>
          <w:w w:val="99"/>
        </w:rPr>
        <w:t> </w:t>
      </w:r>
      <w:r>
        <w:rPr/>
        <w:tab/>
      </w:r>
      <w:r>
        <w:rPr>
          <w:w w:val="99"/>
        </w:rPr>
        <w:t> </w:t>
      </w:r>
    </w:p>
    <w:p>
      <w:pPr>
        <w:pStyle w:val="ListParagraph"/>
        <w:numPr>
          <w:ilvl w:val="1"/>
          <w:numId w:val="12"/>
        </w:numPr>
        <w:tabs>
          <w:tab w:pos="541" w:val="left" w:leader="none"/>
          <w:tab w:pos="930" w:val="left" w:leader="none"/>
        </w:tabs>
        <w:spacing w:line="254" w:lineRule="auto" w:before="60" w:after="0"/>
        <w:ind w:left="2631" w:right="170" w:hanging="2409"/>
        <w:jc w:val="left"/>
        <w:rPr>
          <w:sz w:val="21"/>
        </w:rPr>
      </w:pPr>
      <w:r>
        <w:rPr>
          <w:b/>
          <w:spacing w:val="0"/>
          <w:position w:val="-1"/>
          <w:sz w:val="21"/>
        </w:rPr>
        <w:t>疾病终末期阶段  </w:t>
      </w:r>
      <w:r>
        <w:rPr>
          <w:sz w:val="21"/>
        </w:rPr>
        <w:t>疾病终末期阶段需由专科医生出具诊断证明和提交临床检查证据，证明被保险人所患疾病同时满足以下两个条件： </w:t>
      </w:r>
    </w:p>
    <w:p>
      <w:pPr>
        <w:pStyle w:val="BodyText"/>
        <w:spacing w:before="24"/>
        <w:ind w:left="2631"/>
      </w:pPr>
      <w:r>
        <w:rPr/>
        <w:t>（1）依现有医疗技术无法缓解； </w:t>
      </w:r>
    </w:p>
    <w:p>
      <w:pPr>
        <w:pStyle w:val="BodyText"/>
        <w:spacing w:before="60"/>
        <w:ind w:left="2631"/>
      </w:pPr>
      <w:r>
        <w:rPr/>
        <w:t>（2）根据临床医学经验判断被保险人存活期低于六个月。</w:t>
      </w:r>
    </w:p>
    <w:p>
      <w:pPr>
        <w:pStyle w:val="Heading5"/>
        <w:tabs>
          <w:tab w:pos="931" w:val="left" w:leader="none"/>
          <w:tab w:pos="2631" w:val="left" w:leader="none"/>
        </w:tabs>
        <w:spacing w:before="63"/>
        <w:ind w:left="221"/>
        <w:rPr>
          <w:b w:val="0"/>
        </w:rPr>
      </w:pPr>
      <w:r>
        <w:rPr>
          <w:w w:val="99"/>
        </w:rPr>
        <w:t> </w:t>
      </w:r>
      <w:r>
        <w:rPr/>
        <w:tab/>
      </w:r>
      <w:r>
        <w:rPr>
          <w:w w:val="99"/>
        </w:rPr>
        <w:t> </w:t>
      </w:r>
      <w:r>
        <w:rPr/>
        <w:tab/>
      </w:r>
      <w:r>
        <w:rPr>
          <w:b w:val="0"/>
          <w:position w:val="2"/>
        </w:rPr>
        <w:t> </w:t>
      </w:r>
    </w:p>
    <w:p>
      <w:pPr>
        <w:pStyle w:val="ListParagraph"/>
        <w:numPr>
          <w:ilvl w:val="1"/>
          <w:numId w:val="12"/>
        </w:numPr>
        <w:tabs>
          <w:tab w:pos="541" w:val="left" w:leader="none"/>
        </w:tabs>
        <w:spacing w:line="300" w:lineRule="auto" w:before="103" w:after="0"/>
        <w:ind w:left="2631" w:right="167" w:hanging="2409"/>
        <w:jc w:val="both"/>
        <w:rPr>
          <w:b/>
          <w:sz w:val="21"/>
        </w:rPr>
      </w:pPr>
      <w:r>
        <w:rPr>
          <w:b/>
          <w:sz w:val="21"/>
        </w:rPr>
        <w:t>意外伤害        </w:t>
      </w:r>
      <w:r>
        <w:rPr>
          <w:sz w:val="21"/>
        </w:rPr>
        <w:t>指遭受外来的、突发的、非本意的、非疾病的使身体受到伤害的客观事件。并以</w:t>
      </w:r>
      <w:r>
        <w:rPr>
          <w:w w:val="95"/>
          <w:sz w:val="21"/>
        </w:rPr>
        <w:t>此客观事件为直接且单独原因导致被保险人身体蒙受伤害或者身故。</w:t>
      </w:r>
      <w:r>
        <w:rPr>
          <w:b/>
          <w:i/>
          <w:w w:val="95"/>
          <w:sz w:val="22"/>
        </w:rPr>
        <w:t>猝死不属  于意外伤害</w:t>
      </w:r>
      <w:r>
        <w:rPr>
          <w:b/>
          <w:w w:val="95"/>
          <w:sz w:val="21"/>
        </w:rPr>
        <w:t>。</w:t>
      </w:r>
    </w:p>
    <w:p>
      <w:pPr>
        <w:pStyle w:val="Heading5"/>
        <w:tabs>
          <w:tab w:pos="931" w:val="left" w:leader="none"/>
        </w:tabs>
        <w:spacing w:before="27"/>
        <w:ind w:left="222"/>
      </w:pPr>
      <w:r>
        <w:rPr>
          <w:w w:val="99"/>
        </w:rPr>
        <w:t> </w:t>
      </w:r>
      <w:r>
        <w:rPr/>
        <w:tab/>
      </w:r>
      <w:r>
        <w:rPr>
          <w:w w:val="99"/>
        </w:rPr>
        <w:t> </w:t>
      </w:r>
    </w:p>
    <w:p>
      <w:pPr>
        <w:pStyle w:val="ListParagraph"/>
        <w:numPr>
          <w:ilvl w:val="1"/>
          <w:numId w:val="12"/>
        </w:numPr>
        <w:tabs>
          <w:tab w:pos="541" w:val="left" w:leader="none"/>
          <w:tab w:pos="931" w:val="left" w:leader="none"/>
          <w:tab w:pos="2631" w:val="left" w:leader="none"/>
        </w:tabs>
        <w:spacing w:line="240" w:lineRule="auto" w:before="84" w:after="0"/>
        <w:ind w:left="540" w:right="0" w:hanging="318"/>
        <w:jc w:val="left"/>
        <w:rPr>
          <w:sz w:val="21"/>
        </w:rPr>
      </w:pPr>
      <w:r>
        <w:rPr>
          <w:b/>
          <w:sz w:val="21"/>
        </w:rPr>
        <w:t>全残</w:t>
        <w:tab/>
      </w:r>
      <w:r>
        <w:rPr>
          <w:sz w:val="21"/>
        </w:rPr>
        <w:t>本主险合同所述“全残”指下列情形之一： </w:t>
      </w:r>
    </w:p>
    <w:p>
      <w:pPr>
        <w:pStyle w:val="BodyText"/>
        <w:spacing w:before="84"/>
        <w:ind w:left="2631"/>
        <w:jc w:val="both"/>
      </w:pPr>
      <w:r>
        <w:rPr/>
        <w:t>（1） 双目永久完全失明的（注 1） </w:t>
      </w:r>
    </w:p>
    <w:p>
      <w:pPr>
        <w:pStyle w:val="BodyText"/>
        <w:spacing w:before="84"/>
        <w:ind w:left="2631"/>
        <w:jc w:val="both"/>
      </w:pPr>
      <w:r>
        <w:rPr/>
        <w:t>（2） 两上肢腕关节以上或两下肢踝关节以上缺失的 </w:t>
      </w:r>
    </w:p>
    <w:p>
      <w:pPr>
        <w:pStyle w:val="BodyText"/>
        <w:spacing w:before="84"/>
        <w:ind w:left="2631"/>
        <w:jc w:val="both"/>
      </w:pPr>
      <w:r>
        <w:rPr/>
        <w:t>（3） 一上肢腕关节以上及一下肢踝关节以上缺失的 </w:t>
      </w:r>
    </w:p>
    <w:p>
      <w:pPr>
        <w:pStyle w:val="BodyText"/>
        <w:spacing w:before="84"/>
        <w:ind w:left="2631"/>
        <w:jc w:val="both"/>
      </w:pPr>
      <w:r>
        <w:rPr/>
        <w:t>（4） 一目永久完全失明及一上肢腕关节以上缺失的 </w:t>
      </w:r>
    </w:p>
    <w:p>
      <w:pPr>
        <w:pStyle w:val="BodyText"/>
        <w:spacing w:before="84"/>
        <w:ind w:left="2631"/>
        <w:jc w:val="both"/>
      </w:pPr>
      <w:r>
        <w:rPr/>
        <w:t>（5） 一目永久完全失明及一下肢踝关节以上缺失的 </w:t>
      </w:r>
    </w:p>
    <w:p>
      <w:pPr>
        <w:pStyle w:val="BodyText"/>
        <w:spacing w:before="84"/>
        <w:ind w:left="2631"/>
        <w:jc w:val="both"/>
      </w:pPr>
      <w:r>
        <w:rPr/>
        <w:t>（6） 四肢关节机能永久完全丧失的（注 2） </w:t>
      </w:r>
    </w:p>
    <w:p>
      <w:pPr>
        <w:pStyle w:val="BodyText"/>
        <w:spacing w:before="84"/>
        <w:ind w:left="2631"/>
        <w:jc w:val="both"/>
      </w:pPr>
      <w:r>
        <w:rPr/>
        <w:t>（7） 咀嚼、吞咽机能永久完全丧失的（注 3） </w:t>
      </w:r>
    </w:p>
    <w:p>
      <w:pPr>
        <w:pStyle w:val="BodyText"/>
        <w:spacing w:line="314" w:lineRule="auto" w:before="84"/>
        <w:ind w:left="3199" w:right="233" w:hanging="568"/>
      </w:pPr>
      <w:r>
        <w:rPr/>
        <w:t>（8）</w:t>
      </w:r>
      <w:r>
        <w:rPr>
          <w:spacing w:val="-9"/>
        </w:rPr>
        <w:t> 中枢神经系统机能或胸、腹部脏器机能极度障碍，终身不能从事任何工作，为维持生命必要的日常生活活动，全需他人扶助的（</w:t>
      </w:r>
      <w:r>
        <w:rPr>
          <w:spacing w:val="-32"/>
        </w:rPr>
        <w:t>注 </w:t>
      </w:r>
      <w:r>
        <w:rPr/>
        <w:t>4） </w:t>
      </w:r>
    </w:p>
    <w:p>
      <w:pPr>
        <w:pStyle w:val="BodyText"/>
        <w:spacing w:line="312" w:lineRule="auto" w:before="19"/>
        <w:ind w:left="2631" w:right="156"/>
        <w:jc w:val="both"/>
      </w:pPr>
      <w:r>
        <w:rPr>
          <w:spacing w:val="-27"/>
        </w:rPr>
        <w:t>注 </w:t>
      </w:r>
      <w:r>
        <w:rPr/>
        <w:t>1：失明包括眼球缺失或摘除、或不能辨别明暗、或仅能辨别眼前手动者， </w:t>
      </w:r>
      <w:r>
        <w:rPr>
          <w:spacing w:val="-4"/>
        </w:rPr>
        <w:t>最佳矫正视力低于国际标准视力表 0.02</w:t>
      </w:r>
      <w:r>
        <w:rPr>
          <w:spacing w:val="-8"/>
        </w:rPr>
        <w:t>，或视野半径小于 </w:t>
      </w:r>
      <w:r>
        <w:rPr/>
        <w:t>5</w:t>
      </w:r>
      <w:r>
        <w:rPr>
          <w:spacing w:val="-10"/>
        </w:rPr>
        <w:t> 度，并由保险公司指定有资格的眼科医师出具医疗诊断证明。 </w:t>
      </w:r>
    </w:p>
    <w:p>
      <w:pPr>
        <w:pStyle w:val="BodyText"/>
        <w:spacing w:line="314" w:lineRule="auto" w:before="21"/>
        <w:ind w:left="2631" w:right="160"/>
      </w:pPr>
      <w:r>
        <w:rPr/>
        <w:t>注 2：关节机能的丧失系指关节永久完全僵硬、或麻痹、或关节不能随意识活动。 </w:t>
      </w:r>
    </w:p>
    <w:p>
      <w:pPr>
        <w:pStyle w:val="BodyText"/>
        <w:spacing w:before="19"/>
        <w:ind w:left="2631"/>
        <w:jc w:val="both"/>
      </w:pPr>
      <w:r>
        <w:rPr/>
        <w:t>注 3：咀嚼、吞咽机能的丧失系指由于牙齿以外的原因引起器质障碍或机能障</w:t>
      </w:r>
    </w:p>
    <w:p>
      <w:pPr>
        <w:spacing w:after="0"/>
        <w:jc w:val="both"/>
        <w:sectPr>
          <w:pgSz w:w="11910" w:h="16840"/>
          <w:pgMar w:header="501" w:footer="998" w:top="700" w:bottom="1180" w:left="1020" w:right="940"/>
        </w:sectPr>
      </w:pPr>
    </w:p>
    <w:p>
      <w:pPr>
        <w:pStyle w:val="BodyText"/>
        <w:rPr>
          <w:sz w:val="20"/>
        </w:rPr>
      </w:pPr>
    </w:p>
    <w:p>
      <w:pPr>
        <w:pStyle w:val="BodyText"/>
        <w:rPr>
          <w:sz w:val="20"/>
        </w:rPr>
      </w:pPr>
    </w:p>
    <w:p>
      <w:pPr>
        <w:pStyle w:val="BodyText"/>
        <w:spacing w:before="6"/>
        <w:rPr>
          <w:sz w:val="15"/>
        </w:rPr>
      </w:pPr>
    </w:p>
    <w:p>
      <w:pPr>
        <w:pStyle w:val="BodyText"/>
        <w:ind w:left="2631"/>
      </w:pPr>
      <w:r>
        <w:rPr/>
        <w:t>碍，以致不能作咀嚼、吞咽运动，除流质食物外不能摄取或吞咽状态。 </w:t>
      </w:r>
    </w:p>
    <w:p>
      <w:pPr>
        <w:pStyle w:val="BodyText"/>
        <w:spacing w:line="314" w:lineRule="auto" w:before="83"/>
        <w:ind w:left="2631" w:right="220"/>
      </w:pPr>
      <w:r>
        <w:rPr/>
        <w:t>注 4：为维持生命必要之日常生活活动，全需他人扶助系指食物摄取、大小便始末、穿脱衣服、起居、步行、入浴等，皆不能自己为之，需要他人帮助。</w:t>
      </w:r>
    </w:p>
    <w:p>
      <w:pPr>
        <w:pStyle w:val="BodyText"/>
        <w:spacing w:before="3"/>
        <w:rPr>
          <w:sz w:val="24"/>
        </w:rPr>
      </w:pPr>
    </w:p>
    <w:p>
      <w:pPr>
        <w:pStyle w:val="ListParagraph"/>
        <w:numPr>
          <w:ilvl w:val="1"/>
          <w:numId w:val="12"/>
        </w:numPr>
        <w:tabs>
          <w:tab w:pos="647" w:val="left" w:leader="none"/>
          <w:tab w:pos="2631" w:val="left" w:leader="none"/>
        </w:tabs>
        <w:spacing w:line="254" w:lineRule="auto" w:before="36" w:after="0"/>
        <w:ind w:left="2631" w:right="216" w:hanging="2410"/>
        <w:jc w:val="left"/>
        <w:rPr>
          <w:sz w:val="21"/>
        </w:rPr>
      </w:pPr>
      <w:r>
        <w:rPr>
          <w:b/>
          <w:position w:val="-1"/>
          <w:sz w:val="21"/>
        </w:rPr>
        <w:t>轻症疾病</w:t>
        <w:tab/>
      </w:r>
      <w:r>
        <w:rPr>
          <w:sz w:val="21"/>
        </w:rPr>
        <w:t>指被保险人发生符合以下疾病定义所述条件的疾病（共38种），应当由专科医 生明确诊断。 </w:t>
      </w:r>
    </w:p>
    <w:p>
      <w:pPr>
        <w:pStyle w:val="BodyText"/>
        <w:spacing w:before="24"/>
        <w:ind w:left="2631"/>
      </w:pPr>
      <w:r>
        <w:rPr/>
        <w:t> </w:t>
      </w:r>
    </w:p>
    <w:p>
      <w:pPr>
        <w:spacing w:after="0"/>
        <w:sectPr>
          <w:pgSz w:w="11910" w:h="16840"/>
          <w:pgMar w:header="501" w:footer="998" w:top="700" w:bottom="1180" w:left="1020" w:right="880"/>
        </w:sectPr>
      </w:pPr>
    </w:p>
    <w:p>
      <w:pPr>
        <w:pStyle w:val="Heading5"/>
        <w:tabs>
          <w:tab w:pos="931" w:val="left" w:leader="none"/>
        </w:tabs>
        <w:spacing w:line="340" w:lineRule="exact" w:before="34"/>
        <w:ind w:hanging="710"/>
        <w:rPr>
          <w:rFonts w:ascii="Microsoft JhengHei" w:eastAsia="Microsoft JhengHei" w:hint="eastAsia"/>
        </w:rPr>
      </w:pPr>
      <w:r>
        <w:rPr>
          <w:w w:val="99"/>
        </w:rPr>
        <w:t> </w:t>
      </w:r>
      <w:r>
        <w:rPr/>
        <w:tab/>
      </w:r>
      <w:r>
        <w:rPr>
          <w:rFonts w:ascii="Microsoft JhengHei" w:eastAsia="Microsoft JhengHei" w:hint="eastAsia"/>
          <w:position w:val="2"/>
        </w:rPr>
        <w:t>1.</w:t>
      </w:r>
      <w:r>
        <w:rPr>
          <w:rFonts w:ascii="Microsoft JhengHei" w:eastAsia="Microsoft JhengHei" w:hint="eastAsia"/>
          <w:spacing w:val="0"/>
          <w:position w:val="2"/>
        </w:rPr>
        <w:t> 非危及生命</w:t>
      </w:r>
      <w:r>
        <w:rPr>
          <w:rFonts w:ascii="Microsoft JhengHei" w:eastAsia="Microsoft JhengHei" w:hint="eastAsia"/>
          <w:spacing w:val="0"/>
        </w:rPr>
        <w:t>的（极早期的）</w:t>
      </w:r>
    </w:p>
    <w:p>
      <w:pPr>
        <w:spacing w:line="344" w:lineRule="exact" w:before="0"/>
        <w:ind w:left="931" w:right="0" w:firstLine="0"/>
        <w:jc w:val="left"/>
        <w:rPr>
          <w:b/>
          <w:sz w:val="21"/>
        </w:rPr>
      </w:pPr>
      <w:r>
        <w:rPr>
          <w:rFonts w:ascii="Microsoft JhengHei" w:eastAsia="Microsoft JhengHei" w:hint="eastAsia"/>
          <w:b/>
          <w:sz w:val="21"/>
        </w:rPr>
        <w:t>恶性病变</w:t>
      </w:r>
      <w:r>
        <w:rPr>
          <w:b/>
          <w:w w:val="99"/>
          <w:sz w:val="21"/>
        </w:rPr>
        <w:t> </w:t>
      </w:r>
    </w:p>
    <w:p>
      <w:pPr>
        <w:pStyle w:val="BodyText"/>
        <w:spacing w:line="273" w:lineRule="auto" w:before="36"/>
        <w:ind w:left="189" w:right="216"/>
      </w:pPr>
      <w:r>
        <w:rPr/>
        <w:br w:type="column"/>
      </w:r>
      <w:r>
        <w:rPr/>
        <w:t>指被保险人生前经组织病理学检查被明确诊断为下列恶性病变，并且接受了相应的治疗。  </w:t>
      </w:r>
    </w:p>
    <w:p>
      <w:pPr>
        <w:pStyle w:val="BodyText"/>
        <w:spacing w:before="7"/>
        <w:ind w:left="189"/>
        <w:jc w:val="both"/>
      </w:pPr>
      <w:r>
        <w:rPr/>
        <w:t>（1）原位癌</w:t>
      </w:r>
      <w:r>
        <w:rPr>
          <w:position w:val="11"/>
          <w:sz w:val="11"/>
        </w:rPr>
        <w:t>*</w:t>
      </w:r>
      <w:r>
        <w:rPr/>
        <w:t>；  </w:t>
      </w:r>
    </w:p>
    <w:p>
      <w:pPr>
        <w:pStyle w:val="BodyText"/>
        <w:spacing w:before="37"/>
        <w:ind w:left="189"/>
        <w:jc w:val="both"/>
      </w:pPr>
      <w:r>
        <w:rPr/>
        <w:t>（2）相当于Binet分期方案A期程度的慢性淋巴细胞白血病；  </w:t>
      </w:r>
    </w:p>
    <w:p>
      <w:pPr>
        <w:pStyle w:val="BodyText"/>
        <w:spacing w:before="37"/>
        <w:ind w:left="189"/>
        <w:jc w:val="both"/>
      </w:pPr>
      <w:r>
        <w:rPr/>
        <w:t>（3）相当于Ann Arbor分期方案I期程度的何杰金氏病；  </w:t>
      </w:r>
    </w:p>
    <w:p>
      <w:pPr>
        <w:pStyle w:val="BodyText"/>
        <w:spacing w:before="37"/>
        <w:ind w:left="189"/>
        <w:jc w:val="both"/>
      </w:pPr>
      <w:r>
        <w:rPr/>
        <w:t>（4）皮肤癌（不包括恶性黑色素瘤及已发生转移的皮肤癌）；  </w:t>
      </w:r>
    </w:p>
    <w:p>
      <w:pPr>
        <w:pStyle w:val="BodyText"/>
        <w:spacing w:before="36"/>
        <w:ind w:left="189"/>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  </w:t>
      </w:r>
    </w:p>
    <w:p>
      <w:pPr>
        <w:pStyle w:val="Heading5"/>
        <w:spacing w:before="37"/>
        <w:ind w:left="189"/>
        <w:jc w:val="both"/>
      </w:pPr>
      <w:r>
        <w:rPr>
          <w:w w:val="95"/>
          <w:position w:val="11"/>
          <w:sz w:val="11"/>
        </w:rPr>
        <w:t>*</w:t>
      </w:r>
      <w:r>
        <w:rPr>
          <w:w w:val="95"/>
        </w:rPr>
        <w:t>原位癌  </w:t>
      </w:r>
    </w:p>
    <w:p>
      <w:pPr>
        <w:pStyle w:val="BodyText"/>
        <w:spacing w:line="273" w:lineRule="auto" w:before="37"/>
        <w:ind w:left="189" w:right="230"/>
        <w:jc w:val="both"/>
      </w:pPr>
      <w:r>
        <w:rPr/>
        <w:t>指恶性细胞局限于上皮内尚未穿破基底膜浸润周围正常组织的癌细胞新生物。原位癌必须经对固定活组织的组织病理学检查明确诊断。被保险人必须己经接受了针对原位癌病灶的积极治疗。  </w:t>
      </w:r>
    </w:p>
    <w:p>
      <w:pPr>
        <w:spacing w:after="0" w:line="273" w:lineRule="auto"/>
        <w:jc w:val="both"/>
        <w:sectPr>
          <w:type w:val="continuous"/>
          <w:pgSz w:w="11910" w:h="16840"/>
          <w:pgMar w:top="700" w:bottom="280" w:left="1020" w:right="880"/>
          <w:cols w:num="2" w:equalWidth="0">
            <w:col w:w="2403" w:space="40"/>
            <w:col w:w="7567"/>
          </w:cols>
        </w:sectPr>
      </w:pPr>
    </w:p>
    <w:p>
      <w:pPr>
        <w:pStyle w:val="BodyText"/>
        <w:spacing w:before="3"/>
        <w:rPr>
          <w:sz w:val="25"/>
        </w:rPr>
      </w:pPr>
    </w:p>
    <w:p>
      <w:pPr>
        <w:spacing w:after="0"/>
        <w:rPr>
          <w:sz w:val="25"/>
        </w:rPr>
        <w:sectPr>
          <w:type w:val="continuous"/>
          <w:pgSz w:w="11910" w:h="16840"/>
          <w:pgMar w:top="700" w:bottom="280" w:left="1020" w:right="880"/>
        </w:sectPr>
      </w:pPr>
    </w:p>
    <w:p>
      <w:pPr>
        <w:pStyle w:val="Heading5"/>
        <w:tabs>
          <w:tab w:pos="931" w:val="left" w:leader="none"/>
        </w:tabs>
        <w:spacing w:line="340" w:lineRule="exact" w:before="33"/>
        <w:ind w:hanging="710"/>
      </w:pPr>
      <w:r>
        <w:rPr>
          <w:w w:val="99"/>
        </w:rPr>
        <w:t> </w:t>
      </w:r>
      <w:r>
        <w:rPr/>
        <w:tab/>
      </w:r>
      <w:r>
        <w:rPr>
          <w:rFonts w:ascii="Microsoft JhengHei" w:eastAsia="Microsoft JhengHei" w:hint="eastAsia"/>
          <w:position w:val="2"/>
        </w:rPr>
        <w:t>2.  冠状动脉介</w:t>
      </w:r>
      <w:r>
        <w:rPr>
          <w:rFonts w:ascii="Microsoft JhengHei" w:eastAsia="Microsoft JhengHei" w:hint="eastAsia"/>
        </w:rPr>
        <w:t>入手术</w:t>
      </w:r>
      <w:r>
        <w:rPr>
          <w:w w:val="99"/>
        </w:rPr>
        <w:t> </w:t>
      </w:r>
    </w:p>
    <w:p>
      <w:pPr>
        <w:pStyle w:val="BodyText"/>
        <w:spacing w:line="273" w:lineRule="auto" w:before="36"/>
        <w:ind w:left="221" w:right="216"/>
        <w:jc w:val="both"/>
      </w:pPr>
      <w:r>
        <w:rPr/>
        <w:br w:type="column"/>
      </w:r>
      <w:r>
        <w:rPr/>
        <w:t>指被保险人为了治疗明显的冠状动脉狭窄性疾病，首次实际实施了冠状动脉球囊扩张成形术、冠状动脉支架植入术、冠状动脉粥肿斑块切除术或激光冠状动脉成形术。  </w:t>
      </w:r>
    </w:p>
    <w:p>
      <w:pPr>
        <w:spacing w:after="0" w:line="273" w:lineRule="auto"/>
        <w:jc w:val="both"/>
        <w:sectPr>
          <w:type w:val="continuous"/>
          <w:pgSz w:w="11910" w:h="16840"/>
          <w:pgMar w:top="700" w:bottom="280" w:left="1020" w:right="880"/>
          <w:cols w:num="2" w:equalWidth="0">
            <w:col w:w="2267" w:space="142"/>
            <w:col w:w="7601"/>
          </w:cols>
        </w:sectPr>
      </w:pPr>
    </w:p>
    <w:p>
      <w:pPr>
        <w:tabs>
          <w:tab w:pos="2631" w:val="left" w:leader="none"/>
        </w:tabs>
        <w:spacing w:before="7"/>
        <w:ind w:left="221" w:right="0" w:firstLine="0"/>
        <w:jc w:val="left"/>
        <w:rPr>
          <w:sz w:val="21"/>
        </w:rPr>
      </w:pPr>
      <w:r>
        <w:rPr>
          <w:b/>
          <w:w w:val="99"/>
          <w:position w:val="-1"/>
          <w:sz w:val="21"/>
        </w:rPr>
        <w:t> </w:t>
      </w:r>
      <w:r>
        <w:rPr>
          <w:b/>
          <w:position w:val="-1"/>
          <w:sz w:val="21"/>
        </w:rPr>
        <w:tab/>
      </w:r>
      <w:r>
        <w:rPr>
          <w:sz w:val="21"/>
        </w:rPr>
        <w:t> </w:t>
      </w:r>
    </w:p>
    <w:p>
      <w:pPr>
        <w:pStyle w:val="BodyText"/>
        <w:tabs>
          <w:tab w:pos="931" w:val="left" w:leader="none"/>
          <w:tab w:pos="2631" w:val="left" w:leader="none"/>
        </w:tabs>
        <w:spacing w:line="259" w:lineRule="auto" w:before="26"/>
        <w:ind w:left="2631" w:right="110" w:hanging="2410"/>
      </w:pPr>
      <w:r>
        <w:rPr>
          <w:b/>
          <w:w w:val="99"/>
          <w:position w:val="-1"/>
        </w:rPr>
        <w:t> </w:t>
      </w:r>
      <w:r>
        <w:rPr>
          <w:b/>
          <w:position w:val="-1"/>
        </w:rPr>
        <w:tab/>
      </w:r>
      <w:r>
        <w:rPr>
          <w:rFonts w:ascii="Microsoft JhengHei" w:hAnsi="Microsoft JhengHei" w:eastAsia="Microsoft JhengHei" w:hint="eastAsia"/>
          <w:b/>
          <w:position w:val="0"/>
        </w:rPr>
        <w:t>3.  轻微脑中风</w:t>
        <w:tab/>
      </w:r>
      <w:r>
        <w:rPr/>
        <w:t>指被保险人因非意外原因实际发生了脑血管的突发病变出现神经系统功能障碍 表现</w:t>
      </w:r>
      <w:r>
        <w:rPr>
          <w:spacing w:val="-33"/>
        </w:rPr>
        <w:t>，</w:t>
      </w:r>
      <w:r>
        <w:rPr/>
        <w:t>头颅断层扫</w:t>
      </w:r>
      <w:r>
        <w:rPr>
          <w:spacing w:val="-33"/>
        </w:rPr>
        <w:t>描</w:t>
      </w:r>
      <w:r>
        <w:rPr>
          <w:spacing w:val="-9"/>
        </w:rPr>
        <w:t>（CT）</w:t>
      </w:r>
      <w:r>
        <w:rPr>
          <w:spacing w:val="-33"/>
        </w:rPr>
        <w:t>、</w:t>
      </w:r>
      <w:r>
        <w:rPr/>
        <w:t>核磁共</w:t>
      </w:r>
      <w:r>
        <w:rPr>
          <w:spacing w:val="-33"/>
        </w:rPr>
        <w:t>振</w:t>
      </w:r>
      <w:r>
        <w:rPr>
          <w:spacing w:val="-7"/>
        </w:rPr>
        <w:t>（MRI）</w:t>
      </w:r>
      <w:r>
        <w:rPr/>
        <w:t>等影像学检查证实存在对应病灶， 确诊为脑出血</w:t>
      </w:r>
      <w:r>
        <w:rPr>
          <w:spacing w:val="-45"/>
        </w:rPr>
        <w:t>、</w:t>
      </w:r>
      <w:r>
        <w:rPr/>
        <w:t>脑栓塞或脑梗塞</w:t>
      </w:r>
      <w:r>
        <w:rPr>
          <w:spacing w:val="-45"/>
        </w:rPr>
        <w:t>，</w:t>
      </w:r>
      <w:r>
        <w:rPr/>
        <w:t>在确诊180天后仍然遗留一肢或一肢以上肢体</w:t>
      </w:r>
      <w:r>
        <w:rPr>
          <w:spacing w:val="-1"/>
        </w:rPr>
        <w:t>肌力Ⅲ级或Ⅲ级以下的运动功能障碍。  </w:t>
      </w:r>
    </w:p>
    <w:p>
      <w:pPr>
        <w:spacing w:line="310" w:lineRule="exact" w:before="0"/>
        <w:ind w:left="2631" w:right="0" w:firstLine="0"/>
        <w:jc w:val="left"/>
        <w:rPr>
          <w:sz w:val="24"/>
        </w:rPr>
      </w:pPr>
      <w:r>
        <w:rPr>
          <w:sz w:val="24"/>
        </w:rPr>
        <w:t> </w:t>
      </w:r>
    </w:p>
    <w:p>
      <w:pPr>
        <w:spacing w:after="0" w:line="310" w:lineRule="exact"/>
        <w:jc w:val="left"/>
        <w:rPr>
          <w:sz w:val="24"/>
        </w:rPr>
        <w:sectPr>
          <w:type w:val="continuous"/>
          <w:pgSz w:w="11910" w:h="16840"/>
          <w:pgMar w:top="700" w:bottom="280" w:left="1020" w:right="880"/>
        </w:sectPr>
      </w:pPr>
    </w:p>
    <w:p>
      <w:pPr>
        <w:pStyle w:val="Heading5"/>
        <w:tabs>
          <w:tab w:pos="931" w:val="left" w:leader="none"/>
        </w:tabs>
        <w:spacing w:line="340" w:lineRule="exact" w:before="20"/>
        <w:ind w:right="146" w:hanging="710"/>
      </w:pPr>
      <w:r>
        <w:rPr>
          <w:w w:val="99"/>
        </w:rPr>
        <w:t> </w:t>
      </w:r>
      <w:r>
        <w:rPr/>
        <w:tab/>
      </w:r>
      <w:r>
        <w:rPr>
          <w:rFonts w:ascii="Microsoft JhengHei" w:eastAsia="Microsoft JhengHei" w:hint="eastAsia"/>
          <w:position w:val="2"/>
        </w:rPr>
        <w:t>4.  心脏瓣膜介</w:t>
      </w:r>
      <w:r>
        <w:rPr>
          <w:rFonts w:ascii="Microsoft JhengHei" w:eastAsia="Microsoft JhengHei" w:hint="eastAsia"/>
        </w:rPr>
        <w:t>入手术</w:t>
      </w:r>
      <w:r>
        <w:rPr>
          <w:w w:val="99"/>
        </w:rPr>
        <w:t> </w:t>
      </w:r>
    </w:p>
    <w:p>
      <w:pPr>
        <w:pStyle w:val="BodyText"/>
        <w:spacing w:before="2"/>
        <w:rPr>
          <w:b/>
          <w:sz w:val="15"/>
        </w:rPr>
      </w:pPr>
    </w:p>
    <w:p>
      <w:pPr>
        <w:tabs>
          <w:tab w:pos="931" w:val="left" w:leader="none"/>
        </w:tabs>
        <w:spacing w:line="237" w:lineRule="auto" w:before="0"/>
        <w:ind w:left="931" w:right="0" w:hanging="710"/>
        <w:jc w:val="left"/>
        <w:rPr>
          <w:b/>
          <w:sz w:val="21"/>
        </w:rPr>
      </w:pPr>
      <w:r>
        <w:rPr>
          <w:b/>
          <w:w w:val="99"/>
          <w:sz w:val="21"/>
        </w:rPr>
        <w:t> </w:t>
      </w:r>
      <w:r>
        <w:rPr>
          <w:b/>
          <w:sz w:val="21"/>
        </w:rPr>
        <w:tab/>
      </w:r>
      <w:r>
        <w:rPr>
          <w:rFonts w:ascii="Microsoft JhengHei" w:eastAsia="Microsoft JhengHei" w:hint="eastAsia"/>
          <w:b/>
          <w:position w:val="2"/>
          <w:sz w:val="21"/>
        </w:rPr>
        <w:t>5.</w:t>
      </w:r>
      <w:r>
        <w:rPr>
          <w:rFonts w:ascii="Microsoft JhengHei" w:eastAsia="Microsoft JhengHei" w:hint="eastAsia"/>
          <w:b/>
          <w:spacing w:val="-8"/>
          <w:position w:val="2"/>
          <w:sz w:val="21"/>
        </w:rPr>
        <w:t>  脑垂体瘤、脑</w:t>
      </w:r>
      <w:r>
        <w:rPr>
          <w:rFonts w:ascii="Microsoft JhengHei" w:eastAsia="Microsoft JhengHei" w:hint="eastAsia"/>
          <w:b/>
          <w:spacing w:val="-8"/>
          <w:sz w:val="21"/>
        </w:rPr>
        <w:t>囊肿</w:t>
      </w:r>
      <w:r>
        <w:rPr>
          <w:b/>
          <w:spacing w:val="-8"/>
          <w:w w:val="99"/>
          <w:sz w:val="21"/>
        </w:rPr>
        <w:t> </w:t>
      </w:r>
    </w:p>
    <w:p>
      <w:pPr>
        <w:pStyle w:val="BodyText"/>
        <w:rPr>
          <w:b/>
          <w:sz w:val="22"/>
        </w:rPr>
      </w:pPr>
    </w:p>
    <w:p>
      <w:pPr>
        <w:pStyle w:val="BodyText"/>
        <w:rPr>
          <w:b/>
          <w:sz w:val="22"/>
        </w:rPr>
      </w:pPr>
    </w:p>
    <w:p>
      <w:pPr>
        <w:pStyle w:val="BodyText"/>
        <w:spacing w:before="3"/>
        <w:rPr>
          <w:b/>
          <w:sz w:val="20"/>
        </w:rPr>
      </w:pPr>
    </w:p>
    <w:p>
      <w:pPr>
        <w:tabs>
          <w:tab w:pos="931" w:val="left" w:leader="none"/>
        </w:tabs>
        <w:spacing w:line="235" w:lineRule="auto" w:before="0"/>
        <w:ind w:left="931" w:right="11" w:hanging="710"/>
        <w:jc w:val="left"/>
        <w:rPr>
          <w:b/>
          <w:sz w:val="21"/>
        </w:rPr>
      </w:pPr>
      <w:r>
        <w:rPr>
          <w:b/>
          <w:w w:val="99"/>
          <w:sz w:val="21"/>
        </w:rPr>
        <w:t> </w:t>
      </w:r>
      <w:r>
        <w:rPr>
          <w:b/>
          <w:sz w:val="21"/>
        </w:rPr>
        <w:tab/>
      </w:r>
      <w:r>
        <w:rPr>
          <w:rFonts w:ascii="Microsoft JhengHei" w:eastAsia="Microsoft JhengHei" w:hint="eastAsia"/>
          <w:b/>
          <w:position w:val="2"/>
          <w:sz w:val="21"/>
        </w:rPr>
        <w:t>6.  视力严重受</w:t>
      </w:r>
      <w:r>
        <w:rPr>
          <w:rFonts w:ascii="Microsoft JhengHei" w:eastAsia="Microsoft JhengHei" w:hint="eastAsia"/>
          <w:b/>
          <w:sz w:val="21"/>
        </w:rPr>
        <w:t>损（三周岁始理赔）</w:t>
      </w:r>
      <w:r>
        <w:rPr>
          <w:b/>
          <w:w w:val="99"/>
          <w:sz w:val="21"/>
        </w:rPr>
        <w:t> </w:t>
      </w:r>
    </w:p>
    <w:p>
      <w:pPr>
        <w:pStyle w:val="BodyText"/>
        <w:spacing w:line="273" w:lineRule="auto" w:before="22"/>
        <w:ind w:left="175" w:right="216"/>
      </w:pPr>
      <w:r>
        <w:rPr/>
        <w:br w:type="column"/>
      </w:r>
      <w:r>
        <w:rPr/>
        <w:t>为了治疗心脏瓣膜疾病，被保险人实际接受了非开胸的经胸壁打孔内镜手术或经皮经导管介入手术进行的心脏瓣膜置换或修复手术。 </w:t>
      </w:r>
    </w:p>
    <w:p>
      <w:pPr>
        <w:spacing w:line="298" w:lineRule="exact" w:before="0"/>
        <w:ind w:left="175" w:right="0" w:firstLine="0"/>
        <w:jc w:val="left"/>
        <w:rPr>
          <w:sz w:val="24"/>
        </w:rPr>
      </w:pPr>
      <w:r>
        <w:rPr>
          <w:spacing w:val="-1"/>
          <w:sz w:val="21"/>
        </w:rPr>
        <w:t> </w:t>
      </w:r>
      <w:r>
        <w:rPr>
          <w:sz w:val="24"/>
        </w:rPr>
        <w:t> </w:t>
      </w:r>
    </w:p>
    <w:p>
      <w:pPr>
        <w:pStyle w:val="BodyText"/>
        <w:spacing w:line="273" w:lineRule="auto" w:before="23"/>
        <w:ind w:left="175" w:right="215"/>
      </w:pPr>
      <w:r>
        <w:rPr>
          <w:spacing w:val="-2"/>
        </w:rPr>
        <w:t>指被保险人经头颅断层扫描</w:t>
      </w:r>
      <w:r>
        <w:rPr>
          <w:spacing w:val="-5"/>
        </w:rPr>
        <w:t>（CT）</w:t>
      </w:r>
      <w:r>
        <w:rPr>
          <w:spacing w:val="-9"/>
        </w:rPr>
        <w:t>、核磁共振</w:t>
      </w:r>
      <w:r>
        <w:rPr>
          <w:spacing w:val="-4"/>
        </w:rPr>
        <w:t>（MRI）</w:t>
      </w:r>
      <w:r>
        <w:rPr/>
        <w:t>或其他影像学检查被确诊</w:t>
      </w:r>
      <w:r>
        <w:rPr>
          <w:spacing w:val="-1"/>
        </w:rPr>
        <w:t>为下列病变，并实际接受了手术或放射治疗。  </w:t>
      </w:r>
    </w:p>
    <w:p>
      <w:pPr>
        <w:pStyle w:val="BodyText"/>
        <w:spacing w:before="8"/>
        <w:ind w:left="175"/>
      </w:pPr>
      <w:r>
        <w:rPr/>
        <w:t>（1）脑垂体瘤；  </w:t>
      </w:r>
    </w:p>
    <w:p>
      <w:pPr>
        <w:pStyle w:val="BodyText"/>
        <w:spacing w:before="37"/>
        <w:ind w:left="175"/>
      </w:pPr>
      <w:r>
        <w:rPr/>
        <w:t>（2）脑囊肿。  </w:t>
      </w:r>
    </w:p>
    <w:p>
      <w:pPr>
        <w:spacing w:before="62"/>
        <w:ind w:left="176" w:right="0" w:firstLine="0"/>
        <w:jc w:val="left"/>
        <w:rPr>
          <w:sz w:val="18"/>
        </w:rPr>
      </w:pPr>
      <w:r>
        <w:rPr>
          <w:sz w:val="18"/>
        </w:rPr>
        <w:t> </w:t>
      </w:r>
    </w:p>
    <w:p>
      <w:pPr>
        <w:pStyle w:val="BodyText"/>
        <w:spacing w:line="273" w:lineRule="auto" w:before="50"/>
        <w:ind w:left="175" w:right="110"/>
      </w:pPr>
      <w:r>
        <w:rPr/>
        <w:t>指被保险人因疾病或意外伤害导致双目视力</w:t>
      </w:r>
      <w:r>
        <w:rPr>
          <w:b/>
          <w:spacing w:val="-10"/>
        </w:rPr>
        <w:t>永久不可逆</w:t>
      </w:r>
      <w:r>
        <w:rPr/>
        <w:t>（见释义</w:t>
      </w:r>
      <w:r>
        <w:rPr>
          <w:spacing w:val="-10"/>
        </w:rPr>
        <w:t>6.19）</w:t>
      </w:r>
      <w:r>
        <w:rPr/>
        <w:t>性丧失， </w:t>
      </w:r>
      <w:r>
        <w:rPr>
          <w:spacing w:val="-1"/>
        </w:rPr>
        <w:t>虽然未达到重大疾病</w:t>
      </w:r>
      <w:r>
        <w:rPr>
          <w:rFonts w:ascii="Times New Roman" w:hAnsi="Times New Roman" w:eastAsia="Times New Roman"/>
          <w:spacing w:val="-1"/>
        </w:rPr>
        <w:t>“</w:t>
      </w:r>
      <w:r>
        <w:rPr>
          <w:spacing w:val="-1"/>
        </w:rPr>
        <w:t>双目失明</w:t>
      </w:r>
      <w:r>
        <w:rPr>
          <w:rFonts w:ascii="Times New Roman" w:hAnsi="Times New Roman" w:eastAsia="Times New Roman"/>
          <w:spacing w:val="-1"/>
        </w:rPr>
        <w:t>”</w:t>
      </w:r>
      <w:r>
        <w:rPr>
          <w:spacing w:val="-1"/>
        </w:rPr>
        <w:t>的给付标准，但满足下列条件之一：  </w:t>
      </w:r>
    </w:p>
    <w:p>
      <w:pPr>
        <w:pStyle w:val="BodyText"/>
        <w:spacing w:line="273" w:lineRule="auto"/>
        <w:ind w:left="701" w:right="216" w:hanging="526"/>
      </w:pPr>
      <w:r>
        <w:rPr/>
        <w:t>（1）双眼中较好眼矫正视力低于0.1（采用国际标准视力表，如果使用其他视力表应进行换算）；  </w:t>
      </w:r>
    </w:p>
    <w:p>
      <w:pPr>
        <w:pStyle w:val="BodyText"/>
        <w:spacing w:before="19"/>
        <w:ind w:left="175"/>
      </w:pPr>
      <w:r>
        <w:rPr/>
        <w:t>（2）双眼中较好眼视野半径小于20度。  </w:t>
      </w:r>
    </w:p>
    <w:p>
      <w:pPr>
        <w:spacing w:line="259" w:lineRule="auto" w:before="24"/>
        <w:ind w:left="175" w:right="216" w:firstLine="0"/>
        <w:jc w:val="left"/>
        <w:rPr>
          <w:b/>
          <w:i/>
          <w:sz w:val="22"/>
        </w:rPr>
      </w:pPr>
      <w:r>
        <w:rPr>
          <w:b/>
          <w:i/>
          <w:w w:val="95"/>
          <w:sz w:val="22"/>
        </w:rPr>
        <w:t>被保险人申请理赔时年龄必须在三周岁以上，并且提供理赔当时的视力丧失诊断及检查证据。 </w:t>
      </w:r>
    </w:p>
    <w:p>
      <w:pPr>
        <w:spacing w:after="0" w:line="259" w:lineRule="auto"/>
        <w:jc w:val="left"/>
        <w:rPr>
          <w:sz w:val="22"/>
        </w:rPr>
        <w:sectPr>
          <w:type w:val="continuous"/>
          <w:pgSz w:w="11910" w:h="16840"/>
          <w:pgMar w:top="700" w:bottom="280" w:left="1020" w:right="880"/>
          <w:cols w:num="2" w:equalWidth="0">
            <w:col w:w="2416" w:space="40"/>
            <w:col w:w="7554"/>
          </w:cols>
        </w:sectPr>
      </w:pPr>
    </w:p>
    <w:p>
      <w:pPr>
        <w:pStyle w:val="BodyText"/>
        <w:rPr>
          <w:b/>
          <w:i/>
          <w:sz w:val="20"/>
        </w:rPr>
      </w:pPr>
    </w:p>
    <w:p>
      <w:pPr>
        <w:pStyle w:val="BodyText"/>
        <w:rPr>
          <w:b/>
          <w:i/>
          <w:sz w:val="20"/>
        </w:rPr>
      </w:pPr>
    </w:p>
    <w:p>
      <w:pPr>
        <w:pStyle w:val="BodyText"/>
        <w:rPr>
          <w:b/>
          <w:i/>
          <w:sz w:val="20"/>
        </w:rPr>
      </w:pPr>
    </w:p>
    <w:p>
      <w:pPr>
        <w:pStyle w:val="BodyText"/>
        <w:spacing w:before="10"/>
        <w:rPr>
          <w:b/>
          <w:i/>
          <w:sz w:val="14"/>
        </w:rPr>
      </w:pPr>
    </w:p>
    <w:p>
      <w:pPr>
        <w:spacing w:after="0"/>
        <w:rPr>
          <w:sz w:val="14"/>
        </w:rPr>
        <w:sectPr>
          <w:pgSz w:w="11910" w:h="16840"/>
          <w:pgMar w:header="501" w:footer="998" w:top="700" w:bottom="1180" w:left="1020" w:right="740"/>
        </w:sectPr>
      </w:pPr>
    </w:p>
    <w:p>
      <w:pPr>
        <w:pStyle w:val="Heading5"/>
        <w:spacing w:line="340" w:lineRule="exact" w:before="33"/>
        <w:ind w:right="235" w:hanging="710"/>
        <w:jc w:val="both"/>
      </w:pPr>
      <w:r>
        <w:rPr>
          <w:w w:val="99"/>
        </w:rPr>
        <w:t> </w:t>
      </w:r>
      <w:r>
        <w:rPr/>
        <w:t>      </w:t>
      </w:r>
      <w:r>
        <w:rPr>
          <w:rFonts w:ascii="Microsoft JhengHei" w:eastAsia="Microsoft JhengHei" w:hint="eastAsia"/>
          <w:position w:val="2"/>
        </w:rPr>
        <w:t>7. 主动脉内介</w:t>
      </w:r>
      <w:r>
        <w:rPr>
          <w:rFonts w:ascii="Microsoft JhengHei" w:eastAsia="Microsoft JhengHei" w:hint="eastAsia"/>
        </w:rPr>
        <w:t>入手术</w:t>
      </w:r>
      <w:r>
        <w:rPr>
          <w:w w:val="99"/>
        </w:rPr>
        <w:t> </w:t>
      </w:r>
    </w:p>
    <w:p>
      <w:pPr>
        <w:pStyle w:val="BodyText"/>
        <w:spacing w:before="2"/>
        <w:rPr>
          <w:b/>
          <w:sz w:val="15"/>
        </w:rPr>
      </w:pPr>
    </w:p>
    <w:p>
      <w:pPr>
        <w:tabs>
          <w:tab w:pos="931" w:val="left" w:leader="none"/>
        </w:tabs>
        <w:spacing w:line="237" w:lineRule="auto" w:before="0"/>
        <w:ind w:left="931" w:right="0" w:hanging="710"/>
        <w:jc w:val="left"/>
        <w:rPr>
          <w:b/>
          <w:sz w:val="21"/>
        </w:rPr>
      </w:pPr>
      <w:r>
        <w:rPr>
          <w:b/>
          <w:w w:val="99"/>
          <w:sz w:val="21"/>
        </w:rPr>
        <w:t> </w:t>
      </w:r>
      <w:r>
        <w:rPr>
          <w:b/>
          <w:sz w:val="21"/>
        </w:rPr>
        <w:tab/>
      </w:r>
      <w:r>
        <w:rPr>
          <w:rFonts w:ascii="Microsoft JhengHei" w:eastAsia="Microsoft JhengHei" w:hint="eastAsia"/>
          <w:b/>
          <w:position w:val="2"/>
          <w:sz w:val="21"/>
        </w:rPr>
        <w:t>8.</w:t>
      </w:r>
      <w:r>
        <w:rPr>
          <w:rFonts w:ascii="Microsoft JhengHei" w:eastAsia="Microsoft JhengHei" w:hint="eastAsia"/>
          <w:b/>
          <w:spacing w:val="5"/>
          <w:position w:val="2"/>
          <w:sz w:val="21"/>
        </w:rPr>
        <w:t> 较小面积 </w:t>
      </w:r>
      <w:r>
        <w:rPr>
          <w:rFonts w:ascii="Microsoft JhengHei" w:eastAsia="Microsoft JhengHei" w:hint="eastAsia"/>
          <w:b/>
          <w:position w:val="2"/>
          <w:sz w:val="21"/>
        </w:rPr>
        <w:t>III</w:t>
      </w:r>
      <w:r>
        <w:rPr>
          <w:rFonts w:ascii="Microsoft JhengHei" w:eastAsia="Microsoft JhengHei" w:hint="eastAsia"/>
          <w:b/>
          <w:sz w:val="21"/>
        </w:rPr>
        <w:t> </w:t>
      </w:r>
      <w:r>
        <w:rPr>
          <w:rFonts w:ascii="Microsoft JhengHei" w:eastAsia="Microsoft JhengHei" w:hint="eastAsia"/>
          <w:b/>
          <w:w w:val="95"/>
          <w:sz w:val="21"/>
        </w:rPr>
        <w:t>度烧伤（10%）</w:t>
      </w:r>
      <w:r>
        <w:rPr>
          <w:b/>
          <w:w w:val="99"/>
          <w:sz w:val="21"/>
        </w:rPr>
        <w:t> </w:t>
      </w:r>
    </w:p>
    <w:p>
      <w:pPr>
        <w:pStyle w:val="BodyText"/>
        <w:spacing w:before="7"/>
        <w:rPr>
          <w:b/>
          <w:sz w:val="16"/>
        </w:rPr>
      </w:pPr>
    </w:p>
    <w:p>
      <w:pPr>
        <w:spacing w:line="235" w:lineRule="auto" w:before="0"/>
        <w:ind w:left="931" w:right="204" w:hanging="710"/>
        <w:jc w:val="both"/>
        <w:rPr>
          <w:b/>
          <w:sz w:val="21"/>
        </w:rPr>
      </w:pPr>
      <w:r>
        <w:rPr/>
        <w:pict>
          <v:shape style="position:absolute;margin-left:59.597752pt;margin-top:52.462719pt;width:492.95pt;height:534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64"/>
                    <w:gridCol w:w="7538"/>
                  </w:tblGrid>
                  <w:tr>
                    <w:trPr>
                      <w:trHeight w:val="275" w:hRule="atLeast"/>
                    </w:trPr>
                    <w:tc>
                      <w:tcPr>
                        <w:tcW w:w="2321" w:type="dxa"/>
                        <w:gridSpan w:val="2"/>
                        <w:vMerge w:val="restart"/>
                      </w:tcPr>
                      <w:p>
                        <w:pPr>
                          <w:pStyle w:val="TableParagraph"/>
                          <w:rPr>
                            <w:rFonts w:ascii="Times New Roman"/>
                            <w:sz w:val="20"/>
                          </w:rPr>
                        </w:pPr>
                      </w:p>
                    </w:tc>
                    <w:tc>
                      <w:tcPr>
                        <w:tcW w:w="7538" w:type="dxa"/>
                      </w:tcPr>
                      <w:p>
                        <w:pPr>
                          <w:pStyle w:val="TableParagraph"/>
                          <w:spacing w:line="233" w:lineRule="exact"/>
                          <w:ind w:left="138"/>
                          <w:rPr>
                            <w:sz w:val="21"/>
                          </w:rPr>
                        </w:pPr>
                        <w:r>
                          <w:rPr>
                            <w:sz w:val="21"/>
                          </w:rPr>
                          <w:t>（2）Scr&gt;5mg/dl或&gt;442</w:t>
                        </w:r>
                        <w:r>
                          <w:rPr>
                            <w:rFonts w:ascii="Times New Roman" w:hAnsi="Times New Roman" w:eastAsia="Times New Roman"/>
                            <w:sz w:val="21"/>
                          </w:rPr>
                          <w:t>μ</w:t>
                        </w:r>
                        <w:r>
                          <w:rPr>
                            <w:sz w:val="21"/>
                          </w:rPr>
                          <w:t>mol/L </w:t>
                        </w:r>
                      </w:p>
                    </w:tc>
                  </w:tr>
                  <w:tr>
                    <w:trPr>
                      <w:trHeight w:val="296" w:hRule="atLeast"/>
                    </w:trPr>
                    <w:tc>
                      <w:tcPr>
                        <w:tcW w:w="2321" w:type="dxa"/>
                        <w:gridSpan w:val="2"/>
                        <w:vMerge/>
                        <w:tcBorders>
                          <w:top w:val="nil"/>
                        </w:tcBorders>
                      </w:tcPr>
                      <w:p>
                        <w:pPr>
                          <w:rPr>
                            <w:sz w:val="2"/>
                            <w:szCs w:val="2"/>
                          </w:rPr>
                        </w:pPr>
                      </w:p>
                    </w:tc>
                    <w:tc>
                      <w:tcPr>
                        <w:tcW w:w="7538" w:type="dxa"/>
                      </w:tcPr>
                      <w:p>
                        <w:pPr>
                          <w:pStyle w:val="TableParagraph"/>
                          <w:spacing w:line="253" w:lineRule="exact"/>
                          <w:ind w:left="138"/>
                          <w:rPr>
                            <w:sz w:val="21"/>
                          </w:rPr>
                        </w:pPr>
                        <w:r>
                          <w:rPr>
                            <w:sz w:val="21"/>
                          </w:rPr>
                          <w:t>（3）持续180天 </w:t>
                        </w:r>
                      </w:p>
                    </w:tc>
                  </w:tr>
                  <w:tr>
                    <w:trPr>
                      <w:trHeight w:val="327" w:hRule="atLeast"/>
                    </w:trPr>
                    <w:tc>
                      <w:tcPr>
                        <w:tcW w:w="2321" w:type="dxa"/>
                        <w:gridSpan w:val="2"/>
                        <w:vMerge/>
                        <w:tcBorders>
                          <w:top w:val="nil"/>
                        </w:tcBorders>
                      </w:tcPr>
                      <w:p>
                        <w:pPr>
                          <w:rPr>
                            <w:sz w:val="2"/>
                            <w:szCs w:val="2"/>
                          </w:rPr>
                        </w:pPr>
                      </w:p>
                    </w:tc>
                    <w:tc>
                      <w:tcPr>
                        <w:tcW w:w="7538" w:type="dxa"/>
                      </w:tcPr>
                      <w:p>
                        <w:pPr>
                          <w:pStyle w:val="TableParagraph"/>
                          <w:spacing w:line="284" w:lineRule="exact"/>
                          <w:ind w:left="138"/>
                          <w:rPr>
                            <w:sz w:val="24"/>
                          </w:rPr>
                        </w:pPr>
                        <w:r>
                          <w:rPr>
                            <w:sz w:val="24"/>
                          </w:rPr>
                          <w:t> </w:t>
                        </w:r>
                      </w:p>
                    </w:tc>
                  </w:tr>
                  <w:tr>
                    <w:trPr>
                      <w:trHeight w:val="317" w:hRule="atLeast"/>
                    </w:trPr>
                    <w:tc>
                      <w:tcPr>
                        <w:tcW w:w="457" w:type="dxa"/>
                      </w:tcPr>
                      <w:p>
                        <w:pPr>
                          <w:pStyle w:val="TableParagraph"/>
                          <w:spacing w:before="2"/>
                          <w:ind w:left="50"/>
                          <w:rPr>
                            <w:b/>
                            <w:sz w:val="21"/>
                          </w:rPr>
                        </w:pPr>
                        <w:r>
                          <w:rPr>
                            <w:b/>
                            <w:w w:val="99"/>
                            <w:sz w:val="21"/>
                          </w:rPr>
                          <w:t> </w:t>
                        </w:r>
                      </w:p>
                    </w:tc>
                    <w:tc>
                      <w:tcPr>
                        <w:tcW w:w="1864" w:type="dxa"/>
                      </w:tcPr>
                      <w:p>
                        <w:pPr>
                          <w:pStyle w:val="TableParagraph"/>
                          <w:spacing w:line="283" w:lineRule="exact"/>
                          <w:ind w:left="302"/>
                          <w:rPr>
                            <w:rFonts w:ascii="Microsoft JhengHei" w:eastAsia="Microsoft JhengHei" w:hint="eastAsia"/>
                            <w:b/>
                            <w:sz w:val="21"/>
                          </w:rPr>
                        </w:pPr>
                        <w:r>
                          <w:rPr>
                            <w:rFonts w:ascii="Microsoft JhengHei" w:eastAsia="Microsoft JhengHei" w:hint="eastAsia"/>
                            <w:b/>
                            <w:sz w:val="21"/>
                          </w:rPr>
                          <w:t>10. 重症头部外</w:t>
                        </w:r>
                      </w:p>
                    </w:tc>
                    <w:tc>
                      <w:tcPr>
                        <w:tcW w:w="7538" w:type="dxa"/>
                      </w:tcPr>
                      <w:p>
                        <w:pPr>
                          <w:pStyle w:val="TableParagraph"/>
                          <w:spacing w:line="253" w:lineRule="exact"/>
                          <w:ind w:left="138"/>
                          <w:rPr>
                            <w:sz w:val="21"/>
                          </w:rPr>
                        </w:pPr>
                        <w:r>
                          <w:rPr>
                            <w:sz w:val="21"/>
                          </w:rPr>
                          <w:t>指因头部遭受机械性外力伤害，引起脑重要部位损伤，并且由头颅断层扫描</w:t>
                        </w:r>
                      </w:p>
                    </w:tc>
                  </w:tr>
                  <w:tr>
                    <w:trPr>
                      <w:trHeight w:val="335" w:hRule="atLeast"/>
                    </w:trPr>
                    <w:tc>
                      <w:tcPr>
                        <w:tcW w:w="457" w:type="dxa"/>
                      </w:tcPr>
                      <w:p>
                        <w:pPr>
                          <w:pStyle w:val="TableParagraph"/>
                          <w:rPr>
                            <w:rFonts w:ascii="Times New Roman"/>
                            <w:sz w:val="20"/>
                          </w:rPr>
                        </w:pPr>
                      </w:p>
                    </w:tc>
                    <w:tc>
                      <w:tcPr>
                        <w:tcW w:w="1864" w:type="dxa"/>
                      </w:tcPr>
                      <w:p>
                        <w:pPr>
                          <w:pStyle w:val="TableParagraph"/>
                          <w:spacing w:line="315" w:lineRule="exact"/>
                          <w:ind w:left="302"/>
                          <w:rPr>
                            <w:b/>
                            <w:sz w:val="21"/>
                          </w:rPr>
                        </w:pPr>
                        <w:r>
                          <w:rPr>
                            <w:rFonts w:ascii="Microsoft JhengHei" w:eastAsia="Microsoft JhengHei" w:hint="eastAsia"/>
                            <w:b/>
                            <w:sz w:val="21"/>
                          </w:rPr>
                          <w:t>伤</w:t>
                        </w:r>
                        <w:r>
                          <w:rPr>
                            <w:b/>
                            <w:w w:val="99"/>
                            <w:sz w:val="21"/>
                          </w:rPr>
                          <w:t> </w:t>
                        </w:r>
                      </w:p>
                    </w:tc>
                    <w:tc>
                      <w:tcPr>
                        <w:tcW w:w="7538" w:type="dxa"/>
                      </w:tcPr>
                      <w:p>
                        <w:pPr>
                          <w:pStyle w:val="TableParagraph"/>
                          <w:spacing w:line="248" w:lineRule="exact"/>
                          <w:ind w:left="138"/>
                          <w:rPr>
                            <w:sz w:val="21"/>
                          </w:rPr>
                        </w:pPr>
                        <w:r>
                          <w:rPr>
                            <w:sz w:val="21"/>
                          </w:rPr>
                          <w:t>（CT）、核磁共振检查（MRI）或正电子发射断层扫描（PET）等影像学检查证</w:t>
                        </w:r>
                      </w:p>
                    </w:tc>
                  </w:tr>
                  <w:tr>
                    <w:trPr>
                      <w:trHeight w:val="275"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25" w:lineRule="exact"/>
                          <w:ind w:left="138"/>
                          <w:rPr>
                            <w:sz w:val="21"/>
                          </w:rPr>
                        </w:pPr>
                        <w:r>
                          <w:rPr>
                            <w:sz w:val="21"/>
                          </w:rPr>
                          <w:t>实。头部外伤导致神经系统功能障碍，虽然未达到重大疾病“严重脑损伤”的</w:t>
                        </w:r>
                      </w:p>
                    </w:tc>
                  </w:tr>
                  <w:tr>
                    <w:trPr>
                      <w:trHeight w:val="311"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1" w:lineRule="exact"/>
                          <w:ind w:left="138"/>
                          <w:rPr>
                            <w:sz w:val="21"/>
                          </w:rPr>
                        </w:pPr>
                        <w:r>
                          <w:rPr>
                            <w:sz w:val="21"/>
                          </w:rPr>
                          <w:t>给付标准，但是符合以下条件之一： </w:t>
                        </w:r>
                      </w:p>
                    </w:tc>
                  </w:tr>
                  <w:tr>
                    <w:trPr>
                      <w:trHeight w:val="311"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1" w:lineRule="exact"/>
                          <w:ind w:left="138"/>
                          <w:rPr>
                            <w:sz w:val="21"/>
                          </w:rPr>
                        </w:pPr>
                        <w:r>
                          <w:rPr>
                            <w:sz w:val="21"/>
                          </w:rPr>
                          <w:t>（1）被保险人接受了全麻下颅骨切开颅内血肿清除术（颅骨钻孔术除外）； </w:t>
                        </w:r>
                      </w:p>
                    </w:tc>
                  </w:tr>
                  <w:tr>
                    <w:trPr>
                      <w:trHeight w:val="260" w:hRule="atLeast"/>
                    </w:trPr>
                    <w:tc>
                      <w:tcPr>
                        <w:tcW w:w="457" w:type="dxa"/>
                      </w:tcPr>
                      <w:p>
                        <w:pPr>
                          <w:pStyle w:val="TableParagraph"/>
                          <w:rPr>
                            <w:rFonts w:ascii="Times New Roman"/>
                            <w:sz w:val="18"/>
                          </w:rPr>
                        </w:pPr>
                      </w:p>
                    </w:tc>
                    <w:tc>
                      <w:tcPr>
                        <w:tcW w:w="1864" w:type="dxa"/>
                      </w:tcPr>
                      <w:p>
                        <w:pPr>
                          <w:pStyle w:val="TableParagraph"/>
                          <w:rPr>
                            <w:rFonts w:ascii="Times New Roman"/>
                            <w:sz w:val="18"/>
                          </w:rPr>
                        </w:pPr>
                      </w:p>
                    </w:tc>
                    <w:tc>
                      <w:tcPr>
                        <w:tcW w:w="7538" w:type="dxa"/>
                      </w:tcPr>
                      <w:p>
                        <w:pPr>
                          <w:pStyle w:val="TableParagraph"/>
                          <w:spacing w:line="241" w:lineRule="exact"/>
                          <w:ind w:left="138"/>
                          <w:rPr>
                            <w:sz w:val="21"/>
                          </w:rPr>
                        </w:pPr>
                        <w:r>
                          <w:rPr>
                            <w:sz w:val="21"/>
                          </w:rPr>
                          <w:t>（2）在外伤180天后仍然遗留一肢或一肢以上肢体肌力Ⅲ级或Ⅲ级以下的运动</w:t>
                        </w:r>
                      </w:p>
                    </w:tc>
                  </w:tr>
                  <w:tr>
                    <w:trPr>
                      <w:trHeight w:val="371"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before="37"/>
                          <w:ind w:left="664"/>
                          <w:rPr>
                            <w:sz w:val="21"/>
                          </w:rPr>
                        </w:pPr>
                        <w:r>
                          <w:rPr>
                            <w:sz w:val="21"/>
                          </w:rPr>
                          <w:t>功能障碍。 </w:t>
                        </w:r>
                      </w:p>
                    </w:tc>
                  </w:tr>
                  <w:tr>
                    <w:trPr>
                      <w:trHeight w:val="297"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before="3"/>
                          <w:ind w:left="138"/>
                          <w:rPr>
                            <w:sz w:val="18"/>
                          </w:rPr>
                        </w:pPr>
                        <w:r>
                          <w:rPr>
                            <w:sz w:val="18"/>
                          </w:rPr>
                          <w:t> </w:t>
                        </w:r>
                      </w:p>
                    </w:tc>
                  </w:tr>
                  <w:tr>
                    <w:trPr>
                      <w:trHeight w:val="331" w:hRule="atLeast"/>
                    </w:trPr>
                    <w:tc>
                      <w:tcPr>
                        <w:tcW w:w="457" w:type="dxa"/>
                      </w:tcPr>
                      <w:p>
                        <w:pPr>
                          <w:pStyle w:val="TableParagraph"/>
                          <w:spacing w:before="17"/>
                          <w:ind w:left="50"/>
                          <w:rPr>
                            <w:b/>
                            <w:sz w:val="21"/>
                          </w:rPr>
                        </w:pPr>
                        <w:r>
                          <w:rPr>
                            <w:b/>
                            <w:w w:val="99"/>
                            <w:sz w:val="21"/>
                          </w:rPr>
                          <w:t> </w:t>
                        </w:r>
                      </w:p>
                    </w:tc>
                    <w:tc>
                      <w:tcPr>
                        <w:tcW w:w="1864" w:type="dxa"/>
                      </w:tcPr>
                      <w:p>
                        <w:pPr>
                          <w:pStyle w:val="TableParagraph"/>
                          <w:spacing w:line="298" w:lineRule="exact"/>
                          <w:ind w:left="302"/>
                          <w:rPr>
                            <w:rFonts w:ascii="Microsoft JhengHei" w:eastAsia="Microsoft JhengHei" w:hint="eastAsia"/>
                            <w:b/>
                            <w:sz w:val="21"/>
                          </w:rPr>
                        </w:pPr>
                        <w:r>
                          <w:rPr>
                            <w:rFonts w:ascii="Microsoft JhengHei" w:eastAsia="Microsoft JhengHei" w:hint="eastAsia"/>
                            <w:b/>
                            <w:w w:val="95"/>
                            <w:sz w:val="21"/>
                          </w:rPr>
                          <w:t>11. 单个肢体缺</w:t>
                        </w:r>
                      </w:p>
                    </w:tc>
                    <w:tc>
                      <w:tcPr>
                        <w:tcW w:w="7538" w:type="dxa"/>
                      </w:tcPr>
                      <w:p>
                        <w:pPr>
                          <w:pStyle w:val="TableParagraph"/>
                          <w:spacing w:line="268" w:lineRule="exact"/>
                          <w:ind w:left="138"/>
                          <w:rPr>
                            <w:sz w:val="21"/>
                          </w:rPr>
                        </w:pPr>
                        <w:r>
                          <w:rPr>
                            <w:sz w:val="21"/>
                          </w:rPr>
                          <w:t>指因疾病或意外伤害导致一个肢体自腕关节或踝关节近端（靠近躯干端）以上</w:t>
                        </w:r>
                      </w:p>
                    </w:tc>
                  </w:tr>
                  <w:tr>
                    <w:trPr>
                      <w:trHeight w:val="618" w:hRule="atLeast"/>
                    </w:trPr>
                    <w:tc>
                      <w:tcPr>
                        <w:tcW w:w="457" w:type="dxa"/>
                      </w:tcPr>
                      <w:p>
                        <w:pPr>
                          <w:pStyle w:val="TableParagraph"/>
                          <w:rPr>
                            <w:rFonts w:ascii="Times New Roman"/>
                            <w:sz w:val="20"/>
                          </w:rPr>
                        </w:pPr>
                      </w:p>
                    </w:tc>
                    <w:tc>
                      <w:tcPr>
                        <w:tcW w:w="1864" w:type="dxa"/>
                      </w:tcPr>
                      <w:p>
                        <w:pPr>
                          <w:pStyle w:val="TableParagraph"/>
                          <w:spacing w:line="325" w:lineRule="exact"/>
                          <w:ind w:left="302"/>
                          <w:rPr>
                            <w:b/>
                            <w:sz w:val="21"/>
                          </w:rPr>
                        </w:pPr>
                        <w:r>
                          <w:rPr>
                            <w:rFonts w:ascii="Microsoft JhengHei" w:eastAsia="Microsoft JhengHei" w:hint="eastAsia"/>
                            <w:b/>
                            <w:sz w:val="21"/>
                          </w:rPr>
                          <w:t>失</w:t>
                        </w:r>
                        <w:r>
                          <w:rPr>
                            <w:b/>
                            <w:w w:val="99"/>
                            <w:sz w:val="21"/>
                          </w:rPr>
                          <w:t> </w:t>
                        </w:r>
                      </w:p>
                    </w:tc>
                    <w:tc>
                      <w:tcPr>
                        <w:tcW w:w="7538" w:type="dxa"/>
                      </w:tcPr>
                      <w:p>
                        <w:pPr>
                          <w:pStyle w:val="TableParagraph"/>
                          <w:spacing w:line="248" w:lineRule="exact"/>
                          <w:ind w:left="138"/>
                          <w:rPr>
                            <w:sz w:val="21"/>
                          </w:rPr>
                        </w:pPr>
                        <w:r>
                          <w:rPr>
                            <w:sz w:val="21"/>
                          </w:rPr>
                          <w:t>完全性断离。 </w:t>
                        </w:r>
                      </w:p>
                      <w:p>
                        <w:pPr>
                          <w:pStyle w:val="TableParagraph"/>
                          <w:spacing w:before="13"/>
                          <w:ind w:left="138"/>
                          <w:rPr>
                            <w:sz w:val="24"/>
                          </w:rPr>
                        </w:pPr>
                        <w:r>
                          <w:rPr>
                            <w:sz w:val="24"/>
                          </w:rPr>
                          <w:t> </w:t>
                        </w:r>
                      </w:p>
                    </w:tc>
                  </w:tr>
                  <w:tr>
                    <w:trPr>
                      <w:trHeight w:val="308" w:hRule="atLeast"/>
                    </w:trPr>
                    <w:tc>
                      <w:tcPr>
                        <w:tcW w:w="457" w:type="dxa"/>
                      </w:tcPr>
                      <w:p>
                        <w:pPr>
                          <w:pStyle w:val="TableParagraph"/>
                          <w:spacing w:before="2"/>
                          <w:ind w:left="50"/>
                          <w:rPr>
                            <w:b/>
                            <w:sz w:val="21"/>
                          </w:rPr>
                        </w:pPr>
                        <w:r>
                          <w:rPr>
                            <w:b/>
                            <w:w w:val="99"/>
                            <w:sz w:val="21"/>
                          </w:rPr>
                          <w:t> </w:t>
                        </w:r>
                      </w:p>
                    </w:tc>
                    <w:tc>
                      <w:tcPr>
                        <w:tcW w:w="1864" w:type="dxa"/>
                      </w:tcPr>
                      <w:p>
                        <w:pPr>
                          <w:pStyle w:val="TableParagraph"/>
                          <w:spacing w:line="283" w:lineRule="exact"/>
                          <w:ind w:left="302"/>
                          <w:rPr>
                            <w:rFonts w:ascii="Microsoft JhengHei" w:eastAsia="Microsoft JhengHei" w:hint="eastAsia"/>
                            <w:b/>
                            <w:sz w:val="21"/>
                          </w:rPr>
                        </w:pPr>
                        <w:r>
                          <w:rPr>
                            <w:rFonts w:ascii="Microsoft JhengHei" w:eastAsia="Microsoft JhengHei" w:hint="eastAsia"/>
                            <w:b/>
                            <w:sz w:val="21"/>
                          </w:rPr>
                          <w:t>12. 单侧肺脏切</w:t>
                        </w:r>
                      </w:p>
                    </w:tc>
                    <w:tc>
                      <w:tcPr>
                        <w:tcW w:w="7538" w:type="dxa"/>
                      </w:tcPr>
                      <w:p>
                        <w:pPr>
                          <w:pStyle w:val="TableParagraph"/>
                          <w:spacing w:line="253" w:lineRule="exact"/>
                          <w:ind w:left="138"/>
                          <w:rPr>
                            <w:sz w:val="21"/>
                          </w:rPr>
                        </w:pPr>
                        <w:r>
                          <w:rPr>
                            <w:sz w:val="21"/>
                          </w:rPr>
                          <w:t>指因疾病或意外事故实际实施的一侧肺脏切除术。 </w:t>
                        </w:r>
                      </w:p>
                    </w:tc>
                  </w:tr>
                  <w:tr>
                    <w:trPr>
                      <w:trHeight w:val="344" w:hRule="atLeast"/>
                    </w:trPr>
                    <w:tc>
                      <w:tcPr>
                        <w:tcW w:w="457" w:type="dxa"/>
                      </w:tcPr>
                      <w:p>
                        <w:pPr>
                          <w:pStyle w:val="TableParagraph"/>
                          <w:rPr>
                            <w:rFonts w:ascii="Times New Roman"/>
                            <w:sz w:val="20"/>
                          </w:rPr>
                        </w:pPr>
                      </w:p>
                    </w:tc>
                    <w:tc>
                      <w:tcPr>
                        <w:tcW w:w="1864" w:type="dxa"/>
                      </w:tcPr>
                      <w:p>
                        <w:pPr>
                          <w:pStyle w:val="TableParagraph"/>
                          <w:spacing w:line="325" w:lineRule="exact"/>
                          <w:ind w:left="302"/>
                          <w:rPr>
                            <w:b/>
                            <w:sz w:val="21"/>
                          </w:rPr>
                        </w:pPr>
                        <w:r>
                          <w:rPr>
                            <w:rFonts w:ascii="Microsoft JhengHei" w:eastAsia="Microsoft JhengHei" w:hint="eastAsia"/>
                            <w:b/>
                            <w:sz w:val="21"/>
                          </w:rPr>
                          <w:t>除</w:t>
                        </w:r>
                        <w:r>
                          <w:rPr>
                            <w:b/>
                            <w:w w:val="99"/>
                            <w:sz w:val="21"/>
                          </w:rPr>
                          <w:t> </w:t>
                        </w:r>
                      </w:p>
                    </w:tc>
                    <w:tc>
                      <w:tcPr>
                        <w:tcW w:w="7538" w:type="dxa"/>
                      </w:tcPr>
                      <w:p>
                        <w:pPr>
                          <w:pStyle w:val="TableParagraph"/>
                          <w:spacing w:line="259" w:lineRule="exact"/>
                          <w:ind w:left="138"/>
                          <w:rPr>
                            <w:b/>
                            <w:i/>
                            <w:sz w:val="23"/>
                          </w:rPr>
                        </w:pPr>
                        <w:r>
                          <w:rPr>
                            <w:b/>
                            <w:i/>
                            <w:w w:val="95"/>
                            <w:sz w:val="22"/>
                          </w:rPr>
                          <w:t>肺脏部分切除手术和肺脏捐献引起的手术不在保障范围内。</w:t>
                        </w:r>
                        <w:r>
                          <w:rPr>
                            <w:b/>
                            <w:i/>
                            <w:w w:val="94"/>
                            <w:sz w:val="23"/>
                          </w:rPr>
                          <w:t> </w:t>
                        </w:r>
                      </w:p>
                    </w:tc>
                  </w:tr>
                  <w:tr>
                    <w:trPr>
                      <w:trHeight w:val="275"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25" w:lineRule="exact"/>
                          <w:ind w:left="138"/>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64" w:type="dxa"/>
                      </w:tcPr>
                      <w:p>
                        <w:pPr>
                          <w:pStyle w:val="TableParagraph"/>
                          <w:spacing w:line="291" w:lineRule="exact"/>
                          <w:ind w:left="302"/>
                          <w:rPr>
                            <w:b/>
                            <w:sz w:val="21"/>
                          </w:rPr>
                        </w:pPr>
                        <w:r>
                          <w:rPr>
                            <w:rFonts w:ascii="Microsoft JhengHei" w:eastAsia="Microsoft JhengHei" w:hint="eastAsia"/>
                            <w:b/>
                            <w:sz w:val="21"/>
                          </w:rPr>
                          <w:t>13. 肝脏手术</w:t>
                        </w:r>
                        <w:r>
                          <w:rPr>
                            <w:b/>
                            <w:w w:val="99"/>
                            <w:sz w:val="21"/>
                          </w:rPr>
                          <w:t> </w:t>
                        </w:r>
                      </w:p>
                    </w:tc>
                    <w:tc>
                      <w:tcPr>
                        <w:tcW w:w="7538" w:type="dxa"/>
                      </w:tcPr>
                      <w:p>
                        <w:pPr>
                          <w:pStyle w:val="TableParagraph"/>
                          <w:spacing w:line="261" w:lineRule="exact"/>
                          <w:ind w:left="138"/>
                          <w:rPr>
                            <w:sz w:val="21"/>
                          </w:rPr>
                        </w:pPr>
                        <w:r>
                          <w:rPr>
                            <w:sz w:val="21"/>
                          </w:rPr>
                          <w:t>指为治疗肝脏肿瘤、肝内胆管结石、肝脓肿、肝包虫病等疾病而实际实施的肝</w:t>
                        </w:r>
                      </w:p>
                    </w:tc>
                  </w:tr>
                  <w:tr>
                    <w:trPr>
                      <w:trHeight w:val="293"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48" w:lineRule="exact"/>
                          <w:ind w:left="138"/>
                          <w:rPr>
                            <w:sz w:val="21"/>
                          </w:rPr>
                        </w:pPr>
                        <w:r>
                          <w:rPr>
                            <w:sz w:val="21"/>
                          </w:rPr>
                          <w:t>脏部分切除术。 </w:t>
                        </w:r>
                      </w:p>
                    </w:tc>
                  </w:tr>
                  <w:tr>
                    <w:trPr>
                      <w:trHeight w:val="312"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8" w:lineRule="exact"/>
                          <w:ind w:left="138"/>
                          <w:rPr>
                            <w:b/>
                            <w:i/>
                            <w:sz w:val="22"/>
                          </w:rPr>
                        </w:pPr>
                        <w:r>
                          <w:rPr>
                            <w:b/>
                            <w:i/>
                            <w:w w:val="95"/>
                            <w:sz w:val="22"/>
                          </w:rPr>
                          <w:t>因酒精或者滥用药物引致的疾病或者紊乱及/或者因捐赠肝脏而所需的肝脏手</w:t>
                        </w:r>
                      </w:p>
                    </w:tc>
                  </w:tr>
                  <w:tr>
                    <w:trPr>
                      <w:trHeight w:val="317"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7" w:lineRule="exact"/>
                          <w:ind w:left="138"/>
                          <w:rPr>
                            <w:b/>
                            <w:i/>
                            <w:sz w:val="22"/>
                          </w:rPr>
                        </w:pPr>
                        <w:r>
                          <w:rPr>
                            <w:b/>
                            <w:i/>
                            <w:w w:val="95"/>
                            <w:sz w:val="22"/>
                          </w:rPr>
                          <w:t>术均不在保障范围内。</w:t>
                        </w:r>
                        <w:r>
                          <w:rPr>
                            <w:b/>
                            <w:i/>
                            <w:w w:val="94"/>
                            <w:sz w:val="22"/>
                          </w:rPr>
                          <w:t> </w:t>
                        </w:r>
                      </w:p>
                    </w:tc>
                  </w:tr>
                  <w:tr>
                    <w:trPr>
                      <w:trHeight w:val="311"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0" w:lineRule="exact"/>
                          <w:ind w:left="138"/>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64" w:type="dxa"/>
                      </w:tcPr>
                      <w:p>
                        <w:pPr>
                          <w:pStyle w:val="TableParagraph"/>
                          <w:spacing w:line="291" w:lineRule="exact"/>
                          <w:ind w:left="302"/>
                          <w:rPr>
                            <w:rFonts w:ascii="Microsoft JhengHei" w:eastAsia="Microsoft JhengHei" w:hint="eastAsia"/>
                            <w:b/>
                            <w:sz w:val="21"/>
                          </w:rPr>
                        </w:pPr>
                        <w:r>
                          <w:rPr>
                            <w:rFonts w:ascii="Microsoft JhengHei" w:eastAsia="Microsoft JhengHei" w:hint="eastAsia"/>
                            <w:b/>
                            <w:sz w:val="21"/>
                          </w:rPr>
                          <w:t>14. 早期运动神</w:t>
                        </w:r>
                      </w:p>
                    </w:tc>
                    <w:tc>
                      <w:tcPr>
                        <w:tcW w:w="7538" w:type="dxa"/>
                      </w:tcPr>
                      <w:p>
                        <w:pPr>
                          <w:pStyle w:val="TableParagraph"/>
                          <w:spacing w:line="261" w:lineRule="exact"/>
                          <w:ind w:left="138"/>
                          <w:rPr>
                            <w:sz w:val="21"/>
                          </w:rPr>
                        </w:pPr>
                        <w:r>
                          <w:rPr>
                            <w:sz w:val="21"/>
                          </w:rPr>
                          <w:t>是一组中枢神经系统运动神经元的进行性变性疾病，进行性脊肌萎缩症、进行</w:t>
                        </w:r>
                      </w:p>
                    </w:tc>
                  </w:tr>
                  <w:tr>
                    <w:trPr>
                      <w:trHeight w:val="335" w:hRule="atLeast"/>
                    </w:trPr>
                    <w:tc>
                      <w:tcPr>
                        <w:tcW w:w="457" w:type="dxa"/>
                      </w:tcPr>
                      <w:p>
                        <w:pPr>
                          <w:pStyle w:val="TableParagraph"/>
                          <w:rPr>
                            <w:rFonts w:ascii="Times New Roman"/>
                            <w:sz w:val="20"/>
                          </w:rPr>
                        </w:pPr>
                      </w:p>
                    </w:tc>
                    <w:tc>
                      <w:tcPr>
                        <w:tcW w:w="1864" w:type="dxa"/>
                      </w:tcPr>
                      <w:p>
                        <w:pPr>
                          <w:pStyle w:val="TableParagraph"/>
                          <w:spacing w:line="315" w:lineRule="exact"/>
                          <w:ind w:left="302"/>
                          <w:rPr>
                            <w:b/>
                            <w:sz w:val="21"/>
                          </w:rPr>
                        </w:pPr>
                        <w:r>
                          <w:rPr>
                            <w:rFonts w:ascii="Microsoft JhengHei" w:eastAsia="Microsoft JhengHei" w:hint="eastAsia"/>
                            <w:b/>
                            <w:sz w:val="21"/>
                          </w:rPr>
                          <w:t>经性疾病</w:t>
                        </w:r>
                        <w:r>
                          <w:rPr>
                            <w:b/>
                            <w:w w:val="99"/>
                            <w:sz w:val="21"/>
                          </w:rPr>
                          <w:t> </w:t>
                        </w:r>
                      </w:p>
                    </w:tc>
                    <w:tc>
                      <w:tcPr>
                        <w:tcW w:w="7538" w:type="dxa"/>
                      </w:tcPr>
                      <w:p>
                        <w:pPr>
                          <w:pStyle w:val="TableParagraph"/>
                          <w:spacing w:line="248" w:lineRule="exact"/>
                          <w:ind w:left="138"/>
                          <w:rPr>
                            <w:sz w:val="21"/>
                          </w:rPr>
                        </w:pPr>
                        <w:r>
                          <w:rPr>
                            <w:sz w:val="21"/>
                          </w:rPr>
                          <w:t>性延髓麻痹症、原发性侧索硬化症、肌萎缩性侧索硬化症。须满足自主生活能</w:t>
                        </w:r>
                      </w:p>
                    </w:tc>
                  </w:tr>
                  <w:tr>
                    <w:trPr>
                      <w:trHeight w:val="275"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25" w:lineRule="exact"/>
                          <w:ind w:left="138"/>
                          <w:rPr>
                            <w:sz w:val="21"/>
                          </w:rPr>
                        </w:pPr>
                        <w:r>
                          <w:rPr>
                            <w:sz w:val="21"/>
                          </w:rPr>
                          <w:t>力完全丧失，无法独立完成六项基本日常生活活动中的两项。 </w:t>
                        </w:r>
                      </w:p>
                    </w:tc>
                  </w:tr>
                  <w:tr>
                    <w:trPr>
                      <w:trHeight w:val="325" w:hRule="atLeast"/>
                    </w:trPr>
                    <w:tc>
                      <w:tcPr>
                        <w:tcW w:w="457" w:type="dxa"/>
                      </w:tcPr>
                      <w:p>
                        <w:pPr>
                          <w:pStyle w:val="TableParagraph"/>
                          <w:spacing w:before="10"/>
                          <w:ind w:left="50"/>
                          <w:rPr>
                            <w:b/>
                            <w:sz w:val="21"/>
                          </w:rPr>
                        </w:pPr>
                        <w:r>
                          <w:rPr>
                            <w:b/>
                            <w:w w:val="99"/>
                            <w:sz w:val="21"/>
                          </w:rPr>
                          <w:t> </w:t>
                        </w:r>
                      </w:p>
                    </w:tc>
                    <w:tc>
                      <w:tcPr>
                        <w:tcW w:w="1864" w:type="dxa"/>
                      </w:tcPr>
                      <w:p>
                        <w:pPr>
                          <w:pStyle w:val="TableParagraph"/>
                          <w:spacing w:line="291" w:lineRule="exact"/>
                          <w:ind w:left="302"/>
                          <w:rPr>
                            <w:rFonts w:ascii="Microsoft JhengHei" w:eastAsia="Microsoft JhengHei" w:hint="eastAsia"/>
                            <w:b/>
                            <w:sz w:val="21"/>
                          </w:rPr>
                        </w:pPr>
                        <w:r>
                          <w:rPr>
                            <w:rFonts w:ascii="Microsoft JhengHei" w:eastAsia="Microsoft JhengHei" w:hint="eastAsia"/>
                            <w:b/>
                            <w:sz w:val="21"/>
                          </w:rPr>
                          <w:t>15. 人工耳蜗植</w:t>
                        </w:r>
                      </w:p>
                    </w:tc>
                    <w:tc>
                      <w:tcPr>
                        <w:tcW w:w="7538" w:type="dxa"/>
                      </w:tcPr>
                      <w:p>
                        <w:pPr>
                          <w:pStyle w:val="TableParagraph"/>
                          <w:spacing w:line="261" w:lineRule="exact"/>
                          <w:ind w:left="138"/>
                          <w:rPr>
                            <w:sz w:val="21"/>
                          </w:rPr>
                        </w:pPr>
                        <w:r>
                          <w:rPr>
                            <w:sz w:val="21"/>
                          </w:rPr>
                          <w:t>指由于耳蜗的永久损害而实际实施了人工耳蜗植入手术。诊断须经专科医师确</w:t>
                        </w:r>
                      </w:p>
                    </w:tc>
                  </w:tr>
                  <w:tr>
                    <w:trPr>
                      <w:trHeight w:val="335" w:hRule="atLeast"/>
                    </w:trPr>
                    <w:tc>
                      <w:tcPr>
                        <w:tcW w:w="457" w:type="dxa"/>
                      </w:tcPr>
                      <w:p>
                        <w:pPr>
                          <w:pStyle w:val="TableParagraph"/>
                          <w:rPr>
                            <w:rFonts w:ascii="Times New Roman"/>
                            <w:sz w:val="20"/>
                          </w:rPr>
                        </w:pPr>
                      </w:p>
                    </w:tc>
                    <w:tc>
                      <w:tcPr>
                        <w:tcW w:w="1864" w:type="dxa"/>
                      </w:tcPr>
                      <w:p>
                        <w:pPr>
                          <w:pStyle w:val="TableParagraph"/>
                          <w:spacing w:line="315" w:lineRule="exact"/>
                          <w:ind w:left="302"/>
                          <w:rPr>
                            <w:b/>
                            <w:sz w:val="21"/>
                          </w:rPr>
                        </w:pPr>
                        <w:r>
                          <w:rPr>
                            <w:rFonts w:ascii="Microsoft JhengHei" w:eastAsia="Microsoft JhengHei" w:hint="eastAsia"/>
                            <w:b/>
                            <w:sz w:val="21"/>
                          </w:rPr>
                          <w:t>入术</w:t>
                        </w:r>
                        <w:r>
                          <w:rPr>
                            <w:b/>
                            <w:w w:val="99"/>
                            <w:sz w:val="21"/>
                          </w:rPr>
                          <w:t> </w:t>
                        </w:r>
                      </w:p>
                    </w:tc>
                    <w:tc>
                      <w:tcPr>
                        <w:tcW w:w="7538" w:type="dxa"/>
                      </w:tcPr>
                      <w:p>
                        <w:pPr>
                          <w:pStyle w:val="TableParagraph"/>
                          <w:spacing w:line="248" w:lineRule="exact"/>
                          <w:ind w:left="138"/>
                          <w:rPr>
                            <w:sz w:val="21"/>
                          </w:rPr>
                        </w:pPr>
                        <w:r>
                          <w:rPr>
                            <w:sz w:val="21"/>
                          </w:rPr>
                          <w:t>认在医学上是必要的，且在植入手术之前已经符合下列全部条件：            </w:t>
                        </w:r>
                      </w:p>
                    </w:tc>
                  </w:tr>
                  <w:tr>
                    <w:trPr>
                      <w:trHeight w:val="275"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25" w:lineRule="exact"/>
                          <w:ind w:left="138"/>
                          <w:rPr>
                            <w:sz w:val="21"/>
                          </w:rPr>
                        </w:pPr>
                        <w:r>
                          <w:rPr>
                            <w:sz w:val="21"/>
                          </w:rPr>
                          <w:t>（1）双耳持续12个月以上重度感音神经性耳聋；                           </w:t>
                        </w:r>
                      </w:p>
                    </w:tc>
                  </w:tr>
                  <w:tr>
                    <w:trPr>
                      <w:trHeight w:val="311"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1" w:lineRule="exact"/>
                          <w:ind w:left="138"/>
                          <w:rPr>
                            <w:sz w:val="21"/>
                          </w:rPr>
                        </w:pPr>
                        <w:r>
                          <w:rPr>
                            <w:sz w:val="21"/>
                          </w:rPr>
                          <w:t>（2）使用相应的听力辅助设备效果不佳。 </w:t>
                        </w:r>
                      </w:p>
                    </w:tc>
                  </w:tr>
                  <w:tr>
                    <w:trPr>
                      <w:trHeight w:val="306" w:hRule="atLeast"/>
                    </w:trPr>
                    <w:tc>
                      <w:tcPr>
                        <w:tcW w:w="457" w:type="dxa"/>
                      </w:tcPr>
                      <w:p>
                        <w:pPr>
                          <w:pStyle w:val="TableParagraph"/>
                          <w:rPr>
                            <w:rFonts w:ascii="Times New Roman"/>
                            <w:sz w:val="20"/>
                          </w:rPr>
                        </w:pPr>
                      </w:p>
                    </w:tc>
                    <w:tc>
                      <w:tcPr>
                        <w:tcW w:w="1864" w:type="dxa"/>
                      </w:tcPr>
                      <w:p>
                        <w:pPr>
                          <w:pStyle w:val="TableParagraph"/>
                          <w:rPr>
                            <w:rFonts w:ascii="Times New Roman"/>
                            <w:sz w:val="20"/>
                          </w:rPr>
                        </w:pPr>
                      </w:p>
                    </w:tc>
                    <w:tc>
                      <w:tcPr>
                        <w:tcW w:w="7538" w:type="dxa"/>
                      </w:tcPr>
                      <w:p>
                        <w:pPr>
                          <w:pStyle w:val="TableParagraph"/>
                          <w:spacing w:line="261" w:lineRule="exact"/>
                          <w:ind w:left="138"/>
                          <w:rPr>
                            <w:sz w:val="21"/>
                          </w:rPr>
                        </w:pPr>
                        <w:r>
                          <w:rPr>
                            <w:sz w:val="21"/>
                          </w:rPr>
                          <w:t> </w:t>
                        </w:r>
                      </w:p>
                    </w:tc>
                  </w:tr>
                  <w:tr>
                    <w:trPr>
                      <w:trHeight w:val="324" w:hRule="atLeast"/>
                    </w:trPr>
                    <w:tc>
                      <w:tcPr>
                        <w:tcW w:w="457" w:type="dxa"/>
                      </w:tcPr>
                      <w:p>
                        <w:pPr>
                          <w:pStyle w:val="TableParagraph"/>
                          <w:spacing w:before="15"/>
                          <w:ind w:left="50"/>
                          <w:rPr>
                            <w:b/>
                            <w:sz w:val="21"/>
                          </w:rPr>
                        </w:pPr>
                        <w:r>
                          <w:rPr>
                            <w:b/>
                            <w:w w:val="99"/>
                            <w:sz w:val="21"/>
                          </w:rPr>
                          <w:t> </w:t>
                        </w:r>
                      </w:p>
                    </w:tc>
                    <w:tc>
                      <w:tcPr>
                        <w:tcW w:w="1864" w:type="dxa"/>
                      </w:tcPr>
                      <w:p>
                        <w:pPr>
                          <w:pStyle w:val="TableParagraph"/>
                          <w:spacing w:line="296" w:lineRule="exact"/>
                          <w:ind w:left="302"/>
                          <w:rPr>
                            <w:rFonts w:ascii="Microsoft JhengHei" w:eastAsia="Microsoft JhengHei" w:hint="eastAsia"/>
                            <w:b/>
                            <w:sz w:val="21"/>
                          </w:rPr>
                        </w:pPr>
                        <w:r>
                          <w:rPr>
                            <w:rFonts w:ascii="Microsoft JhengHei" w:eastAsia="Microsoft JhengHei" w:hint="eastAsia"/>
                            <w:b/>
                            <w:sz w:val="21"/>
                          </w:rPr>
                          <w:t>16. 胆道重建手</w:t>
                        </w:r>
                      </w:p>
                    </w:tc>
                    <w:tc>
                      <w:tcPr>
                        <w:tcW w:w="7538" w:type="dxa"/>
                      </w:tcPr>
                      <w:p>
                        <w:pPr>
                          <w:pStyle w:val="TableParagraph"/>
                          <w:spacing w:line="268" w:lineRule="exact"/>
                          <w:ind w:left="138"/>
                          <w:rPr>
                            <w:b/>
                            <w:i/>
                            <w:sz w:val="22"/>
                          </w:rPr>
                        </w:pPr>
                        <w:r>
                          <w:rPr>
                            <w:w w:val="95"/>
                            <w:sz w:val="21"/>
                          </w:rPr>
                          <w:t>指因疾病或胆道创伤导致接受涉及胆总管小肠吻合术的胆道重建手术。</w:t>
                        </w:r>
                        <w:r>
                          <w:rPr>
                            <w:b/>
                            <w:i/>
                            <w:w w:val="95"/>
                            <w:sz w:val="22"/>
                          </w:rPr>
                          <w:t>手术必</w:t>
                        </w:r>
                      </w:p>
                    </w:tc>
                  </w:tr>
                  <w:tr>
                    <w:trPr>
                      <w:trHeight w:val="387" w:hRule="atLeast"/>
                    </w:trPr>
                    <w:tc>
                      <w:tcPr>
                        <w:tcW w:w="457" w:type="dxa"/>
                      </w:tcPr>
                      <w:p>
                        <w:pPr>
                          <w:pStyle w:val="TableParagraph"/>
                          <w:rPr>
                            <w:rFonts w:ascii="Times New Roman"/>
                            <w:sz w:val="20"/>
                          </w:rPr>
                        </w:pPr>
                      </w:p>
                    </w:tc>
                    <w:tc>
                      <w:tcPr>
                        <w:tcW w:w="1864" w:type="dxa"/>
                      </w:tcPr>
                      <w:p>
                        <w:pPr>
                          <w:pStyle w:val="TableParagraph"/>
                          <w:spacing w:line="330" w:lineRule="exact"/>
                          <w:ind w:left="302"/>
                          <w:rPr>
                            <w:b/>
                            <w:sz w:val="21"/>
                          </w:rPr>
                        </w:pPr>
                        <w:r>
                          <w:rPr>
                            <w:rFonts w:ascii="Microsoft JhengHei" w:eastAsia="Microsoft JhengHei" w:hint="eastAsia"/>
                            <w:b/>
                            <w:sz w:val="21"/>
                          </w:rPr>
                          <w:t>术</w:t>
                        </w:r>
                        <w:r>
                          <w:rPr>
                            <w:b/>
                            <w:w w:val="99"/>
                            <w:sz w:val="21"/>
                          </w:rPr>
                          <w:t> </w:t>
                        </w:r>
                      </w:p>
                    </w:tc>
                    <w:tc>
                      <w:tcPr>
                        <w:tcW w:w="7538" w:type="dxa"/>
                      </w:tcPr>
                      <w:p>
                        <w:pPr>
                          <w:pStyle w:val="TableParagraph"/>
                          <w:spacing w:line="257" w:lineRule="exact"/>
                          <w:ind w:left="138"/>
                          <w:rPr>
                            <w:sz w:val="21"/>
                          </w:rPr>
                        </w:pPr>
                        <w:r>
                          <w:rPr>
                            <w:b/>
                            <w:i/>
                            <w:w w:val="95"/>
                            <w:sz w:val="22"/>
                          </w:rPr>
                          <w:t>须在专科医生认为是医疗所需的情况下进行。胆道闭锁并</w:t>
                        </w:r>
                        <w:r>
                          <w:rPr>
                            <w:rFonts w:ascii="Microsoft JhengHei UI" w:eastAsia="Microsoft JhengHei UI" w:hint="eastAsia"/>
                            <w:b/>
                            <w:i/>
                            <w:w w:val="95"/>
                            <w:position w:val="1"/>
                            <w:sz w:val="17"/>
                          </w:rPr>
                          <w:t>不</w:t>
                        </w:r>
                        <w:r>
                          <w:rPr>
                            <w:b/>
                            <w:i/>
                            <w:w w:val="95"/>
                            <w:sz w:val="22"/>
                          </w:rPr>
                          <w:t>在保障范围内。</w:t>
                        </w:r>
                        <w:r>
                          <w:rPr>
                            <w:sz w:val="21"/>
                          </w:rPr>
                          <w:t> </w:t>
                        </w:r>
                      </w:p>
                    </w:tc>
                  </w:tr>
                  <w:tr>
                    <w:trPr>
                      <w:trHeight w:val="357" w:hRule="atLeast"/>
                    </w:trPr>
                    <w:tc>
                      <w:tcPr>
                        <w:tcW w:w="457" w:type="dxa"/>
                      </w:tcPr>
                      <w:p>
                        <w:pPr>
                          <w:pStyle w:val="TableParagraph"/>
                          <w:spacing w:before="20"/>
                          <w:ind w:left="50"/>
                          <w:rPr>
                            <w:b/>
                            <w:sz w:val="21"/>
                          </w:rPr>
                        </w:pPr>
                        <w:r>
                          <w:rPr>
                            <w:b/>
                            <w:w w:val="99"/>
                            <w:sz w:val="21"/>
                          </w:rPr>
                          <w:t> </w:t>
                        </w:r>
                      </w:p>
                    </w:tc>
                    <w:tc>
                      <w:tcPr>
                        <w:tcW w:w="1864" w:type="dxa"/>
                      </w:tcPr>
                      <w:p>
                        <w:pPr>
                          <w:pStyle w:val="TableParagraph"/>
                          <w:rPr>
                            <w:rFonts w:ascii="Times New Roman"/>
                            <w:sz w:val="20"/>
                          </w:rPr>
                        </w:pPr>
                      </w:p>
                    </w:tc>
                    <w:tc>
                      <w:tcPr>
                        <w:tcW w:w="7538" w:type="dxa"/>
                      </w:tcPr>
                      <w:p>
                        <w:pPr>
                          <w:pStyle w:val="TableParagraph"/>
                          <w:spacing w:line="271" w:lineRule="exact"/>
                          <w:ind w:left="138"/>
                          <w:rPr>
                            <w:sz w:val="21"/>
                          </w:rPr>
                        </w:pPr>
                        <w:r>
                          <w:rPr>
                            <w:sz w:val="21"/>
                          </w:rPr>
                          <w:t> </w:t>
                        </w:r>
                      </w:p>
                    </w:tc>
                  </w:tr>
                  <w:tr>
                    <w:trPr>
                      <w:trHeight w:val="298" w:hRule="atLeast"/>
                    </w:trPr>
                    <w:tc>
                      <w:tcPr>
                        <w:tcW w:w="457" w:type="dxa"/>
                      </w:tcPr>
                      <w:p>
                        <w:pPr>
                          <w:pStyle w:val="TableParagraph"/>
                          <w:spacing w:line="257" w:lineRule="exact" w:before="21"/>
                          <w:ind w:left="50"/>
                          <w:rPr>
                            <w:b/>
                            <w:sz w:val="21"/>
                          </w:rPr>
                        </w:pPr>
                        <w:r>
                          <w:rPr>
                            <w:b/>
                            <w:w w:val="99"/>
                            <w:sz w:val="21"/>
                          </w:rPr>
                          <w:t> </w:t>
                        </w:r>
                      </w:p>
                    </w:tc>
                    <w:tc>
                      <w:tcPr>
                        <w:tcW w:w="1864" w:type="dxa"/>
                      </w:tcPr>
                      <w:p>
                        <w:pPr>
                          <w:pStyle w:val="TableParagraph"/>
                          <w:spacing w:line="278" w:lineRule="exact"/>
                          <w:ind w:left="302"/>
                          <w:rPr>
                            <w:rFonts w:ascii="Microsoft JhengHei" w:eastAsia="Microsoft JhengHei" w:hint="eastAsia"/>
                            <w:b/>
                            <w:sz w:val="21"/>
                          </w:rPr>
                        </w:pPr>
                        <w:r>
                          <w:rPr>
                            <w:rFonts w:ascii="Microsoft JhengHei" w:eastAsia="Microsoft JhengHei" w:hint="eastAsia"/>
                            <w:b/>
                            <w:sz w:val="21"/>
                          </w:rPr>
                          <w:t>17. 双侧卵巢切</w:t>
                        </w:r>
                      </w:p>
                    </w:tc>
                    <w:tc>
                      <w:tcPr>
                        <w:tcW w:w="7538" w:type="dxa"/>
                      </w:tcPr>
                      <w:p>
                        <w:pPr>
                          <w:pStyle w:val="TableParagraph"/>
                          <w:spacing w:line="272" w:lineRule="exact"/>
                          <w:ind w:left="138"/>
                          <w:rPr>
                            <w:sz w:val="21"/>
                          </w:rPr>
                        </w:pPr>
                        <w:r>
                          <w:rPr>
                            <w:sz w:val="21"/>
                          </w:rPr>
                          <w:t>指为治疗疾病实际接受了经腹部切开或腹腔镜进行的双侧卵巢完全切除手术。</w:t>
                        </w:r>
                      </w:p>
                    </w:tc>
                  </w:tr>
                </w:tbl>
                <w:p>
                  <w:pPr>
                    <w:pStyle w:val="BodyText"/>
                  </w:pPr>
                </w:p>
              </w:txbxContent>
            </v:textbox>
            <w10:wrap type="none"/>
          </v:shape>
        </w:pict>
      </w:r>
      <w:r>
        <w:rPr>
          <w:b/>
          <w:w w:val="99"/>
          <w:sz w:val="21"/>
        </w:rPr>
        <w:t> </w:t>
      </w:r>
      <w:r>
        <w:rPr>
          <w:b/>
          <w:sz w:val="21"/>
        </w:rPr>
        <w:t>      </w:t>
      </w:r>
      <w:r>
        <w:rPr>
          <w:rFonts w:ascii="Microsoft JhengHei" w:hAnsi="Microsoft JhengHei" w:eastAsia="Microsoft JhengHei" w:hint="eastAsia"/>
          <w:b/>
          <w:position w:val="2"/>
          <w:sz w:val="21"/>
        </w:rPr>
        <w:t>9. 慢性肾功能</w:t>
      </w:r>
      <w:r>
        <w:rPr>
          <w:rFonts w:ascii="Microsoft JhengHei" w:hAnsi="Microsoft JhengHei" w:eastAsia="Microsoft JhengHei" w:hint="eastAsia"/>
          <w:b/>
          <w:sz w:val="21"/>
        </w:rPr>
        <w:t>损害 —肾功能衰竭期</w:t>
      </w:r>
      <w:r>
        <w:rPr>
          <w:b/>
          <w:w w:val="99"/>
          <w:sz w:val="21"/>
        </w:rPr>
        <w:t> </w:t>
      </w:r>
    </w:p>
    <w:p>
      <w:pPr>
        <w:pStyle w:val="BodyText"/>
        <w:spacing w:line="273" w:lineRule="auto" w:before="36"/>
        <w:ind w:left="87" w:right="356"/>
      </w:pPr>
      <w:r>
        <w:rPr/>
        <w:br w:type="column"/>
      </w:r>
      <w:r>
        <w:rPr/>
        <w:t>指被保险人为了治疗主动脉疾病实际实施了经皮经导管进行的动脉内手术。主动脉指胸主动脉和腹主动脉，不包括胸主动脉和腹主动脉的分支血管。 </w:t>
      </w:r>
    </w:p>
    <w:p>
      <w:pPr>
        <w:pStyle w:val="Heading2"/>
        <w:spacing w:line="298" w:lineRule="exact" w:before="0"/>
        <w:ind w:left="87"/>
      </w:pPr>
      <w:r>
        <w:rPr/>
        <w:t> </w:t>
      </w:r>
    </w:p>
    <w:p>
      <w:pPr>
        <w:pStyle w:val="BodyText"/>
        <w:spacing w:line="273" w:lineRule="auto" w:before="22"/>
        <w:ind w:left="87" w:right="355"/>
      </w:pPr>
      <w:r>
        <w:rPr>
          <w:spacing w:val="-7"/>
        </w:rPr>
        <w:t>指被保险人的烧伤程度为Ⅲ度，且Ⅲ度烧伤的面积大于全身体表面积的</w:t>
      </w:r>
      <w:r>
        <w:rPr/>
        <w:t>10%但小</w:t>
      </w:r>
      <w:r>
        <w:rPr>
          <w:spacing w:val="-1"/>
        </w:rPr>
        <w:t>于20%</w:t>
      </w:r>
      <w:r>
        <w:rPr/>
        <w:t>。体表面积根据《中国新九分法》计算。 </w:t>
      </w:r>
    </w:p>
    <w:p>
      <w:pPr>
        <w:pStyle w:val="BodyText"/>
        <w:spacing w:before="7"/>
        <w:ind w:left="87"/>
      </w:pPr>
      <w:r>
        <w:rPr/>
        <w:t> </w:t>
      </w:r>
    </w:p>
    <w:p>
      <w:pPr>
        <w:pStyle w:val="BodyText"/>
        <w:spacing w:line="273" w:lineRule="auto" w:before="36"/>
        <w:ind w:left="87" w:right="356"/>
      </w:pPr>
      <w:r>
        <w:rPr/>
        <w:t>指被保险人因双肾功能慢性不可逆性损害达到肾功能衰竭期，诊断必须满足所有以下标准。 </w:t>
      </w:r>
    </w:p>
    <w:p>
      <w:pPr>
        <w:pStyle w:val="BodyText"/>
        <w:spacing w:before="7"/>
        <w:ind w:left="87"/>
      </w:pPr>
      <w:r>
        <w:rPr/>
        <w:t>（1）GFR&lt;25% </w:t>
      </w:r>
    </w:p>
    <w:p>
      <w:pPr>
        <w:spacing w:after="0"/>
        <w:sectPr>
          <w:type w:val="continuous"/>
          <w:pgSz w:w="11910" w:h="16840"/>
          <w:pgMar w:top="700" w:bottom="280" w:left="1020" w:right="740"/>
          <w:cols w:num="2" w:equalWidth="0">
            <w:col w:w="2504" w:space="40"/>
            <w:col w:w="7606"/>
          </w:cols>
        </w:sectPr>
      </w:pPr>
    </w:p>
    <w:p>
      <w:pPr>
        <w:pStyle w:val="BodyText"/>
        <w:rPr>
          <w:sz w:val="20"/>
        </w:rPr>
      </w:pPr>
    </w:p>
    <w:p>
      <w:pPr>
        <w:pStyle w:val="BodyText"/>
        <w:rPr>
          <w:sz w:val="20"/>
        </w:rPr>
      </w:pPr>
    </w:p>
    <w:p>
      <w:pPr>
        <w:pStyle w:val="BodyText"/>
        <w:spacing w:before="10"/>
        <w:rPr>
          <w:sz w:val="17"/>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62"/>
        <w:gridCol w:w="7352"/>
      </w:tblGrid>
      <w:tr>
        <w:trPr>
          <w:trHeight w:val="279" w:hRule="atLeast"/>
        </w:trPr>
        <w:tc>
          <w:tcPr>
            <w:tcW w:w="457" w:type="dxa"/>
          </w:tcPr>
          <w:p>
            <w:pPr>
              <w:pStyle w:val="TableParagraph"/>
              <w:rPr>
                <w:rFonts w:ascii="Times New Roman"/>
                <w:sz w:val="20"/>
              </w:rPr>
            </w:pPr>
          </w:p>
        </w:tc>
        <w:tc>
          <w:tcPr>
            <w:tcW w:w="1862" w:type="dxa"/>
          </w:tcPr>
          <w:p>
            <w:pPr>
              <w:pStyle w:val="TableParagraph"/>
              <w:spacing w:line="250" w:lineRule="exact"/>
              <w:ind w:left="302"/>
              <w:rPr>
                <w:b/>
                <w:sz w:val="21"/>
              </w:rPr>
            </w:pPr>
            <w:r>
              <w:rPr>
                <w:rFonts w:ascii="Microsoft JhengHei" w:eastAsia="Microsoft JhengHei" w:hint="eastAsia"/>
                <w:b/>
                <w:sz w:val="21"/>
              </w:rPr>
              <w:t>除术</w:t>
            </w:r>
            <w:r>
              <w:rPr>
                <w:b/>
                <w:w w:val="99"/>
                <w:sz w:val="21"/>
              </w:rPr>
              <w:t> </w:t>
            </w:r>
          </w:p>
        </w:tc>
        <w:tc>
          <w:tcPr>
            <w:tcW w:w="7352" w:type="dxa"/>
          </w:tcPr>
          <w:p>
            <w:pPr>
              <w:pStyle w:val="TableParagraph"/>
              <w:spacing w:line="222" w:lineRule="exact"/>
              <w:ind w:left="140"/>
              <w:rPr>
                <w:b/>
                <w:i/>
                <w:sz w:val="22"/>
              </w:rPr>
            </w:pPr>
            <w:r>
              <w:rPr>
                <w:b/>
                <w:i/>
                <w:w w:val="95"/>
                <w:sz w:val="22"/>
              </w:rPr>
              <w:t>部分卵巢切除不在保障范围内。</w:t>
            </w:r>
            <w:r>
              <w:rPr>
                <w:b/>
                <w:i/>
                <w:w w:val="94"/>
                <w:sz w:val="22"/>
              </w:rPr>
              <w:t> </w:t>
            </w:r>
          </w:p>
        </w:tc>
      </w:tr>
      <w:tr>
        <w:trPr>
          <w:trHeight w:val="304"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55" w:lineRule="exact"/>
              <w:ind w:left="140"/>
              <w:rPr>
                <w:b/>
                <w:i/>
                <w:sz w:val="22"/>
              </w:rPr>
            </w:pPr>
            <w:r>
              <w:rPr>
                <w:b/>
                <w:i/>
                <w:w w:val="94"/>
                <w:sz w:val="22"/>
              </w:rPr>
              <w:t> </w:t>
            </w:r>
          </w:p>
        </w:tc>
      </w:tr>
      <w:tr>
        <w:trPr>
          <w:trHeight w:val="319" w:hRule="atLeast"/>
        </w:trPr>
        <w:tc>
          <w:tcPr>
            <w:tcW w:w="457" w:type="dxa"/>
          </w:tcPr>
          <w:p>
            <w:pPr>
              <w:pStyle w:val="TableParagraph"/>
              <w:spacing w:before="9"/>
              <w:ind w:left="50"/>
              <w:rPr>
                <w:b/>
                <w:sz w:val="21"/>
              </w:rPr>
            </w:pPr>
            <w:r>
              <w:rPr>
                <w:b/>
                <w:w w:val="99"/>
                <w:sz w:val="21"/>
              </w:rPr>
              <w:t> </w:t>
            </w:r>
          </w:p>
        </w:tc>
        <w:tc>
          <w:tcPr>
            <w:tcW w:w="1862" w:type="dxa"/>
          </w:tcPr>
          <w:p>
            <w:pPr>
              <w:pStyle w:val="TableParagraph"/>
              <w:spacing w:line="290" w:lineRule="exact"/>
              <w:ind w:left="302"/>
              <w:rPr>
                <w:rFonts w:ascii="Microsoft JhengHei" w:eastAsia="Microsoft JhengHei" w:hint="eastAsia"/>
                <w:b/>
                <w:sz w:val="21"/>
              </w:rPr>
            </w:pPr>
            <w:r>
              <w:rPr>
                <w:rFonts w:ascii="Microsoft JhengHei" w:eastAsia="Microsoft JhengHei" w:hint="eastAsia"/>
                <w:b/>
                <w:sz w:val="21"/>
              </w:rPr>
              <w:t>18. 单侧肾脏切</w:t>
            </w:r>
          </w:p>
        </w:tc>
        <w:tc>
          <w:tcPr>
            <w:tcW w:w="7352" w:type="dxa"/>
          </w:tcPr>
          <w:p>
            <w:pPr>
              <w:pStyle w:val="TableParagraph"/>
              <w:spacing w:line="260" w:lineRule="exact"/>
              <w:ind w:left="140"/>
              <w:rPr>
                <w:sz w:val="21"/>
              </w:rPr>
            </w:pPr>
            <w:r>
              <w:rPr>
                <w:sz w:val="21"/>
              </w:rPr>
              <w:t>指因疾病或意外事故实际实施的一侧肾脏切除术。 </w:t>
            </w:r>
          </w:p>
        </w:tc>
      </w:tr>
      <w:tr>
        <w:trPr>
          <w:trHeight w:val="616" w:hRule="atLeast"/>
        </w:trPr>
        <w:tc>
          <w:tcPr>
            <w:tcW w:w="457" w:type="dxa"/>
          </w:tcPr>
          <w:p>
            <w:pPr>
              <w:pStyle w:val="TableParagraph"/>
              <w:rPr>
                <w:rFonts w:ascii="Times New Roman"/>
                <w:sz w:val="20"/>
              </w:rPr>
            </w:pPr>
          </w:p>
        </w:tc>
        <w:tc>
          <w:tcPr>
            <w:tcW w:w="1862" w:type="dxa"/>
          </w:tcPr>
          <w:p>
            <w:pPr>
              <w:pStyle w:val="TableParagraph"/>
              <w:spacing w:line="330" w:lineRule="exact"/>
              <w:ind w:left="302"/>
              <w:rPr>
                <w:b/>
                <w:sz w:val="21"/>
              </w:rPr>
            </w:pPr>
            <w:r>
              <w:rPr>
                <w:rFonts w:ascii="Microsoft JhengHei" w:eastAsia="Microsoft JhengHei" w:hint="eastAsia"/>
                <w:b/>
                <w:sz w:val="21"/>
              </w:rPr>
              <w:t>除</w:t>
            </w:r>
            <w:r>
              <w:rPr>
                <w:b/>
                <w:w w:val="99"/>
                <w:sz w:val="21"/>
              </w:rPr>
              <w:t> </w:t>
            </w:r>
          </w:p>
        </w:tc>
        <w:tc>
          <w:tcPr>
            <w:tcW w:w="7352" w:type="dxa"/>
          </w:tcPr>
          <w:p>
            <w:pPr>
              <w:pStyle w:val="TableParagraph"/>
              <w:spacing w:line="255" w:lineRule="exact"/>
              <w:ind w:left="140"/>
              <w:rPr>
                <w:b/>
                <w:i/>
                <w:sz w:val="22"/>
              </w:rPr>
            </w:pPr>
            <w:r>
              <w:rPr>
                <w:b/>
                <w:i/>
                <w:w w:val="95"/>
                <w:sz w:val="22"/>
              </w:rPr>
              <w:t>肾脏部分切除手术和肾脏捐献引起的手术不在保障范围内。</w:t>
            </w:r>
            <w:r>
              <w:rPr>
                <w:b/>
                <w:i/>
                <w:w w:val="94"/>
                <w:sz w:val="22"/>
              </w:rPr>
              <w:t> </w:t>
            </w:r>
          </w:p>
          <w:p>
            <w:pPr>
              <w:pStyle w:val="TableParagraph"/>
              <w:spacing w:before="24"/>
              <w:ind w:left="140"/>
              <w:rPr>
                <w:b/>
                <w:i/>
                <w:sz w:val="22"/>
              </w:rPr>
            </w:pPr>
            <w:r>
              <w:rPr>
                <w:b/>
                <w:i/>
                <w:w w:val="94"/>
                <w:sz w:val="22"/>
              </w:rPr>
              <w:t> </w:t>
            </w:r>
          </w:p>
        </w:tc>
      </w:tr>
      <w:tr>
        <w:trPr>
          <w:trHeight w:val="324" w:hRule="atLeast"/>
        </w:trPr>
        <w:tc>
          <w:tcPr>
            <w:tcW w:w="457" w:type="dxa"/>
          </w:tcPr>
          <w:p>
            <w:pPr>
              <w:pStyle w:val="TableParagraph"/>
              <w:spacing w:before="9"/>
              <w:ind w:left="50"/>
              <w:rPr>
                <w:b/>
                <w:sz w:val="21"/>
              </w:rPr>
            </w:pPr>
            <w:r>
              <w:rPr>
                <w:b/>
                <w:w w:val="99"/>
                <w:sz w:val="21"/>
              </w:rPr>
              <w:t> </w:t>
            </w:r>
          </w:p>
        </w:tc>
        <w:tc>
          <w:tcPr>
            <w:tcW w:w="1862" w:type="dxa"/>
          </w:tcPr>
          <w:p>
            <w:pPr>
              <w:pStyle w:val="TableParagraph"/>
              <w:spacing w:line="290" w:lineRule="exact"/>
              <w:ind w:left="302"/>
              <w:rPr>
                <w:b/>
                <w:sz w:val="21"/>
              </w:rPr>
            </w:pPr>
            <w:r>
              <w:rPr>
                <w:rFonts w:ascii="Microsoft JhengHei" w:eastAsia="Microsoft JhengHei" w:hint="eastAsia"/>
                <w:b/>
                <w:sz w:val="21"/>
              </w:rPr>
              <w:t>19. 肝叶切除</w:t>
            </w:r>
            <w:r>
              <w:rPr>
                <w:b/>
                <w:w w:val="99"/>
                <w:sz w:val="21"/>
              </w:rPr>
              <w:t> </w:t>
            </w:r>
          </w:p>
        </w:tc>
        <w:tc>
          <w:tcPr>
            <w:tcW w:w="7352" w:type="dxa"/>
          </w:tcPr>
          <w:p>
            <w:pPr>
              <w:pStyle w:val="TableParagraph"/>
              <w:spacing w:line="260" w:lineRule="exact"/>
              <w:ind w:left="140"/>
              <w:rPr>
                <w:sz w:val="21"/>
              </w:rPr>
            </w:pPr>
            <w:r>
              <w:rPr>
                <w:sz w:val="21"/>
              </w:rPr>
              <w:t>因意外伤害导致的大块肝组织离断、破碎或大胆管破裂无法修补而实际实施的</w:t>
            </w:r>
          </w:p>
        </w:tc>
      </w:tr>
      <w:tr>
        <w:trPr>
          <w:trHeight w:val="298"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48" w:lineRule="exact"/>
              <w:ind w:left="140"/>
              <w:rPr>
                <w:sz w:val="21"/>
              </w:rPr>
            </w:pPr>
            <w:r>
              <w:rPr>
                <w:sz w:val="21"/>
              </w:rPr>
              <w:t>至少一整叶肝脏的切除手术。 </w:t>
            </w:r>
          </w:p>
        </w:tc>
      </w:tr>
      <w:tr>
        <w:trPr>
          <w:trHeight w:val="311"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61" w:lineRule="exact"/>
              <w:ind w:left="140"/>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62" w:type="dxa"/>
          </w:tcPr>
          <w:p>
            <w:pPr>
              <w:pStyle w:val="TableParagraph"/>
              <w:spacing w:line="291" w:lineRule="exact"/>
              <w:ind w:left="302"/>
              <w:rPr>
                <w:b/>
                <w:sz w:val="21"/>
              </w:rPr>
            </w:pPr>
            <w:r>
              <w:rPr>
                <w:rFonts w:ascii="Microsoft JhengHei" w:eastAsia="Microsoft JhengHei" w:hint="eastAsia"/>
                <w:b/>
                <w:sz w:val="21"/>
              </w:rPr>
              <w:t>20. 单耳失聪</w:t>
            </w:r>
            <w:r>
              <w:rPr>
                <w:b/>
                <w:w w:val="99"/>
                <w:sz w:val="21"/>
              </w:rPr>
              <w:t> </w:t>
            </w:r>
          </w:p>
        </w:tc>
        <w:tc>
          <w:tcPr>
            <w:tcW w:w="7352" w:type="dxa"/>
          </w:tcPr>
          <w:p>
            <w:pPr>
              <w:pStyle w:val="TableParagraph"/>
              <w:spacing w:line="261" w:lineRule="exact"/>
              <w:ind w:left="140"/>
              <w:rPr>
                <w:sz w:val="21"/>
              </w:rPr>
            </w:pPr>
            <w:r>
              <w:rPr>
                <w:spacing w:val="-4"/>
                <w:sz w:val="21"/>
              </w:rPr>
              <w:t>指因疾病或者意外伤害导致单耳听力永久不可逆性丧失，在 </w:t>
            </w:r>
            <w:r>
              <w:rPr>
                <w:sz w:val="21"/>
              </w:rPr>
              <w:t>500</w:t>
            </w:r>
            <w:r>
              <w:rPr>
                <w:spacing w:val="-22"/>
                <w:sz w:val="21"/>
              </w:rPr>
              <w:t> 赫兹、</w:t>
            </w:r>
            <w:r>
              <w:rPr>
                <w:sz w:val="21"/>
              </w:rPr>
              <w:t>1000</w:t>
            </w:r>
            <w:r>
              <w:rPr>
                <w:spacing w:val="-32"/>
                <w:sz w:val="21"/>
              </w:rPr>
              <w:t> 赫</w:t>
            </w:r>
          </w:p>
        </w:tc>
      </w:tr>
      <w:tr>
        <w:trPr>
          <w:trHeight w:val="298"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48" w:lineRule="exact"/>
              <w:ind w:left="140"/>
              <w:rPr>
                <w:sz w:val="21"/>
              </w:rPr>
            </w:pPr>
            <w:r>
              <w:rPr>
                <w:spacing w:val="-17"/>
                <w:sz w:val="21"/>
              </w:rPr>
              <w:t>兹和 </w:t>
            </w:r>
            <w:r>
              <w:rPr>
                <w:sz w:val="21"/>
              </w:rPr>
              <w:t>2000</w:t>
            </w:r>
            <w:r>
              <w:rPr>
                <w:spacing w:val="-11"/>
                <w:sz w:val="21"/>
              </w:rPr>
              <w:t> 赫兹语音频率下，平均听阈大于 </w:t>
            </w:r>
            <w:r>
              <w:rPr>
                <w:sz w:val="21"/>
              </w:rPr>
              <w:t>90</w:t>
            </w:r>
            <w:r>
              <w:rPr>
                <w:spacing w:val="-8"/>
                <w:sz w:val="21"/>
              </w:rPr>
              <w:t> 分贝，且经纯音听力测试、声导</w:t>
            </w:r>
          </w:p>
        </w:tc>
      </w:tr>
      <w:tr>
        <w:trPr>
          <w:trHeight w:val="306"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61" w:lineRule="exact"/>
              <w:ind w:left="140"/>
              <w:rPr>
                <w:sz w:val="21"/>
              </w:rPr>
            </w:pPr>
            <w:r>
              <w:rPr>
                <w:sz w:val="21"/>
              </w:rPr>
              <w:t>抗检测或者听觉诱发电位检测等证实。 </w:t>
            </w:r>
          </w:p>
        </w:tc>
      </w:tr>
      <w:tr>
        <w:trPr>
          <w:trHeight w:val="312"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68" w:lineRule="exact"/>
              <w:ind w:left="140"/>
              <w:rPr>
                <w:b/>
                <w:i/>
                <w:sz w:val="22"/>
              </w:rPr>
            </w:pPr>
            <w:r>
              <w:rPr>
                <w:b/>
                <w:i/>
                <w:w w:val="95"/>
                <w:sz w:val="22"/>
              </w:rPr>
              <w:t>被保险人在 3 周岁之前因疾病导致的单耳失聪不在保障范围内。</w:t>
            </w:r>
            <w:r>
              <w:rPr>
                <w:b/>
                <w:i/>
                <w:w w:val="94"/>
                <w:sz w:val="22"/>
              </w:rPr>
              <w:t> </w:t>
            </w:r>
          </w:p>
        </w:tc>
      </w:tr>
      <w:tr>
        <w:trPr>
          <w:trHeight w:val="317"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67" w:lineRule="exact"/>
              <w:ind w:left="140"/>
              <w:rPr>
                <w:b/>
                <w:i/>
                <w:sz w:val="22"/>
              </w:rPr>
            </w:pPr>
            <w:r>
              <w:rPr>
                <w:b/>
                <w:i/>
                <w:w w:val="94"/>
                <w:sz w:val="22"/>
              </w:rPr>
              <w:t> </w:t>
            </w:r>
          </w:p>
        </w:tc>
      </w:tr>
      <w:tr>
        <w:trPr>
          <w:trHeight w:val="324" w:hRule="atLeast"/>
        </w:trPr>
        <w:tc>
          <w:tcPr>
            <w:tcW w:w="457" w:type="dxa"/>
          </w:tcPr>
          <w:p>
            <w:pPr>
              <w:pStyle w:val="TableParagraph"/>
              <w:spacing w:before="9"/>
              <w:ind w:left="50"/>
              <w:rPr>
                <w:b/>
                <w:sz w:val="21"/>
              </w:rPr>
            </w:pPr>
            <w:r>
              <w:rPr>
                <w:b/>
                <w:w w:val="99"/>
                <w:sz w:val="21"/>
              </w:rPr>
              <w:t> </w:t>
            </w:r>
          </w:p>
        </w:tc>
        <w:tc>
          <w:tcPr>
            <w:tcW w:w="1862" w:type="dxa"/>
          </w:tcPr>
          <w:p>
            <w:pPr>
              <w:pStyle w:val="TableParagraph"/>
              <w:spacing w:line="290" w:lineRule="exact"/>
              <w:ind w:left="302"/>
              <w:rPr>
                <w:rFonts w:ascii="Microsoft JhengHei" w:eastAsia="Microsoft JhengHei" w:hint="eastAsia"/>
                <w:b/>
                <w:sz w:val="21"/>
              </w:rPr>
            </w:pPr>
            <w:r>
              <w:rPr>
                <w:rFonts w:ascii="Microsoft JhengHei" w:eastAsia="Microsoft JhengHei" w:hint="eastAsia"/>
                <w:b/>
                <w:sz w:val="21"/>
              </w:rPr>
              <w:t>21. 微创冠状动</w:t>
            </w:r>
          </w:p>
        </w:tc>
        <w:tc>
          <w:tcPr>
            <w:tcW w:w="7352" w:type="dxa"/>
          </w:tcPr>
          <w:p>
            <w:pPr>
              <w:pStyle w:val="TableParagraph"/>
              <w:spacing w:line="260" w:lineRule="exact"/>
              <w:ind w:left="140"/>
              <w:rPr>
                <w:sz w:val="21"/>
              </w:rPr>
            </w:pPr>
            <w:r>
              <w:rPr>
                <w:sz w:val="21"/>
              </w:rPr>
              <w:t>指为纠正冠状动脉的狭窄或堵塞，而实际实施的微创冠状动脉旁路移植手术。</w:t>
            </w:r>
          </w:p>
        </w:tc>
      </w:tr>
      <w:tr>
        <w:trPr>
          <w:trHeight w:val="335" w:hRule="atLeast"/>
        </w:trPr>
        <w:tc>
          <w:tcPr>
            <w:tcW w:w="457" w:type="dxa"/>
          </w:tcPr>
          <w:p>
            <w:pPr>
              <w:pStyle w:val="TableParagraph"/>
              <w:rPr>
                <w:rFonts w:ascii="Times New Roman"/>
                <w:sz w:val="20"/>
              </w:rPr>
            </w:pPr>
          </w:p>
        </w:tc>
        <w:tc>
          <w:tcPr>
            <w:tcW w:w="1862" w:type="dxa"/>
          </w:tcPr>
          <w:p>
            <w:pPr>
              <w:pStyle w:val="TableParagraph"/>
              <w:spacing w:line="315" w:lineRule="exact"/>
              <w:ind w:left="302"/>
              <w:rPr>
                <w:b/>
                <w:sz w:val="21"/>
              </w:rPr>
            </w:pPr>
            <w:r>
              <w:rPr>
                <w:rFonts w:ascii="Microsoft JhengHei" w:eastAsia="Microsoft JhengHei" w:hint="eastAsia"/>
                <w:b/>
                <w:sz w:val="21"/>
              </w:rPr>
              <w:t>脉搭桥手术</w:t>
            </w:r>
            <w:r>
              <w:rPr>
                <w:b/>
                <w:w w:val="99"/>
                <w:sz w:val="21"/>
              </w:rPr>
              <w:t> </w:t>
            </w:r>
          </w:p>
        </w:tc>
        <w:tc>
          <w:tcPr>
            <w:tcW w:w="7352" w:type="dxa"/>
          </w:tcPr>
          <w:p>
            <w:pPr>
              <w:pStyle w:val="TableParagraph"/>
              <w:spacing w:line="248" w:lineRule="exact"/>
              <w:ind w:left="140"/>
              <w:rPr>
                <w:sz w:val="21"/>
              </w:rPr>
            </w:pPr>
            <w:r>
              <w:rPr>
                <w:sz w:val="21"/>
              </w:rPr>
              <w:t>手术通过微创开胸术（肋骨间小切口）进行，且诊断须由冠状动脉血管造影检</w:t>
            </w:r>
          </w:p>
        </w:tc>
      </w:tr>
      <w:tr>
        <w:trPr>
          <w:trHeight w:val="275"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25" w:lineRule="exact"/>
              <w:ind w:left="140"/>
              <w:rPr>
                <w:sz w:val="21"/>
              </w:rPr>
            </w:pPr>
            <w:r>
              <w:rPr>
                <w:sz w:val="21"/>
              </w:rPr>
              <w:t>查确诊狭窄或堵塞。微创冠状动脉绕道也包括“锁孔”冠脉搭桥手术。 </w:t>
            </w:r>
          </w:p>
        </w:tc>
      </w:tr>
      <w:tr>
        <w:trPr>
          <w:trHeight w:val="311" w:hRule="atLeast"/>
        </w:trPr>
        <w:tc>
          <w:tcPr>
            <w:tcW w:w="457" w:type="dxa"/>
          </w:tcPr>
          <w:p>
            <w:pPr>
              <w:pStyle w:val="TableParagraph"/>
              <w:rPr>
                <w:rFonts w:ascii="Times New Roman"/>
                <w:sz w:val="20"/>
              </w:rPr>
            </w:pPr>
          </w:p>
        </w:tc>
        <w:tc>
          <w:tcPr>
            <w:tcW w:w="1862" w:type="dxa"/>
          </w:tcPr>
          <w:p>
            <w:pPr>
              <w:pStyle w:val="TableParagraph"/>
              <w:rPr>
                <w:rFonts w:ascii="Times New Roman"/>
                <w:sz w:val="20"/>
              </w:rPr>
            </w:pPr>
          </w:p>
        </w:tc>
        <w:tc>
          <w:tcPr>
            <w:tcW w:w="7352" w:type="dxa"/>
          </w:tcPr>
          <w:p>
            <w:pPr>
              <w:pStyle w:val="TableParagraph"/>
              <w:spacing w:line="261" w:lineRule="exact"/>
              <w:ind w:left="140"/>
              <w:rPr>
                <w:sz w:val="21"/>
              </w:rPr>
            </w:pPr>
            <w:r>
              <w:rPr>
                <w:sz w:val="21"/>
              </w:rPr>
              <w:t>必须满足下列全部条件： </w:t>
            </w:r>
          </w:p>
        </w:tc>
      </w:tr>
      <w:tr>
        <w:trPr>
          <w:trHeight w:val="260" w:hRule="atLeast"/>
        </w:trPr>
        <w:tc>
          <w:tcPr>
            <w:tcW w:w="457" w:type="dxa"/>
          </w:tcPr>
          <w:p>
            <w:pPr>
              <w:pStyle w:val="TableParagraph"/>
              <w:rPr>
                <w:rFonts w:ascii="Times New Roman"/>
                <w:sz w:val="18"/>
              </w:rPr>
            </w:pPr>
          </w:p>
        </w:tc>
        <w:tc>
          <w:tcPr>
            <w:tcW w:w="1862" w:type="dxa"/>
          </w:tcPr>
          <w:p>
            <w:pPr>
              <w:pStyle w:val="TableParagraph"/>
              <w:rPr>
                <w:rFonts w:ascii="Times New Roman"/>
                <w:sz w:val="18"/>
              </w:rPr>
            </w:pPr>
          </w:p>
        </w:tc>
        <w:tc>
          <w:tcPr>
            <w:tcW w:w="7352" w:type="dxa"/>
          </w:tcPr>
          <w:p>
            <w:pPr>
              <w:pStyle w:val="TableParagraph"/>
              <w:spacing w:line="241" w:lineRule="exact"/>
              <w:ind w:left="140"/>
              <w:rPr>
                <w:sz w:val="21"/>
              </w:rPr>
            </w:pPr>
            <w:r>
              <w:rPr>
                <w:sz w:val="21"/>
              </w:rPr>
              <w:t>（1）血管造影显示至少两支冠状动脉狭窄超过50%或一支冠状动脉狭窄超过</w:t>
            </w:r>
          </w:p>
        </w:tc>
      </w:tr>
    </w:tbl>
    <w:p>
      <w:pPr>
        <w:pStyle w:val="BodyText"/>
        <w:spacing w:before="4"/>
        <w:rPr>
          <w:sz w:val="5"/>
        </w:rPr>
      </w:pPr>
    </w:p>
    <w:p>
      <w:pPr>
        <w:spacing w:after="0"/>
        <w:rPr>
          <w:sz w:val="5"/>
        </w:rPr>
        <w:sectPr>
          <w:pgSz w:w="11910" w:h="16840"/>
          <w:pgMar w:header="501" w:footer="998" w:top="700" w:bottom="1180" w:left="1020" w:right="900"/>
        </w:sectPr>
      </w:pPr>
    </w:p>
    <w:p>
      <w:pPr>
        <w:pStyle w:val="BodyText"/>
        <w:rPr>
          <w:sz w:val="22"/>
        </w:rPr>
      </w:pPr>
    </w:p>
    <w:p>
      <w:pPr>
        <w:pStyle w:val="BodyText"/>
        <w:rPr>
          <w:sz w:val="22"/>
        </w:rPr>
      </w:pPr>
    </w:p>
    <w:p>
      <w:pPr>
        <w:pStyle w:val="BodyText"/>
        <w:spacing w:before="11"/>
        <w:rPr>
          <w:sz w:val="20"/>
        </w:rPr>
      </w:pPr>
    </w:p>
    <w:p>
      <w:pPr>
        <w:pStyle w:val="Heading5"/>
        <w:tabs>
          <w:tab w:pos="931" w:val="left" w:leader="none"/>
        </w:tabs>
        <w:spacing w:line="235" w:lineRule="auto"/>
        <w:ind w:right="13" w:hanging="710"/>
      </w:pPr>
      <w:r>
        <w:rPr>
          <w:w w:val="99"/>
        </w:rPr>
        <w:t> </w:t>
      </w:r>
      <w:r>
        <w:rPr/>
        <w:tab/>
      </w:r>
      <w:r>
        <w:rPr>
          <w:rFonts w:ascii="Microsoft JhengHei" w:hAnsi="Microsoft JhengHei" w:eastAsia="Microsoft JhengHei" w:hint="eastAsia"/>
          <w:position w:val="2"/>
        </w:rPr>
        <w:t>22.</w:t>
      </w:r>
      <w:r>
        <w:rPr>
          <w:rFonts w:ascii="Microsoft JhengHei" w:hAnsi="Microsoft JhengHei" w:eastAsia="Microsoft JhengHei" w:hint="eastAsia"/>
          <w:spacing w:val="5"/>
          <w:position w:val="2"/>
        </w:rPr>
        <w:t> Ⅲ度房室传</w:t>
      </w:r>
      <w:r>
        <w:rPr>
          <w:rFonts w:ascii="Microsoft JhengHei" w:hAnsi="Microsoft JhengHei" w:eastAsia="Microsoft JhengHei" w:hint="eastAsia"/>
          <w:spacing w:val="5"/>
        </w:rPr>
        <w:t>导阻滞-已放置心脏起搏器</w:t>
      </w:r>
      <w:r>
        <w:rPr>
          <w:spacing w:val="5"/>
          <w:w w:val="99"/>
        </w:rPr>
        <w:t> </w:t>
      </w:r>
    </w:p>
    <w:p>
      <w:pPr>
        <w:pStyle w:val="BodyText"/>
        <w:rPr>
          <w:b/>
          <w:sz w:val="22"/>
        </w:rPr>
      </w:pPr>
    </w:p>
    <w:p>
      <w:pPr>
        <w:pStyle w:val="BodyText"/>
        <w:rPr>
          <w:b/>
          <w:sz w:val="22"/>
        </w:rPr>
      </w:pPr>
    </w:p>
    <w:p>
      <w:pPr>
        <w:pStyle w:val="BodyText"/>
        <w:spacing w:before="9"/>
        <w:rPr>
          <w:b/>
          <w:sz w:val="16"/>
        </w:rPr>
      </w:pPr>
    </w:p>
    <w:p>
      <w:pPr>
        <w:spacing w:line="235" w:lineRule="auto" w:before="0"/>
        <w:ind w:left="931" w:right="0" w:hanging="710"/>
        <w:jc w:val="both"/>
        <w:rPr>
          <w:b/>
          <w:sz w:val="21"/>
        </w:rPr>
      </w:pPr>
      <w:r>
        <w:rPr>
          <w:b/>
          <w:w w:val="99"/>
          <w:sz w:val="21"/>
        </w:rPr>
        <w:t> </w:t>
      </w:r>
      <w:r>
        <w:rPr>
          <w:b/>
          <w:sz w:val="21"/>
        </w:rPr>
        <w:t>      </w:t>
      </w:r>
      <w:r>
        <w:rPr>
          <w:rFonts w:ascii="Microsoft JhengHei" w:eastAsia="Microsoft JhengHei" w:hint="eastAsia"/>
          <w:b/>
          <w:position w:val="2"/>
          <w:sz w:val="21"/>
        </w:rPr>
        <w:t>23. 于颈动脉进</w:t>
      </w:r>
      <w:r>
        <w:rPr>
          <w:rFonts w:ascii="Microsoft JhengHei" w:eastAsia="Microsoft JhengHei" w:hint="eastAsia"/>
          <w:b/>
          <w:sz w:val="21"/>
        </w:rPr>
        <w:t>行血管成形术或内膜切除术</w:t>
      </w:r>
      <w:r>
        <w:rPr>
          <w:b/>
          <w:w w:val="99"/>
          <w:sz w:val="21"/>
        </w:rPr>
        <w:t> </w:t>
      </w:r>
    </w:p>
    <w:p>
      <w:pPr>
        <w:pStyle w:val="BodyText"/>
        <w:spacing w:line="243" w:lineRule="exact"/>
        <w:ind w:left="714"/>
      </w:pPr>
      <w:r>
        <w:rPr/>
        <w:br w:type="column"/>
      </w:r>
      <w:r>
        <w:rPr/>
        <w:t>70%； </w:t>
      </w:r>
    </w:p>
    <w:p>
      <w:pPr>
        <w:pStyle w:val="BodyText"/>
        <w:spacing w:before="37"/>
        <w:ind w:left="189"/>
      </w:pPr>
      <w:r>
        <w:rPr/>
        <w:t>（2）手术须由心脏专科医师进行，并确认该手术的必要性。 </w:t>
      </w:r>
    </w:p>
    <w:p>
      <w:pPr>
        <w:pStyle w:val="Heading2"/>
      </w:pPr>
      <w:r>
        <w:rPr/>
        <w:t> </w:t>
      </w:r>
    </w:p>
    <w:p>
      <w:pPr>
        <w:pStyle w:val="BodyText"/>
        <w:spacing w:line="273" w:lineRule="auto" w:before="21"/>
        <w:ind w:left="189" w:right="210"/>
      </w:pPr>
      <w:r>
        <w:rPr/>
        <w:t>指心房激动在房室交界区、房室束及其分支内发生阻滞，不能正常地传到心室的心脏传导性疾病须满足下列所有条件： </w:t>
      </w:r>
    </w:p>
    <w:p>
      <w:pPr>
        <w:pStyle w:val="BodyText"/>
        <w:spacing w:before="7"/>
        <w:ind w:left="189"/>
      </w:pPr>
      <w:r>
        <w:rPr/>
        <w:t>（1）心电图显示房室搏动彼此独立，心室率&lt;50次/分钟； </w:t>
      </w:r>
    </w:p>
    <w:p>
      <w:pPr>
        <w:pStyle w:val="BodyText"/>
        <w:spacing w:before="37"/>
        <w:ind w:left="189"/>
      </w:pPr>
      <w:r>
        <w:rPr/>
        <w:t>（2）出现阿-斯综合征或心力衰竭的表现；  </w:t>
      </w:r>
    </w:p>
    <w:p>
      <w:pPr>
        <w:pStyle w:val="BodyText"/>
        <w:spacing w:before="37"/>
        <w:ind w:left="189"/>
      </w:pPr>
      <w:r>
        <w:rPr/>
        <w:t>（3）必须持续性依赖心脏起搏器维持心脏正常功能，且已经放置心脏起搏器。</w:t>
      </w:r>
    </w:p>
    <w:p>
      <w:pPr>
        <w:pStyle w:val="Heading2"/>
      </w:pPr>
      <w:r>
        <w:rPr/>
        <w:t> </w:t>
      </w:r>
    </w:p>
    <w:p>
      <w:pPr>
        <w:pStyle w:val="BodyText"/>
        <w:spacing w:line="273" w:lineRule="auto" w:before="21"/>
        <w:ind w:left="189" w:right="196"/>
        <w:jc w:val="both"/>
      </w:pPr>
      <w:r>
        <w:rPr/>
        <w:t>指根据颈动脉造影检查结果，确诊一条或以上颈动脉存在严重狭窄性病变（至少一支血管管腔直径减少50%以上</w:t>
      </w:r>
      <w:r>
        <w:rPr>
          <w:spacing w:val="-46"/>
        </w:rPr>
        <w:t>）</w:t>
      </w:r>
      <w:r>
        <w:rPr>
          <w:spacing w:val="-7"/>
        </w:rPr>
        <w:t>。本病须经国家机关认可的有合法资质的专科医生明确诊断，同时必须已经采取以下手术以减轻症状： </w:t>
      </w:r>
    </w:p>
    <w:p>
      <w:pPr>
        <w:pStyle w:val="BodyText"/>
        <w:spacing w:before="7"/>
        <w:ind w:left="189"/>
      </w:pPr>
      <w:r>
        <w:rPr/>
        <w:t>（1）确实进行动脉内膜切除术；或 </w:t>
      </w:r>
    </w:p>
    <w:p>
      <w:pPr>
        <w:pStyle w:val="BodyText"/>
        <w:spacing w:line="273" w:lineRule="auto" w:before="37"/>
        <w:ind w:left="714" w:right="195" w:hanging="526"/>
      </w:pPr>
      <w:r>
        <w:rPr/>
        <w:t>（2）确实进行血管介入治疗，例如血管成形术及/或进行植入支架或动脉粥样瘤清除手术。 </w:t>
      </w:r>
    </w:p>
    <w:p>
      <w:pPr>
        <w:spacing w:after="0" w:line="273" w:lineRule="auto"/>
        <w:sectPr>
          <w:type w:val="continuous"/>
          <w:pgSz w:w="11910" w:h="16840"/>
          <w:pgMar w:top="700" w:bottom="280" w:left="1020" w:right="900"/>
          <w:cols w:num="2" w:equalWidth="0">
            <w:col w:w="2403" w:space="40"/>
            <w:col w:w="7547"/>
          </w:cols>
        </w:sectPr>
      </w:pPr>
    </w:p>
    <w:p>
      <w:pPr>
        <w:pStyle w:val="BodyText"/>
        <w:spacing w:before="5"/>
        <w:rPr>
          <w:sz w:val="4"/>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327"/>
      </w:tblGrid>
      <w:tr>
        <w:trPr>
          <w:trHeight w:val="595" w:hRule="atLeast"/>
        </w:trPr>
        <w:tc>
          <w:tcPr>
            <w:tcW w:w="457" w:type="dxa"/>
          </w:tcPr>
          <w:p>
            <w:pPr>
              <w:pStyle w:val="TableParagraph"/>
              <w:spacing w:before="11"/>
              <w:rPr>
                <w:sz w:val="21"/>
              </w:rPr>
            </w:pPr>
          </w:p>
          <w:p>
            <w:pPr>
              <w:pStyle w:val="TableParagraph"/>
              <w:ind w:left="50"/>
              <w:rPr>
                <w:b/>
                <w:sz w:val="21"/>
              </w:rPr>
            </w:pPr>
            <w:r>
              <w:rPr>
                <w:b/>
                <w:w w:val="99"/>
                <w:sz w:val="21"/>
              </w:rPr>
              <w:t> </w:t>
            </w:r>
          </w:p>
        </w:tc>
        <w:tc>
          <w:tcPr>
            <w:tcW w:w="1880" w:type="dxa"/>
          </w:tcPr>
          <w:p>
            <w:pPr>
              <w:pStyle w:val="TableParagraph"/>
              <w:spacing w:before="5"/>
              <w:rPr>
                <w:sz w:val="15"/>
              </w:rPr>
            </w:pPr>
          </w:p>
          <w:p>
            <w:pPr>
              <w:pStyle w:val="TableParagraph"/>
              <w:ind w:left="302"/>
              <w:rPr>
                <w:rFonts w:ascii="Microsoft JhengHei" w:eastAsia="Microsoft JhengHei" w:hint="eastAsia"/>
                <w:b/>
                <w:sz w:val="21"/>
              </w:rPr>
            </w:pPr>
            <w:r>
              <w:rPr>
                <w:rFonts w:ascii="Microsoft JhengHei" w:eastAsia="Microsoft JhengHei" w:hint="eastAsia"/>
                <w:b/>
                <w:sz w:val="21"/>
              </w:rPr>
              <w:t>24. 心包膜切除</w:t>
            </w:r>
          </w:p>
        </w:tc>
        <w:tc>
          <w:tcPr>
            <w:tcW w:w="7327" w:type="dxa"/>
          </w:tcPr>
          <w:p>
            <w:pPr>
              <w:pStyle w:val="TableParagraph"/>
              <w:spacing w:line="240" w:lineRule="exact"/>
              <w:ind w:left="122"/>
              <w:rPr>
                <w:sz w:val="24"/>
              </w:rPr>
            </w:pPr>
            <w:r>
              <w:rPr>
                <w:sz w:val="24"/>
              </w:rPr>
              <w:t> </w:t>
            </w:r>
          </w:p>
          <w:p>
            <w:pPr>
              <w:pStyle w:val="TableParagraph"/>
              <w:spacing w:before="22"/>
              <w:ind w:left="122"/>
              <w:rPr>
                <w:sz w:val="21"/>
              </w:rPr>
            </w:pPr>
            <w:r>
              <w:rPr>
                <w:sz w:val="21"/>
              </w:rPr>
              <w:t>因心包膜疾病导致已接受心包膜切除术或已进行任何需要心脏小切口技术的手</w:t>
            </w:r>
          </w:p>
        </w:tc>
      </w:tr>
      <w:tr>
        <w:trPr>
          <w:trHeight w:val="616" w:hRule="atLeast"/>
        </w:trPr>
        <w:tc>
          <w:tcPr>
            <w:tcW w:w="457" w:type="dxa"/>
          </w:tcPr>
          <w:p>
            <w:pPr>
              <w:pStyle w:val="TableParagraph"/>
              <w:rPr>
                <w:rFonts w:ascii="Times New Roman"/>
                <w:sz w:val="20"/>
              </w:rPr>
            </w:pPr>
          </w:p>
        </w:tc>
        <w:tc>
          <w:tcPr>
            <w:tcW w:w="1880" w:type="dxa"/>
          </w:tcPr>
          <w:p>
            <w:pPr>
              <w:pStyle w:val="TableParagraph"/>
              <w:spacing w:line="330" w:lineRule="exact"/>
              <w:ind w:left="302"/>
              <w:rPr>
                <w:b/>
                <w:sz w:val="21"/>
              </w:rPr>
            </w:pPr>
            <w:r>
              <w:rPr>
                <w:rFonts w:ascii="Microsoft JhengHei" w:eastAsia="Microsoft JhengHei" w:hint="eastAsia"/>
                <w:b/>
                <w:sz w:val="21"/>
              </w:rPr>
              <w:t>术</w:t>
            </w:r>
            <w:r>
              <w:rPr>
                <w:b/>
                <w:w w:val="99"/>
                <w:sz w:val="21"/>
              </w:rPr>
              <w:t> </w:t>
            </w:r>
          </w:p>
        </w:tc>
        <w:tc>
          <w:tcPr>
            <w:tcW w:w="7327" w:type="dxa"/>
          </w:tcPr>
          <w:p>
            <w:pPr>
              <w:pStyle w:val="TableParagraph"/>
              <w:spacing w:line="255" w:lineRule="exact"/>
              <w:ind w:left="122"/>
              <w:rPr>
                <w:sz w:val="21"/>
              </w:rPr>
            </w:pPr>
            <w:r>
              <w:rPr>
                <w:w w:val="95"/>
                <w:sz w:val="21"/>
              </w:rPr>
              <w:t>术。</w:t>
            </w:r>
            <w:r>
              <w:rPr>
                <w:b/>
                <w:i/>
                <w:w w:val="95"/>
                <w:sz w:val="22"/>
              </w:rPr>
              <w:t>手术必须在心脏科医生认为是医学上必需的情况下进行。</w:t>
            </w:r>
            <w:r>
              <w:rPr>
                <w:sz w:val="21"/>
              </w:rPr>
              <w:t> </w:t>
            </w:r>
          </w:p>
          <w:p>
            <w:pPr>
              <w:pStyle w:val="TableParagraph"/>
              <w:spacing w:before="35"/>
              <w:ind w:left="122"/>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80" w:type="dxa"/>
          </w:tcPr>
          <w:p>
            <w:pPr>
              <w:pStyle w:val="TableParagraph"/>
              <w:spacing w:line="291" w:lineRule="exact"/>
              <w:ind w:left="302"/>
              <w:rPr>
                <w:rFonts w:ascii="Microsoft JhengHei" w:eastAsia="Microsoft JhengHei" w:hint="eastAsia"/>
                <w:b/>
                <w:sz w:val="21"/>
              </w:rPr>
            </w:pPr>
            <w:r>
              <w:rPr>
                <w:rFonts w:ascii="Microsoft JhengHei" w:eastAsia="Microsoft JhengHei" w:hint="eastAsia"/>
                <w:b/>
                <w:sz w:val="21"/>
              </w:rPr>
              <w:t>25. 脑炎或脑膜</w:t>
            </w:r>
          </w:p>
        </w:tc>
        <w:tc>
          <w:tcPr>
            <w:tcW w:w="7327" w:type="dxa"/>
          </w:tcPr>
          <w:p>
            <w:pPr>
              <w:pStyle w:val="TableParagraph"/>
              <w:spacing w:line="261" w:lineRule="exact"/>
              <w:ind w:left="122"/>
              <w:rPr>
                <w:sz w:val="21"/>
              </w:rPr>
            </w:pPr>
            <w:r>
              <w:rPr>
                <w:sz w:val="21"/>
              </w:rPr>
              <w:t>因感染脑炎或脑膜炎住院至少 3 个月。诊断必须由专科医生证实。 </w:t>
            </w:r>
          </w:p>
        </w:tc>
      </w:tr>
      <w:tr>
        <w:trPr>
          <w:trHeight w:val="382"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炎</w:t>
            </w:r>
            <w:r>
              <w:rPr>
                <w:b/>
                <w:w w:val="99"/>
                <w:sz w:val="21"/>
              </w:rPr>
              <w:t> </w:t>
            </w:r>
          </w:p>
        </w:tc>
        <w:tc>
          <w:tcPr>
            <w:tcW w:w="7327" w:type="dxa"/>
          </w:tcPr>
          <w:p>
            <w:pPr>
              <w:pStyle w:val="TableParagraph"/>
              <w:spacing w:line="248" w:lineRule="exact"/>
              <w:ind w:left="122"/>
              <w:rPr>
                <w:sz w:val="21"/>
              </w:rPr>
            </w:pPr>
            <w:r>
              <w:rPr>
                <w:sz w:val="21"/>
              </w:rPr>
              <w:t> </w:t>
            </w:r>
          </w:p>
        </w:tc>
      </w:tr>
      <w:tr>
        <w:trPr>
          <w:trHeight w:val="335" w:hRule="atLeast"/>
        </w:trPr>
        <w:tc>
          <w:tcPr>
            <w:tcW w:w="457" w:type="dxa"/>
          </w:tcPr>
          <w:p>
            <w:pPr>
              <w:pStyle w:val="TableParagraph"/>
              <w:spacing w:before="20"/>
              <w:ind w:left="50"/>
              <w:rPr>
                <w:b/>
                <w:sz w:val="21"/>
              </w:rPr>
            </w:pPr>
            <w:r>
              <w:rPr>
                <w:b/>
                <w:w w:val="99"/>
                <w:sz w:val="21"/>
              </w:rPr>
              <w:t> </w:t>
            </w:r>
          </w:p>
        </w:tc>
        <w:tc>
          <w:tcPr>
            <w:tcW w:w="1880" w:type="dxa"/>
          </w:tcPr>
          <w:p>
            <w:pPr>
              <w:pStyle w:val="TableParagraph"/>
              <w:spacing w:line="301" w:lineRule="exact"/>
              <w:ind w:left="302"/>
              <w:rPr>
                <w:rFonts w:ascii="Microsoft JhengHei" w:eastAsia="Microsoft JhengHei" w:hint="eastAsia"/>
                <w:b/>
                <w:sz w:val="21"/>
              </w:rPr>
            </w:pPr>
            <w:r>
              <w:rPr>
                <w:rFonts w:ascii="Microsoft JhengHei" w:eastAsia="Microsoft JhengHei" w:hint="eastAsia"/>
                <w:b/>
                <w:sz w:val="21"/>
              </w:rPr>
              <w:t>26. 硬脑膜下血</w:t>
            </w:r>
          </w:p>
        </w:tc>
        <w:tc>
          <w:tcPr>
            <w:tcW w:w="7327" w:type="dxa"/>
          </w:tcPr>
          <w:p>
            <w:pPr>
              <w:pStyle w:val="TableParagraph"/>
              <w:spacing w:line="271" w:lineRule="exact"/>
              <w:ind w:left="122"/>
              <w:rPr>
                <w:sz w:val="21"/>
              </w:rPr>
            </w:pPr>
            <w:r>
              <w:rPr>
                <w:sz w:val="21"/>
              </w:rPr>
              <w:t>为清除或引流因意外导致的血肿，需于头部进行开颅或钻孔手术。开颅或钻孔</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肿手术</w:t>
            </w:r>
            <w:r>
              <w:rPr>
                <w:b/>
                <w:w w:val="99"/>
                <w:sz w:val="21"/>
              </w:rPr>
              <w:t> </w:t>
            </w:r>
          </w:p>
        </w:tc>
        <w:tc>
          <w:tcPr>
            <w:tcW w:w="7327" w:type="dxa"/>
          </w:tcPr>
          <w:p>
            <w:pPr>
              <w:pStyle w:val="TableParagraph"/>
              <w:spacing w:line="248" w:lineRule="exact"/>
              <w:ind w:left="122"/>
              <w:rPr>
                <w:sz w:val="21"/>
              </w:rPr>
            </w:pPr>
            <w:r>
              <w:rPr>
                <w:sz w:val="21"/>
              </w:rPr>
              <w:t>手术必须由专科医生认为是医学上必需的情况下进行。 </w:t>
            </w:r>
          </w:p>
          <w:p>
            <w:pPr>
              <w:pStyle w:val="TableParagraph"/>
              <w:spacing w:before="37"/>
              <w:ind w:left="122"/>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80" w:type="dxa"/>
          </w:tcPr>
          <w:p>
            <w:pPr>
              <w:pStyle w:val="TableParagraph"/>
              <w:spacing w:line="291" w:lineRule="exact"/>
              <w:ind w:left="302"/>
              <w:rPr>
                <w:rFonts w:ascii="Microsoft JhengHei" w:eastAsia="Microsoft JhengHei" w:hint="eastAsia"/>
                <w:b/>
                <w:sz w:val="21"/>
              </w:rPr>
            </w:pPr>
            <w:r>
              <w:rPr>
                <w:rFonts w:ascii="Microsoft JhengHei" w:eastAsia="Microsoft JhengHei" w:hint="eastAsia"/>
                <w:b/>
                <w:sz w:val="21"/>
              </w:rPr>
              <w:t>27. 严重阻塞性</w:t>
            </w:r>
          </w:p>
        </w:tc>
        <w:tc>
          <w:tcPr>
            <w:tcW w:w="7327" w:type="dxa"/>
          </w:tcPr>
          <w:p>
            <w:pPr>
              <w:pStyle w:val="TableParagraph"/>
              <w:spacing w:line="261" w:lineRule="exact"/>
              <w:ind w:left="122"/>
              <w:rPr>
                <w:sz w:val="21"/>
              </w:rPr>
            </w:pPr>
            <w:r>
              <w:rPr>
                <w:sz w:val="21"/>
              </w:rPr>
              <w:t>须由相关医学范畴的注册专科医生，经多导睡眠监测仪检查明确诊断为严重阻</w:t>
            </w:r>
          </w:p>
        </w:tc>
      </w:tr>
      <w:tr>
        <w:trPr>
          <w:trHeight w:val="320" w:hRule="atLeast"/>
        </w:trPr>
        <w:tc>
          <w:tcPr>
            <w:tcW w:w="457" w:type="dxa"/>
          </w:tcPr>
          <w:p>
            <w:pPr>
              <w:pStyle w:val="TableParagraph"/>
              <w:rPr>
                <w:rFonts w:ascii="Times New Roman"/>
                <w:sz w:val="20"/>
              </w:rPr>
            </w:pPr>
          </w:p>
        </w:tc>
        <w:tc>
          <w:tcPr>
            <w:tcW w:w="1880" w:type="dxa"/>
          </w:tcPr>
          <w:p>
            <w:pPr>
              <w:pStyle w:val="TableParagraph"/>
              <w:spacing w:line="301" w:lineRule="exact"/>
              <w:ind w:left="302"/>
              <w:rPr>
                <w:b/>
                <w:sz w:val="21"/>
              </w:rPr>
            </w:pPr>
            <w:r>
              <w:rPr>
                <w:rFonts w:ascii="Microsoft JhengHei" w:eastAsia="Microsoft JhengHei" w:hint="eastAsia"/>
                <w:b/>
                <w:sz w:val="21"/>
              </w:rPr>
              <w:t>睡眠窒息症</w:t>
            </w:r>
            <w:r>
              <w:rPr>
                <w:b/>
                <w:w w:val="99"/>
                <w:sz w:val="21"/>
              </w:rPr>
              <w:t> </w:t>
            </w:r>
          </w:p>
        </w:tc>
        <w:tc>
          <w:tcPr>
            <w:tcW w:w="7327" w:type="dxa"/>
          </w:tcPr>
          <w:p>
            <w:pPr>
              <w:pStyle w:val="TableParagraph"/>
              <w:spacing w:line="248" w:lineRule="exact"/>
              <w:ind w:left="122"/>
              <w:rPr>
                <w:sz w:val="21"/>
              </w:rPr>
            </w:pPr>
            <w:r>
              <w:rPr>
                <w:sz w:val="21"/>
              </w:rPr>
              <w:t>塞性睡眠呼吸暂停综合征（OSA），并必须符合以下两项条件： </w:t>
            </w:r>
          </w:p>
        </w:tc>
      </w:tr>
    </w:tbl>
    <w:p>
      <w:pPr>
        <w:spacing w:after="0" w:line="248" w:lineRule="exact"/>
        <w:rPr>
          <w:sz w:val="21"/>
        </w:rPr>
        <w:sectPr>
          <w:type w:val="continuous"/>
          <w:pgSz w:w="11910" w:h="16840"/>
          <w:pgMar w:top="700" w:bottom="280" w:left="1020" w:right="900"/>
        </w:sectPr>
      </w:pPr>
    </w:p>
    <w:p>
      <w:pPr>
        <w:pStyle w:val="BodyText"/>
        <w:rPr>
          <w:sz w:val="20"/>
        </w:rPr>
      </w:pPr>
    </w:p>
    <w:p>
      <w:pPr>
        <w:pStyle w:val="BodyText"/>
        <w:rPr>
          <w:sz w:val="20"/>
        </w:rPr>
      </w:pPr>
    </w:p>
    <w:p>
      <w:pPr>
        <w:spacing w:after="0"/>
        <w:rPr>
          <w:sz w:val="20"/>
        </w:rPr>
        <w:sectPr>
          <w:pgSz w:w="11910" w:h="16840"/>
          <w:pgMar w:header="501" w:footer="998" w:top="700" w:bottom="1180" w:left="1020" w:right="940"/>
        </w:sectPr>
      </w:pPr>
    </w:p>
    <w:p>
      <w:pPr>
        <w:pStyle w:val="BodyText"/>
        <w:rPr>
          <w:sz w:val="22"/>
        </w:rPr>
      </w:pPr>
    </w:p>
    <w:p>
      <w:pPr>
        <w:pStyle w:val="BodyText"/>
        <w:rPr>
          <w:sz w:val="22"/>
        </w:rPr>
      </w:pPr>
    </w:p>
    <w:p>
      <w:pPr>
        <w:pStyle w:val="BodyText"/>
        <w:rPr>
          <w:sz w:val="22"/>
        </w:rPr>
      </w:pPr>
    </w:p>
    <w:p>
      <w:pPr>
        <w:pStyle w:val="Heading5"/>
        <w:spacing w:line="235" w:lineRule="auto" w:before="196"/>
        <w:ind w:hanging="710"/>
        <w:jc w:val="both"/>
      </w:pPr>
      <w:r>
        <w:rPr>
          <w:w w:val="99"/>
        </w:rPr>
        <w:t> </w:t>
      </w:r>
      <w:r>
        <w:rPr/>
        <w:t>      </w:t>
      </w:r>
      <w:r>
        <w:rPr>
          <w:rFonts w:ascii="Microsoft JhengHei" w:eastAsia="Microsoft JhengHei" w:hint="eastAsia"/>
          <w:position w:val="2"/>
        </w:rPr>
        <w:t>28. 因意外毁容</w:t>
      </w:r>
      <w:r>
        <w:rPr>
          <w:rFonts w:ascii="Microsoft JhengHei" w:eastAsia="Microsoft JhengHei" w:hint="eastAsia"/>
        </w:rPr>
        <w:t>而施行的面部整形手术</w:t>
      </w:r>
      <w:r>
        <w:rPr>
          <w:w w:val="99"/>
        </w:rPr>
        <w:t> </w:t>
      </w:r>
    </w:p>
    <w:p>
      <w:pPr>
        <w:pStyle w:val="BodyText"/>
        <w:spacing w:before="178"/>
        <w:ind w:left="189"/>
      </w:pPr>
      <w:r>
        <w:rPr/>
        <w:br w:type="column"/>
      </w:r>
      <w:r>
        <w:rPr/>
        <w:t>（1）受保人必须现正接受持续气道正压呼吸器（CPAP）之夜间治疗；及 </w:t>
      </w:r>
    </w:p>
    <w:p>
      <w:pPr>
        <w:pStyle w:val="BodyText"/>
        <w:spacing w:before="36"/>
        <w:ind w:left="189"/>
      </w:pPr>
      <w:r>
        <w:rPr/>
        <w:t>（2）必须提供睡眠测试的文件证明，显示AHI&gt;30及夜间血氧饱和平均值&lt;85。</w:t>
      </w:r>
    </w:p>
    <w:p>
      <w:pPr>
        <w:pStyle w:val="Heading2"/>
      </w:pPr>
      <w:r>
        <w:rPr/>
        <w:t> </w:t>
      </w:r>
    </w:p>
    <w:p>
      <w:pPr>
        <w:pStyle w:val="BodyText"/>
        <w:spacing w:line="273" w:lineRule="auto" w:before="21"/>
        <w:ind w:left="189" w:right="156"/>
        <w:jc w:val="both"/>
      </w:pPr>
      <w:r>
        <w:rPr/>
        <w:t>指为修复意外伤害或暴力袭击造成的面部毁损，实际接受了在全身麻醉的情況下，由整形外科医生实施的对严重缺陷、缺失、损害或变形的面部形态和结构进行修复或重建的面部整形手术。 </w:t>
      </w:r>
    </w:p>
    <w:p>
      <w:pPr>
        <w:pStyle w:val="BodyText"/>
        <w:spacing w:before="7"/>
        <w:ind w:left="189"/>
      </w:pPr>
      <w:r>
        <w:rPr/>
        <w:t>面部整形手术必须在意外伤害后的180天内实施。 </w:t>
      </w:r>
    </w:p>
    <w:p>
      <w:pPr>
        <w:pStyle w:val="Heading3"/>
        <w:ind w:left="189"/>
      </w:pPr>
      <w:r>
        <w:rPr>
          <w:w w:val="95"/>
        </w:rPr>
        <w:t>因面部外伤后遗留的线条状瘢痕及色素沉着而施行的手术不在保障范围内。</w:t>
      </w:r>
      <w:r>
        <w:rPr>
          <w:w w:val="94"/>
        </w:rPr>
        <w:t> </w:t>
      </w:r>
    </w:p>
    <w:p>
      <w:pPr>
        <w:pStyle w:val="BodyText"/>
        <w:spacing w:before="35"/>
        <w:ind w:left="189"/>
      </w:pPr>
      <w:r>
        <w:rPr/>
        <w:t>意外伤害必须满足下列全部条件： </w:t>
      </w:r>
    </w:p>
    <w:p>
      <w:pPr>
        <w:pStyle w:val="BodyText"/>
        <w:spacing w:line="273" w:lineRule="auto" w:before="37"/>
        <w:ind w:left="714" w:right="156" w:hanging="526"/>
      </w:pPr>
      <w:r>
        <w:rPr>
          <w:spacing w:val="-15"/>
        </w:rPr>
        <w:t>（1）</w:t>
      </w:r>
      <w:r>
        <w:rPr>
          <w:spacing w:val="-2"/>
        </w:rPr>
        <w:t>由外在暴力引起并且造成表面可视性伤口和面部骨结构损害的，或面部皮肤三度或全层意外烧伤； </w:t>
      </w:r>
    </w:p>
    <w:p>
      <w:pPr>
        <w:spacing w:after="0" w:line="273" w:lineRule="auto"/>
        <w:sectPr>
          <w:type w:val="continuous"/>
          <w:pgSz w:w="11910" w:h="16840"/>
          <w:pgMar w:top="700" w:bottom="280" w:left="1020" w:right="940"/>
          <w:cols w:num="2" w:equalWidth="0">
            <w:col w:w="2403" w:space="40"/>
            <w:col w:w="7507"/>
          </w:cols>
        </w:sectPr>
      </w:pPr>
    </w:p>
    <w:p>
      <w:pPr>
        <w:pStyle w:val="BodyText"/>
        <w:spacing w:before="7"/>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8"/>
        <w:gridCol w:w="7319"/>
      </w:tblGrid>
      <w:tr>
        <w:trPr>
          <w:trHeight w:val="253" w:hRule="atLeast"/>
        </w:trPr>
        <w:tc>
          <w:tcPr>
            <w:tcW w:w="457" w:type="dxa"/>
          </w:tcPr>
          <w:p>
            <w:pPr>
              <w:pStyle w:val="TableParagraph"/>
              <w:rPr>
                <w:rFonts w:ascii="Times New Roman"/>
                <w:sz w:val="18"/>
              </w:rPr>
            </w:pPr>
          </w:p>
        </w:tc>
        <w:tc>
          <w:tcPr>
            <w:tcW w:w="1888" w:type="dxa"/>
          </w:tcPr>
          <w:p>
            <w:pPr>
              <w:pStyle w:val="TableParagraph"/>
              <w:rPr>
                <w:rFonts w:ascii="Times New Roman"/>
                <w:sz w:val="18"/>
              </w:rPr>
            </w:pPr>
          </w:p>
        </w:tc>
        <w:tc>
          <w:tcPr>
            <w:tcW w:w="7319" w:type="dxa"/>
          </w:tcPr>
          <w:p>
            <w:pPr>
              <w:pStyle w:val="TableParagraph"/>
              <w:spacing w:line="210" w:lineRule="exact"/>
              <w:ind w:left="114"/>
              <w:rPr>
                <w:sz w:val="21"/>
              </w:rPr>
            </w:pPr>
            <w:r>
              <w:rPr>
                <w:sz w:val="21"/>
              </w:rPr>
              <w:t>（2）是造成面部毁损的直接和独立的原因。 </w:t>
            </w:r>
          </w:p>
        </w:tc>
      </w:tr>
      <w:tr>
        <w:trPr>
          <w:trHeight w:val="327"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84" w:lineRule="exact"/>
              <w:ind w:left="114"/>
              <w:rPr>
                <w:sz w:val="24"/>
              </w:rPr>
            </w:pPr>
            <w:r>
              <w:rPr>
                <w:sz w:val="24"/>
              </w:rPr>
              <w:t> </w:t>
            </w:r>
          </w:p>
        </w:tc>
      </w:tr>
      <w:tr>
        <w:trPr>
          <w:trHeight w:val="312" w:hRule="atLeast"/>
        </w:trPr>
        <w:tc>
          <w:tcPr>
            <w:tcW w:w="457" w:type="dxa"/>
          </w:tcPr>
          <w:p>
            <w:pPr>
              <w:pStyle w:val="TableParagraph"/>
              <w:spacing w:before="2"/>
              <w:ind w:left="50"/>
              <w:rPr>
                <w:b/>
                <w:sz w:val="21"/>
              </w:rPr>
            </w:pPr>
            <w:r>
              <w:rPr>
                <w:b/>
                <w:w w:val="99"/>
                <w:sz w:val="21"/>
              </w:rPr>
              <w:t> </w:t>
            </w:r>
          </w:p>
        </w:tc>
        <w:tc>
          <w:tcPr>
            <w:tcW w:w="1888" w:type="dxa"/>
          </w:tcPr>
          <w:p>
            <w:pPr>
              <w:pStyle w:val="TableParagraph"/>
              <w:spacing w:line="283" w:lineRule="exact"/>
              <w:ind w:left="302"/>
              <w:rPr>
                <w:b/>
                <w:sz w:val="21"/>
              </w:rPr>
            </w:pPr>
            <w:r>
              <w:rPr>
                <w:rFonts w:ascii="Microsoft JhengHei" w:eastAsia="Microsoft JhengHei" w:hint="eastAsia"/>
                <w:b/>
                <w:sz w:val="21"/>
              </w:rPr>
              <w:t>29. 角膜移植</w:t>
            </w:r>
            <w:r>
              <w:rPr>
                <w:b/>
                <w:w w:val="99"/>
                <w:sz w:val="21"/>
              </w:rPr>
              <w:t> </w:t>
            </w:r>
          </w:p>
        </w:tc>
        <w:tc>
          <w:tcPr>
            <w:tcW w:w="7319" w:type="dxa"/>
          </w:tcPr>
          <w:p>
            <w:pPr>
              <w:pStyle w:val="TableParagraph"/>
              <w:spacing w:line="253" w:lineRule="exact"/>
              <w:ind w:left="114"/>
              <w:rPr>
                <w:sz w:val="21"/>
              </w:rPr>
            </w:pPr>
            <w:r>
              <w:rPr>
                <w:sz w:val="21"/>
              </w:rPr>
              <w:t>指为增进视力或治疗某些角膜疾患，已经实施了异体的角膜移植手术。 </w:t>
            </w:r>
          </w:p>
        </w:tc>
      </w:tr>
      <w:tr>
        <w:trPr>
          <w:trHeight w:val="304"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55" w:lineRule="exact"/>
              <w:ind w:left="114"/>
              <w:rPr>
                <w:b/>
                <w:i/>
                <w:sz w:val="22"/>
              </w:rPr>
            </w:pPr>
            <w:r>
              <w:rPr>
                <w:b/>
                <w:i/>
                <w:w w:val="95"/>
                <w:sz w:val="22"/>
              </w:rPr>
              <w:t>此手术必须由专科医生认为是医学上必需的情况下进行。</w:t>
            </w:r>
            <w:r>
              <w:rPr>
                <w:b/>
                <w:i/>
                <w:w w:val="94"/>
                <w:sz w:val="22"/>
              </w:rPr>
              <w:t>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0" w:lineRule="exact"/>
              <w:ind w:left="114"/>
              <w:rPr>
                <w:sz w:val="21"/>
              </w:rPr>
            </w:pPr>
            <w:r>
              <w:rPr>
                <w:sz w:val="21"/>
              </w:rPr>
              <w:t> </w:t>
            </w:r>
          </w:p>
        </w:tc>
      </w:tr>
      <w:tr>
        <w:trPr>
          <w:trHeight w:val="325" w:hRule="atLeast"/>
        </w:trPr>
        <w:tc>
          <w:tcPr>
            <w:tcW w:w="457" w:type="dxa"/>
          </w:tcPr>
          <w:p>
            <w:pPr>
              <w:pStyle w:val="TableParagraph"/>
              <w:spacing w:before="10"/>
              <w:ind w:left="50"/>
              <w:rPr>
                <w:b/>
                <w:sz w:val="21"/>
              </w:rPr>
            </w:pPr>
            <w:r>
              <w:rPr>
                <w:b/>
                <w:w w:val="99"/>
                <w:sz w:val="21"/>
              </w:rPr>
              <w:t> </w:t>
            </w:r>
          </w:p>
        </w:tc>
        <w:tc>
          <w:tcPr>
            <w:tcW w:w="1888" w:type="dxa"/>
          </w:tcPr>
          <w:p>
            <w:pPr>
              <w:pStyle w:val="TableParagraph"/>
              <w:spacing w:line="291" w:lineRule="exact"/>
              <w:ind w:left="302"/>
              <w:rPr>
                <w:b/>
                <w:sz w:val="21"/>
              </w:rPr>
            </w:pPr>
            <w:r>
              <w:rPr>
                <w:rFonts w:ascii="Microsoft JhengHei" w:eastAsia="Microsoft JhengHei" w:hint="eastAsia"/>
                <w:b/>
                <w:sz w:val="21"/>
              </w:rPr>
              <w:t>30. 单眼失明</w:t>
            </w:r>
            <w:r>
              <w:rPr>
                <w:b/>
                <w:w w:val="99"/>
                <w:sz w:val="21"/>
              </w:rPr>
              <w:t> </w:t>
            </w:r>
          </w:p>
        </w:tc>
        <w:tc>
          <w:tcPr>
            <w:tcW w:w="7319" w:type="dxa"/>
          </w:tcPr>
          <w:p>
            <w:pPr>
              <w:pStyle w:val="TableParagraph"/>
              <w:spacing w:line="261" w:lineRule="exact"/>
              <w:ind w:left="114"/>
              <w:rPr>
                <w:sz w:val="21"/>
              </w:rPr>
            </w:pPr>
            <w:r>
              <w:rPr>
                <w:sz w:val="21"/>
              </w:rPr>
              <w:t>指因疾病或意外伤害导致单眼视力永久不可逆性丧失，须满足下列至少一项条</w:t>
            </w:r>
          </w:p>
        </w:tc>
      </w:tr>
      <w:tr>
        <w:trPr>
          <w:trHeight w:val="298"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48" w:lineRule="exact"/>
              <w:ind w:left="114"/>
              <w:rPr>
                <w:sz w:val="21"/>
              </w:rPr>
            </w:pPr>
            <w:r>
              <w:rPr>
                <w:sz w:val="21"/>
              </w:rPr>
              <w:t>件：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（1）眼球缺失或摘除； </w:t>
            </w:r>
          </w:p>
        </w:tc>
      </w:tr>
      <w:tr>
        <w:trPr>
          <w:trHeight w:val="260" w:hRule="atLeast"/>
        </w:trPr>
        <w:tc>
          <w:tcPr>
            <w:tcW w:w="457" w:type="dxa"/>
          </w:tcPr>
          <w:p>
            <w:pPr>
              <w:pStyle w:val="TableParagraph"/>
              <w:rPr>
                <w:rFonts w:ascii="Times New Roman"/>
                <w:sz w:val="18"/>
              </w:rPr>
            </w:pPr>
          </w:p>
        </w:tc>
        <w:tc>
          <w:tcPr>
            <w:tcW w:w="1888" w:type="dxa"/>
          </w:tcPr>
          <w:p>
            <w:pPr>
              <w:pStyle w:val="TableParagraph"/>
              <w:rPr>
                <w:rFonts w:ascii="Times New Roman"/>
                <w:sz w:val="18"/>
              </w:rPr>
            </w:pPr>
          </w:p>
        </w:tc>
        <w:tc>
          <w:tcPr>
            <w:tcW w:w="7319" w:type="dxa"/>
          </w:tcPr>
          <w:p>
            <w:pPr>
              <w:pStyle w:val="TableParagraph"/>
              <w:spacing w:line="241" w:lineRule="exact"/>
              <w:ind w:left="114"/>
              <w:rPr>
                <w:sz w:val="21"/>
              </w:rPr>
            </w:pPr>
            <w:r>
              <w:rPr>
                <w:spacing w:val="-11"/>
                <w:sz w:val="21"/>
              </w:rPr>
              <w:t>（2）</w:t>
            </w:r>
            <w:r>
              <w:rPr>
                <w:sz w:val="21"/>
              </w:rPr>
              <w:t>矫正视力低于</w:t>
            </w:r>
            <w:r>
              <w:rPr>
                <w:spacing w:val="-7"/>
                <w:sz w:val="21"/>
              </w:rPr>
              <w:t>0.02（</w:t>
            </w:r>
            <w:r>
              <w:rPr>
                <w:spacing w:val="-4"/>
                <w:sz w:val="21"/>
              </w:rPr>
              <w:t>采用国际标准视力表，如果使用其它视力表应进行换</w:t>
            </w:r>
          </w:p>
        </w:tc>
      </w:tr>
      <w:tr>
        <w:trPr>
          <w:trHeight w:val="362"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before="37"/>
              <w:ind w:left="640"/>
              <w:rPr>
                <w:sz w:val="21"/>
              </w:rPr>
            </w:pPr>
            <w:r>
              <w:rPr>
                <w:sz w:val="21"/>
              </w:rPr>
              <w:t>算）； </w:t>
            </w:r>
          </w:p>
        </w:tc>
      </w:tr>
      <w:tr>
        <w:trPr>
          <w:trHeight w:val="304"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（3）视野半径小于5度。 </w:t>
            </w:r>
          </w:p>
        </w:tc>
      </w:tr>
      <w:tr>
        <w:trPr>
          <w:trHeight w:val="327"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84" w:lineRule="exact"/>
              <w:ind w:left="114"/>
              <w:rPr>
                <w:sz w:val="24"/>
              </w:rPr>
            </w:pPr>
            <w:r>
              <w:rPr>
                <w:sz w:val="24"/>
              </w:rPr>
              <w:t> </w:t>
            </w:r>
          </w:p>
        </w:tc>
      </w:tr>
      <w:tr>
        <w:trPr>
          <w:trHeight w:val="317" w:hRule="atLeast"/>
        </w:trPr>
        <w:tc>
          <w:tcPr>
            <w:tcW w:w="457" w:type="dxa"/>
          </w:tcPr>
          <w:p>
            <w:pPr>
              <w:pStyle w:val="TableParagraph"/>
              <w:spacing w:before="2"/>
              <w:ind w:left="50"/>
              <w:rPr>
                <w:b/>
                <w:sz w:val="21"/>
              </w:rPr>
            </w:pPr>
            <w:r>
              <w:rPr>
                <w:b/>
                <w:w w:val="99"/>
                <w:sz w:val="21"/>
              </w:rPr>
              <w:t> </w:t>
            </w:r>
          </w:p>
        </w:tc>
        <w:tc>
          <w:tcPr>
            <w:tcW w:w="1888" w:type="dxa"/>
          </w:tcPr>
          <w:p>
            <w:pPr>
              <w:pStyle w:val="TableParagraph"/>
              <w:spacing w:line="283" w:lineRule="exact"/>
              <w:ind w:left="302"/>
              <w:rPr>
                <w:rFonts w:ascii="Microsoft JhengHei" w:eastAsia="Microsoft JhengHei" w:hint="eastAsia"/>
                <w:b/>
                <w:sz w:val="21"/>
              </w:rPr>
            </w:pPr>
            <w:r>
              <w:rPr>
                <w:rFonts w:ascii="Microsoft JhengHei" w:eastAsia="Microsoft JhengHei" w:hint="eastAsia"/>
                <w:b/>
                <w:sz w:val="21"/>
              </w:rPr>
              <w:t>31. 可逆性再生</w:t>
            </w:r>
          </w:p>
        </w:tc>
        <w:tc>
          <w:tcPr>
            <w:tcW w:w="7319" w:type="dxa"/>
          </w:tcPr>
          <w:p>
            <w:pPr>
              <w:pStyle w:val="TableParagraph"/>
              <w:spacing w:line="253" w:lineRule="exact"/>
              <w:ind w:left="114"/>
              <w:rPr>
                <w:sz w:val="21"/>
              </w:rPr>
            </w:pPr>
            <w:r>
              <w:rPr>
                <w:sz w:val="21"/>
              </w:rPr>
              <w:t>指因急性可逆性的骨髓造血功能衰竭而导致贫血、中性粒细胞减少和血小板减</w:t>
            </w:r>
          </w:p>
        </w:tc>
      </w:tr>
      <w:tr>
        <w:trPr>
          <w:trHeight w:val="335" w:hRule="atLeast"/>
        </w:trPr>
        <w:tc>
          <w:tcPr>
            <w:tcW w:w="457" w:type="dxa"/>
          </w:tcPr>
          <w:p>
            <w:pPr>
              <w:pStyle w:val="TableParagraph"/>
              <w:rPr>
                <w:rFonts w:ascii="Times New Roman"/>
                <w:sz w:val="20"/>
              </w:rPr>
            </w:pPr>
          </w:p>
        </w:tc>
        <w:tc>
          <w:tcPr>
            <w:tcW w:w="1888" w:type="dxa"/>
          </w:tcPr>
          <w:p>
            <w:pPr>
              <w:pStyle w:val="TableParagraph"/>
              <w:spacing w:line="315" w:lineRule="exact"/>
              <w:ind w:left="302"/>
              <w:rPr>
                <w:b/>
                <w:sz w:val="21"/>
              </w:rPr>
            </w:pPr>
            <w:r>
              <w:rPr>
                <w:rFonts w:ascii="Microsoft JhengHei" w:eastAsia="Microsoft JhengHei" w:hint="eastAsia"/>
                <w:b/>
                <w:sz w:val="21"/>
              </w:rPr>
              <w:t>障碍性贫血</w:t>
            </w:r>
            <w:r>
              <w:rPr>
                <w:b/>
                <w:w w:val="99"/>
                <w:sz w:val="21"/>
              </w:rPr>
              <w:t> </w:t>
            </w:r>
          </w:p>
        </w:tc>
        <w:tc>
          <w:tcPr>
            <w:tcW w:w="7319" w:type="dxa"/>
          </w:tcPr>
          <w:p>
            <w:pPr>
              <w:pStyle w:val="TableParagraph"/>
              <w:spacing w:line="248" w:lineRule="exact"/>
              <w:ind w:left="114"/>
              <w:rPr>
                <w:sz w:val="21"/>
              </w:rPr>
            </w:pPr>
            <w:r>
              <w:rPr>
                <w:sz w:val="21"/>
              </w:rPr>
              <w:t>少，必须由血液科医生的诊断，且病历资料显示接受了下列任一治疗： </w:t>
            </w:r>
          </w:p>
        </w:tc>
      </w:tr>
      <w:tr>
        <w:trPr>
          <w:trHeight w:val="275"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25" w:lineRule="exact"/>
              <w:ind w:left="114"/>
              <w:rPr>
                <w:sz w:val="21"/>
              </w:rPr>
            </w:pPr>
            <w:r>
              <w:rPr>
                <w:sz w:val="21"/>
              </w:rPr>
              <w:t>（1）骨髓刺激疗法至少1个月；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（2）免疫抑制剂治疗至少1个月； </w:t>
            </w:r>
          </w:p>
        </w:tc>
      </w:tr>
      <w:tr>
        <w:trPr>
          <w:trHeight w:val="304"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（3）接受了骨髓移植。 </w:t>
            </w:r>
          </w:p>
        </w:tc>
      </w:tr>
      <w:tr>
        <w:trPr>
          <w:trHeight w:val="327"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84" w:lineRule="exact"/>
              <w:ind w:left="114"/>
              <w:rPr>
                <w:sz w:val="24"/>
              </w:rPr>
            </w:pPr>
            <w:r>
              <w:rPr>
                <w:sz w:val="24"/>
              </w:rPr>
              <w:t> </w:t>
            </w:r>
          </w:p>
        </w:tc>
      </w:tr>
      <w:tr>
        <w:trPr>
          <w:trHeight w:val="317" w:hRule="atLeast"/>
        </w:trPr>
        <w:tc>
          <w:tcPr>
            <w:tcW w:w="457" w:type="dxa"/>
          </w:tcPr>
          <w:p>
            <w:pPr>
              <w:pStyle w:val="TableParagraph"/>
              <w:spacing w:before="2"/>
              <w:ind w:left="50"/>
              <w:rPr>
                <w:b/>
                <w:sz w:val="21"/>
              </w:rPr>
            </w:pPr>
            <w:r>
              <w:rPr>
                <w:b/>
                <w:w w:val="99"/>
                <w:sz w:val="21"/>
              </w:rPr>
              <w:t> </w:t>
            </w:r>
          </w:p>
        </w:tc>
        <w:tc>
          <w:tcPr>
            <w:tcW w:w="1888" w:type="dxa"/>
          </w:tcPr>
          <w:p>
            <w:pPr>
              <w:pStyle w:val="TableParagraph"/>
              <w:spacing w:line="283" w:lineRule="exact"/>
              <w:ind w:left="302"/>
              <w:rPr>
                <w:rFonts w:ascii="Microsoft JhengHei" w:eastAsia="Microsoft JhengHei" w:hint="eastAsia"/>
                <w:b/>
                <w:sz w:val="21"/>
              </w:rPr>
            </w:pPr>
            <w:r>
              <w:rPr>
                <w:rFonts w:ascii="Microsoft JhengHei" w:eastAsia="Microsoft JhengHei" w:hint="eastAsia"/>
                <w:b/>
                <w:sz w:val="21"/>
              </w:rPr>
              <w:t>32. 慢性肝功能</w:t>
            </w:r>
          </w:p>
        </w:tc>
        <w:tc>
          <w:tcPr>
            <w:tcW w:w="7319" w:type="dxa"/>
          </w:tcPr>
          <w:p>
            <w:pPr>
              <w:pStyle w:val="TableParagraph"/>
              <w:spacing w:line="253" w:lineRule="exact"/>
              <w:ind w:left="114"/>
              <w:rPr>
                <w:sz w:val="21"/>
              </w:rPr>
            </w:pPr>
            <w:r>
              <w:rPr>
                <w:sz w:val="21"/>
              </w:rPr>
              <w:t>因慢性肝脏疾病导致肝功能衰竭。须满足下列至少两项条件，但不满足全部条</w:t>
            </w:r>
          </w:p>
        </w:tc>
      </w:tr>
      <w:tr>
        <w:trPr>
          <w:trHeight w:val="335" w:hRule="atLeast"/>
        </w:trPr>
        <w:tc>
          <w:tcPr>
            <w:tcW w:w="457" w:type="dxa"/>
          </w:tcPr>
          <w:p>
            <w:pPr>
              <w:pStyle w:val="TableParagraph"/>
              <w:rPr>
                <w:rFonts w:ascii="Times New Roman"/>
                <w:sz w:val="20"/>
              </w:rPr>
            </w:pPr>
          </w:p>
        </w:tc>
        <w:tc>
          <w:tcPr>
            <w:tcW w:w="1888" w:type="dxa"/>
          </w:tcPr>
          <w:p>
            <w:pPr>
              <w:pStyle w:val="TableParagraph"/>
              <w:spacing w:line="315" w:lineRule="exact"/>
              <w:ind w:left="302"/>
              <w:rPr>
                <w:b/>
                <w:sz w:val="21"/>
              </w:rPr>
            </w:pPr>
            <w:r>
              <w:rPr>
                <w:rFonts w:ascii="Microsoft JhengHei" w:eastAsia="Microsoft JhengHei" w:hint="eastAsia"/>
                <w:b/>
                <w:sz w:val="21"/>
              </w:rPr>
              <w:t>衰竭</w:t>
            </w:r>
            <w:r>
              <w:rPr>
                <w:b/>
                <w:w w:val="99"/>
                <w:sz w:val="21"/>
              </w:rPr>
              <w:t> </w:t>
            </w:r>
          </w:p>
        </w:tc>
        <w:tc>
          <w:tcPr>
            <w:tcW w:w="7319" w:type="dxa"/>
          </w:tcPr>
          <w:p>
            <w:pPr>
              <w:pStyle w:val="TableParagraph"/>
              <w:spacing w:line="248" w:lineRule="exact"/>
              <w:ind w:left="114"/>
              <w:rPr>
                <w:sz w:val="21"/>
              </w:rPr>
            </w:pPr>
            <w:r>
              <w:rPr>
                <w:sz w:val="21"/>
              </w:rPr>
              <w:t>件：  </w:t>
            </w:r>
          </w:p>
        </w:tc>
      </w:tr>
      <w:tr>
        <w:trPr>
          <w:trHeight w:val="275"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25" w:lineRule="exact"/>
              <w:ind w:left="114"/>
              <w:rPr>
                <w:sz w:val="21"/>
              </w:rPr>
            </w:pPr>
            <w:r>
              <w:rPr>
                <w:sz w:val="21"/>
              </w:rPr>
              <w:t>（1）持续性黄疸；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（2）腹水；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（3）肝性脑病；  </w:t>
            </w:r>
          </w:p>
        </w:tc>
      </w:tr>
      <w:tr>
        <w:trPr>
          <w:trHeight w:val="306"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（4）充血性脾肿大伴脾功能亢进或食管胃底静脉曲张。  </w:t>
            </w:r>
          </w:p>
        </w:tc>
      </w:tr>
      <w:tr>
        <w:trPr>
          <w:trHeight w:val="304"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8" w:lineRule="exact"/>
              <w:ind w:left="114"/>
              <w:rPr>
                <w:b/>
                <w:i/>
                <w:sz w:val="22"/>
              </w:rPr>
            </w:pPr>
            <w:r>
              <w:rPr>
                <w:b/>
                <w:i/>
                <w:w w:val="95"/>
                <w:sz w:val="22"/>
              </w:rPr>
              <w:t>因酗酒或药物滥用导致的肝功能衰竭不在保障范围内。</w:t>
            </w:r>
            <w:r>
              <w:rPr>
                <w:b/>
                <w:i/>
                <w:w w:val="94"/>
                <w:sz w:val="22"/>
              </w:rPr>
              <w:t> </w:t>
            </w:r>
          </w:p>
        </w:tc>
      </w:tr>
      <w:tr>
        <w:trPr>
          <w:trHeight w:val="332"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90" w:lineRule="exact"/>
              <w:ind w:left="114"/>
              <w:rPr>
                <w:b/>
                <w:i/>
                <w:sz w:val="25"/>
              </w:rPr>
            </w:pPr>
            <w:r>
              <w:rPr>
                <w:b/>
                <w:i/>
                <w:w w:val="95"/>
                <w:sz w:val="25"/>
              </w:rPr>
              <w:t> </w:t>
            </w:r>
          </w:p>
        </w:tc>
      </w:tr>
      <w:tr>
        <w:trPr>
          <w:trHeight w:val="316" w:hRule="atLeast"/>
        </w:trPr>
        <w:tc>
          <w:tcPr>
            <w:tcW w:w="457" w:type="dxa"/>
          </w:tcPr>
          <w:p>
            <w:pPr>
              <w:pStyle w:val="TableParagraph"/>
              <w:spacing w:before="1"/>
              <w:ind w:left="50"/>
              <w:rPr>
                <w:b/>
                <w:sz w:val="21"/>
              </w:rPr>
            </w:pPr>
            <w:r>
              <w:rPr>
                <w:b/>
                <w:w w:val="99"/>
                <w:sz w:val="21"/>
              </w:rPr>
              <w:t> </w:t>
            </w:r>
          </w:p>
        </w:tc>
        <w:tc>
          <w:tcPr>
            <w:tcW w:w="1888" w:type="dxa"/>
          </w:tcPr>
          <w:p>
            <w:pPr>
              <w:pStyle w:val="TableParagraph"/>
              <w:spacing w:line="282" w:lineRule="exact"/>
              <w:ind w:left="302"/>
              <w:rPr>
                <w:rFonts w:ascii="Microsoft JhengHei" w:eastAsia="Microsoft JhengHei" w:hint="eastAsia"/>
                <w:b/>
                <w:sz w:val="21"/>
              </w:rPr>
            </w:pPr>
            <w:r>
              <w:rPr>
                <w:rFonts w:ascii="Microsoft JhengHei" w:eastAsia="Microsoft JhengHei" w:hint="eastAsia"/>
                <w:b/>
                <w:sz w:val="21"/>
              </w:rPr>
              <w:t>33. 特定周围动</w:t>
            </w:r>
          </w:p>
        </w:tc>
        <w:tc>
          <w:tcPr>
            <w:tcW w:w="7319" w:type="dxa"/>
          </w:tcPr>
          <w:p>
            <w:pPr>
              <w:pStyle w:val="TableParagraph"/>
              <w:spacing w:line="253" w:lineRule="exact"/>
              <w:ind w:left="114"/>
              <w:rPr>
                <w:sz w:val="21"/>
              </w:rPr>
            </w:pPr>
            <w:r>
              <w:rPr>
                <w:sz w:val="21"/>
              </w:rPr>
              <w:t>指为治疗一条或者一条以上的下列动脉狭窄而实施的血管介入治疗： </w:t>
            </w:r>
          </w:p>
        </w:tc>
      </w:tr>
      <w:tr>
        <w:trPr>
          <w:trHeight w:val="385" w:hRule="atLeast"/>
        </w:trPr>
        <w:tc>
          <w:tcPr>
            <w:tcW w:w="457" w:type="dxa"/>
          </w:tcPr>
          <w:p>
            <w:pPr>
              <w:pStyle w:val="TableParagraph"/>
              <w:rPr>
                <w:rFonts w:ascii="Times New Roman"/>
                <w:sz w:val="20"/>
              </w:rPr>
            </w:pPr>
          </w:p>
        </w:tc>
        <w:tc>
          <w:tcPr>
            <w:tcW w:w="1888"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脉疾病的血管介</w:t>
            </w:r>
          </w:p>
        </w:tc>
        <w:tc>
          <w:tcPr>
            <w:tcW w:w="7319" w:type="dxa"/>
          </w:tcPr>
          <w:p>
            <w:pPr>
              <w:pStyle w:val="TableParagraph"/>
              <w:spacing w:line="248" w:lineRule="exact"/>
              <w:ind w:left="114"/>
              <w:rPr>
                <w:sz w:val="21"/>
              </w:rPr>
            </w:pPr>
            <w:r>
              <w:rPr>
                <w:sz w:val="21"/>
              </w:rPr>
              <w:t>（1）为下肢或者上肢供血的动脉； </w:t>
            </w:r>
          </w:p>
        </w:tc>
      </w:tr>
      <w:tr>
        <w:trPr>
          <w:trHeight w:val="537" w:hRule="atLeast"/>
        </w:trPr>
        <w:tc>
          <w:tcPr>
            <w:tcW w:w="457" w:type="dxa"/>
          </w:tcPr>
          <w:p>
            <w:pPr>
              <w:pStyle w:val="TableParagraph"/>
              <w:rPr>
                <w:rFonts w:ascii="Times New Roman"/>
                <w:sz w:val="20"/>
              </w:rPr>
            </w:pPr>
          </w:p>
        </w:tc>
        <w:tc>
          <w:tcPr>
            <w:tcW w:w="1888" w:type="dxa"/>
          </w:tcPr>
          <w:p>
            <w:pPr>
              <w:pStyle w:val="TableParagraph"/>
              <w:spacing w:line="298" w:lineRule="exact"/>
              <w:ind w:left="302"/>
              <w:rPr>
                <w:b/>
                <w:sz w:val="21"/>
              </w:rPr>
            </w:pPr>
            <w:r>
              <w:rPr>
                <w:rFonts w:ascii="Microsoft JhengHei" w:eastAsia="Microsoft JhengHei" w:hint="eastAsia"/>
                <w:b/>
                <w:sz w:val="21"/>
              </w:rPr>
              <w:t>入治疗</w:t>
            </w:r>
            <w:r>
              <w:rPr>
                <w:b/>
                <w:w w:val="99"/>
                <w:sz w:val="21"/>
              </w:rPr>
              <w:t> </w:t>
            </w:r>
          </w:p>
        </w:tc>
        <w:tc>
          <w:tcPr>
            <w:tcW w:w="7319" w:type="dxa"/>
          </w:tcPr>
          <w:p>
            <w:pPr>
              <w:pStyle w:val="TableParagraph"/>
              <w:spacing w:line="175" w:lineRule="exact"/>
              <w:ind w:left="114"/>
              <w:rPr>
                <w:sz w:val="21"/>
              </w:rPr>
            </w:pPr>
            <w:r>
              <w:rPr>
                <w:sz w:val="21"/>
              </w:rPr>
              <w:t>（2）肾动脉； </w:t>
            </w:r>
          </w:p>
          <w:p>
            <w:pPr>
              <w:pStyle w:val="TableParagraph"/>
              <w:spacing w:before="37"/>
              <w:ind w:left="114"/>
              <w:rPr>
                <w:sz w:val="21"/>
              </w:rPr>
            </w:pPr>
            <w:r>
              <w:rPr>
                <w:sz w:val="21"/>
              </w:rPr>
              <w:t>（3）肠系膜动脉。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须满足下列全部条件：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319" w:type="dxa"/>
          </w:tcPr>
          <w:p>
            <w:pPr>
              <w:pStyle w:val="TableParagraph"/>
              <w:spacing w:line="261" w:lineRule="exact"/>
              <w:ind w:left="114"/>
              <w:rPr>
                <w:sz w:val="21"/>
              </w:rPr>
            </w:pPr>
            <w:r>
              <w:rPr>
                <w:sz w:val="21"/>
              </w:rPr>
              <w:t>（1）经血管造影术证实一条或者一条以上的上述动脉狭窄达到50%或者以上；</w:t>
            </w:r>
          </w:p>
        </w:tc>
      </w:tr>
      <w:tr>
        <w:trPr>
          <w:trHeight w:val="260" w:hRule="atLeast"/>
        </w:trPr>
        <w:tc>
          <w:tcPr>
            <w:tcW w:w="457" w:type="dxa"/>
          </w:tcPr>
          <w:p>
            <w:pPr>
              <w:pStyle w:val="TableParagraph"/>
              <w:rPr>
                <w:rFonts w:ascii="Times New Roman"/>
                <w:sz w:val="18"/>
              </w:rPr>
            </w:pPr>
          </w:p>
        </w:tc>
        <w:tc>
          <w:tcPr>
            <w:tcW w:w="1888" w:type="dxa"/>
          </w:tcPr>
          <w:p>
            <w:pPr>
              <w:pStyle w:val="TableParagraph"/>
              <w:rPr>
                <w:rFonts w:ascii="Times New Roman"/>
                <w:sz w:val="18"/>
              </w:rPr>
            </w:pPr>
          </w:p>
        </w:tc>
        <w:tc>
          <w:tcPr>
            <w:tcW w:w="7319" w:type="dxa"/>
          </w:tcPr>
          <w:p>
            <w:pPr>
              <w:pStyle w:val="TableParagraph"/>
              <w:spacing w:line="241" w:lineRule="exact"/>
              <w:ind w:left="114"/>
              <w:rPr>
                <w:sz w:val="21"/>
              </w:rPr>
            </w:pPr>
            <w:r>
              <w:rPr>
                <w:sz w:val="21"/>
              </w:rPr>
              <w:t>（2）对一条或者一条以上的上述动脉施行了血管介入治疗，如血管成形术及/</w:t>
            </w:r>
          </w:p>
        </w:tc>
      </w:tr>
    </w:tbl>
    <w:p>
      <w:pPr>
        <w:spacing w:after="0" w:line="241" w:lineRule="exact"/>
        <w:rPr>
          <w:sz w:val="21"/>
        </w:rPr>
        <w:sectPr>
          <w:type w:val="continuous"/>
          <w:pgSz w:w="11910" w:h="16840"/>
          <w:pgMar w:top="700" w:bottom="280" w:left="1020" w:right="94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76"/>
        <w:gridCol w:w="7333"/>
      </w:tblGrid>
      <w:tr>
        <w:trPr>
          <w:trHeight w:val="573"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10" w:lineRule="exact"/>
              <w:ind w:left="113"/>
              <w:rPr>
                <w:sz w:val="21"/>
              </w:rPr>
            </w:pPr>
            <w:r>
              <w:rPr>
                <w:sz w:val="21"/>
              </w:rPr>
              <w:t>或者进行植入支架或者动脉粥样样瘤清除手术。 </w:t>
            </w:r>
          </w:p>
          <w:p>
            <w:pPr>
              <w:pStyle w:val="TableParagraph"/>
              <w:spacing w:before="25"/>
              <w:ind w:left="113"/>
              <w:rPr>
                <w:b/>
                <w:i/>
                <w:sz w:val="22"/>
              </w:rPr>
            </w:pPr>
            <w:r>
              <w:rPr>
                <w:b/>
                <w:i/>
                <w:w w:val="95"/>
                <w:sz w:val="22"/>
              </w:rPr>
              <w:t>上述动脉疾病的诊断以及相关治疗的必要性必须由血管疾病的专科医生确定。</w:t>
            </w:r>
          </w:p>
        </w:tc>
      </w:tr>
      <w:tr>
        <w:trPr>
          <w:trHeight w:val="346" w:hRule="atLeast"/>
        </w:trPr>
        <w:tc>
          <w:tcPr>
            <w:tcW w:w="670" w:type="dxa"/>
          </w:tcPr>
          <w:p>
            <w:pPr>
              <w:pStyle w:val="TableParagraph"/>
              <w:spacing w:before="9"/>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60" w:lineRule="exact"/>
              <w:ind w:left="113"/>
              <w:rPr>
                <w:sz w:val="21"/>
              </w:rPr>
            </w:pPr>
            <w:r>
              <w:rPr>
                <w:sz w:val="21"/>
              </w:rPr>
              <w:t> </w:t>
            </w:r>
          </w:p>
        </w:tc>
      </w:tr>
      <w:tr>
        <w:trPr>
          <w:trHeight w:val="336"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sz w:val="21"/>
              </w:rPr>
              <w:t>34. 因肾上腺皮</w:t>
            </w:r>
          </w:p>
        </w:tc>
        <w:tc>
          <w:tcPr>
            <w:tcW w:w="7333" w:type="dxa"/>
          </w:tcPr>
          <w:p>
            <w:pPr>
              <w:pStyle w:val="TableParagraph"/>
              <w:spacing w:line="272" w:lineRule="exact"/>
              <w:ind w:left="113"/>
              <w:rPr>
                <w:sz w:val="21"/>
              </w:rPr>
            </w:pPr>
            <w:r>
              <w:rPr>
                <w:sz w:val="21"/>
              </w:rPr>
              <w:t>因肾上腺皮质腺瘤所导致的醛固酮分泌过多而产生的继发性恶性高血压而实际</w:t>
            </w:r>
          </w:p>
        </w:tc>
      </w:tr>
      <w:tr>
        <w:trPr>
          <w:trHeight w:val="391" w:hRule="atLeast"/>
        </w:trPr>
        <w:tc>
          <w:tcPr>
            <w:tcW w:w="670" w:type="dxa"/>
          </w:tcPr>
          <w:p>
            <w:pPr>
              <w:pStyle w:val="TableParagraph"/>
              <w:rPr>
                <w:rFonts w:ascii="Times New Roman"/>
                <w:sz w:val="20"/>
              </w:rPr>
            </w:pPr>
          </w:p>
        </w:tc>
        <w:tc>
          <w:tcPr>
            <w:tcW w:w="1676" w:type="dxa"/>
          </w:tcPr>
          <w:p>
            <w:pPr>
              <w:pStyle w:val="TableParagraph"/>
              <w:spacing w:line="325" w:lineRule="exact"/>
              <w:ind w:left="89"/>
              <w:rPr>
                <w:rFonts w:ascii="Microsoft JhengHei" w:eastAsia="Microsoft JhengHei" w:hint="eastAsia"/>
                <w:b/>
                <w:sz w:val="21"/>
              </w:rPr>
            </w:pPr>
            <w:r>
              <w:rPr>
                <w:rFonts w:ascii="Microsoft JhengHei" w:eastAsia="Microsoft JhengHei" w:hint="eastAsia"/>
                <w:b/>
                <w:sz w:val="21"/>
              </w:rPr>
              <w:t>质腺瘤切除肾上</w:t>
            </w:r>
          </w:p>
        </w:tc>
        <w:tc>
          <w:tcPr>
            <w:tcW w:w="7333" w:type="dxa"/>
          </w:tcPr>
          <w:p>
            <w:pPr>
              <w:pStyle w:val="TableParagraph"/>
              <w:spacing w:line="248" w:lineRule="exact"/>
              <w:ind w:left="113"/>
              <w:rPr>
                <w:sz w:val="21"/>
              </w:rPr>
            </w:pPr>
            <w:r>
              <w:rPr>
                <w:sz w:val="21"/>
              </w:rPr>
              <w:t>接受了肾上腺切除术治疗。  </w:t>
            </w:r>
          </w:p>
        </w:tc>
      </w:tr>
      <w:tr>
        <w:trPr>
          <w:trHeight w:val="349" w:hRule="atLeast"/>
        </w:trPr>
        <w:tc>
          <w:tcPr>
            <w:tcW w:w="670" w:type="dxa"/>
          </w:tcPr>
          <w:p>
            <w:pPr>
              <w:pStyle w:val="TableParagraph"/>
              <w:rPr>
                <w:rFonts w:ascii="Times New Roman"/>
                <w:sz w:val="20"/>
              </w:rPr>
            </w:pPr>
          </w:p>
        </w:tc>
        <w:tc>
          <w:tcPr>
            <w:tcW w:w="1676" w:type="dxa"/>
          </w:tcPr>
          <w:p>
            <w:pPr>
              <w:pStyle w:val="TableParagraph"/>
              <w:spacing w:line="292" w:lineRule="exact"/>
              <w:ind w:left="89"/>
              <w:rPr>
                <w:rFonts w:ascii="Microsoft JhengHei" w:eastAsia="Microsoft JhengHei" w:hint="eastAsia"/>
                <w:b/>
                <w:sz w:val="21"/>
              </w:rPr>
            </w:pPr>
            <w:r>
              <w:rPr>
                <w:rFonts w:ascii="Microsoft JhengHei" w:eastAsia="Microsoft JhengHei" w:hint="eastAsia"/>
                <w:b/>
                <w:sz w:val="21"/>
              </w:rPr>
              <w:t>腺</w:t>
            </w:r>
          </w:p>
        </w:tc>
        <w:tc>
          <w:tcPr>
            <w:tcW w:w="7333" w:type="dxa"/>
          </w:tcPr>
          <w:p>
            <w:pPr>
              <w:pStyle w:val="TableParagraph"/>
              <w:spacing w:line="170" w:lineRule="exact"/>
              <w:ind w:left="113"/>
              <w:rPr>
                <w:sz w:val="21"/>
              </w:rPr>
            </w:pPr>
            <w:r>
              <w:rPr>
                <w:b/>
                <w:i/>
                <w:w w:val="95"/>
                <w:sz w:val="22"/>
              </w:rPr>
              <w:t>上述诊断以及相关治疗必须由专科医生认为是医学上必需的情况下进行。</w:t>
            </w:r>
            <w:r>
              <w:rPr>
                <w:sz w:val="21"/>
              </w:rPr>
              <w:t> </w:t>
            </w:r>
          </w:p>
        </w:tc>
      </w:tr>
      <w:tr>
        <w:trPr>
          <w:trHeight w:val="357" w:hRule="atLeast"/>
        </w:trPr>
        <w:tc>
          <w:tcPr>
            <w:tcW w:w="670" w:type="dxa"/>
          </w:tcPr>
          <w:p>
            <w:pPr>
              <w:pStyle w:val="TableParagraph"/>
              <w:spacing w:before="20"/>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71" w:lineRule="exact"/>
              <w:ind w:left="113"/>
              <w:rPr>
                <w:sz w:val="21"/>
              </w:rPr>
            </w:pPr>
            <w:r>
              <w:rPr>
                <w:sz w:val="21"/>
              </w:rPr>
              <w:t> </w:t>
            </w:r>
          </w:p>
        </w:tc>
      </w:tr>
      <w:tr>
        <w:trPr>
          <w:trHeight w:val="331"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sz w:val="21"/>
              </w:rPr>
              <w:t>35. 植入腔静脉</w:t>
            </w:r>
          </w:p>
        </w:tc>
        <w:tc>
          <w:tcPr>
            <w:tcW w:w="7333" w:type="dxa"/>
          </w:tcPr>
          <w:p>
            <w:pPr>
              <w:pStyle w:val="TableParagraph"/>
              <w:spacing w:line="272" w:lineRule="exact"/>
              <w:ind w:left="113"/>
              <w:rPr>
                <w:sz w:val="21"/>
              </w:rPr>
            </w:pPr>
            <w:r>
              <w:rPr>
                <w:sz w:val="21"/>
              </w:rPr>
              <w:t>指患者因反复肺栓塞发作，抗凝血疗法无效而接受手术植入腔静脉过滤器。  </w:t>
            </w:r>
          </w:p>
        </w:tc>
      </w:tr>
      <w:tr>
        <w:trPr>
          <w:trHeight w:val="387" w:hRule="atLeast"/>
        </w:trPr>
        <w:tc>
          <w:tcPr>
            <w:tcW w:w="670" w:type="dxa"/>
          </w:tcPr>
          <w:p>
            <w:pPr>
              <w:pStyle w:val="TableParagraph"/>
              <w:rPr>
                <w:rFonts w:ascii="Times New Roman"/>
                <w:sz w:val="20"/>
              </w:rPr>
            </w:pPr>
          </w:p>
        </w:tc>
        <w:tc>
          <w:tcPr>
            <w:tcW w:w="1676" w:type="dxa"/>
          </w:tcPr>
          <w:p>
            <w:pPr>
              <w:pStyle w:val="TableParagraph"/>
              <w:spacing w:line="330" w:lineRule="exact"/>
              <w:ind w:left="89"/>
              <w:rPr>
                <w:rFonts w:ascii="Microsoft JhengHei" w:eastAsia="Microsoft JhengHei" w:hint="eastAsia"/>
                <w:b/>
                <w:sz w:val="21"/>
              </w:rPr>
            </w:pPr>
            <w:r>
              <w:rPr>
                <w:rFonts w:ascii="Microsoft JhengHei" w:eastAsia="Microsoft JhengHei" w:hint="eastAsia"/>
                <w:b/>
                <w:sz w:val="21"/>
              </w:rPr>
              <w:t>过滤器</w:t>
            </w:r>
          </w:p>
        </w:tc>
        <w:tc>
          <w:tcPr>
            <w:tcW w:w="7333" w:type="dxa"/>
          </w:tcPr>
          <w:p>
            <w:pPr>
              <w:pStyle w:val="TableParagraph"/>
              <w:spacing w:line="255" w:lineRule="exact"/>
              <w:ind w:left="113"/>
              <w:rPr>
                <w:sz w:val="21"/>
              </w:rPr>
            </w:pPr>
            <w:r>
              <w:rPr>
                <w:b/>
                <w:i/>
                <w:w w:val="95"/>
                <w:sz w:val="22"/>
              </w:rPr>
              <w:t>此手术必须由专科医生认为是医学上必需的情况下进行。</w:t>
            </w:r>
            <w:r>
              <w:rPr>
                <w:sz w:val="21"/>
              </w:rPr>
              <w:t> </w:t>
            </w:r>
          </w:p>
        </w:tc>
      </w:tr>
      <w:tr>
        <w:trPr>
          <w:trHeight w:val="357" w:hRule="atLeast"/>
        </w:trPr>
        <w:tc>
          <w:tcPr>
            <w:tcW w:w="670" w:type="dxa"/>
          </w:tcPr>
          <w:p>
            <w:pPr>
              <w:pStyle w:val="TableParagraph"/>
              <w:spacing w:before="20"/>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71" w:lineRule="exact"/>
              <w:ind w:left="113"/>
              <w:rPr>
                <w:sz w:val="21"/>
              </w:rPr>
            </w:pPr>
            <w:r>
              <w:rPr>
                <w:sz w:val="21"/>
              </w:rPr>
              <w:t> </w:t>
            </w:r>
          </w:p>
        </w:tc>
      </w:tr>
      <w:tr>
        <w:trPr>
          <w:trHeight w:val="336"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sz w:val="21"/>
              </w:rPr>
              <w:t>36. 脑动脉瘤及</w:t>
            </w:r>
          </w:p>
        </w:tc>
        <w:tc>
          <w:tcPr>
            <w:tcW w:w="7333" w:type="dxa"/>
          </w:tcPr>
          <w:p>
            <w:pPr>
              <w:pStyle w:val="TableParagraph"/>
              <w:spacing w:line="272" w:lineRule="exact"/>
              <w:ind w:left="113"/>
              <w:rPr>
                <w:sz w:val="21"/>
              </w:rPr>
            </w:pPr>
            <w:r>
              <w:rPr>
                <w:spacing w:val="-2"/>
                <w:sz w:val="21"/>
              </w:rPr>
              <w:t>指被保险人经头颅断层扫描</w:t>
            </w:r>
            <w:r>
              <w:rPr>
                <w:spacing w:val="-5"/>
                <w:sz w:val="21"/>
              </w:rPr>
              <w:t>（CT）</w:t>
            </w:r>
            <w:r>
              <w:rPr>
                <w:spacing w:val="-9"/>
                <w:sz w:val="21"/>
              </w:rPr>
              <w:t>、核磁共振</w:t>
            </w:r>
            <w:r>
              <w:rPr>
                <w:spacing w:val="-4"/>
                <w:sz w:val="21"/>
              </w:rPr>
              <w:t>（MRI）</w:t>
            </w:r>
            <w:r>
              <w:rPr>
                <w:sz w:val="21"/>
              </w:rPr>
              <w:t>或其他影像学检查被确诊</w:t>
            </w:r>
          </w:p>
        </w:tc>
      </w:tr>
      <w:tr>
        <w:trPr>
          <w:trHeight w:val="382" w:hRule="atLeast"/>
        </w:trPr>
        <w:tc>
          <w:tcPr>
            <w:tcW w:w="670" w:type="dxa"/>
          </w:tcPr>
          <w:p>
            <w:pPr>
              <w:pStyle w:val="TableParagraph"/>
              <w:rPr>
                <w:rFonts w:ascii="Times New Roman"/>
                <w:sz w:val="20"/>
              </w:rPr>
            </w:pPr>
          </w:p>
        </w:tc>
        <w:tc>
          <w:tcPr>
            <w:tcW w:w="1676" w:type="dxa"/>
          </w:tcPr>
          <w:p>
            <w:pPr>
              <w:pStyle w:val="TableParagraph"/>
              <w:spacing w:line="325" w:lineRule="exact"/>
              <w:ind w:left="89"/>
              <w:rPr>
                <w:b/>
                <w:sz w:val="21"/>
              </w:rPr>
            </w:pPr>
            <w:r>
              <w:rPr>
                <w:rFonts w:ascii="Microsoft JhengHei" w:eastAsia="Microsoft JhengHei" w:hint="eastAsia"/>
                <w:b/>
                <w:sz w:val="21"/>
              </w:rPr>
              <w:t>脑血管瘤</w:t>
            </w:r>
            <w:r>
              <w:rPr>
                <w:b/>
                <w:w w:val="99"/>
                <w:sz w:val="21"/>
              </w:rPr>
              <w:t> </w:t>
            </w:r>
          </w:p>
        </w:tc>
        <w:tc>
          <w:tcPr>
            <w:tcW w:w="7333" w:type="dxa"/>
          </w:tcPr>
          <w:p>
            <w:pPr>
              <w:pStyle w:val="TableParagraph"/>
              <w:spacing w:line="248" w:lineRule="exact"/>
              <w:ind w:left="113"/>
              <w:rPr>
                <w:sz w:val="21"/>
              </w:rPr>
            </w:pPr>
            <w:r>
              <w:rPr>
                <w:sz w:val="21"/>
              </w:rPr>
              <w:t>为脑动脉瘤、脑血管瘤，并实际接受了手术或放射治疗。  </w:t>
            </w:r>
          </w:p>
        </w:tc>
      </w:tr>
      <w:tr>
        <w:trPr>
          <w:trHeight w:val="357" w:hRule="atLeast"/>
        </w:trPr>
        <w:tc>
          <w:tcPr>
            <w:tcW w:w="670" w:type="dxa"/>
          </w:tcPr>
          <w:p>
            <w:pPr>
              <w:pStyle w:val="TableParagraph"/>
              <w:spacing w:before="20"/>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71" w:lineRule="exact"/>
              <w:ind w:left="113"/>
              <w:rPr>
                <w:sz w:val="21"/>
              </w:rPr>
            </w:pPr>
            <w:r>
              <w:rPr>
                <w:sz w:val="21"/>
              </w:rPr>
              <w:t> </w:t>
            </w:r>
          </w:p>
        </w:tc>
      </w:tr>
      <w:tr>
        <w:trPr>
          <w:trHeight w:val="331"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sz w:val="21"/>
              </w:rPr>
              <w:t>37. 双侧睾丸切</w:t>
            </w:r>
          </w:p>
        </w:tc>
        <w:tc>
          <w:tcPr>
            <w:tcW w:w="7333" w:type="dxa"/>
          </w:tcPr>
          <w:p>
            <w:pPr>
              <w:pStyle w:val="TableParagraph"/>
              <w:spacing w:line="272" w:lineRule="exact"/>
              <w:ind w:left="113"/>
              <w:rPr>
                <w:sz w:val="21"/>
              </w:rPr>
            </w:pPr>
            <w:r>
              <w:rPr>
                <w:sz w:val="21"/>
              </w:rPr>
              <w:t>指为治疗疾病实际接受了双侧睾丸完全切除手术。 </w:t>
            </w:r>
          </w:p>
        </w:tc>
      </w:tr>
      <w:tr>
        <w:trPr>
          <w:trHeight w:val="616" w:hRule="atLeast"/>
        </w:trPr>
        <w:tc>
          <w:tcPr>
            <w:tcW w:w="670" w:type="dxa"/>
          </w:tcPr>
          <w:p>
            <w:pPr>
              <w:pStyle w:val="TableParagraph"/>
              <w:rPr>
                <w:rFonts w:ascii="Times New Roman"/>
                <w:sz w:val="20"/>
              </w:rPr>
            </w:pPr>
          </w:p>
        </w:tc>
        <w:tc>
          <w:tcPr>
            <w:tcW w:w="1676" w:type="dxa"/>
          </w:tcPr>
          <w:p>
            <w:pPr>
              <w:pStyle w:val="TableParagraph"/>
              <w:spacing w:line="330" w:lineRule="exact"/>
              <w:ind w:left="89"/>
              <w:rPr>
                <w:b/>
                <w:sz w:val="21"/>
              </w:rPr>
            </w:pPr>
            <w:r>
              <w:rPr>
                <w:rFonts w:ascii="Microsoft JhengHei" w:eastAsia="Microsoft JhengHei" w:hint="eastAsia"/>
                <w:b/>
                <w:sz w:val="21"/>
              </w:rPr>
              <w:t>除术</w:t>
            </w:r>
            <w:r>
              <w:rPr>
                <w:b/>
                <w:w w:val="99"/>
                <w:sz w:val="21"/>
              </w:rPr>
              <w:t> </w:t>
            </w:r>
          </w:p>
        </w:tc>
        <w:tc>
          <w:tcPr>
            <w:tcW w:w="7333" w:type="dxa"/>
          </w:tcPr>
          <w:p>
            <w:pPr>
              <w:pStyle w:val="TableParagraph"/>
              <w:spacing w:line="255" w:lineRule="exact"/>
              <w:ind w:left="113"/>
              <w:rPr>
                <w:b/>
                <w:i/>
                <w:sz w:val="22"/>
              </w:rPr>
            </w:pPr>
            <w:r>
              <w:rPr>
                <w:b/>
                <w:i/>
                <w:w w:val="95"/>
                <w:sz w:val="22"/>
              </w:rPr>
              <w:t>部分睾丸切除不在保障范围内。</w:t>
            </w:r>
            <w:r>
              <w:rPr>
                <w:b/>
                <w:i/>
                <w:w w:val="94"/>
                <w:sz w:val="22"/>
              </w:rPr>
              <w:t> </w:t>
            </w:r>
          </w:p>
          <w:p>
            <w:pPr>
              <w:pStyle w:val="TableParagraph"/>
              <w:spacing w:before="24"/>
              <w:ind w:left="113"/>
              <w:rPr>
                <w:b/>
                <w:i/>
                <w:sz w:val="22"/>
              </w:rPr>
            </w:pPr>
            <w:r>
              <w:rPr>
                <w:b/>
                <w:i/>
                <w:w w:val="94"/>
                <w:sz w:val="22"/>
              </w:rPr>
              <w:t> </w:t>
            </w:r>
          </w:p>
        </w:tc>
      </w:tr>
      <w:tr>
        <w:trPr>
          <w:trHeight w:val="346" w:hRule="atLeast"/>
        </w:trPr>
        <w:tc>
          <w:tcPr>
            <w:tcW w:w="670" w:type="dxa"/>
          </w:tcPr>
          <w:p>
            <w:pPr>
              <w:pStyle w:val="TableParagraph"/>
              <w:spacing w:before="9"/>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60" w:lineRule="exact"/>
              <w:ind w:left="113"/>
              <w:rPr>
                <w:sz w:val="21"/>
              </w:rPr>
            </w:pPr>
            <w:r>
              <w:rPr>
                <w:sz w:val="21"/>
              </w:rPr>
              <w:t> </w:t>
            </w:r>
          </w:p>
        </w:tc>
      </w:tr>
      <w:tr>
        <w:trPr>
          <w:trHeight w:val="331"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sz w:val="21"/>
              </w:rPr>
              <w:t>38. 出血性登革</w:t>
            </w:r>
          </w:p>
        </w:tc>
        <w:tc>
          <w:tcPr>
            <w:tcW w:w="7333" w:type="dxa"/>
          </w:tcPr>
          <w:p>
            <w:pPr>
              <w:pStyle w:val="TableParagraph"/>
              <w:spacing w:line="272" w:lineRule="exact"/>
              <w:ind w:left="113"/>
              <w:rPr>
                <w:sz w:val="21"/>
              </w:rPr>
            </w:pPr>
            <w:r>
              <w:rPr>
                <w:sz w:val="21"/>
              </w:rPr>
              <w:t>出血性登革热须出现以下全部四种症状，包括：发高烧、出血现象、肝肿大和</w:t>
            </w:r>
          </w:p>
        </w:tc>
      </w:tr>
      <w:tr>
        <w:trPr>
          <w:trHeight w:val="611" w:hRule="atLeast"/>
        </w:trPr>
        <w:tc>
          <w:tcPr>
            <w:tcW w:w="670" w:type="dxa"/>
          </w:tcPr>
          <w:p>
            <w:pPr>
              <w:pStyle w:val="TableParagraph"/>
              <w:rPr>
                <w:rFonts w:ascii="Times New Roman"/>
                <w:sz w:val="20"/>
              </w:rPr>
            </w:pPr>
          </w:p>
        </w:tc>
        <w:tc>
          <w:tcPr>
            <w:tcW w:w="1676" w:type="dxa"/>
          </w:tcPr>
          <w:p>
            <w:pPr>
              <w:pStyle w:val="TableParagraph"/>
              <w:spacing w:line="330" w:lineRule="exact"/>
              <w:ind w:left="89"/>
              <w:rPr>
                <w:rFonts w:ascii="Microsoft JhengHei" w:eastAsia="Microsoft JhengHei" w:hint="eastAsia"/>
                <w:b/>
                <w:sz w:val="21"/>
              </w:rPr>
            </w:pPr>
            <w:r>
              <w:rPr>
                <w:rFonts w:ascii="Microsoft JhengHei" w:eastAsia="Microsoft JhengHei" w:hint="eastAsia"/>
                <w:b/>
                <w:sz w:val="21"/>
              </w:rPr>
              <w:t>热</w:t>
            </w:r>
          </w:p>
        </w:tc>
        <w:tc>
          <w:tcPr>
            <w:tcW w:w="7333" w:type="dxa"/>
          </w:tcPr>
          <w:p>
            <w:pPr>
              <w:pStyle w:val="TableParagraph"/>
              <w:spacing w:line="255" w:lineRule="exact"/>
              <w:ind w:left="113"/>
              <w:rPr>
                <w:b/>
                <w:i/>
                <w:sz w:val="22"/>
              </w:rPr>
            </w:pPr>
            <w:r>
              <w:rPr>
                <w:w w:val="95"/>
                <w:sz w:val="21"/>
              </w:rPr>
              <w:t>循环衰竭（登革热休克综合症即符合WHO登革热第Ⅲ级及第Ⅳ级）。</w:t>
            </w:r>
            <w:r>
              <w:rPr>
                <w:b/>
                <w:i/>
                <w:w w:val="95"/>
                <w:sz w:val="22"/>
              </w:rPr>
              <w:t>出血性登革</w:t>
            </w:r>
          </w:p>
          <w:p>
            <w:pPr>
              <w:pStyle w:val="TableParagraph"/>
              <w:spacing w:before="24"/>
              <w:ind w:left="113"/>
              <w:rPr>
                <w:b/>
                <w:i/>
                <w:sz w:val="22"/>
              </w:rPr>
            </w:pPr>
            <w:r>
              <w:rPr>
                <w:b/>
                <w:i/>
                <w:w w:val="95"/>
                <w:sz w:val="22"/>
              </w:rPr>
              <w:t>热的诊断必须由专科医生确诊。</w:t>
            </w:r>
            <w:r>
              <w:rPr>
                <w:b/>
                <w:i/>
                <w:w w:val="94"/>
                <w:sz w:val="22"/>
              </w:rPr>
              <w:t> </w:t>
            </w:r>
          </w:p>
        </w:tc>
      </w:tr>
      <w:tr>
        <w:trPr>
          <w:trHeight w:val="317"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sz w:val="21"/>
              </w:rPr>
            </w:pPr>
            <w:r>
              <w:rPr>
                <w:b/>
                <w:i/>
                <w:w w:val="95"/>
                <w:sz w:val="22"/>
              </w:rPr>
              <w:t>非出血性登革热不在保障范围内。</w:t>
            </w:r>
            <w:r>
              <w:rPr>
                <w:sz w:val="21"/>
              </w:rPr>
              <w:t> </w:t>
            </w:r>
          </w:p>
        </w:tc>
      </w:tr>
      <w:tr>
        <w:trPr>
          <w:trHeight w:val="346" w:hRule="atLeast"/>
        </w:trPr>
        <w:tc>
          <w:tcPr>
            <w:tcW w:w="670" w:type="dxa"/>
          </w:tcPr>
          <w:p>
            <w:pPr>
              <w:pStyle w:val="TableParagraph"/>
              <w:spacing w:before="9"/>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60" w:lineRule="exact"/>
              <w:ind w:left="113"/>
              <w:rPr>
                <w:sz w:val="21"/>
              </w:rPr>
            </w:pPr>
            <w:r>
              <w:rPr>
                <w:sz w:val="21"/>
              </w:rPr>
              <w:t> </w:t>
            </w:r>
          </w:p>
        </w:tc>
      </w:tr>
      <w:tr>
        <w:trPr>
          <w:trHeight w:val="335" w:hRule="atLeast"/>
        </w:trPr>
        <w:tc>
          <w:tcPr>
            <w:tcW w:w="670" w:type="dxa"/>
          </w:tcPr>
          <w:p>
            <w:pPr>
              <w:pStyle w:val="TableParagraph"/>
              <w:spacing w:before="21"/>
              <w:ind w:left="50"/>
              <w:rPr>
                <w:b/>
                <w:sz w:val="21"/>
              </w:rPr>
            </w:pPr>
            <w:r>
              <w:rPr>
                <w:b/>
                <w:sz w:val="21"/>
              </w:rPr>
              <w:t>6.11 </w:t>
            </w:r>
          </w:p>
        </w:tc>
        <w:tc>
          <w:tcPr>
            <w:tcW w:w="1676" w:type="dxa"/>
          </w:tcPr>
          <w:p>
            <w:pPr>
              <w:pStyle w:val="TableParagraph"/>
              <w:spacing w:before="21"/>
              <w:ind w:left="89"/>
              <w:rPr>
                <w:b/>
                <w:sz w:val="21"/>
              </w:rPr>
            </w:pPr>
            <w:r>
              <w:rPr>
                <w:b/>
                <w:w w:val="95"/>
                <w:sz w:val="21"/>
              </w:rPr>
              <w:t>重大疾病</w:t>
            </w:r>
            <w:r>
              <w:rPr>
                <w:b/>
                <w:w w:val="99"/>
                <w:sz w:val="21"/>
              </w:rPr>
              <w:t> </w:t>
            </w:r>
          </w:p>
        </w:tc>
        <w:tc>
          <w:tcPr>
            <w:tcW w:w="7333" w:type="dxa"/>
          </w:tcPr>
          <w:p>
            <w:pPr>
              <w:pStyle w:val="TableParagraph"/>
              <w:spacing w:line="272" w:lineRule="exact"/>
              <w:ind w:left="113"/>
              <w:rPr>
                <w:sz w:val="21"/>
              </w:rPr>
            </w:pPr>
            <w:r>
              <w:rPr>
                <w:sz w:val="21"/>
              </w:rPr>
              <w:t>指被保险人发生符合以下疾病定义所述条件的疾病（共80种），应当由专科医</w:t>
            </w:r>
          </w:p>
        </w:tc>
      </w:tr>
      <w:tr>
        <w:trPr>
          <w:trHeight w:val="299"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49" w:lineRule="exact"/>
              <w:ind w:left="113"/>
              <w:rPr>
                <w:sz w:val="21"/>
              </w:rPr>
            </w:pPr>
            <w:r>
              <w:rPr>
                <w:sz w:val="21"/>
              </w:rPr>
              <w:t>生明确诊断。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1" w:lineRule="exact"/>
              <w:ind w:left="113"/>
              <w:rPr>
                <w:b/>
                <w:sz w:val="21"/>
              </w:rPr>
            </w:pPr>
            <w:r>
              <w:rPr>
                <w:b/>
                <w:sz w:val="21"/>
              </w:rPr>
              <w:t>第1至第25项为中国保险行业协会与中国医师协会共同制定的《重大疾病保险</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1" w:lineRule="exact"/>
              <w:ind w:left="113"/>
              <w:rPr>
                <w:b/>
                <w:sz w:val="21"/>
              </w:rPr>
            </w:pPr>
            <w:r>
              <w:rPr>
                <w:b/>
                <w:w w:val="95"/>
                <w:sz w:val="21"/>
              </w:rPr>
              <w:t>的疾病定义使用规范》中的疾病名称和释义。第26至第80项为本公司增加的疾</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1" w:lineRule="exact"/>
              <w:ind w:left="113"/>
              <w:rPr>
                <w:b/>
                <w:sz w:val="21"/>
              </w:rPr>
            </w:pPr>
            <w:r>
              <w:rPr>
                <w:b/>
                <w:w w:val="95"/>
                <w:sz w:val="21"/>
              </w:rPr>
              <w:t>病种类。</w:t>
            </w:r>
            <w:r>
              <w:rPr>
                <w:b/>
                <w:w w:val="99"/>
                <w:sz w:val="21"/>
              </w:rPr>
              <w:t>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1" w:lineRule="exact"/>
              <w:ind w:left="113"/>
              <w:rPr>
                <w:sz w:val="21"/>
              </w:rPr>
            </w:pPr>
            <w:r>
              <w:rPr>
                <w:sz w:val="21"/>
              </w:rPr>
              <w:t> </w:t>
            </w:r>
          </w:p>
        </w:tc>
      </w:tr>
      <w:tr>
        <w:trPr>
          <w:trHeight w:val="325" w:hRule="atLeast"/>
        </w:trPr>
        <w:tc>
          <w:tcPr>
            <w:tcW w:w="670" w:type="dxa"/>
          </w:tcPr>
          <w:p>
            <w:pPr>
              <w:pStyle w:val="TableParagraph"/>
              <w:spacing w:before="10"/>
              <w:ind w:left="50"/>
              <w:rPr>
                <w:b/>
                <w:sz w:val="21"/>
              </w:rPr>
            </w:pPr>
            <w:r>
              <w:rPr>
                <w:b/>
                <w:w w:val="99"/>
                <w:sz w:val="21"/>
              </w:rPr>
              <w:t> </w:t>
            </w:r>
          </w:p>
        </w:tc>
        <w:tc>
          <w:tcPr>
            <w:tcW w:w="1676" w:type="dxa"/>
          </w:tcPr>
          <w:p>
            <w:pPr>
              <w:pStyle w:val="TableParagraph"/>
              <w:spacing w:line="291" w:lineRule="exact"/>
              <w:ind w:left="89"/>
              <w:rPr>
                <w:b/>
                <w:sz w:val="21"/>
              </w:rPr>
            </w:pPr>
            <w:r>
              <w:rPr>
                <w:rFonts w:ascii="Microsoft JhengHei" w:eastAsia="Microsoft JhengHei" w:hint="eastAsia"/>
                <w:b/>
                <w:sz w:val="21"/>
              </w:rPr>
              <w:t>1. 恶性肿瘤</w:t>
            </w:r>
            <w:r>
              <w:rPr>
                <w:b/>
                <w:w w:val="99"/>
                <w:sz w:val="21"/>
              </w:rPr>
              <w:t> </w:t>
            </w:r>
          </w:p>
        </w:tc>
        <w:tc>
          <w:tcPr>
            <w:tcW w:w="7333" w:type="dxa"/>
          </w:tcPr>
          <w:p>
            <w:pPr>
              <w:pStyle w:val="TableParagraph"/>
              <w:spacing w:line="261" w:lineRule="exact"/>
              <w:ind w:left="113"/>
              <w:rPr>
                <w:sz w:val="21"/>
              </w:rPr>
            </w:pPr>
            <w:r>
              <w:rPr>
                <w:sz w:val="21"/>
              </w:rPr>
              <w:t>指恶性细胞不受控制的进行性增长和扩散，浸润和破坏周围正常组织，可以经</w:t>
            </w:r>
          </w:p>
        </w:tc>
      </w:tr>
      <w:tr>
        <w:trPr>
          <w:trHeight w:val="298"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48" w:lineRule="exact"/>
              <w:ind w:left="113"/>
              <w:rPr>
                <w:sz w:val="21"/>
              </w:rPr>
            </w:pPr>
            <w:r>
              <w:rPr>
                <w:sz w:val="21"/>
              </w:rPr>
              <w:t>血管、淋巴管和体腔扩散转移到身体其它部位的疾病。经病理学检查结果明确</w:t>
            </w:r>
          </w:p>
        </w:tc>
      </w:tr>
      <w:tr>
        <w:trPr>
          <w:trHeight w:val="306"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1" w:lineRule="exact"/>
              <w:ind w:left="113"/>
              <w:rPr>
                <w:sz w:val="21"/>
              </w:rPr>
            </w:pPr>
            <w:r>
              <w:rPr>
                <w:sz w:val="21"/>
              </w:rPr>
              <w:t>诊断，临床诊断属于世界卫生组织《疾病和有关健康问题的国际统计分类》</w:t>
            </w:r>
          </w:p>
        </w:tc>
      </w:tr>
      <w:tr>
        <w:trPr>
          <w:trHeight w:val="312"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8" w:lineRule="exact"/>
              <w:ind w:left="113"/>
              <w:rPr>
                <w:b/>
                <w:i/>
                <w:sz w:val="22"/>
              </w:rPr>
            </w:pPr>
            <w:r>
              <w:rPr>
                <w:w w:val="95"/>
                <w:sz w:val="21"/>
              </w:rPr>
              <w:t>（ICD-10）的恶性肿瘤范畴。</w:t>
            </w:r>
            <w:r>
              <w:rPr>
                <w:b/>
                <w:i/>
                <w:w w:val="95"/>
                <w:sz w:val="22"/>
              </w:rPr>
              <w:t>下列疾病不在保障范围内：</w:t>
            </w:r>
            <w:r>
              <w:rPr>
                <w:b/>
                <w:i/>
                <w:w w:val="94"/>
                <w:sz w:val="22"/>
              </w:rPr>
              <w:t>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b/>
                <w:i/>
                <w:sz w:val="22"/>
              </w:rPr>
            </w:pPr>
            <w:r>
              <w:rPr>
                <w:b/>
                <w:i/>
                <w:w w:val="95"/>
                <w:sz w:val="22"/>
              </w:rPr>
              <w:t>（1）原位癌；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b/>
                <w:i/>
                <w:sz w:val="22"/>
              </w:rPr>
            </w:pPr>
            <w:r>
              <w:rPr>
                <w:b/>
                <w:i/>
                <w:w w:val="95"/>
                <w:sz w:val="22"/>
              </w:rPr>
              <w:t>（2）相当于Binet 分期方案A 期程度的慢性淋巴细胞白血病；</w:t>
            </w:r>
            <w:r>
              <w:rPr>
                <w:b/>
                <w:i/>
                <w:w w:val="94"/>
                <w:sz w:val="22"/>
              </w:rPr>
              <w:t>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b/>
                <w:i/>
                <w:sz w:val="22"/>
              </w:rPr>
            </w:pPr>
            <w:r>
              <w:rPr>
                <w:b/>
                <w:i/>
                <w:w w:val="95"/>
                <w:sz w:val="22"/>
              </w:rPr>
              <w:t>（3）相当于Ann Arbor 分期方案I 期程度的何杰金氏病； </w:t>
            </w:r>
          </w:p>
        </w:tc>
      </w:tr>
      <w:tr>
        <w:trPr>
          <w:trHeight w:val="311"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b/>
                <w:i/>
                <w:sz w:val="22"/>
              </w:rPr>
            </w:pPr>
            <w:r>
              <w:rPr>
                <w:b/>
                <w:i/>
                <w:w w:val="95"/>
                <w:sz w:val="22"/>
              </w:rPr>
              <w:t>（4）皮肤癌（不包括恶性黑色素瘤及已发生转移的皮肤癌）；</w:t>
            </w:r>
            <w:r>
              <w:rPr>
                <w:b/>
                <w:i/>
                <w:w w:val="94"/>
                <w:sz w:val="22"/>
              </w:rPr>
              <w:t> </w:t>
            </w:r>
          </w:p>
        </w:tc>
      </w:tr>
      <w:tr>
        <w:trPr>
          <w:trHeight w:val="312"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6" w:lineRule="exact"/>
              <w:ind w:left="113"/>
              <w:rPr>
                <w:b/>
                <w:i/>
                <w:sz w:val="22"/>
              </w:rPr>
            </w:pPr>
            <w:r>
              <w:rPr>
                <w:b/>
                <w:i/>
                <w:w w:val="95"/>
                <w:position w:val="1"/>
                <w:sz w:val="22"/>
              </w:rPr>
              <w:t>（5）TNM 分期为T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r>
              <w:rPr>
                <w:b/>
                <w:i/>
                <w:w w:val="94"/>
                <w:position w:val="1"/>
                <w:sz w:val="22"/>
              </w:rPr>
              <w:t> </w:t>
            </w:r>
          </w:p>
        </w:tc>
      </w:tr>
      <w:tr>
        <w:trPr>
          <w:trHeight w:val="317" w:hRule="atLeast"/>
        </w:trPr>
        <w:tc>
          <w:tcPr>
            <w:tcW w:w="670" w:type="dxa"/>
          </w:tcPr>
          <w:p>
            <w:pPr>
              <w:pStyle w:val="TableParagraph"/>
              <w:rPr>
                <w:rFonts w:ascii="Times New Roman"/>
                <w:sz w:val="20"/>
              </w:rPr>
            </w:pPr>
          </w:p>
        </w:tc>
        <w:tc>
          <w:tcPr>
            <w:tcW w:w="1676" w:type="dxa"/>
          </w:tcPr>
          <w:p>
            <w:pPr>
              <w:pStyle w:val="TableParagraph"/>
              <w:rPr>
                <w:rFonts w:ascii="Times New Roman"/>
                <w:sz w:val="20"/>
              </w:rPr>
            </w:pPr>
          </w:p>
        </w:tc>
        <w:tc>
          <w:tcPr>
            <w:tcW w:w="7333" w:type="dxa"/>
          </w:tcPr>
          <w:p>
            <w:pPr>
              <w:pStyle w:val="TableParagraph"/>
              <w:spacing w:line="267" w:lineRule="exact"/>
              <w:ind w:left="113"/>
              <w:rPr>
                <w:sz w:val="21"/>
              </w:rPr>
            </w:pPr>
            <w:r>
              <w:rPr>
                <w:b/>
                <w:i/>
                <w:w w:val="95"/>
                <w:sz w:val="22"/>
              </w:rPr>
              <w:t>（6）感染艾滋病病毒或患艾滋病期间所患恶性肿瘤。</w:t>
            </w:r>
            <w:r>
              <w:rPr>
                <w:sz w:val="21"/>
              </w:rPr>
              <w:t> </w:t>
            </w:r>
          </w:p>
        </w:tc>
      </w:tr>
      <w:tr>
        <w:trPr>
          <w:trHeight w:val="346" w:hRule="atLeast"/>
        </w:trPr>
        <w:tc>
          <w:tcPr>
            <w:tcW w:w="670" w:type="dxa"/>
          </w:tcPr>
          <w:p>
            <w:pPr>
              <w:pStyle w:val="TableParagraph"/>
              <w:spacing w:before="9"/>
              <w:ind w:left="50"/>
              <w:rPr>
                <w:b/>
                <w:sz w:val="21"/>
              </w:rPr>
            </w:pPr>
            <w:r>
              <w:rPr>
                <w:b/>
                <w:w w:val="99"/>
                <w:sz w:val="21"/>
              </w:rPr>
              <w:t> </w:t>
            </w:r>
          </w:p>
        </w:tc>
        <w:tc>
          <w:tcPr>
            <w:tcW w:w="1676" w:type="dxa"/>
          </w:tcPr>
          <w:p>
            <w:pPr>
              <w:pStyle w:val="TableParagraph"/>
              <w:rPr>
                <w:rFonts w:ascii="Times New Roman"/>
                <w:sz w:val="20"/>
              </w:rPr>
            </w:pPr>
          </w:p>
        </w:tc>
        <w:tc>
          <w:tcPr>
            <w:tcW w:w="7333" w:type="dxa"/>
          </w:tcPr>
          <w:p>
            <w:pPr>
              <w:pStyle w:val="TableParagraph"/>
              <w:spacing w:line="260" w:lineRule="exact"/>
              <w:ind w:left="113"/>
              <w:rPr>
                <w:sz w:val="21"/>
              </w:rPr>
            </w:pPr>
            <w:r>
              <w:rPr>
                <w:sz w:val="21"/>
              </w:rPr>
              <w:t> </w:t>
            </w:r>
          </w:p>
        </w:tc>
      </w:tr>
      <w:tr>
        <w:trPr>
          <w:trHeight w:val="336" w:hRule="atLeast"/>
        </w:trPr>
        <w:tc>
          <w:tcPr>
            <w:tcW w:w="670" w:type="dxa"/>
          </w:tcPr>
          <w:p>
            <w:pPr>
              <w:pStyle w:val="TableParagraph"/>
              <w:spacing w:before="21"/>
              <w:ind w:left="50"/>
              <w:rPr>
                <w:b/>
                <w:sz w:val="21"/>
              </w:rPr>
            </w:pPr>
            <w:r>
              <w:rPr>
                <w:b/>
                <w:w w:val="99"/>
                <w:sz w:val="21"/>
              </w:rPr>
              <w:t> </w:t>
            </w:r>
          </w:p>
        </w:tc>
        <w:tc>
          <w:tcPr>
            <w:tcW w:w="1676" w:type="dxa"/>
          </w:tcPr>
          <w:p>
            <w:pPr>
              <w:pStyle w:val="TableParagraph"/>
              <w:spacing w:line="302" w:lineRule="exact"/>
              <w:ind w:left="89"/>
              <w:rPr>
                <w:rFonts w:ascii="Microsoft JhengHei" w:eastAsia="Microsoft JhengHei" w:hint="eastAsia"/>
                <w:b/>
                <w:sz w:val="21"/>
              </w:rPr>
            </w:pPr>
            <w:r>
              <w:rPr>
                <w:rFonts w:ascii="Microsoft JhengHei" w:eastAsia="Microsoft JhengHei" w:hint="eastAsia"/>
                <w:b/>
                <w:w w:val="105"/>
                <w:sz w:val="21"/>
              </w:rPr>
              <w:t>2. 急性心ft梗</w:t>
            </w:r>
          </w:p>
        </w:tc>
        <w:tc>
          <w:tcPr>
            <w:tcW w:w="7333" w:type="dxa"/>
          </w:tcPr>
          <w:p>
            <w:pPr>
              <w:pStyle w:val="TableParagraph"/>
              <w:spacing w:line="272" w:lineRule="exact"/>
              <w:ind w:left="113"/>
              <w:rPr>
                <w:sz w:val="21"/>
              </w:rPr>
            </w:pPr>
            <w:r>
              <w:rPr>
                <w:sz w:val="21"/>
              </w:rPr>
              <w:t>指因冠状动脉阻塞导致的相应区域供血不足造成部分心肌坏死。须满足下列至</w:t>
            </w:r>
          </w:p>
        </w:tc>
      </w:tr>
      <w:tr>
        <w:trPr>
          <w:trHeight w:val="335" w:hRule="atLeast"/>
        </w:trPr>
        <w:tc>
          <w:tcPr>
            <w:tcW w:w="670" w:type="dxa"/>
          </w:tcPr>
          <w:p>
            <w:pPr>
              <w:pStyle w:val="TableParagraph"/>
              <w:rPr>
                <w:rFonts w:ascii="Times New Roman"/>
                <w:sz w:val="20"/>
              </w:rPr>
            </w:pPr>
          </w:p>
        </w:tc>
        <w:tc>
          <w:tcPr>
            <w:tcW w:w="1676" w:type="dxa"/>
          </w:tcPr>
          <w:p>
            <w:pPr>
              <w:pStyle w:val="TableParagraph"/>
              <w:spacing w:line="315" w:lineRule="exact"/>
              <w:ind w:left="89"/>
              <w:rPr>
                <w:b/>
                <w:sz w:val="21"/>
              </w:rPr>
            </w:pPr>
            <w:r>
              <w:rPr>
                <w:rFonts w:ascii="Microsoft JhengHei" w:eastAsia="Microsoft JhengHei" w:hint="eastAsia"/>
                <w:b/>
                <w:sz w:val="21"/>
              </w:rPr>
              <w:t>塞</w:t>
            </w:r>
            <w:r>
              <w:rPr>
                <w:b/>
                <w:w w:val="99"/>
                <w:sz w:val="21"/>
              </w:rPr>
              <w:t> </w:t>
            </w:r>
          </w:p>
        </w:tc>
        <w:tc>
          <w:tcPr>
            <w:tcW w:w="7333" w:type="dxa"/>
          </w:tcPr>
          <w:p>
            <w:pPr>
              <w:pStyle w:val="TableParagraph"/>
              <w:spacing w:line="248" w:lineRule="exact"/>
              <w:ind w:left="113"/>
              <w:rPr>
                <w:sz w:val="21"/>
              </w:rPr>
            </w:pPr>
            <w:r>
              <w:rPr>
                <w:sz w:val="21"/>
              </w:rPr>
              <w:t>少三项条件： </w:t>
            </w:r>
          </w:p>
        </w:tc>
      </w:tr>
      <w:tr>
        <w:trPr>
          <w:trHeight w:val="224" w:hRule="atLeast"/>
        </w:trPr>
        <w:tc>
          <w:tcPr>
            <w:tcW w:w="670" w:type="dxa"/>
          </w:tcPr>
          <w:p>
            <w:pPr>
              <w:pStyle w:val="TableParagraph"/>
              <w:rPr>
                <w:rFonts w:ascii="Times New Roman"/>
                <w:sz w:val="16"/>
              </w:rPr>
            </w:pPr>
          </w:p>
        </w:tc>
        <w:tc>
          <w:tcPr>
            <w:tcW w:w="1676" w:type="dxa"/>
          </w:tcPr>
          <w:p>
            <w:pPr>
              <w:pStyle w:val="TableParagraph"/>
              <w:rPr>
                <w:rFonts w:ascii="Times New Roman"/>
                <w:sz w:val="16"/>
              </w:rPr>
            </w:pPr>
          </w:p>
        </w:tc>
        <w:tc>
          <w:tcPr>
            <w:tcW w:w="7333" w:type="dxa"/>
          </w:tcPr>
          <w:p>
            <w:pPr>
              <w:pStyle w:val="TableParagraph"/>
              <w:spacing w:line="205" w:lineRule="exact"/>
              <w:ind w:left="113"/>
              <w:rPr>
                <w:sz w:val="21"/>
              </w:rPr>
            </w:pPr>
            <w:r>
              <w:rPr>
                <w:sz w:val="21"/>
              </w:rPr>
              <w:t>（1）典型临床表现，例如急性胸痛等； </w:t>
            </w:r>
          </w:p>
        </w:tc>
      </w:tr>
    </w:tbl>
    <w:p>
      <w:pPr>
        <w:spacing w:after="0" w:line="205" w:lineRule="exact"/>
        <w:rPr>
          <w:sz w:val="21"/>
        </w:rPr>
        <w:sectPr>
          <w:pgSz w:w="11910" w:h="16840"/>
          <w:pgMar w:header="501" w:footer="998" w:top="700" w:bottom="1180" w:left="1020" w:right="92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p>
      <w:pPr>
        <w:pStyle w:val="BodyText"/>
        <w:spacing w:before="35"/>
        <w:ind w:left="2631"/>
      </w:pPr>
      <w:r>
        <w:rPr/>
        <w:t>（2）新近的心电图改变提示急性心肌梗塞； </w:t>
      </w:r>
    </w:p>
    <w:p>
      <w:pPr>
        <w:pStyle w:val="BodyText"/>
        <w:spacing w:before="37"/>
        <w:ind w:left="2631"/>
      </w:pPr>
      <w:r>
        <w:rPr/>
        <w:t>（3）心肌酶或肌钙蛋白有诊断意义的升高，或呈符合急性心肌梗塞的动态性变</w:t>
      </w:r>
    </w:p>
    <w:p>
      <w:pPr>
        <w:pStyle w:val="BodyText"/>
        <w:spacing w:before="10"/>
        <w:rPr>
          <w:sz w:val="7"/>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8"/>
        <w:gridCol w:w="7425"/>
      </w:tblGrid>
      <w:tr>
        <w:trPr>
          <w:trHeight w:val="572"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10" w:lineRule="exact"/>
              <w:ind w:left="640"/>
              <w:rPr>
                <w:sz w:val="21"/>
              </w:rPr>
            </w:pPr>
            <w:r>
              <w:rPr>
                <w:sz w:val="21"/>
              </w:rPr>
              <w:t>化； </w:t>
            </w:r>
          </w:p>
          <w:p>
            <w:pPr>
              <w:pStyle w:val="TableParagraph"/>
              <w:spacing w:before="37"/>
              <w:ind w:left="114"/>
              <w:rPr>
                <w:sz w:val="21"/>
              </w:rPr>
            </w:pPr>
            <w:r>
              <w:rPr>
                <w:spacing w:val="-28"/>
                <w:sz w:val="21"/>
              </w:rPr>
              <w:t>（4）</w:t>
            </w:r>
            <w:r>
              <w:rPr>
                <w:spacing w:val="-18"/>
                <w:sz w:val="21"/>
              </w:rPr>
              <w:t>发病 </w:t>
            </w:r>
            <w:r>
              <w:rPr>
                <w:sz w:val="21"/>
              </w:rPr>
              <w:t>90</w:t>
            </w:r>
            <w:r>
              <w:rPr>
                <w:spacing w:val="-19"/>
                <w:sz w:val="21"/>
              </w:rPr>
              <w:t> 天后，经检查证实左心室功能降低的，如左心室射血分数低于 </w:t>
            </w:r>
            <w:r>
              <w:rPr>
                <w:sz w:val="21"/>
              </w:rPr>
              <w:t>50%。</w:t>
            </w:r>
          </w:p>
        </w:tc>
      </w:tr>
      <w:tr>
        <w:trPr>
          <w:trHeight w:val="347" w:hRule="atLeast"/>
        </w:trPr>
        <w:tc>
          <w:tcPr>
            <w:tcW w:w="457" w:type="dxa"/>
          </w:tcPr>
          <w:p>
            <w:pPr>
              <w:pStyle w:val="TableParagraph"/>
              <w:spacing w:before="1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3.  脑中风后遗</w:t>
            </w:r>
          </w:p>
        </w:tc>
        <w:tc>
          <w:tcPr>
            <w:tcW w:w="7425" w:type="dxa"/>
          </w:tcPr>
          <w:p>
            <w:pPr>
              <w:pStyle w:val="TableParagraph"/>
              <w:spacing w:line="272" w:lineRule="exact"/>
              <w:ind w:left="114"/>
              <w:rPr>
                <w:sz w:val="21"/>
              </w:rPr>
            </w:pPr>
            <w:r>
              <w:rPr>
                <w:sz w:val="21"/>
              </w:rPr>
              <w:t>指因脑血管的突发病变引起脑血管出血、栓塞或梗塞，并导致神经系统永久性</w:t>
            </w:r>
          </w:p>
        </w:tc>
      </w:tr>
      <w:tr>
        <w:trPr>
          <w:trHeight w:val="335" w:hRule="atLeast"/>
        </w:trPr>
        <w:tc>
          <w:tcPr>
            <w:tcW w:w="457" w:type="dxa"/>
          </w:tcPr>
          <w:p>
            <w:pPr>
              <w:pStyle w:val="TableParagraph"/>
              <w:rPr>
                <w:rFonts w:ascii="Times New Roman"/>
                <w:sz w:val="20"/>
              </w:rPr>
            </w:pPr>
          </w:p>
        </w:tc>
        <w:tc>
          <w:tcPr>
            <w:tcW w:w="1888" w:type="dxa"/>
          </w:tcPr>
          <w:p>
            <w:pPr>
              <w:pStyle w:val="TableParagraph"/>
              <w:spacing w:line="315" w:lineRule="exact"/>
              <w:ind w:left="302"/>
              <w:rPr>
                <w:b/>
                <w:sz w:val="21"/>
              </w:rPr>
            </w:pPr>
            <w:r>
              <w:rPr>
                <w:rFonts w:ascii="Microsoft JhengHei" w:eastAsia="Microsoft JhengHei" w:hint="eastAsia"/>
                <w:b/>
                <w:sz w:val="21"/>
              </w:rPr>
              <w:t>症</w:t>
            </w:r>
            <w:r>
              <w:rPr>
                <w:b/>
                <w:w w:val="99"/>
                <w:sz w:val="21"/>
              </w:rPr>
              <w:t> </w:t>
            </w:r>
          </w:p>
        </w:tc>
        <w:tc>
          <w:tcPr>
            <w:tcW w:w="7425" w:type="dxa"/>
          </w:tcPr>
          <w:p>
            <w:pPr>
              <w:pStyle w:val="TableParagraph"/>
              <w:spacing w:line="248" w:lineRule="exact"/>
              <w:ind w:left="114"/>
              <w:rPr>
                <w:sz w:val="21"/>
              </w:rPr>
            </w:pPr>
            <w:r>
              <w:rPr>
                <w:sz w:val="21"/>
              </w:rPr>
              <w:t>功能障碍。神经系统永久性的功能障碍，指疾病确诊 180 天后，仍遗留下列一</w:t>
            </w:r>
          </w:p>
        </w:tc>
      </w:tr>
      <w:tr>
        <w:trPr>
          <w:trHeight w:val="275"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25" w:lineRule="exact"/>
              <w:ind w:left="114"/>
              <w:rPr>
                <w:sz w:val="21"/>
              </w:rPr>
            </w:pPr>
            <w:r>
              <w:rPr>
                <w:sz w:val="21"/>
              </w:rPr>
              <w:t>种或一种以上障碍：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（1）一肢或一肢以上</w:t>
            </w:r>
            <w:r>
              <w:rPr>
                <w:b/>
                <w:sz w:val="21"/>
              </w:rPr>
              <w:t>肢体机能完全丧失</w:t>
            </w:r>
            <w:r>
              <w:rPr>
                <w:sz w:val="21"/>
              </w:rPr>
              <w:t>（见释义 6.20）；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（2）</w:t>
            </w:r>
            <w:r>
              <w:rPr>
                <w:b/>
                <w:sz w:val="21"/>
              </w:rPr>
              <w:t>语言能力或咀嚼吞咽能力完全丧失</w:t>
            </w:r>
            <w:r>
              <w:rPr>
                <w:sz w:val="21"/>
              </w:rPr>
              <w:t>（见释义 6.21）； </w:t>
            </w:r>
          </w:p>
        </w:tc>
      </w:tr>
      <w:tr>
        <w:trPr>
          <w:trHeight w:val="260" w:hRule="atLeast"/>
        </w:trPr>
        <w:tc>
          <w:tcPr>
            <w:tcW w:w="457" w:type="dxa"/>
          </w:tcPr>
          <w:p>
            <w:pPr>
              <w:pStyle w:val="TableParagraph"/>
              <w:rPr>
                <w:rFonts w:ascii="Times New Roman"/>
                <w:sz w:val="18"/>
              </w:rPr>
            </w:pPr>
          </w:p>
        </w:tc>
        <w:tc>
          <w:tcPr>
            <w:tcW w:w="1888" w:type="dxa"/>
          </w:tcPr>
          <w:p>
            <w:pPr>
              <w:pStyle w:val="TableParagraph"/>
              <w:rPr>
                <w:rFonts w:ascii="Times New Roman"/>
                <w:sz w:val="18"/>
              </w:rPr>
            </w:pPr>
          </w:p>
        </w:tc>
        <w:tc>
          <w:tcPr>
            <w:tcW w:w="7425" w:type="dxa"/>
          </w:tcPr>
          <w:p>
            <w:pPr>
              <w:pStyle w:val="TableParagraph"/>
              <w:spacing w:line="241" w:lineRule="exact"/>
              <w:ind w:left="114"/>
              <w:rPr>
                <w:sz w:val="21"/>
              </w:rPr>
            </w:pPr>
            <w:r>
              <w:rPr>
                <w:w w:val="95"/>
                <w:sz w:val="21"/>
              </w:rPr>
              <w:t>（3）自主生活能力完全丧失，无法独立完成</w:t>
            </w:r>
            <w:r>
              <w:rPr>
                <w:b/>
                <w:w w:val="95"/>
                <w:sz w:val="21"/>
              </w:rPr>
              <w:t>六项基本日常生活活动</w:t>
            </w:r>
            <w:r>
              <w:rPr>
                <w:w w:val="95"/>
                <w:sz w:val="21"/>
              </w:rPr>
              <w:t>（见释义</w:t>
            </w:r>
          </w:p>
        </w:tc>
      </w:tr>
      <w:tr>
        <w:trPr>
          <w:trHeight w:val="362"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before="37"/>
              <w:ind w:left="640"/>
              <w:rPr>
                <w:sz w:val="21"/>
              </w:rPr>
            </w:pPr>
            <w:r>
              <w:rPr>
                <w:sz w:val="21"/>
              </w:rPr>
              <w:t>6.22）中的三项或三项以上。 </w:t>
            </w:r>
          </w:p>
        </w:tc>
      </w:tr>
      <w:tr>
        <w:trPr>
          <w:trHeight w:val="347" w:hRule="atLeast"/>
        </w:trPr>
        <w:tc>
          <w:tcPr>
            <w:tcW w:w="457" w:type="dxa"/>
          </w:tcPr>
          <w:p>
            <w:pPr>
              <w:pStyle w:val="TableParagraph"/>
              <w:spacing w:before="1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4.  重大器官移</w:t>
            </w:r>
          </w:p>
        </w:tc>
        <w:tc>
          <w:tcPr>
            <w:tcW w:w="7425" w:type="dxa"/>
          </w:tcPr>
          <w:p>
            <w:pPr>
              <w:pStyle w:val="TableParagraph"/>
              <w:spacing w:line="272" w:lineRule="exact"/>
              <w:ind w:left="114"/>
              <w:rPr>
                <w:sz w:val="21"/>
              </w:rPr>
            </w:pPr>
            <w:r>
              <w:rPr>
                <w:sz w:val="21"/>
              </w:rPr>
              <w:t>重大器官移植术，指因相应器官功能衰竭，已经实施了肾脏、肝脏、心脏或肺</w:t>
            </w:r>
          </w:p>
        </w:tc>
      </w:tr>
      <w:tr>
        <w:trPr>
          <w:trHeight w:val="385" w:hRule="atLeast"/>
        </w:trPr>
        <w:tc>
          <w:tcPr>
            <w:tcW w:w="457" w:type="dxa"/>
          </w:tcPr>
          <w:p>
            <w:pPr>
              <w:pStyle w:val="TableParagraph"/>
              <w:rPr>
                <w:rFonts w:ascii="Times New Roman"/>
                <w:sz w:val="20"/>
              </w:rPr>
            </w:pPr>
          </w:p>
        </w:tc>
        <w:tc>
          <w:tcPr>
            <w:tcW w:w="1888"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植术或造血干细</w:t>
            </w:r>
          </w:p>
        </w:tc>
        <w:tc>
          <w:tcPr>
            <w:tcW w:w="7425" w:type="dxa"/>
          </w:tcPr>
          <w:p>
            <w:pPr>
              <w:pStyle w:val="TableParagraph"/>
              <w:spacing w:line="248" w:lineRule="exact"/>
              <w:ind w:left="114"/>
              <w:rPr>
                <w:sz w:val="21"/>
              </w:rPr>
            </w:pPr>
            <w:r>
              <w:rPr>
                <w:sz w:val="21"/>
              </w:rPr>
              <w:t>脏的异体移植手术。 </w:t>
            </w:r>
          </w:p>
        </w:tc>
      </w:tr>
      <w:tr>
        <w:trPr>
          <w:trHeight w:val="537" w:hRule="atLeast"/>
        </w:trPr>
        <w:tc>
          <w:tcPr>
            <w:tcW w:w="457" w:type="dxa"/>
          </w:tcPr>
          <w:p>
            <w:pPr>
              <w:pStyle w:val="TableParagraph"/>
              <w:rPr>
                <w:rFonts w:ascii="Times New Roman"/>
                <w:sz w:val="20"/>
              </w:rPr>
            </w:pPr>
          </w:p>
        </w:tc>
        <w:tc>
          <w:tcPr>
            <w:tcW w:w="1888" w:type="dxa"/>
          </w:tcPr>
          <w:p>
            <w:pPr>
              <w:pStyle w:val="TableParagraph"/>
              <w:spacing w:line="298" w:lineRule="exact"/>
              <w:ind w:left="302"/>
              <w:rPr>
                <w:b/>
                <w:sz w:val="21"/>
              </w:rPr>
            </w:pPr>
            <w:r>
              <w:rPr>
                <w:rFonts w:ascii="Microsoft JhengHei" w:eastAsia="Microsoft JhengHei" w:hint="eastAsia"/>
                <w:b/>
                <w:sz w:val="21"/>
              </w:rPr>
              <w:t>胞移植术</w:t>
            </w:r>
            <w:r>
              <w:rPr>
                <w:b/>
                <w:w w:val="99"/>
                <w:sz w:val="21"/>
              </w:rPr>
              <w:t> </w:t>
            </w:r>
          </w:p>
        </w:tc>
        <w:tc>
          <w:tcPr>
            <w:tcW w:w="7425" w:type="dxa"/>
          </w:tcPr>
          <w:p>
            <w:pPr>
              <w:pStyle w:val="TableParagraph"/>
              <w:spacing w:line="175" w:lineRule="exact"/>
              <w:ind w:left="114"/>
              <w:rPr>
                <w:sz w:val="21"/>
              </w:rPr>
            </w:pPr>
            <w:r>
              <w:rPr>
                <w:sz w:val="21"/>
              </w:rPr>
              <w:t>造血干细胞移植术，指因造血功能损害或造血系统恶性肿瘤，已经实施了造血</w:t>
            </w:r>
          </w:p>
          <w:p>
            <w:pPr>
              <w:pStyle w:val="TableParagraph"/>
              <w:spacing w:before="37"/>
              <w:ind w:left="114"/>
              <w:rPr>
                <w:sz w:val="21"/>
              </w:rPr>
            </w:pPr>
            <w:r>
              <w:rPr>
                <w:sz w:val="21"/>
              </w:rPr>
              <w:t>干细胞（包括骨髓造血干细胞、外周血造血干细胞和脐血造血干细胞）的异体</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移植手术。 </w:t>
            </w:r>
          </w:p>
        </w:tc>
      </w:tr>
      <w:tr>
        <w:trPr>
          <w:trHeight w:val="347" w:hRule="atLeast"/>
        </w:trPr>
        <w:tc>
          <w:tcPr>
            <w:tcW w:w="457" w:type="dxa"/>
          </w:tcPr>
          <w:p>
            <w:pPr>
              <w:pStyle w:val="TableParagraph"/>
              <w:spacing w:before="1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 </w:t>
            </w:r>
          </w:p>
        </w:tc>
      </w:tr>
      <w:tr>
        <w:trPr>
          <w:trHeight w:val="331"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5.  冠状动脉搭</w:t>
            </w:r>
          </w:p>
        </w:tc>
        <w:tc>
          <w:tcPr>
            <w:tcW w:w="7425" w:type="dxa"/>
          </w:tcPr>
          <w:p>
            <w:pPr>
              <w:pStyle w:val="TableParagraph"/>
              <w:spacing w:line="272" w:lineRule="exact"/>
              <w:ind w:left="114"/>
              <w:rPr>
                <w:sz w:val="21"/>
              </w:rPr>
            </w:pPr>
            <w:r>
              <w:rPr>
                <w:spacing w:val="-9"/>
                <w:sz w:val="21"/>
              </w:rPr>
              <w:t>指为治疗严重的冠心病，实际实施了开胸进行的冠状动脉血管旁路移植的手术。</w:t>
            </w:r>
          </w:p>
        </w:tc>
      </w:tr>
      <w:tr>
        <w:trPr>
          <w:trHeight w:val="396" w:hRule="atLeast"/>
        </w:trPr>
        <w:tc>
          <w:tcPr>
            <w:tcW w:w="457" w:type="dxa"/>
          </w:tcPr>
          <w:p>
            <w:pPr>
              <w:pStyle w:val="TableParagraph"/>
              <w:rPr>
                <w:rFonts w:ascii="Times New Roman"/>
                <w:sz w:val="20"/>
              </w:rPr>
            </w:pPr>
          </w:p>
        </w:tc>
        <w:tc>
          <w:tcPr>
            <w:tcW w:w="1888" w:type="dxa"/>
          </w:tcPr>
          <w:p>
            <w:pPr>
              <w:pStyle w:val="TableParagraph"/>
              <w:spacing w:line="330" w:lineRule="exact"/>
              <w:ind w:left="302"/>
              <w:rPr>
                <w:rFonts w:ascii="Microsoft JhengHei" w:eastAsia="Microsoft JhengHei" w:hint="eastAsia"/>
                <w:b/>
                <w:sz w:val="21"/>
              </w:rPr>
            </w:pPr>
            <w:r>
              <w:rPr>
                <w:rFonts w:ascii="Microsoft JhengHei" w:eastAsia="Microsoft JhengHei" w:hint="eastAsia"/>
                <w:b/>
                <w:sz w:val="21"/>
              </w:rPr>
              <w:t>桥术（或称冠状</w:t>
            </w:r>
          </w:p>
        </w:tc>
        <w:tc>
          <w:tcPr>
            <w:tcW w:w="7425" w:type="dxa"/>
          </w:tcPr>
          <w:p>
            <w:pPr>
              <w:pStyle w:val="TableParagraph"/>
              <w:spacing w:line="255" w:lineRule="exact"/>
              <w:ind w:left="114"/>
              <w:rPr>
                <w:b/>
                <w:i/>
                <w:sz w:val="22"/>
              </w:rPr>
            </w:pPr>
            <w:r>
              <w:rPr>
                <w:b/>
                <w:i/>
                <w:w w:val="95"/>
                <w:sz w:val="22"/>
              </w:rPr>
              <w:t>冠状动脉支架植入术、心导管球囊扩张术、激光射频技术及其他非开胸的介入</w:t>
            </w:r>
          </w:p>
        </w:tc>
      </w:tr>
      <w:tr>
        <w:trPr>
          <w:trHeight w:val="352" w:hRule="atLeast"/>
        </w:trPr>
        <w:tc>
          <w:tcPr>
            <w:tcW w:w="457" w:type="dxa"/>
          </w:tcPr>
          <w:p>
            <w:pPr>
              <w:pStyle w:val="TableParagraph"/>
              <w:rPr>
                <w:rFonts w:ascii="Times New Roman"/>
                <w:sz w:val="20"/>
              </w:rPr>
            </w:pPr>
          </w:p>
        </w:tc>
        <w:tc>
          <w:tcPr>
            <w:tcW w:w="1888" w:type="dxa"/>
          </w:tcPr>
          <w:p>
            <w:pPr>
              <w:pStyle w:val="TableParagraph"/>
              <w:spacing w:line="292" w:lineRule="exact"/>
              <w:ind w:left="302"/>
              <w:rPr>
                <w:rFonts w:ascii="Microsoft JhengHei" w:eastAsia="Microsoft JhengHei" w:hint="eastAsia"/>
                <w:b/>
                <w:sz w:val="21"/>
              </w:rPr>
            </w:pPr>
            <w:r>
              <w:rPr>
                <w:rFonts w:ascii="Microsoft JhengHei" w:eastAsia="Microsoft JhengHei" w:hint="eastAsia"/>
                <w:b/>
                <w:sz w:val="21"/>
              </w:rPr>
              <w:t>动脉旁路移植</w:t>
            </w:r>
          </w:p>
        </w:tc>
        <w:tc>
          <w:tcPr>
            <w:tcW w:w="7425" w:type="dxa"/>
          </w:tcPr>
          <w:p>
            <w:pPr>
              <w:pStyle w:val="TableParagraph"/>
              <w:spacing w:line="170" w:lineRule="exact"/>
              <w:ind w:left="114"/>
              <w:rPr>
                <w:b/>
                <w:i/>
                <w:sz w:val="22"/>
              </w:rPr>
            </w:pPr>
            <w:r>
              <w:rPr>
                <w:b/>
                <w:i/>
                <w:w w:val="95"/>
                <w:sz w:val="22"/>
              </w:rPr>
              <w:t>手术、腔镜手术不在保障范围内。</w:t>
            </w:r>
            <w:r>
              <w:rPr>
                <w:b/>
                <w:i/>
                <w:w w:val="94"/>
                <w:sz w:val="22"/>
              </w:rPr>
              <w:t> </w:t>
            </w:r>
          </w:p>
        </w:tc>
      </w:tr>
      <w:tr>
        <w:trPr>
          <w:trHeight w:val="355" w:hRule="atLeast"/>
        </w:trPr>
        <w:tc>
          <w:tcPr>
            <w:tcW w:w="457" w:type="dxa"/>
          </w:tcPr>
          <w:p>
            <w:pPr>
              <w:pStyle w:val="TableParagraph"/>
              <w:rPr>
                <w:rFonts w:ascii="Times New Roman"/>
                <w:sz w:val="20"/>
              </w:rPr>
            </w:pPr>
          </w:p>
        </w:tc>
        <w:tc>
          <w:tcPr>
            <w:tcW w:w="1888" w:type="dxa"/>
          </w:tcPr>
          <w:p>
            <w:pPr>
              <w:pStyle w:val="TableParagraph"/>
              <w:spacing w:line="298" w:lineRule="exact"/>
              <w:ind w:left="302"/>
              <w:rPr>
                <w:b/>
                <w:sz w:val="21"/>
              </w:rPr>
            </w:pPr>
            <w:r>
              <w:rPr>
                <w:rFonts w:ascii="Microsoft JhengHei" w:eastAsia="Microsoft JhengHei" w:hint="eastAsia"/>
                <w:b/>
                <w:sz w:val="21"/>
              </w:rPr>
              <w:t>术）</w:t>
            </w:r>
            <w:r>
              <w:rPr>
                <w:b/>
                <w:w w:val="99"/>
                <w:sz w:val="21"/>
              </w:rPr>
              <w:t> </w:t>
            </w:r>
          </w:p>
        </w:tc>
        <w:tc>
          <w:tcPr>
            <w:tcW w:w="7425" w:type="dxa"/>
          </w:tcPr>
          <w:p>
            <w:pPr>
              <w:pStyle w:val="TableParagraph"/>
              <w:rPr>
                <w:rFonts w:ascii="Times New Roman"/>
                <w:sz w:val="20"/>
              </w:rPr>
            </w:pPr>
          </w:p>
        </w:tc>
      </w:tr>
      <w:tr>
        <w:trPr>
          <w:trHeight w:val="357" w:hRule="atLeast"/>
        </w:trPr>
        <w:tc>
          <w:tcPr>
            <w:tcW w:w="457" w:type="dxa"/>
          </w:tcPr>
          <w:p>
            <w:pPr>
              <w:pStyle w:val="TableParagraph"/>
              <w:spacing w:before="2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7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  终末期肾病</w:t>
            </w:r>
          </w:p>
        </w:tc>
        <w:tc>
          <w:tcPr>
            <w:tcW w:w="7425" w:type="dxa"/>
          </w:tcPr>
          <w:p>
            <w:pPr>
              <w:pStyle w:val="TableParagraph"/>
              <w:spacing w:line="272" w:lineRule="exact"/>
              <w:ind w:left="114"/>
              <w:rPr>
                <w:sz w:val="21"/>
              </w:rPr>
            </w:pPr>
            <w:r>
              <w:rPr>
                <w:sz w:val="21"/>
              </w:rPr>
              <w:t>指双肾功能慢性不可逆性衰竭，达到尿毒症期，经诊断后已经进行了至少 90</w:t>
            </w:r>
          </w:p>
        </w:tc>
      </w:tr>
      <w:tr>
        <w:trPr>
          <w:trHeight w:val="391" w:hRule="atLeast"/>
        </w:trPr>
        <w:tc>
          <w:tcPr>
            <w:tcW w:w="457" w:type="dxa"/>
          </w:tcPr>
          <w:p>
            <w:pPr>
              <w:pStyle w:val="TableParagraph"/>
              <w:rPr>
                <w:rFonts w:ascii="Times New Roman"/>
                <w:sz w:val="20"/>
              </w:rPr>
            </w:pPr>
          </w:p>
        </w:tc>
        <w:tc>
          <w:tcPr>
            <w:tcW w:w="1888"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（或称慢性肾功</w:t>
            </w:r>
          </w:p>
        </w:tc>
        <w:tc>
          <w:tcPr>
            <w:tcW w:w="7425" w:type="dxa"/>
          </w:tcPr>
          <w:p>
            <w:pPr>
              <w:pStyle w:val="TableParagraph"/>
              <w:spacing w:line="248" w:lineRule="exact"/>
              <w:ind w:left="114"/>
              <w:rPr>
                <w:sz w:val="21"/>
              </w:rPr>
            </w:pPr>
            <w:r>
              <w:rPr>
                <w:sz w:val="21"/>
              </w:rPr>
              <w:t>天的规律性透析治疗或实施了肾脏移植手术。 </w:t>
            </w:r>
          </w:p>
        </w:tc>
      </w:tr>
      <w:tr>
        <w:trPr>
          <w:trHeight w:val="352" w:hRule="atLeast"/>
        </w:trPr>
        <w:tc>
          <w:tcPr>
            <w:tcW w:w="457" w:type="dxa"/>
          </w:tcPr>
          <w:p>
            <w:pPr>
              <w:pStyle w:val="TableParagraph"/>
              <w:rPr>
                <w:rFonts w:ascii="Times New Roman"/>
                <w:sz w:val="20"/>
              </w:rPr>
            </w:pPr>
          </w:p>
        </w:tc>
        <w:tc>
          <w:tcPr>
            <w:tcW w:w="1888" w:type="dxa"/>
          </w:tcPr>
          <w:p>
            <w:pPr>
              <w:pStyle w:val="TableParagraph"/>
              <w:spacing w:line="292" w:lineRule="exact"/>
              <w:ind w:left="302"/>
              <w:rPr>
                <w:rFonts w:ascii="Microsoft JhengHei" w:eastAsia="Microsoft JhengHei" w:hint="eastAsia"/>
                <w:b/>
                <w:sz w:val="21"/>
              </w:rPr>
            </w:pPr>
            <w:r>
              <w:rPr>
                <w:rFonts w:ascii="Microsoft JhengHei" w:eastAsia="Microsoft JhengHei" w:hint="eastAsia"/>
                <w:b/>
                <w:sz w:val="21"/>
              </w:rPr>
              <w:t>能衰竭尿毒症</w:t>
            </w:r>
          </w:p>
        </w:tc>
        <w:tc>
          <w:tcPr>
            <w:tcW w:w="7425" w:type="dxa"/>
          </w:tcPr>
          <w:p>
            <w:pPr>
              <w:pStyle w:val="TableParagraph"/>
              <w:rPr>
                <w:rFonts w:ascii="Times New Roman"/>
                <w:sz w:val="20"/>
              </w:rPr>
            </w:pPr>
          </w:p>
        </w:tc>
      </w:tr>
      <w:tr>
        <w:trPr>
          <w:trHeight w:val="355" w:hRule="atLeast"/>
        </w:trPr>
        <w:tc>
          <w:tcPr>
            <w:tcW w:w="457" w:type="dxa"/>
          </w:tcPr>
          <w:p>
            <w:pPr>
              <w:pStyle w:val="TableParagraph"/>
              <w:rPr>
                <w:rFonts w:ascii="Times New Roman"/>
                <w:sz w:val="20"/>
              </w:rPr>
            </w:pPr>
          </w:p>
        </w:tc>
        <w:tc>
          <w:tcPr>
            <w:tcW w:w="1888" w:type="dxa"/>
          </w:tcPr>
          <w:p>
            <w:pPr>
              <w:pStyle w:val="TableParagraph"/>
              <w:spacing w:line="298" w:lineRule="exact"/>
              <w:ind w:left="302"/>
              <w:rPr>
                <w:b/>
                <w:sz w:val="21"/>
              </w:rPr>
            </w:pPr>
            <w:r>
              <w:rPr>
                <w:rFonts w:ascii="Microsoft JhengHei" w:eastAsia="Microsoft JhengHei" w:hint="eastAsia"/>
                <w:b/>
                <w:sz w:val="21"/>
              </w:rPr>
              <w:t>期）</w:t>
            </w:r>
            <w:r>
              <w:rPr>
                <w:b/>
                <w:w w:val="99"/>
                <w:sz w:val="21"/>
              </w:rPr>
              <w:t> </w:t>
            </w:r>
          </w:p>
        </w:tc>
        <w:tc>
          <w:tcPr>
            <w:tcW w:w="7425" w:type="dxa"/>
          </w:tcPr>
          <w:p>
            <w:pPr>
              <w:pStyle w:val="TableParagraph"/>
              <w:rPr>
                <w:rFonts w:ascii="Times New Roman"/>
                <w:sz w:val="20"/>
              </w:rPr>
            </w:pPr>
          </w:p>
        </w:tc>
      </w:tr>
      <w:tr>
        <w:trPr>
          <w:trHeight w:val="357" w:hRule="atLeast"/>
        </w:trPr>
        <w:tc>
          <w:tcPr>
            <w:tcW w:w="457" w:type="dxa"/>
          </w:tcPr>
          <w:p>
            <w:pPr>
              <w:pStyle w:val="TableParagraph"/>
              <w:spacing w:before="2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7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  多个肢体缺</w:t>
            </w:r>
          </w:p>
        </w:tc>
        <w:tc>
          <w:tcPr>
            <w:tcW w:w="7425" w:type="dxa"/>
          </w:tcPr>
          <w:p>
            <w:pPr>
              <w:pStyle w:val="TableParagraph"/>
              <w:spacing w:line="272" w:lineRule="exact"/>
              <w:ind w:left="114"/>
              <w:rPr>
                <w:sz w:val="21"/>
              </w:rPr>
            </w:pPr>
            <w:r>
              <w:rPr>
                <w:sz w:val="21"/>
              </w:rPr>
              <w:t>指因疾病或意外伤害导致两个或两个以上肢体自腕关节或踝关节近端（靠近躯</w:t>
            </w:r>
          </w:p>
        </w:tc>
      </w:tr>
      <w:tr>
        <w:trPr>
          <w:trHeight w:val="382" w:hRule="atLeast"/>
        </w:trPr>
        <w:tc>
          <w:tcPr>
            <w:tcW w:w="457" w:type="dxa"/>
          </w:tcPr>
          <w:p>
            <w:pPr>
              <w:pStyle w:val="TableParagraph"/>
              <w:rPr>
                <w:rFonts w:ascii="Times New Roman"/>
                <w:sz w:val="20"/>
              </w:rPr>
            </w:pPr>
          </w:p>
        </w:tc>
        <w:tc>
          <w:tcPr>
            <w:tcW w:w="1888" w:type="dxa"/>
          </w:tcPr>
          <w:p>
            <w:pPr>
              <w:pStyle w:val="TableParagraph"/>
              <w:spacing w:line="325" w:lineRule="exact"/>
              <w:ind w:left="302"/>
              <w:rPr>
                <w:b/>
                <w:sz w:val="21"/>
              </w:rPr>
            </w:pPr>
            <w:r>
              <w:rPr>
                <w:rFonts w:ascii="Microsoft JhengHei" w:eastAsia="Microsoft JhengHei" w:hint="eastAsia"/>
                <w:b/>
                <w:sz w:val="21"/>
              </w:rPr>
              <w:t>失</w:t>
            </w:r>
            <w:r>
              <w:rPr>
                <w:b/>
                <w:w w:val="99"/>
                <w:sz w:val="21"/>
              </w:rPr>
              <w:t> </w:t>
            </w:r>
          </w:p>
        </w:tc>
        <w:tc>
          <w:tcPr>
            <w:tcW w:w="7425" w:type="dxa"/>
          </w:tcPr>
          <w:p>
            <w:pPr>
              <w:pStyle w:val="TableParagraph"/>
              <w:spacing w:line="248" w:lineRule="exact"/>
              <w:ind w:left="114"/>
              <w:rPr>
                <w:sz w:val="21"/>
              </w:rPr>
            </w:pPr>
            <w:r>
              <w:rPr>
                <w:sz w:val="21"/>
              </w:rPr>
              <w:t>干端）以上完全性断离。 </w:t>
            </w:r>
          </w:p>
        </w:tc>
      </w:tr>
      <w:tr>
        <w:trPr>
          <w:trHeight w:val="357" w:hRule="atLeast"/>
        </w:trPr>
        <w:tc>
          <w:tcPr>
            <w:tcW w:w="457" w:type="dxa"/>
          </w:tcPr>
          <w:p>
            <w:pPr>
              <w:pStyle w:val="TableParagraph"/>
              <w:spacing w:before="2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7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8.  急性或亚急</w:t>
            </w:r>
          </w:p>
        </w:tc>
        <w:tc>
          <w:tcPr>
            <w:tcW w:w="7425" w:type="dxa"/>
          </w:tcPr>
          <w:p>
            <w:pPr>
              <w:pStyle w:val="TableParagraph"/>
              <w:spacing w:line="272" w:lineRule="exact"/>
              <w:ind w:left="114"/>
              <w:rPr>
                <w:sz w:val="21"/>
              </w:rPr>
            </w:pPr>
            <w:r>
              <w:rPr>
                <w:sz w:val="21"/>
              </w:rPr>
              <w:t>指因肝炎病毒感染引起肝脏组织弥漫性坏死，导致急性肝功能衰竭，且经血清</w:t>
            </w:r>
          </w:p>
        </w:tc>
      </w:tr>
      <w:tr>
        <w:trPr>
          <w:trHeight w:val="335" w:hRule="atLeast"/>
        </w:trPr>
        <w:tc>
          <w:tcPr>
            <w:tcW w:w="457" w:type="dxa"/>
          </w:tcPr>
          <w:p>
            <w:pPr>
              <w:pStyle w:val="TableParagraph"/>
              <w:rPr>
                <w:rFonts w:ascii="Times New Roman"/>
                <w:sz w:val="20"/>
              </w:rPr>
            </w:pPr>
          </w:p>
        </w:tc>
        <w:tc>
          <w:tcPr>
            <w:tcW w:w="1888" w:type="dxa"/>
          </w:tcPr>
          <w:p>
            <w:pPr>
              <w:pStyle w:val="TableParagraph"/>
              <w:spacing w:line="315" w:lineRule="exact"/>
              <w:ind w:left="302"/>
              <w:rPr>
                <w:b/>
                <w:sz w:val="21"/>
              </w:rPr>
            </w:pPr>
            <w:r>
              <w:rPr>
                <w:rFonts w:ascii="Microsoft JhengHei" w:eastAsia="Microsoft JhengHei" w:hint="eastAsia"/>
                <w:b/>
                <w:sz w:val="21"/>
              </w:rPr>
              <w:t>性重症肝炎</w:t>
            </w:r>
            <w:r>
              <w:rPr>
                <w:b/>
                <w:w w:val="99"/>
                <w:sz w:val="21"/>
              </w:rPr>
              <w:t> </w:t>
            </w:r>
          </w:p>
        </w:tc>
        <w:tc>
          <w:tcPr>
            <w:tcW w:w="7425" w:type="dxa"/>
          </w:tcPr>
          <w:p>
            <w:pPr>
              <w:pStyle w:val="TableParagraph"/>
              <w:spacing w:line="248" w:lineRule="exact"/>
              <w:ind w:left="114"/>
              <w:rPr>
                <w:sz w:val="21"/>
              </w:rPr>
            </w:pPr>
            <w:r>
              <w:rPr>
                <w:sz w:val="21"/>
              </w:rPr>
              <w:t>学或病毒学检查证实，并须满足下列全部条件： </w:t>
            </w:r>
          </w:p>
        </w:tc>
      </w:tr>
      <w:tr>
        <w:trPr>
          <w:trHeight w:val="275"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25" w:lineRule="exact"/>
              <w:ind w:left="114"/>
              <w:rPr>
                <w:sz w:val="21"/>
              </w:rPr>
            </w:pPr>
            <w:r>
              <w:rPr>
                <w:sz w:val="21"/>
              </w:rPr>
              <w:t>（1）重度黄疸或黄疸迅速加重；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（2）肝性脑病；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（3）B 超或其他影像学检查显示肝脏体积急速萎缩； </w:t>
            </w:r>
          </w:p>
        </w:tc>
      </w:tr>
      <w:tr>
        <w:trPr>
          <w:trHeight w:val="311"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（4）肝功能指标进行性恶化。 </w:t>
            </w:r>
          </w:p>
        </w:tc>
      </w:tr>
      <w:tr>
        <w:trPr>
          <w:trHeight w:val="347" w:hRule="atLeast"/>
        </w:trPr>
        <w:tc>
          <w:tcPr>
            <w:tcW w:w="457" w:type="dxa"/>
          </w:tcPr>
          <w:p>
            <w:pPr>
              <w:pStyle w:val="TableParagraph"/>
              <w:spacing w:before="10"/>
              <w:ind w:left="50"/>
              <w:rPr>
                <w:b/>
                <w:sz w:val="21"/>
              </w:rPr>
            </w:pPr>
            <w:r>
              <w:rPr>
                <w:b/>
                <w:w w:val="99"/>
                <w:sz w:val="21"/>
              </w:rPr>
              <w:t> </w:t>
            </w:r>
          </w:p>
        </w:tc>
        <w:tc>
          <w:tcPr>
            <w:tcW w:w="1888" w:type="dxa"/>
          </w:tcPr>
          <w:p>
            <w:pPr>
              <w:pStyle w:val="TableParagraph"/>
              <w:rPr>
                <w:rFonts w:ascii="Times New Roman"/>
                <w:sz w:val="20"/>
              </w:rPr>
            </w:pPr>
          </w:p>
        </w:tc>
        <w:tc>
          <w:tcPr>
            <w:tcW w:w="7425" w:type="dxa"/>
          </w:tcPr>
          <w:p>
            <w:pPr>
              <w:pStyle w:val="TableParagraph"/>
              <w:spacing w:line="261" w:lineRule="exact"/>
              <w:ind w:left="114"/>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8" w:type="dxa"/>
          </w:tcPr>
          <w:p>
            <w:pPr>
              <w:pStyle w:val="TableParagraph"/>
              <w:spacing w:line="302" w:lineRule="exact"/>
              <w:ind w:left="302"/>
              <w:rPr>
                <w:b/>
                <w:sz w:val="21"/>
              </w:rPr>
            </w:pPr>
            <w:r>
              <w:rPr>
                <w:rFonts w:ascii="Microsoft JhengHei" w:eastAsia="Microsoft JhengHei" w:hint="eastAsia"/>
                <w:b/>
                <w:sz w:val="21"/>
              </w:rPr>
              <w:t>9.  良性脑肿瘤</w:t>
            </w:r>
            <w:r>
              <w:rPr>
                <w:b/>
                <w:w w:val="99"/>
                <w:sz w:val="21"/>
              </w:rPr>
              <w:t> </w:t>
            </w:r>
          </w:p>
        </w:tc>
        <w:tc>
          <w:tcPr>
            <w:tcW w:w="7425" w:type="dxa"/>
          </w:tcPr>
          <w:p>
            <w:pPr>
              <w:pStyle w:val="TableParagraph"/>
              <w:spacing w:line="272" w:lineRule="exact"/>
              <w:ind w:left="114"/>
              <w:rPr>
                <w:sz w:val="21"/>
              </w:rPr>
            </w:pPr>
            <w:r>
              <w:rPr>
                <w:sz w:val="21"/>
              </w:rPr>
              <w:t>指脑的良性肿瘤，已经引起颅内压增高，临床表现为视神经乳头水肿、精神症</w:t>
            </w:r>
          </w:p>
        </w:tc>
      </w:tr>
      <w:tr>
        <w:trPr>
          <w:trHeight w:val="298" w:hRule="atLeast"/>
        </w:trPr>
        <w:tc>
          <w:tcPr>
            <w:tcW w:w="457" w:type="dxa"/>
          </w:tcPr>
          <w:p>
            <w:pPr>
              <w:pStyle w:val="TableParagraph"/>
              <w:rPr>
                <w:rFonts w:ascii="Times New Roman"/>
                <w:sz w:val="20"/>
              </w:rPr>
            </w:pPr>
          </w:p>
        </w:tc>
        <w:tc>
          <w:tcPr>
            <w:tcW w:w="1888" w:type="dxa"/>
          </w:tcPr>
          <w:p>
            <w:pPr>
              <w:pStyle w:val="TableParagraph"/>
              <w:rPr>
                <w:rFonts w:ascii="Times New Roman"/>
                <w:sz w:val="20"/>
              </w:rPr>
            </w:pPr>
          </w:p>
        </w:tc>
        <w:tc>
          <w:tcPr>
            <w:tcW w:w="7425" w:type="dxa"/>
          </w:tcPr>
          <w:p>
            <w:pPr>
              <w:pStyle w:val="TableParagraph"/>
              <w:spacing w:line="248" w:lineRule="exact"/>
              <w:ind w:left="114"/>
              <w:rPr>
                <w:sz w:val="21"/>
              </w:rPr>
            </w:pPr>
            <w:r>
              <w:rPr>
                <w:sz w:val="21"/>
              </w:rPr>
              <w:t>状、癫痫及运动感觉障碍等，并危及生命。须由头颅断层扫描（CT）、核磁共</w:t>
            </w:r>
          </w:p>
        </w:tc>
      </w:tr>
      <w:tr>
        <w:trPr>
          <w:trHeight w:val="260" w:hRule="atLeast"/>
        </w:trPr>
        <w:tc>
          <w:tcPr>
            <w:tcW w:w="457" w:type="dxa"/>
          </w:tcPr>
          <w:p>
            <w:pPr>
              <w:pStyle w:val="TableParagraph"/>
              <w:rPr>
                <w:rFonts w:ascii="Times New Roman"/>
                <w:sz w:val="18"/>
              </w:rPr>
            </w:pPr>
          </w:p>
        </w:tc>
        <w:tc>
          <w:tcPr>
            <w:tcW w:w="1888" w:type="dxa"/>
          </w:tcPr>
          <w:p>
            <w:pPr>
              <w:pStyle w:val="TableParagraph"/>
              <w:rPr>
                <w:rFonts w:ascii="Times New Roman"/>
                <w:sz w:val="18"/>
              </w:rPr>
            </w:pPr>
          </w:p>
        </w:tc>
        <w:tc>
          <w:tcPr>
            <w:tcW w:w="7425" w:type="dxa"/>
          </w:tcPr>
          <w:p>
            <w:pPr>
              <w:pStyle w:val="TableParagraph"/>
              <w:spacing w:line="241" w:lineRule="exact"/>
              <w:ind w:left="114"/>
              <w:rPr>
                <w:sz w:val="21"/>
              </w:rPr>
            </w:pPr>
            <w:r>
              <w:rPr>
                <w:sz w:val="21"/>
              </w:rPr>
              <w:t>振检查（MRI）或正电子发射断层扫描（PET）等影像学检查证实，并须满足下</w:t>
            </w:r>
          </w:p>
        </w:tc>
      </w:tr>
    </w:tbl>
    <w:p>
      <w:pPr>
        <w:spacing w:after="0" w:line="241" w:lineRule="exact"/>
        <w:rPr>
          <w:sz w:val="21"/>
        </w:rPr>
        <w:sectPr>
          <w:pgSz w:w="11910" w:h="16840"/>
          <w:pgMar w:header="501" w:footer="998" w:top="700" w:bottom="1180" w:left="1020" w:right="840"/>
        </w:sectPr>
      </w:pPr>
    </w:p>
    <w:p>
      <w:pPr>
        <w:pStyle w:val="BodyText"/>
        <w:rPr>
          <w:sz w:val="20"/>
        </w:rPr>
      </w:pPr>
    </w:p>
    <w:p>
      <w:pPr>
        <w:pStyle w:val="BodyText"/>
        <w:rPr>
          <w:sz w:val="20"/>
        </w:rPr>
      </w:pPr>
    </w:p>
    <w:p>
      <w:pPr>
        <w:pStyle w:val="BodyText"/>
        <w:spacing w:before="178"/>
        <w:ind w:left="2631"/>
      </w:pPr>
      <w:r>
        <w:rPr/>
        <w:t>列至少一项条件： </w:t>
      </w:r>
    </w:p>
    <w:p>
      <w:pPr>
        <w:pStyle w:val="BodyText"/>
        <w:spacing w:before="36"/>
        <w:ind w:left="2631"/>
      </w:pPr>
      <w:r>
        <w:rPr/>
        <w:t>（1）实际实施了开颅进行的脑肿瘤完全切除或部分切除的手术； </w:t>
      </w:r>
    </w:p>
    <w:p>
      <w:pPr>
        <w:pStyle w:val="BodyText"/>
        <w:spacing w:before="36"/>
        <w:ind w:left="2631"/>
      </w:pPr>
      <w:r>
        <w:rPr/>
        <w:t>（2）实际实施了对脑肿瘤进行的放射治疗。 </w:t>
      </w:r>
    </w:p>
    <w:p>
      <w:pPr>
        <w:pStyle w:val="Heading3"/>
      </w:pPr>
      <w:r>
        <w:rPr>
          <w:w w:val="95"/>
        </w:rPr>
        <w:t>脑垂体瘤、脑囊肿、脑血管性疾病不在保障范围内。</w:t>
      </w:r>
      <w:r>
        <w:rPr>
          <w:w w:val="94"/>
        </w:rPr>
        <w:t> </w:t>
      </w:r>
    </w:p>
    <w:p>
      <w:pPr>
        <w:tabs>
          <w:tab w:pos="2631" w:val="left" w:leader="none"/>
        </w:tabs>
        <w:spacing w:before="36"/>
        <w:ind w:left="222" w:right="0" w:firstLine="0"/>
        <w:jc w:val="left"/>
        <w:rPr>
          <w:sz w:val="21"/>
        </w:rPr>
      </w:pPr>
      <w:r>
        <w:rPr>
          <w:b/>
          <w:w w:val="99"/>
          <w:position w:val="-1"/>
          <w:sz w:val="21"/>
        </w:rPr>
        <w:t> </w:t>
      </w:r>
      <w:r>
        <w:rPr>
          <w:b/>
          <w:position w:val="-1"/>
          <w:sz w:val="21"/>
        </w:rPr>
        <w:tab/>
      </w:r>
      <w:r>
        <w:rPr>
          <w:sz w:val="21"/>
        </w:rPr>
        <w:t> </w:t>
      </w:r>
    </w:p>
    <w:p>
      <w:pPr>
        <w:spacing w:after="0"/>
        <w:jc w:val="left"/>
        <w:rPr>
          <w:sz w:val="21"/>
        </w:rPr>
        <w:sectPr>
          <w:pgSz w:w="11910" w:h="16840"/>
          <w:pgMar w:header="501" w:footer="998" w:top="700" w:bottom="1180" w:left="1020" w:right="940"/>
        </w:sectPr>
      </w:pPr>
    </w:p>
    <w:p>
      <w:pPr>
        <w:pStyle w:val="Heading5"/>
        <w:tabs>
          <w:tab w:pos="931" w:val="left" w:leader="none"/>
        </w:tabs>
        <w:spacing w:line="237" w:lineRule="auto" w:before="25"/>
        <w:ind w:hanging="710"/>
      </w:pPr>
      <w:r>
        <w:rPr>
          <w:w w:val="99"/>
        </w:rPr>
        <w:t> </w:t>
      </w:r>
      <w:r>
        <w:rPr/>
        <w:tab/>
      </w:r>
      <w:r>
        <w:rPr>
          <w:rFonts w:ascii="Microsoft JhengHei" w:eastAsia="Microsoft JhengHei" w:hint="eastAsia"/>
          <w:position w:val="2"/>
        </w:rPr>
        <w:t>10. 慢性肝功能</w:t>
      </w:r>
      <w:r>
        <w:rPr>
          <w:rFonts w:ascii="Microsoft JhengHei" w:eastAsia="Microsoft JhengHei" w:hint="eastAsia"/>
        </w:rPr>
        <w:t>衰竭失代偿期</w:t>
      </w:r>
      <w:r>
        <w:rPr>
          <w:w w:val="99"/>
        </w:rPr>
        <w:t> </w:t>
      </w:r>
    </w:p>
    <w:p>
      <w:pPr>
        <w:pStyle w:val="BodyText"/>
        <w:spacing w:before="84"/>
        <w:ind w:left="221"/>
      </w:pPr>
      <w:r>
        <w:rPr/>
        <w:br w:type="column"/>
      </w:r>
      <w:r>
        <w:rPr/>
        <w:t>指因慢性肝脏疾病导致肝功能衰竭，须满足下列全部条件： </w:t>
      </w:r>
    </w:p>
    <w:p>
      <w:pPr>
        <w:pStyle w:val="BodyText"/>
        <w:spacing w:before="37"/>
        <w:ind w:left="221"/>
      </w:pPr>
      <w:r>
        <w:rPr/>
        <w:t>（1）持续性黄疸； </w:t>
      </w:r>
    </w:p>
    <w:p>
      <w:pPr>
        <w:pStyle w:val="BodyText"/>
        <w:spacing w:before="37"/>
        <w:ind w:left="221"/>
      </w:pPr>
      <w:r>
        <w:rPr/>
        <w:t>（2）腹水； </w:t>
      </w:r>
    </w:p>
    <w:p>
      <w:pPr>
        <w:pStyle w:val="BodyText"/>
        <w:spacing w:before="37"/>
        <w:ind w:left="221"/>
      </w:pPr>
      <w:r>
        <w:rPr/>
        <w:t>（3）肝性脑病； </w:t>
      </w:r>
    </w:p>
    <w:p>
      <w:pPr>
        <w:pStyle w:val="BodyText"/>
        <w:spacing w:before="37"/>
        <w:ind w:left="221"/>
      </w:pPr>
      <w:r>
        <w:rPr/>
        <w:t>（4）充血性脾肿大伴脾功能亢进或食管胃底静脉曲张。 </w:t>
      </w:r>
    </w:p>
    <w:p>
      <w:pPr>
        <w:pStyle w:val="Heading3"/>
        <w:ind w:left="222"/>
      </w:pPr>
      <w:r>
        <w:rPr>
          <w:w w:val="95"/>
        </w:rPr>
        <w:t>因酗酒或药物滥用导致的肝功能衰竭不在保障范围内。</w:t>
      </w:r>
      <w:r>
        <w:rPr>
          <w:w w:val="94"/>
        </w:rPr>
        <w:t> </w:t>
      </w:r>
    </w:p>
    <w:p>
      <w:pPr>
        <w:spacing w:after="0"/>
        <w:sectPr>
          <w:type w:val="continuous"/>
          <w:pgSz w:w="11910" w:h="16840"/>
          <w:pgMar w:top="700" w:bottom="280" w:left="1020" w:right="940"/>
          <w:cols w:num="2" w:equalWidth="0">
            <w:col w:w="2355" w:space="55"/>
            <w:col w:w="7540"/>
          </w:cols>
        </w:sectPr>
      </w:pPr>
    </w:p>
    <w:p>
      <w:pPr>
        <w:pStyle w:val="BodyText"/>
        <w:spacing w:before="5"/>
        <w:rPr>
          <w:b/>
          <w:i/>
          <w:sz w:val="27"/>
        </w:rPr>
      </w:pPr>
    </w:p>
    <w:p>
      <w:pPr>
        <w:spacing w:after="0"/>
        <w:rPr>
          <w:sz w:val="27"/>
        </w:rPr>
        <w:sectPr>
          <w:type w:val="continuous"/>
          <w:pgSz w:w="11910" w:h="16840"/>
          <w:pgMar w:top="700" w:bottom="280" w:left="1020" w:right="940"/>
        </w:sectPr>
      </w:pPr>
    </w:p>
    <w:p>
      <w:pPr>
        <w:pStyle w:val="Heading5"/>
        <w:tabs>
          <w:tab w:pos="931" w:val="left" w:leader="none"/>
        </w:tabs>
        <w:spacing w:line="340" w:lineRule="exact" w:before="33"/>
        <w:ind w:hanging="710"/>
      </w:pPr>
      <w:r>
        <w:rPr>
          <w:w w:val="99"/>
        </w:rPr>
        <w:t> </w:t>
      </w:r>
      <w:r>
        <w:rPr/>
        <w:tab/>
      </w:r>
      <w:r>
        <w:rPr>
          <w:rFonts w:ascii="Microsoft JhengHei" w:eastAsia="Microsoft JhengHei" w:hint="eastAsia"/>
          <w:w w:val="95"/>
          <w:position w:val="2"/>
        </w:rPr>
        <w:t>11.</w:t>
      </w:r>
      <w:r>
        <w:rPr>
          <w:rFonts w:ascii="Microsoft JhengHei" w:eastAsia="Microsoft JhengHei" w:hint="eastAsia"/>
          <w:spacing w:val="5"/>
          <w:w w:val="95"/>
          <w:position w:val="2"/>
        </w:rPr>
        <w:t> 脑炎后遗症</w:t>
      </w:r>
      <w:r>
        <w:rPr>
          <w:rFonts w:ascii="Microsoft JhengHei" w:eastAsia="Microsoft JhengHei" w:hint="eastAsia"/>
          <w:spacing w:val="5"/>
        </w:rPr>
        <w:t>或脑膜炎后遗症</w:t>
      </w:r>
      <w:r>
        <w:rPr>
          <w:spacing w:val="5"/>
          <w:w w:val="99"/>
        </w:rPr>
        <w:t> </w:t>
      </w:r>
    </w:p>
    <w:p>
      <w:pPr>
        <w:pStyle w:val="BodyText"/>
        <w:spacing w:line="273" w:lineRule="auto" w:before="36"/>
        <w:ind w:left="84" w:right="170"/>
      </w:pPr>
      <w:r>
        <w:rPr/>
        <w:br w:type="column"/>
      </w:r>
      <w:r>
        <w:rPr/>
        <w:t>指因患脑炎或脑膜炎导致的神经系统永久性的功能障碍。神经系统永久性的功能障碍，指疾病确诊 180 天后，仍残留下列一种或一种以上障碍： </w:t>
      </w:r>
    </w:p>
    <w:p>
      <w:pPr>
        <w:pStyle w:val="BodyText"/>
        <w:spacing w:before="8"/>
        <w:ind w:left="84"/>
      </w:pPr>
      <w:r>
        <w:rPr/>
        <w:t>（1）一肢或一肢以上肢体机能完全丧失； </w:t>
      </w:r>
    </w:p>
    <w:p>
      <w:pPr>
        <w:pStyle w:val="BodyText"/>
        <w:spacing w:before="37"/>
        <w:ind w:left="84"/>
      </w:pPr>
      <w:r>
        <w:rPr/>
        <w:t>（2）语言能力或咀嚼吞咽能力完全丧失； </w:t>
      </w:r>
    </w:p>
    <w:p>
      <w:pPr>
        <w:pStyle w:val="BodyText"/>
        <w:spacing w:line="273" w:lineRule="auto" w:before="37"/>
        <w:ind w:left="609" w:right="156" w:hanging="526"/>
      </w:pPr>
      <w:r>
        <w:rPr>
          <w:spacing w:val="-15"/>
        </w:rPr>
        <w:t>（3）</w:t>
      </w:r>
      <w:r>
        <w:rPr>
          <w:spacing w:val="-5"/>
        </w:rPr>
        <w:t>自主生活能力完全丧失，无法独立完成六项基本日常生活活动中的三项或三项以上。 </w:t>
      </w:r>
    </w:p>
    <w:p>
      <w:pPr>
        <w:spacing w:after="0" w:line="273" w:lineRule="auto"/>
        <w:sectPr>
          <w:type w:val="continuous"/>
          <w:pgSz w:w="11910" w:h="16840"/>
          <w:pgMar w:top="700" w:bottom="280" w:left="1020" w:right="940"/>
          <w:cols w:num="2" w:equalWidth="0">
            <w:col w:w="2508" w:space="40"/>
            <w:col w:w="7402"/>
          </w:cols>
        </w:sectPr>
      </w:pPr>
    </w:p>
    <w:p>
      <w:pPr>
        <w:pStyle w:val="BodyText"/>
        <w:spacing w:before="7"/>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09"/>
        <w:gridCol w:w="7399"/>
      </w:tblGrid>
      <w:tr>
        <w:trPr>
          <w:trHeight w:val="296" w:hRule="atLeast"/>
        </w:trPr>
        <w:tc>
          <w:tcPr>
            <w:tcW w:w="457" w:type="dxa"/>
          </w:tcPr>
          <w:p>
            <w:pPr>
              <w:pStyle w:val="TableParagraph"/>
              <w:spacing w:line="234" w:lineRule="exact"/>
              <w:ind w:left="50"/>
              <w:rPr>
                <w:b/>
                <w:sz w:val="21"/>
              </w:rPr>
            </w:pPr>
            <w:r>
              <w:rPr>
                <w:b/>
                <w:w w:val="99"/>
                <w:sz w:val="21"/>
              </w:rPr>
              <w:t> </w:t>
            </w:r>
          </w:p>
        </w:tc>
        <w:tc>
          <w:tcPr>
            <w:tcW w:w="1809" w:type="dxa"/>
          </w:tcPr>
          <w:p>
            <w:pPr>
              <w:pStyle w:val="TableParagraph"/>
              <w:rPr>
                <w:rFonts w:ascii="Times New Roman"/>
                <w:sz w:val="20"/>
              </w:rPr>
            </w:pPr>
          </w:p>
        </w:tc>
        <w:tc>
          <w:tcPr>
            <w:tcW w:w="7399" w:type="dxa"/>
          </w:tcPr>
          <w:p>
            <w:pPr>
              <w:pStyle w:val="TableParagraph"/>
              <w:spacing w:line="210" w:lineRule="exact"/>
              <w:ind w:left="193"/>
              <w:rPr>
                <w:sz w:val="21"/>
              </w:rPr>
            </w:pPr>
            <w:r>
              <w:rPr>
                <w:sz w:val="21"/>
              </w:rPr>
              <w:t> </w:t>
            </w:r>
          </w:p>
        </w:tc>
      </w:tr>
      <w:tr>
        <w:trPr>
          <w:trHeight w:val="635" w:hRule="atLeast"/>
        </w:trPr>
        <w:tc>
          <w:tcPr>
            <w:tcW w:w="457" w:type="dxa"/>
          </w:tcPr>
          <w:p>
            <w:pPr>
              <w:pStyle w:val="TableParagraph"/>
              <w:spacing w:before="21"/>
              <w:ind w:left="50"/>
              <w:rPr>
                <w:b/>
                <w:sz w:val="21"/>
              </w:rPr>
            </w:pPr>
            <w:r>
              <w:rPr>
                <w:b/>
                <w:w w:val="99"/>
                <w:sz w:val="21"/>
              </w:rPr>
              <w:t> </w:t>
            </w:r>
          </w:p>
        </w:tc>
        <w:tc>
          <w:tcPr>
            <w:tcW w:w="1809" w:type="dxa"/>
          </w:tcPr>
          <w:p>
            <w:pPr>
              <w:pStyle w:val="TableParagraph"/>
              <w:spacing w:line="302" w:lineRule="exact"/>
              <w:ind w:left="302"/>
              <w:rPr>
                <w:b/>
                <w:sz w:val="21"/>
              </w:rPr>
            </w:pPr>
            <w:r>
              <w:rPr>
                <w:rFonts w:ascii="Microsoft JhengHei" w:eastAsia="Microsoft JhengHei" w:hint="eastAsia"/>
                <w:b/>
                <w:sz w:val="21"/>
              </w:rPr>
              <w:t>12. 深度昏迷</w:t>
            </w:r>
            <w:r>
              <w:rPr>
                <w:b/>
                <w:w w:val="99"/>
                <w:sz w:val="21"/>
              </w:rPr>
              <w:t> </w:t>
            </w:r>
          </w:p>
        </w:tc>
        <w:tc>
          <w:tcPr>
            <w:tcW w:w="7399" w:type="dxa"/>
          </w:tcPr>
          <w:p>
            <w:pPr>
              <w:pStyle w:val="TableParagraph"/>
              <w:spacing w:line="273" w:lineRule="auto"/>
              <w:ind w:left="193" w:right="47"/>
              <w:rPr>
                <w:sz w:val="21"/>
              </w:rPr>
            </w:pPr>
            <w:r>
              <w:rPr>
                <w:sz w:val="21"/>
              </w:rPr>
              <w:t>指因疾病或意外伤害导致意识丧失,对外界刺激和体内需求均无反应,昏迷程度按照格拉斯哥昏迷分级（Glasgow coma scale）结果为5分或5分以下，且已经</w:t>
            </w:r>
          </w:p>
        </w:tc>
      </w:tr>
      <w:tr>
        <w:trPr>
          <w:trHeight w:val="306"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持续使用呼吸机及其它生命维持系统96小时以上。  </w:t>
            </w:r>
          </w:p>
        </w:tc>
      </w:tr>
      <w:tr>
        <w:trPr>
          <w:trHeight w:val="317"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8" w:lineRule="exact"/>
              <w:ind w:left="193"/>
              <w:rPr>
                <w:i/>
                <w:sz w:val="22"/>
              </w:rPr>
            </w:pPr>
            <w:r>
              <w:rPr>
                <w:b/>
                <w:i/>
                <w:w w:val="95"/>
                <w:sz w:val="22"/>
              </w:rPr>
              <w:t>因酗酒或药物滥用导致的深度昏迷不在保障范围内。</w:t>
            </w:r>
            <w:r>
              <w:rPr>
                <w:i/>
                <w:w w:val="95"/>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09" w:type="dxa"/>
          </w:tcPr>
          <w:p>
            <w:pPr>
              <w:pStyle w:val="TableParagraph"/>
              <w:rPr>
                <w:rFonts w:ascii="Times New Roman"/>
                <w:sz w:val="20"/>
              </w:rPr>
            </w:pPr>
          </w:p>
        </w:tc>
        <w:tc>
          <w:tcPr>
            <w:tcW w:w="7399" w:type="dxa"/>
          </w:tcPr>
          <w:p>
            <w:pPr>
              <w:pStyle w:val="TableParagraph"/>
              <w:spacing w:line="260" w:lineRule="exact"/>
              <w:ind w:left="193"/>
              <w:rPr>
                <w:sz w:val="21"/>
              </w:rPr>
            </w:pPr>
            <w:r>
              <w:rPr>
                <w:sz w:val="21"/>
              </w:rPr>
              <w:t> </w:t>
            </w:r>
          </w:p>
        </w:tc>
      </w:tr>
      <w:tr>
        <w:trPr>
          <w:trHeight w:val="635" w:hRule="atLeast"/>
        </w:trPr>
        <w:tc>
          <w:tcPr>
            <w:tcW w:w="457" w:type="dxa"/>
          </w:tcPr>
          <w:p>
            <w:pPr>
              <w:pStyle w:val="TableParagraph"/>
              <w:spacing w:before="21"/>
              <w:ind w:left="50"/>
              <w:rPr>
                <w:b/>
                <w:sz w:val="21"/>
              </w:rPr>
            </w:pPr>
            <w:r>
              <w:rPr>
                <w:b/>
                <w:w w:val="99"/>
                <w:sz w:val="21"/>
              </w:rPr>
              <w:t> </w:t>
            </w:r>
          </w:p>
        </w:tc>
        <w:tc>
          <w:tcPr>
            <w:tcW w:w="1809" w:type="dxa"/>
          </w:tcPr>
          <w:p>
            <w:pPr>
              <w:pStyle w:val="TableParagraph"/>
              <w:spacing w:line="302" w:lineRule="exact"/>
              <w:ind w:left="302"/>
              <w:rPr>
                <w:b/>
                <w:sz w:val="21"/>
              </w:rPr>
            </w:pPr>
            <w:r>
              <w:rPr>
                <w:rFonts w:ascii="Microsoft JhengHei" w:eastAsia="Microsoft JhengHei" w:hint="eastAsia"/>
                <w:b/>
                <w:sz w:val="21"/>
              </w:rPr>
              <w:t>13. 双耳失聪</w:t>
            </w:r>
            <w:r>
              <w:rPr>
                <w:b/>
                <w:w w:val="99"/>
                <w:sz w:val="21"/>
              </w:rPr>
              <w:t> </w:t>
            </w:r>
          </w:p>
        </w:tc>
        <w:tc>
          <w:tcPr>
            <w:tcW w:w="7399" w:type="dxa"/>
          </w:tcPr>
          <w:p>
            <w:pPr>
              <w:pStyle w:val="TableParagraph"/>
              <w:spacing w:line="273" w:lineRule="auto"/>
              <w:ind w:left="193" w:right="46"/>
              <w:rPr>
                <w:sz w:val="21"/>
              </w:rPr>
            </w:pPr>
            <w:r>
              <w:rPr>
                <w:spacing w:val="-3"/>
                <w:sz w:val="21"/>
              </w:rPr>
              <w:t>指因疾病或意外伤害导致双耳听力永久不可逆性丧失，在 </w:t>
            </w:r>
            <w:r>
              <w:rPr>
                <w:sz w:val="21"/>
              </w:rPr>
              <w:t>500</w:t>
            </w:r>
            <w:r>
              <w:rPr>
                <w:spacing w:val="-19"/>
                <w:sz w:val="21"/>
              </w:rPr>
              <w:t> 赫兹、</w:t>
            </w:r>
            <w:r>
              <w:rPr>
                <w:sz w:val="21"/>
              </w:rPr>
              <w:t>1000</w:t>
            </w:r>
            <w:r>
              <w:rPr>
                <w:spacing w:val="-18"/>
                <w:sz w:val="21"/>
              </w:rPr>
              <w:t> 赫兹</w:t>
            </w:r>
            <w:r>
              <w:rPr>
                <w:spacing w:val="-40"/>
                <w:sz w:val="21"/>
              </w:rPr>
              <w:t>和 </w:t>
            </w:r>
            <w:r>
              <w:rPr>
                <w:sz w:val="21"/>
              </w:rPr>
              <w:t>2000</w:t>
            </w:r>
            <w:r>
              <w:rPr>
                <w:spacing w:val="-12"/>
                <w:sz w:val="21"/>
              </w:rPr>
              <w:t> 赫兹语音频率下，平均听阈大于 </w:t>
            </w:r>
            <w:r>
              <w:rPr>
                <w:sz w:val="21"/>
              </w:rPr>
              <w:t>90</w:t>
            </w:r>
            <w:r>
              <w:rPr>
                <w:spacing w:val="-8"/>
                <w:sz w:val="21"/>
              </w:rPr>
              <w:t> 分贝，且经纯音听力测试、声导抗</w:t>
            </w:r>
          </w:p>
        </w:tc>
      </w:tr>
      <w:tr>
        <w:trPr>
          <w:trHeight w:val="306"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检测或听觉诱发电位检测等证实。 </w:t>
            </w:r>
          </w:p>
        </w:tc>
      </w:tr>
      <w:tr>
        <w:trPr>
          <w:trHeight w:val="312"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8" w:lineRule="exact"/>
              <w:ind w:left="193"/>
              <w:rPr>
                <w:b/>
                <w:i/>
                <w:sz w:val="22"/>
              </w:rPr>
            </w:pPr>
            <w:r>
              <w:rPr>
                <w:b/>
                <w:i/>
                <w:w w:val="95"/>
                <w:sz w:val="22"/>
              </w:rPr>
              <w:t>被保险人申请理赔时年龄必须在三周岁以上，并且提供理赔当时的听力丧失诊</w:t>
            </w:r>
          </w:p>
        </w:tc>
      </w:tr>
      <w:tr>
        <w:trPr>
          <w:trHeight w:val="317"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7" w:lineRule="exact"/>
              <w:ind w:left="193"/>
              <w:rPr>
                <w:b/>
                <w:i/>
                <w:sz w:val="22"/>
              </w:rPr>
            </w:pPr>
            <w:r>
              <w:rPr>
                <w:b/>
                <w:i/>
                <w:w w:val="95"/>
                <w:sz w:val="22"/>
              </w:rPr>
              <w:t>断及检查证据。 </w:t>
            </w:r>
          </w:p>
        </w:tc>
      </w:tr>
      <w:tr>
        <w:trPr>
          <w:trHeight w:val="346" w:hRule="atLeast"/>
        </w:trPr>
        <w:tc>
          <w:tcPr>
            <w:tcW w:w="457" w:type="dxa"/>
          </w:tcPr>
          <w:p>
            <w:pPr>
              <w:pStyle w:val="TableParagraph"/>
              <w:spacing w:before="9"/>
              <w:ind w:left="50"/>
              <w:rPr>
                <w:b/>
                <w:sz w:val="21"/>
              </w:rPr>
            </w:pPr>
            <w:r>
              <w:rPr>
                <w:b/>
                <w:w w:val="99"/>
                <w:sz w:val="21"/>
              </w:rPr>
              <w:t> </w:t>
            </w:r>
          </w:p>
        </w:tc>
        <w:tc>
          <w:tcPr>
            <w:tcW w:w="1809" w:type="dxa"/>
          </w:tcPr>
          <w:p>
            <w:pPr>
              <w:pStyle w:val="TableParagraph"/>
              <w:rPr>
                <w:rFonts w:ascii="Times New Roman"/>
                <w:sz w:val="20"/>
              </w:rPr>
            </w:pPr>
          </w:p>
        </w:tc>
        <w:tc>
          <w:tcPr>
            <w:tcW w:w="7399" w:type="dxa"/>
          </w:tcPr>
          <w:p>
            <w:pPr>
              <w:pStyle w:val="TableParagraph"/>
              <w:spacing w:line="260" w:lineRule="exact"/>
              <w:ind w:left="193"/>
              <w:rPr>
                <w:sz w:val="21"/>
              </w:rPr>
            </w:pPr>
            <w:r>
              <w:rPr>
                <w:sz w:val="21"/>
              </w:rPr>
              <w:t> </w:t>
            </w:r>
          </w:p>
        </w:tc>
      </w:tr>
      <w:tr>
        <w:trPr>
          <w:trHeight w:val="635" w:hRule="atLeast"/>
        </w:trPr>
        <w:tc>
          <w:tcPr>
            <w:tcW w:w="457" w:type="dxa"/>
          </w:tcPr>
          <w:p>
            <w:pPr>
              <w:pStyle w:val="TableParagraph"/>
              <w:spacing w:before="21"/>
              <w:ind w:left="50"/>
              <w:rPr>
                <w:b/>
                <w:sz w:val="21"/>
              </w:rPr>
            </w:pPr>
            <w:r>
              <w:rPr>
                <w:b/>
                <w:w w:val="99"/>
                <w:sz w:val="21"/>
              </w:rPr>
              <w:t> </w:t>
            </w:r>
          </w:p>
        </w:tc>
        <w:tc>
          <w:tcPr>
            <w:tcW w:w="1809" w:type="dxa"/>
          </w:tcPr>
          <w:p>
            <w:pPr>
              <w:pStyle w:val="TableParagraph"/>
              <w:spacing w:line="302" w:lineRule="exact"/>
              <w:ind w:left="302"/>
              <w:rPr>
                <w:b/>
                <w:sz w:val="21"/>
              </w:rPr>
            </w:pPr>
            <w:r>
              <w:rPr>
                <w:rFonts w:ascii="Microsoft JhengHei" w:eastAsia="Microsoft JhengHei" w:hint="eastAsia"/>
                <w:b/>
                <w:sz w:val="21"/>
              </w:rPr>
              <w:t>14. 双目失明</w:t>
            </w:r>
            <w:r>
              <w:rPr>
                <w:b/>
                <w:w w:val="99"/>
                <w:sz w:val="21"/>
              </w:rPr>
              <w:t> </w:t>
            </w:r>
          </w:p>
        </w:tc>
        <w:tc>
          <w:tcPr>
            <w:tcW w:w="7399" w:type="dxa"/>
          </w:tcPr>
          <w:p>
            <w:pPr>
              <w:pStyle w:val="TableParagraph"/>
              <w:spacing w:line="273" w:lineRule="auto"/>
              <w:ind w:left="193" w:right="63"/>
              <w:rPr>
                <w:sz w:val="21"/>
              </w:rPr>
            </w:pPr>
            <w:r>
              <w:rPr>
                <w:sz w:val="21"/>
              </w:rPr>
              <w:t>指因疾病或意外伤害导致双眼视力永久不可逆性丧失，双眼中较好眼须满足下列至少一项条件： </w:t>
            </w:r>
          </w:p>
        </w:tc>
      </w:tr>
      <w:tr>
        <w:trPr>
          <w:trHeight w:val="311"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（1）眼球缺失或摘除； </w:t>
            </w:r>
          </w:p>
        </w:tc>
      </w:tr>
      <w:tr>
        <w:trPr>
          <w:trHeight w:val="260" w:hRule="atLeast"/>
        </w:trPr>
        <w:tc>
          <w:tcPr>
            <w:tcW w:w="457" w:type="dxa"/>
          </w:tcPr>
          <w:p>
            <w:pPr>
              <w:pStyle w:val="TableParagraph"/>
              <w:rPr>
                <w:rFonts w:ascii="Times New Roman"/>
                <w:sz w:val="18"/>
              </w:rPr>
            </w:pPr>
          </w:p>
        </w:tc>
        <w:tc>
          <w:tcPr>
            <w:tcW w:w="1809" w:type="dxa"/>
          </w:tcPr>
          <w:p>
            <w:pPr>
              <w:pStyle w:val="TableParagraph"/>
              <w:rPr>
                <w:rFonts w:ascii="Times New Roman"/>
                <w:sz w:val="18"/>
              </w:rPr>
            </w:pPr>
          </w:p>
        </w:tc>
        <w:tc>
          <w:tcPr>
            <w:tcW w:w="7399" w:type="dxa"/>
          </w:tcPr>
          <w:p>
            <w:pPr>
              <w:pStyle w:val="TableParagraph"/>
              <w:spacing w:line="241" w:lineRule="exact"/>
              <w:ind w:left="193"/>
              <w:rPr>
                <w:sz w:val="21"/>
              </w:rPr>
            </w:pPr>
            <w:r>
              <w:rPr>
                <w:sz w:val="21"/>
              </w:rPr>
              <w:t>（2）矫正视力低于 0.02（采用国际标准视力表，如果使用其他视力表应进行</w:t>
            </w:r>
          </w:p>
        </w:tc>
      </w:tr>
      <w:tr>
        <w:trPr>
          <w:trHeight w:val="362"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before="37"/>
              <w:ind w:left="719"/>
              <w:rPr>
                <w:sz w:val="21"/>
              </w:rPr>
            </w:pPr>
            <w:r>
              <w:rPr>
                <w:sz w:val="21"/>
              </w:rPr>
              <w:t>换算）； </w:t>
            </w:r>
          </w:p>
        </w:tc>
      </w:tr>
      <w:tr>
        <w:trPr>
          <w:trHeight w:val="306"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（3）视野半径小于 5 度。 </w:t>
            </w:r>
          </w:p>
        </w:tc>
      </w:tr>
      <w:tr>
        <w:trPr>
          <w:trHeight w:val="312"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8" w:lineRule="exact"/>
              <w:ind w:left="193"/>
              <w:rPr>
                <w:b/>
                <w:i/>
                <w:sz w:val="22"/>
              </w:rPr>
            </w:pPr>
            <w:r>
              <w:rPr>
                <w:b/>
                <w:i/>
                <w:w w:val="95"/>
                <w:sz w:val="22"/>
              </w:rPr>
              <w:t>被保险人申请理赔时年龄必须在三周岁以上，并且提供理赔当时的视力丧失诊</w:t>
            </w:r>
          </w:p>
        </w:tc>
      </w:tr>
      <w:tr>
        <w:trPr>
          <w:trHeight w:val="317"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7" w:lineRule="exact"/>
              <w:ind w:left="193"/>
              <w:rPr>
                <w:b/>
                <w:i/>
                <w:sz w:val="22"/>
              </w:rPr>
            </w:pPr>
            <w:r>
              <w:rPr>
                <w:b/>
                <w:i/>
                <w:w w:val="95"/>
                <w:sz w:val="22"/>
              </w:rPr>
              <w:t>断及检查证据。 </w:t>
            </w:r>
          </w:p>
        </w:tc>
      </w:tr>
      <w:tr>
        <w:trPr>
          <w:trHeight w:val="346" w:hRule="atLeast"/>
        </w:trPr>
        <w:tc>
          <w:tcPr>
            <w:tcW w:w="457" w:type="dxa"/>
          </w:tcPr>
          <w:p>
            <w:pPr>
              <w:pStyle w:val="TableParagraph"/>
              <w:spacing w:before="9"/>
              <w:ind w:left="50"/>
              <w:rPr>
                <w:b/>
                <w:sz w:val="21"/>
              </w:rPr>
            </w:pPr>
            <w:r>
              <w:rPr>
                <w:b/>
                <w:w w:val="99"/>
                <w:sz w:val="21"/>
              </w:rPr>
              <w:t> </w:t>
            </w:r>
          </w:p>
        </w:tc>
        <w:tc>
          <w:tcPr>
            <w:tcW w:w="1809" w:type="dxa"/>
          </w:tcPr>
          <w:p>
            <w:pPr>
              <w:pStyle w:val="TableParagraph"/>
              <w:rPr>
                <w:rFonts w:ascii="Times New Roman"/>
                <w:sz w:val="20"/>
              </w:rPr>
            </w:pPr>
          </w:p>
        </w:tc>
        <w:tc>
          <w:tcPr>
            <w:tcW w:w="7399" w:type="dxa"/>
          </w:tcPr>
          <w:p>
            <w:pPr>
              <w:pStyle w:val="TableParagraph"/>
              <w:spacing w:line="260" w:lineRule="exact"/>
              <w:ind w:left="193"/>
              <w:rPr>
                <w:sz w:val="21"/>
              </w:rPr>
            </w:pPr>
            <w:r>
              <w:rPr>
                <w:sz w:val="21"/>
              </w:rPr>
              <w:t> </w:t>
            </w:r>
          </w:p>
        </w:tc>
      </w:tr>
      <w:tr>
        <w:trPr>
          <w:trHeight w:val="635" w:hRule="atLeast"/>
        </w:trPr>
        <w:tc>
          <w:tcPr>
            <w:tcW w:w="457" w:type="dxa"/>
          </w:tcPr>
          <w:p>
            <w:pPr>
              <w:pStyle w:val="TableParagraph"/>
              <w:spacing w:before="21"/>
              <w:ind w:left="50"/>
              <w:rPr>
                <w:b/>
                <w:sz w:val="21"/>
              </w:rPr>
            </w:pPr>
            <w:r>
              <w:rPr>
                <w:b/>
                <w:w w:val="99"/>
                <w:sz w:val="21"/>
              </w:rPr>
              <w:t> </w:t>
            </w:r>
          </w:p>
        </w:tc>
        <w:tc>
          <w:tcPr>
            <w:tcW w:w="1809" w:type="dxa"/>
          </w:tcPr>
          <w:p>
            <w:pPr>
              <w:pStyle w:val="TableParagraph"/>
              <w:spacing w:line="302" w:lineRule="exact"/>
              <w:ind w:left="302"/>
              <w:rPr>
                <w:b/>
                <w:sz w:val="21"/>
              </w:rPr>
            </w:pPr>
            <w:r>
              <w:rPr>
                <w:rFonts w:ascii="Microsoft JhengHei" w:eastAsia="Microsoft JhengHei" w:hint="eastAsia"/>
                <w:b/>
                <w:sz w:val="21"/>
              </w:rPr>
              <w:t>15. 瘫痪</w:t>
            </w:r>
            <w:r>
              <w:rPr>
                <w:b/>
                <w:w w:val="99"/>
                <w:sz w:val="21"/>
              </w:rPr>
              <w:t> </w:t>
            </w:r>
          </w:p>
        </w:tc>
        <w:tc>
          <w:tcPr>
            <w:tcW w:w="7399" w:type="dxa"/>
          </w:tcPr>
          <w:p>
            <w:pPr>
              <w:pStyle w:val="TableParagraph"/>
              <w:spacing w:line="273" w:lineRule="auto"/>
              <w:ind w:left="193" w:right="63"/>
              <w:rPr>
                <w:sz w:val="21"/>
              </w:rPr>
            </w:pPr>
            <w:r>
              <w:rPr>
                <w:sz w:val="21"/>
              </w:rPr>
              <w:t>指因疾病或意外伤害导致两肢或两肢以上肢体机能永久完全丧失。肢体机能永</w:t>
            </w:r>
            <w:r>
              <w:rPr>
                <w:spacing w:val="-5"/>
                <w:sz w:val="21"/>
              </w:rPr>
              <w:t>久完全丧失，指疾病确诊 </w:t>
            </w:r>
            <w:r>
              <w:rPr>
                <w:sz w:val="21"/>
              </w:rPr>
              <w:t>180</w:t>
            </w:r>
            <w:r>
              <w:rPr>
                <w:spacing w:val="-13"/>
                <w:sz w:val="21"/>
              </w:rPr>
              <w:t> 天后或意外伤害发生 </w:t>
            </w:r>
            <w:r>
              <w:rPr>
                <w:sz w:val="21"/>
              </w:rPr>
              <w:t>180</w:t>
            </w:r>
            <w:r>
              <w:rPr>
                <w:spacing w:val="-8"/>
                <w:sz w:val="21"/>
              </w:rPr>
              <w:t> 天后，每肢三大关节中</w:t>
            </w:r>
          </w:p>
        </w:tc>
      </w:tr>
      <w:tr>
        <w:trPr>
          <w:trHeight w:val="311" w:hRule="atLeast"/>
        </w:trPr>
        <w:tc>
          <w:tcPr>
            <w:tcW w:w="457" w:type="dxa"/>
          </w:tcPr>
          <w:p>
            <w:pPr>
              <w:pStyle w:val="TableParagraph"/>
              <w:rPr>
                <w:rFonts w:ascii="Times New Roman"/>
                <w:sz w:val="20"/>
              </w:rPr>
            </w:pP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的两大关节仍然完全僵硬，或不能随意识活动。 </w:t>
            </w:r>
          </w:p>
        </w:tc>
      </w:tr>
      <w:tr>
        <w:trPr>
          <w:trHeight w:val="285" w:hRule="atLeast"/>
        </w:trPr>
        <w:tc>
          <w:tcPr>
            <w:tcW w:w="457" w:type="dxa"/>
          </w:tcPr>
          <w:p>
            <w:pPr>
              <w:pStyle w:val="TableParagraph"/>
              <w:spacing w:line="255" w:lineRule="exact" w:before="10"/>
              <w:ind w:left="50"/>
              <w:rPr>
                <w:b/>
                <w:sz w:val="21"/>
              </w:rPr>
            </w:pPr>
            <w:r>
              <w:rPr>
                <w:b/>
                <w:w w:val="99"/>
                <w:sz w:val="21"/>
              </w:rPr>
              <w:t> </w:t>
            </w:r>
          </w:p>
        </w:tc>
        <w:tc>
          <w:tcPr>
            <w:tcW w:w="1809" w:type="dxa"/>
          </w:tcPr>
          <w:p>
            <w:pPr>
              <w:pStyle w:val="TableParagraph"/>
              <w:rPr>
                <w:rFonts w:ascii="Times New Roman"/>
                <w:sz w:val="20"/>
              </w:rPr>
            </w:pPr>
          </w:p>
        </w:tc>
        <w:tc>
          <w:tcPr>
            <w:tcW w:w="7399" w:type="dxa"/>
          </w:tcPr>
          <w:p>
            <w:pPr>
              <w:pStyle w:val="TableParagraph"/>
              <w:spacing w:line="261" w:lineRule="exact"/>
              <w:ind w:left="193"/>
              <w:rPr>
                <w:sz w:val="21"/>
              </w:rPr>
            </w:pPr>
            <w:r>
              <w:rPr>
                <w:sz w:val="21"/>
              </w:rPr>
              <w:t> </w:t>
            </w:r>
          </w:p>
        </w:tc>
      </w:tr>
    </w:tbl>
    <w:p>
      <w:pPr>
        <w:spacing w:after="0" w:line="261" w:lineRule="exact"/>
        <w:rPr>
          <w:sz w:val="21"/>
        </w:rPr>
        <w:sectPr>
          <w:type w:val="continuous"/>
          <w:pgSz w:w="11910" w:h="16840"/>
          <w:pgMar w:top="700" w:bottom="280" w:left="1020" w:right="94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914"/>
        <w:gridCol w:w="7398"/>
      </w:tblGrid>
      <w:tr>
        <w:trPr>
          <w:trHeight w:val="300" w:hRule="atLeast"/>
        </w:trPr>
        <w:tc>
          <w:tcPr>
            <w:tcW w:w="457" w:type="dxa"/>
          </w:tcPr>
          <w:p>
            <w:pPr>
              <w:pStyle w:val="TableParagraph"/>
              <w:spacing w:line="234" w:lineRule="exact"/>
              <w:ind w:left="50"/>
              <w:rPr>
                <w:b/>
                <w:sz w:val="21"/>
              </w:rPr>
            </w:pPr>
            <w:r>
              <w:rPr>
                <w:b/>
                <w:w w:val="99"/>
                <w:sz w:val="21"/>
              </w:rPr>
              <w:t> </w:t>
            </w:r>
          </w:p>
        </w:tc>
        <w:tc>
          <w:tcPr>
            <w:tcW w:w="1914" w:type="dxa"/>
          </w:tcPr>
          <w:p>
            <w:pPr>
              <w:pStyle w:val="TableParagraph"/>
              <w:spacing w:line="240" w:lineRule="exact"/>
              <w:ind w:left="302"/>
              <w:rPr>
                <w:rFonts w:ascii="Microsoft JhengHei" w:eastAsia="Microsoft JhengHei" w:hint="eastAsia"/>
                <w:b/>
                <w:sz w:val="21"/>
              </w:rPr>
            </w:pPr>
            <w:r>
              <w:rPr>
                <w:rFonts w:ascii="Microsoft JhengHei" w:eastAsia="Microsoft JhengHei" w:hint="eastAsia"/>
                <w:b/>
                <w:sz w:val="21"/>
              </w:rPr>
              <w:t>16. 心脏瓣膜手</w:t>
            </w:r>
          </w:p>
        </w:tc>
        <w:tc>
          <w:tcPr>
            <w:tcW w:w="7398" w:type="dxa"/>
          </w:tcPr>
          <w:p>
            <w:pPr>
              <w:pStyle w:val="TableParagraph"/>
              <w:spacing w:line="210" w:lineRule="exact"/>
              <w:ind w:left="88"/>
              <w:rPr>
                <w:sz w:val="21"/>
              </w:rPr>
            </w:pPr>
            <w:r>
              <w:rPr>
                <w:sz w:val="21"/>
              </w:rPr>
              <w:t>指为治疗心脏瓣膜疾病，实际实施了开胸进行的心脏瓣膜置换或修复的手术。</w:t>
            </w:r>
          </w:p>
        </w:tc>
      </w:tr>
      <w:tr>
        <w:trPr>
          <w:trHeight w:val="355" w:hRule="atLeast"/>
        </w:trPr>
        <w:tc>
          <w:tcPr>
            <w:tcW w:w="457" w:type="dxa"/>
          </w:tcPr>
          <w:p>
            <w:pPr>
              <w:pStyle w:val="TableParagraph"/>
              <w:rPr>
                <w:rFonts w:ascii="Times New Roman"/>
                <w:sz w:val="20"/>
              </w:rPr>
            </w:pPr>
          </w:p>
        </w:tc>
        <w:tc>
          <w:tcPr>
            <w:tcW w:w="1914" w:type="dxa"/>
          </w:tcPr>
          <w:p>
            <w:pPr>
              <w:pStyle w:val="TableParagraph"/>
              <w:spacing w:line="298" w:lineRule="exact"/>
              <w:ind w:left="302"/>
              <w:rPr>
                <w:b/>
                <w:sz w:val="21"/>
              </w:rPr>
            </w:pPr>
            <w:r>
              <w:rPr>
                <w:rFonts w:ascii="Microsoft JhengHei" w:eastAsia="Microsoft JhengHei" w:hint="eastAsia"/>
                <w:b/>
                <w:sz w:val="21"/>
              </w:rPr>
              <w:t>术</w:t>
            </w:r>
            <w:r>
              <w:rPr>
                <w:b/>
                <w:w w:val="99"/>
                <w:sz w:val="21"/>
              </w:rPr>
              <w:t> </w:t>
            </w:r>
          </w:p>
        </w:tc>
        <w:tc>
          <w:tcPr>
            <w:tcW w:w="7398" w:type="dxa"/>
          </w:tcPr>
          <w:p>
            <w:pPr>
              <w:pStyle w:val="TableParagraph"/>
              <w:rPr>
                <w:rFonts w:ascii="Times New Roman"/>
                <w:sz w:val="20"/>
              </w:rPr>
            </w:pPr>
          </w:p>
        </w:tc>
      </w:tr>
      <w:tr>
        <w:trPr>
          <w:trHeight w:val="357" w:hRule="atLeast"/>
        </w:trPr>
        <w:tc>
          <w:tcPr>
            <w:tcW w:w="457" w:type="dxa"/>
          </w:tcPr>
          <w:p>
            <w:pPr>
              <w:pStyle w:val="TableParagraph"/>
              <w:spacing w:before="20"/>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71"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17. 严重阿尔茨</w:t>
            </w:r>
          </w:p>
        </w:tc>
        <w:tc>
          <w:tcPr>
            <w:tcW w:w="7398" w:type="dxa"/>
          </w:tcPr>
          <w:p>
            <w:pPr>
              <w:pStyle w:val="TableParagraph"/>
              <w:spacing w:line="272" w:lineRule="exact"/>
              <w:ind w:left="88"/>
              <w:rPr>
                <w:sz w:val="21"/>
              </w:rPr>
            </w:pPr>
            <w:r>
              <w:rPr>
                <w:sz w:val="21"/>
              </w:rPr>
              <w:t>指因大脑进行性、不可逆性改变导致智能严重衰退或丧失，临床表现为明显的</w:t>
            </w:r>
          </w:p>
        </w:tc>
      </w:tr>
      <w:tr>
        <w:trPr>
          <w:trHeight w:val="335" w:hRule="atLeast"/>
        </w:trPr>
        <w:tc>
          <w:tcPr>
            <w:tcW w:w="457" w:type="dxa"/>
          </w:tcPr>
          <w:p>
            <w:pPr>
              <w:pStyle w:val="TableParagraph"/>
              <w:rPr>
                <w:rFonts w:ascii="Times New Roman"/>
                <w:sz w:val="20"/>
              </w:rPr>
            </w:pPr>
          </w:p>
        </w:tc>
        <w:tc>
          <w:tcPr>
            <w:tcW w:w="1914" w:type="dxa"/>
          </w:tcPr>
          <w:p>
            <w:pPr>
              <w:pStyle w:val="TableParagraph"/>
              <w:spacing w:line="315" w:lineRule="exact"/>
              <w:ind w:left="302"/>
              <w:rPr>
                <w:b/>
                <w:sz w:val="21"/>
              </w:rPr>
            </w:pPr>
            <w:r>
              <w:rPr>
                <w:rFonts w:ascii="Microsoft JhengHei" w:eastAsia="Microsoft JhengHei" w:hint="eastAsia"/>
                <w:b/>
                <w:sz w:val="21"/>
              </w:rPr>
              <w:t>海默病</w:t>
            </w:r>
            <w:r>
              <w:rPr>
                <w:b/>
                <w:w w:val="99"/>
                <w:sz w:val="21"/>
              </w:rPr>
              <w:t> </w:t>
            </w:r>
          </w:p>
        </w:tc>
        <w:tc>
          <w:tcPr>
            <w:tcW w:w="7398" w:type="dxa"/>
          </w:tcPr>
          <w:p>
            <w:pPr>
              <w:pStyle w:val="TableParagraph"/>
              <w:spacing w:line="248" w:lineRule="exact"/>
              <w:ind w:left="88"/>
              <w:rPr>
                <w:sz w:val="21"/>
              </w:rPr>
            </w:pPr>
            <w:r>
              <w:rPr>
                <w:spacing w:val="-9"/>
                <w:sz w:val="21"/>
              </w:rPr>
              <w:t>认知能力障碍、行为异常和社交能力减退，其日常生活必须持续受到他人监护。</w:t>
            </w:r>
          </w:p>
        </w:tc>
      </w:tr>
      <w:tr>
        <w:trPr>
          <w:trHeight w:val="275"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25" w:lineRule="exact"/>
              <w:ind w:left="88"/>
              <w:rPr>
                <w:sz w:val="21"/>
              </w:rPr>
            </w:pPr>
            <w:r>
              <w:rPr>
                <w:spacing w:val="-3"/>
                <w:sz w:val="21"/>
              </w:rPr>
              <w:t>须由头颅断层扫描</w:t>
            </w:r>
            <w:r>
              <w:rPr>
                <w:spacing w:val="-5"/>
                <w:sz w:val="21"/>
              </w:rPr>
              <w:t>（CT）</w:t>
            </w:r>
            <w:r>
              <w:rPr>
                <w:spacing w:val="-7"/>
                <w:sz w:val="21"/>
              </w:rPr>
              <w:t>、核磁共振检查</w:t>
            </w:r>
            <w:r>
              <w:rPr>
                <w:spacing w:val="-4"/>
                <w:sz w:val="21"/>
              </w:rPr>
              <w:t>（MRI）</w:t>
            </w:r>
            <w:r>
              <w:rPr>
                <w:spacing w:val="-3"/>
                <w:sz w:val="21"/>
              </w:rPr>
              <w:t>或正电子发射断层扫描</w:t>
            </w:r>
            <w:r>
              <w:rPr>
                <w:spacing w:val="-1"/>
                <w:sz w:val="21"/>
              </w:rPr>
              <w:t>（PET）</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等影像学检查证实，且自主生活能力完全丧失，无法独立完成六项基本日常生</w:t>
            </w:r>
          </w:p>
        </w:tc>
      </w:tr>
      <w:tr>
        <w:trPr>
          <w:trHeight w:val="306"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活活动中的三项或三项以上。 </w:t>
            </w:r>
          </w:p>
        </w:tc>
      </w:tr>
      <w:tr>
        <w:trPr>
          <w:trHeight w:val="317"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8" w:lineRule="exact"/>
              <w:ind w:left="88"/>
              <w:rPr>
                <w:b/>
                <w:i/>
                <w:sz w:val="22"/>
              </w:rPr>
            </w:pPr>
            <w:r>
              <w:rPr>
                <w:b/>
                <w:i/>
                <w:w w:val="95"/>
                <w:sz w:val="22"/>
              </w:rPr>
              <w:t>神经官能症和精神疾病不在保障范围内。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60"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b/>
                <w:sz w:val="21"/>
              </w:rPr>
            </w:pPr>
            <w:r>
              <w:rPr>
                <w:rFonts w:ascii="Microsoft JhengHei" w:eastAsia="Microsoft JhengHei" w:hint="eastAsia"/>
                <w:b/>
                <w:sz w:val="21"/>
              </w:rPr>
              <w:t>18. 严重脑损伤</w:t>
            </w:r>
            <w:r>
              <w:rPr>
                <w:b/>
                <w:w w:val="99"/>
                <w:sz w:val="21"/>
              </w:rPr>
              <w:t> </w:t>
            </w:r>
          </w:p>
        </w:tc>
        <w:tc>
          <w:tcPr>
            <w:tcW w:w="7398" w:type="dxa"/>
          </w:tcPr>
          <w:p>
            <w:pPr>
              <w:pStyle w:val="TableParagraph"/>
              <w:spacing w:line="272" w:lineRule="exact"/>
              <w:ind w:left="88"/>
              <w:rPr>
                <w:sz w:val="21"/>
              </w:rPr>
            </w:pPr>
            <w:r>
              <w:rPr>
                <w:sz w:val="21"/>
              </w:rPr>
              <w:t>指因头部遭受机械性外力，引起脑重要部位损伤，导致神经系统永久性的功能</w:t>
            </w:r>
          </w:p>
        </w:tc>
      </w:tr>
      <w:tr>
        <w:trPr>
          <w:trHeight w:val="298"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48" w:lineRule="exact"/>
              <w:ind w:left="88"/>
              <w:rPr>
                <w:sz w:val="21"/>
              </w:rPr>
            </w:pPr>
            <w:r>
              <w:rPr>
                <w:sz w:val="21"/>
              </w:rPr>
              <w:t>障碍。须由头颅断层扫描（CT）、核磁共振检查（MRI）或正电子发射断层扫描</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（PET）</w:t>
            </w:r>
            <w:r>
              <w:rPr>
                <w:spacing w:val="-2"/>
                <w:sz w:val="21"/>
              </w:rPr>
              <w:t>等影像学检查证实。神经系统永久性的功能障碍，指脑损伤 </w:t>
            </w:r>
            <w:r>
              <w:rPr>
                <w:sz w:val="21"/>
              </w:rPr>
              <w:t>180</w:t>
            </w:r>
            <w:r>
              <w:rPr>
                <w:spacing w:val="-14"/>
                <w:sz w:val="21"/>
              </w:rPr>
              <w:t> 天后，</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仍遗留下列一种或一种以上障碍： </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（1）一肢或一肢以上肢体机能完全丧失； </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（2）语言能力或咀嚼吞咽能力完全丧失； </w:t>
            </w:r>
          </w:p>
        </w:tc>
      </w:tr>
      <w:tr>
        <w:trPr>
          <w:trHeight w:val="260" w:hRule="atLeast"/>
        </w:trPr>
        <w:tc>
          <w:tcPr>
            <w:tcW w:w="457" w:type="dxa"/>
          </w:tcPr>
          <w:p>
            <w:pPr>
              <w:pStyle w:val="TableParagraph"/>
              <w:rPr>
                <w:rFonts w:ascii="Times New Roman"/>
                <w:sz w:val="18"/>
              </w:rPr>
            </w:pPr>
          </w:p>
        </w:tc>
        <w:tc>
          <w:tcPr>
            <w:tcW w:w="1914" w:type="dxa"/>
          </w:tcPr>
          <w:p>
            <w:pPr>
              <w:pStyle w:val="TableParagraph"/>
              <w:rPr>
                <w:rFonts w:ascii="Times New Roman"/>
                <w:sz w:val="18"/>
              </w:rPr>
            </w:pPr>
          </w:p>
        </w:tc>
        <w:tc>
          <w:tcPr>
            <w:tcW w:w="7398" w:type="dxa"/>
          </w:tcPr>
          <w:p>
            <w:pPr>
              <w:pStyle w:val="TableParagraph"/>
              <w:spacing w:line="241" w:lineRule="exact"/>
              <w:ind w:left="88"/>
              <w:rPr>
                <w:sz w:val="21"/>
              </w:rPr>
            </w:pPr>
            <w:r>
              <w:rPr>
                <w:sz w:val="21"/>
              </w:rPr>
              <w:t>（3）自主生活能力完全丧失，无法独立完成六项基本日常生活活动中的三项或</w:t>
            </w:r>
          </w:p>
        </w:tc>
      </w:tr>
      <w:tr>
        <w:trPr>
          <w:trHeight w:val="362"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before="37"/>
              <w:ind w:left="614"/>
              <w:rPr>
                <w:sz w:val="21"/>
              </w:rPr>
            </w:pPr>
            <w:r>
              <w:rPr>
                <w:sz w:val="21"/>
              </w:rPr>
              <w:t>三项以上。 </w:t>
            </w:r>
          </w:p>
        </w:tc>
      </w:tr>
      <w:tr>
        <w:trPr>
          <w:trHeight w:val="347" w:hRule="atLeast"/>
        </w:trPr>
        <w:tc>
          <w:tcPr>
            <w:tcW w:w="457" w:type="dxa"/>
          </w:tcPr>
          <w:p>
            <w:pPr>
              <w:pStyle w:val="TableParagraph"/>
              <w:spacing w:before="10"/>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19. 严重帕金森</w:t>
            </w:r>
          </w:p>
        </w:tc>
        <w:tc>
          <w:tcPr>
            <w:tcW w:w="7398" w:type="dxa"/>
          </w:tcPr>
          <w:p>
            <w:pPr>
              <w:pStyle w:val="TableParagraph"/>
              <w:spacing w:line="272" w:lineRule="exact"/>
              <w:ind w:left="88"/>
              <w:rPr>
                <w:sz w:val="21"/>
              </w:rPr>
            </w:pPr>
            <w:r>
              <w:rPr>
                <w:sz w:val="21"/>
              </w:rPr>
              <w:t>是一种中枢神经系统的退行性疾病，临床表现为震颤麻痹、共济失调等。须满</w:t>
            </w:r>
          </w:p>
        </w:tc>
      </w:tr>
      <w:tr>
        <w:trPr>
          <w:trHeight w:val="335" w:hRule="atLeast"/>
        </w:trPr>
        <w:tc>
          <w:tcPr>
            <w:tcW w:w="457" w:type="dxa"/>
          </w:tcPr>
          <w:p>
            <w:pPr>
              <w:pStyle w:val="TableParagraph"/>
              <w:rPr>
                <w:rFonts w:ascii="Times New Roman"/>
                <w:sz w:val="20"/>
              </w:rPr>
            </w:pPr>
          </w:p>
        </w:tc>
        <w:tc>
          <w:tcPr>
            <w:tcW w:w="1914" w:type="dxa"/>
          </w:tcPr>
          <w:p>
            <w:pPr>
              <w:pStyle w:val="TableParagraph"/>
              <w:spacing w:line="315" w:lineRule="exact"/>
              <w:ind w:left="302"/>
              <w:rPr>
                <w:b/>
                <w:sz w:val="21"/>
              </w:rPr>
            </w:pPr>
            <w:r>
              <w:rPr>
                <w:rFonts w:ascii="Microsoft JhengHei" w:eastAsia="Microsoft JhengHei" w:hint="eastAsia"/>
                <w:b/>
                <w:sz w:val="21"/>
              </w:rPr>
              <w:t>病</w:t>
            </w:r>
            <w:r>
              <w:rPr>
                <w:b/>
                <w:w w:val="99"/>
                <w:sz w:val="21"/>
              </w:rPr>
              <w:t> </w:t>
            </w:r>
          </w:p>
        </w:tc>
        <w:tc>
          <w:tcPr>
            <w:tcW w:w="7398" w:type="dxa"/>
          </w:tcPr>
          <w:p>
            <w:pPr>
              <w:pStyle w:val="TableParagraph"/>
              <w:spacing w:line="248" w:lineRule="exact"/>
              <w:ind w:left="88"/>
              <w:rPr>
                <w:sz w:val="21"/>
              </w:rPr>
            </w:pPr>
            <w:r>
              <w:rPr>
                <w:sz w:val="21"/>
              </w:rPr>
              <w:t>足下列全部条件： </w:t>
            </w:r>
          </w:p>
        </w:tc>
      </w:tr>
      <w:tr>
        <w:trPr>
          <w:trHeight w:val="275"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25" w:lineRule="exact"/>
              <w:ind w:left="88"/>
              <w:rPr>
                <w:sz w:val="21"/>
              </w:rPr>
            </w:pPr>
            <w:r>
              <w:rPr>
                <w:sz w:val="21"/>
              </w:rPr>
              <w:t>（1）药物治疗无法控制病情； </w:t>
            </w:r>
          </w:p>
        </w:tc>
      </w:tr>
      <w:tr>
        <w:trPr>
          <w:trHeight w:val="260" w:hRule="atLeast"/>
        </w:trPr>
        <w:tc>
          <w:tcPr>
            <w:tcW w:w="457" w:type="dxa"/>
          </w:tcPr>
          <w:p>
            <w:pPr>
              <w:pStyle w:val="TableParagraph"/>
              <w:rPr>
                <w:rFonts w:ascii="Times New Roman"/>
                <w:sz w:val="18"/>
              </w:rPr>
            </w:pPr>
          </w:p>
        </w:tc>
        <w:tc>
          <w:tcPr>
            <w:tcW w:w="1914" w:type="dxa"/>
          </w:tcPr>
          <w:p>
            <w:pPr>
              <w:pStyle w:val="TableParagraph"/>
              <w:rPr>
                <w:rFonts w:ascii="Times New Roman"/>
                <w:sz w:val="18"/>
              </w:rPr>
            </w:pPr>
          </w:p>
        </w:tc>
        <w:tc>
          <w:tcPr>
            <w:tcW w:w="7398" w:type="dxa"/>
          </w:tcPr>
          <w:p>
            <w:pPr>
              <w:pStyle w:val="TableParagraph"/>
              <w:spacing w:line="241" w:lineRule="exact"/>
              <w:ind w:left="88"/>
              <w:rPr>
                <w:sz w:val="21"/>
              </w:rPr>
            </w:pPr>
            <w:r>
              <w:rPr>
                <w:sz w:val="21"/>
              </w:rPr>
              <w:t>（2）自主生活能力完全丧失，无法独立完成六项基本日常生活活动中的三项或</w:t>
            </w:r>
          </w:p>
        </w:tc>
      </w:tr>
      <w:tr>
        <w:trPr>
          <w:trHeight w:val="357"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before="37"/>
              <w:ind w:left="614"/>
              <w:rPr>
                <w:sz w:val="21"/>
              </w:rPr>
            </w:pPr>
            <w:r>
              <w:rPr>
                <w:sz w:val="21"/>
              </w:rPr>
              <w:t>三项以上。 </w:t>
            </w:r>
          </w:p>
        </w:tc>
      </w:tr>
      <w:tr>
        <w:trPr>
          <w:trHeight w:val="317"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8" w:lineRule="exact"/>
              <w:ind w:left="88"/>
              <w:rPr>
                <w:b/>
                <w:i/>
                <w:sz w:val="22"/>
              </w:rPr>
            </w:pPr>
            <w:r>
              <w:rPr>
                <w:b/>
                <w:i/>
                <w:w w:val="95"/>
                <w:sz w:val="22"/>
              </w:rPr>
              <w:t>继发性帕金森综合征不在保障范围内。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60"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20. 严 重 III 度</w:t>
            </w:r>
          </w:p>
        </w:tc>
        <w:tc>
          <w:tcPr>
            <w:tcW w:w="7398" w:type="dxa"/>
          </w:tcPr>
          <w:p>
            <w:pPr>
              <w:pStyle w:val="TableParagraph"/>
              <w:spacing w:line="272" w:lineRule="exact"/>
              <w:ind w:left="88"/>
              <w:rPr>
                <w:sz w:val="21"/>
              </w:rPr>
            </w:pPr>
            <w:r>
              <w:rPr>
                <w:spacing w:val="-8"/>
                <w:sz w:val="21"/>
              </w:rPr>
              <w:t>指烧伤程度为Ⅲ度，且Ⅲ度烧伤面积达到全身体表面积的 </w:t>
            </w:r>
            <w:r>
              <w:rPr>
                <w:sz w:val="21"/>
              </w:rPr>
              <w:t>20%</w:t>
            </w:r>
            <w:r>
              <w:rPr>
                <w:spacing w:val="-35"/>
                <w:sz w:val="21"/>
              </w:rPr>
              <w:t>或 </w:t>
            </w:r>
            <w:r>
              <w:rPr>
                <w:sz w:val="21"/>
              </w:rPr>
              <w:t>20%</w:t>
            </w:r>
            <w:r>
              <w:rPr>
                <w:spacing w:val="-10"/>
                <w:sz w:val="21"/>
              </w:rPr>
              <w:t>以上。体表</w:t>
            </w:r>
          </w:p>
        </w:tc>
      </w:tr>
      <w:tr>
        <w:trPr>
          <w:trHeight w:val="382" w:hRule="atLeast"/>
        </w:trPr>
        <w:tc>
          <w:tcPr>
            <w:tcW w:w="457" w:type="dxa"/>
          </w:tcPr>
          <w:p>
            <w:pPr>
              <w:pStyle w:val="TableParagraph"/>
              <w:rPr>
                <w:rFonts w:ascii="Times New Roman"/>
                <w:sz w:val="20"/>
              </w:rPr>
            </w:pPr>
          </w:p>
        </w:tc>
        <w:tc>
          <w:tcPr>
            <w:tcW w:w="1914" w:type="dxa"/>
          </w:tcPr>
          <w:p>
            <w:pPr>
              <w:pStyle w:val="TableParagraph"/>
              <w:spacing w:line="325" w:lineRule="exact"/>
              <w:ind w:left="302"/>
              <w:rPr>
                <w:b/>
                <w:sz w:val="21"/>
              </w:rPr>
            </w:pPr>
            <w:r>
              <w:rPr>
                <w:rFonts w:ascii="Microsoft JhengHei" w:eastAsia="Microsoft JhengHei" w:hint="eastAsia"/>
                <w:b/>
                <w:sz w:val="21"/>
              </w:rPr>
              <w:t>烧伤</w:t>
            </w:r>
            <w:r>
              <w:rPr>
                <w:b/>
                <w:w w:val="99"/>
                <w:sz w:val="21"/>
              </w:rPr>
              <w:t> </w:t>
            </w:r>
          </w:p>
        </w:tc>
        <w:tc>
          <w:tcPr>
            <w:tcW w:w="7398" w:type="dxa"/>
          </w:tcPr>
          <w:p>
            <w:pPr>
              <w:pStyle w:val="TableParagraph"/>
              <w:spacing w:line="248" w:lineRule="exact"/>
              <w:ind w:left="88"/>
              <w:rPr>
                <w:sz w:val="21"/>
              </w:rPr>
            </w:pPr>
            <w:r>
              <w:rPr>
                <w:sz w:val="21"/>
              </w:rPr>
              <w:t>面积根据《中国新九分法》计算。 </w:t>
            </w:r>
          </w:p>
        </w:tc>
      </w:tr>
      <w:tr>
        <w:trPr>
          <w:trHeight w:val="357" w:hRule="atLeast"/>
        </w:trPr>
        <w:tc>
          <w:tcPr>
            <w:tcW w:w="457" w:type="dxa"/>
          </w:tcPr>
          <w:p>
            <w:pPr>
              <w:pStyle w:val="TableParagraph"/>
              <w:spacing w:before="20"/>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71"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21. 严重原发性</w:t>
            </w:r>
          </w:p>
        </w:tc>
        <w:tc>
          <w:tcPr>
            <w:tcW w:w="7398" w:type="dxa"/>
          </w:tcPr>
          <w:p>
            <w:pPr>
              <w:pStyle w:val="TableParagraph"/>
              <w:spacing w:line="272" w:lineRule="exact"/>
              <w:ind w:left="88"/>
              <w:rPr>
                <w:sz w:val="21"/>
              </w:rPr>
            </w:pPr>
            <w:r>
              <w:rPr>
                <w:sz w:val="21"/>
              </w:rPr>
              <w:t>指不明原因的肺动脉压力持续性增高，进行性发展而导致的慢性疾病，已经造</w:t>
            </w:r>
          </w:p>
        </w:tc>
      </w:tr>
      <w:tr>
        <w:trPr>
          <w:trHeight w:val="335" w:hRule="atLeast"/>
        </w:trPr>
        <w:tc>
          <w:tcPr>
            <w:tcW w:w="457" w:type="dxa"/>
          </w:tcPr>
          <w:p>
            <w:pPr>
              <w:pStyle w:val="TableParagraph"/>
              <w:rPr>
                <w:rFonts w:ascii="Times New Roman"/>
                <w:sz w:val="20"/>
              </w:rPr>
            </w:pPr>
          </w:p>
        </w:tc>
        <w:tc>
          <w:tcPr>
            <w:tcW w:w="1914" w:type="dxa"/>
          </w:tcPr>
          <w:p>
            <w:pPr>
              <w:pStyle w:val="TableParagraph"/>
              <w:spacing w:line="315" w:lineRule="exact"/>
              <w:ind w:left="302"/>
              <w:rPr>
                <w:b/>
                <w:sz w:val="21"/>
              </w:rPr>
            </w:pPr>
            <w:r>
              <w:rPr>
                <w:rFonts w:ascii="Microsoft JhengHei" w:eastAsia="Microsoft JhengHei" w:hint="eastAsia"/>
                <w:b/>
                <w:sz w:val="21"/>
              </w:rPr>
              <w:t>肺动脉高压</w:t>
            </w:r>
            <w:r>
              <w:rPr>
                <w:b/>
                <w:w w:val="99"/>
                <w:sz w:val="21"/>
              </w:rPr>
              <w:t> </w:t>
            </w:r>
          </w:p>
        </w:tc>
        <w:tc>
          <w:tcPr>
            <w:tcW w:w="7398" w:type="dxa"/>
          </w:tcPr>
          <w:p>
            <w:pPr>
              <w:pStyle w:val="TableParagraph"/>
              <w:spacing w:line="248" w:lineRule="exact"/>
              <w:ind w:left="88"/>
              <w:rPr>
                <w:sz w:val="21"/>
              </w:rPr>
            </w:pPr>
            <w:r>
              <w:rPr>
                <w:sz w:val="21"/>
              </w:rPr>
              <w:t>成永久不可逆性的体力活动能力受限，达到美国纽约心脏病学会心功能状态分</w:t>
            </w:r>
          </w:p>
        </w:tc>
      </w:tr>
      <w:tr>
        <w:trPr>
          <w:trHeight w:val="275"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25" w:lineRule="exact"/>
              <w:ind w:left="88"/>
              <w:rPr>
                <w:sz w:val="21"/>
              </w:rPr>
            </w:pPr>
            <w:r>
              <w:rPr>
                <w:sz w:val="21"/>
              </w:rPr>
              <w:t>级Ⅳ级，且静息状态下肺动脉平均压超过 30mmHg。 </w:t>
            </w:r>
          </w:p>
        </w:tc>
      </w:tr>
      <w:tr>
        <w:trPr>
          <w:trHeight w:val="347" w:hRule="atLeast"/>
        </w:trPr>
        <w:tc>
          <w:tcPr>
            <w:tcW w:w="457" w:type="dxa"/>
          </w:tcPr>
          <w:p>
            <w:pPr>
              <w:pStyle w:val="TableParagraph"/>
              <w:spacing w:before="10"/>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22. 严重运动神</w:t>
            </w:r>
          </w:p>
        </w:tc>
        <w:tc>
          <w:tcPr>
            <w:tcW w:w="7398" w:type="dxa"/>
          </w:tcPr>
          <w:p>
            <w:pPr>
              <w:pStyle w:val="TableParagraph"/>
              <w:spacing w:line="272" w:lineRule="exact"/>
              <w:ind w:left="88"/>
              <w:rPr>
                <w:sz w:val="21"/>
              </w:rPr>
            </w:pPr>
            <w:r>
              <w:rPr>
                <w:sz w:val="21"/>
              </w:rPr>
              <w:t>是一组中枢神经系统运动神经元的进行性变性疾病，包括进行性脊肌萎缩症、</w:t>
            </w:r>
          </w:p>
        </w:tc>
      </w:tr>
      <w:tr>
        <w:trPr>
          <w:trHeight w:val="335" w:hRule="atLeast"/>
        </w:trPr>
        <w:tc>
          <w:tcPr>
            <w:tcW w:w="457" w:type="dxa"/>
          </w:tcPr>
          <w:p>
            <w:pPr>
              <w:pStyle w:val="TableParagraph"/>
              <w:rPr>
                <w:rFonts w:ascii="Times New Roman"/>
                <w:sz w:val="20"/>
              </w:rPr>
            </w:pPr>
          </w:p>
        </w:tc>
        <w:tc>
          <w:tcPr>
            <w:tcW w:w="1914" w:type="dxa"/>
          </w:tcPr>
          <w:p>
            <w:pPr>
              <w:pStyle w:val="TableParagraph"/>
              <w:spacing w:line="315" w:lineRule="exact"/>
              <w:ind w:left="302"/>
              <w:rPr>
                <w:b/>
                <w:sz w:val="21"/>
              </w:rPr>
            </w:pPr>
            <w:r>
              <w:rPr>
                <w:rFonts w:ascii="Microsoft JhengHei" w:eastAsia="Microsoft JhengHei" w:hint="eastAsia"/>
                <w:b/>
                <w:sz w:val="21"/>
              </w:rPr>
              <w:t>经元病</w:t>
            </w:r>
            <w:r>
              <w:rPr>
                <w:b/>
                <w:w w:val="99"/>
                <w:sz w:val="21"/>
              </w:rPr>
              <w:t> </w:t>
            </w:r>
          </w:p>
        </w:tc>
        <w:tc>
          <w:tcPr>
            <w:tcW w:w="7398" w:type="dxa"/>
          </w:tcPr>
          <w:p>
            <w:pPr>
              <w:pStyle w:val="TableParagraph"/>
              <w:spacing w:line="248" w:lineRule="exact"/>
              <w:ind w:left="88"/>
              <w:rPr>
                <w:sz w:val="21"/>
              </w:rPr>
            </w:pPr>
            <w:r>
              <w:rPr>
                <w:sz w:val="21"/>
              </w:rPr>
              <w:t>进行性延髓麻痹症、原发性侧索硬化症、肌萎缩性侧索硬化症。须满足自主生</w:t>
            </w:r>
          </w:p>
        </w:tc>
      </w:tr>
      <w:tr>
        <w:trPr>
          <w:trHeight w:val="275"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25" w:lineRule="exact"/>
              <w:ind w:left="88"/>
              <w:rPr>
                <w:sz w:val="21"/>
              </w:rPr>
            </w:pPr>
            <w:r>
              <w:rPr>
                <w:sz w:val="21"/>
              </w:rPr>
              <w:t>活能力完全丧失，无法独立完成六项基本日常生活活动中的三项或三项以上的</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条件。 </w:t>
            </w:r>
          </w:p>
        </w:tc>
      </w:tr>
      <w:tr>
        <w:trPr>
          <w:trHeight w:val="347" w:hRule="atLeast"/>
        </w:trPr>
        <w:tc>
          <w:tcPr>
            <w:tcW w:w="457" w:type="dxa"/>
          </w:tcPr>
          <w:p>
            <w:pPr>
              <w:pStyle w:val="TableParagraph"/>
              <w:spacing w:before="10"/>
              <w:ind w:left="50"/>
              <w:rPr>
                <w:b/>
                <w:sz w:val="21"/>
              </w:rPr>
            </w:pPr>
            <w:r>
              <w:rPr>
                <w:b/>
                <w:w w:val="99"/>
                <w:sz w:val="21"/>
              </w:rPr>
              <w:t> </w:t>
            </w:r>
          </w:p>
        </w:tc>
        <w:tc>
          <w:tcPr>
            <w:tcW w:w="1914" w:type="dxa"/>
          </w:tcPr>
          <w:p>
            <w:pPr>
              <w:pStyle w:val="TableParagraph"/>
              <w:rPr>
                <w:rFonts w:ascii="Times New Roman"/>
                <w:sz w:val="20"/>
              </w:rPr>
            </w:pPr>
          </w:p>
        </w:tc>
        <w:tc>
          <w:tcPr>
            <w:tcW w:w="7398" w:type="dxa"/>
          </w:tcPr>
          <w:p>
            <w:pPr>
              <w:pStyle w:val="TableParagraph"/>
              <w:spacing w:line="261" w:lineRule="exact"/>
              <w:ind w:left="8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91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23. 语言能力丧</w:t>
            </w:r>
          </w:p>
        </w:tc>
        <w:tc>
          <w:tcPr>
            <w:tcW w:w="7398" w:type="dxa"/>
          </w:tcPr>
          <w:p>
            <w:pPr>
              <w:pStyle w:val="TableParagraph"/>
              <w:spacing w:line="272" w:lineRule="exact"/>
              <w:ind w:left="88"/>
              <w:rPr>
                <w:sz w:val="21"/>
              </w:rPr>
            </w:pPr>
            <w:r>
              <w:rPr>
                <w:spacing w:val="-6"/>
                <w:sz w:val="21"/>
              </w:rPr>
              <w:t>指因疾病或意外伤害导致完全丧失语言能力，经过积极治疗至少 </w:t>
            </w:r>
            <w:r>
              <w:rPr>
                <w:sz w:val="21"/>
              </w:rPr>
              <w:t>12</w:t>
            </w:r>
            <w:r>
              <w:rPr>
                <w:spacing w:val="-38"/>
                <w:sz w:val="21"/>
              </w:rPr>
              <w:t> 个月</w:t>
            </w:r>
            <w:r>
              <w:rPr>
                <w:sz w:val="21"/>
              </w:rPr>
              <w:t>（声带</w:t>
            </w:r>
          </w:p>
        </w:tc>
      </w:tr>
      <w:tr>
        <w:trPr>
          <w:trHeight w:val="606" w:hRule="atLeast"/>
        </w:trPr>
        <w:tc>
          <w:tcPr>
            <w:tcW w:w="457" w:type="dxa"/>
          </w:tcPr>
          <w:p>
            <w:pPr>
              <w:pStyle w:val="TableParagraph"/>
              <w:rPr>
                <w:rFonts w:ascii="Times New Roman"/>
                <w:sz w:val="20"/>
              </w:rPr>
            </w:pPr>
          </w:p>
        </w:tc>
        <w:tc>
          <w:tcPr>
            <w:tcW w:w="1914" w:type="dxa"/>
          </w:tcPr>
          <w:p>
            <w:pPr>
              <w:pStyle w:val="TableParagraph"/>
              <w:spacing w:line="325" w:lineRule="exact"/>
              <w:ind w:left="302"/>
              <w:rPr>
                <w:b/>
                <w:sz w:val="21"/>
              </w:rPr>
            </w:pPr>
            <w:r>
              <w:rPr>
                <w:rFonts w:ascii="Microsoft JhengHei" w:eastAsia="Microsoft JhengHei" w:hint="eastAsia"/>
                <w:b/>
                <w:sz w:val="21"/>
              </w:rPr>
              <w:t>失</w:t>
            </w:r>
            <w:r>
              <w:rPr>
                <w:b/>
                <w:w w:val="99"/>
                <w:sz w:val="21"/>
              </w:rPr>
              <w:t> </w:t>
            </w:r>
          </w:p>
        </w:tc>
        <w:tc>
          <w:tcPr>
            <w:tcW w:w="7398" w:type="dxa"/>
          </w:tcPr>
          <w:p>
            <w:pPr>
              <w:pStyle w:val="TableParagraph"/>
              <w:spacing w:line="248" w:lineRule="exact"/>
              <w:ind w:left="88"/>
              <w:rPr>
                <w:sz w:val="21"/>
              </w:rPr>
            </w:pPr>
            <w:r>
              <w:rPr>
                <w:sz w:val="21"/>
              </w:rPr>
              <w:t>完全切除不受此时间限制），仍无法通过现有医疗手段恢复。 </w:t>
            </w:r>
          </w:p>
          <w:p>
            <w:pPr>
              <w:pStyle w:val="TableParagraph"/>
              <w:spacing w:before="25"/>
              <w:ind w:left="88"/>
              <w:rPr>
                <w:b/>
                <w:i/>
                <w:sz w:val="22"/>
              </w:rPr>
            </w:pPr>
            <w:r>
              <w:rPr>
                <w:b/>
                <w:i/>
                <w:w w:val="95"/>
                <w:sz w:val="22"/>
              </w:rPr>
              <w:t>精神心理因素所致的语言能力丧失不在保障范围内。</w:t>
            </w:r>
            <w:r>
              <w:rPr>
                <w:b/>
                <w:i/>
                <w:w w:val="94"/>
                <w:sz w:val="22"/>
              </w:rPr>
              <w:t> </w:t>
            </w:r>
          </w:p>
        </w:tc>
      </w:tr>
      <w:tr>
        <w:trPr>
          <w:trHeight w:val="311" w:hRule="atLeast"/>
        </w:trPr>
        <w:tc>
          <w:tcPr>
            <w:tcW w:w="457" w:type="dxa"/>
          </w:tcPr>
          <w:p>
            <w:pPr>
              <w:pStyle w:val="TableParagraph"/>
              <w:rPr>
                <w:rFonts w:ascii="Times New Roman"/>
                <w:sz w:val="20"/>
              </w:rPr>
            </w:pPr>
          </w:p>
        </w:tc>
        <w:tc>
          <w:tcPr>
            <w:tcW w:w="1914" w:type="dxa"/>
          </w:tcPr>
          <w:p>
            <w:pPr>
              <w:pStyle w:val="TableParagraph"/>
              <w:rPr>
                <w:rFonts w:ascii="Times New Roman"/>
                <w:sz w:val="20"/>
              </w:rPr>
            </w:pPr>
          </w:p>
        </w:tc>
        <w:tc>
          <w:tcPr>
            <w:tcW w:w="7398" w:type="dxa"/>
          </w:tcPr>
          <w:p>
            <w:pPr>
              <w:pStyle w:val="TableParagraph"/>
              <w:spacing w:line="267" w:lineRule="exact"/>
              <w:ind w:left="88"/>
              <w:rPr>
                <w:b/>
                <w:i/>
                <w:sz w:val="22"/>
              </w:rPr>
            </w:pPr>
            <w:r>
              <w:rPr>
                <w:b/>
                <w:i/>
                <w:w w:val="95"/>
                <w:sz w:val="22"/>
              </w:rPr>
              <w:t>被保险人申请理赔时年龄必须在三周岁以上，并且提供理赔当时的语言能力丧</w:t>
            </w:r>
          </w:p>
        </w:tc>
      </w:tr>
      <w:tr>
        <w:trPr>
          <w:trHeight w:val="266" w:hRule="atLeast"/>
        </w:trPr>
        <w:tc>
          <w:tcPr>
            <w:tcW w:w="457" w:type="dxa"/>
          </w:tcPr>
          <w:p>
            <w:pPr>
              <w:pStyle w:val="TableParagraph"/>
              <w:rPr>
                <w:rFonts w:ascii="Times New Roman"/>
                <w:sz w:val="18"/>
              </w:rPr>
            </w:pPr>
          </w:p>
        </w:tc>
        <w:tc>
          <w:tcPr>
            <w:tcW w:w="1914" w:type="dxa"/>
          </w:tcPr>
          <w:p>
            <w:pPr>
              <w:pStyle w:val="TableParagraph"/>
              <w:rPr>
                <w:rFonts w:ascii="Times New Roman"/>
                <w:sz w:val="18"/>
              </w:rPr>
            </w:pPr>
          </w:p>
        </w:tc>
        <w:tc>
          <w:tcPr>
            <w:tcW w:w="7398" w:type="dxa"/>
          </w:tcPr>
          <w:p>
            <w:pPr>
              <w:pStyle w:val="TableParagraph"/>
              <w:spacing w:line="247" w:lineRule="exact"/>
              <w:ind w:left="88"/>
              <w:rPr>
                <w:b/>
                <w:i/>
                <w:sz w:val="22"/>
              </w:rPr>
            </w:pPr>
            <w:r>
              <w:rPr>
                <w:b/>
                <w:i/>
                <w:w w:val="95"/>
                <w:sz w:val="22"/>
              </w:rPr>
              <w:t>失诊断及检查证据。</w:t>
            </w:r>
            <w:r>
              <w:rPr>
                <w:b/>
                <w:i/>
                <w:w w:val="94"/>
                <w:sz w:val="22"/>
              </w:rPr>
              <w:t> </w:t>
            </w:r>
          </w:p>
        </w:tc>
      </w:tr>
    </w:tbl>
    <w:p>
      <w:pPr>
        <w:spacing w:after="0" w:line="247" w:lineRule="exact"/>
        <w:rPr>
          <w:sz w:val="22"/>
        </w:rPr>
        <w:sectPr>
          <w:pgSz w:w="11910" w:h="16840"/>
          <w:pgMar w:header="501" w:footer="998" w:top="700" w:bottom="1180" w:left="1020" w:right="84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432"/>
      </w:tblGrid>
      <w:tr>
        <w:trPr>
          <w:trHeight w:val="296" w:hRule="atLeast"/>
        </w:trPr>
        <w:tc>
          <w:tcPr>
            <w:tcW w:w="457" w:type="dxa"/>
          </w:tcPr>
          <w:p>
            <w:pPr>
              <w:pStyle w:val="TableParagraph"/>
              <w:spacing w:line="234" w:lineRule="exact"/>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1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24. 重型再生障</w:t>
            </w:r>
          </w:p>
        </w:tc>
        <w:tc>
          <w:tcPr>
            <w:tcW w:w="7432" w:type="dxa"/>
          </w:tcPr>
          <w:p>
            <w:pPr>
              <w:pStyle w:val="TableParagraph"/>
              <w:spacing w:line="272" w:lineRule="exact"/>
              <w:ind w:left="122"/>
              <w:rPr>
                <w:sz w:val="21"/>
              </w:rPr>
            </w:pPr>
            <w:r>
              <w:rPr>
                <w:spacing w:val="-5"/>
                <w:sz w:val="21"/>
              </w:rPr>
              <w:t>指因骨髓造血功能慢性持续性衰竭导致的贫血、中性粒细胞减少及血小板减少。</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碍性贫血</w:t>
            </w:r>
            <w:r>
              <w:rPr>
                <w:b/>
                <w:w w:val="99"/>
                <w:sz w:val="21"/>
              </w:rPr>
              <w:t> </w:t>
            </w:r>
          </w:p>
        </w:tc>
        <w:tc>
          <w:tcPr>
            <w:tcW w:w="7432" w:type="dxa"/>
          </w:tcPr>
          <w:p>
            <w:pPr>
              <w:pStyle w:val="TableParagraph"/>
              <w:spacing w:line="248" w:lineRule="exact"/>
              <w:ind w:left="122"/>
              <w:rPr>
                <w:sz w:val="21"/>
              </w:rPr>
            </w:pPr>
            <w:r>
              <w:rPr>
                <w:sz w:val="21"/>
              </w:rPr>
              <w:t>须满足下列全部条件： </w:t>
            </w:r>
          </w:p>
          <w:p>
            <w:pPr>
              <w:pStyle w:val="TableParagraph"/>
              <w:spacing w:before="37"/>
              <w:ind w:left="122"/>
              <w:rPr>
                <w:sz w:val="21"/>
              </w:rPr>
            </w:pPr>
            <w:r>
              <w:rPr>
                <w:sz w:val="21"/>
              </w:rPr>
              <w:t>（1）骨髓穿刺检查或骨髓活检结果支持诊断；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432" w:type="dxa"/>
          </w:tcPr>
          <w:p>
            <w:pPr>
              <w:pStyle w:val="TableParagraph"/>
              <w:spacing w:line="241" w:lineRule="exact"/>
              <w:ind w:left="122"/>
              <w:rPr>
                <w:sz w:val="21"/>
              </w:rPr>
            </w:pPr>
            <w:r>
              <w:rPr>
                <w:sz w:val="21"/>
              </w:rPr>
              <w:t>（2）外周血象必须具备以下三项条件： </w:t>
            </w:r>
          </w:p>
        </w:tc>
      </w:tr>
    </w:tbl>
    <w:p>
      <w:pPr>
        <w:pStyle w:val="BodyText"/>
        <w:spacing w:before="37"/>
        <w:ind w:left="3051"/>
      </w:pPr>
      <w:r>
        <w:rPr/>
        <w:t>①中性粒细胞绝对值≤0.5×10</w:t>
      </w:r>
      <w:r>
        <w:rPr>
          <w:position w:val="11"/>
          <w:sz w:val="11"/>
        </w:rPr>
        <w:t>9</w:t>
      </w:r>
      <w:r>
        <w:rPr/>
        <w:t>/L； </w:t>
      </w:r>
    </w:p>
    <w:p>
      <w:pPr>
        <w:pStyle w:val="BodyText"/>
        <w:spacing w:before="37"/>
        <w:ind w:left="3051"/>
      </w:pPr>
      <w:r>
        <w:rPr/>
        <w:t>②网织红细胞＜1%； </w:t>
      </w:r>
    </w:p>
    <w:p>
      <w:pPr>
        <w:pStyle w:val="BodyText"/>
        <w:spacing w:before="37"/>
        <w:ind w:left="3051"/>
      </w:pPr>
      <w:r>
        <w:rPr/>
        <w:t>③血小板绝对值≤20×10</w:t>
      </w:r>
      <w:r>
        <w:rPr>
          <w:position w:val="11"/>
          <w:sz w:val="11"/>
        </w:rPr>
        <w:t>9</w:t>
      </w:r>
      <w:r>
        <w:rPr/>
        <w:t>/L。 </w:t>
      </w:r>
    </w:p>
    <w:p>
      <w:pPr>
        <w:pStyle w:val="BodyText"/>
        <w:spacing w:before="7"/>
        <w:rPr>
          <w:sz w:val="27"/>
        </w:rPr>
      </w:pPr>
    </w:p>
    <w:p>
      <w:pPr>
        <w:pStyle w:val="BodyText"/>
        <w:spacing w:line="312" w:lineRule="exact" w:before="31"/>
        <w:ind w:left="2631" w:right="270" w:hanging="2410"/>
        <w:jc w:val="both"/>
      </w:pPr>
      <w:r>
        <w:rPr>
          <w:b/>
          <w:w w:val="99"/>
          <w:position w:val="-1"/>
        </w:rPr>
        <w:t> </w:t>
      </w:r>
      <w:r>
        <w:rPr>
          <w:b/>
          <w:position w:val="-1"/>
        </w:rPr>
        <w:t>      </w:t>
      </w:r>
      <w:r>
        <w:rPr>
          <w:rFonts w:ascii="Microsoft JhengHei" w:eastAsia="Microsoft JhengHei" w:hint="eastAsia"/>
          <w:b/>
          <w:position w:val="0"/>
        </w:rPr>
        <w:t>25. 主动脉手术 </w:t>
      </w:r>
      <w:r>
        <w:rPr/>
        <w:t>指为治疗主动脉疾病，实际实施了开胸或开腹进行的切除、置换、修补病损主动脉血管的手术。主动脉指胸主动脉和腹主动脉，不包括胸主动脉和腹主动脉的分支血管。 </w:t>
      </w:r>
    </w:p>
    <w:p>
      <w:pPr>
        <w:pStyle w:val="Heading3"/>
        <w:spacing w:line="281" w:lineRule="exact" w:before="0"/>
      </w:pPr>
      <w:r>
        <w:rPr>
          <w:w w:val="95"/>
        </w:rPr>
        <w:t>动脉内血管成形术不在保障范围内。</w:t>
      </w:r>
      <w:r>
        <w:rPr>
          <w:w w:val="94"/>
        </w:rPr>
        <w:t> </w:t>
      </w:r>
    </w:p>
    <w:p>
      <w:pPr>
        <w:tabs>
          <w:tab w:pos="2631" w:val="left" w:leader="none"/>
        </w:tabs>
        <w:spacing w:before="36"/>
        <w:ind w:left="222" w:right="0" w:firstLine="0"/>
        <w:jc w:val="left"/>
        <w:rPr>
          <w:sz w:val="21"/>
        </w:rPr>
      </w:pPr>
      <w:r>
        <w:rPr>
          <w:b/>
          <w:w w:val="99"/>
          <w:position w:val="-1"/>
          <w:sz w:val="21"/>
        </w:rPr>
        <w:t> </w:t>
      </w:r>
      <w:r>
        <w:rPr>
          <w:b/>
          <w:position w:val="-1"/>
          <w:sz w:val="21"/>
        </w:rPr>
        <w:tab/>
      </w:r>
      <w:r>
        <w:rPr>
          <w:sz w:val="21"/>
        </w:rPr>
        <w:t> </w:t>
      </w:r>
    </w:p>
    <w:p>
      <w:pPr>
        <w:spacing w:after="0"/>
        <w:jc w:val="left"/>
        <w:rPr>
          <w:sz w:val="21"/>
        </w:rPr>
        <w:sectPr>
          <w:footerReference w:type="default" r:id="rId10"/>
          <w:pgSz w:w="11910" w:h="16840"/>
          <w:pgMar w:footer="998" w:header="501" w:top="700" w:bottom="1180" w:left="1020" w:right="840"/>
          <w:pgNumType w:start="20"/>
        </w:sectPr>
      </w:pPr>
    </w:p>
    <w:p>
      <w:pPr>
        <w:pStyle w:val="Heading5"/>
        <w:tabs>
          <w:tab w:pos="931" w:val="left" w:leader="none"/>
        </w:tabs>
        <w:spacing w:line="237" w:lineRule="auto" w:before="25"/>
        <w:ind w:hanging="710"/>
      </w:pPr>
      <w:r>
        <w:rPr>
          <w:w w:val="99"/>
        </w:rPr>
        <w:t> </w:t>
      </w:r>
      <w:r>
        <w:rPr/>
        <w:tab/>
      </w:r>
      <w:r>
        <w:rPr>
          <w:rFonts w:ascii="Microsoft JhengHei" w:eastAsia="Microsoft JhengHei" w:hint="eastAsia"/>
          <w:position w:val="2"/>
        </w:rPr>
        <w:t>26.</w:t>
      </w:r>
      <w:r>
        <w:rPr>
          <w:rFonts w:ascii="Microsoft JhengHei" w:eastAsia="Microsoft JhengHei" w:hint="eastAsia"/>
          <w:spacing w:val="5"/>
          <w:position w:val="2"/>
        </w:rPr>
        <w:t> 慢性呼吸功</w:t>
      </w:r>
      <w:r>
        <w:rPr>
          <w:rFonts w:ascii="Microsoft JhengHei" w:eastAsia="Microsoft JhengHei" w:hint="eastAsia"/>
          <w:spacing w:val="5"/>
        </w:rPr>
        <w:t>能衰竭</w:t>
      </w:r>
      <w:r>
        <w:rPr>
          <w:spacing w:val="5"/>
          <w:w w:val="99"/>
        </w:rPr>
        <w:t> </w:t>
      </w:r>
    </w:p>
    <w:p>
      <w:pPr>
        <w:pStyle w:val="BodyText"/>
        <w:spacing w:line="273" w:lineRule="auto" w:before="84"/>
        <w:ind w:left="204" w:right="270"/>
      </w:pPr>
      <w:r>
        <w:rPr/>
        <w:br w:type="column"/>
      </w:r>
      <w:r>
        <w:rPr/>
        <w:t>慢性肺部疾病导致永久不可逆性的慢性呼吸功能衰竭。慢性呼吸功能衰竭必须明确诊断并满足下列全部条件： </w:t>
      </w:r>
    </w:p>
    <w:p>
      <w:pPr>
        <w:pStyle w:val="BodyText"/>
        <w:spacing w:before="7"/>
        <w:ind w:left="204"/>
      </w:pPr>
      <w:r>
        <w:rPr/>
        <w:t>（1）休息时出现呼吸困难； </w:t>
      </w:r>
    </w:p>
    <w:p>
      <w:pPr>
        <w:pStyle w:val="BodyText"/>
        <w:spacing w:before="36"/>
        <w:ind w:left="204"/>
      </w:pPr>
      <w:r>
        <w:rPr/>
        <w:t>（2）动脉血氧分压（PaO2）&lt;50mmHg； </w:t>
      </w:r>
    </w:p>
    <w:p>
      <w:pPr>
        <w:pStyle w:val="BodyText"/>
        <w:spacing w:before="36"/>
        <w:ind w:left="204"/>
      </w:pPr>
      <w:r>
        <w:rPr/>
        <w:t>（3）动脉血氧饱和度（SaO2）&lt;80%； </w:t>
      </w:r>
    </w:p>
    <w:p>
      <w:pPr>
        <w:pStyle w:val="BodyText"/>
        <w:spacing w:before="36"/>
        <w:ind w:left="204"/>
      </w:pPr>
      <w:r>
        <w:rPr/>
        <w:t>（4）因缺氧必须接受持续的输氧治疗。 </w:t>
      </w:r>
    </w:p>
    <w:p>
      <w:pPr>
        <w:spacing w:after="0"/>
        <w:sectPr>
          <w:type w:val="continuous"/>
          <w:pgSz w:w="11910" w:h="16840"/>
          <w:pgMar w:top="700" w:bottom="280" w:left="1020" w:right="840"/>
          <w:cols w:num="2" w:equalWidth="0">
            <w:col w:w="2387" w:space="40"/>
            <w:col w:w="7623"/>
          </w:cols>
        </w:sectPr>
      </w:pPr>
    </w:p>
    <w:p>
      <w:pPr>
        <w:pStyle w:val="BodyText"/>
        <w:spacing w:before="7"/>
        <w:rPr>
          <w:sz w:val="27"/>
        </w:rPr>
      </w:pPr>
    </w:p>
    <w:p>
      <w:pPr>
        <w:spacing w:after="0"/>
        <w:rPr>
          <w:sz w:val="27"/>
        </w:rPr>
        <w:sectPr>
          <w:type w:val="continuous"/>
          <w:pgSz w:w="11910" w:h="16840"/>
          <w:pgMar w:top="700" w:bottom="280" w:left="1020" w:right="840"/>
        </w:sectPr>
      </w:pPr>
    </w:p>
    <w:p>
      <w:pPr>
        <w:pStyle w:val="Heading5"/>
        <w:tabs>
          <w:tab w:pos="931" w:val="left" w:leader="none"/>
        </w:tabs>
        <w:spacing w:line="340" w:lineRule="exact" w:before="32"/>
        <w:ind w:hanging="710"/>
      </w:pPr>
      <w:r>
        <w:rPr>
          <w:w w:val="99"/>
        </w:rPr>
        <w:t> </w:t>
      </w:r>
      <w:r>
        <w:rPr/>
        <w:tab/>
      </w:r>
      <w:r>
        <w:rPr>
          <w:rFonts w:ascii="Microsoft JhengHei" w:eastAsia="Microsoft JhengHei" w:hint="eastAsia"/>
          <w:position w:val="2"/>
        </w:rPr>
        <w:t>27.</w:t>
      </w:r>
      <w:r>
        <w:rPr>
          <w:rFonts w:ascii="Microsoft JhengHei" w:eastAsia="Microsoft JhengHei" w:hint="eastAsia"/>
          <w:spacing w:val="5"/>
          <w:position w:val="2"/>
        </w:rPr>
        <w:t> 严重多发性</w:t>
      </w:r>
      <w:r>
        <w:rPr>
          <w:rFonts w:ascii="Microsoft JhengHei" w:eastAsia="Microsoft JhengHei" w:hint="eastAsia"/>
          <w:spacing w:val="5"/>
        </w:rPr>
        <w:t>硬化</w:t>
      </w:r>
      <w:r>
        <w:rPr>
          <w:spacing w:val="5"/>
          <w:w w:val="99"/>
        </w:rPr>
        <w:t> </w:t>
      </w:r>
    </w:p>
    <w:p>
      <w:pPr>
        <w:pStyle w:val="BodyText"/>
        <w:spacing w:line="273" w:lineRule="auto" w:before="35"/>
        <w:ind w:left="204" w:right="256"/>
        <w:jc w:val="both"/>
      </w:pPr>
      <w:r>
        <w:rPr/>
        <w:br w:type="column"/>
      </w:r>
      <w:r>
        <w:rPr/>
        <w:t>多发性硬化为中枢神经系统白质多灶性脱髓鞘病变，病变有时累及灰质。多发性硬化必须明确诊断，并且已经造成永久不可逆的神经系统功能损害。永久不</w:t>
      </w:r>
      <w:r>
        <w:rPr>
          <w:spacing w:val="-3"/>
        </w:rPr>
        <w:t>可逆的神经系统损害指被保险人持续 </w:t>
      </w:r>
      <w:r>
        <w:rPr/>
        <w:t>180</w:t>
      </w:r>
      <w:r>
        <w:rPr>
          <w:spacing w:val="-7"/>
        </w:rPr>
        <w:t> 天无法独立完成下列基本日常生活活动： </w:t>
      </w:r>
    </w:p>
    <w:p>
      <w:pPr>
        <w:pStyle w:val="BodyText"/>
        <w:spacing w:before="7"/>
        <w:ind w:left="204"/>
        <w:jc w:val="both"/>
      </w:pPr>
      <w:r>
        <w:rPr/>
        <w:t>（1）移动：自己从一个房间移动到另一个房间；或者 </w:t>
      </w:r>
    </w:p>
    <w:p>
      <w:pPr>
        <w:pStyle w:val="BodyText"/>
        <w:spacing w:before="36"/>
        <w:ind w:left="204"/>
        <w:jc w:val="both"/>
      </w:pPr>
      <w:r>
        <w:rPr/>
        <w:t>（2）进食：自己从已准备好的碗或碟中取食物放入口中。 </w:t>
      </w:r>
    </w:p>
    <w:p>
      <w:pPr>
        <w:spacing w:after="0"/>
        <w:jc w:val="both"/>
        <w:sectPr>
          <w:type w:val="continuous"/>
          <w:pgSz w:w="11910" w:h="16840"/>
          <w:pgMar w:top="700" w:bottom="280" w:left="1020" w:right="840"/>
          <w:cols w:num="2" w:equalWidth="0">
            <w:col w:w="2387" w:space="40"/>
            <w:col w:w="7623"/>
          </w:cols>
        </w:sectPr>
      </w:pPr>
    </w:p>
    <w:p>
      <w:pPr>
        <w:tabs>
          <w:tab w:pos="2631" w:val="left" w:leader="none"/>
        </w:tabs>
        <w:spacing w:before="36"/>
        <w:ind w:left="221" w:right="0" w:firstLine="0"/>
        <w:jc w:val="left"/>
        <w:rPr>
          <w:sz w:val="21"/>
        </w:rPr>
      </w:pPr>
      <w:r>
        <w:rPr>
          <w:b/>
          <w:w w:val="99"/>
          <w:position w:val="-1"/>
          <w:sz w:val="21"/>
        </w:rPr>
        <w:t> </w:t>
      </w:r>
      <w:r>
        <w:rPr>
          <w:b/>
          <w:position w:val="-1"/>
          <w:sz w:val="21"/>
        </w:rPr>
        <w:tab/>
      </w:r>
      <w:r>
        <w:rPr>
          <w:sz w:val="21"/>
        </w:rPr>
        <w:t> </w:t>
      </w:r>
    </w:p>
    <w:p>
      <w:pPr>
        <w:tabs>
          <w:tab w:pos="930" w:val="left" w:leader="none"/>
        </w:tabs>
        <w:spacing w:line="242" w:lineRule="auto" w:before="26"/>
        <w:ind w:left="2631" w:right="270" w:hanging="2410"/>
        <w:jc w:val="left"/>
        <w:rPr>
          <w:sz w:val="21"/>
        </w:rPr>
      </w:pPr>
      <w:r>
        <w:rPr>
          <w:b/>
          <w:w w:val="99"/>
          <w:position w:val="-1"/>
          <w:sz w:val="21"/>
        </w:rPr>
        <w:t> </w:t>
      </w:r>
      <w:r>
        <w:rPr>
          <w:b/>
          <w:position w:val="-1"/>
          <w:sz w:val="21"/>
        </w:rPr>
        <w:tab/>
      </w:r>
      <w:r>
        <w:rPr>
          <w:rFonts w:ascii="Microsoft JhengHei" w:eastAsia="Microsoft JhengHei" w:hint="eastAsia"/>
          <w:b/>
          <w:position w:val="0"/>
          <w:sz w:val="21"/>
        </w:rPr>
        <w:t>28.</w:t>
      </w:r>
      <w:r>
        <w:rPr>
          <w:rFonts w:ascii="Microsoft JhengHei" w:eastAsia="Microsoft JhengHei" w:hint="eastAsia"/>
          <w:b/>
          <w:spacing w:val="5"/>
          <w:position w:val="0"/>
          <w:sz w:val="21"/>
        </w:rPr>
        <w:t> 脊髓灰质炎    </w:t>
      </w:r>
      <w:r>
        <w:rPr>
          <w:sz w:val="21"/>
        </w:rPr>
        <w:t>脊髓灰质炎是由于脊髓灰质炎病毒感染所致的瘫痪性疾病，临床表现为运动功能损害或呼吸无力。脊髓灰质炎必须明确诊断。 </w:t>
      </w:r>
    </w:p>
    <w:p>
      <w:pPr>
        <w:pStyle w:val="BodyText"/>
        <w:spacing w:line="273" w:lineRule="auto" w:before="34"/>
        <w:ind w:left="2631" w:right="270"/>
      </w:pPr>
      <w:r>
        <w:rPr/>
        <w:t>本保单仅对脊髓灰质炎造成的神经系统功能损害导致被保险人一肢或一肢以上肢体机能永久完全丧失的情况予以理赔。肢体机能永久完全丧失，指疾病确诊</w:t>
      </w:r>
    </w:p>
    <w:p>
      <w:pPr>
        <w:pStyle w:val="BodyText"/>
        <w:spacing w:before="7"/>
        <w:ind w:left="2631"/>
        <w:rPr>
          <w:b/>
          <w:i/>
          <w:sz w:val="22"/>
        </w:rPr>
      </w:pPr>
      <w:r>
        <w:rPr/>
        <w:t>180 天后，每肢三大关节中的两大关节仍然完全僵硬，或不能随意识活动。</w:t>
      </w:r>
      <w:r>
        <w:rPr>
          <w:b/>
          <w:i/>
          <w:w w:val="94"/>
          <w:sz w:val="22"/>
        </w:rPr>
        <w:t>  </w:t>
      </w:r>
    </w:p>
    <w:p>
      <w:pPr>
        <w:tabs>
          <w:tab w:pos="2631" w:val="left" w:leader="none"/>
        </w:tabs>
        <w:spacing w:before="37"/>
        <w:ind w:left="222" w:right="0" w:firstLine="0"/>
        <w:jc w:val="left"/>
        <w:rPr>
          <w:sz w:val="21"/>
        </w:rPr>
      </w:pPr>
      <w:r>
        <w:rPr>
          <w:b/>
          <w:w w:val="99"/>
          <w:position w:val="-1"/>
          <w:sz w:val="21"/>
        </w:rPr>
        <w:t> </w:t>
      </w:r>
      <w:r>
        <w:rPr>
          <w:b/>
          <w:position w:val="-1"/>
          <w:sz w:val="21"/>
        </w:rPr>
        <w:tab/>
      </w:r>
      <w:r>
        <w:rPr>
          <w:sz w:val="21"/>
        </w:rPr>
        <w:t> </w:t>
      </w:r>
    </w:p>
    <w:p>
      <w:pPr>
        <w:spacing w:after="0"/>
        <w:jc w:val="left"/>
        <w:rPr>
          <w:sz w:val="21"/>
        </w:rPr>
        <w:sectPr>
          <w:type w:val="continuous"/>
          <w:pgSz w:w="11910" w:h="16840"/>
          <w:pgMar w:top="700" w:bottom="280" w:left="1020" w:right="840"/>
        </w:sectPr>
      </w:pPr>
    </w:p>
    <w:p>
      <w:pPr>
        <w:pStyle w:val="Heading5"/>
        <w:tabs>
          <w:tab w:pos="931" w:val="left" w:leader="none"/>
        </w:tabs>
        <w:spacing w:line="363" w:lineRule="exact" w:before="21"/>
        <w:ind w:left="221"/>
        <w:jc w:val="center"/>
        <w:rPr>
          <w:rFonts w:ascii="Microsoft JhengHei" w:eastAsia="Microsoft JhengHei" w:hint="eastAsia"/>
        </w:rPr>
      </w:pPr>
      <w:r>
        <w:rPr>
          <w:w w:val="99"/>
        </w:rPr>
        <w:t> </w:t>
      </w:r>
      <w:r>
        <w:rPr/>
        <w:tab/>
      </w:r>
      <w:r>
        <w:rPr>
          <w:rFonts w:ascii="Microsoft JhengHei" w:eastAsia="Microsoft JhengHei" w:hint="eastAsia"/>
          <w:position w:val="2"/>
        </w:rPr>
        <w:t>29.</w:t>
      </w:r>
      <w:r>
        <w:rPr>
          <w:rFonts w:ascii="Microsoft JhengHei" w:eastAsia="Microsoft JhengHei" w:hint="eastAsia"/>
          <w:spacing w:val="5"/>
          <w:position w:val="2"/>
        </w:rPr>
        <w:t> 全身性重症</w:t>
      </w:r>
    </w:p>
    <w:p>
      <w:pPr>
        <w:spacing w:line="363" w:lineRule="exact" w:before="0"/>
        <w:ind w:left="211" w:right="0" w:firstLine="0"/>
        <w:jc w:val="center"/>
        <w:rPr>
          <w:b/>
          <w:sz w:val="21"/>
        </w:rPr>
      </w:pPr>
      <w:r>
        <w:rPr>
          <w:rFonts w:ascii="Microsoft JhengHei" w:eastAsia="Microsoft JhengHei" w:hint="eastAsia"/>
          <w:b/>
          <w:w w:val="105"/>
          <w:sz w:val="21"/>
        </w:rPr>
        <w:t>ft无力</w:t>
      </w:r>
      <w:r>
        <w:rPr>
          <w:b/>
          <w:w w:val="99"/>
          <w:sz w:val="21"/>
        </w:rPr>
        <w:t> </w:t>
      </w:r>
    </w:p>
    <w:p>
      <w:pPr>
        <w:pStyle w:val="BodyText"/>
        <w:spacing w:line="273" w:lineRule="auto" w:before="84"/>
        <w:ind w:left="204" w:right="25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p>
    <w:p>
      <w:pPr>
        <w:pStyle w:val="BodyText"/>
        <w:spacing w:before="7"/>
        <w:ind w:left="204"/>
      </w:pPr>
      <w:r>
        <w:rPr/>
        <w:t>（1）经药物治疗和胸腺切除治疗一年以上仍无法控制病情； </w:t>
      </w:r>
    </w:p>
    <w:p>
      <w:pPr>
        <w:pStyle w:val="BodyText"/>
        <w:spacing w:line="273" w:lineRule="auto" w:before="36"/>
        <w:ind w:left="730" w:right="256" w:hanging="526"/>
        <w:rPr>
          <w:sz w:val="24"/>
        </w:rPr>
      </w:pPr>
      <w:r>
        <w:rPr>
          <w:spacing w:val="-15"/>
        </w:rPr>
        <w:t>（2）</w:t>
      </w:r>
      <w:r>
        <w:rPr>
          <w:spacing w:val="-5"/>
        </w:rPr>
        <w:t>自主生活能力完全丧失，无法独立完成六项基本日常生活活动中的三项或三项以上。</w:t>
      </w:r>
      <w:r>
        <w:rPr>
          <w:spacing w:val="-5"/>
          <w:sz w:val="24"/>
        </w:rPr>
        <w:t> </w:t>
      </w:r>
    </w:p>
    <w:p>
      <w:pPr>
        <w:spacing w:after="0" w:line="273" w:lineRule="auto"/>
        <w:rPr>
          <w:sz w:val="24"/>
        </w:rPr>
        <w:sectPr>
          <w:type w:val="continuous"/>
          <w:pgSz w:w="11910" w:h="16840"/>
          <w:pgMar w:top="700" w:bottom="280" w:left="1020" w:right="840"/>
          <w:cols w:num="2" w:equalWidth="0">
            <w:col w:w="2387" w:space="40"/>
            <w:col w:w="7623"/>
          </w:cols>
        </w:sectPr>
      </w:pPr>
    </w:p>
    <w:p>
      <w:pPr>
        <w:tabs>
          <w:tab w:pos="2631" w:val="left" w:leader="none"/>
        </w:tabs>
        <w:spacing w:before="7"/>
        <w:ind w:left="222" w:right="0" w:firstLine="0"/>
        <w:jc w:val="left"/>
        <w:rPr>
          <w:sz w:val="21"/>
        </w:rPr>
      </w:pPr>
      <w:r>
        <w:rPr>
          <w:b/>
          <w:w w:val="99"/>
          <w:position w:val="-1"/>
          <w:sz w:val="21"/>
        </w:rPr>
        <w:t> </w:t>
      </w:r>
      <w:r>
        <w:rPr>
          <w:b/>
          <w:position w:val="-1"/>
          <w:sz w:val="21"/>
        </w:rPr>
        <w:tab/>
      </w:r>
      <w:r>
        <w:rPr>
          <w:sz w:val="21"/>
        </w:rPr>
        <w:t> </w:t>
      </w:r>
    </w:p>
    <w:p>
      <w:pPr>
        <w:pStyle w:val="BodyText"/>
        <w:tabs>
          <w:tab w:pos="931" w:val="left" w:leader="none"/>
        </w:tabs>
        <w:spacing w:line="242" w:lineRule="auto" w:before="27"/>
        <w:ind w:left="2631" w:right="256" w:hanging="2410"/>
      </w:pPr>
      <w:r>
        <w:rPr>
          <w:b/>
          <w:w w:val="99"/>
          <w:position w:val="-1"/>
        </w:rPr>
        <w:t> </w:t>
      </w:r>
      <w:r>
        <w:rPr>
          <w:b/>
          <w:position w:val="-1"/>
        </w:rPr>
        <w:tab/>
      </w:r>
      <w:r>
        <w:rPr>
          <w:rFonts w:ascii="Microsoft JhengHei" w:eastAsia="Microsoft JhengHei" w:hint="eastAsia"/>
          <w:b/>
          <w:position w:val="0"/>
        </w:rPr>
        <w:t>30.</w:t>
      </w:r>
      <w:r>
        <w:rPr>
          <w:rFonts w:ascii="Microsoft JhengHei" w:eastAsia="Microsoft JhengHei" w:hint="eastAsia"/>
          <w:b/>
          <w:spacing w:val="2"/>
          <w:position w:val="0"/>
        </w:rPr>
        <w:t>  严重冠心病    </w:t>
      </w:r>
      <w:r>
        <w:rPr/>
        <w:t>指经根据冠状动脉造影检查结果明确诊断为三支主要血管（左冠状动脉主干和右冠状动脉，或前降支、左旋支和右冠状动脉）严重狭窄性病变（至少一支血</w:t>
      </w:r>
    </w:p>
    <w:p>
      <w:pPr>
        <w:spacing w:after="0" w:line="242" w:lineRule="auto"/>
        <w:sectPr>
          <w:type w:val="continuous"/>
          <w:pgSz w:w="11910" w:h="16840"/>
          <w:pgMar w:top="700" w:bottom="280" w:left="1020" w:right="840"/>
        </w:sectPr>
      </w:pPr>
    </w:p>
    <w:p>
      <w:pPr>
        <w:pStyle w:val="BodyText"/>
        <w:rPr>
          <w:sz w:val="20"/>
        </w:rPr>
      </w:pPr>
    </w:p>
    <w:p>
      <w:pPr>
        <w:pStyle w:val="BodyText"/>
        <w:rPr>
          <w:sz w:val="20"/>
        </w:rPr>
      </w:pPr>
    </w:p>
    <w:p>
      <w:pPr>
        <w:pStyle w:val="BodyText"/>
        <w:spacing w:before="178"/>
        <w:ind w:left="2631"/>
      </w:pPr>
      <w:r>
        <w:rPr>
          <w:spacing w:val="-7"/>
        </w:rPr>
        <w:t>管管腔直径减少 </w:t>
      </w:r>
      <w:r>
        <w:rPr/>
        <w:t>75%</w:t>
      </w:r>
      <w:r>
        <w:rPr>
          <w:spacing w:val="-4"/>
        </w:rPr>
        <w:t>以上和其他两支血管管腔直径减少 </w:t>
      </w:r>
      <w:r>
        <w:rPr/>
        <w:t>60%以上</w:t>
      </w:r>
      <w:r>
        <w:rPr>
          <w:spacing w:val="-105"/>
        </w:rPr>
        <w:t>）</w:t>
      </w:r>
      <w:r>
        <w:rPr/>
        <w:t>。 </w:t>
      </w:r>
    </w:p>
    <w:p>
      <w:pPr>
        <w:pStyle w:val="Heading3"/>
        <w:rPr>
          <w:b w:val="0"/>
          <w:i w:val="0"/>
          <w:sz w:val="21"/>
        </w:rPr>
      </w:pPr>
      <w:r>
        <w:rPr>
          <w:w w:val="95"/>
        </w:rPr>
        <w:t>前降支、左旋支及右冠状动脉的分支血管的狭窄不作为本保障的衡量指标。</w:t>
      </w:r>
      <w:r>
        <w:rPr>
          <w:w w:val="94"/>
        </w:rPr>
        <w:t> </w:t>
      </w:r>
      <w:r>
        <w:rPr>
          <w:b w:val="0"/>
          <w:i w:val="0"/>
          <w:sz w:val="21"/>
        </w:rPr>
        <w:t> </w:t>
      </w:r>
    </w:p>
    <w:p>
      <w:pPr>
        <w:tabs>
          <w:tab w:pos="2631" w:val="left" w:leader="none"/>
        </w:tabs>
        <w:spacing w:before="36"/>
        <w:ind w:left="222" w:right="0" w:firstLine="0"/>
        <w:jc w:val="left"/>
        <w:rPr>
          <w:sz w:val="21"/>
        </w:rPr>
      </w:pPr>
      <w:r>
        <w:rPr>
          <w:b/>
          <w:w w:val="99"/>
          <w:position w:val="-1"/>
          <w:sz w:val="21"/>
        </w:rPr>
        <w:t> </w:t>
      </w:r>
      <w:r>
        <w:rPr>
          <w:b/>
          <w:position w:val="-1"/>
          <w:sz w:val="21"/>
        </w:rPr>
        <w:tab/>
      </w:r>
      <w:r>
        <w:rPr>
          <w:sz w:val="21"/>
        </w:rPr>
        <w:t> </w:t>
      </w:r>
    </w:p>
    <w:p>
      <w:pPr>
        <w:pStyle w:val="BodyText"/>
        <w:spacing w:line="254" w:lineRule="auto" w:before="27"/>
        <w:ind w:left="2631" w:right="116" w:hanging="2410"/>
        <w:jc w:val="both"/>
      </w:pPr>
      <w:r>
        <w:rPr>
          <w:b/>
          <w:w w:val="99"/>
          <w:position w:val="-1"/>
        </w:rPr>
        <w:t> </w:t>
      </w:r>
      <w:r>
        <w:rPr>
          <w:b/>
          <w:position w:val="-1"/>
        </w:rPr>
        <w:t>      </w:t>
      </w:r>
      <w:r>
        <w:rPr>
          <w:rFonts w:ascii="Microsoft JhengHei" w:hAnsi="Microsoft JhengHei" w:eastAsia="Microsoft JhengHei" w:hint="eastAsia"/>
          <w:b/>
          <w:position w:val="0"/>
        </w:rPr>
        <w:t>31.  严重心ft病  </w:t>
      </w:r>
      <w:r>
        <w:rPr/>
        <w:t>指被保险人因心肌病导致慢性心功能损害造成永久不可逆性的心功能衰竭。心功能衰竭程度达到纽约心脏病学会的心功能分级标准之心功能Ⅳ级。被保险人永久不可逆性的体力活动能力受限，不能从事任何体力活动。 </w:t>
      </w:r>
    </w:p>
    <w:p>
      <w:pPr>
        <w:tabs>
          <w:tab w:pos="2631" w:val="left" w:leader="none"/>
        </w:tabs>
        <w:spacing w:before="24"/>
        <w:ind w:left="221" w:right="0" w:firstLine="0"/>
        <w:jc w:val="left"/>
        <w:rPr>
          <w:sz w:val="21"/>
        </w:rPr>
      </w:pPr>
      <w:r>
        <w:rPr>
          <w:b/>
          <w:w w:val="99"/>
          <w:position w:val="-1"/>
          <w:sz w:val="21"/>
        </w:rPr>
        <w:t> </w:t>
      </w:r>
      <w:r>
        <w:rPr>
          <w:b/>
          <w:position w:val="-1"/>
          <w:sz w:val="21"/>
        </w:rPr>
        <w:tab/>
      </w:r>
      <w:r>
        <w:rPr>
          <w:sz w:val="21"/>
        </w:rPr>
        <w:t> </w:t>
      </w:r>
    </w:p>
    <w:p>
      <w:pPr>
        <w:spacing w:after="0"/>
        <w:jc w:val="left"/>
        <w:rPr>
          <w:sz w:val="21"/>
        </w:rPr>
        <w:sectPr>
          <w:pgSz w:w="11910" w:h="16840"/>
          <w:pgMar w:header="501" w:footer="998" w:top="700" w:bottom="1180" w:left="1020" w:right="980"/>
        </w:sectPr>
      </w:pPr>
    </w:p>
    <w:p>
      <w:pPr>
        <w:pStyle w:val="Heading5"/>
        <w:tabs>
          <w:tab w:pos="931" w:val="left" w:leader="none"/>
        </w:tabs>
        <w:spacing w:line="235" w:lineRule="auto" w:before="28"/>
        <w:ind w:hanging="710"/>
      </w:pPr>
      <w:r>
        <w:rPr>
          <w:w w:val="99"/>
        </w:rPr>
        <w:t> </w:t>
      </w:r>
      <w:r>
        <w:rPr/>
        <w:tab/>
      </w:r>
      <w:r>
        <w:rPr>
          <w:rFonts w:ascii="Microsoft JhengHei" w:eastAsia="Microsoft JhengHei" w:hint="eastAsia"/>
          <w:position w:val="2"/>
        </w:rPr>
        <w:t>32.</w:t>
      </w:r>
      <w:r>
        <w:rPr>
          <w:rFonts w:ascii="Microsoft JhengHei" w:eastAsia="Microsoft JhengHei" w:hint="eastAsia"/>
          <w:spacing w:val="5"/>
          <w:position w:val="2"/>
        </w:rPr>
        <w:t> 系统性红斑</w:t>
      </w:r>
      <w:r>
        <w:rPr>
          <w:rFonts w:ascii="Microsoft JhengHei" w:eastAsia="Microsoft JhengHei" w:hint="eastAsia"/>
          <w:spacing w:val="5"/>
        </w:rPr>
        <w:t>狼疮-III</w:t>
      </w:r>
      <w:r>
        <w:rPr>
          <w:rFonts w:ascii="Microsoft JhengHei" w:eastAsia="Microsoft JhengHei" w:hint="eastAsia"/>
          <w:spacing w:val="-4"/>
        </w:rPr>
        <w:t> 型或以上狼疮性肾炎</w:t>
      </w:r>
      <w:r>
        <w:rPr>
          <w:spacing w:val="-4"/>
          <w:w w:val="99"/>
        </w:rPr>
        <w:t> </w:t>
      </w:r>
    </w:p>
    <w:p>
      <w:pPr>
        <w:pStyle w:val="BodyText"/>
        <w:spacing w:line="273" w:lineRule="auto" w:before="83"/>
        <w:ind w:left="204" w:right="130"/>
      </w:pPr>
      <w:r>
        <w:rPr/>
        <w:br w:type="column"/>
      </w:r>
      <w:r>
        <w:rPr/>
        <w:t>系统性红斑狼疮是由多种因素引起，累及多系统的自身免疫性疾病。其特点是生成自身抗体对抗多种自身抗原。多见于育龄妇女。 </w:t>
      </w:r>
    </w:p>
    <w:p>
      <w:pPr>
        <w:pStyle w:val="BodyText"/>
        <w:spacing w:line="273" w:lineRule="auto" w:before="7"/>
        <w:ind w:left="204" w:right="121"/>
      </w:pPr>
      <w:r>
        <w:rPr/>
        <w:t>本保单所指的系统性红斑狼疮仅限于累及肾脏（经肾脏活检确认的，符合 WHO 诊断标准定义Ⅲ型至 V 型狼疮性肾炎）的系统性红斑狼疮。 </w:t>
      </w:r>
    </w:p>
    <w:p>
      <w:pPr>
        <w:pStyle w:val="Heading3"/>
        <w:spacing w:line="259" w:lineRule="auto" w:before="0"/>
        <w:ind w:left="204" w:right="116"/>
      </w:pPr>
      <w:r>
        <w:rPr>
          <w:w w:val="95"/>
        </w:rPr>
        <w:t>其他类型的红斑性狼疮，如盘状狼疮、仅累及血液及关节的狼疮不在本保单保障范围內。</w:t>
      </w:r>
      <w:r>
        <w:rPr>
          <w:w w:val="94"/>
        </w:rPr>
        <w:t> </w:t>
      </w:r>
    </w:p>
    <w:p>
      <w:pPr>
        <w:pStyle w:val="BodyText"/>
        <w:spacing w:line="273" w:lineRule="auto" w:before="22"/>
        <w:ind w:left="414" w:right="2231" w:hanging="210"/>
      </w:pPr>
      <w:r>
        <w:rPr/>
        <w:t>世界卫生组织（WHO）狼疮性肾炎分型：            Ⅰ型（微小病变型）</w:t>
      </w:r>
      <w:r>
        <w:rPr>
          <w:spacing w:val="1"/>
        </w:rPr>
        <w:t>        镜下阴性，尿液正常 </w:t>
      </w:r>
    </w:p>
    <w:p>
      <w:pPr>
        <w:pStyle w:val="BodyText"/>
        <w:spacing w:line="273" w:lineRule="auto" w:before="7"/>
        <w:ind w:left="414" w:right="236"/>
      </w:pPr>
      <w:r>
        <w:rPr/>
        <w:t>Ⅱ型（系膜病变型）                   中度蛋白尿，偶有尿沉渣改变Ⅲ型（局灶及节段增生型）                     蛋白尿，尿沉渣改变Ⅳ型（弥漫增生型）        急性肾炎伴有尿沉渣改变及/或肾病综合征Ⅴ型（膜型）              肾病综合征或重度蛋白尿 </w:t>
      </w:r>
    </w:p>
    <w:p>
      <w:pPr>
        <w:spacing w:after="0" w:line="273" w:lineRule="auto"/>
        <w:sectPr>
          <w:type w:val="continuous"/>
          <w:pgSz w:w="11910" w:h="16840"/>
          <w:pgMar w:top="700" w:bottom="280" w:left="1020" w:right="980"/>
          <w:cols w:num="2" w:equalWidth="0">
            <w:col w:w="2387" w:space="40"/>
            <w:col w:w="7483"/>
          </w:cols>
        </w:sectPr>
      </w:pPr>
    </w:p>
    <w:p>
      <w:pPr>
        <w:pStyle w:val="BodyText"/>
        <w:spacing w:before="3"/>
        <w:rPr>
          <w:sz w:val="25"/>
        </w:rPr>
      </w:pPr>
    </w:p>
    <w:p>
      <w:pPr>
        <w:spacing w:after="0"/>
        <w:rPr>
          <w:sz w:val="25"/>
        </w:rPr>
        <w:sectPr>
          <w:type w:val="continuous"/>
          <w:pgSz w:w="11910" w:h="16840"/>
          <w:pgMar w:top="700" w:bottom="280" w:left="1020" w:right="980"/>
        </w:sectPr>
      </w:pPr>
    </w:p>
    <w:p>
      <w:pPr>
        <w:pStyle w:val="Heading5"/>
        <w:tabs>
          <w:tab w:pos="931" w:val="left" w:leader="none"/>
        </w:tabs>
        <w:spacing w:line="340" w:lineRule="exact" w:before="33"/>
        <w:ind w:right="116" w:hanging="710"/>
        <w:rPr>
          <w:rFonts w:ascii="Microsoft JhengHei" w:eastAsia="Microsoft JhengHei" w:hint="eastAsia"/>
        </w:rPr>
      </w:pPr>
      <w:r>
        <w:rPr>
          <w:w w:val="99"/>
        </w:rPr>
        <w:t> </w:t>
      </w:r>
      <w:r>
        <w:rPr/>
        <w:tab/>
      </w:r>
      <w:r>
        <w:rPr>
          <w:rFonts w:ascii="Microsoft JhengHei" w:eastAsia="Microsoft JhengHei" w:hint="eastAsia"/>
          <w:position w:val="2"/>
        </w:rPr>
        <w:t>33.</w:t>
      </w:r>
      <w:r>
        <w:rPr>
          <w:rFonts w:ascii="Microsoft JhengHei" w:eastAsia="Microsoft JhengHei" w:hint="eastAsia"/>
          <w:spacing w:val="5"/>
          <w:position w:val="2"/>
        </w:rPr>
        <w:t> 因职业关系</w:t>
      </w:r>
      <w:r>
        <w:rPr>
          <w:rFonts w:ascii="Microsoft JhengHei" w:eastAsia="Microsoft JhengHei" w:hint="eastAsia"/>
          <w:spacing w:val="5"/>
        </w:rPr>
        <w:t>导致的人类免疫</w:t>
      </w:r>
    </w:p>
    <w:p>
      <w:pPr>
        <w:spacing w:line="358" w:lineRule="exact" w:before="4"/>
        <w:ind w:left="931" w:right="0" w:firstLine="0"/>
        <w:jc w:val="left"/>
        <w:rPr>
          <w:b/>
          <w:sz w:val="21"/>
        </w:rPr>
      </w:pPr>
      <w:r>
        <w:rPr>
          <w:rFonts w:ascii="Microsoft JhengHei" w:eastAsia="Microsoft JhengHei" w:hint="eastAsia"/>
          <w:b/>
          <w:w w:val="95"/>
          <w:sz w:val="21"/>
        </w:rPr>
        <w:t>缺陷病毒（HIV） </w:t>
      </w:r>
      <w:r>
        <w:rPr>
          <w:rFonts w:ascii="Microsoft JhengHei" w:eastAsia="Microsoft JhengHei" w:hint="eastAsia"/>
          <w:b/>
          <w:sz w:val="21"/>
        </w:rPr>
        <w:t>感染</w:t>
      </w:r>
      <w:r>
        <w:rPr>
          <w:b/>
          <w:w w:val="99"/>
          <w:sz w:val="21"/>
        </w:rPr>
        <w:t> </w:t>
      </w:r>
    </w:p>
    <w:p>
      <w:pPr>
        <w:pStyle w:val="BodyText"/>
        <w:spacing w:line="273" w:lineRule="auto" w:before="36"/>
        <w:ind w:left="70" w:right="116"/>
      </w:pPr>
      <w:r>
        <w:rPr/>
        <w:br w:type="column"/>
      </w:r>
      <w:r>
        <w:rPr/>
        <w:t>被保险人在其常规职业工作过程中遭遇外伤，或者职业需要处理血液或者其他</w:t>
      </w:r>
      <w:r>
        <w:rPr>
          <w:spacing w:val="-1"/>
        </w:rPr>
        <w:t>体液时感染上人类免疫缺陷病毒（HIV</w:t>
      </w:r>
      <w:r>
        <w:rPr>
          <w:spacing w:val="-105"/>
        </w:rPr>
        <w:t>）</w:t>
      </w:r>
      <w:r>
        <w:rPr>
          <w:spacing w:val="-2"/>
        </w:rPr>
        <w:t>。 </w:t>
      </w:r>
    </w:p>
    <w:p>
      <w:pPr>
        <w:pStyle w:val="BodyText"/>
        <w:spacing w:before="8"/>
        <w:ind w:left="70"/>
      </w:pPr>
      <w:r>
        <w:rPr/>
        <w:t>必须满足下列全部条件： </w:t>
      </w:r>
    </w:p>
    <w:p>
      <w:pPr>
        <w:pStyle w:val="BodyText"/>
        <w:spacing w:line="273" w:lineRule="auto" w:before="37"/>
        <w:ind w:left="596" w:right="116" w:hanging="526"/>
      </w:pPr>
      <w:r>
        <w:rPr>
          <w:spacing w:val="-15"/>
        </w:rPr>
        <w:t>（1）</w:t>
      </w:r>
      <w:r>
        <w:rPr>
          <w:spacing w:val="-2"/>
        </w:rPr>
        <w:t>感染必须是在被保险人正在从事其职业工作中发生，该职业必须属于以下列表内的职业； </w:t>
      </w:r>
    </w:p>
    <w:p>
      <w:pPr>
        <w:pStyle w:val="BodyText"/>
        <w:spacing w:before="7"/>
        <w:ind w:left="70"/>
      </w:pPr>
      <w:r>
        <w:rPr/>
        <w:t>（2）血清转化必须出现在事故发生后的6个月以内； </w:t>
      </w:r>
    </w:p>
    <w:p>
      <w:pPr>
        <w:pStyle w:val="BodyText"/>
        <w:spacing w:line="273" w:lineRule="auto" w:before="36"/>
        <w:ind w:left="596" w:right="115" w:hanging="526"/>
      </w:pPr>
      <w:r>
        <w:rPr/>
        <w:t>（3）必须提供被保险人在所报事故发生后的5天以内进行的检查报告，该报告必须显示被保险人血液HIV病毒阴性和/或HIV抗体阴性； </w:t>
      </w:r>
    </w:p>
    <w:p>
      <w:pPr>
        <w:pStyle w:val="BodyText"/>
        <w:spacing w:line="273" w:lineRule="auto" w:before="7"/>
        <w:ind w:left="596" w:right="114" w:hanging="526"/>
      </w:pPr>
      <w:r>
        <w:rPr/>
        <w:t>（4）必须在事故发生后的12个月内证实被保险人体内存在HIV病毒或者HIV抗体。 </w:t>
      </w:r>
    </w:p>
    <w:p>
      <w:pPr>
        <w:pStyle w:val="Heading3"/>
        <w:spacing w:line="284" w:lineRule="exact" w:before="0"/>
        <w:ind w:left="70"/>
      </w:pPr>
      <w:r>
        <w:rPr>
          <w:w w:val="95"/>
        </w:rPr>
        <w:t>职业限制如下所示: </w:t>
      </w:r>
    </w:p>
    <w:p>
      <w:pPr>
        <w:spacing w:before="24"/>
        <w:ind w:left="70" w:right="0" w:firstLine="0"/>
        <w:jc w:val="left"/>
        <w:rPr>
          <w:b/>
          <w:i/>
          <w:sz w:val="22"/>
        </w:rPr>
      </w:pPr>
      <w:r>
        <w:rPr>
          <w:b/>
          <w:i/>
          <w:sz w:val="22"/>
        </w:rPr>
        <w:t>医生和牙科医生     护士 </w:t>
      </w:r>
    </w:p>
    <w:p>
      <w:pPr>
        <w:spacing w:before="24"/>
        <w:ind w:left="70" w:right="0" w:firstLine="0"/>
        <w:jc w:val="left"/>
        <w:rPr>
          <w:b/>
          <w:i/>
          <w:sz w:val="22"/>
        </w:rPr>
      </w:pPr>
      <w:r>
        <w:rPr>
          <w:b/>
          <w:i/>
          <w:sz w:val="22"/>
        </w:rPr>
        <w:t>医院化验室工作人员 医院护工</w:t>
      </w:r>
      <w:r>
        <w:rPr>
          <w:b/>
          <w:i/>
          <w:w w:val="94"/>
          <w:sz w:val="22"/>
        </w:rPr>
        <w:t> </w:t>
      </w:r>
    </w:p>
    <w:p>
      <w:pPr>
        <w:spacing w:line="259" w:lineRule="auto" w:before="24"/>
        <w:ind w:left="70" w:right="3478" w:firstLine="0"/>
        <w:jc w:val="left"/>
        <w:rPr>
          <w:b/>
          <w:i/>
          <w:sz w:val="22"/>
        </w:rPr>
      </w:pPr>
      <w:r>
        <w:rPr>
          <w:b/>
          <w:i/>
          <w:sz w:val="22"/>
        </w:rPr>
        <w:t>医生助理和牙医助理 救护车工作人员助 产 士        消 防 队 员 </w:t>
      </w:r>
    </w:p>
    <w:p>
      <w:pPr>
        <w:spacing w:before="6"/>
        <w:ind w:left="70" w:right="0" w:firstLine="0"/>
        <w:jc w:val="left"/>
        <w:rPr>
          <w:b/>
          <w:i/>
          <w:sz w:val="22"/>
        </w:rPr>
      </w:pPr>
      <w:r>
        <w:rPr>
          <w:b/>
          <w:i/>
          <w:sz w:val="22"/>
        </w:rPr>
        <w:t>警 察             狱 警 </w:t>
      </w:r>
    </w:p>
    <w:p>
      <w:pPr>
        <w:spacing w:after="0"/>
        <w:jc w:val="left"/>
        <w:rPr>
          <w:sz w:val="22"/>
        </w:rPr>
        <w:sectPr>
          <w:type w:val="continuous"/>
          <w:pgSz w:w="11910" w:h="16840"/>
          <w:pgMar w:top="700" w:bottom="280" w:left="1020" w:right="980"/>
          <w:cols w:num="2" w:equalWidth="0">
            <w:col w:w="2521" w:space="40"/>
            <w:col w:w="7349"/>
          </w:cols>
        </w:sectPr>
      </w:pPr>
    </w:p>
    <w:p>
      <w:pPr>
        <w:pStyle w:val="BodyText"/>
        <w:spacing w:before="5"/>
        <w:rPr>
          <w:b/>
          <w:i/>
          <w:sz w:val="27"/>
        </w:rPr>
      </w:pPr>
    </w:p>
    <w:p>
      <w:pPr>
        <w:spacing w:after="0"/>
        <w:rPr>
          <w:sz w:val="27"/>
        </w:rPr>
        <w:sectPr>
          <w:type w:val="continuous"/>
          <w:pgSz w:w="11910" w:h="16840"/>
          <w:pgMar w:top="700" w:bottom="280" w:left="1020" w:right="980"/>
        </w:sectPr>
      </w:pPr>
    </w:p>
    <w:p>
      <w:pPr>
        <w:pStyle w:val="Heading5"/>
        <w:tabs>
          <w:tab w:pos="931" w:val="left" w:leader="none"/>
        </w:tabs>
        <w:spacing w:line="340" w:lineRule="exact" w:before="33"/>
        <w:ind w:hanging="710"/>
        <w:rPr>
          <w:rFonts w:ascii="Microsoft JhengHei" w:eastAsia="Microsoft JhengHei" w:hint="eastAsia"/>
        </w:rPr>
      </w:pPr>
      <w:r>
        <w:rPr>
          <w:w w:val="99"/>
        </w:rPr>
        <w:t> </w:t>
      </w:r>
      <w:r>
        <w:rPr/>
        <w:tab/>
      </w:r>
      <w:r>
        <w:rPr>
          <w:rFonts w:ascii="Microsoft JhengHei" w:eastAsia="Microsoft JhengHei" w:hint="eastAsia"/>
          <w:position w:val="2"/>
        </w:rPr>
        <w:t>34.</w:t>
      </w:r>
      <w:r>
        <w:rPr>
          <w:rFonts w:ascii="Microsoft JhengHei" w:eastAsia="Microsoft JhengHei" w:hint="eastAsia"/>
          <w:spacing w:val="5"/>
          <w:position w:val="2"/>
        </w:rPr>
        <w:t> 经输血导致</w:t>
      </w:r>
      <w:r>
        <w:rPr>
          <w:rFonts w:ascii="Microsoft JhengHei" w:eastAsia="Microsoft JhengHei" w:hint="eastAsia"/>
          <w:spacing w:val="5"/>
        </w:rPr>
        <w:t>的人类免疫缺陷</w:t>
      </w:r>
    </w:p>
    <w:p>
      <w:pPr>
        <w:spacing w:line="358" w:lineRule="exact" w:before="4"/>
        <w:ind w:left="931" w:right="51" w:firstLine="0"/>
        <w:jc w:val="left"/>
        <w:rPr>
          <w:b/>
          <w:sz w:val="21"/>
        </w:rPr>
      </w:pPr>
      <w:r>
        <w:rPr>
          <w:rFonts w:ascii="Microsoft JhengHei" w:eastAsia="Microsoft JhengHei" w:hint="eastAsia"/>
          <w:b/>
          <w:w w:val="95"/>
          <w:sz w:val="21"/>
        </w:rPr>
        <w:t>病毒（HIV）感</w:t>
      </w:r>
      <w:r>
        <w:rPr>
          <w:rFonts w:ascii="Microsoft JhengHei" w:eastAsia="Microsoft JhengHei" w:hint="eastAsia"/>
          <w:b/>
          <w:sz w:val="21"/>
        </w:rPr>
        <w:t>染</w:t>
      </w:r>
      <w:r>
        <w:rPr>
          <w:b/>
          <w:w w:val="99"/>
          <w:sz w:val="21"/>
        </w:rPr>
        <w:t> </w:t>
      </w:r>
    </w:p>
    <w:p>
      <w:pPr>
        <w:pStyle w:val="BodyText"/>
        <w:spacing w:before="36"/>
        <w:ind w:left="189"/>
      </w:pPr>
      <w:r>
        <w:rPr/>
        <w:br w:type="column"/>
      </w:r>
      <w:r>
        <w:rPr/>
        <w:t>被保险人感染上人类免疫缺陷病毒（HIV）并且满足下列全部条件： </w:t>
      </w:r>
    </w:p>
    <w:p>
      <w:pPr>
        <w:pStyle w:val="BodyText"/>
        <w:spacing w:before="37"/>
        <w:ind w:left="189"/>
      </w:pPr>
      <w:r>
        <w:rPr/>
        <w:t>（1）在保障起始日或复效日之后，被保险人因输血而感染 HIV； </w:t>
      </w:r>
    </w:p>
    <w:p>
      <w:pPr>
        <w:pStyle w:val="BodyText"/>
        <w:spacing w:line="273" w:lineRule="auto" w:before="37"/>
        <w:ind w:left="714" w:right="113" w:hanging="526"/>
      </w:pPr>
      <w:r>
        <w:rPr/>
        <w:t>（2）提供输血治疗的输血中心或医院出具该项输血感染属医疗责任事故的报告，或者法院终审裁定为医疗责任并且不准上诉； </w:t>
      </w:r>
    </w:p>
    <w:p>
      <w:pPr>
        <w:pStyle w:val="BodyText"/>
        <w:spacing w:before="8"/>
        <w:ind w:left="189"/>
      </w:pPr>
      <w:r>
        <w:rPr/>
        <w:t>（3）受感染的被保险人不是血友病患者。 </w:t>
      </w:r>
    </w:p>
    <w:p>
      <w:pPr>
        <w:pStyle w:val="Heading3"/>
        <w:ind w:left="189"/>
      </w:pPr>
      <w:r>
        <w:rPr>
          <w:w w:val="95"/>
        </w:rPr>
        <w:t>在任何治愈艾滋病（AIDS）或阻止HIV 病毒作用的疗法被发现以后，或能防止</w:t>
      </w:r>
    </w:p>
    <w:p>
      <w:pPr>
        <w:spacing w:before="23"/>
        <w:ind w:left="189" w:right="0" w:firstLine="0"/>
        <w:jc w:val="left"/>
        <w:rPr>
          <w:b/>
          <w:i/>
          <w:sz w:val="22"/>
        </w:rPr>
      </w:pPr>
      <w:r>
        <w:rPr>
          <w:b/>
          <w:i/>
          <w:w w:val="95"/>
          <w:sz w:val="22"/>
        </w:rPr>
        <w:t>AIDS 发生的医疗方法被研究出来以后，本保障将不再予以赔付。</w:t>
      </w:r>
      <w:r>
        <w:rPr>
          <w:b/>
          <w:i/>
          <w:w w:val="94"/>
          <w:sz w:val="22"/>
        </w:rPr>
        <w:t> </w:t>
      </w:r>
    </w:p>
    <w:p>
      <w:pPr>
        <w:spacing w:after="0"/>
        <w:jc w:val="left"/>
        <w:rPr>
          <w:sz w:val="22"/>
        </w:rPr>
        <w:sectPr>
          <w:type w:val="continuous"/>
          <w:pgSz w:w="11910" w:h="16840"/>
          <w:pgMar w:top="700" w:bottom="280" w:left="1020" w:right="980"/>
          <w:cols w:num="2" w:equalWidth="0">
            <w:col w:w="2403" w:space="40"/>
            <w:col w:w="7467"/>
          </w:cols>
        </w:sectPr>
      </w:pPr>
    </w:p>
    <w:p>
      <w:pPr>
        <w:pStyle w:val="BodyText"/>
        <w:rPr>
          <w:b/>
          <w:i/>
          <w:sz w:val="20"/>
        </w:rPr>
      </w:pPr>
    </w:p>
    <w:p>
      <w:pPr>
        <w:pStyle w:val="BodyText"/>
        <w:rPr>
          <w:b/>
          <w:i/>
          <w:sz w:val="20"/>
        </w:rPr>
      </w:pPr>
    </w:p>
    <w:p>
      <w:pPr>
        <w:spacing w:line="259" w:lineRule="auto" w:before="167"/>
        <w:ind w:left="2631" w:right="216" w:firstLine="0"/>
        <w:jc w:val="both"/>
        <w:rPr>
          <w:sz w:val="21"/>
        </w:rPr>
      </w:pPr>
      <w:r>
        <w:rPr>
          <w:b/>
          <w:i/>
          <w:spacing w:val="-1"/>
          <w:w w:val="95"/>
          <w:sz w:val="22"/>
        </w:rPr>
        <w:t>任何因其他传播方式</w:t>
      </w:r>
      <w:r>
        <w:rPr>
          <w:b/>
          <w:i/>
          <w:w w:val="95"/>
          <w:sz w:val="22"/>
        </w:rPr>
        <w:t>（</w:t>
      </w:r>
      <w:r>
        <w:rPr>
          <w:b/>
          <w:i/>
          <w:spacing w:val="-2"/>
          <w:w w:val="95"/>
          <w:sz w:val="22"/>
        </w:rPr>
        <w:t>包括：性传播或静脉注射毒品</w:t>
      </w:r>
      <w:r>
        <w:rPr>
          <w:b/>
          <w:i/>
          <w:spacing w:val="-5"/>
          <w:w w:val="95"/>
          <w:sz w:val="22"/>
        </w:rPr>
        <w:t>）</w:t>
      </w:r>
      <w:r>
        <w:rPr>
          <w:b/>
          <w:i/>
          <w:spacing w:val="16"/>
          <w:w w:val="95"/>
          <w:sz w:val="22"/>
        </w:rPr>
        <w:t>导致的</w:t>
      </w:r>
      <w:r>
        <w:rPr>
          <w:b/>
          <w:i/>
          <w:w w:val="95"/>
          <w:sz w:val="22"/>
        </w:rPr>
        <w:t>HIV</w:t>
      </w:r>
      <w:r>
        <w:rPr>
          <w:b/>
          <w:i/>
          <w:spacing w:val="-7"/>
          <w:w w:val="95"/>
          <w:sz w:val="22"/>
        </w:rPr>
        <w:t> 感染不在本</w:t>
      </w:r>
      <w:r>
        <w:rPr>
          <w:b/>
          <w:i/>
          <w:spacing w:val="-8"/>
          <w:w w:val="95"/>
          <w:sz w:val="22"/>
        </w:rPr>
        <w:t>保单保障范围内。保险公司必须拥有获得使用被保险人的所有血液样本的权利和能够对这些样本进行独立检验的权利。</w:t>
      </w:r>
      <w:r>
        <w:rPr>
          <w:spacing w:val="-8"/>
          <w:sz w:val="21"/>
        </w:rPr>
        <w:t> </w:t>
      </w:r>
    </w:p>
    <w:p>
      <w:pPr>
        <w:tabs>
          <w:tab w:pos="2631" w:val="left" w:leader="none"/>
        </w:tabs>
        <w:spacing w:before="18"/>
        <w:ind w:left="222" w:right="0" w:firstLine="0"/>
        <w:jc w:val="left"/>
        <w:rPr>
          <w:sz w:val="21"/>
        </w:rPr>
      </w:pPr>
      <w:r>
        <w:rPr>
          <w:b/>
          <w:w w:val="99"/>
          <w:position w:val="-1"/>
          <w:sz w:val="21"/>
        </w:rPr>
        <w:t> </w:t>
      </w:r>
      <w:r>
        <w:rPr>
          <w:b/>
          <w:position w:val="-1"/>
          <w:sz w:val="21"/>
        </w:rPr>
        <w:tab/>
      </w:r>
      <w:r>
        <w:rPr>
          <w:sz w:val="21"/>
        </w:rPr>
        <w:t> </w:t>
      </w:r>
    </w:p>
    <w:p>
      <w:pPr>
        <w:tabs>
          <w:tab w:pos="931" w:val="left" w:leader="none"/>
        </w:tabs>
        <w:spacing w:line="242" w:lineRule="auto" w:before="27"/>
        <w:ind w:left="2631" w:right="216" w:hanging="2410"/>
        <w:jc w:val="left"/>
        <w:rPr>
          <w:sz w:val="21"/>
        </w:rPr>
      </w:pPr>
      <w:r>
        <w:rPr>
          <w:b/>
          <w:w w:val="99"/>
          <w:position w:val="-1"/>
          <w:sz w:val="21"/>
        </w:rPr>
        <w:t> </w:t>
      </w:r>
      <w:r>
        <w:rPr>
          <w:b/>
          <w:position w:val="-1"/>
          <w:sz w:val="21"/>
        </w:rPr>
        <w:tab/>
      </w:r>
      <w:r>
        <w:rPr>
          <w:rFonts w:ascii="Microsoft JhengHei" w:eastAsia="Microsoft JhengHei" w:hint="eastAsia"/>
          <w:b/>
          <w:position w:val="0"/>
          <w:sz w:val="21"/>
        </w:rPr>
        <w:t>35.</w:t>
      </w:r>
      <w:r>
        <w:rPr>
          <w:rFonts w:ascii="Microsoft JhengHei" w:eastAsia="Microsoft JhengHei" w:hint="eastAsia"/>
          <w:b/>
          <w:spacing w:val="2"/>
          <w:position w:val="0"/>
          <w:sz w:val="21"/>
        </w:rPr>
        <w:t>  严重克隆病    </w:t>
      </w:r>
      <w:r>
        <w:rPr>
          <w:sz w:val="21"/>
        </w:rPr>
        <w:t>克隆病是一种慢性肉芽肿性肠炎，具有特征性的克隆病病理组织学变化。诊断必须由病理检查结果证实。 </w:t>
      </w:r>
    </w:p>
    <w:p>
      <w:pPr>
        <w:pStyle w:val="Heading3"/>
        <w:spacing w:before="23"/>
        <w:jc w:val="both"/>
        <w:rPr>
          <w:b w:val="0"/>
          <w:i w:val="0"/>
          <w:sz w:val="21"/>
        </w:rPr>
      </w:pPr>
      <w:r>
        <w:rPr>
          <w:w w:val="95"/>
        </w:rPr>
        <w:t>被保险人所患的克隆病必须已经造成瘘管形成并伴有肠梗阻或肠穿孔。</w:t>
      </w:r>
      <w:r>
        <w:rPr>
          <w:b w:val="0"/>
          <w:i w:val="0"/>
          <w:sz w:val="21"/>
        </w:rPr>
        <w:t> </w:t>
      </w:r>
    </w:p>
    <w:p>
      <w:pPr>
        <w:tabs>
          <w:tab w:pos="2631" w:val="left" w:leader="none"/>
        </w:tabs>
        <w:spacing w:before="35"/>
        <w:ind w:left="221" w:right="0" w:firstLine="0"/>
        <w:jc w:val="left"/>
        <w:rPr>
          <w:sz w:val="21"/>
        </w:rPr>
      </w:pPr>
      <w:r>
        <w:rPr>
          <w:b/>
          <w:w w:val="99"/>
          <w:position w:val="-1"/>
          <w:sz w:val="21"/>
        </w:rPr>
        <w:t> </w:t>
      </w:r>
      <w:r>
        <w:rPr>
          <w:b/>
          <w:position w:val="-1"/>
          <w:sz w:val="21"/>
        </w:rPr>
        <w:tab/>
      </w:r>
      <w:r>
        <w:rPr>
          <w:sz w:val="21"/>
        </w:rPr>
        <w:t> </w:t>
      </w:r>
    </w:p>
    <w:p>
      <w:pPr>
        <w:spacing w:after="0"/>
        <w:jc w:val="left"/>
        <w:rPr>
          <w:sz w:val="21"/>
        </w:rPr>
        <w:sectPr>
          <w:pgSz w:w="11910" w:h="16840"/>
          <w:pgMar w:header="501" w:footer="998" w:top="700" w:bottom="1180" w:left="1020" w:right="880"/>
        </w:sectPr>
      </w:pPr>
    </w:p>
    <w:p>
      <w:pPr>
        <w:pStyle w:val="Heading5"/>
        <w:tabs>
          <w:tab w:pos="931" w:val="left" w:leader="none"/>
        </w:tabs>
        <w:spacing w:line="237" w:lineRule="auto" w:before="24"/>
        <w:ind w:hanging="710"/>
      </w:pPr>
      <w:r>
        <w:rPr>
          <w:w w:val="99"/>
        </w:rPr>
        <w:t> </w:t>
      </w:r>
      <w:r>
        <w:rPr/>
        <w:tab/>
      </w:r>
      <w:r>
        <w:rPr>
          <w:rFonts w:ascii="Microsoft JhengHei" w:eastAsia="Microsoft JhengHei" w:hint="eastAsia"/>
          <w:position w:val="2"/>
        </w:rPr>
        <w:t>36.</w:t>
      </w:r>
      <w:r>
        <w:rPr>
          <w:rFonts w:ascii="Microsoft JhengHei" w:eastAsia="Microsoft JhengHei" w:hint="eastAsia"/>
          <w:spacing w:val="5"/>
          <w:position w:val="2"/>
        </w:rPr>
        <w:t> 严重溃疡性</w:t>
      </w:r>
      <w:r>
        <w:rPr>
          <w:rFonts w:ascii="Microsoft JhengHei" w:eastAsia="Microsoft JhengHei" w:hint="eastAsia"/>
          <w:spacing w:val="5"/>
        </w:rPr>
        <w:t>结肠炎</w:t>
      </w:r>
      <w:r>
        <w:rPr>
          <w:spacing w:val="5"/>
          <w:w w:val="99"/>
        </w:rPr>
        <w:t> </w:t>
      </w:r>
    </w:p>
    <w:p>
      <w:pPr>
        <w:pStyle w:val="BodyText"/>
        <w:spacing w:line="273" w:lineRule="auto" w:before="83"/>
        <w:ind w:left="204" w:right="216"/>
        <w:jc w:val="both"/>
      </w:pPr>
      <w:r>
        <w:rPr/>
        <w:br w:type="column"/>
      </w:r>
      <w:r>
        <w:rPr/>
        <w:t>本保障所指的严重溃疡性结肠炎是指伴有致命性电解质紊乱的急性暴发性溃疡性结肠炎，病变累及全结肠，表现为严重的血便和系统性症状体征，治疗通常采取全结肠切除和回肠造瘘术。 </w:t>
      </w:r>
    </w:p>
    <w:p>
      <w:pPr>
        <w:pStyle w:val="Heading3"/>
        <w:spacing w:line="259" w:lineRule="auto" w:before="0"/>
        <w:ind w:left="204" w:right="216"/>
        <w:jc w:val="both"/>
        <w:rPr>
          <w:b w:val="0"/>
          <w:i w:val="0"/>
          <w:sz w:val="21"/>
        </w:rPr>
      </w:pPr>
      <w:r>
        <w:rPr>
          <w:w w:val="95"/>
        </w:rPr>
        <w:t>溃疡性结肠炎必须根据组织病理学特点诊断，并且被保险人已经接受了结肠切除和/或回肠造瘘术。</w:t>
      </w:r>
      <w:r>
        <w:rPr>
          <w:b w:val="0"/>
          <w:i w:val="0"/>
          <w:sz w:val="21"/>
        </w:rPr>
        <w:t> </w:t>
      </w:r>
    </w:p>
    <w:p>
      <w:pPr>
        <w:spacing w:after="0" w:line="259" w:lineRule="auto"/>
        <w:jc w:val="both"/>
        <w:rPr>
          <w:sz w:val="21"/>
        </w:rPr>
        <w:sectPr>
          <w:type w:val="continuous"/>
          <w:pgSz w:w="11910" w:h="16840"/>
          <w:pgMar w:top="700" w:bottom="280" w:left="1020" w:right="880"/>
          <w:cols w:num="2" w:equalWidth="0">
            <w:col w:w="2387" w:space="40"/>
            <w:col w:w="7583"/>
          </w:cols>
        </w:sectPr>
      </w:pPr>
    </w:p>
    <w:p>
      <w:pPr>
        <w:tabs>
          <w:tab w:pos="2631" w:val="left" w:leader="none"/>
        </w:tabs>
        <w:spacing w:before="22"/>
        <w:ind w:left="222" w:right="0" w:firstLine="0"/>
        <w:jc w:val="left"/>
        <w:rPr>
          <w:sz w:val="21"/>
        </w:rPr>
      </w:pPr>
      <w:r>
        <w:rPr>
          <w:b/>
          <w:w w:val="99"/>
          <w:position w:val="-1"/>
          <w:sz w:val="21"/>
        </w:rPr>
        <w:t> </w:t>
      </w:r>
      <w:r>
        <w:rPr>
          <w:b/>
          <w:position w:val="-1"/>
          <w:sz w:val="21"/>
        </w:rPr>
        <w:tab/>
      </w:r>
      <w:r>
        <w:rPr>
          <w:sz w:val="21"/>
        </w:rPr>
        <w:t> </w:t>
      </w:r>
    </w:p>
    <w:p>
      <w:pPr>
        <w:pStyle w:val="BodyText"/>
        <w:spacing w:line="259" w:lineRule="auto" w:before="26"/>
        <w:ind w:left="2631" w:right="213" w:hanging="2410"/>
        <w:jc w:val="both"/>
      </w:pPr>
      <w:r>
        <w:rPr>
          <w:b/>
          <w:w w:val="99"/>
          <w:position w:val="-1"/>
        </w:rPr>
        <w:t> </w:t>
      </w:r>
      <w:r>
        <w:rPr>
          <w:b/>
          <w:position w:val="-1"/>
        </w:rPr>
        <w:t>      </w:t>
      </w:r>
      <w:r>
        <w:rPr>
          <w:rFonts w:ascii="Microsoft JhengHei" w:eastAsia="Microsoft JhengHei" w:hint="eastAsia"/>
          <w:b/>
          <w:position w:val="0"/>
        </w:rPr>
        <w:t>37. 1</w:t>
      </w:r>
      <w:r>
        <w:rPr>
          <w:rFonts w:ascii="Microsoft JhengHei" w:eastAsia="Microsoft JhengHei" w:hint="eastAsia"/>
          <w:b/>
          <w:spacing w:val="3"/>
          <w:position w:val="0"/>
        </w:rPr>
        <w:t> 型糖尿病    </w:t>
      </w:r>
      <w:r>
        <w:rPr/>
        <w:t>1型糖尿病的特征为由于胰岛素分泌绝对不足引起严重胰岛素缺乏导致慢性血糖升高，需要依赖外源性胰岛素进行机体的葡萄糖代谢和维持生命。被保险人的1</w:t>
      </w:r>
      <w:r>
        <w:rPr>
          <w:spacing w:val="-9"/>
        </w:rPr>
        <w:t>型糖尿病必须明确诊断，而且有血胰岛素测定及血</w:t>
      </w:r>
      <w:r>
        <w:rPr/>
        <w:t>C肽或尿C肽测定结果支持诊断，并且满足下列全部条件： </w:t>
      </w:r>
    </w:p>
    <w:p>
      <w:pPr>
        <w:pStyle w:val="BodyText"/>
        <w:spacing w:before="20"/>
        <w:ind w:left="2631"/>
      </w:pPr>
      <w:r>
        <w:rPr/>
        <w:t>（1）已经持续性地接受外源性胰岛素注射治疗连续180天以上； </w:t>
      </w:r>
    </w:p>
    <w:p>
      <w:pPr>
        <w:pStyle w:val="BodyText"/>
        <w:spacing w:before="37"/>
        <w:ind w:left="2631"/>
      </w:pPr>
      <w:r>
        <w:rPr/>
        <w:t>（2）因需要已经接受了下列治疗： </w:t>
      </w:r>
    </w:p>
    <w:p>
      <w:pPr>
        <w:pStyle w:val="BodyText"/>
        <w:spacing w:before="37"/>
        <w:ind w:left="3051"/>
      </w:pPr>
      <w:r>
        <w:rPr/>
        <w:t>①因严重心律失常植入了心脏起搏器；或 </w:t>
      </w:r>
    </w:p>
    <w:p>
      <w:pPr>
        <w:pStyle w:val="BodyText"/>
        <w:spacing w:before="37"/>
        <w:ind w:left="3051"/>
        <w:rPr>
          <w:i/>
          <w:sz w:val="22"/>
        </w:rPr>
      </w:pPr>
      <w:r>
        <w:rPr/>
        <w:t>②因坏疽自跖趾关节或以上切除了一趾或多趾。</w:t>
      </w:r>
      <w:r>
        <w:rPr>
          <w:i/>
          <w:w w:val="95"/>
          <w:sz w:val="22"/>
        </w:rPr>
        <w:t> </w:t>
      </w:r>
    </w:p>
    <w:p>
      <w:pPr>
        <w:pStyle w:val="BodyText"/>
        <w:spacing w:before="7"/>
        <w:rPr>
          <w:i/>
          <w:sz w:val="27"/>
        </w:rPr>
      </w:pPr>
    </w:p>
    <w:p>
      <w:pPr>
        <w:spacing w:after="0"/>
        <w:rPr>
          <w:sz w:val="27"/>
        </w:rPr>
        <w:sectPr>
          <w:type w:val="continuous"/>
          <w:pgSz w:w="11910" w:h="16840"/>
          <w:pgMar w:top="700" w:bottom="280" w:left="1020" w:right="880"/>
        </w:sectPr>
      </w:pPr>
    </w:p>
    <w:p>
      <w:pPr>
        <w:pStyle w:val="Heading5"/>
        <w:tabs>
          <w:tab w:pos="931" w:val="left" w:leader="none"/>
        </w:tabs>
        <w:spacing w:line="340" w:lineRule="exact" w:before="32"/>
        <w:ind w:hanging="710"/>
      </w:pPr>
      <w:r>
        <w:rPr>
          <w:w w:val="99"/>
        </w:rPr>
        <w:t> </w:t>
      </w:r>
      <w:r>
        <w:rPr/>
        <w:tab/>
      </w:r>
      <w:r>
        <w:rPr>
          <w:rFonts w:ascii="Microsoft JhengHei" w:eastAsia="Microsoft JhengHei" w:hint="eastAsia"/>
          <w:position w:val="2"/>
        </w:rPr>
        <w:t>38.</w:t>
      </w:r>
      <w:r>
        <w:rPr>
          <w:rFonts w:ascii="Microsoft JhengHei" w:eastAsia="Microsoft JhengHei" w:hint="eastAsia"/>
          <w:spacing w:val="5"/>
          <w:position w:val="2"/>
        </w:rPr>
        <w:t> 肺源性心脏</w:t>
      </w:r>
      <w:r>
        <w:rPr>
          <w:rFonts w:ascii="Microsoft JhengHei" w:eastAsia="Microsoft JhengHei" w:hint="eastAsia"/>
          <w:spacing w:val="5"/>
        </w:rPr>
        <w:t>病</w:t>
      </w:r>
      <w:r>
        <w:rPr>
          <w:spacing w:val="5"/>
          <w:w w:val="99"/>
        </w:rPr>
        <w:t> </w:t>
      </w:r>
    </w:p>
    <w:p>
      <w:pPr>
        <w:pStyle w:val="BodyText"/>
        <w:spacing w:line="273" w:lineRule="auto" w:before="35"/>
        <w:ind w:left="204" w:right="216"/>
        <w:jc w:val="both"/>
      </w:pPr>
      <w:r>
        <w:rPr/>
        <w:br w:type="column"/>
      </w: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 </w:t>
      </w:r>
    </w:p>
    <w:p>
      <w:pPr>
        <w:spacing w:after="0" w:line="273" w:lineRule="auto"/>
        <w:jc w:val="both"/>
        <w:sectPr>
          <w:type w:val="continuous"/>
          <w:pgSz w:w="11910" w:h="16840"/>
          <w:pgMar w:top="700" w:bottom="280" w:left="1020" w:right="880"/>
          <w:cols w:num="2" w:equalWidth="0">
            <w:col w:w="2387" w:space="40"/>
            <w:col w:w="7583"/>
          </w:cols>
        </w:sectPr>
      </w:pPr>
    </w:p>
    <w:p>
      <w:pPr>
        <w:tabs>
          <w:tab w:pos="2631" w:val="left" w:leader="none"/>
        </w:tabs>
        <w:spacing w:before="7"/>
        <w:ind w:left="221" w:right="0" w:firstLine="0"/>
        <w:jc w:val="left"/>
        <w:rPr>
          <w:sz w:val="21"/>
        </w:rPr>
      </w:pPr>
      <w:r>
        <w:rPr>
          <w:b/>
          <w:w w:val="99"/>
          <w:position w:val="-1"/>
          <w:sz w:val="21"/>
        </w:rPr>
        <w:t> </w:t>
      </w:r>
      <w:r>
        <w:rPr>
          <w:b/>
          <w:position w:val="-1"/>
          <w:sz w:val="21"/>
        </w:rPr>
        <w:tab/>
      </w:r>
      <w:r>
        <w:rPr>
          <w:sz w:val="21"/>
        </w:rPr>
        <w:t> </w:t>
      </w:r>
    </w:p>
    <w:p>
      <w:pPr>
        <w:tabs>
          <w:tab w:pos="931" w:val="left" w:leader="none"/>
        </w:tabs>
        <w:spacing w:line="256" w:lineRule="auto" w:before="27"/>
        <w:ind w:left="2631" w:right="110" w:hanging="2410"/>
        <w:jc w:val="left"/>
        <w:rPr>
          <w:sz w:val="21"/>
        </w:rPr>
      </w:pPr>
      <w:r>
        <w:rPr>
          <w:b/>
          <w:w w:val="99"/>
          <w:position w:val="-1"/>
          <w:sz w:val="21"/>
        </w:rPr>
        <w:t> </w:t>
      </w:r>
      <w:r>
        <w:rPr>
          <w:b/>
          <w:position w:val="-1"/>
          <w:sz w:val="21"/>
        </w:rPr>
        <w:tab/>
      </w:r>
      <w:r>
        <w:rPr>
          <w:rFonts w:ascii="Microsoft JhengHei" w:eastAsia="Microsoft JhengHei" w:hint="eastAsia"/>
          <w:b/>
          <w:position w:val="0"/>
          <w:sz w:val="21"/>
        </w:rPr>
        <w:t>39.</w:t>
      </w:r>
      <w:r>
        <w:rPr>
          <w:rFonts w:ascii="Microsoft JhengHei" w:eastAsia="Microsoft JhengHei" w:hint="eastAsia"/>
          <w:b/>
          <w:spacing w:val="3"/>
          <w:position w:val="0"/>
          <w:sz w:val="21"/>
        </w:rPr>
        <w:t>  植物人状态     </w:t>
      </w:r>
      <w:r>
        <w:rPr>
          <w:sz w:val="21"/>
        </w:rPr>
        <w:t>植物人状态系指由于严重颅脑外伤造成大脑和/或脑干严重损害导致完全永久性的对自身和环境的意识丧失和中枢神经系统功能丧失，仅残存植物神经功能</w:t>
      </w:r>
      <w:r>
        <w:rPr>
          <w:spacing w:val="-10"/>
          <w:sz w:val="21"/>
        </w:rPr>
        <w:t>的疾病状态。植物人状态必须明确诊断并且具有严重颅脑外伤和脑损害的证据。</w:t>
      </w:r>
      <w:r>
        <w:rPr>
          <w:b/>
          <w:i/>
          <w:spacing w:val="-14"/>
          <w:w w:val="95"/>
          <w:sz w:val="22"/>
        </w:rPr>
        <w:t>植物人状态必须持续 </w:t>
      </w:r>
      <w:r>
        <w:rPr>
          <w:b/>
          <w:i/>
          <w:w w:val="95"/>
          <w:sz w:val="22"/>
        </w:rPr>
        <w:t>30</w:t>
      </w:r>
      <w:r>
        <w:rPr>
          <w:b/>
          <w:i/>
          <w:spacing w:val="-7"/>
          <w:w w:val="95"/>
          <w:sz w:val="22"/>
        </w:rPr>
        <w:t> 天以上方可申请理赔。</w:t>
      </w:r>
      <w:r>
        <w:rPr>
          <w:spacing w:val="-7"/>
          <w:sz w:val="21"/>
        </w:rPr>
        <w:t> </w:t>
      </w:r>
    </w:p>
    <w:p>
      <w:pPr>
        <w:tabs>
          <w:tab w:pos="2631" w:val="left" w:leader="none"/>
        </w:tabs>
        <w:spacing w:before="20"/>
        <w:ind w:left="222" w:right="0" w:firstLine="0"/>
        <w:jc w:val="left"/>
        <w:rPr>
          <w:sz w:val="21"/>
        </w:rPr>
      </w:pPr>
      <w:r>
        <w:rPr>
          <w:b/>
          <w:w w:val="99"/>
          <w:position w:val="-1"/>
          <w:sz w:val="21"/>
        </w:rPr>
        <w:t> </w:t>
      </w:r>
      <w:r>
        <w:rPr>
          <w:b/>
          <w:position w:val="-1"/>
          <w:sz w:val="21"/>
        </w:rPr>
        <w:tab/>
      </w:r>
      <w:r>
        <w:rPr>
          <w:sz w:val="21"/>
        </w:rPr>
        <w:t> </w:t>
      </w:r>
    </w:p>
    <w:p>
      <w:pPr>
        <w:spacing w:after="0"/>
        <w:jc w:val="left"/>
        <w:rPr>
          <w:sz w:val="21"/>
        </w:rPr>
        <w:sectPr>
          <w:type w:val="continuous"/>
          <w:pgSz w:w="11910" w:h="16840"/>
          <w:pgMar w:top="700" w:bottom="280" w:left="1020" w:right="880"/>
        </w:sectPr>
      </w:pPr>
    </w:p>
    <w:p>
      <w:pPr>
        <w:pStyle w:val="Heading5"/>
        <w:tabs>
          <w:tab w:pos="931" w:val="left" w:leader="none"/>
        </w:tabs>
        <w:spacing w:line="237" w:lineRule="auto" w:before="24"/>
        <w:ind w:hanging="710"/>
      </w:pPr>
      <w:r>
        <w:rPr>
          <w:w w:val="99"/>
        </w:rPr>
        <w:t> </w:t>
      </w:r>
      <w:r>
        <w:rPr/>
        <w:tab/>
      </w:r>
      <w:r>
        <w:rPr>
          <w:rFonts w:ascii="Microsoft JhengHei" w:eastAsia="Microsoft JhengHei" w:hint="eastAsia"/>
          <w:position w:val="2"/>
        </w:rPr>
        <w:t>40.</w:t>
      </w:r>
      <w:r>
        <w:rPr>
          <w:rFonts w:ascii="Microsoft JhengHei" w:eastAsia="Microsoft JhengHei" w:hint="eastAsia"/>
          <w:spacing w:val="5"/>
          <w:position w:val="2"/>
        </w:rPr>
        <w:t> 严重类风湿</w:t>
      </w:r>
      <w:r>
        <w:rPr>
          <w:rFonts w:ascii="Microsoft JhengHei" w:eastAsia="Microsoft JhengHei" w:hint="eastAsia"/>
          <w:spacing w:val="5"/>
        </w:rPr>
        <w:t>性关节炎</w:t>
      </w:r>
      <w:r>
        <w:rPr>
          <w:spacing w:val="5"/>
          <w:w w:val="99"/>
        </w:rPr>
        <w:t> </w:t>
      </w:r>
    </w:p>
    <w:p>
      <w:pPr>
        <w:pStyle w:val="BodyText"/>
        <w:spacing w:line="273" w:lineRule="auto" w:before="83"/>
        <w:ind w:left="201" w:right="216"/>
        <w:jc w:val="both"/>
      </w:pPr>
      <w:r>
        <w:rPr/>
        <w:br w:type="column"/>
      </w:r>
      <w:r>
        <w:rPr/>
        <w:t>类风湿性关节炎为广泛分布的慢性进行性多关节病变，表现为关节严重变形， 侵犯至少三个主要关节或关节组【如：双手（多手指）关节、双足（多足趾） </w:t>
      </w:r>
      <w:r>
        <w:rPr>
          <w:spacing w:val="-16"/>
        </w:rPr>
        <w:t>关节、双腕关节、双膝关节和双髋关节】。类风湿性关节炎必须明确诊断并且已经达到类风湿性关节炎功能分级Ⅲ级以上的功能障碍（关节活动严重限制，不能完成大部分的日常工作和活动）并且满足下列全部条件： </w:t>
      </w:r>
    </w:p>
    <w:p>
      <w:pPr>
        <w:pStyle w:val="BodyText"/>
        <w:spacing w:before="7"/>
        <w:ind w:left="201"/>
        <w:jc w:val="both"/>
      </w:pPr>
      <w:r>
        <w:rPr/>
        <w:t>（1）晨僵； </w:t>
      </w:r>
    </w:p>
    <w:p>
      <w:pPr>
        <w:pStyle w:val="BodyText"/>
        <w:spacing w:before="37"/>
        <w:ind w:left="201"/>
        <w:jc w:val="both"/>
      </w:pPr>
      <w:r>
        <w:rPr/>
        <w:t>（2）对称性关节炎； </w:t>
      </w:r>
    </w:p>
    <w:p>
      <w:pPr>
        <w:pStyle w:val="BodyText"/>
        <w:spacing w:before="37"/>
        <w:ind w:left="201"/>
        <w:jc w:val="both"/>
      </w:pPr>
      <w:r>
        <w:rPr/>
        <w:t>（3）类风湿性皮下结节； </w:t>
      </w:r>
    </w:p>
    <w:p>
      <w:pPr>
        <w:pStyle w:val="BodyText"/>
        <w:spacing w:before="37"/>
        <w:ind w:left="201"/>
        <w:jc w:val="both"/>
      </w:pPr>
      <w:r>
        <w:rPr/>
        <w:t>（4）类风湿因子滴度升高； </w:t>
      </w:r>
    </w:p>
    <w:p>
      <w:pPr>
        <w:pStyle w:val="BodyText"/>
        <w:spacing w:before="37"/>
        <w:ind w:left="201"/>
        <w:jc w:val="both"/>
      </w:pPr>
      <w:r>
        <w:rPr/>
        <w:t>（5）X 线显示严重的关节（软骨和骨）破坏和关节畸形。 </w:t>
      </w:r>
    </w:p>
    <w:p>
      <w:pPr>
        <w:spacing w:after="0"/>
        <w:jc w:val="both"/>
        <w:sectPr>
          <w:type w:val="continuous"/>
          <w:pgSz w:w="11910" w:h="16840"/>
          <w:pgMar w:top="700" w:bottom="280" w:left="1020" w:right="880"/>
          <w:cols w:num="2" w:equalWidth="0">
            <w:col w:w="2391" w:space="40"/>
            <w:col w:w="7579"/>
          </w:cols>
        </w:sectPr>
      </w:pPr>
    </w:p>
    <w:p>
      <w:pPr>
        <w:tabs>
          <w:tab w:pos="2631" w:val="left" w:leader="none"/>
        </w:tabs>
        <w:spacing w:before="37"/>
        <w:ind w:left="221" w:right="0" w:firstLine="0"/>
        <w:jc w:val="left"/>
        <w:rPr>
          <w:sz w:val="21"/>
        </w:rPr>
      </w:pPr>
      <w:r>
        <w:rPr>
          <w:b/>
          <w:w w:val="99"/>
          <w:position w:val="-1"/>
          <w:sz w:val="21"/>
        </w:rPr>
        <w:t> </w:t>
      </w:r>
      <w:r>
        <w:rPr>
          <w:b/>
          <w:position w:val="-1"/>
          <w:sz w:val="21"/>
        </w:rPr>
        <w:tab/>
      </w:r>
      <w:r>
        <w:rPr>
          <w:sz w:val="21"/>
        </w:rPr>
        <w:t> </w:t>
      </w:r>
    </w:p>
    <w:p>
      <w:pPr>
        <w:spacing w:after="0"/>
        <w:jc w:val="left"/>
        <w:rPr>
          <w:sz w:val="21"/>
        </w:rPr>
        <w:sectPr>
          <w:type w:val="continuous"/>
          <w:pgSz w:w="11910" w:h="16840"/>
          <w:pgMar w:top="700" w:bottom="280" w:left="1020" w:right="880"/>
        </w:sectPr>
      </w:pPr>
    </w:p>
    <w:p>
      <w:pPr>
        <w:pStyle w:val="BodyText"/>
        <w:rPr>
          <w:sz w:val="20"/>
        </w:rPr>
      </w:pPr>
    </w:p>
    <w:p>
      <w:pPr>
        <w:pStyle w:val="BodyText"/>
        <w:rPr>
          <w:sz w:val="20"/>
        </w:rPr>
      </w:pPr>
    </w:p>
    <w:p>
      <w:pPr>
        <w:spacing w:after="0"/>
        <w:rPr>
          <w:sz w:val="20"/>
        </w:rPr>
        <w:sectPr>
          <w:pgSz w:w="11910" w:h="16840"/>
          <w:pgMar w:header="501" w:footer="998" w:top="700" w:bottom="1180" w:left="1020" w:right="840"/>
        </w:sectPr>
      </w:pPr>
    </w:p>
    <w:p>
      <w:pPr>
        <w:pStyle w:val="Heading5"/>
        <w:spacing w:line="235" w:lineRule="auto" w:before="123"/>
        <w:ind w:hanging="710"/>
        <w:jc w:val="both"/>
      </w:pPr>
      <w:r>
        <w:rPr>
          <w:w w:val="99"/>
        </w:rPr>
        <w:t> </w:t>
      </w:r>
      <w:r>
        <w:rPr/>
        <w:t>      </w:t>
      </w:r>
      <w:r>
        <w:rPr>
          <w:rFonts w:ascii="Microsoft JhengHei" w:eastAsia="Microsoft JhengHei" w:hint="eastAsia"/>
          <w:position w:val="2"/>
        </w:rPr>
        <w:t>41. 非阿尔茨海</w:t>
      </w:r>
      <w:r>
        <w:rPr>
          <w:rFonts w:ascii="Microsoft JhengHei" w:eastAsia="Microsoft JhengHei" w:hint="eastAsia"/>
        </w:rPr>
        <w:t>默病所致严重痴呆</w:t>
      </w:r>
      <w:r>
        <w:rPr>
          <w:w w:val="99"/>
        </w:rPr>
        <w:t> </w:t>
      </w:r>
    </w:p>
    <w:p>
      <w:pPr>
        <w:pStyle w:val="BodyText"/>
        <w:spacing w:line="273" w:lineRule="auto" w:before="178"/>
        <w:ind w:left="189" w:right="256"/>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 </w:t>
      </w:r>
    </w:p>
    <w:p>
      <w:pPr>
        <w:pStyle w:val="Heading3"/>
        <w:spacing w:line="284" w:lineRule="exact" w:before="0"/>
        <w:ind w:left="189"/>
        <w:jc w:val="both"/>
        <w:rPr>
          <w:b w:val="0"/>
          <w:i w:val="0"/>
          <w:sz w:val="21"/>
        </w:rPr>
      </w:pPr>
      <w:r>
        <w:rPr>
          <w:w w:val="95"/>
        </w:rPr>
        <w:t>神经官能症和精神疾病不在保障范围内。</w:t>
      </w:r>
      <w:r>
        <w:rPr>
          <w:b w:val="0"/>
          <w:i w:val="0"/>
          <w:sz w:val="21"/>
        </w:rPr>
        <w:t> </w:t>
      </w:r>
    </w:p>
    <w:p>
      <w:pPr>
        <w:spacing w:after="0" w:line="284" w:lineRule="exact"/>
        <w:jc w:val="both"/>
        <w:rPr>
          <w:sz w:val="21"/>
        </w:rPr>
        <w:sectPr>
          <w:type w:val="continuous"/>
          <w:pgSz w:w="11910" w:h="16840"/>
          <w:pgMar w:top="700" w:bottom="280" w:left="1020" w:right="840"/>
          <w:cols w:num="2" w:equalWidth="0">
            <w:col w:w="2403" w:space="40"/>
            <w:col w:w="7607"/>
          </w:cols>
        </w:sectPr>
      </w:pPr>
    </w:p>
    <w:p>
      <w:pPr>
        <w:pStyle w:val="BodyText"/>
        <w:spacing w:before="6"/>
        <w:rPr>
          <w:sz w:val="27"/>
        </w:rPr>
      </w:pPr>
    </w:p>
    <w:p>
      <w:pPr>
        <w:spacing w:after="0"/>
        <w:rPr>
          <w:sz w:val="27"/>
        </w:rPr>
        <w:sectPr>
          <w:type w:val="continuous"/>
          <w:pgSz w:w="11910" w:h="16840"/>
          <w:pgMar w:top="700" w:bottom="280" w:left="1020" w:right="840"/>
        </w:sectPr>
      </w:pPr>
    </w:p>
    <w:p>
      <w:pPr>
        <w:pStyle w:val="Heading5"/>
        <w:tabs>
          <w:tab w:pos="931" w:val="left" w:leader="none"/>
        </w:tabs>
        <w:spacing w:line="340" w:lineRule="exact" w:before="33"/>
        <w:ind w:hanging="710"/>
      </w:pPr>
      <w:r>
        <w:rPr>
          <w:w w:val="99"/>
        </w:rPr>
        <w:t> </w:t>
      </w:r>
      <w:r>
        <w:rPr/>
        <w:tab/>
      </w:r>
      <w:r>
        <w:rPr>
          <w:rFonts w:ascii="Microsoft JhengHei" w:eastAsia="Microsoft JhengHei" w:hint="eastAsia"/>
          <w:position w:val="2"/>
        </w:rPr>
        <w:t>42.</w:t>
      </w:r>
      <w:r>
        <w:rPr>
          <w:rFonts w:ascii="Microsoft JhengHei" w:eastAsia="Microsoft JhengHei" w:hint="eastAsia"/>
          <w:spacing w:val="5"/>
          <w:position w:val="2"/>
        </w:rPr>
        <w:t> 埃博拉病毒</w:t>
      </w:r>
      <w:r>
        <w:rPr>
          <w:rFonts w:ascii="Microsoft JhengHei" w:eastAsia="Microsoft JhengHei" w:hint="eastAsia"/>
          <w:spacing w:val="5"/>
        </w:rPr>
        <w:t>感染</w:t>
      </w:r>
      <w:r>
        <w:rPr>
          <w:spacing w:val="5"/>
          <w:w w:val="99"/>
        </w:rPr>
        <w:t> </w:t>
      </w:r>
    </w:p>
    <w:p>
      <w:pPr>
        <w:pStyle w:val="BodyText"/>
        <w:spacing w:before="36"/>
        <w:ind w:left="204"/>
      </w:pPr>
      <w:r>
        <w:rPr/>
        <w:br w:type="column"/>
      </w:r>
      <w:r>
        <w:rPr/>
        <w:t>指埃博拉病毒感染导致的烈性传染病，并须满足下列全部条件： </w:t>
      </w:r>
    </w:p>
    <w:p>
      <w:pPr>
        <w:pStyle w:val="BodyText"/>
        <w:spacing w:before="37"/>
        <w:ind w:left="204"/>
      </w:pPr>
      <w:r>
        <w:rPr/>
        <w:t>（1）实验室检查证实埃博拉病毒的存在； </w:t>
      </w:r>
    </w:p>
    <w:p>
      <w:pPr>
        <w:pStyle w:val="BodyText"/>
        <w:spacing w:before="37"/>
        <w:ind w:left="204"/>
      </w:pPr>
      <w:r>
        <w:rPr/>
        <w:t>（2）从发病开始有超过 30 天的进行性感染症状。 </w:t>
      </w:r>
    </w:p>
    <w:p>
      <w:pPr>
        <w:spacing w:after="0"/>
        <w:sectPr>
          <w:type w:val="continuous"/>
          <w:pgSz w:w="11910" w:h="16840"/>
          <w:pgMar w:top="700" w:bottom="280" w:left="1020" w:right="840"/>
          <w:cols w:num="2" w:equalWidth="0">
            <w:col w:w="2387" w:space="40"/>
            <w:col w:w="7623"/>
          </w:cols>
        </w:sectPr>
      </w:pPr>
    </w:p>
    <w:p>
      <w:pPr>
        <w:pStyle w:val="BodyText"/>
        <w:spacing w:before="7"/>
        <w:rPr>
          <w:sz w:val="27"/>
        </w:rPr>
      </w:pPr>
    </w:p>
    <w:p>
      <w:pPr>
        <w:spacing w:after="0"/>
        <w:rPr>
          <w:sz w:val="27"/>
        </w:rPr>
        <w:sectPr>
          <w:type w:val="continuous"/>
          <w:pgSz w:w="11910" w:h="16840"/>
          <w:pgMar w:top="700" w:bottom="280" w:left="1020" w:right="840"/>
        </w:sectPr>
      </w:pPr>
    </w:p>
    <w:p>
      <w:pPr>
        <w:pStyle w:val="Heading5"/>
        <w:tabs>
          <w:tab w:pos="931" w:val="left" w:leader="none"/>
        </w:tabs>
        <w:spacing w:line="336" w:lineRule="exact"/>
        <w:ind w:left="221"/>
        <w:rPr>
          <w:rFonts w:ascii="Microsoft JhengHei" w:eastAsia="Microsoft JhengHei" w:hint="eastAsia"/>
        </w:rPr>
      </w:pPr>
      <w:r>
        <w:rPr>
          <w:w w:val="99"/>
        </w:rPr>
        <w:t> </w:t>
      </w:r>
      <w:r>
        <w:rPr/>
        <w:tab/>
      </w:r>
      <w:r>
        <w:rPr>
          <w:rFonts w:ascii="Microsoft JhengHei" w:eastAsia="Microsoft JhengHei" w:hint="eastAsia"/>
          <w:position w:val="2"/>
        </w:rPr>
        <w:t>43.</w:t>
      </w:r>
      <w:r>
        <w:rPr>
          <w:rFonts w:ascii="Microsoft JhengHei" w:eastAsia="Microsoft JhengHei" w:hint="eastAsia"/>
          <w:spacing w:val="7"/>
          <w:position w:val="2"/>
        </w:rPr>
        <w:t> 严重哮喘</w:t>
      </w:r>
    </w:p>
    <w:p>
      <w:pPr>
        <w:spacing w:line="235" w:lineRule="auto" w:before="5"/>
        <w:ind w:left="931" w:right="0" w:firstLine="0"/>
        <w:jc w:val="left"/>
        <w:rPr>
          <w:b/>
          <w:sz w:val="21"/>
        </w:rPr>
      </w:pPr>
      <w:r>
        <w:rPr>
          <w:rFonts w:ascii="Microsoft JhengHei" w:eastAsia="Microsoft JhengHei" w:hint="eastAsia"/>
          <w:b/>
          <w:sz w:val="21"/>
        </w:rPr>
        <w:t>（25</w:t>
      </w:r>
      <w:r>
        <w:rPr>
          <w:rFonts w:ascii="Microsoft JhengHei" w:eastAsia="Microsoft JhengHei" w:hint="eastAsia"/>
          <w:b/>
          <w:spacing w:val="-3"/>
          <w:sz w:val="21"/>
        </w:rPr>
        <w:t> 周岁前理赔）</w:t>
      </w:r>
      <w:r>
        <w:rPr>
          <w:b/>
          <w:spacing w:val="-3"/>
          <w:w w:val="99"/>
          <w:sz w:val="21"/>
        </w:rPr>
        <w:t> </w:t>
      </w:r>
    </w:p>
    <w:p>
      <w:pPr>
        <w:pStyle w:val="BodyText"/>
        <w:spacing w:line="273" w:lineRule="auto" w:before="35"/>
        <w:ind w:left="221" w:right="256"/>
      </w:pPr>
      <w:r>
        <w:rPr/>
        <w:br w:type="column"/>
      </w:r>
      <w:r>
        <w:rPr/>
        <w:t>指一种反复发作的严重支气管阻塞性疾病，经专科医生确诊，且必须同时符合下列标准： </w:t>
      </w:r>
    </w:p>
    <w:p>
      <w:pPr>
        <w:pStyle w:val="BodyText"/>
        <w:spacing w:before="7"/>
        <w:ind w:left="221"/>
      </w:pPr>
      <w:r>
        <w:rPr/>
        <w:t>（1）过去两年中曾因哮喘持续状态住院治疗，并提供完整住院记录； </w:t>
      </w:r>
    </w:p>
    <w:p>
      <w:pPr>
        <w:pStyle w:val="BodyText"/>
        <w:spacing w:before="37"/>
        <w:ind w:left="221"/>
      </w:pPr>
      <w:r>
        <w:rPr/>
        <w:t>（2）因慢性过度换气导致胸廓畸形； </w:t>
      </w:r>
    </w:p>
    <w:p>
      <w:pPr>
        <w:pStyle w:val="BodyText"/>
        <w:spacing w:before="37"/>
        <w:ind w:left="221"/>
      </w:pPr>
      <w:r>
        <w:rPr/>
        <w:t>（3）在家中需要医生处方的氧气治疗法； </w:t>
      </w:r>
    </w:p>
    <w:p>
      <w:pPr>
        <w:pStyle w:val="BodyText"/>
        <w:spacing w:before="37"/>
        <w:ind w:left="221"/>
      </w:pPr>
      <w:r>
        <w:rPr/>
        <w:t>（4）持续日常服用口服类固醇激素治疗持续至少六个月。 </w:t>
      </w:r>
    </w:p>
    <w:p>
      <w:pPr>
        <w:pStyle w:val="Heading3"/>
        <w:ind w:left="222"/>
        <w:rPr>
          <w:b w:val="0"/>
          <w:i w:val="0"/>
          <w:sz w:val="21"/>
        </w:rPr>
      </w:pPr>
      <w:r>
        <w:rPr>
          <w:w w:val="95"/>
        </w:rPr>
        <w:t>被保险人申请理赔时年龄必须在年满二十五周岁之前。</w:t>
      </w:r>
      <w:r>
        <w:rPr>
          <w:b w:val="0"/>
          <w:i w:val="0"/>
          <w:sz w:val="21"/>
        </w:rPr>
        <w:t> </w:t>
      </w:r>
    </w:p>
    <w:p>
      <w:pPr>
        <w:spacing w:after="0"/>
        <w:rPr>
          <w:sz w:val="21"/>
        </w:rPr>
        <w:sectPr>
          <w:type w:val="continuous"/>
          <w:pgSz w:w="11910" w:h="16840"/>
          <w:pgMar w:top="700" w:bottom="280" w:left="1020" w:right="840"/>
          <w:cols w:num="2" w:equalWidth="0">
            <w:col w:w="2274" w:space="135"/>
            <w:col w:w="7641"/>
          </w:cols>
        </w:sectPr>
      </w:pPr>
    </w:p>
    <w:p>
      <w:pPr>
        <w:tabs>
          <w:tab w:pos="2631" w:val="left" w:leader="none"/>
        </w:tabs>
        <w:spacing w:before="35"/>
        <w:ind w:left="222" w:right="0" w:firstLine="0"/>
        <w:jc w:val="left"/>
        <w:rPr>
          <w:sz w:val="21"/>
        </w:rPr>
      </w:pPr>
      <w:r>
        <w:rPr>
          <w:b/>
          <w:w w:val="99"/>
          <w:position w:val="-1"/>
          <w:sz w:val="21"/>
        </w:rPr>
        <w:t> </w:t>
      </w:r>
      <w:r>
        <w:rPr>
          <w:b/>
          <w:position w:val="-1"/>
          <w:sz w:val="21"/>
        </w:rPr>
        <w:tab/>
      </w:r>
      <w:r>
        <w:rPr>
          <w:sz w:val="21"/>
        </w:rPr>
        <w:t> </w:t>
      </w:r>
    </w:p>
    <w:p>
      <w:pPr>
        <w:tabs>
          <w:tab w:pos="931" w:val="left" w:leader="none"/>
        </w:tabs>
        <w:spacing w:line="242" w:lineRule="auto" w:before="27"/>
        <w:ind w:left="2631" w:right="256" w:hanging="2410"/>
        <w:jc w:val="left"/>
        <w:rPr>
          <w:sz w:val="21"/>
        </w:rPr>
      </w:pPr>
      <w:r>
        <w:rPr>
          <w:b/>
          <w:w w:val="99"/>
          <w:position w:val="-1"/>
          <w:sz w:val="21"/>
        </w:rPr>
        <w:t> </w:t>
      </w:r>
      <w:r>
        <w:rPr>
          <w:b/>
          <w:position w:val="-1"/>
          <w:sz w:val="21"/>
        </w:rPr>
        <w:tab/>
      </w:r>
      <w:r>
        <w:rPr>
          <w:rFonts w:ascii="Microsoft JhengHei" w:eastAsia="Microsoft JhengHei" w:hint="eastAsia"/>
          <w:b/>
          <w:position w:val="0"/>
          <w:sz w:val="21"/>
        </w:rPr>
        <w:t>44.</w:t>
      </w:r>
      <w:r>
        <w:rPr>
          <w:rFonts w:ascii="Microsoft JhengHei" w:eastAsia="Microsoft JhengHei" w:hint="eastAsia"/>
          <w:b/>
          <w:spacing w:val="2"/>
          <w:position w:val="0"/>
          <w:sz w:val="21"/>
        </w:rPr>
        <w:t>  严重川崎病    </w:t>
      </w:r>
      <w:r>
        <w:rPr>
          <w:sz w:val="21"/>
        </w:rPr>
        <w:t>是指原因不明的系统性血管炎，本病须经专科医师明确诊断，并须满足下列全部条件： </w:t>
      </w:r>
    </w:p>
    <w:p>
      <w:pPr>
        <w:pStyle w:val="BodyText"/>
        <w:spacing w:before="35"/>
        <w:ind w:left="2631"/>
      </w:pPr>
      <w:r>
        <w:rPr/>
        <w:t>（1）超声心动图显示川崎病并发冠状动脉瘤或其他心血管异常； </w:t>
      </w:r>
    </w:p>
    <w:p>
      <w:pPr>
        <w:pStyle w:val="BodyText"/>
        <w:spacing w:line="273" w:lineRule="auto" w:before="37"/>
        <w:ind w:left="3157" w:right="253" w:hanging="526"/>
        <w:rPr>
          <w:b/>
          <w:i/>
          <w:sz w:val="25"/>
        </w:rPr>
      </w:pPr>
      <w:r>
        <w:rPr/>
        <w:t>（2）已接受了针对川崎病并发冠状动脉瘤或其他心血管异常所进行的手术治疗。</w:t>
      </w:r>
      <w:r>
        <w:rPr>
          <w:b/>
          <w:i/>
          <w:w w:val="95"/>
          <w:sz w:val="25"/>
        </w:rPr>
        <w:t> </w:t>
      </w:r>
    </w:p>
    <w:p>
      <w:pPr>
        <w:pStyle w:val="BodyText"/>
        <w:spacing w:before="7"/>
        <w:rPr>
          <w:b/>
          <w:i/>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432"/>
      </w:tblGrid>
      <w:tr>
        <w:trPr>
          <w:trHeight w:val="296" w:hRule="atLeast"/>
        </w:trPr>
        <w:tc>
          <w:tcPr>
            <w:tcW w:w="457" w:type="dxa"/>
          </w:tcPr>
          <w:p>
            <w:pPr>
              <w:pStyle w:val="TableParagraph"/>
              <w:spacing w:line="234" w:lineRule="exact"/>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1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45. 严重的系统</w:t>
            </w:r>
          </w:p>
        </w:tc>
        <w:tc>
          <w:tcPr>
            <w:tcW w:w="7432" w:type="dxa"/>
          </w:tcPr>
          <w:p>
            <w:pPr>
              <w:pStyle w:val="TableParagraph"/>
              <w:spacing w:line="272" w:lineRule="exact"/>
              <w:ind w:left="122"/>
              <w:rPr>
                <w:sz w:val="21"/>
              </w:rPr>
            </w:pPr>
            <w:r>
              <w:rPr>
                <w:sz w:val="21"/>
              </w:rPr>
              <w:t>指一种以局限性或弥漫性皮肤增厚和皮肤、血管、内脏器官异常纤维化为特征</w:t>
            </w:r>
          </w:p>
        </w:tc>
      </w:tr>
      <w:tr>
        <w:trPr>
          <w:trHeight w:val="335" w:hRule="atLeast"/>
        </w:trPr>
        <w:tc>
          <w:tcPr>
            <w:tcW w:w="457" w:type="dxa"/>
          </w:tcPr>
          <w:p>
            <w:pPr>
              <w:pStyle w:val="TableParagraph"/>
              <w:rPr>
                <w:rFonts w:ascii="Times New Roman"/>
                <w:sz w:val="20"/>
              </w:rPr>
            </w:pPr>
          </w:p>
        </w:tc>
        <w:tc>
          <w:tcPr>
            <w:tcW w:w="1880" w:type="dxa"/>
          </w:tcPr>
          <w:p>
            <w:pPr>
              <w:pStyle w:val="TableParagraph"/>
              <w:spacing w:line="315" w:lineRule="exact"/>
              <w:ind w:left="302"/>
              <w:rPr>
                <w:b/>
                <w:sz w:val="21"/>
              </w:rPr>
            </w:pPr>
            <w:r>
              <w:rPr>
                <w:rFonts w:ascii="Microsoft JhengHei" w:eastAsia="Microsoft JhengHei" w:hint="eastAsia"/>
                <w:b/>
                <w:sz w:val="21"/>
              </w:rPr>
              <w:t>性硬皮病</w:t>
            </w:r>
            <w:r>
              <w:rPr>
                <w:b/>
                <w:w w:val="99"/>
                <w:sz w:val="21"/>
              </w:rPr>
              <w:t> </w:t>
            </w:r>
          </w:p>
        </w:tc>
        <w:tc>
          <w:tcPr>
            <w:tcW w:w="7432" w:type="dxa"/>
          </w:tcPr>
          <w:p>
            <w:pPr>
              <w:pStyle w:val="TableParagraph"/>
              <w:spacing w:line="248" w:lineRule="exact"/>
              <w:ind w:left="122"/>
              <w:rPr>
                <w:sz w:val="21"/>
              </w:rPr>
            </w:pPr>
            <w:r>
              <w:rPr>
                <w:sz w:val="21"/>
              </w:rPr>
              <w:t>的结缔组织病。本病须经专科医师明确诊断，并须满足下列至少一项条件： </w:t>
            </w:r>
          </w:p>
        </w:tc>
      </w:tr>
      <w:tr>
        <w:trPr>
          <w:trHeight w:val="275"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25" w:lineRule="exact"/>
              <w:ind w:left="122"/>
              <w:rPr>
                <w:sz w:val="21"/>
              </w:rPr>
            </w:pPr>
            <w:r>
              <w:rPr>
                <w:sz w:val="21"/>
              </w:rPr>
              <w:t>（1）肺脏：肺部病变进而发展为肺间质纤维化和肺动脉高压；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（2）心脏：心功能受损达到纽约心脏病学会的心功能分级标准之心功能Ⅳ级；</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（3）肾脏：肾脏受损导致双肾功能慢性不可逆衰竭，达到尿毒症期。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46. 丝虫病所致</w:t>
            </w:r>
          </w:p>
        </w:tc>
        <w:tc>
          <w:tcPr>
            <w:tcW w:w="7432" w:type="dxa"/>
          </w:tcPr>
          <w:p>
            <w:pPr>
              <w:pStyle w:val="TableParagraph"/>
              <w:spacing w:line="272" w:lineRule="exact"/>
              <w:ind w:left="122"/>
              <w:rPr>
                <w:sz w:val="21"/>
              </w:rPr>
            </w:pPr>
            <w:r>
              <w:rPr>
                <w:sz w:val="21"/>
              </w:rPr>
              <w:t>指因丝虫感染导致淋巴阻塞性出现严重淋巴水肿，达到国际淋巴学会淋巴肿分</w:t>
            </w:r>
          </w:p>
        </w:tc>
      </w:tr>
      <w:tr>
        <w:trPr>
          <w:trHeight w:val="335" w:hRule="atLeast"/>
        </w:trPr>
        <w:tc>
          <w:tcPr>
            <w:tcW w:w="457" w:type="dxa"/>
          </w:tcPr>
          <w:p>
            <w:pPr>
              <w:pStyle w:val="TableParagraph"/>
              <w:rPr>
                <w:rFonts w:ascii="Times New Roman"/>
                <w:sz w:val="20"/>
              </w:rPr>
            </w:pPr>
          </w:p>
        </w:tc>
        <w:tc>
          <w:tcPr>
            <w:tcW w:w="1880" w:type="dxa"/>
          </w:tcPr>
          <w:p>
            <w:pPr>
              <w:pStyle w:val="TableParagraph"/>
              <w:spacing w:line="315" w:lineRule="exact"/>
              <w:ind w:left="302"/>
              <w:rPr>
                <w:b/>
                <w:sz w:val="21"/>
              </w:rPr>
            </w:pPr>
            <w:r>
              <w:rPr>
                <w:rFonts w:ascii="Microsoft JhengHei" w:eastAsia="Microsoft JhengHei" w:hint="eastAsia"/>
                <w:b/>
                <w:sz w:val="21"/>
              </w:rPr>
              <w:t>象皮肿</w:t>
            </w:r>
            <w:r>
              <w:rPr>
                <w:b/>
                <w:w w:val="99"/>
                <w:sz w:val="21"/>
              </w:rPr>
              <w:t> </w:t>
            </w:r>
          </w:p>
        </w:tc>
        <w:tc>
          <w:tcPr>
            <w:tcW w:w="7432" w:type="dxa"/>
          </w:tcPr>
          <w:p>
            <w:pPr>
              <w:pStyle w:val="TableParagraph"/>
              <w:spacing w:line="248" w:lineRule="exact"/>
              <w:ind w:left="122"/>
              <w:rPr>
                <w:sz w:val="21"/>
              </w:rPr>
            </w:pPr>
            <w:r>
              <w:rPr>
                <w:sz w:val="21"/>
              </w:rPr>
              <w:t>期第Ⅲ期，临床表现为肢体象皮肿，患肢较键肢增粗 30%以上，日常生活不能</w:t>
            </w:r>
          </w:p>
        </w:tc>
      </w:tr>
      <w:tr>
        <w:trPr>
          <w:trHeight w:val="275"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25" w:lineRule="exact"/>
              <w:ind w:left="122"/>
              <w:rPr>
                <w:sz w:val="21"/>
              </w:rPr>
            </w:pPr>
            <w:r>
              <w:rPr>
                <w:sz w:val="21"/>
              </w:rPr>
              <w:t>自理。此病症须经专科医生根据临床表现和微丝蚴的化验结果确诊。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 </w:t>
            </w:r>
          </w:p>
        </w:tc>
      </w:tr>
      <w:tr>
        <w:trPr>
          <w:trHeight w:val="331"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b/>
                <w:sz w:val="21"/>
              </w:rPr>
            </w:pPr>
            <w:r>
              <w:rPr>
                <w:rFonts w:ascii="Microsoft JhengHei" w:eastAsia="Microsoft JhengHei" w:hint="eastAsia"/>
                <w:b/>
                <w:sz w:val="21"/>
              </w:rPr>
              <w:t>47. 胰腺移植</w:t>
            </w:r>
            <w:r>
              <w:rPr>
                <w:b/>
                <w:w w:val="99"/>
                <w:sz w:val="21"/>
              </w:rPr>
              <w:t> </w:t>
            </w:r>
          </w:p>
        </w:tc>
        <w:tc>
          <w:tcPr>
            <w:tcW w:w="7432" w:type="dxa"/>
          </w:tcPr>
          <w:p>
            <w:pPr>
              <w:pStyle w:val="TableParagraph"/>
              <w:spacing w:line="272" w:lineRule="exact"/>
              <w:ind w:left="122"/>
              <w:rPr>
                <w:sz w:val="21"/>
              </w:rPr>
            </w:pPr>
            <w:r>
              <w:rPr>
                <w:spacing w:val="-10"/>
                <w:sz w:val="21"/>
              </w:rPr>
              <w:t>指因胰腺功能衰竭，已经实施了在全身麻醉下进行的胰腺的异体器官移植手术。</w:t>
            </w:r>
          </w:p>
        </w:tc>
      </w:tr>
      <w:tr>
        <w:trPr>
          <w:trHeight w:val="304"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55" w:lineRule="exact"/>
              <w:ind w:left="122"/>
              <w:rPr>
                <w:b/>
                <w:i/>
                <w:sz w:val="22"/>
              </w:rPr>
            </w:pPr>
            <w:r>
              <w:rPr>
                <w:b/>
                <w:i/>
                <w:w w:val="95"/>
                <w:sz w:val="22"/>
              </w:rPr>
              <w:t>单纯胰岛移植、部分胰腺组织或细胞的移植不在本保障范围之内。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48. 急性坏死胰</w:t>
            </w:r>
          </w:p>
        </w:tc>
        <w:tc>
          <w:tcPr>
            <w:tcW w:w="7432" w:type="dxa"/>
          </w:tcPr>
          <w:p>
            <w:pPr>
              <w:pStyle w:val="TableParagraph"/>
              <w:spacing w:line="272" w:lineRule="exact"/>
              <w:ind w:left="122"/>
              <w:rPr>
                <w:sz w:val="21"/>
              </w:rPr>
            </w:pPr>
            <w:r>
              <w:rPr>
                <w:sz w:val="21"/>
              </w:rPr>
              <w:t>指为治疗急性坏死性胰腺炎，实际实施了开腹进行的坏死组织清除术、病灶切</w:t>
            </w:r>
          </w:p>
        </w:tc>
      </w:tr>
      <w:tr>
        <w:trPr>
          <w:trHeight w:val="611"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腺炎开腹手术</w:t>
            </w:r>
            <w:r>
              <w:rPr>
                <w:b/>
                <w:w w:val="99"/>
                <w:sz w:val="21"/>
              </w:rPr>
              <w:t> </w:t>
            </w:r>
          </w:p>
        </w:tc>
        <w:tc>
          <w:tcPr>
            <w:tcW w:w="7432" w:type="dxa"/>
          </w:tcPr>
          <w:p>
            <w:pPr>
              <w:pStyle w:val="TableParagraph"/>
              <w:spacing w:line="248" w:lineRule="exact"/>
              <w:ind w:left="122"/>
              <w:rPr>
                <w:sz w:val="21"/>
              </w:rPr>
            </w:pPr>
            <w:r>
              <w:rPr>
                <w:sz w:val="21"/>
              </w:rPr>
              <w:t>除术或胰腺部分切除术。 </w:t>
            </w:r>
          </w:p>
          <w:p>
            <w:pPr>
              <w:pStyle w:val="TableParagraph"/>
              <w:spacing w:before="25"/>
              <w:ind w:left="122"/>
              <w:rPr>
                <w:b/>
                <w:i/>
                <w:sz w:val="22"/>
              </w:rPr>
            </w:pPr>
            <w:r>
              <w:rPr>
                <w:b/>
                <w:i/>
                <w:w w:val="95"/>
                <w:sz w:val="22"/>
              </w:rPr>
              <w:t>因酒精作用所致的急性胰腺炎不在保障范围内。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298" w:hRule="atLeast"/>
        </w:trPr>
        <w:tc>
          <w:tcPr>
            <w:tcW w:w="457" w:type="dxa"/>
          </w:tcPr>
          <w:p>
            <w:pPr>
              <w:pStyle w:val="TableParagraph"/>
              <w:spacing w:line="257" w:lineRule="exact" w:before="21"/>
              <w:ind w:left="50"/>
              <w:rPr>
                <w:b/>
                <w:sz w:val="21"/>
              </w:rPr>
            </w:pPr>
            <w:r>
              <w:rPr>
                <w:b/>
                <w:w w:val="99"/>
                <w:sz w:val="21"/>
              </w:rPr>
              <w:t> </w:t>
            </w:r>
          </w:p>
        </w:tc>
        <w:tc>
          <w:tcPr>
            <w:tcW w:w="1880" w:type="dxa"/>
          </w:tcPr>
          <w:p>
            <w:pPr>
              <w:pStyle w:val="TableParagraph"/>
              <w:spacing w:line="278" w:lineRule="exact"/>
              <w:ind w:left="302"/>
              <w:rPr>
                <w:rFonts w:ascii="Microsoft JhengHei" w:eastAsia="Microsoft JhengHei" w:hint="eastAsia"/>
                <w:b/>
                <w:sz w:val="21"/>
              </w:rPr>
            </w:pPr>
            <w:r>
              <w:rPr>
                <w:rFonts w:ascii="Microsoft JhengHei" w:eastAsia="Microsoft JhengHei" w:hint="eastAsia"/>
                <w:b/>
                <w:sz w:val="21"/>
              </w:rPr>
              <w:t>49. 慢性复发性</w:t>
            </w:r>
          </w:p>
        </w:tc>
        <w:tc>
          <w:tcPr>
            <w:tcW w:w="7432" w:type="dxa"/>
          </w:tcPr>
          <w:p>
            <w:pPr>
              <w:pStyle w:val="TableParagraph"/>
              <w:spacing w:line="272" w:lineRule="exact"/>
              <w:ind w:left="122"/>
              <w:rPr>
                <w:sz w:val="21"/>
              </w:rPr>
            </w:pPr>
            <w:r>
              <w:rPr>
                <w:sz w:val="21"/>
              </w:rPr>
              <w:t>指慢性反复发作的胰腺炎症导致胰腺的广泛纤维化、坏死、弥漫性钙化及假性</w:t>
            </w:r>
          </w:p>
        </w:tc>
      </w:tr>
    </w:tbl>
    <w:p>
      <w:pPr>
        <w:spacing w:after="0" w:line="272" w:lineRule="exact"/>
        <w:rPr>
          <w:sz w:val="21"/>
        </w:rPr>
        <w:sectPr>
          <w:type w:val="continuous"/>
          <w:pgSz w:w="11910" w:h="16840"/>
          <w:pgMar w:top="700" w:bottom="280" w:left="1020" w:right="840"/>
        </w:sectPr>
      </w:pPr>
    </w:p>
    <w:p>
      <w:pPr>
        <w:pStyle w:val="BodyText"/>
        <w:rPr>
          <w:b/>
          <w:i/>
          <w:sz w:val="20"/>
        </w:rPr>
      </w:pPr>
    </w:p>
    <w:p>
      <w:pPr>
        <w:pStyle w:val="BodyText"/>
        <w:rPr>
          <w:b/>
          <w:i/>
          <w:sz w:val="20"/>
        </w:rPr>
      </w:pPr>
    </w:p>
    <w:p>
      <w:pPr>
        <w:pStyle w:val="BodyText"/>
        <w:tabs>
          <w:tab w:pos="2631" w:val="left" w:leader="none"/>
        </w:tabs>
        <w:spacing w:line="244" w:lineRule="auto" w:before="118"/>
        <w:ind w:left="2631" w:right="156" w:hanging="1701"/>
      </w:pPr>
      <w:r>
        <w:rPr>
          <w:rFonts w:ascii="Microsoft JhengHei" w:eastAsia="Microsoft JhengHei" w:hint="eastAsia"/>
          <w:b/>
        </w:rPr>
        <w:t>胰腺炎</w:t>
        <w:tab/>
      </w:r>
      <w:r>
        <w:rPr>
          <w:position w:val="1"/>
        </w:rPr>
        <w:t>囊肿形成，造成胰腺功能障碍出现严重糖尿病和营养不良。必须满足以下所有 </w:t>
      </w:r>
      <w:r>
        <w:rPr/>
        <w:t>条件： </w:t>
      </w:r>
    </w:p>
    <w:p>
      <w:pPr>
        <w:pStyle w:val="BodyText"/>
        <w:spacing w:line="273" w:lineRule="auto" w:before="33"/>
        <w:ind w:left="3157" w:right="154" w:hanging="526"/>
      </w:pPr>
      <w:r>
        <w:rPr>
          <w:spacing w:val="-5"/>
        </w:rPr>
        <w:t>（1）CT</w:t>
      </w:r>
      <w:r>
        <w:rPr>
          <w:spacing w:val="-2"/>
        </w:rPr>
        <w:t>显示胰腺广泛钙化或逆行胰胆管造影</w:t>
      </w:r>
      <w:r>
        <w:rPr>
          <w:spacing w:val="-4"/>
        </w:rPr>
        <w:t>（ERCP）显示胰管扭曲、扩张和狭窄； </w:t>
      </w:r>
    </w:p>
    <w:p>
      <w:pPr>
        <w:pStyle w:val="BodyText"/>
        <w:spacing w:before="7"/>
        <w:ind w:left="2631"/>
      </w:pPr>
      <w:r>
        <w:rPr/>
        <w:t>（2）接受胰岛素替代治疗和酶替代治疗180天以上。 </w:t>
      </w:r>
    </w:p>
    <w:p>
      <w:pPr>
        <w:pStyle w:val="Heading3"/>
      </w:pPr>
      <w:r>
        <w:rPr>
          <w:w w:val="95"/>
        </w:rPr>
        <w:t>酒精导致的慢性复发性胰腺炎不在本保障范围内。</w:t>
      </w:r>
      <w:r>
        <w:rPr>
          <w:w w:val="94"/>
        </w:rPr>
        <w:t> </w:t>
      </w:r>
    </w:p>
    <w:p>
      <w:pPr>
        <w:tabs>
          <w:tab w:pos="2631" w:val="left" w:leader="none"/>
        </w:tabs>
        <w:spacing w:before="36"/>
        <w:ind w:left="222" w:right="0" w:firstLine="0"/>
        <w:jc w:val="left"/>
        <w:rPr>
          <w:sz w:val="21"/>
        </w:rPr>
      </w:pPr>
      <w:r>
        <w:rPr>
          <w:b/>
          <w:w w:val="99"/>
          <w:position w:val="-1"/>
          <w:sz w:val="21"/>
        </w:rPr>
        <w:t> </w:t>
      </w:r>
      <w:r>
        <w:rPr>
          <w:b/>
          <w:position w:val="-1"/>
          <w:sz w:val="21"/>
        </w:rPr>
        <w:tab/>
      </w:r>
      <w:r>
        <w:rPr>
          <w:sz w:val="21"/>
        </w:rPr>
        <w:t> </w:t>
      </w:r>
    </w:p>
    <w:p>
      <w:pPr>
        <w:pStyle w:val="BodyText"/>
        <w:spacing w:line="259" w:lineRule="auto" w:before="27"/>
        <w:ind w:left="2631" w:right="156" w:hanging="2410"/>
        <w:jc w:val="both"/>
      </w:pPr>
      <w:r>
        <w:rPr>
          <w:b/>
          <w:w w:val="99"/>
          <w:position w:val="-1"/>
        </w:rPr>
        <w:t> </w:t>
      </w:r>
      <w:r>
        <w:rPr>
          <w:b/>
          <w:position w:val="-1"/>
        </w:rPr>
        <w:t>      </w:t>
      </w:r>
      <w:r>
        <w:rPr>
          <w:rFonts w:ascii="Microsoft JhengHei" w:eastAsia="Microsoft JhengHei" w:hint="eastAsia"/>
          <w:b/>
          <w:position w:val="0"/>
        </w:rPr>
        <w:t>50.</w:t>
      </w:r>
      <w:r>
        <w:rPr>
          <w:rFonts w:ascii="Microsoft JhengHei" w:eastAsia="Microsoft JhengHei" w:hint="eastAsia"/>
          <w:b/>
          <w:spacing w:val="1"/>
          <w:position w:val="0"/>
        </w:rPr>
        <w:t>  疯牛病         </w:t>
      </w:r>
      <w:r>
        <w:rPr/>
        <w:t>是一种传染性海绵状脑病，临床表现为快速进行性痴呆、肌阵挛和特征性脑电</w:t>
      </w:r>
      <w:r>
        <w:rPr>
          <w:spacing w:val="-3"/>
        </w:rPr>
        <w:t>图变化。本病须经三级医院的专科医生根据 </w:t>
      </w:r>
      <w:r>
        <w:rPr/>
        <w:t>WHO</w:t>
      </w:r>
      <w:r>
        <w:rPr>
          <w:spacing w:val="-7"/>
        </w:rPr>
        <w:t> 诊断标准明确诊断，并且被保险人自主生活能力完全丧失，无法独立完成六项基本日常生活活动中的三项或三项以上。 </w:t>
      </w:r>
    </w:p>
    <w:p>
      <w:pPr>
        <w:pStyle w:val="Heading3"/>
        <w:spacing w:before="8"/>
      </w:pPr>
      <w:r>
        <w:rPr>
          <w:w w:val="95"/>
        </w:rPr>
        <w:t>疑似病例不在本保障范围内。</w:t>
      </w:r>
      <w:r>
        <w:rPr>
          <w:w w:val="94"/>
        </w:rPr>
        <w:t> </w:t>
      </w:r>
    </w:p>
    <w:p>
      <w:pPr>
        <w:tabs>
          <w:tab w:pos="2631" w:val="left" w:leader="none"/>
        </w:tabs>
        <w:spacing w:before="35"/>
        <w:ind w:left="222" w:right="0" w:firstLine="0"/>
        <w:jc w:val="left"/>
        <w:rPr>
          <w:sz w:val="21"/>
        </w:rPr>
      </w:pPr>
      <w:r>
        <w:rPr>
          <w:b/>
          <w:w w:val="99"/>
          <w:position w:val="-1"/>
          <w:sz w:val="21"/>
        </w:rPr>
        <w:t> </w:t>
      </w:r>
      <w:r>
        <w:rPr>
          <w:b/>
          <w:position w:val="-1"/>
          <w:sz w:val="21"/>
        </w:rPr>
        <w:tab/>
      </w:r>
      <w:r>
        <w:rPr>
          <w:sz w:val="21"/>
        </w:rPr>
        <w:t> </w:t>
      </w:r>
    </w:p>
    <w:p>
      <w:pPr>
        <w:spacing w:after="0"/>
        <w:jc w:val="left"/>
        <w:rPr>
          <w:sz w:val="21"/>
        </w:rPr>
        <w:sectPr>
          <w:pgSz w:w="11910" w:h="16840"/>
          <w:pgMar w:header="501" w:footer="998" w:top="700" w:bottom="1180" w:left="1020" w:right="940"/>
        </w:sectPr>
      </w:pPr>
    </w:p>
    <w:p>
      <w:pPr>
        <w:pStyle w:val="Heading5"/>
        <w:tabs>
          <w:tab w:pos="931" w:val="left" w:leader="none"/>
        </w:tabs>
        <w:spacing w:line="237" w:lineRule="auto" w:before="24"/>
        <w:ind w:hanging="710"/>
      </w:pPr>
      <w:r>
        <w:rPr>
          <w:w w:val="99"/>
        </w:rPr>
        <w:t> </w:t>
      </w:r>
      <w:r>
        <w:rPr/>
        <w:tab/>
      </w:r>
      <w:r>
        <w:rPr>
          <w:rFonts w:ascii="Microsoft JhengHei" w:eastAsia="Microsoft JhengHei" w:hint="eastAsia"/>
          <w:position w:val="2"/>
        </w:rPr>
        <w:t>51. 肾髓质囊性</w:t>
      </w:r>
      <w:r>
        <w:rPr>
          <w:rFonts w:ascii="Microsoft JhengHei" w:eastAsia="Microsoft JhengHei" w:hint="eastAsia"/>
        </w:rPr>
        <w:t>病</w:t>
      </w:r>
      <w:r>
        <w:rPr>
          <w:w w:val="99"/>
        </w:rPr>
        <w:t> </w:t>
      </w:r>
    </w:p>
    <w:p>
      <w:pPr>
        <w:pStyle w:val="BodyText"/>
        <w:spacing w:before="83"/>
        <w:ind w:left="221"/>
      </w:pPr>
      <w:r>
        <w:rPr/>
        <w:br w:type="column"/>
      </w:r>
      <w:r>
        <w:rPr/>
        <w:t>肾髓质囊性病的诊断须同时符合下列要求：  </w:t>
      </w:r>
    </w:p>
    <w:p>
      <w:pPr>
        <w:pStyle w:val="BodyText"/>
        <w:spacing w:before="36"/>
        <w:ind w:left="221"/>
      </w:pPr>
      <w:r>
        <w:rPr/>
        <w:t>（1）肾髓质有囊肿、肾小管萎缩及间质纤维化等病理改变；  </w:t>
      </w:r>
    </w:p>
    <w:p>
      <w:pPr>
        <w:pStyle w:val="BodyText"/>
        <w:spacing w:before="36"/>
        <w:ind w:left="221"/>
      </w:pPr>
      <w:r>
        <w:rPr/>
        <w:t>（2）肾功能衰竭；  </w:t>
      </w:r>
    </w:p>
    <w:p>
      <w:pPr>
        <w:pStyle w:val="BodyText"/>
        <w:spacing w:before="36"/>
        <w:ind w:left="221"/>
      </w:pPr>
      <w:r>
        <w:rPr/>
        <w:t>（3）诊断须由肾组织活检确定。  </w:t>
      </w:r>
    </w:p>
    <w:p>
      <w:pPr>
        <w:spacing w:after="0"/>
        <w:sectPr>
          <w:type w:val="continuous"/>
          <w:pgSz w:w="11910" w:h="16840"/>
          <w:pgMar w:top="700" w:bottom="280" w:left="1020" w:right="940"/>
          <w:cols w:num="2" w:equalWidth="0">
            <w:col w:w="2351" w:space="58"/>
            <w:col w:w="7541"/>
          </w:cols>
        </w:sectPr>
      </w:pPr>
    </w:p>
    <w:p>
      <w:pPr>
        <w:pStyle w:val="BodyText"/>
        <w:spacing w:before="7"/>
        <w:rPr>
          <w:sz w:val="27"/>
        </w:rPr>
      </w:pPr>
    </w:p>
    <w:p>
      <w:pPr>
        <w:spacing w:after="0"/>
        <w:rPr>
          <w:sz w:val="27"/>
        </w:rPr>
        <w:sectPr>
          <w:type w:val="continuous"/>
          <w:pgSz w:w="11910" w:h="16840"/>
          <w:pgMar w:top="700" w:bottom="280" w:left="1020" w:right="940"/>
        </w:sectPr>
      </w:pPr>
    </w:p>
    <w:p>
      <w:pPr>
        <w:pStyle w:val="Heading5"/>
        <w:tabs>
          <w:tab w:pos="931" w:val="left" w:leader="none"/>
        </w:tabs>
        <w:spacing w:line="340" w:lineRule="exact" w:before="32"/>
        <w:ind w:hanging="710"/>
      </w:pPr>
      <w:r>
        <w:rPr>
          <w:w w:val="99"/>
        </w:rPr>
        <w:t> </w:t>
      </w:r>
      <w:r>
        <w:rPr/>
        <w:tab/>
      </w:r>
      <w:r>
        <w:rPr>
          <w:rFonts w:ascii="Microsoft JhengHei" w:eastAsia="Microsoft JhengHei" w:hint="eastAsia"/>
          <w:position w:val="2"/>
        </w:rPr>
        <w:t>52.</w:t>
      </w:r>
      <w:r>
        <w:rPr>
          <w:rFonts w:ascii="Microsoft JhengHei" w:eastAsia="Microsoft JhengHei" w:hint="eastAsia"/>
          <w:spacing w:val="5"/>
          <w:position w:val="2"/>
        </w:rPr>
        <w:t> 严重的原发</w:t>
      </w:r>
      <w:r>
        <w:rPr>
          <w:rFonts w:ascii="Microsoft JhengHei" w:eastAsia="Microsoft JhengHei" w:hint="eastAsia"/>
          <w:spacing w:val="5"/>
        </w:rPr>
        <w:t>性硬化性胆管炎</w:t>
      </w:r>
      <w:r>
        <w:rPr>
          <w:spacing w:val="5"/>
          <w:w w:val="99"/>
        </w:rPr>
        <w:t> </w:t>
      </w:r>
    </w:p>
    <w:p>
      <w:pPr>
        <w:pStyle w:val="BodyText"/>
        <w:spacing w:line="273" w:lineRule="auto" w:before="35"/>
        <w:ind w:left="84" w:right="170"/>
        <w:jc w:val="both"/>
      </w:pPr>
      <w:r>
        <w:rPr/>
        <w:br w:type="column"/>
      </w:r>
      <w:r>
        <w:rPr/>
        <w:t>原发性硬化性胆管炎指一种胆汁淤积综合征，其特征是肝内、肝外胆道因非细菌性炎症、慢性纤维化逐渐狭窄，并最终导致完全阻塞而发展为胆汁於积性肝硬化。须满足下列全部条件： </w:t>
      </w:r>
    </w:p>
    <w:p>
      <w:pPr>
        <w:pStyle w:val="BodyText"/>
        <w:spacing w:before="7"/>
        <w:ind w:left="84"/>
        <w:jc w:val="both"/>
      </w:pPr>
      <w:r>
        <w:rPr/>
        <w:t>（1）持续性黄疸病史； </w:t>
      </w:r>
    </w:p>
    <w:p>
      <w:pPr>
        <w:pStyle w:val="BodyText"/>
        <w:spacing w:before="36"/>
        <w:ind w:left="84"/>
        <w:jc w:val="both"/>
      </w:pPr>
      <w:r>
        <w:rPr/>
        <w:t>（2）总胆红素和直接胆红素同时升高，血清 ALP&gt;200U/L； </w:t>
      </w:r>
    </w:p>
    <w:p>
      <w:pPr>
        <w:pStyle w:val="BodyText"/>
        <w:spacing w:before="36"/>
        <w:ind w:left="84"/>
        <w:jc w:val="both"/>
      </w:pPr>
      <w:r>
        <w:rPr/>
        <w:t>（3）经内镜逆行胰胆管造影（ERCP）影像学检查确诊； </w:t>
      </w:r>
    </w:p>
    <w:p>
      <w:pPr>
        <w:pStyle w:val="BodyText"/>
        <w:spacing w:before="36"/>
        <w:ind w:left="84"/>
        <w:jc w:val="both"/>
      </w:pPr>
      <w:r>
        <w:rPr/>
        <w:t>（4）出现胆汁於积性肝硬化或门脉高压。 </w:t>
      </w:r>
    </w:p>
    <w:p>
      <w:pPr>
        <w:pStyle w:val="Heading3"/>
        <w:ind w:left="84"/>
        <w:jc w:val="both"/>
      </w:pPr>
      <w:r>
        <w:rPr>
          <w:w w:val="95"/>
        </w:rPr>
        <w:t>因肿瘤或胆管损伤等继发性的硬化性胆管炎不在保障范围内。</w:t>
      </w:r>
      <w:r>
        <w:rPr>
          <w:w w:val="94"/>
        </w:rPr>
        <w:t> </w:t>
      </w:r>
    </w:p>
    <w:p>
      <w:pPr>
        <w:spacing w:after="0"/>
        <w:jc w:val="both"/>
        <w:sectPr>
          <w:type w:val="continuous"/>
          <w:pgSz w:w="11910" w:h="16840"/>
          <w:pgMar w:top="700" w:bottom="280" w:left="1020" w:right="940"/>
          <w:cols w:num="2" w:equalWidth="0">
            <w:col w:w="2508" w:space="40"/>
            <w:col w:w="7402"/>
          </w:cols>
        </w:sectPr>
      </w:pPr>
    </w:p>
    <w:p>
      <w:pPr>
        <w:pStyle w:val="BodyText"/>
        <w:spacing w:before="6"/>
        <w:rPr>
          <w:b/>
          <w:i/>
          <w:sz w:val="27"/>
        </w:rPr>
      </w:pPr>
    </w:p>
    <w:p>
      <w:pPr>
        <w:spacing w:after="0"/>
        <w:rPr>
          <w:sz w:val="27"/>
        </w:rPr>
        <w:sectPr>
          <w:type w:val="continuous"/>
          <w:pgSz w:w="11910" w:h="16840"/>
          <w:pgMar w:top="700" w:bottom="280" w:left="1020" w:right="940"/>
        </w:sectPr>
      </w:pPr>
    </w:p>
    <w:p>
      <w:pPr>
        <w:pStyle w:val="Heading5"/>
        <w:tabs>
          <w:tab w:pos="931" w:val="left" w:leader="none"/>
        </w:tabs>
        <w:spacing w:line="340" w:lineRule="exact" w:before="32"/>
        <w:ind w:hanging="710"/>
        <w:rPr>
          <w:rFonts w:ascii="Microsoft JhengHei" w:eastAsia="Microsoft JhengHei" w:hint="eastAsia"/>
        </w:rPr>
      </w:pPr>
      <w:r>
        <w:rPr>
          <w:w w:val="99"/>
        </w:rPr>
        <w:t> </w:t>
      </w:r>
      <w:r>
        <w:rPr/>
        <w:tab/>
      </w:r>
      <w:r>
        <w:rPr>
          <w:rFonts w:ascii="Microsoft JhengHei" w:eastAsia="Microsoft JhengHei" w:hint="eastAsia"/>
          <w:position w:val="2"/>
        </w:rPr>
        <w:t>53.</w:t>
      </w:r>
      <w:r>
        <w:rPr>
          <w:rFonts w:ascii="Microsoft JhengHei" w:eastAsia="Microsoft JhengHei" w:hint="eastAsia"/>
          <w:spacing w:val="5"/>
          <w:position w:val="2"/>
        </w:rPr>
        <w:t> 特发性慢性</w:t>
      </w:r>
      <w:r>
        <w:rPr>
          <w:rFonts w:ascii="Microsoft JhengHei" w:eastAsia="Microsoft JhengHei" w:hint="eastAsia"/>
          <w:spacing w:val="5"/>
        </w:rPr>
        <w:t>肾上腺皮质功能</w:t>
      </w:r>
    </w:p>
    <w:p>
      <w:pPr>
        <w:spacing w:line="344" w:lineRule="exact" w:before="0"/>
        <w:ind w:left="965" w:right="978" w:firstLine="0"/>
        <w:jc w:val="center"/>
        <w:rPr>
          <w:b/>
          <w:sz w:val="21"/>
        </w:rPr>
      </w:pPr>
      <w:r>
        <w:rPr>
          <w:rFonts w:ascii="Microsoft JhengHei" w:eastAsia="Microsoft JhengHei" w:hint="eastAsia"/>
          <w:b/>
          <w:sz w:val="21"/>
        </w:rPr>
        <w:t>减退</w:t>
      </w:r>
      <w:r>
        <w:rPr>
          <w:b/>
          <w:w w:val="99"/>
          <w:sz w:val="21"/>
        </w:rPr>
        <w:t> </w:t>
      </w:r>
    </w:p>
    <w:p>
      <w:pPr>
        <w:pStyle w:val="BodyText"/>
        <w:spacing w:line="273" w:lineRule="auto" w:before="35"/>
        <w:ind w:left="189" w:right="156"/>
      </w:pPr>
      <w:r>
        <w:rPr/>
        <w:br w:type="column"/>
      </w:r>
      <w:r>
        <w:rPr/>
        <w:t>指自身免疫性肾上腺炎（既往称：特发性肾上腺皮质萎缩）导致肾上腺萎缩和慢性肾上腺皮质功能减退。必须满足所有以下条件： </w:t>
      </w:r>
    </w:p>
    <w:p>
      <w:pPr>
        <w:pStyle w:val="BodyText"/>
        <w:spacing w:before="7"/>
        <w:ind w:left="189"/>
      </w:pPr>
      <w:r>
        <w:rPr/>
        <w:t>（1）必须由专科医生明确诊断，符合所有以下诊断标准： </w:t>
      </w:r>
    </w:p>
    <w:p>
      <w:pPr>
        <w:pStyle w:val="BodyText"/>
        <w:spacing w:before="37"/>
        <w:ind w:left="673"/>
      </w:pPr>
      <w:r>
        <w:rPr/>
        <w:t>①血浆促肾上腺皮质激素（ACTH）水平测定，&gt;100pg/ml； </w:t>
      </w:r>
    </w:p>
    <w:p>
      <w:pPr>
        <w:pStyle w:val="BodyText"/>
        <w:spacing w:line="273" w:lineRule="auto" w:before="37"/>
        <w:ind w:left="881" w:right="96" w:hanging="210"/>
      </w:pPr>
      <w:r>
        <w:rPr/>
        <w:t>②血浆肾素活性、血管紧张素Ⅱ和醛固酮测定，显示为原发性肾上腺皮质功能减退症； </w:t>
      </w:r>
    </w:p>
    <w:p>
      <w:pPr>
        <w:pStyle w:val="BodyText"/>
        <w:spacing w:line="273" w:lineRule="auto" w:before="7"/>
        <w:ind w:left="675" w:right="93"/>
      </w:pPr>
      <w:r>
        <w:rPr/>
        <w:t>③促肾上腺皮质激素（ACTH）刺激试验显示为原发性肾上腺皮质功能减退症。 </w:t>
      </w:r>
    </w:p>
    <w:p>
      <w:pPr>
        <w:spacing w:after="0" w:line="273" w:lineRule="auto"/>
        <w:sectPr>
          <w:type w:val="continuous"/>
          <w:pgSz w:w="11910" w:h="16840"/>
          <w:pgMar w:top="700" w:bottom="280" w:left="1020" w:right="940"/>
          <w:cols w:num="2" w:equalWidth="0">
            <w:col w:w="2403" w:space="40"/>
            <w:col w:w="7507"/>
          </w:cols>
        </w:sectPr>
      </w:pPr>
    </w:p>
    <w:p>
      <w:pPr>
        <w:pStyle w:val="BodyText"/>
        <w:spacing w:before="6"/>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327"/>
      </w:tblGrid>
      <w:tr>
        <w:trPr>
          <w:trHeight w:val="885"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27" w:type="dxa"/>
          </w:tcPr>
          <w:p>
            <w:pPr>
              <w:pStyle w:val="TableParagraph"/>
              <w:spacing w:line="210" w:lineRule="exact"/>
              <w:ind w:left="122"/>
              <w:rPr>
                <w:sz w:val="21"/>
              </w:rPr>
            </w:pPr>
            <w:r>
              <w:rPr>
                <w:sz w:val="21"/>
              </w:rPr>
              <w:t>（2）已经采用皮质类固醇替代治疗 180 天以上。 </w:t>
            </w:r>
          </w:p>
          <w:p>
            <w:pPr>
              <w:pStyle w:val="TableParagraph"/>
              <w:spacing w:line="259" w:lineRule="auto" w:before="25"/>
              <w:ind w:left="122" w:right="48"/>
              <w:rPr>
                <w:b/>
                <w:i/>
                <w:sz w:val="22"/>
              </w:rPr>
            </w:pPr>
            <w:r>
              <w:rPr>
                <w:b/>
                <w:i/>
                <w:w w:val="95"/>
                <w:sz w:val="22"/>
              </w:rPr>
              <w:t>肾上腺结核、HIV 感染或艾滋病、感染、肿瘤所致的原发性肾上腺皮质功能减退和继发性肾上腺皮质功能减退不在本保障范围内。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327"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54. 溶血性链球</w:t>
            </w:r>
          </w:p>
        </w:tc>
        <w:tc>
          <w:tcPr>
            <w:tcW w:w="7327" w:type="dxa"/>
          </w:tcPr>
          <w:p>
            <w:pPr>
              <w:pStyle w:val="TableParagraph"/>
              <w:spacing w:line="272" w:lineRule="exact"/>
              <w:ind w:left="122"/>
              <w:rPr>
                <w:sz w:val="21"/>
              </w:rPr>
            </w:pPr>
            <w:r>
              <w:rPr>
                <w:spacing w:val="-1"/>
                <w:sz w:val="21"/>
              </w:rPr>
              <w:t>包围肢体或躯干的浅筋膜和</w:t>
            </w:r>
            <w:r>
              <w:rPr>
                <w:sz w:val="21"/>
              </w:rPr>
              <w:t>/</w:t>
            </w:r>
            <w:r>
              <w:rPr>
                <w:spacing w:val="-6"/>
                <w:sz w:val="21"/>
              </w:rPr>
              <w:t>或深筋膜受到溶血性链球菌的感染，病情在短时间</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菌引起的坏疽</w:t>
            </w:r>
            <w:r>
              <w:rPr>
                <w:b/>
                <w:w w:val="99"/>
                <w:sz w:val="21"/>
              </w:rPr>
              <w:t> </w:t>
            </w:r>
          </w:p>
        </w:tc>
        <w:tc>
          <w:tcPr>
            <w:tcW w:w="7327" w:type="dxa"/>
          </w:tcPr>
          <w:p>
            <w:pPr>
              <w:pStyle w:val="TableParagraph"/>
              <w:spacing w:line="248" w:lineRule="exact"/>
              <w:ind w:left="122"/>
              <w:rPr>
                <w:sz w:val="21"/>
              </w:rPr>
            </w:pPr>
            <w:r>
              <w:rPr>
                <w:sz w:val="21"/>
              </w:rPr>
              <w:t>内急剧恶化，必须立刻进行手术及清创术。最后的诊断必须由微生物或病理学</w:t>
            </w:r>
          </w:p>
          <w:p>
            <w:pPr>
              <w:pStyle w:val="TableParagraph"/>
              <w:spacing w:before="37"/>
              <w:ind w:left="122"/>
              <w:rPr>
                <w:sz w:val="21"/>
              </w:rPr>
            </w:pPr>
            <w:r>
              <w:rPr>
                <w:sz w:val="21"/>
              </w:rPr>
              <w:t>专家进行相关检查后证实。 </w:t>
            </w:r>
          </w:p>
        </w:tc>
      </w:tr>
      <w:tr>
        <w:trPr>
          <w:trHeight w:val="285" w:hRule="atLeast"/>
        </w:trPr>
        <w:tc>
          <w:tcPr>
            <w:tcW w:w="457" w:type="dxa"/>
          </w:tcPr>
          <w:p>
            <w:pPr>
              <w:pStyle w:val="TableParagraph"/>
              <w:spacing w:line="255" w:lineRule="exact" w:before="10"/>
              <w:ind w:left="50"/>
              <w:rPr>
                <w:b/>
                <w:sz w:val="21"/>
              </w:rPr>
            </w:pPr>
            <w:r>
              <w:rPr>
                <w:b/>
                <w:w w:val="99"/>
                <w:sz w:val="21"/>
              </w:rPr>
              <w:t> </w:t>
            </w:r>
          </w:p>
        </w:tc>
        <w:tc>
          <w:tcPr>
            <w:tcW w:w="1880" w:type="dxa"/>
          </w:tcPr>
          <w:p>
            <w:pPr>
              <w:pStyle w:val="TableParagraph"/>
              <w:rPr>
                <w:rFonts w:ascii="Times New Roman"/>
                <w:sz w:val="20"/>
              </w:rPr>
            </w:pPr>
          </w:p>
        </w:tc>
        <w:tc>
          <w:tcPr>
            <w:tcW w:w="7327" w:type="dxa"/>
          </w:tcPr>
          <w:p>
            <w:pPr>
              <w:pStyle w:val="TableParagraph"/>
              <w:spacing w:line="261" w:lineRule="exact"/>
              <w:ind w:left="122"/>
              <w:rPr>
                <w:sz w:val="21"/>
              </w:rPr>
            </w:pPr>
            <w:r>
              <w:rPr>
                <w:sz w:val="21"/>
              </w:rPr>
              <w:t> </w:t>
            </w:r>
          </w:p>
        </w:tc>
      </w:tr>
    </w:tbl>
    <w:p>
      <w:pPr>
        <w:spacing w:after="0" w:line="261" w:lineRule="exact"/>
        <w:rPr>
          <w:sz w:val="21"/>
        </w:rPr>
        <w:sectPr>
          <w:type w:val="continuous"/>
          <w:pgSz w:w="11910" w:h="16840"/>
          <w:pgMar w:top="700" w:bottom="280" w:left="1020" w:right="940"/>
        </w:sectPr>
      </w:pPr>
    </w:p>
    <w:p>
      <w:pPr>
        <w:pStyle w:val="BodyText"/>
        <w:rPr>
          <w:sz w:val="20"/>
        </w:rPr>
      </w:pPr>
    </w:p>
    <w:p>
      <w:pPr>
        <w:pStyle w:val="BodyText"/>
        <w:rPr>
          <w:sz w:val="20"/>
        </w:rPr>
      </w:pPr>
    </w:p>
    <w:p>
      <w:pPr>
        <w:pStyle w:val="BodyText"/>
        <w:spacing w:before="7" w:after="1"/>
        <w:rPr>
          <w:sz w:val="18"/>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328"/>
      </w:tblGrid>
      <w:tr>
        <w:trPr>
          <w:trHeight w:val="1197" w:hRule="atLeast"/>
        </w:trPr>
        <w:tc>
          <w:tcPr>
            <w:tcW w:w="457" w:type="dxa"/>
          </w:tcPr>
          <w:p>
            <w:pPr>
              <w:pStyle w:val="TableParagraph"/>
              <w:spacing w:line="234" w:lineRule="exact"/>
              <w:ind w:left="50"/>
              <w:rPr>
                <w:b/>
                <w:sz w:val="21"/>
              </w:rPr>
            </w:pPr>
            <w:r>
              <w:rPr>
                <w:b/>
                <w:w w:val="99"/>
                <w:sz w:val="21"/>
              </w:rPr>
              <w:t> </w:t>
            </w:r>
          </w:p>
        </w:tc>
        <w:tc>
          <w:tcPr>
            <w:tcW w:w="1880" w:type="dxa"/>
          </w:tcPr>
          <w:p>
            <w:pPr>
              <w:pStyle w:val="TableParagraph"/>
              <w:spacing w:line="240" w:lineRule="exact"/>
              <w:ind w:left="302"/>
              <w:rPr>
                <w:b/>
                <w:sz w:val="21"/>
              </w:rPr>
            </w:pPr>
            <w:r>
              <w:rPr>
                <w:rFonts w:ascii="Microsoft JhengHei" w:eastAsia="Microsoft JhengHei" w:hint="eastAsia"/>
                <w:b/>
                <w:sz w:val="21"/>
              </w:rPr>
              <w:t>55. 颅脑手术</w:t>
            </w:r>
            <w:r>
              <w:rPr>
                <w:b/>
                <w:w w:val="99"/>
                <w:sz w:val="21"/>
              </w:rPr>
              <w:t> </w:t>
            </w:r>
          </w:p>
        </w:tc>
        <w:tc>
          <w:tcPr>
            <w:tcW w:w="7328" w:type="dxa"/>
          </w:tcPr>
          <w:p>
            <w:pPr>
              <w:pStyle w:val="TableParagraph"/>
              <w:spacing w:line="210" w:lineRule="exact"/>
              <w:ind w:left="122"/>
              <w:rPr>
                <w:sz w:val="21"/>
              </w:rPr>
            </w:pPr>
            <w:r>
              <w:rPr>
                <w:sz w:val="21"/>
              </w:rPr>
              <w:t>被保险人确已实施全麻下的开颅手术（不包括颅骨钻孔手术和经鼻蝶窦入颅手</w:t>
            </w:r>
          </w:p>
          <w:p>
            <w:pPr>
              <w:pStyle w:val="TableParagraph"/>
              <w:spacing w:before="37"/>
              <w:ind w:left="122"/>
              <w:rPr>
                <w:sz w:val="21"/>
              </w:rPr>
            </w:pPr>
            <w:r>
              <w:rPr>
                <w:spacing w:val="-1"/>
                <w:sz w:val="21"/>
              </w:rPr>
              <w:t>术</w:t>
            </w:r>
            <w:r>
              <w:rPr>
                <w:spacing w:val="-105"/>
                <w:sz w:val="21"/>
              </w:rPr>
              <w:t>）</w:t>
            </w:r>
            <w:r>
              <w:rPr>
                <w:spacing w:val="-1"/>
                <w:sz w:val="21"/>
              </w:rPr>
              <w:t>。 </w:t>
            </w:r>
          </w:p>
          <w:p>
            <w:pPr>
              <w:pStyle w:val="TableParagraph"/>
              <w:spacing w:before="25"/>
              <w:ind w:left="122"/>
              <w:rPr>
                <w:b/>
                <w:i/>
                <w:sz w:val="22"/>
              </w:rPr>
            </w:pPr>
            <w:r>
              <w:rPr>
                <w:b/>
                <w:i/>
                <w:w w:val="95"/>
                <w:sz w:val="22"/>
              </w:rPr>
              <w:t>因外伤而实施的脑外科手术不在保障范围之内。</w:t>
            </w:r>
            <w:r>
              <w:rPr>
                <w:b/>
                <w:i/>
                <w:w w:val="94"/>
                <w:sz w:val="22"/>
              </w:rPr>
              <w:t> </w:t>
            </w:r>
          </w:p>
          <w:p>
            <w:pPr>
              <w:pStyle w:val="TableParagraph"/>
              <w:spacing w:before="23"/>
              <w:ind w:left="122"/>
              <w:rPr>
                <w:sz w:val="21"/>
              </w:rPr>
            </w:pPr>
            <w:r>
              <w:rPr>
                <w:b/>
                <w:i/>
                <w:w w:val="95"/>
                <w:sz w:val="22"/>
              </w:rPr>
              <w:t>理赔时必须提供由神经外科医生出具的诊断书及手术报告。</w:t>
            </w:r>
            <w:r>
              <w:rPr>
                <w:sz w:val="21"/>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328"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w w:val="105"/>
                <w:sz w:val="21"/>
              </w:rPr>
              <w:t>56. 严重ft营养</w:t>
            </w:r>
          </w:p>
        </w:tc>
        <w:tc>
          <w:tcPr>
            <w:tcW w:w="7328" w:type="dxa"/>
          </w:tcPr>
          <w:p>
            <w:pPr>
              <w:pStyle w:val="TableParagraph"/>
              <w:spacing w:line="272" w:lineRule="exact"/>
              <w:ind w:left="122"/>
              <w:rPr>
                <w:sz w:val="21"/>
              </w:rPr>
            </w:pPr>
            <w:r>
              <w:rPr>
                <w:sz w:val="21"/>
              </w:rPr>
              <w:t>指一组遗传性肌肉变性病变，临床特征为与神经系统无关的骨骼肌肉对称地进</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不良症</w:t>
            </w:r>
            <w:r>
              <w:rPr>
                <w:b/>
                <w:w w:val="99"/>
                <w:sz w:val="21"/>
              </w:rPr>
              <w:t> </w:t>
            </w:r>
          </w:p>
        </w:tc>
        <w:tc>
          <w:tcPr>
            <w:tcW w:w="7328" w:type="dxa"/>
          </w:tcPr>
          <w:p>
            <w:pPr>
              <w:pStyle w:val="TableParagraph"/>
              <w:spacing w:line="248" w:lineRule="exact"/>
              <w:ind w:left="122"/>
              <w:rPr>
                <w:sz w:val="21"/>
              </w:rPr>
            </w:pPr>
            <w:r>
              <w:rPr>
                <w:sz w:val="21"/>
              </w:rPr>
              <w:t>行性无力和萎缩。其诊断需满足下列全部条件： </w:t>
            </w:r>
          </w:p>
          <w:p>
            <w:pPr>
              <w:pStyle w:val="TableParagraph"/>
              <w:spacing w:before="37"/>
              <w:ind w:left="122"/>
              <w:rPr>
                <w:sz w:val="21"/>
              </w:rPr>
            </w:pPr>
            <w:r>
              <w:rPr>
                <w:sz w:val="21"/>
              </w:rPr>
              <w:t>（1）肌电图显示典型肌营养不良症的阳性改变；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328" w:type="dxa"/>
          </w:tcPr>
          <w:p>
            <w:pPr>
              <w:pStyle w:val="TableParagraph"/>
              <w:spacing w:line="241" w:lineRule="exact"/>
              <w:ind w:left="122"/>
              <w:rPr>
                <w:sz w:val="21"/>
              </w:rPr>
            </w:pPr>
            <w:r>
              <w:rPr>
                <w:sz w:val="21"/>
              </w:rPr>
              <w:t>（2）肌肉活检的病理学诊断符合肌营养不良症的肌肉细胞变性/坏死等阳性改</w:t>
            </w:r>
          </w:p>
        </w:tc>
      </w:tr>
    </w:tbl>
    <w:p>
      <w:pPr>
        <w:pStyle w:val="BodyText"/>
        <w:spacing w:before="37"/>
        <w:ind w:left="3157"/>
      </w:pPr>
      <w:r>
        <w:rPr/>
        <w:t>变； </w:t>
      </w:r>
    </w:p>
    <w:p>
      <w:pPr>
        <w:pStyle w:val="BodyText"/>
        <w:spacing w:line="273" w:lineRule="auto" w:before="37"/>
        <w:ind w:left="3157" w:right="256" w:hanging="526"/>
        <w:rPr>
          <w:sz w:val="24"/>
        </w:rPr>
      </w:pPr>
      <w:r>
        <w:rPr/>
        <w:t>（3</w:t>
      </w:r>
      <w:r>
        <w:rPr>
          <w:spacing w:val="-91"/>
        </w:rPr>
        <w:t>）</w:t>
      </w:r>
      <w:r>
        <w:rPr>
          <w:spacing w:val="-1"/>
        </w:rPr>
        <w:t>已导致被保险人持续超过三个月无法独立完成六项基本日常生活活动中的三项或三项以上。</w:t>
      </w:r>
      <w:r>
        <w:rPr>
          <w:spacing w:val="-1"/>
          <w:sz w:val="24"/>
        </w:rPr>
        <w:t> </w:t>
      </w:r>
    </w:p>
    <w:p>
      <w:pPr>
        <w:tabs>
          <w:tab w:pos="2631" w:val="left" w:leader="none"/>
        </w:tabs>
        <w:spacing w:before="7"/>
        <w:ind w:left="222" w:right="0" w:firstLine="0"/>
        <w:jc w:val="left"/>
        <w:rPr>
          <w:sz w:val="21"/>
        </w:rPr>
      </w:pPr>
      <w:r>
        <w:rPr>
          <w:b/>
          <w:w w:val="99"/>
          <w:position w:val="-1"/>
          <w:sz w:val="21"/>
        </w:rPr>
        <w:t> </w:t>
      </w:r>
      <w:r>
        <w:rPr>
          <w:b/>
          <w:position w:val="-1"/>
          <w:sz w:val="21"/>
        </w:rPr>
        <w:tab/>
      </w:r>
      <w:r>
        <w:rPr>
          <w:sz w:val="21"/>
        </w:rPr>
        <w:t> </w:t>
      </w:r>
    </w:p>
    <w:p>
      <w:pPr>
        <w:tabs>
          <w:tab w:pos="931" w:val="left" w:leader="none"/>
        </w:tabs>
        <w:spacing w:line="242" w:lineRule="auto" w:before="26"/>
        <w:ind w:left="2631" w:right="256" w:hanging="2410"/>
        <w:jc w:val="left"/>
        <w:rPr>
          <w:sz w:val="21"/>
        </w:rPr>
      </w:pPr>
      <w:r>
        <w:rPr>
          <w:b/>
          <w:w w:val="99"/>
          <w:position w:val="-1"/>
          <w:sz w:val="21"/>
        </w:rPr>
        <w:t> </w:t>
      </w:r>
      <w:r>
        <w:rPr>
          <w:b/>
          <w:position w:val="-1"/>
          <w:sz w:val="21"/>
        </w:rPr>
        <w:tab/>
      </w:r>
      <w:r>
        <w:rPr>
          <w:rFonts w:ascii="Microsoft JhengHei" w:eastAsia="Microsoft JhengHei" w:hint="eastAsia"/>
          <w:b/>
          <w:position w:val="0"/>
          <w:sz w:val="21"/>
        </w:rPr>
        <w:t>57.</w:t>
      </w:r>
      <w:r>
        <w:rPr>
          <w:rFonts w:ascii="Microsoft JhengHei" w:eastAsia="Microsoft JhengHei" w:hint="eastAsia"/>
          <w:b/>
          <w:spacing w:val="1"/>
          <w:position w:val="0"/>
          <w:sz w:val="21"/>
        </w:rPr>
        <w:t>  严重心</w:t>
      </w:r>
      <w:r>
        <w:rPr>
          <w:rFonts w:ascii="Microsoft JhengHei" w:eastAsia="Microsoft JhengHei" w:hint="eastAsia"/>
          <w:b/>
          <w:position w:val="0"/>
          <w:sz w:val="21"/>
        </w:rPr>
        <w:t>ft</w:t>
      </w:r>
      <w:r>
        <w:rPr>
          <w:rFonts w:ascii="Microsoft JhengHei" w:eastAsia="Microsoft JhengHei" w:hint="eastAsia"/>
          <w:b/>
          <w:spacing w:val="2"/>
          <w:position w:val="0"/>
          <w:sz w:val="21"/>
        </w:rPr>
        <w:t>炎     </w:t>
      </w:r>
      <w:r>
        <w:rPr>
          <w:sz w:val="21"/>
        </w:rPr>
        <w:t>指被保险人因严重心肌炎性病变导致心功能损害造成持续的永久不可逆性的心</w:t>
      </w:r>
      <w:r>
        <w:rPr>
          <w:spacing w:val="-1"/>
          <w:sz w:val="21"/>
        </w:rPr>
        <w:t>功能衰竭。必须满足所有以下条件：  </w:t>
      </w:r>
    </w:p>
    <w:p>
      <w:pPr>
        <w:pStyle w:val="BodyText"/>
        <w:spacing w:line="273" w:lineRule="auto" w:before="34"/>
        <w:ind w:left="3157" w:right="255" w:hanging="526"/>
      </w:pPr>
      <w:r>
        <w:rPr>
          <w:spacing w:val="-15"/>
        </w:rPr>
        <w:t>（1）</w:t>
      </w:r>
      <w:r>
        <w:rPr>
          <w:spacing w:val="-2"/>
        </w:rPr>
        <w:t>心功能衰竭程度达到纽约心脏病学会的心功能分级标准之心功能Ⅳ级，或</w:t>
      </w:r>
      <w:r>
        <w:rPr>
          <w:spacing w:val="-1"/>
        </w:rPr>
        <w:t>左室射血分数低于</w:t>
      </w:r>
      <w:r>
        <w:rPr/>
        <w:t>30%；</w:t>
      </w:r>
      <w:r>
        <w:rPr>
          <w:spacing w:val="-1"/>
        </w:rPr>
        <w:t> </w:t>
      </w:r>
      <w:r>
        <w:rPr/>
        <w:t> </w:t>
      </w:r>
    </w:p>
    <w:p>
      <w:pPr>
        <w:pStyle w:val="BodyText"/>
        <w:spacing w:before="6"/>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2"/>
        <w:gridCol w:w="7431"/>
      </w:tblGrid>
      <w:tr>
        <w:trPr>
          <w:trHeight w:val="572" w:hRule="atLeast"/>
        </w:trPr>
        <w:tc>
          <w:tcPr>
            <w:tcW w:w="2339" w:type="dxa"/>
            <w:gridSpan w:val="2"/>
          </w:tcPr>
          <w:p>
            <w:pPr>
              <w:pStyle w:val="TableParagraph"/>
              <w:rPr>
                <w:rFonts w:ascii="Times New Roman"/>
                <w:sz w:val="20"/>
              </w:rPr>
            </w:pPr>
          </w:p>
        </w:tc>
        <w:tc>
          <w:tcPr>
            <w:tcW w:w="7431" w:type="dxa"/>
          </w:tcPr>
          <w:p>
            <w:pPr>
              <w:pStyle w:val="TableParagraph"/>
              <w:spacing w:line="210" w:lineRule="exact"/>
              <w:ind w:left="120"/>
              <w:rPr>
                <w:sz w:val="21"/>
              </w:rPr>
            </w:pPr>
            <w:r>
              <w:rPr>
                <w:sz w:val="21"/>
              </w:rPr>
              <w:t>（2）持续不间断180天以上；  </w:t>
            </w:r>
          </w:p>
          <w:p>
            <w:pPr>
              <w:pStyle w:val="TableParagraph"/>
              <w:spacing w:before="37"/>
              <w:ind w:left="120"/>
              <w:rPr>
                <w:sz w:val="21"/>
              </w:rPr>
            </w:pPr>
            <w:r>
              <w:rPr>
                <w:sz w:val="21"/>
              </w:rPr>
              <w:t>（3）被保险人永久不可逆性的体力活动能力受限，不能从事任何体力活动。</w:t>
            </w:r>
          </w:p>
        </w:tc>
      </w:tr>
      <w:tr>
        <w:trPr>
          <w:trHeight w:val="347" w:hRule="atLeast"/>
        </w:trPr>
        <w:tc>
          <w:tcPr>
            <w:tcW w:w="457" w:type="dxa"/>
          </w:tcPr>
          <w:p>
            <w:pPr>
              <w:pStyle w:val="TableParagraph"/>
              <w:spacing w:before="10"/>
              <w:ind w:left="50"/>
              <w:rPr>
                <w:b/>
                <w:sz w:val="21"/>
              </w:rPr>
            </w:pPr>
            <w:r>
              <w:rPr>
                <w:b/>
                <w:w w:val="99"/>
                <w:sz w:val="21"/>
              </w:rPr>
              <w:t> </w:t>
            </w:r>
          </w:p>
        </w:tc>
        <w:tc>
          <w:tcPr>
            <w:tcW w:w="1882" w:type="dxa"/>
          </w:tcPr>
          <w:p>
            <w:pPr>
              <w:pStyle w:val="TableParagraph"/>
              <w:rPr>
                <w:rFonts w:ascii="Times New Roman"/>
                <w:sz w:val="20"/>
              </w:rPr>
            </w:pPr>
          </w:p>
        </w:tc>
        <w:tc>
          <w:tcPr>
            <w:tcW w:w="7431" w:type="dxa"/>
          </w:tcPr>
          <w:p>
            <w:pPr>
              <w:pStyle w:val="TableParagraph"/>
              <w:spacing w:line="261" w:lineRule="exact"/>
              <w:ind w:left="120"/>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2"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58. 肝豆状核变</w:t>
            </w:r>
          </w:p>
        </w:tc>
        <w:tc>
          <w:tcPr>
            <w:tcW w:w="7431" w:type="dxa"/>
          </w:tcPr>
          <w:p>
            <w:pPr>
              <w:pStyle w:val="TableParagraph"/>
              <w:spacing w:line="272" w:lineRule="exact"/>
              <w:ind w:left="120"/>
              <w:rPr>
                <w:sz w:val="21"/>
              </w:rPr>
            </w:pPr>
            <w:r>
              <w:rPr>
                <w:sz w:val="21"/>
              </w:rPr>
              <w:t>指一种常染色体隐性遗传的铜代谢缺陷病，以不同程度的肝细胞损害、脑退行</w:t>
            </w:r>
          </w:p>
        </w:tc>
      </w:tr>
      <w:tr>
        <w:trPr>
          <w:trHeight w:val="385" w:hRule="atLeast"/>
        </w:trPr>
        <w:tc>
          <w:tcPr>
            <w:tcW w:w="457" w:type="dxa"/>
          </w:tcPr>
          <w:p>
            <w:pPr>
              <w:pStyle w:val="TableParagraph"/>
              <w:rPr>
                <w:rFonts w:ascii="Times New Roman"/>
                <w:sz w:val="20"/>
              </w:rPr>
            </w:pPr>
          </w:p>
        </w:tc>
        <w:tc>
          <w:tcPr>
            <w:tcW w:w="1882"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w w:val="95"/>
                <w:sz w:val="21"/>
              </w:rPr>
              <w:t>性(或称 Wilson</w:t>
            </w:r>
          </w:p>
        </w:tc>
        <w:tc>
          <w:tcPr>
            <w:tcW w:w="7431" w:type="dxa"/>
          </w:tcPr>
          <w:p>
            <w:pPr>
              <w:pStyle w:val="TableParagraph"/>
              <w:spacing w:line="248" w:lineRule="exact"/>
              <w:ind w:left="120"/>
              <w:rPr>
                <w:sz w:val="21"/>
              </w:rPr>
            </w:pPr>
            <w:r>
              <w:rPr>
                <w:sz w:val="21"/>
              </w:rPr>
              <w:t>性病变和角膜边缘有铜盐沉着环为其临床特征，并须满足下列全部条件： </w:t>
            </w:r>
          </w:p>
        </w:tc>
      </w:tr>
      <w:tr>
        <w:trPr>
          <w:trHeight w:val="537" w:hRule="atLeast"/>
        </w:trPr>
        <w:tc>
          <w:tcPr>
            <w:tcW w:w="457" w:type="dxa"/>
          </w:tcPr>
          <w:p>
            <w:pPr>
              <w:pStyle w:val="TableParagraph"/>
              <w:rPr>
                <w:rFonts w:ascii="Times New Roman"/>
                <w:sz w:val="20"/>
              </w:rPr>
            </w:pPr>
          </w:p>
        </w:tc>
        <w:tc>
          <w:tcPr>
            <w:tcW w:w="1882" w:type="dxa"/>
          </w:tcPr>
          <w:p>
            <w:pPr>
              <w:pStyle w:val="TableParagraph"/>
              <w:spacing w:line="298" w:lineRule="exact"/>
              <w:ind w:left="302"/>
              <w:rPr>
                <w:b/>
                <w:sz w:val="21"/>
              </w:rPr>
            </w:pPr>
            <w:r>
              <w:rPr>
                <w:rFonts w:ascii="Microsoft JhengHei" w:eastAsia="Microsoft JhengHei" w:hint="eastAsia"/>
                <w:b/>
                <w:sz w:val="21"/>
              </w:rPr>
              <w:t>病)</w:t>
            </w:r>
            <w:r>
              <w:rPr>
                <w:b/>
                <w:w w:val="99"/>
                <w:sz w:val="21"/>
              </w:rPr>
              <w:t> </w:t>
            </w:r>
          </w:p>
        </w:tc>
        <w:tc>
          <w:tcPr>
            <w:tcW w:w="7431" w:type="dxa"/>
          </w:tcPr>
          <w:p>
            <w:pPr>
              <w:pStyle w:val="TableParagraph"/>
              <w:spacing w:line="175" w:lineRule="exact"/>
              <w:ind w:left="120"/>
              <w:rPr>
                <w:sz w:val="21"/>
              </w:rPr>
            </w:pPr>
            <w:r>
              <w:rPr>
                <w:sz w:val="21"/>
              </w:rPr>
              <w:t>（1）典型症状； </w:t>
            </w:r>
          </w:p>
          <w:p>
            <w:pPr>
              <w:pStyle w:val="TableParagraph"/>
              <w:spacing w:before="37"/>
              <w:ind w:left="120"/>
              <w:rPr>
                <w:sz w:val="21"/>
              </w:rPr>
            </w:pPr>
            <w:r>
              <w:rPr>
                <w:sz w:val="21"/>
              </w:rPr>
              <w:t>（2）</w:t>
            </w:r>
            <w:r>
              <w:rPr>
                <w:spacing w:val="-1"/>
                <w:sz w:val="21"/>
              </w:rPr>
              <w:t>角膜色素环</w:t>
            </w:r>
            <w:r>
              <w:rPr>
                <w:sz w:val="21"/>
              </w:rPr>
              <w:t>（K-F</w:t>
            </w:r>
            <w:r>
              <w:rPr>
                <w:spacing w:val="-27"/>
                <w:sz w:val="21"/>
              </w:rPr>
              <w:t> 环</w:t>
            </w:r>
            <w:r>
              <w:rPr>
                <w:spacing w:val="-104"/>
                <w:sz w:val="21"/>
              </w:rPr>
              <w:t>）</w:t>
            </w:r>
            <w:r>
              <w:rPr>
                <w:spacing w:val="-2"/>
                <w:sz w:val="21"/>
              </w:rPr>
              <w:t>； </w:t>
            </w:r>
          </w:p>
        </w:tc>
      </w:tr>
      <w:tr>
        <w:trPr>
          <w:trHeight w:val="311" w:hRule="atLeast"/>
        </w:trPr>
        <w:tc>
          <w:tcPr>
            <w:tcW w:w="457" w:type="dxa"/>
          </w:tcPr>
          <w:p>
            <w:pPr>
              <w:pStyle w:val="TableParagraph"/>
              <w:rPr>
                <w:rFonts w:ascii="Times New Roman"/>
                <w:sz w:val="20"/>
              </w:rPr>
            </w:pPr>
          </w:p>
        </w:tc>
        <w:tc>
          <w:tcPr>
            <w:tcW w:w="1882" w:type="dxa"/>
          </w:tcPr>
          <w:p>
            <w:pPr>
              <w:pStyle w:val="TableParagraph"/>
              <w:rPr>
                <w:rFonts w:ascii="Times New Roman"/>
                <w:sz w:val="20"/>
              </w:rPr>
            </w:pPr>
          </w:p>
        </w:tc>
        <w:tc>
          <w:tcPr>
            <w:tcW w:w="7431" w:type="dxa"/>
          </w:tcPr>
          <w:p>
            <w:pPr>
              <w:pStyle w:val="TableParagraph"/>
              <w:spacing w:line="261" w:lineRule="exact"/>
              <w:ind w:left="120"/>
              <w:rPr>
                <w:sz w:val="21"/>
              </w:rPr>
            </w:pPr>
            <w:r>
              <w:rPr>
                <w:sz w:val="21"/>
              </w:rPr>
              <w:t>（3）血清铜和血清铜蓝蛋白降低，尿铜增加； </w:t>
            </w:r>
          </w:p>
        </w:tc>
      </w:tr>
      <w:tr>
        <w:trPr>
          <w:trHeight w:val="311" w:hRule="atLeast"/>
        </w:trPr>
        <w:tc>
          <w:tcPr>
            <w:tcW w:w="457" w:type="dxa"/>
          </w:tcPr>
          <w:p>
            <w:pPr>
              <w:pStyle w:val="TableParagraph"/>
              <w:rPr>
                <w:rFonts w:ascii="Times New Roman"/>
                <w:sz w:val="20"/>
              </w:rPr>
            </w:pPr>
          </w:p>
        </w:tc>
        <w:tc>
          <w:tcPr>
            <w:tcW w:w="1882" w:type="dxa"/>
          </w:tcPr>
          <w:p>
            <w:pPr>
              <w:pStyle w:val="TableParagraph"/>
              <w:rPr>
                <w:rFonts w:ascii="Times New Roman"/>
                <w:sz w:val="20"/>
              </w:rPr>
            </w:pPr>
          </w:p>
        </w:tc>
        <w:tc>
          <w:tcPr>
            <w:tcW w:w="7431" w:type="dxa"/>
          </w:tcPr>
          <w:p>
            <w:pPr>
              <w:pStyle w:val="TableParagraph"/>
              <w:spacing w:line="261" w:lineRule="exact"/>
              <w:ind w:left="120"/>
              <w:rPr>
                <w:sz w:val="21"/>
              </w:rPr>
            </w:pPr>
            <w:r>
              <w:rPr>
                <w:sz w:val="21"/>
              </w:rPr>
              <w:t>（4）经肝脏活检确诊。 </w:t>
            </w:r>
          </w:p>
        </w:tc>
      </w:tr>
      <w:tr>
        <w:trPr>
          <w:trHeight w:val="347" w:hRule="atLeast"/>
        </w:trPr>
        <w:tc>
          <w:tcPr>
            <w:tcW w:w="457" w:type="dxa"/>
          </w:tcPr>
          <w:p>
            <w:pPr>
              <w:pStyle w:val="TableParagraph"/>
              <w:spacing w:before="10"/>
              <w:ind w:left="50"/>
              <w:rPr>
                <w:b/>
                <w:sz w:val="21"/>
              </w:rPr>
            </w:pPr>
            <w:r>
              <w:rPr>
                <w:b/>
                <w:w w:val="99"/>
                <w:sz w:val="21"/>
              </w:rPr>
              <w:t> </w:t>
            </w:r>
          </w:p>
        </w:tc>
        <w:tc>
          <w:tcPr>
            <w:tcW w:w="1882" w:type="dxa"/>
          </w:tcPr>
          <w:p>
            <w:pPr>
              <w:pStyle w:val="TableParagraph"/>
              <w:rPr>
                <w:rFonts w:ascii="Times New Roman"/>
                <w:sz w:val="20"/>
              </w:rPr>
            </w:pPr>
          </w:p>
        </w:tc>
        <w:tc>
          <w:tcPr>
            <w:tcW w:w="7431" w:type="dxa"/>
          </w:tcPr>
          <w:p>
            <w:pPr>
              <w:pStyle w:val="TableParagraph"/>
              <w:spacing w:line="261" w:lineRule="exact"/>
              <w:ind w:left="120"/>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2"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59. 侵蚀性葡萄</w:t>
            </w:r>
          </w:p>
        </w:tc>
        <w:tc>
          <w:tcPr>
            <w:tcW w:w="7431" w:type="dxa"/>
          </w:tcPr>
          <w:p>
            <w:pPr>
              <w:pStyle w:val="TableParagraph"/>
              <w:spacing w:line="272" w:lineRule="exact"/>
              <w:ind w:left="120"/>
              <w:rPr>
                <w:sz w:val="21"/>
              </w:rPr>
            </w:pPr>
            <w:r>
              <w:rPr>
                <w:sz w:val="21"/>
              </w:rPr>
              <w:t>该类疾病是指异常增生的绒毛组织浸润性生长侵入子宫肌层或转移至其他器官</w:t>
            </w:r>
          </w:p>
        </w:tc>
      </w:tr>
      <w:tr>
        <w:trPr>
          <w:trHeight w:val="385" w:hRule="atLeast"/>
        </w:trPr>
        <w:tc>
          <w:tcPr>
            <w:tcW w:w="457" w:type="dxa"/>
          </w:tcPr>
          <w:p>
            <w:pPr>
              <w:pStyle w:val="TableParagraph"/>
              <w:rPr>
                <w:rFonts w:ascii="Times New Roman"/>
                <w:sz w:val="20"/>
              </w:rPr>
            </w:pPr>
          </w:p>
        </w:tc>
        <w:tc>
          <w:tcPr>
            <w:tcW w:w="1882"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胎(或称恶性葡</w:t>
            </w:r>
          </w:p>
        </w:tc>
        <w:tc>
          <w:tcPr>
            <w:tcW w:w="7431" w:type="dxa"/>
          </w:tcPr>
          <w:p>
            <w:pPr>
              <w:pStyle w:val="TableParagraph"/>
              <w:spacing w:line="248" w:lineRule="exact"/>
              <w:ind w:left="120"/>
              <w:rPr>
                <w:sz w:val="21"/>
              </w:rPr>
            </w:pPr>
            <w:r>
              <w:rPr>
                <w:sz w:val="21"/>
              </w:rPr>
              <w:t>或组织的葡萄胎，并已经进行化疗或手术治疗的。 </w:t>
            </w:r>
          </w:p>
        </w:tc>
      </w:tr>
      <w:tr>
        <w:trPr>
          <w:trHeight w:val="355" w:hRule="atLeast"/>
        </w:trPr>
        <w:tc>
          <w:tcPr>
            <w:tcW w:w="457" w:type="dxa"/>
          </w:tcPr>
          <w:p>
            <w:pPr>
              <w:pStyle w:val="TableParagraph"/>
              <w:rPr>
                <w:rFonts w:ascii="Times New Roman"/>
                <w:sz w:val="20"/>
              </w:rPr>
            </w:pPr>
          </w:p>
        </w:tc>
        <w:tc>
          <w:tcPr>
            <w:tcW w:w="1882" w:type="dxa"/>
          </w:tcPr>
          <w:p>
            <w:pPr>
              <w:pStyle w:val="TableParagraph"/>
              <w:spacing w:line="298" w:lineRule="exact"/>
              <w:ind w:left="302"/>
              <w:rPr>
                <w:b/>
                <w:sz w:val="21"/>
              </w:rPr>
            </w:pPr>
            <w:r>
              <w:rPr>
                <w:rFonts w:ascii="Microsoft JhengHei" w:eastAsia="Microsoft JhengHei" w:hint="eastAsia"/>
                <w:b/>
                <w:sz w:val="21"/>
              </w:rPr>
              <w:t>萄胎)</w:t>
            </w:r>
            <w:r>
              <w:rPr>
                <w:b/>
                <w:w w:val="99"/>
                <w:sz w:val="21"/>
              </w:rPr>
              <w:t> </w:t>
            </w:r>
          </w:p>
        </w:tc>
        <w:tc>
          <w:tcPr>
            <w:tcW w:w="7431" w:type="dxa"/>
          </w:tcPr>
          <w:p>
            <w:pPr>
              <w:pStyle w:val="TableParagraph"/>
              <w:rPr>
                <w:rFonts w:ascii="Times New Roman"/>
                <w:sz w:val="20"/>
              </w:rPr>
            </w:pPr>
          </w:p>
        </w:tc>
      </w:tr>
      <w:tr>
        <w:trPr>
          <w:trHeight w:val="357" w:hRule="atLeast"/>
        </w:trPr>
        <w:tc>
          <w:tcPr>
            <w:tcW w:w="457" w:type="dxa"/>
          </w:tcPr>
          <w:p>
            <w:pPr>
              <w:pStyle w:val="TableParagraph"/>
              <w:spacing w:before="20"/>
              <w:ind w:left="50"/>
              <w:rPr>
                <w:b/>
                <w:sz w:val="21"/>
              </w:rPr>
            </w:pPr>
            <w:r>
              <w:rPr>
                <w:b/>
                <w:w w:val="99"/>
                <w:sz w:val="21"/>
              </w:rPr>
              <w:t> </w:t>
            </w:r>
          </w:p>
        </w:tc>
        <w:tc>
          <w:tcPr>
            <w:tcW w:w="1882" w:type="dxa"/>
          </w:tcPr>
          <w:p>
            <w:pPr>
              <w:pStyle w:val="TableParagraph"/>
              <w:rPr>
                <w:rFonts w:ascii="Times New Roman"/>
                <w:sz w:val="20"/>
              </w:rPr>
            </w:pPr>
          </w:p>
        </w:tc>
        <w:tc>
          <w:tcPr>
            <w:tcW w:w="7431" w:type="dxa"/>
          </w:tcPr>
          <w:p>
            <w:pPr>
              <w:pStyle w:val="TableParagraph"/>
              <w:spacing w:line="271" w:lineRule="exact"/>
              <w:ind w:left="120"/>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2"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60. 破裂脑动脉</w:t>
            </w:r>
          </w:p>
        </w:tc>
        <w:tc>
          <w:tcPr>
            <w:tcW w:w="7431" w:type="dxa"/>
          </w:tcPr>
          <w:p>
            <w:pPr>
              <w:pStyle w:val="TableParagraph"/>
              <w:spacing w:line="272" w:lineRule="exact"/>
              <w:ind w:left="120"/>
              <w:rPr>
                <w:sz w:val="21"/>
              </w:rPr>
            </w:pPr>
            <w:r>
              <w:rPr>
                <w:sz w:val="21"/>
              </w:rPr>
              <w:t>指因脑动脉瘤破裂造成蛛网膜下腔出血，被保险人实际接受了在全麻下进行的</w:t>
            </w:r>
          </w:p>
        </w:tc>
      </w:tr>
      <w:tr>
        <w:trPr>
          <w:trHeight w:val="330" w:hRule="atLeast"/>
        </w:trPr>
        <w:tc>
          <w:tcPr>
            <w:tcW w:w="457" w:type="dxa"/>
          </w:tcPr>
          <w:p>
            <w:pPr>
              <w:pStyle w:val="TableParagraph"/>
              <w:rPr>
                <w:rFonts w:ascii="Times New Roman"/>
                <w:sz w:val="20"/>
              </w:rPr>
            </w:pPr>
          </w:p>
        </w:tc>
        <w:tc>
          <w:tcPr>
            <w:tcW w:w="1882" w:type="dxa"/>
          </w:tcPr>
          <w:p>
            <w:pPr>
              <w:pStyle w:val="TableParagraph"/>
              <w:spacing w:line="310" w:lineRule="exact"/>
              <w:ind w:left="302"/>
              <w:rPr>
                <w:b/>
                <w:sz w:val="21"/>
              </w:rPr>
            </w:pPr>
            <w:r>
              <w:rPr>
                <w:rFonts w:ascii="Microsoft JhengHei" w:eastAsia="Microsoft JhengHei" w:hint="eastAsia"/>
                <w:b/>
                <w:sz w:val="21"/>
              </w:rPr>
              <w:t>瘤夹闭手术</w:t>
            </w:r>
            <w:r>
              <w:rPr>
                <w:b/>
                <w:w w:val="99"/>
                <w:sz w:val="21"/>
              </w:rPr>
              <w:t> </w:t>
            </w:r>
          </w:p>
        </w:tc>
        <w:tc>
          <w:tcPr>
            <w:tcW w:w="7431" w:type="dxa"/>
          </w:tcPr>
          <w:p>
            <w:pPr>
              <w:pStyle w:val="TableParagraph"/>
              <w:spacing w:line="248" w:lineRule="exact"/>
              <w:ind w:left="120"/>
              <w:rPr>
                <w:sz w:val="21"/>
              </w:rPr>
            </w:pPr>
            <w:r>
              <w:rPr>
                <w:sz w:val="21"/>
              </w:rPr>
              <w:t>开颅动脉瘤夹闭手术。  </w:t>
            </w:r>
          </w:p>
        </w:tc>
      </w:tr>
      <w:tr>
        <w:trPr>
          <w:trHeight w:val="276" w:hRule="atLeast"/>
        </w:trPr>
        <w:tc>
          <w:tcPr>
            <w:tcW w:w="457" w:type="dxa"/>
          </w:tcPr>
          <w:p>
            <w:pPr>
              <w:pStyle w:val="TableParagraph"/>
              <w:rPr>
                <w:rFonts w:ascii="Times New Roman"/>
                <w:sz w:val="20"/>
              </w:rPr>
            </w:pPr>
          </w:p>
        </w:tc>
        <w:tc>
          <w:tcPr>
            <w:tcW w:w="1882" w:type="dxa"/>
          </w:tcPr>
          <w:p>
            <w:pPr>
              <w:pStyle w:val="TableParagraph"/>
              <w:rPr>
                <w:rFonts w:ascii="Times New Roman"/>
                <w:sz w:val="20"/>
              </w:rPr>
            </w:pPr>
          </w:p>
        </w:tc>
        <w:tc>
          <w:tcPr>
            <w:tcW w:w="7431" w:type="dxa"/>
          </w:tcPr>
          <w:p>
            <w:pPr>
              <w:pStyle w:val="TableParagraph"/>
              <w:spacing w:line="231" w:lineRule="exact"/>
              <w:ind w:left="120"/>
              <w:rPr>
                <w:b/>
                <w:i/>
                <w:sz w:val="22"/>
              </w:rPr>
            </w:pPr>
            <w:r>
              <w:rPr>
                <w:b/>
                <w:i/>
                <w:w w:val="95"/>
                <w:sz w:val="22"/>
              </w:rPr>
              <w:t>脑动脉瘤（未破裂）预防性手术、颅骨打孔手术、动脉瘤栓塞手术、血管内手</w:t>
            </w:r>
          </w:p>
        </w:tc>
      </w:tr>
      <w:tr>
        <w:trPr>
          <w:trHeight w:val="317" w:hRule="atLeast"/>
        </w:trPr>
        <w:tc>
          <w:tcPr>
            <w:tcW w:w="457" w:type="dxa"/>
          </w:tcPr>
          <w:p>
            <w:pPr>
              <w:pStyle w:val="TableParagraph"/>
              <w:rPr>
                <w:rFonts w:ascii="Times New Roman"/>
                <w:sz w:val="20"/>
              </w:rPr>
            </w:pPr>
          </w:p>
        </w:tc>
        <w:tc>
          <w:tcPr>
            <w:tcW w:w="1882" w:type="dxa"/>
          </w:tcPr>
          <w:p>
            <w:pPr>
              <w:pStyle w:val="TableParagraph"/>
              <w:rPr>
                <w:rFonts w:ascii="Times New Roman"/>
                <w:sz w:val="20"/>
              </w:rPr>
            </w:pPr>
          </w:p>
        </w:tc>
        <w:tc>
          <w:tcPr>
            <w:tcW w:w="7431" w:type="dxa"/>
          </w:tcPr>
          <w:p>
            <w:pPr>
              <w:pStyle w:val="TableParagraph"/>
              <w:spacing w:line="267" w:lineRule="exact"/>
              <w:ind w:left="120"/>
              <w:rPr>
                <w:b/>
                <w:i/>
                <w:sz w:val="22"/>
              </w:rPr>
            </w:pPr>
            <w:r>
              <w:rPr>
                <w:b/>
                <w:i/>
                <w:w w:val="95"/>
                <w:sz w:val="22"/>
              </w:rPr>
              <w:t>术及其他颅脑手术不在本保障范围内。</w:t>
            </w:r>
            <w:r>
              <w:rPr>
                <w:b/>
                <w:i/>
                <w:sz w:val="22"/>
              </w:rPr>
              <w:t> </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82" w:type="dxa"/>
          </w:tcPr>
          <w:p>
            <w:pPr>
              <w:pStyle w:val="TableParagraph"/>
              <w:rPr>
                <w:rFonts w:ascii="Times New Roman"/>
                <w:sz w:val="20"/>
              </w:rPr>
            </w:pPr>
          </w:p>
        </w:tc>
        <w:tc>
          <w:tcPr>
            <w:tcW w:w="7431" w:type="dxa"/>
          </w:tcPr>
          <w:p>
            <w:pPr>
              <w:pStyle w:val="TableParagraph"/>
              <w:spacing w:line="260" w:lineRule="exact"/>
              <w:ind w:left="120"/>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2"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61. 需手术切除</w:t>
            </w:r>
          </w:p>
        </w:tc>
        <w:tc>
          <w:tcPr>
            <w:tcW w:w="7431" w:type="dxa"/>
          </w:tcPr>
          <w:p>
            <w:pPr>
              <w:pStyle w:val="TableParagraph"/>
              <w:spacing w:line="272" w:lineRule="exact"/>
              <w:ind w:left="120"/>
              <w:rPr>
                <w:sz w:val="21"/>
              </w:rPr>
            </w:pPr>
            <w:r>
              <w:rPr>
                <w:sz w:val="21"/>
              </w:rPr>
              <w:t>是指肾上腺或嗜铬外组织出现神经内分泌肿瘤，并分泌过多的儿茶酚胺类，需</w:t>
            </w:r>
          </w:p>
        </w:tc>
      </w:tr>
      <w:tr>
        <w:trPr>
          <w:trHeight w:val="382" w:hRule="atLeast"/>
        </w:trPr>
        <w:tc>
          <w:tcPr>
            <w:tcW w:w="457" w:type="dxa"/>
          </w:tcPr>
          <w:p>
            <w:pPr>
              <w:pStyle w:val="TableParagraph"/>
              <w:rPr>
                <w:rFonts w:ascii="Times New Roman"/>
                <w:sz w:val="20"/>
              </w:rPr>
            </w:pPr>
          </w:p>
        </w:tc>
        <w:tc>
          <w:tcPr>
            <w:tcW w:w="1882" w:type="dxa"/>
          </w:tcPr>
          <w:p>
            <w:pPr>
              <w:pStyle w:val="TableParagraph"/>
              <w:spacing w:line="325" w:lineRule="exact"/>
              <w:ind w:left="302"/>
              <w:rPr>
                <w:b/>
                <w:sz w:val="21"/>
              </w:rPr>
            </w:pPr>
            <w:r>
              <w:rPr>
                <w:rFonts w:ascii="Microsoft JhengHei" w:eastAsia="Microsoft JhengHei" w:hint="eastAsia"/>
                <w:b/>
                <w:sz w:val="21"/>
              </w:rPr>
              <w:t>的嗜铬细胞瘤</w:t>
            </w:r>
            <w:r>
              <w:rPr>
                <w:b/>
                <w:w w:val="99"/>
                <w:sz w:val="21"/>
              </w:rPr>
              <w:t> </w:t>
            </w:r>
          </w:p>
        </w:tc>
        <w:tc>
          <w:tcPr>
            <w:tcW w:w="7431" w:type="dxa"/>
          </w:tcPr>
          <w:p>
            <w:pPr>
              <w:pStyle w:val="TableParagraph"/>
              <w:spacing w:line="248" w:lineRule="exact"/>
              <w:ind w:left="120"/>
              <w:rPr>
                <w:sz w:val="21"/>
              </w:rPr>
            </w:pPr>
            <w:r>
              <w:rPr>
                <w:spacing w:val="-7"/>
                <w:sz w:val="21"/>
              </w:rPr>
              <w:t>要并实际进行了手术切除肿瘤。嗜铬细胞瘤的诊断必须由内分泌专科医生确定。</w:t>
            </w:r>
          </w:p>
        </w:tc>
      </w:tr>
      <w:tr>
        <w:trPr>
          <w:trHeight w:val="357" w:hRule="atLeast"/>
        </w:trPr>
        <w:tc>
          <w:tcPr>
            <w:tcW w:w="457" w:type="dxa"/>
          </w:tcPr>
          <w:p>
            <w:pPr>
              <w:pStyle w:val="TableParagraph"/>
              <w:spacing w:before="20"/>
              <w:ind w:left="50"/>
              <w:rPr>
                <w:b/>
                <w:sz w:val="21"/>
              </w:rPr>
            </w:pPr>
            <w:r>
              <w:rPr>
                <w:b/>
                <w:w w:val="99"/>
                <w:sz w:val="21"/>
              </w:rPr>
              <w:t> </w:t>
            </w:r>
          </w:p>
        </w:tc>
        <w:tc>
          <w:tcPr>
            <w:tcW w:w="1882" w:type="dxa"/>
          </w:tcPr>
          <w:p>
            <w:pPr>
              <w:pStyle w:val="TableParagraph"/>
              <w:rPr>
                <w:rFonts w:ascii="Times New Roman"/>
                <w:sz w:val="20"/>
              </w:rPr>
            </w:pPr>
          </w:p>
        </w:tc>
        <w:tc>
          <w:tcPr>
            <w:tcW w:w="7431" w:type="dxa"/>
          </w:tcPr>
          <w:p>
            <w:pPr>
              <w:pStyle w:val="TableParagraph"/>
              <w:spacing w:line="271" w:lineRule="exact"/>
              <w:ind w:left="120"/>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2"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62. 进行性核上</w:t>
            </w:r>
          </w:p>
        </w:tc>
        <w:tc>
          <w:tcPr>
            <w:tcW w:w="7431" w:type="dxa"/>
          </w:tcPr>
          <w:p>
            <w:pPr>
              <w:pStyle w:val="TableParagraph"/>
              <w:spacing w:line="272" w:lineRule="exact"/>
              <w:ind w:left="120"/>
              <w:rPr>
                <w:sz w:val="21"/>
              </w:rPr>
            </w:pPr>
            <w:r>
              <w:rPr>
                <w:spacing w:val="-4"/>
                <w:sz w:val="21"/>
              </w:rPr>
              <w:t>进行性核上性麻痹</w:t>
            </w:r>
            <w:r>
              <w:rPr>
                <w:spacing w:val="-7"/>
                <w:sz w:val="21"/>
              </w:rPr>
              <w:t>（PSP）</w:t>
            </w:r>
            <w:r>
              <w:rPr>
                <w:spacing w:val="-24"/>
                <w:sz w:val="21"/>
              </w:rPr>
              <w:t>又称 </w:t>
            </w:r>
            <w:r>
              <w:rPr>
                <w:sz w:val="21"/>
              </w:rPr>
              <w:t>Steele-Rchardson—Olszewski</w:t>
            </w:r>
            <w:r>
              <w:rPr>
                <w:spacing w:val="-14"/>
                <w:sz w:val="21"/>
              </w:rPr>
              <w:t> 综合征，是一种</w:t>
            </w:r>
          </w:p>
        </w:tc>
      </w:tr>
      <w:tr>
        <w:trPr>
          <w:trHeight w:val="391" w:hRule="atLeast"/>
        </w:trPr>
        <w:tc>
          <w:tcPr>
            <w:tcW w:w="457" w:type="dxa"/>
          </w:tcPr>
          <w:p>
            <w:pPr>
              <w:pStyle w:val="TableParagraph"/>
              <w:rPr>
                <w:rFonts w:ascii="Times New Roman"/>
                <w:sz w:val="20"/>
              </w:rPr>
            </w:pPr>
          </w:p>
        </w:tc>
        <w:tc>
          <w:tcPr>
            <w:tcW w:w="1882"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w w:val="90"/>
                <w:sz w:val="21"/>
              </w:rPr>
              <w:t>性麻痹(Steele-</w:t>
            </w:r>
          </w:p>
        </w:tc>
        <w:tc>
          <w:tcPr>
            <w:tcW w:w="7431" w:type="dxa"/>
          </w:tcPr>
          <w:p>
            <w:pPr>
              <w:pStyle w:val="TableParagraph"/>
              <w:spacing w:line="248" w:lineRule="exact"/>
              <w:ind w:left="120"/>
              <w:rPr>
                <w:sz w:val="21"/>
              </w:rPr>
            </w:pPr>
            <w:r>
              <w:rPr>
                <w:sz w:val="21"/>
              </w:rPr>
              <w:t>少见的神经系统变性疾病，以假球麻痹、垂直性核上性眼肌麻痹、锥体外系肌</w:t>
            </w:r>
          </w:p>
        </w:tc>
      </w:tr>
      <w:tr>
        <w:trPr>
          <w:trHeight w:val="480" w:hRule="atLeast"/>
        </w:trPr>
        <w:tc>
          <w:tcPr>
            <w:tcW w:w="457" w:type="dxa"/>
          </w:tcPr>
          <w:p>
            <w:pPr>
              <w:pStyle w:val="TableParagraph"/>
              <w:rPr>
                <w:rFonts w:ascii="Times New Roman"/>
                <w:sz w:val="20"/>
              </w:rPr>
            </w:pPr>
          </w:p>
        </w:tc>
        <w:tc>
          <w:tcPr>
            <w:tcW w:w="1882" w:type="dxa"/>
          </w:tcPr>
          <w:p>
            <w:pPr>
              <w:pStyle w:val="TableParagraph"/>
              <w:spacing w:line="292" w:lineRule="exact"/>
              <w:ind w:left="302"/>
              <w:rPr>
                <w:rFonts w:ascii="Microsoft JhengHei"/>
                <w:b/>
                <w:sz w:val="21"/>
              </w:rPr>
            </w:pPr>
            <w:r>
              <w:rPr>
                <w:rFonts w:ascii="Microsoft JhengHei"/>
                <w:b/>
                <w:w w:val="95"/>
                <w:sz w:val="21"/>
              </w:rPr>
              <w:t>Rchardson-</w:t>
            </w:r>
          </w:p>
        </w:tc>
        <w:tc>
          <w:tcPr>
            <w:tcW w:w="7431" w:type="dxa"/>
          </w:tcPr>
          <w:p>
            <w:pPr>
              <w:pStyle w:val="TableParagraph"/>
              <w:spacing w:line="169" w:lineRule="exact"/>
              <w:ind w:left="120"/>
              <w:rPr>
                <w:sz w:val="21"/>
              </w:rPr>
            </w:pPr>
            <w:r>
              <w:rPr>
                <w:sz w:val="21"/>
              </w:rPr>
              <w:t>僵直、步态共济失调和轻度痴呆为主要临床特征。PSP 必须由三级甲等医院的</w:t>
            </w:r>
          </w:p>
          <w:p>
            <w:pPr>
              <w:pStyle w:val="TableParagraph"/>
              <w:spacing w:line="255" w:lineRule="exact" w:before="37"/>
              <w:ind w:left="120"/>
              <w:rPr>
                <w:sz w:val="21"/>
              </w:rPr>
            </w:pPr>
            <w:r>
              <w:rPr>
                <w:sz w:val="21"/>
              </w:rPr>
              <w:t>神经内科专科医生确诊，并且被保险人自主生活能力完全丧失，无法独立完成</w:t>
            </w:r>
          </w:p>
        </w:tc>
      </w:tr>
    </w:tbl>
    <w:p>
      <w:pPr>
        <w:spacing w:after="0" w:line="255" w:lineRule="exact"/>
        <w:rPr>
          <w:sz w:val="21"/>
        </w:rPr>
        <w:sectPr>
          <w:pgSz w:w="11910" w:h="16840"/>
          <w:pgMar w:header="501" w:footer="998" w:top="700" w:bottom="1180" w:left="1020" w:right="840"/>
        </w:sectPr>
      </w:pPr>
    </w:p>
    <w:p>
      <w:pPr>
        <w:pStyle w:val="BodyText"/>
        <w:rPr>
          <w:sz w:val="20"/>
        </w:rPr>
      </w:pPr>
    </w:p>
    <w:p>
      <w:pPr>
        <w:pStyle w:val="BodyText"/>
        <w:rPr>
          <w:sz w:val="20"/>
        </w:rPr>
      </w:pPr>
    </w:p>
    <w:p>
      <w:pPr>
        <w:pStyle w:val="BodyText"/>
        <w:spacing w:before="7" w:after="1"/>
        <w:rPr>
          <w:sz w:val="18"/>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94"/>
        <w:gridCol w:w="7312"/>
      </w:tblGrid>
      <w:tr>
        <w:trPr>
          <w:trHeight w:val="300" w:hRule="atLeast"/>
        </w:trPr>
        <w:tc>
          <w:tcPr>
            <w:tcW w:w="457" w:type="dxa"/>
          </w:tcPr>
          <w:p>
            <w:pPr>
              <w:pStyle w:val="TableParagraph"/>
              <w:rPr>
                <w:rFonts w:ascii="Times New Roman"/>
                <w:sz w:val="20"/>
              </w:rPr>
            </w:pPr>
          </w:p>
        </w:tc>
        <w:tc>
          <w:tcPr>
            <w:tcW w:w="1894" w:type="dxa"/>
          </w:tcPr>
          <w:p>
            <w:pPr>
              <w:pStyle w:val="TableParagraph"/>
              <w:spacing w:line="240" w:lineRule="exact"/>
              <w:ind w:left="302"/>
              <w:rPr>
                <w:rFonts w:ascii="Microsoft JhengHei" w:eastAsia="Microsoft JhengHei" w:hint="eastAsia"/>
                <w:b/>
                <w:sz w:val="21"/>
              </w:rPr>
            </w:pPr>
            <w:r>
              <w:rPr>
                <w:rFonts w:ascii="Microsoft JhengHei" w:eastAsia="Microsoft JhengHei" w:hint="eastAsia"/>
                <w:b/>
                <w:w w:val="95"/>
                <w:sz w:val="21"/>
              </w:rPr>
              <w:t>Olszewski 综合</w:t>
            </w:r>
          </w:p>
        </w:tc>
        <w:tc>
          <w:tcPr>
            <w:tcW w:w="7312" w:type="dxa"/>
          </w:tcPr>
          <w:p>
            <w:pPr>
              <w:pStyle w:val="TableParagraph"/>
              <w:spacing w:line="210" w:lineRule="exact"/>
              <w:ind w:left="108"/>
              <w:rPr>
                <w:sz w:val="21"/>
              </w:rPr>
            </w:pPr>
            <w:r>
              <w:rPr>
                <w:sz w:val="21"/>
              </w:rPr>
              <w:t>六项基本日常生活活动中的三项或三项以上。 </w:t>
            </w:r>
          </w:p>
        </w:tc>
      </w:tr>
      <w:tr>
        <w:trPr>
          <w:trHeight w:val="355" w:hRule="atLeast"/>
        </w:trPr>
        <w:tc>
          <w:tcPr>
            <w:tcW w:w="457" w:type="dxa"/>
          </w:tcPr>
          <w:p>
            <w:pPr>
              <w:pStyle w:val="TableParagraph"/>
              <w:rPr>
                <w:rFonts w:ascii="Times New Roman"/>
                <w:sz w:val="20"/>
              </w:rPr>
            </w:pPr>
          </w:p>
        </w:tc>
        <w:tc>
          <w:tcPr>
            <w:tcW w:w="1894" w:type="dxa"/>
          </w:tcPr>
          <w:p>
            <w:pPr>
              <w:pStyle w:val="TableParagraph"/>
              <w:spacing w:line="298" w:lineRule="exact"/>
              <w:ind w:left="302"/>
              <w:rPr>
                <w:b/>
                <w:sz w:val="21"/>
              </w:rPr>
            </w:pPr>
            <w:r>
              <w:rPr>
                <w:rFonts w:ascii="Microsoft JhengHei" w:eastAsia="Microsoft JhengHei" w:hint="eastAsia"/>
                <w:b/>
                <w:sz w:val="21"/>
              </w:rPr>
              <w:t>征)</w:t>
            </w:r>
            <w:r>
              <w:rPr>
                <w:b/>
                <w:w w:val="99"/>
                <w:sz w:val="21"/>
              </w:rPr>
              <w:t> </w:t>
            </w:r>
          </w:p>
        </w:tc>
        <w:tc>
          <w:tcPr>
            <w:tcW w:w="7312" w:type="dxa"/>
          </w:tcPr>
          <w:p>
            <w:pPr>
              <w:pStyle w:val="TableParagraph"/>
              <w:rPr>
                <w:rFonts w:ascii="Times New Roman"/>
                <w:sz w:val="20"/>
              </w:rPr>
            </w:pPr>
          </w:p>
        </w:tc>
      </w:tr>
      <w:tr>
        <w:trPr>
          <w:trHeight w:val="357" w:hRule="atLeast"/>
        </w:trPr>
        <w:tc>
          <w:tcPr>
            <w:tcW w:w="457" w:type="dxa"/>
          </w:tcPr>
          <w:p>
            <w:pPr>
              <w:pStyle w:val="TableParagraph"/>
              <w:spacing w:before="20"/>
              <w:ind w:left="50"/>
              <w:rPr>
                <w:b/>
                <w:sz w:val="21"/>
              </w:rPr>
            </w:pPr>
            <w:r>
              <w:rPr>
                <w:b/>
                <w:w w:val="99"/>
                <w:sz w:val="21"/>
              </w:rPr>
              <w:t> </w:t>
            </w:r>
          </w:p>
        </w:tc>
        <w:tc>
          <w:tcPr>
            <w:tcW w:w="1894" w:type="dxa"/>
          </w:tcPr>
          <w:p>
            <w:pPr>
              <w:pStyle w:val="TableParagraph"/>
              <w:rPr>
                <w:rFonts w:ascii="Times New Roman"/>
                <w:sz w:val="20"/>
              </w:rPr>
            </w:pPr>
          </w:p>
        </w:tc>
        <w:tc>
          <w:tcPr>
            <w:tcW w:w="7312" w:type="dxa"/>
          </w:tcPr>
          <w:p>
            <w:pPr>
              <w:pStyle w:val="TableParagraph"/>
              <w:spacing w:line="271" w:lineRule="exact"/>
              <w:ind w:left="10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9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63. 原发性骨髓</w:t>
            </w:r>
          </w:p>
        </w:tc>
        <w:tc>
          <w:tcPr>
            <w:tcW w:w="7312" w:type="dxa"/>
          </w:tcPr>
          <w:p>
            <w:pPr>
              <w:pStyle w:val="TableParagraph"/>
              <w:spacing w:line="272" w:lineRule="exact"/>
              <w:ind w:left="108"/>
              <w:rPr>
                <w:sz w:val="21"/>
              </w:rPr>
            </w:pPr>
            <w:r>
              <w:rPr>
                <w:sz w:val="21"/>
              </w:rPr>
              <w:t>原发性骨髓纤维化为原因不明的骨髓中成纤维细胞增殖，伴有髓外造血，表现</w:t>
            </w:r>
          </w:p>
        </w:tc>
      </w:tr>
      <w:tr>
        <w:trPr>
          <w:trHeight w:val="610" w:hRule="atLeast"/>
        </w:trPr>
        <w:tc>
          <w:tcPr>
            <w:tcW w:w="457" w:type="dxa"/>
          </w:tcPr>
          <w:p>
            <w:pPr>
              <w:pStyle w:val="TableParagraph"/>
              <w:rPr>
                <w:rFonts w:ascii="Times New Roman"/>
                <w:sz w:val="20"/>
              </w:rPr>
            </w:pPr>
          </w:p>
        </w:tc>
        <w:tc>
          <w:tcPr>
            <w:tcW w:w="1894" w:type="dxa"/>
          </w:tcPr>
          <w:p>
            <w:pPr>
              <w:pStyle w:val="TableParagraph"/>
              <w:spacing w:line="325" w:lineRule="exact"/>
              <w:ind w:left="302"/>
              <w:rPr>
                <w:b/>
                <w:sz w:val="21"/>
              </w:rPr>
            </w:pPr>
            <w:r>
              <w:rPr>
                <w:rFonts w:ascii="Microsoft JhengHei" w:eastAsia="Microsoft JhengHei" w:hint="eastAsia"/>
                <w:b/>
                <w:sz w:val="21"/>
              </w:rPr>
              <w:t>纤维化</w:t>
            </w:r>
            <w:r>
              <w:rPr>
                <w:b/>
                <w:w w:val="99"/>
                <w:sz w:val="21"/>
              </w:rPr>
              <w:t> </w:t>
            </w:r>
          </w:p>
        </w:tc>
        <w:tc>
          <w:tcPr>
            <w:tcW w:w="7312" w:type="dxa"/>
          </w:tcPr>
          <w:p>
            <w:pPr>
              <w:pStyle w:val="TableParagraph"/>
              <w:spacing w:line="248" w:lineRule="exact"/>
              <w:ind w:left="108"/>
              <w:rPr>
                <w:sz w:val="21"/>
              </w:rPr>
            </w:pPr>
            <w:r>
              <w:rPr>
                <w:sz w:val="21"/>
              </w:rPr>
              <w:t>为进行性贫血、脾肿大等症状。本疾病须根据骨髓的活组织检查和周围血象检</w:t>
            </w:r>
          </w:p>
          <w:p>
            <w:pPr>
              <w:pStyle w:val="TableParagraph"/>
              <w:spacing w:before="37"/>
              <w:ind w:left="108"/>
              <w:rPr>
                <w:sz w:val="21"/>
              </w:rPr>
            </w:pPr>
            <w:r>
              <w:rPr>
                <w:sz w:val="21"/>
              </w:rPr>
              <w:t>查必须由血液科专科医生明确诊断，并至少符合下列条件中的三项，且符合条</w:t>
            </w:r>
          </w:p>
        </w:tc>
      </w:tr>
      <w:tr>
        <w:trPr>
          <w:trHeight w:val="311"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61" w:lineRule="exact"/>
              <w:ind w:left="108"/>
              <w:rPr>
                <w:sz w:val="21"/>
              </w:rPr>
            </w:pPr>
            <w:r>
              <w:rPr>
                <w:sz w:val="21"/>
              </w:rPr>
              <w:t>件的状态持续180天及以上，并已经实际实施了针对此症的治疗： </w:t>
            </w:r>
          </w:p>
        </w:tc>
      </w:tr>
      <w:tr>
        <w:trPr>
          <w:trHeight w:val="299"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61" w:lineRule="exact"/>
              <w:ind w:left="108"/>
              <w:rPr>
                <w:sz w:val="21"/>
              </w:rPr>
            </w:pPr>
            <w:r>
              <w:rPr>
                <w:sz w:val="21"/>
              </w:rPr>
              <w:t>（1）血红蛋白&lt;100g/L；  </w:t>
            </w:r>
          </w:p>
        </w:tc>
      </w:tr>
      <w:tr>
        <w:trPr>
          <w:trHeight w:val="324"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73" w:lineRule="exact"/>
              <w:ind w:left="108"/>
              <w:rPr>
                <w:sz w:val="21"/>
              </w:rPr>
            </w:pPr>
            <w:r>
              <w:rPr>
                <w:sz w:val="21"/>
              </w:rPr>
              <w:t>（2）白细胞计数&gt;25×10</w:t>
            </w:r>
            <w:r>
              <w:rPr>
                <w:position w:val="11"/>
                <w:sz w:val="11"/>
              </w:rPr>
              <w:t>9</w:t>
            </w:r>
            <w:r>
              <w:rPr>
                <w:sz w:val="21"/>
              </w:rPr>
              <w:t>/L；  </w:t>
            </w:r>
          </w:p>
        </w:tc>
      </w:tr>
      <w:tr>
        <w:trPr>
          <w:trHeight w:val="299"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61" w:lineRule="exact"/>
              <w:ind w:left="108"/>
              <w:rPr>
                <w:sz w:val="21"/>
              </w:rPr>
            </w:pPr>
            <w:r>
              <w:rPr>
                <w:sz w:val="21"/>
              </w:rPr>
              <w:t>（3）外周血原始细胞≥ 1%；  </w:t>
            </w:r>
          </w:p>
        </w:tc>
      </w:tr>
      <w:tr>
        <w:trPr>
          <w:trHeight w:val="319"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73" w:lineRule="exact"/>
              <w:ind w:left="108"/>
              <w:rPr>
                <w:sz w:val="21"/>
              </w:rPr>
            </w:pPr>
            <w:r>
              <w:rPr>
                <w:sz w:val="21"/>
              </w:rPr>
              <w:t>（4）血小板计数&lt;100×10</w:t>
            </w:r>
            <w:r>
              <w:rPr>
                <w:position w:val="11"/>
                <w:sz w:val="11"/>
              </w:rPr>
              <w:t>9</w:t>
            </w:r>
            <w:r>
              <w:rPr>
                <w:sz w:val="21"/>
              </w:rPr>
              <w:t>/L。  </w:t>
            </w:r>
          </w:p>
        </w:tc>
      </w:tr>
      <w:tr>
        <w:trPr>
          <w:trHeight w:val="317"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68" w:lineRule="exact"/>
              <w:ind w:left="108"/>
              <w:rPr>
                <w:sz w:val="21"/>
              </w:rPr>
            </w:pPr>
            <w:r>
              <w:rPr>
                <w:b/>
                <w:i/>
                <w:w w:val="95"/>
                <w:sz w:val="22"/>
              </w:rPr>
              <w:t>任何其它病因导致的继发性骨髓纤维化不在保障范围内。</w:t>
            </w:r>
            <w:r>
              <w:rPr>
                <w:sz w:val="21"/>
              </w:rPr>
              <w:t> </w:t>
            </w:r>
          </w:p>
        </w:tc>
      </w:tr>
      <w:tr>
        <w:trPr>
          <w:trHeight w:val="346" w:hRule="atLeast"/>
        </w:trPr>
        <w:tc>
          <w:tcPr>
            <w:tcW w:w="457" w:type="dxa"/>
          </w:tcPr>
          <w:p>
            <w:pPr>
              <w:pStyle w:val="TableParagraph"/>
              <w:spacing w:before="9"/>
              <w:ind w:left="50"/>
              <w:rPr>
                <w:b/>
                <w:sz w:val="21"/>
              </w:rPr>
            </w:pPr>
            <w:r>
              <w:rPr>
                <w:b/>
                <w:w w:val="99"/>
                <w:sz w:val="21"/>
              </w:rPr>
              <w:t> </w:t>
            </w:r>
          </w:p>
        </w:tc>
        <w:tc>
          <w:tcPr>
            <w:tcW w:w="1894" w:type="dxa"/>
          </w:tcPr>
          <w:p>
            <w:pPr>
              <w:pStyle w:val="TableParagraph"/>
              <w:rPr>
                <w:rFonts w:ascii="Times New Roman"/>
                <w:sz w:val="20"/>
              </w:rPr>
            </w:pPr>
          </w:p>
        </w:tc>
        <w:tc>
          <w:tcPr>
            <w:tcW w:w="7312" w:type="dxa"/>
          </w:tcPr>
          <w:p>
            <w:pPr>
              <w:pStyle w:val="TableParagraph"/>
              <w:spacing w:line="260" w:lineRule="exact"/>
              <w:ind w:left="10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9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64. 严重肠道疾</w:t>
            </w:r>
          </w:p>
        </w:tc>
        <w:tc>
          <w:tcPr>
            <w:tcW w:w="7312" w:type="dxa"/>
          </w:tcPr>
          <w:p>
            <w:pPr>
              <w:pStyle w:val="TableParagraph"/>
              <w:spacing w:line="272" w:lineRule="exact"/>
              <w:ind w:left="108"/>
              <w:rPr>
                <w:sz w:val="21"/>
              </w:rPr>
            </w:pPr>
            <w:r>
              <w:rPr>
                <w:sz w:val="21"/>
              </w:rPr>
              <w:t>严重肠道疾病或外伤导致小肠损害并发症，必须满足以下所有条件：  </w:t>
            </w:r>
          </w:p>
        </w:tc>
      </w:tr>
      <w:tr>
        <w:trPr>
          <w:trHeight w:val="605" w:hRule="atLeast"/>
        </w:trPr>
        <w:tc>
          <w:tcPr>
            <w:tcW w:w="457" w:type="dxa"/>
          </w:tcPr>
          <w:p>
            <w:pPr>
              <w:pStyle w:val="TableParagraph"/>
              <w:rPr>
                <w:rFonts w:ascii="Times New Roman"/>
                <w:sz w:val="20"/>
              </w:rPr>
            </w:pPr>
          </w:p>
        </w:tc>
        <w:tc>
          <w:tcPr>
            <w:tcW w:w="1894" w:type="dxa"/>
          </w:tcPr>
          <w:p>
            <w:pPr>
              <w:pStyle w:val="TableParagraph"/>
              <w:spacing w:line="325" w:lineRule="exact"/>
              <w:ind w:left="302"/>
              <w:rPr>
                <w:b/>
                <w:sz w:val="21"/>
              </w:rPr>
            </w:pPr>
            <w:r>
              <w:rPr>
                <w:rFonts w:ascii="Microsoft JhengHei" w:eastAsia="Microsoft JhengHei" w:hint="eastAsia"/>
                <w:b/>
                <w:sz w:val="21"/>
              </w:rPr>
              <w:t>病并发症</w:t>
            </w:r>
            <w:r>
              <w:rPr>
                <w:b/>
                <w:w w:val="99"/>
                <w:sz w:val="21"/>
              </w:rPr>
              <w:t> </w:t>
            </w:r>
          </w:p>
        </w:tc>
        <w:tc>
          <w:tcPr>
            <w:tcW w:w="7312" w:type="dxa"/>
          </w:tcPr>
          <w:p>
            <w:pPr>
              <w:pStyle w:val="TableParagraph"/>
              <w:spacing w:line="248" w:lineRule="exact"/>
              <w:ind w:left="108"/>
              <w:rPr>
                <w:sz w:val="21"/>
              </w:rPr>
            </w:pPr>
            <w:r>
              <w:rPr>
                <w:sz w:val="21"/>
              </w:rPr>
              <w:t>（1）至少切除了三分之二小肠； </w:t>
            </w:r>
          </w:p>
          <w:p>
            <w:pPr>
              <w:pStyle w:val="TableParagraph"/>
              <w:spacing w:before="37"/>
              <w:ind w:left="108"/>
              <w:rPr>
                <w:sz w:val="21"/>
              </w:rPr>
            </w:pPr>
            <w:r>
              <w:rPr>
                <w:sz w:val="21"/>
              </w:rPr>
              <w:t>（2）完全肠外营养支持 3 个月以上。 </w:t>
            </w:r>
          </w:p>
        </w:tc>
      </w:tr>
      <w:tr>
        <w:trPr>
          <w:trHeight w:val="317" w:hRule="atLeast"/>
        </w:trPr>
        <w:tc>
          <w:tcPr>
            <w:tcW w:w="457" w:type="dxa"/>
          </w:tcPr>
          <w:p>
            <w:pPr>
              <w:pStyle w:val="TableParagraph"/>
              <w:rPr>
                <w:rFonts w:ascii="Times New Roman"/>
                <w:sz w:val="20"/>
              </w:rPr>
            </w:pPr>
          </w:p>
        </w:tc>
        <w:tc>
          <w:tcPr>
            <w:tcW w:w="1894" w:type="dxa"/>
          </w:tcPr>
          <w:p>
            <w:pPr>
              <w:pStyle w:val="TableParagraph"/>
              <w:rPr>
                <w:rFonts w:ascii="Times New Roman"/>
                <w:sz w:val="20"/>
              </w:rPr>
            </w:pPr>
          </w:p>
        </w:tc>
        <w:tc>
          <w:tcPr>
            <w:tcW w:w="7312" w:type="dxa"/>
          </w:tcPr>
          <w:p>
            <w:pPr>
              <w:pStyle w:val="TableParagraph"/>
              <w:spacing w:line="268" w:lineRule="exact"/>
              <w:ind w:left="108"/>
              <w:rPr>
                <w:b/>
                <w:i/>
                <w:sz w:val="22"/>
              </w:rPr>
            </w:pPr>
            <w:r>
              <w:rPr>
                <w:b/>
                <w:i/>
                <w:w w:val="95"/>
                <w:sz w:val="22"/>
              </w:rPr>
              <w:t>本项保险责任仅在被保险人 18 周岁以前提供保障。 </w:t>
            </w:r>
          </w:p>
        </w:tc>
      </w:tr>
      <w:tr>
        <w:trPr>
          <w:trHeight w:val="346" w:hRule="atLeast"/>
        </w:trPr>
        <w:tc>
          <w:tcPr>
            <w:tcW w:w="457" w:type="dxa"/>
          </w:tcPr>
          <w:p>
            <w:pPr>
              <w:pStyle w:val="TableParagraph"/>
              <w:spacing w:before="9"/>
              <w:ind w:left="50"/>
              <w:rPr>
                <w:b/>
                <w:sz w:val="21"/>
              </w:rPr>
            </w:pPr>
            <w:r>
              <w:rPr>
                <w:b/>
                <w:w w:val="99"/>
                <w:sz w:val="21"/>
              </w:rPr>
              <w:t> </w:t>
            </w:r>
          </w:p>
        </w:tc>
        <w:tc>
          <w:tcPr>
            <w:tcW w:w="1894" w:type="dxa"/>
          </w:tcPr>
          <w:p>
            <w:pPr>
              <w:pStyle w:val="TableParagraph"/>
              <w:rPr>
                <w:rFonts w:ascii="Times New Roman"/>
                <w:sz w:val="20"/>
              </w:rPr>
            </w:pPr>
          </w:p>
        </w:tc>
        <w:tc>
          <w:tcPr>
            <w:tcW w:w="7312" w:type="dxa"/>
          </w:tcPr>
          <w:p>
            <w:pPr>
              <w:pStyle w:val="TableParagraph"/>
              <w:spacing w:line="260" w:lineRule="exact"/>
              <w:ind w:left="108"/>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94"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65. 严重瑞氏综</w:t>
            </w:r>
          </w:p>
        </w:tc>
        <w:tc>
          <w:tcPr>
            <w:tcW w:w="7312" w:type="dxa"/>
          </w:tcPr>
          <w:p>
            <w:pPr>
              <w:pStyle w:val="TableParagraph"/>
              <w:spacing w:line="272" w:lineRule="exact"/>
              <w:ind w:left="108"/>
              <w:rPr>
                <w:sz w:val="21"/>
              </w:rPr>
            </w:pPr>
            <w:r>
              <w:rPr>
                <w:sz w:val="21"/>
              </w:rPr>
              <w:t>瑞氏综合征是线粒体功能障碍性疾病。导致脂肪代谢障碍，引起短链脂肪酸、</w:t>
            </w:r>
          </w:p>
        </w:tc>
      </w:tr>
      <w:tr>
        <w:trPr>
          <w:trHeight w:val="320" w:hRule="atLeast"/>
        </w:trPr>
        <w:tc>
          <w:tcPr>
            <w:tcW w:w="457" w:type="dxa"/>
          </w:tcPr>
          <w:p>
            <w:pPr>
              <w:pStyle w:val="TableParagraph"/>
              <w:rPr>
                <w:rFonts w:ascii="Times New Roman"/>
                <w:sz w:val="20"/>
              </w:rPr>
            </w:pPr>
          </w:p>
        </w:tc>
        <w:tc>
          <w:tcPr>
            <w:tcW w:w="1894" w:type="dxa"/>
          </w:tcPr>
          <w:p>
            <w:pPr>
              <w:pStyle w:val="TableParagraph"/>
              <w:spacing w:line="301" w:lineRule="exact"/>
              <w:ind w:left="302"/>
              <w:rPr>
                <w:rFonts w:ascii="Microsoft JhengHei" w:eastAsia="Microsoft JhengHei" w:hint="eastAsia"/>
                <w:b/>
                <w:sz w:val="21"/>
              </w:rPr>
            </w:pPr>
            <w:r>
              <w:rPr>
                <w:rFonts w:ascii="Microsoft JhengHei" w:eastAsia="Microsoft JhengHei" w:hint="eastAsia"/>
                <w:b/>
                <w:w w:val="95"/>
                <w:sz w:val="21"/>
              </w:rPr>
              <w:t>合症（Reye 综合</w:t>
            </w:r>
          </w:p>
        </w:tc>
        <w:tc>
          <w:tcPr>
            <w:tcW w:w="7312" w:type="dxa"/>
          </w:tcPr>
          <w:p>
            <w:pPr>
              <w:pStyle w:val="TableParagraph"/>
              <w:spacing w:line="248" w:lineRule="exact"/>
              <w:ind w:left="108"/>
              <w:rPr>
                <w:sz w:val="21"/>
              </w:rPr>
            </w:pPr>
            <w:r>
              <w:rPr>
                <w:sz w:val="21"/>
              </w:rPr>
              <w:t>血氨升高，造成脑水肿。主要临床表现为急性发热、反复呕吐、惊厥及意识障</w:t>
            </w:r>
          </w:p>
        </w:tc>
      </w:tr>
    </w:tbl>
    <w:p>
      <w:pPr>
        <w:spacing w:after="0" w:line="248" w:lineRule="exact"/>
        <w:rPr>
          <w:sz w:val="21"/>
        </w:rPr>
        <w:sectPr>
          <w:pgSz w:w="11910" w:h="16840"/>
          <w:pgMar w:header="501" w:footer="998" w:top="700" w:bottom="1180" w:left="1020" w:right="940"/>
        </w:sectPr>
      </w:pPr>
    </w:p>
    <w:p>
      <w:pPr>
        <w:pStyle w:val="Heading5"/>
        <w:spacing w:line="235" w:lineRule="auto" w:before="4"/>
        <w:jc w:val="both"/>
      </w:pPr>
      <w:r>
        <w:rPr/>
        <w:pict>
          <v:shape style="position:absolute;margin-left:59.594749pt;margin-top:48.234886pt;width:483.4pt;height:264.8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330"/>
                  </w:tblGrid>
                  <w:tr>
                    <w:trPr>
                      <w:trHeight w:val="572" w:hRule="atLeast"/>
                    </w:trPr>
                    <w:tc>
                      <w:tcPr>
                        <w:tcW w:w="2337" w:type="dxa"/>
                        <w:gridSpan w:val="2"/>
                      </w:tcPr>
                      <w:p>
                        <w:pPr>
                          <w:pStyle w:val="TableParagraph"/>
                          <w:rPr>
                            <w:rFonts w:ascii="Times New Roman"/>
                            <w:sz w:val="20"/>
                          </w:rPr>
                        </w:pPr>
                      </w:p>
                    </w:tc>
                    <w:tc>
                      <w:tcPr>
                        <w:tcW w:w="7330" w:type="dxa"/>
                      </w:tcPr>
                      <w:p>
                        <w:pPr>
                          <w:pStyle w:val="TableParagraph"/>
                          <w:spacing w:line="210" w:lineRule="exact"/>
                          <w:ind w:left="122"/>
                          <w:rPr>
                            <w:sz w:val="21"/>
                          </w:rPr>
                        </w:pPr>
                        <w:r>
                          <w:rPr>
                            <w:sz w:val="21"/>
                          </w:rPr>
                          <w:t>（2）血氨超过正常值的 3 倍； </w:t>
                        </w:r>
                      </w:p>
                      <w:p>
                        <w:pPr>
                          <w:pStyle w:val="TableParagraph"/>
                          <w:spacing w:before="37"/>
                          <w:ind w:left="122"/>
                          <w:rPr>
                            <w:sz w:val="21"/>
                          </w:rPr>
                        </w:pPr>
                        <w:r>
                          <w:rPr>
                            <w:sz w:val="21"/>
                          </w:rPr>
                          <w:t>（3）临床出现昏迷，病程至少达到疾病分期第 3 期。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330" w:type="dxa"/>
                      </w:tcPr>
                      <w:p>
                        <w:pPr>
                          <w:pStyle w:val="TableParagraph"/>
                          <w:spacing w:line="261"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66. 严重自身免</w:t>
                        </w:r>
                      </w:p>
                    </w:tc>
                    <w:tc>
                      <w:tcPr>
                        <w:tcW w:w="7330" w:type="dxa"/>
                      </w:tcPr>
                      <w:p>
                        <w:pPr>
                          <w:pStyle w:val="TableParagraph"/>
                          <w:spacing w:line="272" w:lineRule="exact"/>
                          <w:ind w:left="122"/>
                          <w:rPr>
                            <w:sz w:val="21"/>
                          </w:rPr>
                        </w:pPr>
                        <w:r>
                          <w:rPr>
                            <w:sz w:val="21"/>
                          </w:rPr>
                          <w:t>自身免疫性肝炎是一种原因不明的慢性肝脏的坏死性炎性疾病，机体免疫机制</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疫性肝炎</w:t>
                        </w:r>
                        <w:r>
                          <w:rPr>
                            <w:b/>
                            <w:w w:val="99"/>
                            <w:sz w:val="21"/>
                          </w:rPr>
                          <w:t> </w:t>
                        </w:r>
                      </w:p>
                    </w:tc>
                    <w:tc>
                      <w:tcPr>
                        <w:tcW w:w="7330" w:type="dxa"/>
                      </w:tcPr>
                      <w:p>
                        <w:pPr>
                          <w:pStyle w:val="TableParagraph"/>
                          <w:spacing w:line="248" w:lineRule="exact"/>
                          <w:ind w:left="122"/>
                          <w:rPr>
                            <w:sz w:val="21"/>
                          </w:rPr>
                        </w:pPr>
                        <w:r>
                          <w:rPr>
                            <w:sz w:val="21"/>
                          </w:rPr>
                          <w:t>被破坏，产生针对肝脏自身抗原的抗体导致自身免疫反应，从而破坏肝细胞造</w:t>
                        </w:r>
                      </w:p>
                      <w:p>
                        <w:pPr>
                          <w:pStyle w:val="TableParagraph"/>
                          <w:spacing w:before="37"/>
                          <w:ind w:left="122"/>
                          <w:rPr>
                            <w:sz w:val="21"/>
                          </w:rPr>
                        </w:pPr>
                        <w:r>
                          <w:rPr>
                            <w:sz w:val="21"/>
                          </w:rPr>
                          <w:t>成肝脏炎症坏死，进而发展为肝硬化。必须满足所有以下条件：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30" w:type="dxa"/>
                      </w:tcPr>
                      <w:p>
                        <w:pPr>
                          <w:pStyle w:val="TableParagraph"/>
                          <w:spacing w:line="261" w:lineRule="exact"/>
                          <w:ind w:left="122"/>
                          <w:rPr>
                            <w:sz w:val="21"/>
                          </w:rPr>
                        </w:pPr>
                        <w:r>
                          <w:rPr>
                            <w:sz w:val="21"/>
                          </w:rPr>
                          <w:t>（1）高γ球蛋白血症；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330" w:type="dxa"/>
                      </w:tcPr>
                      <w:p>
                        <w:pPr>
                          <w:pStyle w:val="TableParagraph"/>
                          <w:spacing w:line="241" w:lineRule="exact"/>
                          <w:ind w:left="122"/>
                          <w:rPr>
                            <w:sz w:val="21"/>
                          </w:rPr>
                        </w:pPr>
                        <w:r>
                          <w:rPr>
                            <w:spacing w:val="-5"/>
                            <w:sz w:val="21"/>
                          </w:rPr>
                          <w:t>（2）</w:t>
                        </w:r>
                        <w:r>
                          <w:rPr>
                            <w:spacing w:val="-2"/>
                            <w:sz w:val="21"/>
                          </w:rPr>
                          <w:t>血液中存在高水平的自身免疫抗体，如</w:t>
                        </w:r>
                        <w:r>
                          <w:rPr>
                            <w:spacing w:val="-4"/>
                            <w:sz w:val="21"/>
                          </w:rPr>
                          <w:t>ANA（</w:t>
                        </w:r>
                        <w:r>
                          <w:rPr>
                            <w:sz w:val="21"/>
                          </w:rPr>
                          <w:t>抗核抗体</w:t>
                        </w:r>
                        <w:r>
                          <w:rPr>
                            <w:spacing w:val="-15"/>
                            <w:sz w:val="21"/>
                          </w:rPr>
                          <w:t>）</w:t>
                        </w:r>
                        <w:r>
                          <w:rPr>
                            <w:spacing w:val="-16"/>
                            <w:sz w:val="21"/>
                          </w:rPr>
                          <w:t>、</w:t>
                        </w:r>
                        <w:r>
                          <w:rPr>
                            <w:spacing w:val="-4"/>
                            <w:sz w:val="21"/>
                          </w:rPr>
                          <w:t>SMA（</w:t>
                        </w:r>
                        <w:r>
                          <w:rPr>
                            <w:sz w:val="21"/>
                          </w:rPr>
                          <w:t>抗平滑肌</w:t>
                        </w:r>
                      </w:p>
                    </w:tc>
                  </w:tr>
                  <w:tr>
                    <w:trPr>
                      <w:trHeight w:val="362"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30" w:type="dxa"/>
                      </w:tcPr>
                      <w:p>
                        <w:pPr>
                          <w:pStyle w:val="TableParagraph"/>
                          <w:spacing w:before="37"/>
                          <w:ind w:left="648"/>
                          <w:rPr>
                            <w:sz w:val="21"/>
                          </w:rPr>
                        </w:pPr>
                        <w:r>
                          <w:rPr>
                            <w:sz w:val="21"/>
                          </w:rPr>
                          <w:t>抗体）、抗LKM1抗体或抗-SLA/LP抗体；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30" w:type="dxa"/>
                      </w:tcPr>
                      <w:p>
                        <w:pPr>
                          <w:pStyle w:val="TableParagraph"/>
                          <w:spacing w:line="261" w:lineRule="exact"/>
                          <w:ind w:left="122"/>
                          <w:rPr>
                            <w:sz w:val="21"/>
                          </w:rPr>
                        </w:pPr>
                        <w:r>
                          <w:rPr>
                            <w:sz w:val="21"/>
                          </w:rPr>
                          <w:t>（3）肝脏活检证实免疫性肝炎；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30" w:type="dxa"/>
                      </w:tcPr>
                      <w:p>
                        <w:pPr>
                          <w:pStyle w:val="TableParagraph"/>
                          <w:spacing w:line="261" w:lineRule="exact"/>
                          <w:ind w:left="122"/>
                          <w:rPr>
                            <w:sz w:val="21"/>
                          </w:rPr>
                        </w:pPr>
                        <w:r>
                          <w:rPr>
                            <w:sz w:val="21"/>
                          </w:rPr>
                          <w:t>（4）临床已经出现腹水、食道静脉曲张和脾肿大等肝硬化表现。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330" w:type="dxa"/>
                      </w:tcPr>
                      <w:p>
                        <w:pPr>
                          <w:pStyle w:val="TableParagraph"/>
                          <w:spacing w:line="261"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67. 严重慢性缩</w:t>
                        </w:r>
                      </w:p>
                    </w:tc>
                    <w:tc>
                      <w:tcPr>
                        <w:tcW w:w="7330" w:type="dxa"/>
                      </w:tcPr>
                      <w:p>
                        <w:pPr>
                          <w:pStyle w:val="TableParagraph"/>
                          <w:spacing w:line="272" w:lineRule="exact"/>
                          <w:ind w:left="122"/>
                          <w:rPr>
                            <w:sz w:val="21"/>
                          </w:rPr>
                        </w:pPr>
                        <w:r>
                          <w:rPr>
                            <w:sz w:val="21"/>
                          </w:rPr>
                          <w:t>由于慢性心包炎症导致心包脏层和壁层广泛瘢痕粘连、增厚和钙化，心包腔闭</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窄型心包炎</w:t>
                        </w:r>
                        <w:r>
                          <w:rPr>
                            <w:b/>
                            <w:w w:val="99"/>
                            <w:sz w:val="21"/>
                          </w:rPr>
                          <w:t> </w:t>
                        </w:r>
                      </w:p>
                    </w:tc>
                    <w:tc>
                      <w:tcPr>
                        <w:tcW w:w="7330" w:type="dxa"/>
                      </w:tcPr>
                      <w:p>
                        <w:pPr>
                          <w:pStyle w:val="TableParagraph"/>
                          <w:spacing w:line="248" w:lineRule="exact"/>
                          <w:ind w:left="122"/>
                          <w:rPr>
                            <w:sz w:val="21"/>
                          </w:rPr>
                        </w:pPr>
                        <w:r>
                          <w:rPr>
                            <w:sz w:val="21"/>
                          </w:rPr>
                          <w:t>塞，形成一个纤维瘢痕外壳，使心脏和大血管根部受压，阻碍心脏的舒张。  </w:t>
                        </w:r>
                      </w:p>
                      <w:p>
                        <w:pPr>
                          <w:pStyle w:val="TableParagraph"/>
                          <w:spacing w:before="37"/>
                          <w:ind w:left="122"/>
                          <w:rPr>
                            <w:sz w:val="21"/>
                          </w:rPr>
                        </w:pPr>
                        <w:r>
                          <w:rPr>
                            <w:sz w:val="21"/>
                          </w:rPr>
                          <w:t>被保险人被明确诊断为慢性缩窄性心包炎且必须满足以下所有条件：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330" w:type="dxa"/>
                      </w:tcPr>
                      <w:p>
                        <w:pPr>
                          <w:pStyle w:val="TableParagraph"/>
                          <w:spacing w:line="241" w:lineRule="exact"/>
                          <w:ind w:left="122"/>
                          <w:rPr>
                            <w:sz w:val="21"/>
                          </w:rPr>
                        </w:pPr>
                        <w:r>
                          <w:rPr>
                            <w:sz w:val="21"/>
                          </w:rPr>
                          <w:t>（1）心功能衰竭达到美国纽约心脏病学会心功能状态分级IV级，并持续180天</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330" w:type="dxa"/>
                      </w:tcPr>
                      <w:p>
                        <w:pPr>
                          <w:pStyle w:val="TableParagraph"/>
                          <w:spacing w:line="255" w:lineRule="exact" w:before="37"/>
                          <w:ind w:left="648"/>
                          <w:rPr>
                            <w:sz w:val="21"/>
                          </w:rPr>
                        </w:pPr>
                        <w:r>
                          <w:rPr>
                            <w:sz w:val="21"/>
                          </w:rPr>
                          <w:t>以上；  </w:t>
                        </w:r>
                      </w:p>
                    </w:tc>
                  </w:tr>
                </w:tbl>
                <w:p>
                  <w:pPr>
                    <w:pStyle w:val="BodyText"/>
                  </w:pPr>
                </w:p>
              </w:txbxContent>
            </v:textbox>
            <w10:wrap type="none"/>
          </v:shape>
        </w:pict>
      </w:r>
      <w:r>
        <w:rPr>
          <w:rFonts w:ascii="Microsoft JhengHei" w:eastAsia="Microsoft JhengHei" w:hint="eastAsia"/>
        </w:rPr>
        <w:t>征，也称赖氏综合征、雷氏综合征）</w:t>
      </w:r>
      <w:r>
        <w:rPr>
          <w:w w:val="99"/>
        </w:rPr>
        <w:t> </w:t>
      </w:r>
    </w:p>
    <w:p>
      <w:pPr>
        <w:pStyle w:val="BodyText"/>
        <w:spacing w:line="239" w:lineRule="exact"/>
        <w:ind w:left="189"/>
      </w:pPr>
      <w:r>
        <w:rPr/>
        <w:br w:type="column"/>
      </w:r>
      <w:r>
        <w:rPr/>
        <w:t>碍等等。 </w:t>
      </w:r>
    </w:p>
    <w:p>
      <w:pPr>
        <w:pStyle w:val="BodyText"/>
        <w:spacing w:before="37"/>
        <w:ind w:left="189"/>
      </w:pPr>
      <w:r>
        <w:rPr/>
        <w:t>瑞氏综合征需由三级医院的儿科专科医生确诊，并符合下列所有条件： </w:t>
      </w:r>
    </w:p>
    <w:p>
      <w:pPr>
        <w:pStyle w:val="BodyText"/>
        <w:spacing w:before="37"/>
        <w:ind w:left="189"/>
      </w:pPr>
      <w:r>
        <w:rPr/>
        <w:t>（1）有脑水肿和颅内压升高的脑脊液检查和影像学检查证据； </w:t>
      </w:r>
    </w:p>
    <w:p>
      <w:pPr>
        <w:spacing w:after="0"/>
        <w:sectPr>
          <w:type w:val="continuous"/>
          <w:pgSz w:w="11910" w:h="16840"/>
          <w:pgMar w:top="700" w:bottom="280" w:left="1020" w:right="940"/>
          <w:cols w:num="2" w:equalWidth="0">
            <w:col w:w="2403" w:space="40"/>
            <w:col w:w="750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15"/>
        </w:rPr>
      </w:pPr>
    </w:p>
    <w:p>
      <w:pPr>
        <w:pStyle w:val="BodyText"/>
        <w:spacing w:line="273" w:lineRule="auto" w:before="35"/>
        <w:ind w:left="3157" w:right="156" w:hanging="526"/>
      </w:pPr>
      <w:r>
        <w:rPr>
          <w:spacing w:val="-15"/>
        </w:rPr>
        <w:t>（2）</w:t>
      </w:r>
      <w:r>
        <w:rPr>
          <w:spacing w:val="-2"/>
        </w:rPr>
        <w:t>实际接受了以下任何一种手术路径的心包剥脱或心包切除手术；胸骨正中</w:t>
      </w:r>
      <w:r>
        <w:rPr>
          <w:spacing w:val="-1"/>
        </w:rPr>
        <w:t>切口；双侧前胸切口；左前胸肋间切口。  </w:t>
      </w:r>
    </w:p>
    <w:p>
      <w:pPr>
        <w:pStyle w:val="Heading3"/>
        <w:spacing w:line="284" w:lineRule="exact" w:before="0"/>
      </w:pPr>
      <w:r>
        <w:rPr>
          <w:w w:val="95"/>
        </w:rPr>
        <w:t>经胸腔镜、胸壁打孔进行的手术、心包粘连松解手术不在保障范围内。</w:t>
      </w:r>
      <w:r>
        <w:rPr/>
        <w:t> </w:t>
      </w:r>
      <w:r>
        <w:rPr>
          <w:w w:val="94"/>
        </w:rPr>
        <w:t> </w:t>
      </w:r>
    </w:p>
    <w:p>
      <w:pPr>
        <w:spacing w:after="0" w:line="284" w:lineRule="exact"/>
        <w:sectPr>
          <w:type w:val="continuous"/>
          <w:pgSz w:w="11910" w:h="16840"/>
          <w:pgMar w:top="700" w:bottom="280" w:left="1020" w:right="940"/>
        </w:sectPr>
      </w:pPr>
    </w:p>
    <w:p>
      <w:pPr>
        <w:pStyle w:val="BodyText"/>
        <w:rPr>
          <w:b/>
          <w:i/>
          <w:sz w:val="20"/>
        </w:rPr>
      </w:pPr>
    </w:p>
    <w:p>
      <w:pPr>
        <w:pStyle w:val="BodyText"/>
        <w:rPr>
          <w:b/>
          <w:i/>
          <w:sz w:val="20"/>
        </w:rPr>
      </w:pPr>
    </w:p>
    <w:p>
      <w:pPr>
        <w:pStyle w:val="BodyText"/>
        <w:spacing w:before="7" w:after="1"/>
        <w:rPr>
          <w:b/>
          <w:i/>
          <w:sz w:val="18"/>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327"/>
      </w:tblGrid>
      <w:tr>
        <w:trPr>
          <w:trHeight w:val="296" w:hRule="atLeast"/>
        </w:trPr>
        <w:tc>
          <w:tcPr>
            <w:tcW w:w="457" w:type="dxa"/>
          </w:tcPr>
          <w:p>
            <w:pPr>
              <w:pStyle w:val="TableParagraph"/>
              <w:spacing w:line="234" w:lineRule="exact"/>
              <w:ind w:left="50"/>
              <w:rPr>
                <w:b/>
                <w:sz w:val="21"/>
              </w:rPr>
            </w:pPr>
            <w:r>
              <w:rPr>
                <w:b/>
                <w:w w:val="99"/>
                <w:sz w:val="21"/>
              </w:rPr>
              <w:t> </w:t>
            </w:r>
          </w:p>
        </w:tc>
        <w:tc>
          <w:tcPr>
            <w:tcW w:w="1880" w:type="dxa"/>
          </w:tcPr>
          <w:p>
            <w:pPr>
              <w:pStyle w:val="TableParagraph"/>
              <w:rPr>
                <w:rFonts w:ascii="Times New Roman"/>
                <w:sz w:val="20"/>
              </w:rPr>
            </w:pPr>
          </w:p>
        </w:tc>
        <w:tc>
          <w:tcPr>
            <w:tcW w:w="7327" w:type="dxa"/>
          </w:tcPr>
          <w:p>
            <w:pPr>
              <w:pStyle w:val="TableParagraph"/>
              <w:spacing w:line="21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68. 坏死性筋膜</w:t>
            </w:r>
          </w:p>
        </w:tc>
        <w:tc>
          <w:tcPr>
            <w:tcW w:w="7327" w:type="dxa"/>
          </w:tcPr>
          <w:p>
            <w:pPr>
              <w:pStyle w:val="TableParagraph"/>
              <w:spacing w:line="272" w:lineRule="exact"/>
              <w:ind w:left="122"/>
              <w:rPr>
                <w:sz w:val="21"/>
              </w:rPr>
            </w:pPr>
            <w:r>
              <w:rPr>
                <w:sz w:val="21"/>
              </w:rPr>
              <w:t>坏死性筋膜炎的诊断须满足下列全部条件：  </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炎</w:t>
            </w:r>
            <w:r>
              <w:rPr>
                <w:b/>
                <w:w w:val="99"/>
                <w:sz w:val="21"/>
              </w:rPr>
              <w:t> </w:t>
            </w:r>
          </w:p>
        </w:tc>
        <w:tc>
          <w:tcPr>
            <w:tcW w:w="7327" w:type="dxa"/>
          </w:tcPr>
          <w:p>
            <w:pPr>
              <w:pStyle w:val="TableParagraph"/>
              <w:spacing w:line="248" w:lineRule="exact"/>
              <w:ind w:left="122"/>
              <w:rPr>
                <w:sz w:val="21"/>
              </w:rPr>
            </w:pPr>
            <w:r>
              <w:rPr>
                <w:sz w:val="21"/>
              </w:rPr>
              <w:t>（1）符合坏死性筋膜炎的一般临床表现；  </w:t>
            </w:r>
          </w:p>
          <w:p>
            <w:pPr>
              <w:pStyle w:val="TableParagraph"/>
              <w:spacing w:before="37"/>
              <w:ind w:left="122"/>
              <w:rPr>
                <w:sz w:val="21"/>
              </w:rPr>
            </w:pPr>
            <w:r>
              <w:rPr>
                <w:sz w:val="21"/>
              </w:rPr>
              <w:t>（2）细菌培养检出致病菌；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327" w:type="dxa"/>
          </w:tcPr>
          <w:p>
            <w:pPr>
              <w:pStyle w:val="TableParagraph"/>
              <w:spacing w:line="241" w:lineRule="exact"/>
              <w:ind w:left="122"/>
              <w:rPr>
                <w:sz w:val="21"/>
              </w:rPr>
            </w:pPr>
            <w:r>
              <w:rPr>
                <w:spacing w:val="-15"/>
                <w:sz w:val="21"/>
              </w:rPr>
              <w:t>（3）</w:t>
            </w:r>
            <w:r>
              <w:rPr>
                <w:spacing w:val="-5"/>
                <w:sz w:val="21"/>
              </w:rPr>
              <w:t>出现广泛性肌肉及软组织坏死，并导致身体受影响部位功能永久不可逆性</w:t>
            </w:r>
          </w:p>
        </w:tc>
      </w:tr>
    </w:tbl>
    <w:p>
      <w:pPr>
        <w:pStyle w:val="BodyText"/>
        <w:spacing w:before="37"/>
        <w:ind w:left="3157"/>
        <w:rPr>
          <w:sz w:val="24"/>
        </w:rPr>
      </w:pPr>
      <w:r>
        <w:rPr/>
        <w:t>丧失。 </w:t>
      </w:r>
      <w:r>
        <w:rPr>
          <w:sz w:val="24"/>
        </w:rPr>
        <w:t> </w:t>
      </w:r>
    </w:p>
    <w:p>
      <w:pPr>
        <w:pStyle w:val="BodyText"/>
        <w:spacing w:before="7"/>
        <w:rPr>
          <w:sz w:val="27"/>
        </w:rPr>
      </w:pPr>
    </w:p>
    <w:p>
      <w:pPr>
        <w:spacing w:after="0"/>
        <w:rPr>
          <w:sz w:val="27"/>
        </w:rPr>
        <w:sectPr>
          <w:pgSz w:w="11910" w:h="16840"/>
          <w:pgMar w:header="501" w:footer="998" w:top="700" w:bottom="1180" w:left="1020" w:right="840"/>
        </w:sectPr>
      </w:pPr>
    </w:p>
    <w:p>
      <w:pPr>
        <w:pStyle w:val="Heading5"/>
        <w:tabs>
          <w:tab w:pos="931" w:val="left" w:leader="none"/>
        </w:tabs>
        <w:spacing w:line="340" w:lineRule="exact" w:before="32"/>
        <w:ind w:hanging="710"/>
      </w:pPr>
      <w:r>
        <w:rPr>
          <w:w w:val="99"/>
        </w:rPr>
        <w:t> </w:t>
      </w:r>
      <w:r>
        <w:rPr/>
        <w:tab/>
      </w:r>
      <w:r>
        <w:rPr>
          <w:rFonts w:ascii="Microsoft JhengHei" w:eastAsia="Microsoft JhengHei" w:hint="eastAsia"/>
          <w:position w:val="2"/>
        </w:rPr>
        <w:t>69.</w:t>
      </w:r>
      <w:r>
        <w:rPr>
          <w:rFonts w:ascii="Microsoft JhengHei" w:eastAsia="Microsoft JhengHei" w:hint="eastAsia"/>
          <w:spacing w:val="5"/>
          <w:position w:val="2"/>
        </w:rPr>
        <w:t> 严重感染性</w:t>
      </w:r>
      <w:r>
        <w:rPr>
          <w:rFonts w:ascii="Microsoft JhengHei" w:eastAsia="Microsoft JhengHei" w:hint="eastAsia"/>
          <w:spacing w:val="5"/>
        </w:rPr>
        <w:t>心内膜炎</w:t>
      </w:r>
      <w:r>
        <w:rPr>
          <w:spacing w:val="5"/>
          <w:w w:val="99"/>
        </w:rPr>
        <w:t> </w:t>
      </w:r>
    </w:p>
    <w:p>
      <w:pPr>
        <w:pStyle w:val="BodyText"/>
        <w:spacing w:before="35"/>
        <w:ind w:left="204"/>
      </w:pPr>
      <w:r>
        <w:rPr/>
        <w:br w:type="column"/>
      </w:r>
      <w:r>
        <w:rPr/>
        <w:t>因感染性病原体造成心脏内膜发炎，并符合下列所有条件： </w:t>
      </w:r>
    </w:p>
    <w:p>
      <w:pPr>
        <w:pStyle w:val="BodyText"/>
        <w:spacing w:before="36"/>
        <w:ind w:left="204"/>
      </w:pPr>
      <w:r>
        <w:rPr/>
        <w:t>（1）血液培养测试结果为阳性，证实存在感染病原体： </w:t>
      </w:r>
    </w:p>
    <w:p>
      <w:pPr>
        <w:pStyle w:val="BodyText"/>
        <w:spacing w:line="273" w:lineRule="auto" w:before="36"/>
        <w:ind w:left="834" w:right="270" w:hanging="210"/>
      </w:pPr>
      <w:r>
        <w:rPr/>
        <w:t>①微生物：在赘生物、栓塞的赘生物或心脏内脓疡经培养或组织检查证实有微生物；或 </w:t>
      </w:r>
    </w:p>
    <w:p>
      <w:pPr>
        <w:pStyle w:val="BodyText"/>
        <w:spacing w:line="273" w:lineRule="auto" w:before="7"/>
        <w:ind w:left="834" w:right="256" w:hanging="210"/>
      </w:pPr>
      <w:r>
        <w:rPr/>
        <w:t>②病理性病灶：组织病理学检查证实赘生物或心脏内脓疡有活动性心内膜炎；或 </w:t>
      </w:r>
    </w:p>
    <w:p>
      <w:pPr>
        <w:pStyle w:val="BodyText"/>
        <w:spacing w:before="7"/>
        <w:ind w:left="624"/>
      </w:pPr>
      <w:r>
        <w:rPr/>
        <w:t>③分别两次血液培养证实有典型的病原体且与心内膜炎吻合；或 </w:t>
      </w:r>
    </w:p>
    <w:p>
      <w:pPr>
        <w:pStyle w:val="BodyText"/>
        <w:spacing w:before="36"/>
        <w:ind w:left="624"/>
      </w:pPr>
      <w:r>
        <w:rPr/>
        <w:t>④持续血液培养证实有病原体阳性反应，且与心内膜炎吻合。 </w:t>
      </w:r>
    </w:p>
    <w:p>
      <w:pPr>
        <w:pStyle w:val="BodyText"/>
        <w:spacing w:line="273" w:lineRule="auto" w:before="36"/>
        <w:ind w:left="730" w:right="255" w:hanging="526"/>
      </w:pPr>
      <w:r>
        <w:rPr>
          <w:spacing w:val="-4"/>
        </w:rPr>
        <w:t>（2）</w:t>
      </w:r>
      <w:r>
        <w:rPr>
          <w:spacing w:val="-1"/>
        </w:rPr>
        <w:t>心内膜炎引起中度心瓣膜闭锁不全</w:t>
      </w:r>
      <w:r>
        <w:rPr/>
        <w:t>（</w:t>
      </w:r>
      <w:r>
        <w:rPr>
          <w:spacing w:val="-10"/>
        </w:rPr>
        <w:t>指返流分数 </w:t>
      </w:r>
      <w:r>
        <w:rPr/>
        <w:t>20%或以上</w:t>
      </w:r>
      <w:r>
        <w:rPr>
          <w:spacing w:val="-12"/>
        </w:rPr>
        <w:t>）</w:t>
      </w:r>
      <w:r>
        <w:rPr/>
        <w:t>或中度心瓣</w:t>
      </w:r>
      <w:r>
        <w:rPr>
          <w:spacing w:val="-1"/>
        </w:rPr>
        <w:t>膜狭窄（</w:t>
      </w:r>
      <w:r>
        <w:rPr>
          <w:spacing w:val="-5"/>
        </w:rPr>
        <w:t>指心瓣膜开口范围小于或等于正常的 </w:t>
      </w:r>
      <w:r>
        <w:rPr>
          <w:spacing w:val="-1"/>
        </w:rPr>
        <w:t>30%</w:t>
      </w:r>
      <w:r>
        <w:rPr>
          <w:spacing w:val="-105"/>
        </w:rPr>
        <w:t>）</w:t>
      </w:r>
      <w:r>
        <w:rPr>
          <w:spacing w:val="-1"/>
        </w:rPr>
        <w:t>；及</w:t>
      </w:r>
      <w:r>
        <w:rPr/>
        <w:t> </w:t>
      </w:r>
    </w:p>
    <w:p>
      <w:pPr>
        <w:pStyle w:val="BodyText"/>
        <w:spacing w:before="7"/>
        <w:ind w:left="204"/>
      </w:pPr>
      <w:r>
        <w:rPr/>
        <w:t>（3）心内膜炎及心瓣膜病损须经心脏专科医生确诊。 </w:t>
      </w:r>
    </w:p>
    <w:p>
      <w:pPr>
        <w:spacing w:after="0"/>
        <w:sectPr>
          <w:type w:val="continuous"/>
          <w:pgSz w:w="11910" w:h="16840"/>
          <w:pgMar w:top="700" w:bottom="280" w:left="1020" w:right="840"/>
          <w:cols w:num="2" w:equalWidth="0">
            <w:col w:w="2387" w:space="40"/>
            <w:col w:w="7623"/>
          </w:cols>
        </w:sectPr>
      </w:pPr>
    </w:p>
    <w:p>
      <w:pPr>
        <w:pStyle w:val="BodyText"/>
        <w:spacing w:before="7"/>
        <w:rPr>
          <w:sz w:val="27"/>
        </w:rPr>
      </w:pPr>
    </w:p>
    <w:p>
      <w:pPr>
        <w:spacing w:after="0"/>
        <w:rPr>
          <w:sz w:val="27"/>
        </w:rPr>
        <w:sectPr>
          <w:type w:val="continuous"/>
          <w:pgSz w:w="11910" w:h="16840"/>
          <w:pgMar w:top="700" w:bottom="280" w:left="1020" w:right="840"/>
        </w:sectPr>
      </w:pPr>
    </w:p>
    <w:p>
      <w:pPr>
        <w:pStyle w:val="Heading5"/>
        <w:tabs>
          <w:tab w:pos="931" w:val="left" w:leader="none"/>
        </w:tabs>
        <w:spacing w:line="340" w:lineRule="exact" w:before="32"/>
        <w:ind w:hanging="710"/>
      </w:pPr>
      <w:r>
        <w:rPr>
          <w:w w:val="99"/>
        </w:rPr>
        <w:t> </w:t>
      </w:r>
      <w:r>
        <w:rPr/>
        <w:tab/>
      </w:r>
      <w:r>
        <w:rPr>
          <w:rFonts w:ascii="Microsoft JhengHei" w:eastAsia="Microsoft JhengHei" w:hint="eastAsia"/>
          <w:position w:val="2"/>
        </w:rPr>
        <w:t>70.</w:t>
      </w:r>
      <w:r>
        <w:rPr>
          <w:rFonts w:ascii="Microsoft JhengHei" w:eastAsia="Microsoft JhengHei" w:hint="eastAsia"/>
          <w:spacing w:val="5"/>
          <w:position w:val="2"/>
        </w:rPr>
        <w:t> 严重的骨髓</w:t>
      </w:r>
      <w:r>
        <w:rPr>
          <w:rFonts w:ascii="Microsoft JhengHei" w:eastAsia="Microsoft JhengHei" w:hint="eastAsia"/>
          <w:spacing w:val="5"/>
        </w:rPr>
        <w:t>增生异常综合征</w:t>
      </w:r>
      <w:r>
        <w:rPr>
          <w:spacing w:val="5"/>
          <w:w w:val="99"/>
        </w:rPr>
        <w:t> </w:t>
      </w:r>
    </w:p>
    <w:p>
      <w:pPr>
        <w:pStyle w:val="BodyText"/>
        <w:spacing w:line="273" w:lineRule="auto" w:before="35"/>
        <w:ind w:left="84" w:right="150"/>
      </w:pPr>
      <w:r>
        <w:rPr/>
        <w:br w:type="column"/>
      </w:r>
      <w:r>
        <w:rPr/>
        <w:t>骨髓增生异常综合征（myelodysplastic syndromes，MDS）是起源于造血干细</w:t>
      </w:r>
      <w:r>
        <w:rPr>
          <w:spacing w:val="-5"/>
        </w:rPr>
        <w:t>胞的一组异质性髓系克隆性疾病，特点是髓系细胞发育异常，表现为无效造血、难治性血细胞减少，本主险合同所指的严重的骨髓异常增生综合征需满足下列所有条件： </w:t>
      </w:r>
    </w:p>
    <w:p>
      <w:pPr>
        <w:pStyle w:val="BodyText"/>
        <w:spacing w:line="273" w:lineRule="auto" w:before="7"/>
        <w:ind w:left="609" w:right="256" w:hanging="526"/>
      </w:pPr>
      <w:r>
        <w:rPr/>
        <w:t>（1</w:t>
      </w:r>
      <w:r>
        <w:rPr>
          <w:spacing w:val="-91"/>
        </w:rPr>
        <w:t>）</w:t>
      </w:r>
      <w:r>
        <w:rPr>
          <w:spacing w:val="-1"/>
        </w:rPr>
        <w:t>由设有专门血液病专科的公立三级甲等医院血液病专科的主治级别以上的医师确诊； </w:t>
      </w:r>
    </w:p>
    <w:p>
      <w:pPr>
        <w:spacing w:after="0" w:line="273" w:lineRule="auto"/>
        <w:sectPr>
          <w:type w:val="continuous"/>
          <w:pgSz w:w="11910" w:h="16840"/>
          <w:pgMar w:top="700" w:bottom="280" w:left="1020" w:right="840"/>
          <w:cols w:num="2" w:equalWidth="0">
            <w:col w:w="2508" w:space="40"/>
            <w:col w:w="7502"/>
          </w:cols>
        </w:sectPr>
      </w:pPr>
    </w:p>
    <w:p>
      <w:pPr>
        <w:pStyle w:val="BodyText"/>
        <w:spacing w:before="6"/>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432"/>
      </w:tblGrid>
      <w:tr>
        <w:trPr>
          <w:trHeight w:val="1197" w:hRule="atLeast"/>
        </w:trPr>
        <w:tc>
          <w:tcPr>
            <w:tcW w:w="2337" w:type="dxa"/>
            <w:gridSpan w:val="2"/>
          </w:tcPr>
          <w:p>
            <w:pPr>
              <w:pStyle w:val="TableParagraph"/>
              <w:rPr>
                <w:rFonts w:ascii="Times New Roman"/>
                <w:sz w:val="20"/>
              </w:rPr>
            </w:pPr>
          </w:p>
        </w:tc>
        <w:tc>
          <w:tcPr>
            <w:tcW w:w="7432" w:type="dxa"/>
          </w:tcPr>
          <w:p>
            <w:pPr>
              <w:pStyle w:val="TableParagraph"/>
              <w:spacing w:line="210" w:lineRule="exact"/>
              <w:ind w:left="122"/>
              <w:rPr>
                <w:sz w:val="21"/>
              </w:rPr>
            </w:pPr>
            <w:r>
              <w:rPr>
                <w:sz w:val="21"/>
              </w:rPr>
              <w:t>（2）骨髓涂片检查同时符合发育异常细胞比例&gt;10%、原始细胞比例&gt;15%； </w:t>
            </w:r>
          </w:p>
          <w:p>
            <w:pPr>
              <w:pStyle w:val="TableParagraph"/>
              <w:spacing w:before="37"/>
              <w:ind w:left="122"/>
              <w:rPr>
                <w:sz w:val="21"/>
              </w:rPr>
            </w:pPr>
            <w:r>
              <w:rPr>
                <w:sz w:val="21"/>
              </w:rPr>
              <w:t>（3）已接受至少累计三十日的化疗或已接受骨髓移植治疗。 </w:t>
            </w:r>
          </w:p>
          <w:p>
            <w:pPr>
              <w:pStyle w:val="TableParagraph"/>
              <w:spacing w:line="259" w:lineRule="auto" w:before="25"/>
              <w:ind w:left="122" w:right="1090"/>
              <w:rPr>
                <w:sz w:val="21"/>
              </w:rPr>
            </w:pPr>
            <w:r>
              <w:rPr>
                <w:b/>
                <w:i/>
                <w:w w:val="95"/>
                <w:sz w:val="22"/>
              </w:rPr>
              <w:t>化疗日数的计算以被保险人实际服用、注射化疗药物的天数为准。疑似病例不在保障范围之内。</w:t>
            </w:r>
            <w:r>
              <w:rPr>
                <w:sz w:val="21"/>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b/>
                <w:sz w:val="21"/>
              </w:rPr>
            </w:pPr>
            <w:r>
              <w:rPr>
                <w:rFonts w:ascii="Microsoft JhengHei" w:eastAsia="Microsoft JhengHei" w:hint="eastAsia"/>
                <w:b/>
                <w:sz w:val="21"/>
              </w:rPr>
              <w:t>71. 严重癫痫</w:t>
            </w:r>
            <w:r>
              <w:rPr>
                <w:b/>
                <w:w w:val="99"/>
                <w:sz w:val="21"/>
              </w:rPr>
              <w:t> </w:t>
            </w:r>
          </w:p>
        </w:tc>
        <w:tc>
          <w:tcPr>
            <w:tcW w:w="7432" w:type="dxa"/>
          </w:tcPr>
          <w:p>
            <w:pPr>
              <w:pStyle w:val="TableParagraph"/>
              <w:spacing w:line="272" w:lineRule="exact"/>
              <w:ind w:left="122"/>
              <w:rPr>
                <w:sz w:val="21"/>
              </w:rPr>
            </w:pPr>
            <w:r>
              <w:rPr>
                <w:sz w:val="21"/>
              </w:rPr>
              <w:t>本病的诊断须由神经科或儿科专科医生根据典型临床症状和脑电图及 MRI、</w:t>
            </w:r>
          </w:p>
        </w:tc>
      </w:tr>
      <w:tr>
        <w:trPr>
          <w:trHeight w:val="298"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48" w:lineRule="exact"/>
              <w:ind w:left="122"/>
              <w:rPr>
                <w:sz w:val="21"/>
              </w:rPr>
            </w:pPr>
            <w:r>
              <w:rPr>
                <w:sz w:val="21"/>
              </w:rPr>
              <w:t>PET、CT 等影相学检查做出。理赔时必须提供 6 个月以上的相关病历记录证明</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被保险人存在经抗癫痫药物治疗无效而反复发作的强直阵挛性发作或癫痫大发</w:t>
            </w:r>
          </w:p>
        </w:tc>
      </w:tr>
      <w:tr>
        <w:trPr>
          <w:trHeight w:val="306"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作，且已行神经外科手术以治疗反复发作的癫痫。 </w:t>
            </w:r>
          </w:p>
        </w:tc>
      </w:tr>
      <w:tr>
        <w:trPr>
          <w:trHeight w:val="317"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8" w:lineRule="exact"/>
              <w:ind w:left="122"/>
              <w:rPr>
                <w:b/>
                <w:i/>
                <w:sz w:val="22"/>
              </w:rPr>
            </w:pPr>
            <w:r>
              <w:rPr>
                <w:b/>
                <w:i/>
                <w:spacing w:val="-4"/>
                <w:w w:val="95"/>
                <w:sz w:val="22"/>
              </w:rPr>
              <w:t>发热性惊厥以及没有全身性发作的失神发作</w:t>
            </w:r>
            <w:r>
              <w:rPr>
                <w:b/>
                <w:i/>
                <w:w w:val="95"/>
                <w:sz w:val="22"/>
              </w:rPr>
              <w:t>（癫痫小发作</w:t>
            </w:r>
            <w:r>
              <w:rPr>
                <w:b/>
                <w:i/>
                <w:spacing w:val="-58"/>
                <w:w w:val="95"/>
                <w:sz w:val="22"/>
              </w:rPr>
              <w:t>）</w:t>
            </w:r>
            <w:r>
              <w:rPr>
                <w:b/>
                <w:i/>
                <w:w w:val="95"/>
                <w:sz w:val="22"/>
              </w:rPr>
              <w:t>不在本保障范围内。</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72. 自体造血干</w:t>
            </w:r>
          </w:p>
        </w:tc>
        <w:tc>
          <w:tcPr>
            <w:tcW w:w="7432" w:type="dxa"/>
          </w:tcPr>
          <w:p>
            <w:pPr>
              <w:pStyle w:val="TableParagraph"/>
              <w:spacing w:line="272" w:lineRule="exact"/>
              <w:ind w:left="122"/>
              <w:rPr>
                <w:sz w:val="21"/>
              </w:rPr>
            </w:pPr>
            <w:r>
              <w:rPr>
                <w:sz w:val="21"/>
              </w:rPr>
              <w:t>指由于患者自身骨髓造血功能异常或为了达到治疗肿瘤的目的，采集患者自己</w:t>
            </w:r>
          </w:p>
        </w:tc>
      </w:tr>
      <w:tr>
        <w:trPr>
          <w:trHeight w:val="605"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细胞移植</w:t>
            </w:r>
            <w:r>
              <w:rPr>
                <w:b/>
                <w:w w:val="99"/>
                <w:sz w:val="21"/>
              </w:rPr>
              <w:t> </w:t>
            </w:r>
          </w:p>
        </w:tc>
        <w:tc>
          <w:tcPr>
            <w:tcW w:w="7432" w:type="dxa"/>
          </w:tcPr>
          <w:p>
            <w:pPr>
              <w:pStyle w:val="TableParagraph"/>
              <w:spacing w:line="248" w:lineRule="exact"/>
              <w:ind w:left="122"/>
              <w:rPr>
                <w:sz w:val="21"/>
              </w:rPr>
            </w:pPr>
            <w:r>
              <w:rPr>
                <w:sz w:val="21"/>
              </w:rPr>
              <w:t>的一部分造血干细胞，分离并深低温保存，再回输给患者使患者的造血功能和</w:t>
            </w:r>
          </w:p>
          <w:p>
            <w:pPr>
              <w:pStyle w:val="TableParagraph"/>
              <w:spacing w:before="37"/>
              <w:ind w:left="122"/>
              <w:rPr>
                <w:sz w:val="21"/>
              </w:rPr>
            </w:pPr>
            <w:r>
              <w:rPr>
                <w:sz w:val="21"/>
              </w:rPr>
              <w:t>免疫功能重新恢复的一种治疗方法。 </w:t>
            </w:r>
          </w:p>
        </w:tc>
      </w:tr>
      <w:tr>
        <w:trPr>
          <w:trHeight w:val="317"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8" w:lineRule="exact"/>
              <w:ind w:left="122"/>
              <w:rPr>
                <w:sz w:val="21"/>
              </w:rPr>
            </w:pPr>
            <w:r>
              <w:rPr>
                <w:b/>
                <w:i/>
                <w:w w:val="95"/>
                <w:sz w:val="22"/>
              </w:rPr>
              <w:t>该治疗须由专科医生认为在临床上是必需的。</w:t>
            </w:r>
            <w:r>
              <w:rPr>
                <w:sz w:val="21"/>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w w:val="105"/>
                <w:sz w:val="21"/>
              </w:rPr>
              <w:t>73. 肺淋巴管ft</w:t>
            </w:r>
          </w:p>
        </w:tc>
        <w:tc>
          <w:tcPr>
            <w:tcW w:w="7432" w:type="dxa"/>
          </w:tcPr>
          <w:p>
            <w:pPr>
              <w:pStyle w:val="TableParagraph"/>
              <w:spacing w:line="272" w:lineRule="exact"/>
              <w:ind w:left="122"/>
              <w:rPr>
                <w:sz w:val="21"/>
              </w:rPr>
            </w:pPr>
            <w:r>
              <w:rPr>
                <w:sz w:val="21"/>
              </w:rPr>
              <w:t>肺淋巴管肌瘤病是一种弥漫性肺部疾病，主要病理改变为肺间质、支气管、血</w:t>
            </w:r>
          </w:p>
        </w:tc>
      </w:tr>
      <w:tr>
        <w:trPr>
          <w:trHeight w:val="320" w:hRule="atLeast"/>
        </w:trPr>
        <w:tc>
          <w:tcPr>
            <w:tcW w:w="457" w:type="dxa"/>
          </w:tcPr>
          <w:p>
            <w:pPr>
              <w:pStyle w:val="TableParagraph"/>
              <w:rPr>
                <w:rFonts w:ascii="Times New Roman"/>
                <w:sz w:val="20"/>
              </w:rPr>
            </w:pPr>
          </w:p>
        </w:tc>
        <w:tc>
          <w:tcPr>
            <w:tcW w:w="1880" w:type="dxa"/>
          </w:tcPr>
          <w:p>
            <w:pPr>
              <w:pStyle w:val="TableParagraph"/>
              <w:spacing w:line="301" w:lineRule="exact"/>
              <w:ind w:left="302"/>
              <w:rPr>
                <w:b/>
                <w:sz w:val="21"/>
              </w:rPr>
            </w:pPr>
            <w:r>
              <w:rPr>
                <w:rFonts w:ascii="Microsoft JhengHei" w:eastAsia="Microsoft JhengHei" w:hint="eastAsia"/>
                <w:b/>
                <w:sz w:val="21"/>
              </w:rPr>
              <w:t>瘤病</w:t>
            </w:r>
            <w:r>
              <w:rPr>
                <w:b/>
                <w:w w:val="99"/>
                <w:sz w:val="21"/>
              </w:rPr>
              <w:t> </w:t>
            </w:r>
          </w:p>
        </w:tc>
        <w:tc>
          <w:tcPr>
            <w:tcW w:w="7432" w:type="dxa"/>
          </w:tcPr>
          <w:p>
            <w:pPr>
              <w:pStyle w:val="TableParagraph"/>
              <w:spacing w:line="248" w:lineRule="exact"/>
              <w:ind w:left="122"/>
              <w:rPr>
                <w:sz w:val="21"/>
              </w:rPr>
            </w:pPr>
            <w:r>
              <w:rPr>
                <w:sz w:val="21"/>
              </w:rPr>
              <w:t>管和淋巴管内出现未成熟的平滑肌异常增生，同时需满足下列条件： </w:t>
            </w:r>
          </w:p>
        </w:tc>
      </w:tr>
    </w:tbl>
    <w:p>
      <w:pPr>
        <w:spacing w:after="0" w:line="248" w:lineRule="exact"/>
        <w:rPr>
          <w:sz w:val="21"/>
        </w:rPr>
        <w:sectPr>
          <w:type w:val="continuous"/>
          <w:pgSz w:w="11910" w:h="16840"/>
          <w:pgMar w:top="700" w:bottom="280" w:left="1020" w:right="840"/>
        </w:sectPr>
      </w:pPr>
    </w:p>
    <w:p>
      <w:pPr>
        <w:pStyle w:val="BodyText"/>
        <w:rPr>
          <w:sz w:val="20"/>
        </w:rPr>
      </w:pPr>
    </w:p>
    <w:p>
      <w:pPr>
        <w:pStyle w:val="BodyText"/>
        <w:rPr>
          <w:sz w:val="20"/>
        </w:rPr>
      </w:pPr>
    </w:p>
    <w:p>
      <w:pPr>
        <w:pStyle w:val="BodyText"/>
        <w:spacing w:before="7" w:after="1"/>
        <w:rPr>
          <w:sz w:val="18"/>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434"/>
      </w:tblGrid>
      <w:tr>
        <w:trPr>
          <w:trHeight w:val="887"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10" w:lineRule="exact"/>
              <w:ind w:left="122"/>
              <w:rPr>
                <w:sz w:val="21"/>
              </w:rPr>
            </w:pPr>
            <w:r>
              <w:rPr>
                <w:sz w:val="21"/>
              </w:rPr>
              <w:t>（1）经组织病理学诊断； </w:t>
            </w:r>
          </w:p>
          <w:p>
            <w:pPr>
              <w:pStyle w:val="TableParagraph"/>
              <w:spacing w:before="37"/>
              <w:ind w:left="122"/>
              <w:rPr>
                <w:sz w:val="21"/>
              </w:rPr>
            </w:pPr>
            <w:r>
              <w:rPr>
                <w:sz w:val="21"/>
              </w:rPr>
              <w:t>（2）CT显示双肺弥漫性囊性改变； </w:t>
            </w:r>
          </w:p>
          <w:p>
            <w:pPr>
              <w:pStyle w:val="TableParagraph"/>
              <w:spacing w:before="37"/>
              <w:ind w:left="122"/>
              <w:rPr>
                <w:sz w:val="24"/>
              </w:rPr>
            </w:pPr>
            <w:r>
              <w:rPr>
                <w:sz w:val="21"/>
              </w:rPr>
              <w:t>（3）血气提示低氧血症。</w:t>
            </w:r>
            <w:r>
              <w:rPr>
                <w:sz w:val="24"/>
              </w:rPr>
              <w:t> </w:t>
            </w:r>
          </w:p>
        </w:tc>
      </w:tr>
      <w:tr>
        <w:trPr>
          <w:trHeight w:val="345" w:hRule="atLeast"/>
        </w:trPr>
        <w:tc>
          <w:tcPr>
            <w:tcW w:w="457" w:type="dxa"/>
          </w:tcPr>
          <w:p>
            <w:pPr>
              <w:pStyle w:val="TableParagraph"/>
              <w:spacing w:before="8"/>
              <w:ind w:left="50"/>
              <w:rPr>
                <w:b/>
                <w:sz w:val="21"/>
              </w:rPr>
            </w:pPr>
            <w:r>
              <w:rPr>
                <w:b/>
                <w:w w:val="99"/>
                <w:sz w:val="21"/>
              </w:rPr>
              <w:t> </w:t>
            </w:r>
          </w:p>
        </w:tc>
        <w:tc>
          <w:tcPr>
            <w:tcW w:w="1880" w:type="dxa"/>
          </w:tcPr>
          <w:p>
            <w:pPr>
              <w:pStyle w:val="TableParagraph"/>
              <w:rPr>
                <w:rFonts w:ascii="Times New Roman"/>
                <w:sz w:val="20"/>
              </w:rPr>
            </w:pPr>
          </w:p>
        </w:tc>
        <w:tc>
          <w:tcPr>
            <w:tcW w:w="7434" w:type="dxa"/>
          </w:tcPr>
          <w:p>
            <w:pPr>
              <w:pStyle w:val="TableParagraph"/>
              <w:spacing w:line="259"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74. 肺泡蛋白质</w:t>
            </w:r>
          </w:p>
        </w:tc>
        <w:tc>
          <w:tcPr>
            <w:tcW w:w="7434" w:type="dxa"/>
          </w:tcPr>
          <w:p>
            <w:pPr>
              <w:pStyle w:val="TableParagraph"/>
              <w:spacing w:line="272" w:lineRule="exact"/>
              <w:ind w:left="122"/>
              <w:rPr>
                <w:sz w:val="21"/>
              </w:rPr>
            </w:pPr>
            <w:r>
              <w:rPr>
                <w:sz w:val="21"/>
              </w:rPr>
              <w:t>指肺泡和细支气管腔内充满不可溶性富磷脂蛋白的疾病，胸部 X 线呈双肺弥漫</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沉积症</w:t>
            </w:r>
            <w:r>
              <w:rPr>
                <w:b/>
                <w:w w:val="99"/>
                <w:sz w:val="21"/>
              </w:rPr>
              <w:t> </w:t>
            </w:r>
          </w:p>
        </w:tc>
        <w:tc>
          <w:tcPr>
            <w:tcW w:w="7434" w:type="dxa"/>
          </w:tcPr>
          <w:p>
            <w:pPr>
              <w:pStyle w:val="TableParagraph"/>
              <w:spacing w:line="248" w:lineRule="exact"/>
              <w:ind w:left="122"/>
              <w:rPr>
                <w:sz w:val="21"/>
              </w:rPr>
            </w:pPr>
            <w:r>
              <w:rPr>
                <w:sz w:val="21"/>
              </w:rPr>
              <w:t>性肺部磨玻璃影，病理学检查肺泡内充满有过碘酸雪夫（PAS）染色阳性的蛋白</w:t>
            </w:r>
          </w:p>
          <w:p>
            <w:pPr>
              <w:pStyle w:val="TableParagraph"/>
              <w:spacing w:before="37"/>
              <w:ind w:left="122"/>
              <w:rPr>
                <w:sz w:val="21"/>
              </w:rPr>
            </w:pPr>
            <w:r>
              <w:rPr>
                <w:sz w:val="21"/>
              </w:rPr>
              <w:t>样物质，并且接受了肺灌洗治疗。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434" w:type="dxa"/>
          </w:tcPr>
          <w:p>
            <w:pPr>
              <w:pStyle w:val="TableParagraph"/>
              <w:spacing w:line="261"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b/>
                <w:sz w:val="21"/>
              </w:rPr>
            </w:pPr>
            <w:r>
              <w:rPr>
                <w:rFonts w:ascii="Microsoft JhengHei" w:eastAsia="Microsoft JhengHei" w:hint="eastAsia"/>
                <w:b/>
                <w:sz w:val="21"/>
              </w:rPr>
              <w:t>75. 小肠移植</w:t>
            </w:r>
            <w:r>
              <w:rPr>
                <w:b/>
                <w:w w:val="99"/>
                <w:sz w:val="21"/>
              </w:rPr>
              <w:t> </w:t>
            </w:r>
          </w:p>
        </w:tc>
        <w:tc>
          <w:tcPr>
            <w:tcW w:w="7434" w:type="dxa"/>
          </w:tcPr>
          <w:p>
            <w:pPr>
              <w:pStyle w:val="TableParagraph"/>
              <w:spacing w:line="272" w:lineRule="exact"/>
              <w:ind w:left="122"/>
              <w:rPr>
                <w:sz w:val="21"/>
              </w:rPr>
            </w:pPr>
            <w:r>
              <w:rPr>
                <w:sz w:val="21"/>
              </w:rPr>
              <w:t>指因肠道疾病或外伤，已经实施了在全身麻醉下进行的小肠的异体器官移植手</w:t>
            </w:r>
          </w:p>
        </w:tc>
      </w:tr>
      <w:tr>
        <w:trPr>
          <w:trHeight w:val="293"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48" w:lineRule="exact"/>
              <w:ind w:left="122"/>
              <w:rPr>
                <w:sz w:val="21"/>
              </w:rPr>
            </w:pPr>
            <w:r>
              <w:rPr>
                <w:sz w:val="21"/>
              </w:rPr>
              <w:t>术。 </w:t>
            </w:r>
          </w:p>
        </w:tc>
      </w:tr>
      <w:tr>
        <w:trPr>
          <w:trHeight w:val="317"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68" w:lineRule="exact"/>
              <w:ind w:left="122"/>
              <w:rPr>
                <w:sz w:val="21"/>
              </w:rPr>
            </w:pPr>
            <w:r>
              <w:rPr>
                <w:b/>
                <w:i/>
                <w:w w:val="95"/>
                <w:sz w:val="22"/>
              </w:rPr>
              <w:t>此手术必须由专科医生认为是医学上必需的情况下进行。</w:t>
            </w:r>
            <w:r>
              <w:rPr>
                <w:sz w:val="21"/>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4"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76. 疾病或外伤</w:t>
            </w:r>
          </w:p>
        </w:tc>
        <w:tc>
          <w:tcPr>
            <w:tcW w:w="7434" w:type="dxa"/>
          </w:tcPr>
          <w:p>
            <w:pPr>
              <w:pStyle w:val="TableParagraph"/>
              <w:spacing w:line="272" w:lineRule="exact"/>
              <w:ind w:left="122"/>
              <w:rPr>
                <w:sz w:val="21"/>
              </w:rPr>
            </w:pPr>
            <w:r>
              <w:rPr>
                <w:spacing w:val="-5"/>
                <w:sz w:val="21"/>
              </w:rPr>
              <w:t>因严重头部创伤或疾病造成被保险人智力低常</w:t>
            </w:r>
            <w:r>
              <w:rPr>
                <w:sz w:val="21"/>
              </w:rPr>
              <w:t>（智力低于常态</w:t>
            </w:r>
            <w:r>
              <w:rPr>
                <w:spacing w:val="-105"/>
                <w:sz w:val="21"/>
              </w:rPr>
              <w:t>）</w:t>
            </w:r>
            <w:r>
              <w:rPr>
                <w:spacing w:val="-41"/>
                <w:sz w:val="21"/>
              </w:rPr>
              <w:t>。根据智商</w:t>
            </w:r>
            <w:r>
              <w:rPr>
                <w:spacing w:val="-1"/>
                <w:sz w:val="21"/>
              </w:rPr>
              <w:t>（IQ</w:t>
            </w:r>
            <w:r>
              <w:rPr>
                <w:spacing w:val="-104"/>
                <w:sz w:val="21"/>
              </w:rPr>
              <w:t>）</w:t>
            </w:r>
            <w:r>
              <w:rPr>
                <w:sz w:val="21"/>
              </w:rPr>
              <w:t>，</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所致智力障碍</w:t>
            </w:r>
            <w:r>
              <w:rPr>
                <w:b/>
                <w:w w:val="99"/>
                <w:sz w:val="21"/>
              </w:rPr>
              <w:t> </w:t>
            </w:r>
          </w:p>
        </w:tc>
        <w:tc>
          <w:tcPr>
            <w:tcW w:w="7434" w:type="dxa"/>
          </w:tcPr>
          <w:p>
            <w:pPr>
              <w:pStyle w:val="TableParagraph"/>
              <w:spacing w:line="248" w:lineRule="exact"/>
              <w:ind w:left="122"/>
              <w:rPr>
                <w:sz w:val="21"/>
              </w:rPr>
            </w:pPr>
            <w:r>
              <w:rPr>
                <w:sz w:val="21"/>
              </w:rPr>
              <w:t>智力低常分为轻度</w:t>
            </w:r>
            <w:r>
              <w:rPr>
                <w:spacing w:val="3"/>
                <w:sz w:val="21"/>
              </w:rPr>
              <w:t>（</w:t>
            </w:r>
            <w:r>
              <w:rPr>
                <w:spacing w:val="-1"/>
                <w:sz w:val="21"/>
              </w:rPr>
              <w:t>I</w:t>
            </w:r>
            <w:r>
              <w:rPr>
                <w:sz w:val="21"/>
              </w:rPr>
              <w:t>Q</w:t>
            </w:r>
            <w:r>
              <w:rPr>
                <w:spacing w:val="-1"/>
                <w:sz w:val="21"/>
              </w:rPr>
              <w:t>5</w:t>
            </w:r>
            <w:r>
              <w:rPr>
                <w:sz w:val="21"/>
              </w:rPr>
              <w:t>0</w:t>
            </w:r>
            <w:r>
              <w:rPr>
                <w:spacing w:val="-1"/>
                <w:sz w:val="21"/>
              </w:rPr>
              <w:t>-</w:t>
            </w:r>
            <w:r>
              <w:rPr>
                <w:sz w:val="21"/>
              </w:rPr>
              <w:t>7</w:t>
            </w:r>
            <w:r>
              <w:rPr>
                <w:spacing w:val="5"/>
                <w:sz w:val="21"/>
              </w:rPr>
              <w:t>0</w:t>
            </w:r>
            <w:r>
              <w:rPr>
                <w:spacing w:val="-101"/>
                <w:sz w:val="21"/>
              </w:rPr>
              <w:t>）</w:t>
            </w:r>
            <w:r>
              <w:rPr>
                <w:spacing w:val="2"/>
                <w:sz w:val="21"/>
              </w:rPr>
              <w:t>；中度</w:t>
            </w:r>
            <w:r>
              <w:rPr>
                <w:spacing w:val="3"/>
                <w:sz w:val="21"/>
              </w:rPr>
              <w:t>（</w:t>
            </w:r>
            <w:r>
              <w:rPr>
                <w:sz w:val="21"/>
              </w:rPr>
              <w:t>I</w:t>
            </w:r>
            <w:r>
              <w:rPr>
                <w:spacing w:val="-1"/>
                <w:sz w:val="21"/>
              </w:rPr>
              <w:t>Q</w:t>
            </w:r>
            <w:r>
              <w:rPr>
                <w:sz w:val="21"/>
              </w:rPr>
              <w:t>3</w:t>
            </w:r>
            <w:r>
              <w:rPr>
                <w:spacing w:val="-1"/>
                <w:sz w:val="21"/>
              </w:rPr>
              <w:t>5</w:t>
            </w:r>
            <w:r>
              <w:rPr>
                <w:sz w:val="21"/>
              </w:rPr>
              <w:t>-</w:t>
            </w:r>
            <w:r>
              <w:rPr>
                <w:spacing w:val="-1"/>
                <w:sz w:val="21"/>
              </w:rPr>
              <w:t>5</w:t>
            </w:r>
            <w:r>
              <w:rPr>
                <w:spacing w:val="5"/>
                <w:sz w:val="21"/>
              </w:rPr>
              <w:t>0</w:t>
            </w:r>
            <w:r>
              <w:rPr>
                <w:spacing w:val="-101"/>
                <w:sz w:val="21"/>
              </w:rPr>
              <w:t>）</w:t>
            </w:r>
            <w:r>
              <w:rPr>
                <w:spacing w:val="3"/>
                <w:sz w:val="21"/>
              </w:rPr>
              <w:t>；重度（</w:t>
            </w:r>
            <w:r>
              <w:rPr>
                <w:spacing w:val="-1"/>
                <w:sz w:val="21"/>
              </w:rPr>
              <w:t>I</w:t>
            </w:r>
            <w:r>
              <w:rPr>
                <w:sz w:val="21"/>
              </w:rPr>
              <w:t>Q</w:t>
            </w:r>
            <w:r>
              <w:rPr>
                <w:spacing w:val="-1"/>
                <w:sz w:val="21"/>
              </w:rPr>
              <w:t>2</w:t>
            </w:r>
            <w:r>
              <w:rPr>
                <w:sz w:val="21"/>
              </w:rPr>
              <w:t>0</w:t>
            </w:r>
            <w:r>
              <w:rPr>
                <w:spacing w:val="-1"/>
                <w:sz w:val="21"/>
              </w:rPr>
              <w:t>-</w:t>
            </w:r>
            <w:r>
              <w:rPr>
                <w:sz w:val="21"/>
              </w:rPr>
              <w:t>3</w:t>
            </w:r>
            <w:r>
              <w:rPr>
                <w:spacing w:val="5"/>
                <w:sz w:val="21"/>
              </w:rPr>
              <w:t>5</w:t>
            </w:r>
            <w:r>
              <w:rPr>
                <w:spacing w:val="3"/>
                <w:sz w:val="21"/>
              </w:rPr>
              <w:t>）</w:t>
            </w:r>
            <w:r>
              <w:rPr>
                <w:sz w:val="21"/>
              </w:rPr>
              <w:t>和极重度</w:t>
            </w:r>
          </w:p>
          <w:p>
            <w:pPr>
              <w:pStyle w:val="TableParagraph"/>
              <w:spacing w:before="37"/>
              <w:ind w:left="122"/>
              <w:rPr>
                <w:sz w:val="21"/>
              </w:rPr>
            </w:pPr>
            <w:r>
              <w:rPr>
                <w:sz w:val="21"/>
              </w:rPr>
              <w:t>（IQ</w:t>
            </w:r>
            <w:r>
              <w:rPr>
                <w:spacing w:val="-1"/>
                <w:sz w:val="21"/>
              </w:rPr>
              <w:t>&lt;</w:t>
            </w:r>
            <w:r>
              <w:rPr>
                <w:sz w:val="21"/>
              </w:rPr>
              <w:t>20</w:t>
            </w:r>
            <w:r>
              <w:rPr>
                <w:spacing w:val="-105"/>
                <w:sz w:val="21"/>
              </w:rPr>
              <w:t>）</w:t>
            </w:r>
            <w:r>
              <w:rPr>
                <w:sz w:val="21"/>
              </w:rPr>
              <w:t>。智商的检测必须由专职心理测验工作者进行，心理测验工作者必须</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61" w:lineRule="exact"/>
              <w:ind w:left="122"/>
              <w:rPr>
                <w:sz w:val="21"/>
              </w:rPr>
            </w:pPr>
            <w:r>
              <w:rPr>
                <w:sz w:val="21"/>
              </w:rPr>
              <w:t>持有由心理测量专业委员会资格认定书。根据被保险人年龄采用对应的智力量</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61" w:lineRule="exact"/>
              <w:ind w:left="122"/>
              <w:rPr>
                <w:sz w:val="21"/>
              </w:rPr>
            </w:pPr>
            <w:r>
              <w:rPr>
                <w:spacing w:val="-1"/>
                <w:sz w:val="21"/>
              </w:rPr>
              <w:t>表如韦克斯勒智力量表</w:t>
            </w:r>
            <w:r>
              <w:rPr>
                <w:sz w:val="21"/>
              </w:rPr>
              <w:t>（儿童智力量表或成人智力量表</w:t>
            </w:r>
            <w:r>
              <w:rPr>
                <w:spacing w:val="-105"/>
                <w:sz w:val="21"/>
              </w:rPr>
              <w:t>）</w:t>
            </w:r>
            <w:r>
              <w:rPr>
                <w:sz w:val="21"/>
              </w:rPr>
              <w:t>。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4" w:type="dxa"/>
          </w:tcPr>
          <w:p>
            <w:pPr>
              <w:pStyle w:val="TableParagraph"/>
              <w:spacing w:line="261" w:lineRule="exact"/>
              <w:ind w:left="122"/>
              <w:rPr>
                <w:sz w:val="21"/>
              </w:rPr>
            </w:pPr>
            <w:r>
              <w:rPr>
                <w:sz w:val="21"/>
              </w:rPr>
              <w:t>理赔时必须满足下列全部条件：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434" w:type="dxa"/>
          </w:tcPr>
          <w:p>
            <w:pPr>
              <w:pStyle w:val="TableParagraph"/>
              <w:spacing w:line="241" w:lineRule="exact"/>
              <w:ind w:left="122"/>
              <w:rPr>
                <w:sz w:val="21"/>
              </w:rPr>
            </w:pPr>
            <w:r>
              <w:rPr>
                <w:sz w:val="21"/>
              </w:rPr>
              <w:t>（1）造成被保险人智力低常（智力低于常态）的严重头部创伤或疾病（以入院</w:t>
            </w:r>
          </w:p>
        </w:tc>
      </w:tr>
    </w:tbl>
    <w:p>
      <w:pPr>
        <w:pStyle w:val="BodyText"/>
        <w:spacing w:before="37"/>
        <w:ind w:left="3157"/>
      </w:pPr>
      <w:r>
        <w:rPr/>
        <w:t>日期为准）发生在被保险人6周岁以后； </w:t>
      </w:r>
    </w:p>
    <w:p>
      <w:pPr>
        <w:pStyle w:val="BodyText"/>
        <w:spacing w:before="37"/>
        <w:ind w:left="2631"/>
      </w:pPr>
      <w:r>
        <w:rPr/>
        <w:t>（2）儿科主任医师确诊被保险人由于严重头部创伤或疾病造成智力低常； </w:t>
      </w:r>
    </w:p>
    <w:p>
      <w:pPr>
        <w:pStyle w:val="BodyText"/>
        <w:spacing w:line="273" w:lineRule="auto" w:before="37" w:after="47"/>
        <w:ind w:left="3157" w:right="150" w:hanging="526"/>
      </w:pPr>
      <w:r>
        <w:rPr/>
        <w:t>（3</w:t>
      </w:r>
      <w:r>
        <w:rPr>
          <w:spacing w:val="-98"/>
        </w:rPr>
        <w:t>）</w:t>
      </w:r>
      <w:r>
        <w:rPr>
          <w:spacing w:val="-5"/>
        </w:rPr>
        <w:t>专职合格心理检测工作者适时做的心理检测证实被保险人智力低常</w:t>
      </w:r>
      <w:r>
        <w:rPr/>
        <w:t>（轻度、中度、重度或极重度）； </w:t>
      </w: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880"/>
        <w:gridCol w:w="7432"/>
      </w:tblGrid>
      <w:tr>
        <w:trPr>
          <w:trHeight w:val="288" w:hRule="atLeast"/>
        </w:trPr>
        <w:tc>
          <w:tcPr>
            <w:tcW w:w="2337" w:type="dxa"/>
            <w:gridSpan w:val="2"/>
          </w:tcPr>
          <w:p>
            <w:pPr>
              <w:pStyle w:val="TableParagraph"/>
              <w:rPr>
                <w:rFonts w:ascii="Times New Roman"/>
                <w:sz w:val="20"/>
              </w:rPr>
            </w:pPr>
          </w:p>
        </w:tc>
        <w:tc>
          <w:tcPr>
            <w:tcW w:w="7432" w:type="dxa"/>
          </w:tcPr>
          <w:p>
            <w:pPr>
              <w:pStyle w:val="TableParagraph"/>
              <w:spacing w:line="236" w:lineRule="exact"/>
              <w:ind w:left="122"/>
              <w:rPr>
                <w:sz w:val="24"/>
              </w:rPr>
            </w:pPr>
            <w:r>
              <w:rPr>
                <w:sz w:val="21"/>
              </w:rPr>
              <w:t>（4）被保险人的智力低常自确认日起持续180 天以上。</w:t>
            </w:r>
            <w:r>
              <w:rPr>
                <w:sz w:val="24"/>
              </w:rPr>
              <w:t> </w:t>
            </w:r>
          </w:p>
        </w:tc>
      </w:tr>
      <w:tr>
        <w:trPr>
          <w:trHeight w:val="345" w:hRule="atLeast"/>
        </w:trPr>
        <w:tc>
          <w:tcPr>
            <w:tcW w:w="457" w:type="dxa"/>
          </w:tcPr>
          <w:p>
            <w:pPr>
              <w:pStyle w:val="TableParagraph"/>
              <w:spacing w:before="8"/>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59"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77. 骨生长不全</w:t>
            </w:r>
          </w:p>
        </w:tc>
        <w:tc>
          <w:tcPr>
            <w:tcW w:w="7432" w:type="dxa"/>
          </w:tcPr>
          <w:p>
            <w:pPr>
              <w:pStyle w:val="TableParagraph"/>
              <w:spacing w:line="272" w:lineRule="exact"/>
              <w:ind w:left="122"/>
              <w:rPr>
                <w:sz w:val="21"/>
              </w:rPr>
            </w:pPr>
            <w:r>
              <w:rPr>
                <w:sz w:val="21"/>
              </w:rPr>
              <w:t>指一种胶原病，特征为骨易碎，骨质疏松和易骨折。该病有 4 种类型：Ⅰ型、</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b/>
                <w:sz w:val="21"/>
              </w:rPr>
            </w:pPr>
            <w:r>
              <w:rPr>
                <w:rFonts w:ascii="Microsoft JhengHei" w:eastAsia="Microsoft JhengHei" w:hint="eastAsia"/>
                <w:b/>
                <w:sz w:val="21"/>
              </w:rPr>
              <w:t>症</w:t>
            </w:r>
            <w:r>
              <w:rPr>
                <w:b/>
                <w:w w:val="99"/>
                <w:sz w:val="21"/>
              </w:rPr>
              <w:t> </w:t>
            </w:r>
          </w:p>
        </w:tc>
        <w:tc>
          <w:tcPr>
            <w:tcW w:w="7432" w:type="dxa"/>
          </w:tcPr>
          <w:p>
            <w:pPr>
              <w:pStyle w:val="TableParagraph"/>
              <w:spacing w:line="248" w:lineRule="exact"/>
              <w:ind w:left="122"/>
              <w:rPr>
                <w:sz w:val="21"/>
              </w:rPr>
            </w:pPr>
            <w:r>
              <w:rPr>
                <w:sz w:val="21"/>
              </w:rPr>
              <w:t>Ⅱ型、Ⅲ型、Ⅳ型。只保障Ⅲ型成骨不全的情形。其主要临床特点有：发展迟</w:t>
            </w:r>
          </w:p>
          <w:p>
            <w:pPr>
              <w:pStyle w:val="TableParagraph"/>
              <w:spacing w:before="37"/>
              <w:ind w:left="122"/>
              <w:rPr>
                <w:sz w:val="21"/>
              </w:rPr>
            </w:pPr>
            <w:r>
              <w:rPr>
                <w:sz w:val="21"/>
              </w:rPr>
              <w:t>缓、多发性骨折、进行性脊柱后侧凸及听力损害。Ⅲ型成骨不全的诊断必须根</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据身体检查，家族史，X 线检查和皮肤活检报告资料确诊。 </w:t>
            </w:r>
          </w:p>
        </w:tc>
      </w:tr>
      <w:tr>
        <w:trPr>
          <w:trHeight w:val="347" w:hRule="atLeast"/>
        </w:trPr>
        <w:tc>
          <w:tcPr>
            <w:tcW w:w="457" w:type="dxa"/>
          </w:tcPr>
          <w:p>
            <w:pPr>
              <w:pStyle w:val="TableParagraph"/>
              <w:spacing w:before="10"/>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78. 失去一肢及</w:t>
            </w:r>
          </w:p>
        </w:tc>
        <w:tc>
          <w:tcPr>
            <w:tcW w:w="7432" w:type="dxa"/>
          </w:tcPr>
          <w:p>
            <w:pPr>
              <w:pStyle w:val="TableParagraph"/>
              <w:spacing w:line="272" w:lineRule="exact"/>
              <w:ind w:left="122"/>
              <w:rPr>
                <w:sz w:val="21"/>
              </w:rPr>
            </w:pPr>
            <w:r>
              <w:rPr>
                <w:sz w:val="21"/>
              </w:rPr>
              <w:t>因疾病或者意外伤害导致单眼视力丧失及任何一肢自腕关节或者踝关节近端</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一眼</w:t>
            </w:r>
          </w:p>
        </w:tc>
        <w:tc>
          <w:tcPr>
            <w:tcW w:w="7432" w:type="dxa"/>
          </w:tcPr>
          <w:p>
            <w:pPr>
              <w:pStyle w:val="TableParagraph"/>
              <w:spacing w:line="248" w:lineRule="exact"/>
              <w:ind w:left="122"/>
              <w:rPr>
                <w:sz w:val="21"/>
              </w:rPr>
            </w:pPr>
            <w:r>
              <w:rPr>
                <w:sz w:val="21"/>
              </w:rPr>
              <w:t>（靠近躯干端）以上完全性断离。 </w:t>
            </w:r>
          </w:p>
          <w:p>
            <w:pPr>
              <w:pStyle w:val="TableParagraph"/>
              <w:spacing w:before="37"/>
              <w:ind w:left="122"/>
              <w:rPr>
                <w:sz w:val="21"/>
              </w:rPr>
            </w:pPr>
            <w:r>
              <w:rPr>
                <w:sz w:val="21"/>
              </w:rPr>
              <w:t>单眼视力丧失指单眼视力永久不可逆性丧失，患眼须满足下列至少一项条件： </w:t>
            </w:r>
          </w:p>
        </w:tc>
      </w:tr>
      <w:tr>
        <w:trPr>
          <w:trHeight w:val="311"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（1）眼球缺失或者摘除；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432" w:type="dxa"/>
          </w:tcPr>
          <w:p>
            <w:pPr>
              <w:pStyle w:val="TableParagraph"/>
              <w:spacing w:line="241" w:lineRule="exact"/>
              <w:ind w:left="122"/>
              <w:rPr>
                <w:sz w:val="21"/>
              </w:rPr>
            </w:pPr>
            <w:r>
              <w:rPr>
                <w:sz w:val="21"/>
              </w:rPr>
              <w:t>（2）矫正视力低于0.02（采用国际标准视力表，如果使用其它视力表应进行换</w:t>
            </w:r>
          </w:p>
        </w:tc>
      </w:tr>
      <w:tr>
        <w:trPr>
          <w:trHeight w:val="362"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before="37"/>
              <w:ind w:left="648"/>
              <w:rPr>
                <w:sz w:val="21"/>
              </w:rPr>
            </w:pPr>
            <w:r>
              <w:rPr>
                <w:sz w:val="21"/>
              </w:rPr>
              <w:t>算）；  </w:t>
            </w:r>
          </w:p>
        </w:tc>
      </w:tr>
      <w:tr>
        <w:trPr>
          <w:trHeight w:val="306"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1" w:lineRule="exact"/>
              <w:ind w:left="122"/>
              <w:rPr>
                <w:sz w:val="21"/>
              </w:rPr>
            </w:pPr>
            <w:r>
              <w:rPr>
                <w:sz w:val="21"/>
              </w:rPr>
              <w:t>（3）视野半径小于5 度。  </w:t>
            </w:r>
          </w:p>
        </w:tc>
      </w:tr>
      <w:tr>
        <w:trPr>
          <w:trHeight w:val="317" w:hRule="atLeast"/>
        </w:trPr>
        <w:tc>
          <w:tcPr>
            <w:tcW w:w="457" w:type="dxa"/>
          </w:tcPr>
          <w:p>
            <w:pPr>
              <w:pStyle w:val="TableParagraph"/>
              <w:rPr>
                <w:rFonts w:ascii="Times New Roman"/>
                <w:sz w:val="20"/>
              </w:rPr>
            </w:pPr>
          </w:p>
        </w:tc>
        <w:tc>
          <w:tcPr>
            <w:tcW w:w="1880" w:type="dxa"/>
          </w:tcPr>
          <w:p>
            <w:pPr>
              <w:pStyle w:val="TableParagraph"/>
              <w:rPr>
                <w:rFonts w:ascii="Times New Roman"/>
                <w:sz w:val="20"/>
              </w:rPr>
            </w:pPr>
          </w:p>
        </w:tc>
        <w:tc>
          <w:tcPr>
            <w:tcW w:w="7432" w:type="dxa"/>
          </w:tcPr>
          <w:p>
            <w:pPr>
              <w:pStyle w:val="TableParagraph"/>
              <w:spacing w:line="268" w:lineRule="exact"/>
              <w:ind w:left="122"/>
              <w:rPr>
                <w:b/>
                <w:i/>
                <w:sz w:val="22"/>
              </w:rPr>
            </w:pPr>
            <w:r>
              <w:rPr>
                <w:b/>
                <w:i/>
                <w:w w:val="95"/>
                <w:sz w:val="22"/>
              </w:rPr>
              <w:t>被保险人在三周岁之前因疾病导致单眼视力丧失不在保障范围内。</w:t>
            </w:r>
            <w:r>
              <w:rPr>
                <w:b/>
                <w:i/>
                <w:w w:val="94"/>
                <w:sz w:val="22"/>
              </w:rPr>
              <w:t> </w:t>
            </w:r>
          </w:p>
        </w:tc>
      </w:tr>
      <w:tr>
        <w:trPr>
          <w:trHeight w:val="346" w:hRule="atLeast"/>
        </w:trPr>
        <w:tc>
          <w:tcPr>
            <w:tcW w:w="457" w:type="dxa"/>
          </w:tcPr>
          <w:p>
            <w:pPr>
              <w:pStyle w:val="TableParagraph"/>
              <w:spacing w:before="9"/>
              <w:ind w:left="50"/>
              <w:rPr>
                <w:b/>
                <w:sz w:val="21"/>
              </w:rPr>
            </w:pPr>
            <w:r>
              <w:rPr>
                <w:b/>
                <w:w w:val="99"/>
                <w:sz w:val="21"/>
              </w:rPr>
              <w:t> </w:t>
            </w:r>
          </w:p>
        </w:tc>
        <w:tc>
          <w:tcPr>
            <w:tcW w:w="1880" w:type="dxa"/>
          </w:tcPr>
          <w:p>
            <w:pPr>
              <w:pStyle w:val="TableParagraph"/>
              <w:rPr>
                <w:rFonts w:ascii="Times New Roman"/>
                <w:sz w:val="20"/>
              </w:rPr>
            </w:pPr>
          </w:p>
        </w:tc>
        <w:tc>
          <w:tcPr>
            <w:tcW w:w="7432" w:type="dxa"/>
          </w:tcPr>
          <w:p>
            <w:pPr>
              <w:pStyle w:val="TableParagraph"/>
              <w:spacing w:line="260" w:lineRule="exact"/>
              <w:ind w:left="122"/>
              <w:rPr>
                <w:sz w:val="21"/>
              </w:rPr>
            </w:pPr>
            <w:r>
              <w:rPr>
                <w:sz w:val="21"/>
              </w:rPr>
              <w:t> </w:t>
            </w:r>
          </w:p>
        </w:tc>
      </w:tr>
      <w:tr>
        <w:trPr>
          <w:trHeight w:val="336" w:hRule="atLeast"/>
        </w:trPr>
        <w:tc>
          <w:tcPr>
            <w:tcW w:w="457" w:type="dxa"/>
          </w:tcPr>
          <w:p>
            <w:pPr>
              <w:pStyle w:val="TableParagraph"/>
              <w:spacing w:before="21"/>
              <w:ind w:left="50"/>
              <w:rPr>
                <w:b/>
                <w:sz w:val="21"/>
              </w:rPr>
            </w:pPr>
            <w:r>
              <w:rPr>
                <w:b/>
                <w:w w:val="99"/>
                <w:sz w:val="21"/>
              </w:rPr>
              <w:t> </w:t>
            </w:r>
          </w:p>
        </w:tc>
        <w:tc>
          <w:tcPr>
            <w:tcW w:w="1880" w:type="dxa"/>
          </w:tcPr>
          <w:p>
            <w:pPr>
              <w:pStyle w:val="TableParagraph"/>
              <w:spacing w:line="302" w:lineRule="exact"/>
              <w:ind w:left="302"/>
              <w:rPr>
                <w:rFonts w:ascii="Microsoft JhengHei" w:eastAsia="Microsoft JhengHei" w:hint="eastAsia"/>
                <w:b/>
                <w:sz w:val="21"/>
              </w:rPr>
            </w:pPr>
            <w:r>
              <w:rPr>
                <w:rFonts w:ascii="Microsoft JhengHei" w:eastAsia="Microsoft JhengHei" w:hint="eastAsia"/>
                <w:b/>
                <w:sz w:val="21"/>
              </w:rPr>
              <w:t>79. 重症手足口</w:t>
            </w:r>
          </w:p>
        </w:tc>
        <w:tc>
          <w:tcPr>
            <w:tcW w:w="7432" w:type="dxa"/>
          </w:tcPr>
          <w:p>
            <w:pPr>
              <w:pStyle w:val="TableParagraph"/>
              <w:spacing w:line="272" w:lineRule="exact"/>
              <w:ind w:left="122"/>
              <w:rPr>
                <w:sz w:val="21"/>
              </w:rPr>
            </w:pPr>
            <w:r>
              <w:rPr>
                <w:spacing w:val="-7"/>
                <w:sz w:val="21"/>
              </w:rPr>
              <w:t>由肠道病毒引起的急性传染病，主要症状表现为手、足、口腔等部位的斑丘疹、</w:t>
            </w:r>
          </w:p>
        </w:tc>
      </w:tr>
      <w:tr>
        <w:trPr>
          <w:trHeight w:val="610" w:hRule="atLeast"/>
        </w:trPr>
        <w:tc>
          <w:tcPr>
            <w:tcW w:w="457" w:type="dxa"/>
          </w:tcPr>
          <w:p>
            <w:pPr>
              <w:pStyle w:val="TableParagraph"/>
              <w:rPr>
                <w:rFonts w:ascii="Times New Roman"/>
                <w:sz w:val="20"/>
              </w:rPr>
            </w:pPr>
          </w:p>
        </w:tc>
        <w:tc>
          <w:tcPr>
            <w:tcW w:w="1880" w:type="dxa"/>
          </w:tcPr>
          <w:p>
            <w:pPr>
              <w:pStyle w:val="TableParagraph"/>
              <w:spacing w:line="325" w:lineRule="exact"/>
              <w:ind w:left="302"/>
              <w:rPr>
                <w:rFonts w:ascii="Microsoft JhengHei" w:eastAsia="Microsoft JhengHei" w:hint="eastAsia"/>
                <w:b/>
                <w:sz w:val="21"/>
              </w:rPr>
            </w:pPr>
            <w:r>
              <w:rPr>
                <w:rFonts w:ascii="Microsoft JhengHei" w:eastAsia="Microsoft JhengHei" w:hint="eastAsia"/>
                <w:b/>
                <w:sz w:val="21"/>
              </w:rPr>
              <w:t>病</w:t>
            </w:r>
          </w:p>
        </w:tc>
        <w:tc>
          <w:tcPr>
            <w:tcW w:w="7432" w:type="dxa"/>
          </w:tcPr>
          <w:p>
            <w:pPr>
              <w:pStyle w:val="TableParagraph"/>
              <w:spacing w:line="248" w:lineRule="exact"/>
              <w:ind w:left="122"/>
              <w:rPr>
                <w:sz w:val="21"/>
              </w:rPr>
            </w:pPr>
            <w:r>
              <w:rPr>
                <w:sz w:val="21"/>
              </w:rPr>
              <w:t>疱疹。经医疗机构的专科医生确诊为患有手足口病，并伴有下列三项中的任意</w:t>
            </w:r>
          </w:p>
          <w:p>
            <w:pPr>
              <w:pStyle w:val="TableParagraph"/>
              <w:spacing w:before="37"/>
              <w:ind w:left="122"/>
              <w:rPr>
                <w:sz w:val="21"/>
              </w:rPr>
            </w:pPr>
            <w:r>
              <w:rPr>
                <w:sz w:val="21"/>
              </w:rPr>
              <w:t>一项并发症： </w:t>
            </w:r>
          </w:p>
        </w:tc>
      </w:tr>
      <w:tr>
        <w:trPr>
          <w:trHeight w:val="260" w:hRule="atLeast"/>
        </w:trPr>
        <w:tc>
          <w:tcPr>
            <w:tcW w:w="457" w:type="dxa"/>
          </w:tcPr>
          <w:p>
            <w:pPr>
              <w:pStyle w:val="TableParagraph"/>
              <w:rPr>
                <w:rFonts w:ascii="Times New Roman"/>
                <w:sz w:val="18"/>
              </w:rPr>
            </w:pPr>
          </w:p>
        </w:tc>
        <w:tc>
          <w:tcPr>
            <w:tcW w:w="1880" w:type="dxa"/>
          </w:tcPr>
          <w:p>
            <w:pPr>
              <w:pStyle w:val="TableParagraph"/>
              <w:rPr>
                <w:rFonts w:ascii="Times New Roman"/>
                <w:sz w:val="18"/>
              </w:rPr>
            </w:pPr>
          </w:p>
        </w:tc>
        <w:tc>
          <w:tcPr>
            <w:tcW w:w="7432" w:type="dxa"/>
          </w:tcPr>
          <w:p>
            <w:pPr>
              <w:pStyle w:val="TableParagraph"/>
              <w:spacing w:line="241" w:lineRule="exact"/>
              <w:ind w:left="122"/>
              <w:rPr>
                <w:sz w:val="21"/>
              </w:rPr>
            </w:pPr>
            <w:r>
              <w:rPr>
                <w:sz w:val="21"/>
              </w:rPr>
              <w:t>（1）有脑膜炎或脑炎并发症，且导致意识障碍或瘫痪的临床表现及实验室检查</w:t>
            </w:r>
          </w:p>
        </w:tc>
      </w:tr>
    </w:tbl>
    <w:p>
      <w:pPr>
        <w:spacing w:after="0" w:line="241" w:lineRule="exact"/>
        <w:rPr>
          <w:sz w:val="21"/>
        </w:rPr>
        <w:sectPr>
          <w:pgSz w:w="11910" w:h="16840"/>
          <w:pgMar w:header="501" w:footer="998" w:top="700" w:bottom="1180" w:left="1020" w:right="840"/>
        </w:sectPr>
      </w:pPr>
    </w:p>
    <w:p>
      <w:pPr>
        <w:pStyle w:val="BodyText"/>
        <w:rPr>
          <w:sz w:val="20"/>
        </w:rPr>
      </w:pPr>
    </w:p>
    <w:p>
      <w:pPr>
        <w:pStyle w:val="BodyText"/>
        <w:rPr>
          <w:sz w:val="20"/>
        </w:rPr>
      </w:pPr>
    </w:p>
    <w:p>
      <w:pPr>
        <w:pStyle w:val="BodyText"/>
        <w:spacing w:before="178"/>
        <w:ind w:left="3157"/>
      </w:pPr>
      <w:r>
        <w:rPr/>
        <w:t>证据；  </w:t>
      </w:r>
    </w:p>
    <w:p>
      <w:pPr>
        <w:pStyle w:val="BodyText"/>
        <w:spacing w:before="36"/>
        <w:ind w:left="2631"/>
      </w:pPr>
      <w:r>
        <w:rPr/>
        <w:t>（2）有肺炎或肺水肿并发症，且导致呼吸衰竭的临床表现及实验室检查证据； </w:t>
      </w:r>
    </w:p>
    <w:p>
      <w:pPr>
        <w:pStyle w:val="BodyText"/>
        <w:spacing w:line="273" w:lineRule="auto" w:before="36"/>
        <w:ind w:left="3157" w:right="216" w:hanging="526"/>
        <w:rPr>
          <w:sz w:val="24"/>
        </w:rPr>
      </w:pPr>
      <w:r>
        <w:rPr>
          <w:spacing w:val="-15"/>
        </w:rPr>
        <w:t>（3）</w:t>
      </w:r>
      <w:r>
        <w:rPr>
          <w:spacing w:val="-6"/>
        </w:rPr>
        <w:t>有心肌炎并发症，且导致心脏扩大或心力衰竭的临床表现及实验室检查证据。</w:t>
      </w:r>
      <w:r>
        <w:rPr>
          <w:spacing w:val="-6"/>
          <w:sz w:val="24"/>
        </w:rPr>
        <w:t> </w:t>
      </w:r>
    </w:p>
    <w:p>
      <w:pPr>
        <w:pStyle w:val="BodyText"/>
        <w:spacing w:before="3"/>
        <w:rPr>
          <w:sz w:val="25"/>
        </w:rPr>
      </w:pPr>
    </w:p>
    <w:p>
      <w:pPr>
        <w:spacing w:after="0"/>
        <w:rPr>
          <w:sz w:val="25"/>
        </w:rPr>
        <w:sectPr>
          <w:pgSz w:w="11910" w:h="16840"/>
          <w:pgMar w:header="501" w:footer="998" w:top="700" w:bottom="1180" w:left="1020" w:right="880"/>
        </w:sectPr>
      </w:pPr>
    </w:p>
    <w:p>
      <w:pPr>
        <w:pStyle w:val="Heading5"/>
        <w:tabs>
          <w:tab w:pos="931" w:val="left" w:leader="none"/>
        </w:tabs>
        <w:spacing w:line="340" w:lineRule="exact" w:before="33"/>
        <w:ind w:hanging="710"/>
        <w:rPr>
          <w:rFonts w:ascii="Microsoft JhengHei" w:eastAsia="Microsoft JhengHei" w:hint="eastAsia"/>
        </w:rPr>
      </w:pPr>
      <w:r>
        <w:rPr>
          <w:w w:val="99"/>
        </w:rPr>
        <w:t> </w:t>
      </w:r>
      <w:r>
        <w:rPr/>
        <w:tab/>
      </w:r>
      <w:r>
        <w:rPr>
          <w:rFonts w:ascii="Microsoft JhengHei" w:eastAsia="Microsoft JhengHei" w:hint="eastAsia"/>
          <w:position w:val="2"/>
        </w:rPr>
        <w:t>80.</w:t>
      </w:r>
      <w:r>
        <w:rPr>
          <w:rFonts w:ascii="Microsoft JhengHei" w:eastAsia="Microsoft JhengHei" w:hint="eastAsia"/>
          <w:spacing w:val="5"/>
          <w:position w:val="2"/>
        </w:rPr>
        <w:t> 严重面部烧</w:t>
      </w:r>
      <w:r>
        <w:rPr>
          <w:rFonts w:ascii="Microsoft JhengHei" w:eastAsia="Microsoft JhengHei" w:hint="eastAsia"/>
          <w:spacing w:val="5"/>
        </w:rPr>
        <w:t>伤</w:t>
      </w:r>
    </w:p>
    <w:p>
      <w:pPr>
        <w:pStyle w:val="BodyText"/>
        <w:spacing w:line="273" w:lineRule="auto" w:before="35"/>
        <w:ind w:left="201" w:right="216"/>
      </w:pPr>
      <w:r>
        <w:rPr/>
        <w:br w:type="column"/>
      </w:r>
      <w:r>
        <w:rPr/>
        <w:t>指烧伤程度为Ⅲ度，且Ⅲ度烧伤的面积达到面部表面积的80％或者80％以上。体表面积根据《中国新九分法》计算。  </w:t>
      </w:r>
    </w:p>
    <w:p>
      <w:pPr>
        <w:spacing w:after="0" w:line="273" w:lineRule="auto"/>
        <w:sectPr>
          <w:type w:val="continuous"/>
          <w:pgSz w:w="11910" w:h="16840"/>
          <w:pgMar w:top="700" w:bottom="280" w:left="1020" w:right="880"/>
          <w:cols w:num="2" w:equalWidth="0">
            <w:col w:w="2391" w:space="40"/>
            <w:col w:w="7579"/>
          </w:cols>
        </w:sectPr>
      </w:pPr>
    </w:p>
    <w:p>
      <w:pPr>
        <w:pStyle w:val="Heading5"/>
        <w:tabs>
          <w:tab w:pos="931" w:val="left" w:leader="none"/>
          <w:tab w:pos="2631" w:val="left" w:leader="none"/>
        </w:tabs>
        <w:spacing w:before="63"/>
        <w:ind w:left="221"/>
        <w:rPr>
          <w:b w:val="0"/>
        </w:rPr>
      </w:pPr>
      <w:r>
        <w:rPr>
          <w:w w:val="99"/>
        </w:rPr>
        <w:t> </w:t>
      </w:r>
      <w:r>
        <w:rPr/>
        <w:tab/>
      </w:r>
      <w:r>
        <w:rPr>
          <w:w w:val="99"/>
        </w:rPr>
        <w:t> </w:t>
      </w:r>
      <w:r>
        <w:rPr/>
        <w:tab/>
      </w:r>
      <w:r>
        <w:rPr>
          <w:b w:val="0"/>
        </w:rPr>
        <w:t> </w:t>
      </w:r>
    </w:p>
    <w:p>
      <w:pPr>
        <w:pStyle w:val="ListParagraph"/>
        <w:numPr>
          <w:ilvl w:val="1"/>
          <w:numId w:val="13"/>
        </w:numPr>
        <w:tabs>
          <w:tab w:pos="646" w:val="left" w:leader="none"/>
          <w:tab w:pos="2631" w:val="left" w:leader="none"/>
        </w:tabs>
        <w:spacing w:line="314" w:lineRule="auto" w:before="83" w:after="0"/>
        <w:ind w:left="2631" w:right="126" w:hanging="2410"/>
        <w:jc w:val="left"/>
        <w:rPr>
          <w:sz w:val="21"/>
        </w:rPr>
      </w:pPr>
      <w:r>
        <w:rPr>
          <w:b/>
          <w:sz w:val="21"/>
        </w:rPr>
        <w:t>毒品</w:t>
        <w:tab/>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 </w:t>
      </w:r>
    </w:p>
    <w:p>
      <w:pPr>
        <w:pStyle w:val="Heading5"/>
        <w:tabs>
          <w:tab w:pos="931" w:val="left" w:leader="none"/>
        </w:tabs>
        <w:spacing w:before="18"/>
        <w:ind w:left="221"/>
      </w:pPr>
      <w:r>
        <w:rPr>
          <w:w w:val="99"/>
        </w:rPr>
        <w:t> </w:t>
      </w:r>
      <w:r>
        <w:rPr/>
        <w:tab/>
      </w:r>
      <w:r>
        <w:rPr>
          <w:w w:val="99"/>
        </w:rPr>
        <w:t> </w:t>
      </w:r>
    </w:p>
    <w:p>
      <w:pPr>
        <w:pStyle w:val="ListParagraph"/>
        <w:numPr>
          <w:ilvl w:val="1"/>
          <w:numId w:val="13"/>
        </w:numPr>
        <w:tabs>
          <w:tab w:pos="646" w:val="left" w:leader="none"/>
        </w:tabs>
        <w:spacing w:line="314" w:lineRule="auto" w:before="83" w:after="0"/>
        <w:ind w:left="2631" w:right="230" w:hanging="2410"/>
        <w:jc w:val="both"/>
        <w:rPr>
          <w:sz w:val="21"/>
        </w:rPr>
      </w:pPr>
      <w:r>
        <w:rPr>
          <w:b/>
          <w:sz w:val="21"/>
        </w:rPr>
        <w:t>酒后驾驶       </w:t>
      </w: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5"/>
        <w:tabs>
          <w:tab w:pos="931" w:val="left" w:leader="none"/>
          <w:tab w:pos="2725" w:val="left" w:leader="none"/>
        </w:tabs>
        <w:spacing w:before="18"/>
        <w:ind w:left="221"/>
      </w:pPr>
      <w:r>
        <w:rPr>
          <w:w w:val="99"/>
        </w:rPr>
        <w:t> </w:t>
      </w:r>
      <w:r>
        <w:rPr/>
        <w:tab/>
      </w:r>
      <w:r>
        <w:rPr>
          <w:w w:val="99"/>
        </w:rPr>
        <w:t> </w:t>
      </w:r>
      <w:r>
        <w:rPr/>
        <w:tab/>
      </w:r>
      <w:r>
        <w:rPr>
          <w:w w:val="99"/>
        </w:rPr>
        <w:t> </w:t>
      </w:r>
    </w:p>
    <w:p>
      <w:pPr>
        <w:pStyle w:val="ListParagraph"/>
        <w:numPr>
          <w:ilvl w:val="1"/>
          <w:numId w:val="13"/>
        </w:numPr>
        <w:tabs>
          <w:tab w:pos="647" w:val="left" w:leader="none"/>
          <w:tab w:pos="2631" w:val="left" w:leader="none"/>
        </w:tabs>
        <w:spacing w:line="240" w:lineRule="auto" w:before="83" w:after="0"/>
        <w:ind w:left="646" w:right="0" w:hanging="425"/>
        <w:jc w:val="left"/>
        <w:rPr>
          <w:sz w:val="21"/>
        </w:rPr>
      </w:pPr>
      <w:r>
        <w:rPr>
          <w:b/>
          <w:sz w:val="21"/>
        </w:rPr>
        <w:t>无合法有效驾驶</w:t>
        <w:tab/>
      </w:r>
      <w:r>
        <w:rPr>
          <w:sz w:val="21"/>
        </w:rPr>
        <w:t>指下列情形之一： </w:t>
      </w:r>
    </w:p>
    <w:p>
      <w:pPr>
        <w:spacing w:before="83"/>
        <w:ind w:left="931" w:right="0" w:firstLine="0"/>
        <w:jc w:val="left"/>
        <w:rPr>
          <w:sz w:val="21"/>
        </w:rPr>
      </w:pPr>
      <w:r>
        <w:rPr>
          <w:b/>
          <w:sz w:val="21"/>
        </w:rPr>
        <w:t>证驾驶          </w:t>
      </w:r>
      <w:r>
        <w:rPr>
          <w:sz w:val="21"/>
        </w:rPr>
        <w:t>（1） 没有取得驾驶资格； </w:t>
      </w:r>
    </w:p>
    <w:p>
      <w:pPr>
        <w:pStyle w:val="BodyText"/>
        <w:spacing w:before="83"/>
        <w:ind w:left="2631"/>
      </w:pPr>
      <w:r>
        <w:rPr/>
        <w:t>（2） 驾驶与驾驶证准驾车型不相符合的车辆； </w:t>
      </w:r>
    </w:p>
    <w:p>
      <w:pPr>
        <w:pStyle w:val="BodyText"/>
        <w:spacing w:before="83"/>
        <w:ind w:left="2631"/>
      </w:pPr>
      <w:r>
        <w:rPr/>
        <w:t>（3） 持审验不合格的驾驶证驾驶； </w:t>
      </w:r>
    </w:p>
    <w:p>
      <w:pPr>
        <w:pStyle w:val="BodyText"/>
        <w:spacing w:line="314" w:lineRule="auto" w:before="83"/>
        <w:ind w:left="3199" w:right="293" w:hanging="568"/>
      </w:pPr>
      <w:r>
        <w:rPr/>
        <w:t>（4）</w:t>
      </w:r>
      <w:r>
        <w:rPr>
          <w:spacing w:val="-9"/>
        </w:rPr>
        <w:t> 持学习驾驶证学习驾车时，无教练员随车指导，或不按指定时间、路线学习驾车； </w:t>
      </w:r>
    </w:p>
    <w:p>
      <w:pPr>
        <w:pStyle w:val="BodyText"/>
        <w:spacing w:before="18"/>
        <w:ind w:left="2631"/>
      </w:pPr>
      <w:r>
        <w:rPr/>
        <w:t>（5）其他法律法规规定或有关行政职能部门认定的情形。 </w:t>
      </w:r>
    </w:p>
    <w:p>
      <w:pPr>
        <w:pStyle w:val="Heading5"/>
        <w:tabs>
          <w:tab w:pos="931" w:val="left" w:leader="none"/>
          <w:tab w:pos="2631" w:val="left" w:leader="none"/>
        </w:tabs>
        <w:spacing w:before="84"/>
        <w:ind w:left="221"/>
        <w:rPr>
          <w:b w:val="0"/>
        </w:rPr>
      </w:pPr>
      <w:r>
        <w:rPr>
          <w:w w:val="99"/>
        </w:rPr>
        <w:t> </w:t>
      </w:r>
      <w:r>
        <w:rPr/>
        <w:tab/>
      </w:r>
      <w:r>
        <w:rPr>
          <w:w w:val="99"/>
        </w:rPr>
        <w:t> </w:t>
      </w:r>
      <w:r>
        <w:rPr/>
        <w:tab/>
      </w:r>
      <w:r>
        <w:rPr>
          <w:b w:val="0"/>
        </w:rPr>
        <w:t> </w:t>
      </w:r>
    </w:p>
    <w:p>
      <w:pPr>
        <w:pStyle w:val="ListParagraph"/>
        <w:numPr>
          <w:ilvl w:val="1"/>
          <w:numId w:val="13"/>
        </w:numPr>
        <w:tabs>
          <w:tab w:pos="647" w:val="left" w:leader="none"/>
          <w:tab w:pos="2631" w:val="left" w:leader="none"/>
        </w:tabs>
        <w:spacing w:line="240" w:lineRule="auto" w:before="84" w:after="0"/>
        <w:ind w:left="646" w:right="0" w:hanging="425"/>
        <w:jc w:val="left"/>
        <w:rPr>
          <w:sz w:val="21"/>
        </w:rPr>
      </w:pPr>
      <w:r>
        <w:rPr>
          <w:b/>
          <w:sz w:val="21"/>
        </w:rPr>
        <w:t>无有效行驶证</w:t>
        <w:tab/>
      </w:r>
      <w:r>
        <w:rPr>
          <w:sz w:val="21"/>
        </w:rPr>
        <w:t>指下列情形之一： </w:t>
      </w:r>
    </w:p>
    <w:p>
      <w:pPr>
        <w:pStyle w:val="BodyText"/>
        <w:spacing w:before="84"/>
        <w:ind w:left="2631"/>
      </w:pPr>
      <w:r>
        <w:rPr/>
        <w:t>（1） 没有取得机动车行驶证的； </w:t>
      </w:r>
    </w:p>
    <w:p>
      <w:pPr>
        <w:pStyle w:val="BodyText"/>
        <w:spacing w:before="84"/>
        <w:ind w:left="2631"/>
      </w:pPr>
      <w:r>
        <w:rPr/>
        <w:t>（2） 机动车被依法注销登记的；  </w:t>
      </w:r>
    </w:p>
    <w:p>
      <w:pPr>
        <w:pStyle w:val="BodyText"/>
        <w:spacing w:before="84"/>
        <w:ind w:left="2631"/>
      </w:pPr>
      <w:r>
        <w:rPr/>
        <w:t>（3） 未依法按时进行或通过机动车安全技术检验； </w:t>
      </w:r>
    </w:p>
    <w:p>
      <w:pPr>
        <w:pStyle w:val="BodyText"/>
        <w:spacing w:before="84"/>
        <w:ind w:left="2631"/>
      </w:pPr>
      <w:r>
        <w:rPr/>
        <w:t>（4） 其他法律法规规定或有关行政职能部门认定的情形。 </w:t>
      </w:r>
    </w:p>
    <w:p>
      <w:pPr>
        <w:pStyle w:val="BodyText"/>
        <w:tabs>
          <w:tab w:pos="931" w:val="left" w:leader="none"/>
        </w:tabs>
        <w:spacing w:before="84"/>
        <w:ind w:left="315"/>
      </w:pPr>
      <w:r>
        <w:rPr/>
        <w:t> </w:t>
        <w:tab/>
        <w:t> </w:t>
      </w:r>
    </w:p>
    <w:p>
      <w:pPr>
        <w:pStyle w:val="ListParagraph"/>
        <w:numPr>
          <w:ilvl w:val="1"/>
          <w:numId w:val="13"/>
        </w:numPr>
        <w:tabs>
          <w:tab w:pos="646" w:val="left" w:leader="none"/>
          <w:tab w:pos="2631" w:val="left" w:leader="none"/>
        </w:tabs>
        <w:spacing w:line="314" w:lineRule="auto" w:before="84" w:after="0"/>
        <w:ind w:left="2631" w:right="230" w:hanging="2410"/>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spacing w:after="0" w:line="314" w:lineRule="auto"/>
        <w:jc w:val="left"/>
        <w:rPr>
          <w:sz w:val="21"/>
        </w:rPr>
        <w:sectPr>
          <w:type w:val="continuous"/>
          <w:pgSz w:w="11910" w:h="16840"/>
          <w:pgMar w:top="700" w:bottom="280" w:left="1020" w:right="880"/>
        </w:sectPr>
      </w:pPr>
    </w:p>
    <w:p>
      <w:pPr>
        <w:pStyle w:val="BodyText"/>
        <w:spacing w:before="18"/>
        <w:ind w:left="315"/>
      </w:pPr>
      <w:r>
        <w:rPr/>
        <w:t> </w:t>
      </w:r>
    </w:p>
    <w:p>
      <w:pPr>
        <w:pStyle w:val="Heading5"/>
        <w:numPr>
          <w:ilvl w:val="1"/>
          <w:numId w:val="13"/>
        </w:numPr>
        <w:tabs>
          <w:tab w:pos="647" w:val="left" w:leader="none"/>
        </w:tabs>
        <w:spacing w:line="240" w:lineRule="auto" w:before="83" w:after="0"/>
        <w:ind w:left="646" w:right="0" w:hanging="425"/>
        <w:jc w:val="left"/>
      </w:pPr>
      <w:r>
        <w:rPr>
          <w:w w:val="95"/>
        </w:rPr>
        <w:t>先天性畸形、变</w:t>
      </w:r>
    </w:p>
    <w:p>
      <w:pPr>
        <w:spacing w:before="82"/>
        <w:ind w:left="931" w:right="0" w:firstLine="0"/>
        <w:jc w:val="left"/>
        <w:rPr>
          <w:b/>
          <w:sz w:val="21"/>
        </w:rPr>
      </w:pPr>
      <w:r>
        <w:rPr>
          <w:b/>
          <w:w w:val="95"/>
          <w:sz w:val="21"/>
        </w:rPr>
        <w:t>形或染色体异常 </w:t>
      </w:r>
    </w:p>
    <w:p>
      <w:pPr>
        <w:pStyle w:val="BodyText"/>
        <w:rPr>
          <w:b/>
          <w:sz w:val="20"/>
        </w:rPr>
      </w:pPr>
    </w:p>
    <w:p>
      <w:pPr>
        <w:pStyle w:val="BodyText"/>
        <w:spacing w:before="10"/>
        <w:rPr>
          <w:b/>
          <w:sz w:val="13"/>
        </w:rPr>
      </w:pPr>
    </w:p>
    <w:p>
      <w:pPr>
        <w:pStyle w:val="BodyText"/>
        <w:ind w:left="315"/>
      </w:pPr>
      <w:r>
        <w:rPr/>
        <w:t> </w:t>
      </w:r>
    </w:p>
    <w:p>
      <w:pPr>
        <w:pStyle w:val="BodyText"/>
        <w:spacing w:before="11"/>
        <w:rPr>
          <w:sz w:val="28"/>
        </w:rPr>
      </w:pPr>
      <w:r>
        <w:rPr/>
        <w:br w:type="column"/>
      </w:r>
      <w:r>
        <w:rPr>
          <w:sz w:val="28"/>
        </w:rPr>
      </w:r>
    </w:p>
    <w:p>
      <w:pPr>
        <w:pStyle w:val="BodyText"/>
        <w:spacing w:line="304" w:lineRule="auto"/>
        <w:ind w:left="80" w:right="113"/>
      </w:pPr>
      <w:r>
        <w:rPr/>
        <w:t>指被保险人出生时就具有的畸形、变形或染色体异常。先天性畸形、变形和染</w:t>
      </w:r>
      <w:r>
        <w:rPr>
          <w:spacing w:val="-4"/>
        </w:rPr>
        <w:t>色体异常依照世界卫生组织《疾病和有关健康问题的国际统计分类》</w:t>
      </w:r>
      <w:r>
        <w:rPr/>
        <w:t>（</w:t>
      </w:r>
      <w:r>
        <w:rPr>
          <w:rFonts w:ascii="Times New Roman" w:eastAsia="Times New Roman"/>
        </w:rPr>
        <w:t>ICD-10</w:t>
      </w:r>
      <w:r>
        <w:rPr/>
        <w:t>） 确定。</w:t>
      </w:r>
    </w:p>
    <w:p>
      <w:pPr>
        <w:spacing w:after="0" w:line="304" w:lineRule="auto"/>
        <w:sectPr>
          <w:type w:val="continuous"/>
          <w:pgSz w:w="11910" w:h="16840"/>
          <w:pgMar w:top="700" w:bottom="280" w:left="1020" w:right="880"/>
          <w:cols w:num="2" w:equalWidth="0">
            <w:col w:w="2511" w:space="40"/>
            <w:col w:w="7459"/>
          </w:cols>
        </w:sectPr>
      </w:pPr>
    </w:p>
    <w:p>
      <w:pPr>
        <w:pStyle w:val="ListParagraph"/>
        <w:numPr>
          <w:ilvl w:val="1"/>
          <w:numId w:val="13"/>
        </w:numPr>
        <w:tabs>
          <w:tab w:pos="647" w:val="left" w:leader="none"/>
          <w:tab w:pos="2631" w:val="left" w:leader="none"/>
        </w:tabs>
        <w:spacing w:line="240" w:lineRule="auto" w:before="83" w:after="0"/>
        <w:ind w:left="646" w:right="0" w:hanging="425"/>
        <w:jc w:val="left"/>
        <w:rPr>
          <w:sz w:val="21"/>
        </w:rPr>
      </w:pPr>
      <w:r>
        <w:rPr>
          <w:b/>
          <w:sz w:val="21"/>
        </w:rPr>
        <w:t>感染艾滋病病毒</w:t>
        <w:tab/>
      </w:r>
      <w:r>
        <w:rPr>
          <w:sz w:val="21"/>
        </w:rPr>
        <w:t>艾滋病病毒指人类免疫缺陷病毒，英文缩写为</w:t>
      </w:r>
      <w:r>
        <w:rPr>
          <w:spacing w:val="-55"/>
          <w:sz w:val="21"/>
        </w:rPr>
        <w:t> </w:t>
      </w:r>
      <w:r>
        <w:rPr>
          <w:rFonts w:ascii="Times New Roman" w:eastAsia="Times New Roman"/>
          <w:sz w:val="21"/>
        </w:rPr>
        <w:t>HIV</w:t>
      </w:r>
      <w:r>
        <w:rPr>
          <w:sz w:val="21"/>
        </w:rPr>
        <w:t>。艾滋病指人类免疫缺陷病</w:t>
      </w:r>
    </w:p>
    <w:p>
      <w:pPr>
        <w:spacing w:after="0" w:line="240" w:lineRule="auto"/>
        <w:jc w:val="left"/>
        <w:rPr>
          <w:sz w:val="21"/>
        </w:rPr>
        <w:sectPr>
          <w:type w:val="continuous"/>
          <w:pgSz w:w="11910" w:h="16840"/>
          <w:pgMar w:top="700" w:bottom="280" w:left="1020" w:right="8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8"/>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677"/>
        <w:gridCol w:w="7422"/>
      </w:tblGrid>
      <w:tr>
        <w:trPr>
          <w:trHeight w:val="1367" w:hRule="atLeast"/>
        </w:trPr>
        <w:tc>
          <w:tcPr>
            <w:tcW w:w="669" w:type="dxa"/>
          </w:tcPr>
          <w:p>
            <w:pPr>
              <w:pStyle w:val="TableParagraph"/>
              <w:rPr>
                <w:rFonts w:ascii="Times New Roman"/>
                <w:sz w:val="20"/>
              </w:rPr>
            </w:pPr>
          </w:p>
        </w:tc>
        <w:tc>
          <w:tcPr>
            <w:tcW w:w="1677" w:type="dxa"/>
          </w:tcPr>
          <w:p>
            <w:pPr>
              <w:pStyle w:val="TableParagraph"/>
              <w:spacing w:line="217" w:lineRule="exact"/>
              <w:ind w:left="90"/>
              <w:rPr>
                <w:b/>
                <w:sz w:val="21"/>
              </w:rPr>
            </w:pPr>
            <w:r>
              <w:rPr>
                <w:b/>
                <w:w w:val="95"/>
                <w:sz w:val="21"/>
              </w:rPr>
              <w:t>或患艾滋病</w:t>
            </w:r>
            <w:r>
              <w:rPr>
                <w:b/>
                <w:w w:val="99"/>
                <w:sz w:val="21"/>
              </w:rPr>
              <w:t> </w:t>
            </w:r>
          </w:p>
        </w:tc>
        <w:tc>
          <w:tcPr>
            <w:tcW w:w="7422" w:type="dxa"/>
          </w:tcPr>
          <w:p>
            <w:pPr>
              <w:pStyle w:val="TableParagraph"/>
              <w:spacing w:line="233" w:lineRule="exact"/>
              <w:ind w:left="113"/>
              <w:rPr>
                <w:sz w:val="21"/>
              </w:rPr>
            </w:pPr>
            <w:r>
              <w:rPr>
                <w:sz w:val="21"/>
              </w:rPr>
              <w:t>毒引起的获得性免疫缺陷综合征，英文缩写为 </w:t>
            </w:r>
            <w:r>
              <w:rPr>
                <w:rFonts w:ascii="Times New Roman" w:eastAsia="Times New Roman"/>
                <w:sz w:val="21"/>
              </w:rPr>
              <w:t>AIDS</w:t>
            </w:r>
            <w:r>
              <w:rPr>
                <w:sz w:val="21"/>
              </w:rPr>
              <w:t>。</w:t>
            </w:r>
          </w:p>
          <w:p>
            <w:pPr>
              <w:pStyle w:val="TableParagraph"/>
              <w:spacing w:line="358" w:lineRule="exact" w:before="27"/>
              <w:ind w:left="113" w:right="166"/>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355" w:hRule="atLeast"/>
        </w:trPr>
        <w:tc>
          <w:tcPr>
            <w:tcW w:w="669" w:type="dxa"/>
          </w:tcPr>
          <w:p>
            <w:pPr>
              <w:pStyle w:val="TableParagraph"/>
              <w:spacing w:before="9"/>
              <w:ind w:left="143"/>
              <w:rPr>
                <w:sz w:val="21"/>
              </w:rPr>
            </w:pPr>
            <w:r>
              <w:rPr>
                <w:sz w:val="21"/>
              </w:rPr>
              <w:t> </w:t>
            </w:r>
          </w:p>
        </w:tc>
        <w:tc>
          <w:tcPr>
            <w:tcW w:w="1677" w:type="dxa"/>
          </w:tcPr>
          <w:p>
            <w:pPr>
              <w:pStyle w:val="TableParagraph"/>
              <w:rPr>
                <w:rFonts w:ascii="Times New Roman"/>
                <w:sz w:val="20"/>
              </w:rPr>
            </w:pPr>
          </w:p>
        </w:tc>
        <w:tc>
          <w:tcPr>
            <w:tcW w:w="7422" w:type="dxa"/>
          </w:tcPr>
          <w:p>
            <w:pPr>
              <w:pStyle w:val="TableParagraph"/>
              <w:rPr>
                <w:rFonts w:ascii="Times New Roman"/>
                <w:sz w:val="20"/>
              </w:rPr>
            </w:pPr>
          </w:p>
        </w:tc>
      </w:tr>
      <w:tr>
        <w:trPr>
          <w:trHeight w:val="720" w:hRule="atLeast"/>
        </w:trPr>
        <w:tc>
          <w:tcPr>
            <w:tcW w:w="669" w:type="dxa"/>
          </w:tcPr>
          <w:p>
            <w:pPr>
              <w:pStyle w:val="TableParagraph"/>
              <w:spacing w:before="13"/>
              <w:ind w:left="50"/>
              <w:rPr>
                <w:b/>
                <w:sz w:val="21"/>
              </w:rPr>
            </w:pPr>
            <w:r>
              <w:rPr>
                <w:b/>
                <w:sz w:val="21"/>
              </w:rPr>
              <w:t>6.19 </w:t>
            </w:r>
          </w:p>
        </w:tc>
        <w:tc>
          <w:tcPr>
            <w:tcW w:w="1677" w:type="dxa"/>
          </w:tcPr>
          <w:p>
            <w:pPr>
              <w:pStyle w:val="TableParagraph"/>
              <w:spacing w:before="13"/>
              <w:ind w:left="90"/>
              <w:rPr>
                <w:b/>
                <w:sz w:val="21"/>
              </w:rPr>
            </w:pPr>
            <w:r>
              <w:rPr>
                <w:b/>
                <w:w w:val="95"/>
                <w:sz w:val="21"/>
              </w:rPr>
              <w:t>永久不可逆 </w:t>
            </w:r>
          </w:p>
        </w:tc>
        <w:tc>
          <w:tcPr>
            <w:tcW w:w="7422" w:type="dxa"/>
          </w:tcPr>
          <w:p>
            <w:pPr>
              <w:pStyle w:val="TableParagraph"/>
              <w:spacing w:line="295" w:lineRule="auto" w:before="13"/>
              <w:ind w:left="113" w:right="10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r>
        <w:trPr>
          <w:trHeight w:val="358" w:hRule="atLeast"/>
        </w:trPr>
        <w:tc>
          <w:tcPr>
            <w:tcW w:w="669" w:type="dxa"/>
          </w:tcPr>
          <w:p>
            <w:pPr>
              <w:pStyle w:val="TableParagraph"/>
              <w:spacing w:before="9"/>
              <w:ind w:left="143"/>
              <w:rPr>
                <w:sz w:val="21"/>
              </w:rPr>
            </w:pPr>
            <w:r>
              <w:rPr>
                <w:sz w:val="21"/>
              </w:rPr>
              <w:t> </w:t>
            </w:r>
          </w:p>
        </w:tc>
        <w:tc>
          <w:tcPr>
            <w:tcW w:w="1677" w:type="dxa"/>
          </w:tcPr>
          <w:p>
            <w:pPr>
              <w:pStyle w:val="TableParagraph"/>
              <w:rPr>
                <w:rFonts w:ascii="Times New Roman"/>
                <w:sz w:val="20"/>
              </w:rPr>
            </w:pPr>
          </w:p>
        </w:tc>
        <w:tc>
          <w:tcPr>
            <w:tcW w:w="7422" w:type="dxa"/>
          </w:tcPr>
          <w:p>
            <w:pPr>
              <w:pStyle w:val="TableParagraph"/>
              <w:rPr>
                <w:rFonts w:ascii="Times New Roman"/>
                <w:sz w:val="20"/>
              </w:rPr>
            </w:pPr>
          </w:p>
        </w:tc>
      </w:tr>
      <w:tr>
        <w:trPr>
          <w:trHeight w:val="358" w:hRule="atLeast"/>
        </w:trPr>
        <w:tc>
          <w:tcPr>
            <w:tcW w:w="669" w:type="dxa"/>
          </w:tcPr>
          <w:p>
            <w:pPr>
              <w:pStyle w:val="TableParagraph"/>
              <w:spacing w:before="9"/>
              <w:ind w:left="50"/>
              <w:rPr>
                <w:b/>
                <w:sz w:val="21"/>
              </w:rPr>
            </w:pPr>
            <w:r>
              <w:rPr>
                <w:b/>
                <w:sz w:val="21"/>
              </w:rPr>
              <w:t>6.20 </w:t>
            </w:r>
          </w:p>
        </w:tc>
        <w:tc>
          <w:tcPr>
            <w:tcW w:w="1677" w:type="dxa"/>
          </w:tcPr>
          <w:p>
            <w:pPr>
              <w:pStyle w:val="TableParagraph"/>
              <w:spacing w:before="9"/>
              <w:ind w:left="90"/>
              <w:rPr>
                <w:b/>
                <w:sz w:val="21"/>
              </w:rPr>
            </w:pPr>
            <w:r>
              <w:rPr>
                <w:b/>
                <w:w w:val="95"/>
                <w:sz w:val="21"/>
              </w:rPr>
              <w:t>肢体机能完全丧</w:t>
            </w:r>
          </w:p>
        </w:tc>
        <w:tc>
          <w:tcPr>
            <w:tcW w:w="7422" w:type="dxa"/>
          </w:tcPr>
          <w:p>
            <w:pPr>
              <w:pStyle w:val="TableParagraph"/>
              <w:spacing w:before="9"/>
              <w:ind w:left="113"/>
              <w:rPr>
                <w:sz w:val="21"/>
              </w:rPr>
            </w:pPr>
            <w:r>
              <w:rPr>
                <w:sz w:val="21"/>
              </w:rPr>
              <w:t>指肢体的三大关节中的两大关节僵硬，或不能随意识活动。肢体是指包括肩关</w:t>
            </w:r>
          </w:p>
        </w:tc>
      </w:tr>
      <w:tr>
        <w:trPr>
          <w:trHeight w:val="358" w:hRule="atLeast"/>
        </w:trPr>
        <w:tc>
          <w:tcPr>
            <w:tcW w:w="669" w:type="dxa"/>
          </w:tcPr>
          <w:p>
            <w:pPr>
              <w:pStyle w:val="TableParagraph"/>
              <w:rPr>
                <w:rFonts w:ascii="Times New Roman"/>
                <w:sz w:val="20"/>
              </w:rPr>
            </w:pPr>
          </w:p>
        </w:tc>
        <w:tc>
          <w:tcPr>
            <w:tcW w:w="1677" w:type="dxa"/>
          </w:tcPr>
          <w:p>
            <w:pPr>
              <w:pStyle w:val="TableParagraph"/>
              <w:spacing w:before="9"/>
              <w:ind w:left="90"/>
              <w:rPr>
                <w:b/>
                <w:sz w:val="21"/>
              </w:rPr>
            </w:pPr>
            <w:r>
              <w:rPr>
                <w:b/>
                <w:sz w:val="21"/>
              </w:rPr>
              <w:t>失 </w:t>
            </w:r>
          </w:p>
        </w:tc>
        <w:tc>
          <w:tcPr>
            <w:tcW w:w="7422" w:type="dxa"/>
          </w:tcPr>
          <w:p>
            <w:pPr>
              <w:pStyle w:val="TableParagraph"/>
              <w:spacing w:before="9"/>
              <w:ind w:left="113"/>
              <w:rPr>
                <w:sz w:val="21"/>
              </w:rPr>
            </w:pPr>
            <w:r>
              <w:rPr>
                <w:sz w:val="21"/>
              </w:rPr>
              <w:t>节的整个上肢或包括髋关节的整个下肢。</w:t>
            </w:r>
          </w:p>
        </w:tc>
      </w:tr>
      <w:tr>
        <w:trPr>
          <w:trHeight w:val="358" w:hRule="atLeast"/>
        </w:trPr>
        <w:tc>
          <w:tcPr>
            <w:tcW w:w="669" w:type="dxa"/>
          </w:tcPr>
          <w:p>
            <w:pPr>
              <w:pStyle w:val="TableParagraph"/>
              <w:spacing w:before="9"/>
              <w:ind w:left="50"/>
              <w:rPr>
                <w:b/>
                <w:sz w:val="21"/>
              </w:rPr>
            </w:pPr>
            <w:r>
              <w:rPr>
                <w:b/>
                <w:w w:val="99"/>
                <w:sz w:val="21"/>
              </w:rPr>
              <w:t> </w:t>
            </w:r>
          </w:p>
        </w:tc>
        <w:tc>
          <w:tcPr>
            <w:tcW w:w="1677" w:type="dxa"/>
          </w:tcPr>
          <w:p>
            <w:pPr>
              <w:pStyle w:val="TableParagraph"/>
              <w:spacing w:before="9"/>
              <w:ind w:left="90"/>
              <w:rPr>
                <w:b/>
                <w:sz w:val="21"/>
              </w:rPr>
            </w:pPr>
            <w:r>
              <w:rPr>
                <w:b/>
                <w:w w:val="99"/>
                <w:sz w:val="21"/>
              </w:rPr>
              <w:t> </w:t>
            </w:r>
          </w:p>
        </w:tc>
        <w:tc>
          <w:tcPr>
            <w:tcW w:w="7422" w:type="dxa"/>
          </w:tcPr>
          <w:p>
            <w:pPr>
              <w:pStyle w:val="TableParagraph"/>
              <w:rPr>
                <w:rFonts w:ascii="Times New Roman"/>
                <w:sz w:val="20"/>
              </w:rPr>
            </w:pPr>
          </w:p>
        </w:tc>
      </w:tr>
      <w:tr>
        <w:trPr>
          <w:trHeight w:val="358" w:hRule="atLeast"/>
        </w:trPr>
        <w:tc>
          <w:tcPr>
            <w:tcW w:w="669" w:type="dxa"/>
          </w:tcPr>
          <w:p>
            <w:pPr>
              <w:pStyle w:val="TableParagraph"/>
              <w:spacing w:before="9"/>
              <w:ind w:left="50"/>
              <w:rPr>
                <w:b/>
                <w:sz w:val="21"/>
              </w:rPr>
            </w:pPr>
            <w:r>
              <w:rPr>
                <w:b/>
                <w:sz w:val="21"/>
              </w:rPr>
              <w:t>6.21 </w:t>
            </w:r>
          </w:p>
        </w:tc>
        <w:tc>
          <w:tcPr>
            <w:tcW w:w="1677" w:type="dxa"/>
          </w:tcPr>
          <w:p>
            <w:pPr>
              <w:pStyle w:val="TableParagraph"/>
              <w:spacing w:before="9"/>
              <w:ind w:left="90"/>
              <w:rPr>
                <w:b/>
                <w:sz w:val="21"/>
              </w:rPr>
            </w:pPr>
            <w:r>
              <w:rPr>
                <w:b/>
                <w:w w:val="95"/>
                <w:sz w:val="21"/>
              </w:rPr>
              <w:t>语言能力或咀嚼</w:t>
            </w:r>
          </w:p>
        </w:tc>
        <w:tc>
          <w:tcPr>
            <w:tcW w:w="7422" w:type="dxa"/>
          </w:tcPr>
          <w:p>
            <w:pPr>
              <w:pStyle w:val="TableParagraph"/>
              <w:spacing w:before="9"/>
              <w:ind w:left="113"/>
              <w:rPr>
                <w:sz w:val="21"/>
              </w:rPr>
            </w:pPr>
            <w:r>
              <w:rPr>
                <w:sz w:val="21"/>
              </w:rPr>
              <w:t>语言能力完全丧失，指无法发出四种语音（包括口唇音、齿舌音、口盖音和喉</w:t>
            </w:r>
          </w:p>
        </w:tc>
      </w:tr>
      <w:tr>
        <w:trPr>
          <w:trHeight w:val="358" w:hRule="atLeast"/>
        </w:trPr>
        <w:tc>
          <w:tcPr>
            <w:tcW w:w="669" w:type="dxa"/>
          </w:tcPr>
          <w:p>
            <w:pPr>
              <w:pStyle w:val="TableParagraph"/>
              <w:rPr>
                <w:rFonts w:ascii="Times New Roman"/>
                <w:sz w:val="20"/>
              </w:rPr>
            </w:pPr>
          </w:p>
        </w:tc>
        <w:tc>
          <w:tcPr>
            <w:tcW w:w="1677" w:type="dxa"/>
          </w:tcPr>
          <w:p>
            <w:pPr>
              <w:pStyle w:val="TableParagraph"/>
              <w:spacing w:before="9"/>
              <w:ind w:left="90"/>
              <w:rPr>
                <w:b/>
                <w:sz w:val="21"/>
              </w:rPr>
            </w:pPr>
            <w:r>
              <w:rPr>
                <w:b/>
                <w:w w:val="95"/>
                <w:sz w:val="21"/>
              </w:rPr>
              <w:t>吞咽能力完全丧</w:t>
            </w:r>
          </w:p>
        </w:tc>
        <w:tc>
          <w:tcPr>
            <w:tcW w:w="7422" w:type="dxa"/>
          </w:tcPr>
          <w:p>
            <w:pPr>
              <w:pStyle w:val="TableParagraph"/>
              <w:spacing w:before="9"/>
              <w:ind w:left="113"/>
              <w:rPr>
                <w:sz w:val="21"/>
              </w:rPr>
            </w:pPr>
            <w:r>
              <w:rPr>
                <w:sz w:val="21"/>
              </w:rPr>
              <w:t>头音</w:t>
            </w:r>
            <w:r>
              <w:rPr>
                <w:spacing w:val="-31"/>
                <w:sz w:val="21"/>
              </w:rPr>
              <w:t>）</w:t>
            </w:r>
            <w:r>
              <w:rPr>
                <w:spacing w:val="-7"/>
                <w:sz w:val="21"/>
              </w:rPr>
              <w:t>中的任何三种、或声带全部切除，或因大脑语言中枢受伤害而患失语症。</w:t>
            </w:r>
          </w:p>
        </w:tc>
      </w:tr>
      <w:tr>
        <w:trPr>
          <w:trHeight w:val="358" w:hRule="atLeast"/>
        </w:trPr>
        <w:tc>
          <w:tcPr>
            <w:tcW w:w="669" w:type="dxa"/>
          </w:tcPr>
          <w:p>
            <w:pPr>
              <w:pStyle w:val="TableParagraph"/>
              <w:rPr>
                <w:rFonts w:ascii="Times New Roman"/>
                <w:sz w:val="20"/>
              </w:rPr>
            </w:pPr>
          </w:p>
        </w:tc>
        <w:tc>
          <w:tcPr>
            <w:tcW w:w="1677" w:type="dxa"/>
          </w:tcPr>
          <w:p>
            <w:pPr>
              <w:pStyle w:val="TableParagraph"/>
              <w:spacing w:before="9"/>
              <w:ind w:left="90"/>
              <w:rPr>
                <w:b/>
                <w:sz w:val="21"/>
              </w:rPr>
            </w:pPr>
            <w:r>
              <w:rPr>
                <w:b/>
                <w:sz w:val="21"/>
              </w:rPr>
              <w:t>失 </w:t>
            </w:r>
          </w:p>
        </w:tc>
        <w:tc>
          <w:tcPr>
            <w:tcW w:w="7422" w:type="dxa"/>
          </w:tcPr>
          <w:p>
            <w:pPr>
              <w:pStyle w:val="TableParagraph"/>
              <w:spacing w:before="9"/>
              <w:ind w:left="113"/>
              <w:rPr>
                <w:sz w:val="21"/>
              </w:rPr>
            </w:pPr>
            <w:r>
              <w:rPr>
                <w:sz w:val="21"/>
              </w:rPr>
              <w:t>咀嚼吞咽能力完全丧失，指因牙齿以外的原因导致器质障碍或机能障碍，以致</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不能作咀嚼吞咽运动，除流质食物外不能摄取或吞咽的状态。</w:t>
            </w:r>
          </w:p>
        </w:tc>
      </w:tr>
      <w:tr>
        <w:trPr>
          <w:trHeight w:val="358" w:hRule="atLeast"/>
        </w:trPr>
        <w:tc>
          <w:tcPr>
            <w:tcW w:w="669" w:type="dxa"/>
          </w:tcPr>
          <w:p>
            <w:pPr>
              <w:pStyle w:val="TableParagraph"/>
              <w:spacing w:before="9"/>
              <w:ind w:left="50"/>
              <w:rPr>
                <w:b/>
                <w:sz w:val="21"/>
              </w:rPr>
            </w:pPr>
            <w:r>
              <w:rPr>
                <w:b/>
                <w:w w:val="99"/>
                <w:sz w:val="21"/>
              </w:rPr>
              <w:t> </w:t>
            </w:r>
          </w:p>
        </w:tc>
        <w:tc>
          <w:tcPr>
            <w:tcW w:w="1677" w:type="dxa"/>
          </w:tcPr>
          <w:p>
            <w:pPr>
              <w:pStyle w:val="TableParagraph"/>
              <w:spacing w:before="9"/>
              <w:ind w:left="90"/>
              <w:rPr>
                <w:b/>
                <w:sz w:val="21"/>
              </w:rPr>
            </w:pPr>
            <w:r>
              <w:rPr>
                <w:b/>
                <w:w w:val="99"/>
                <w:sz w:val="21"/>
              </w:rPr>
              <w:t> </w:t>
            </w:r>
          </w:p>
        </w:tc>
        <w:tc>
          <w:tcPr>
            <w:tcW w:w="7422" w:type="dxa"/>
          </w:tcPr>
          <w:p>
            <w:pPr>
              <w:pStyle w:val="TableParagraph"/>
              <w:rPr>
                <w:rFonts w:ascii="Times New Roman"/>
                <w:sz w:val="20"/>
              </w:rPr>
            </w:pPr>
          </w:p>
        </w:tc>
      </w:tr>
      <w:tr>
        <w:trPr>
          <w:trHeight w:val="358" w:hRule="atLeast"/>
        </w:trPr>
        <w:tc>
          <w:tcPr>
            <w:tcW w:w="669" w:type="dxa"/>
          </w:tcPr>
          <w:p>
            <w:pPr>
              <w:pStyle w:val="TableParagraph"/>
              <w:spacing w:before="9"/>
              <w:ind w:left="50"/>
              <w:rPr>
                <w:b/>
                <w:sz w:val="21"/>
              </w:rPr>
            </w:pPr>
            <w:r>
              <w:rPr>
                <w:b/>
                <w:sz w:val="21"/>
              </w:rPr>
              <w:t>6.22 </w:t>
            </w:r>
          </w:p>
        </w:tc>
        <w:tc>
          <w:tcPr>
            <w:tcW w:w="1677" w:type="dxa"/>
          </w:tcPr>
          <w:p>
            <w:pPr>
              <w:pStyle w:val="TableParagraph"/>
              <w:spacing w:before="9"/>
              <w:ind w:left="90"/>
              <w:rPr>
                <w:b/>
                <w:sz w:val="21"/>
              </w:rPr>
            </w:pPr>
            <w:r>
              <w:rPr>
                <w:b/>
                <w:w w:val="95"/>
                <w:sz w:val="21"/>
              </w:rPr>
              <w:t>六项基本日常生</w:t>
            </w:r>
          </w:p>
        </w:tc>
        <w:tc>
          <w:tcPr>
            <w:tcW w:w="7422" w:type="dxa"/>
          </w:tcPr>
          <w:p>
            <w:pPr>
              <w:pStyle w:val="TableParagraph"/>
              <w:spacing w:before="9"/>
              <w:ind w:left="113"/>
              <w:rPr>
                <w:sz w:val="21"/>
              </w:rPr>
            </w:pPr>
            <w:r>
              <w:rPr>
                <w:sz w:val="21"/>
              </w:rPr>
              <w:t>六项基本日常生活活动是指：</w:t>
            </w:r>
          </w:p>
        </w:tc>
      </w:tr>
      <w:tr>
        <w:trPr>
          <w:trHeight w:val="358" w:hRule="atLeast"/>
        </w:trPr>
        <w:tc>
          <w:tcPr>
            <w:tcW w:w="669" w:type="dxa"/>
          </w:tcPr>
          <w:p>
            <w:pPr>
              <w:pStyle w:val="TableParagraph"/>
              <w:rPr>
                <w:rFonts w:ascii="Times New Roman"/>
                <w:sz w:val="20"/>
              </w:rPr>
            </w:pPr>
          </w:p>
        </w:tc>
        <w:tc>
          <w:tcPr>
            <w:tcW w:w="1677" w:type="dxa"/>
          </w:tcPr>
          <w:p>
            <w:pPr>
              <w:pStyle w:val="TableParagraph"/>
              <w:spacing w:before="9"/>
              <w:ind w:left="90"/>
              <w:rPr>
                <w:b/>
                <w:sz w:val="21"/>
              </w:rPr>
            </w:pPr>
            <w:r>
              <w:rPr>
                <w:b/>
                <w:w w:val="95"/>
                <w:sz w:val="21"/>
              </w:rPr>
              <w:t>活活动</w:t>
            </w:r>
            <w:r>
              <w:rPr>
                <w:b/>
                <w:w w:val="99"/>
                <w:sz w:val="21"/>
              </w:rPr>
              <w:t> </w:t>
            </w:r>
          </w:p>
        </w:tc>
        <w:tc>
          <w:tcPr>
            <w:tcW w:w="7422" w:type="dxa"/>
          </w:tcPr>
          <w:p>
            <w:pPr>
              <w:pStyle w:val="TableParagraph"/>
              <w:spacing w:before="9"/>
              <w:ind w:left="113"/>
              <w:rPr>
                <w:sz w:val="21"/>
              </w:rPr>
            </w:pPr>
            <w:r>
              <w:rPr>
                <w:sz w:val="21"/>
              </w:rPr>
              <w:t>（1） 穿衣：自己能够穿衣及脱衣； </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（2） 移动：自己从一个房间到另一个房间； </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（3） 行动：自己上下床或上下轮椅； </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（4） 如厕：自己控制进行大小便； </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（5） 进食：自己从已准备好的碗或碟中取食物放入口中； </w:t>
            </w:r>
          </w:p>
        </w:tc>
      </w:tr>
      <w:tr>
        <w:trPr>
          <w:trHeight w:val="358" w:hRule="atLeast"/>
        </w:trPr>
        <w:tc>
          <w:tcPr>
            <w:tcW w:w="669" w:type="dxa"/>
          </w:tcPr>
          <w:p>
            <w:pPr>
              <w:pStyle w:val="TableParagraph"/>
              <w:rPr>
                <w:rFonts w:ascii="Times New Roman"/>
                <w:sz w:val="20"/>
              </w:rPr>
            </w:pPr>
          </w:p>
        </w:tc>
        <w:tc>
          <w:tcPr>
            <w:tcW w:w="1677" w:type="dxa"/>
          </w:tcPr>
          <w:p>
            <w:pPr>
              <w:pStyle w:val="TableParagraph"/>
              <w:rPr>
                <w:rFonts w:ascii="Times New Roman"/>
                <w:sz w:val="20"/>
              </w:rPr>
            </w:pPr>
          </w:p>
        </w:tc>
        <w:tc>
          <w:tcPr>
            <w:tcW w:w="7422" w:type="dxa"/>
          </w:tcPr>
          <w:p>
            <w:pPr>
              <w:pStyle w:val="TableParagraph"/>
              <w:spacing w:before="9"/>
              <w:ind w:left="113"/>
              <w:rPr>
                <w:sz w:val="21"/>
              </w:rPr>
            </w:pPr>
            <w:r>
              <w:rPr>
                <w:sz w:val="21"/>
              </w:rPr>
              <w:t>（6） 洗澡：自己进行淋浴或盆浴。 </w:t>
            </w:r>
          </w:p>
        </w:tc>
      </w:tr>
      <w:tr>
        <w:trPr>
          <w:trHeight w:val="358" w:hRule="atLeast"/>
        </w:trPr>
        <w:tc>
          <w:tcPr>
            <w:tcW w:w="669" w:type="dxa"/>
          </w:tcPr>
          <w:p>
            <w:pPr>
              <w:pStyle w:val="TableParagraph"/>
              <w:spacing w:before="9"/>
              <w:ind w:left="50"/>
              <w:rPr>
                <w:b/>
                <w:sz w:val="21"/>
              </w:rPr>
            </w:pPr>
            <w:r>
              <w:rPr>
                <w:b/>
                <w:w w:val="99"/>
                <w:sz w:val="21"/>
              </w:rPr>
              <w:t> </w:t>
            </w:r>
          </w:p>
        </w:tc>
        <w:tc>
          <w:tcPr>
            <w:tcW w:w="1677" w:type="dxa"/>
          </w:tcPr>
          <w:p>
            <w:pPr>
              <w:pStyle w:val="TableParagraph"/>
              <w:spacing w:before="9"/>
              <w:ind w:left="90"/>
              <w:rPr>
                <w:b/>
                <w:sz w:val="21"/>
              </w:rPr>
            </w:pPr>
            <w:r>
              <w:rPr>
                <w:b/>
                <w:w w:val="99"/>
                <w:sz w:val="21"/>
              </w:rPr>
              <w:t> </w:t>
            </w:r>
          </w:p>
        </w:tc>
        <w:tc>
          <w:tcPr>
            <w:tcW w:w="7422" w:type="dxa"/>
          </w:tcPr>
          <w:p>
            <w:pPr>
              <w:pStyle w:val="TableParagraph"/>
              <w:rPr>
                <w:rFonts w:ascii="Times New Roman"/>
                <w:sz w:val="20"/>
              </w:rPr>
            </w:pPr>
          </w:p>
        </w:tc>
      </w:tr>
      <w:tr>
        <w:trPr>
          <w:trHeight w:val="284" w:hRule="atLeast"/>
        </w:trPr>
        <w:tc>
          <w:tcPr>
            <w:tcW w:w="669" w:type="dxa"/>
          </w:tcPr>
          <w:p>
            <w:pPr>
              <w:pStyle w:val="TableParagraph"/>
              <w:spacing w:line="255" w:lineRule="exact" w:before="9"/>
              <w:ind w:left="50"/>
              <w:rPr>
                <w:b/>
                <w:sz w:val="21"/>
              </w:rPr>
            </w:pPr>
            <w:r>
              <w:rPr>
                <w:b/>
                <w:w w:val="99"/>
                <w:sz w:val="21"/>
              </w:rPr>
              <w:t> </w:t>
            </w:r>
          </w:p>
        </w:tc>
        <w:tc>
          <w:tcPr>
            <w:tcW w:w="1677" w:type="dxa"/>
          </w:tcPr>
          <w:p>
            <w:pPr>
              <w:pStyle w:val="TableParagraph"/>
              <w:spacing w:line="255" w:lineRule="exact" w:before="9"/>
              <w:ind w:left="90"/>
              <w:rPr>
                <w:b/>
                <w:sz w:val="21"/>
              </w:rPr>
            </w:pPr>
            <w:r>
              <w:rPr>
                <w:b/>
                <w:w w:val="99"/>
                <w:sz w:val="21"/>
              </w:rPr>
              <w:t> </w:t>
            </w:r>
          </w:p>
        </w:tc>
        <w:tc>
          <w:tcPr>
            <w:tcW w:w="7422" w:type="dxa"/>
          </w:tcPr>
          <w:p>
            <w:pPr>
              <w:pStyle w:val="TableParagraph"/>
              <w:rPr>
                <w:rFonts w:ascii="Times New Roman"/>
                <w:sz w:val="20"/>
              </w:rPr>
            </w:pPr>
          </w:p>
        </w:tc>
      </w:tr>
    </w:tbl>
    <w:sectPr>
      <w:footerReference w:type="default" r:id="rId11"/>
      <w:pgSz w:w="11910" w:h="16840"/>
      <w:pgMar w:footer="998" w:header="501" w:top="700" w:bottom="1180" w:left="1020" w:right="840"/>
      <w:pgNumType w:start="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 w:name="黑体">
    <w:altName w:val="黑体"/>
    <w:charset w:val="86"/>
    <w:family w:val="modern"/>
    <w:pitch w:val="fixed"/>
  </w:font>
  <w:font w:name="Microsoft JhengHei">
    <w:altName w:val="Microsoft JhengHei"/>
    <w:charset w:val="0"/>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80005pt;margin-top:781.119568pt;width:8.5pt;height:12pt;mso-position-horizontal-relative:page;mso-position-vertical-relative:page;z-index:-137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13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13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137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00001pt;margin-top:24.048761pt;width:44.5pt;height:12.05pt;mso-position-horizontal-relative:page;mso-position-vertical-relative:page;z-index:-137440" type="#_x0000_t202" filled="false" stroked="false">
          <v:textbox inset="0,0,0,0">
            <w:txbxContent>
              <w:p>
                <w:pPr>
                  <w:spacing w:line="220" w:lineRule="exact" w:before="0"/>
                  <w:ind w:left="20" w:right="0" w:firstLine="0"/>
                  <w:jc w:val="left"/>
                  <w:rPr>
                    <w:sz w:val="20"/>
                  </w:rPr>
                </w:pPr>
                <w:r>
                  <w:rPr>
                    <w:sz w:val="20"/>
                  </w:rPr>
                  <w:t>附件 1-2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2631" w:hanging="425"/>
        <w:jc w:val="left"/>
      </w:pPr>
      <w:rPr>
        <w:rFonts w:hint="default"/>
      </w:rPr>
    </w:lvl>
    <w:lvl w:ilvl="1">
      <w:start w:val="12"/>
      <w:numFmt w:val="decimal"/>
      <w:lvlText w:val="%1.%2"/>
      <w:lvlJc w:val="left"/>
      <w:pPr>
        <w:ind w:left="2631" w:hanging="425"/>
        <w:jc w:val="left"/>
      </w:pPr>
      <w:rPr>
        <w:rFonts w:hint="default" w:ascii="宋体" w:hAnsi="宋体" w:eastAsia="宋体" w:cs="宋体"/>
        <w:b/>
        <w:bCs/>
        <w:spacing w:val="-32"/>
        <w:w w:val="99"/>
        <w:sz w:val="19"/>
        <w:szCs w:val="19"/>
      </w:rPr>
    </w:lvl>
    <w:lvl w:ilvl="2">
      <w:start w:val="0"/>
      <w:numFmt w:val="bullet"/>
      <w:lvlText w:val="•"/>
      <w:lvlJc w:val="left"/>
      <w:pPr>
        <w:ind w:left="4112" w:hanging="425"/>
      </w:pPr>
      <w:rPr>
        <w:rFonts w:hint="default"/>
      </w:rPr>
    </w:lvl>
    <w:lvl w:ilvl="3">
      <w:start w:val="0"/>
      <w:numFmt w:val="bullet"/>
      <w:lvlText w:val="•"/>
      <w:lvlJc w:val="left"/>
      <w:pPr>
        <w:ind w:left="4849" w:hanging="425"/>
      </w:pPr>
      <w:rPr>
        <w:rFonts w:hint="default"/>
      </w:rPr>
    </w:lvl>
    <w:lvl w:ilvl="4">
      <w:start w:val="0"/>
      <w:numFmt w:val="bullet"/>
      <w:lvlText w:val="•"/>
      <w:lvlJc w:val="left"/>
      <w:pPr>
        <w:ind w:left="5585" w:hanging="425"/>
      </w:pPr>
      <w:rPr>
        <w:rFonts w:hint="default"/>
      </w:rPr>
    </w:lvl>
    <w:lvl w:ilvl="5">
      <w:start w:val="0"/>
      <w:numFmt w:val="bullet"/>
      <w:lvlText w:val="•"/>
      <w:lvlJc w:val="left"/>
      <w:pPr>
        <w:ind w:left="6322" w:hanging="425"/>
      </w:pPr>
      <w:rPr>
        <w:rFonts w:hint="default"/>
      </w:rPr>
    </w:lvl>
    <w:lvl w:ilvl="6">
      <w:start w:val="0"/>
      <w:numFmt w:val="bullet"/>
      <w:lvlText w:val="•"/>
      <w:lvlJc w:val="left"/>
      <w:pPr>
        <w:ind w:left="7058" w:hanging="425"/>
      </w:pPr>
      <w:rPr>
        <w:rFonts w:hint="default"/>
      </w:rPr>
    </w:lvl>
    <w:lvl w:ilvl="7">
      <w:start w:val="0"/>
      <w:numFmt w:val="bullet"/>
      <w:lvlText w:val="•"/>
      <w:lvlJc w:val="left"/>
      <w:pPr>
        <w:ind w:left="7795" w:hanging="425"/>
      </w:pPr>
      <w:rPr>
        <w:rFonts w:hint="default"/>
      </w:rPr>
    </w:lvl>
    <w:lvl w:ilvl="8">
      <w:start w:val="0"/>
      <w:numFmt w:val="bullet"/>
      <w:lvlText w:val="•"/>
      <w:lvlJc w:val="left"/>
      <w:pPr>
        <w:ind w:left="8531" w:hanging="425"/>
      </w:pPr>
      <w:rPr>
        <w:rFonts w:hint="default"/>
      </w:rPr>
    </w:lvl>
  </w:abstractNum>
  <w:abstractNum w:abstractNumId="11">
    <w:multiLevelType w:val="hybridMultilevel"/>
    <w:lvl w:ilvl="0">
      <w:start w:val="6"/>
      <w:numFmt w:val="decimal"/>
      <w:lvlText w:val="%1"/>
      <w:lvlJc w:val="left"/>
      <w:pPr>
        <w:ind w:left="2631" w:hanging="319"/>
        <w:jc w:val="left"/>
      </w:pPr>
      <w:rPr>
        <w:rFonts w:hint="default"/>
      </w:rPr>
    </w:lvl>
    <w:lvl w:ilvl="1">
      <w:start w:val="6"/>
      <w:numFmt w:val="decimal"/>
      <w:lvlText w:val="%1.%2"/>
      <w:lvlJc w:val="left"/>
      <w:pPr>
        <w:ind w:left="2631" w:hanging="319"/>
        <w:jc w:val="left"/>
      </w:pPr>
      <w:rPr>
        <w:rFonts w:hint="default" w:ascii="宋体" w:hAnsi="宋体" w:eastAsia="宋体" w:cs="宋体"/>
        <w:b/>
        <w:bCs/>
        <w:spacing w:val="0"/>
        <w:w w:val="99"/>
        <w:position w:val="-1"/>
        <w:sz w:val="19"/>
        <w:szCs w:val="19"/>
      </w:rPr>
    </w:lvl>
    <w:lvl w:ilvl="2">
      <w:start w:val="0"/>
      <w:numFmt w:val="bullet"/>
      <w:lvlText w:val="•"/>
      <w:lvlJc w:val="left"/>
      <w:pPr>
        <w:ind w:left="4100" w:hanging="319"/>
      </w:pPr>
      <w:rPr>
        <w:rFonts w:hint="default"/>
      </w:rPr>
    </w:lvl>
    <w:lvl w:ilvl="3">
      <w:start w:val="0"/>
      <w:numFmt w:val="bullet"/>
      <w:lvlText w:val="•"/>
      <w:lvlJc w:val="left"/>
      <w:pPr>
        <w:ind w:left="4831" w:hanging="319"/>
      </w:pPr>
      <w:rPr>
        <w:rFonts w:hint="default"/>
      </w:rPr>
    </w:lvl>
    <w:lvl w:ilvl="4">
      <w:start w:val="0"/>
      <w:numFmt w:val="bullet"/>
      <w:lvlText w:val="•"/>
      <w:lvlJc w:val="left"/>
      <w:pPr>
        <w:ind w:left="5561" w:hanging="319"/>
      </w:pPr>
      <w:rPr>
        <w:rFonts w:hint="default"/>
      </w:rPr>
    </w:lvl>
    <w:lvl w:ilvl="5">
      <w:start w:val="0"/>
      <w:numFmt w:val="bullet"/>
      <w:lvlText w:val="•"/>
      <w:lvlJc w:val="left"/>
      <w:pPr>
        <w:ind w:left="6292" w:hanging="319"/>
      </w:pPr>
      <w:rPr>
        <w:rFonts w:hint="default"/>
      </w:rPr>
    </w:lvl>
    <w:lvl w:ilvl="6">
      <w:start w:val="0"/>
      <w:numFmt w:val="bullet"/>
      <w:lvlText w:val="•"/>
      <w:lvlJc w:val="left"/>
      <w:pPr>
        <w:ind w:left="7022" w:hanging="319"/>
      </w:pPr>
      <w:rPr>
        <w:rFonts w:hint="default"/>
      </w:rPr>
    </w:lvl>
    <w:lvl w:ilvl="7">
      <w:start w:val="0"/>
      <w:numFmt w:val="bullet"/>
      <w:lvlText w:val="•"/>
      <w:lvlJc w:val="left"/>
      <w:pPr>
        <w:ind w:left="7753" w:hanging="319"/>
      </w:pPr>
      <w:rPr>
        <w:rFonts w:hint="default"/>
      </w:rPr>
    </w:lvl>
    <w:lvl w:ilvl="8">
      <w:start w:val="0"/>
      <w:numFmt w:val="bullet"/>
      <w:lvlText w:val="•"/>
      <w:lvlJc w:val="left"/>
      <w:pPr>
        <w:ind w:left="8483" w:hanging="319"/>
      </w:pPr>
      <w:rPr>
        <w:rFonts w:hint="default"/>
      </w:rPr>
    </w:lvl>
  </w:abstractNum>
  <w:abstractNum w:abstractNumId="10">
    <w:multiLevelType w:val="hybridMultilevel"/>
    <w:lvl w:ilvl="0">
      <w:start w:val="6"/>
      <w:numFmt w:val="decimal"/>
      <w:lvlText w:val="%1"/>
      <w:lvlJc w:val="left"/>
      <w:pPr>
        <w:ind w:left="2631" w:hanging="319"/>
        <w:jc w:val="left"/>
      </w:pPr>
      <w:rPr>
        <w:rFonts w:hint="default"/>
      </w:rPr>
    </w:lvl>
    <w:lvl w:ilvl="1">
      <w:start w:val="1"/>
      <w:numFmt w:val="decimal"/>
      <w:lvlText w:val="%1.%2"/>
      <w:lvlJc w:val="left"/>
      <w:pPr>
        <w:ind w:left="2631" w:hanging="319"/>
        <w:jc w:val="left"/>
      </w:pPr>
      <w:rPr>
        <w:rFonts w:hint="default" w:ascii="宋体" w:hAnsi="宋体" w:eastAsia="宋体" w:cs="宋体"/>
        <w:b/>
        <w:bCs/>
        <w:w w:val="99"/>
        <w:sz w:val="19"/>
        <w:szCs w:val="19"/>
      </w:rPr>
    </w:lvl>
    <w:lvl w:ilvl="2">
      <w:start w:val="0"/>
      <w:numFmt w:val="bullet"/>
      <w:lvlText w:val="•"/>
      <w:lvlJc w:val="left"/>
      <w:pPr>
        <w:ind w:left="4128" w:hanging="319"/>
      </w:pPr>
      <w:rPr>
        <w:rFonts w:hint="default"/>
      </w:rPr>
    </w:lvl>
    <w:lvl w:ilvl="3">
      <w:start w:val="0"/>
      <w:numFmt w:val="bullet"/>
      <w:lvlText w:val="•"/>
      <w:lvlJc w:val="left"/>
      <w:pPr>
        <w:ind w:left="4873" w:hanging="319"/>
      </w:pPr>
      <w:rPr>
        <w:rFonts w:hint="default"/>
      </w:rPr>
    </w:lvl>
    <w:lvl w:ilvl="4">
      <w:start w:val="0"/>
      <w:numFmt w:val="bullet"/>
      <w:lvlText w:val="•"/>
      <w:lvlJc w:val="left"/>
      <w:pPr>
        <w:ind w:left="5617" w:hanging="319"/>
      </w:pPr>
      <w:rPr>
        <w:rFonts w:hint="default"/>
      </w:rPr>
    </w:lvl>
    <w:lvl w:ilvl="5">
      <w:start w:val="0"/>
      <w:numFmt w:val="bullet"/>
      <w:lvlText w:val="•"/>
      <w:lvlJc w:val="left"/>
      <w:pPr>
        <w:ind w:left="6362" w:hanging="319"/>
      </w:pPr>
      <w:rPr>
        <w:rFonts w:hint="default"/>
      </w:rPr>
    </w:lvl>
    <w:lvl w:ilvl="6">
      <w:start w:val="0"/>
      <w:numFmt w:val="bullet"/>
      <w:lvlText w:val="•"/>
      <w:lvlJc w:val="left"/>
      <w:pPr>
        <w:ind w:left="7106" w:hanging="319"/>
      </w:pPr>
      <w:rPr>
        <w:rFonts w:hint="default"/>
      </w:rPr>
    </w:lvl>
    <w:lvl w:ilvl="7">
      <w:start w:val="0"/>
      <w:numFmt w:val="bullet"/>
      <w:lvlText w:val="•"/>
      <w:lvlJc w:val="left"/>
      <w:pPr>
        <w:ind w:left="7851" w:hanging="319"/>
      </w:pPr>
      <w:rPr>
        <w:rFonts w:hint="default"/>
      </w:rPr>
    </w:lvl>
    <w:lvl w:ilvl="8">
      <w:start w:val="0"/>
      <w:numFmt w:val="bullet"/>
      <w:lvlText w:val="•"/>
      <w:lvlJc w:val="left"/>
      <w:pPr>
        <w:ind w:left="8595" w:hanging="319"/>
      </w:pPr>
      <w:rPr>
        <w:rFonts w:hint="default"/>
      </w:rPr>
    </w:lvl>
  </w:abstractNum>
  <w:abstractNum w:abstractNumId="9">
    <w:multiLevelType w:val="hybridMultilevel"/>
    <w:lvl w:ilvl="0">
      <w:start w:val="5"/>
      <w:numFmt w:val="decimal"/>
      <w:lvlText w:val="%1"/>
      <w:lvlJc w:val="left"/>
      <w:pPr>
        <w:ind w:left="2855" w:hanging="319"/>
        <w:jc w:val="left"/>
      </w:pPr>
      <w:rPr>
        <w:rFonts w:hint="default"/>
      </w:rPr>
    </w:lvl>
    <w:lvl w:ilvl="1">
      <w:start w:val="1"/>
      <w:numFmt w:val="decimal"/>
      <w:lvlText w:val="%1.%2"/>
      <w:lvlJc w:val="left"/>
      <w:pPr>
        <w:ind w:left="2855" w:hanging="319"/>
        <w:jc w:val="left"/>
      </w:pPr>
      <w:rPr>
        <w:rFonts w:hint="default" w:ascii="宋体" w:hAnsi="宋体" w:eastAsia="宋体" w:cs="宋体"/>
        <w:b/>
        <w:bCs/>
        <w:spacing w:val="0"/>
        <w:w w:val="99"/>
        <w:sz w:val="19"/>
        <w:szCs w:val="19"/>
      </w:rPr>
    </w:lvl>
    <w:lvl w:ilvl="2">
      <w:start w:val="0"/>
      <w:numFmt w:val="bullet"/>
      <w:lvlText w:val="•"/>
      <w:lvlJc w:val="left"/>
      <w:pPr>
        <w:ind w:left="4288" w:hanging="319"/>
      </w:pPr>
      <w:rPr>
        <w:rFonts w:hint="default"/>
      </w:rPr>
    </w:lvl>
    <w:lvl w:ilvl="3">
      <w:start w:val="0"/>
      <w:numFmt w:val="bullet"/>
      <w:lvlText w:val="•"/>
      <w:lvlJc w:val="left"/>
      <w:pPr>
        <w:ind w:left="5003" w:hanging="319"/>
      </w:pPr>
      <w:rPr>
        <w:rFonts w:hint="default"/>
      </w:rPr>
    </w:lvl>
    <w:lvl w:ilvl="4">
      <w:start w:val="0"/>
      <w:numFmt w:val="bullet"/>
      <w:lvlText w:val="•"/>
      <w:lvlJc w:val="left"/>
      <w:pPr>
        <w:ind w:left="5717" w:hanging="319"/>
      </w:pPr>
      <w:rPr>
        <w:rFonts w:hint="default"/>
      </w:rPr>
    </w:lvl>
    <w:lvl w:ilvl="5">
      <w:start w:val="0"/>
      <w:numFmt w:val="bullet"/>
      <w:lvlText w:val="•"/>
      <w:lvlJc w:val="left"/>
      <w:pPr>
        <w:ind w:left="6432" w:hanging="319"/>
      </w:pPr>
      <w:rPr>
        <w:rFonts w:hint="default"/>
      </w:rPr>
    </w:lvl>
    <w:lvl w:ilvl="6">
      <w:start w:val="0"/>
      <w:numFmt w:val="bullet"/>
      <w:lvlText w:val="•"/>
      <w:lvlJc w:val="left"/>
      <w:pPr>
        <w:ind w:left="7146" w:hanging="319"/>
      </w:pPr>
      <w:rPr>
        <w:rFonts w:hint="default"/>
      </w:rPr>
    </w:lvl>
    <w:lvl w:ilvl="7">
      <w:start w:val="0"/>
      <w:numFmt w:val="bullet"/>
      <w:lvlText w:val="•"/>
      <w:lvlJc w:val="left"/>
      <w:pPr>
        <w:ind w:left="7861" w:hanging="319"/>
      </w:pPr>
      <w:rPr>
        <w:rFonts w:hint="default"/>
      </w:rPr>
    </w:lvl>
    <w:lvl w:ilvl="8">
      <w:start w:val="0"/>
      <w:numFmt w:val="bullet"/>
      <w:lvlText w:val="•"/>
      <w:lvlJc w:val="left"/>
      <w:pPr>
        <w:ind w:left="8575" w:hanging="319"/>
      </w:pPr>
      <w:rPr>
        <w:rFonts w:hint="default"/>
      </w:rPr>
    </w:lvl>
  </w:abstractNum>
  <w:abstractNum w:abstractNumId="8">
    <w:multiLevelType w:val="hybridMultilevel"/>
    <w:lvl w:ilvl="0">
      <w:start w:val="3"/>
      <w:numFmt w:val="decimal"/>
      <w:lvlText w:val="%1"/>
      <w:lvlJc w:val="left"/>
      <w:pPr>
        <w:ind w:left="2856" w:hanging="319"/>
        <w:jc w:val="left"/>
      </w:pPr>
      <w:rPr>
        <w:rFonts w:hint="default"/>
      </w:rPr>
    </w:lvl>
    <w:lvl w:ilvl="1">
      <w:start w:val="1"/>
      <w:numFmt w:val="decimal"/>
      <w:lvlText w:val="%1.%2"/>
      <w:lvlJc w:val="left"/>
      <w:pPr>
        <w:ind w:left="2856" w:hanging="319"/>
        <w:jc w:val="left"/>
      </w:pPr>
      <w:rPr>
        <w:rFonts w:hint="default" w:ascii="宋体" w:hAnsi="宋体" w:eastAsia="宋体" w:cs="宋体"/>
        <w:b/>
        <w:bCs/>
        <w:spacing w:val="-79"/>
        <w:w w:val="99"/>
        <w:sz w:val="19"/>
        <w:szCs w:val="19"/>
      </w:rPr>
    </w:lvl>
    <w:lvl w:ilvl="2">
      <w:start w:val="0"/>
      <w:numFmt w:val="bullet"/>
      <w:lvlText w:val="•"/>
      <w:lvlJc w:val="left"/>
      <w:pPr>
        <w:ind w:left="4304" w:hanging="319"/>
      </w:pPr>
      <w:rPr>
        <w:rFonts w:hint="default"/>
      </w:rPr>
    </w:lvl>
    <w:lvl w:ilvl="3">
      <w:start w:val="0"/>
      <w:numFmt w:val="bullet"/>
      <w:lvlText w:val="•"/>
      <w:lvlJc w:val="left"/>
      <w:pPr>
        <w:ind w:left="5027" w:hanging="319"/>
      </w:pPr>
      <w:rPr>
        <w:rFonts w:hint="default"/>
      </w:rPr>
    </w:lvl>
    <w:lvl w:ilvl="4">
      <w:start w:val="0"/>
      <w:numFmt w:val="bullet"/>
      <w:lvlText w:val="•"/>
      <w:lvlJc w:val="left"/>
      <w:pPr>
        <w:ind w:left="5749" w:hanging="319"/>
      </w:pPr>
      <w:rPr>
        <w:rFonts w:hint="default"/>
      </w:rPr>
    </w:lvl>
    <w:lvl w:ilvl="5">
      <w:start w:val="0"/>
      <w:numFmt w:val="bullet"/>
      <w:lvlText w:val="•"/>
      <w:lvlJc w:val="left"/>
      <w:pPr>
        <w:ind w:left="6472" w:hanging="319"/>
      </w:pPr>
      <w:rPr>
        <w:rFonts w:hint="default"/>
      </w:rPr>
    </w:lvl>
    <w:lvl w:ilvl="6">
      <w:start w:val="0"/>
      <w:numFmt w:val="bullet"/>
      <w:lvlText w:val="•"/>
      <w:lvlJc w:val="left"/>
      <w:pPr>
        <w:ind w:left="7194" w:hanging="319"/>
      </w:pPr>
      <w:rPr>
        <w:rFonts w:hint="default"/>
      </w:rPr>
    </w:lvl>
    <w:lvl w:ilvl="7">
      <w:start w:val="0"/>
      <w:numFmt w:val="bullet"/>
      <w:lvlText w:val="•"/>
      <w:lvlJc w:val="left"/>
      <w:pPr>
        <w:ind w:left="7917" w:hanging="319"/>
      </w:pPr>
      <w:rPr>
        <w:rFonts w:hint="default"/>
      </w:rPr>
    </w:lvl>
    <w:lvl w:ilvl="8">
      <w:start w:val="0"/>
      <w:numFmt w:val="bullet"/>
      <w:lvlText w:val="•"/>
      <w:lvlJc w:val="left"/>
      <w:pPr>
        <w:ind w:left="8639" w:hanging="319"/>
      </w:pPr>
      <w:rPr>
        <w:rFonts w:hint="default"/>
      </w:rPr>
    </w:lvl>
  </w:abstractNum>
  <w:abstractNum w:abstractNumId="7">
    <w:multiLevelType w:val="hybridMultilevel"/>
    <w:lvl w:ilvl="0">
      <w:start w:val="2"/>
      <w:numFmt w:val="decimal"/>
      <w:lvlText w:val="%1"/>
      <w:lvlJc w:val="left"/>
      <w:pPr>
        <w:ind w:left="2856" w:hanging="318"/>
        <w:jc w:val="left"/>
      </w:pPr>
      <w:rPr>
        <w:rFonts w:hint="default"/>
      </w:rPr>
    </w:lvl>
    <w:lvl w:ilvl="1">
      <w:start w:val="1"/>
      <w:numFmt w:val="decimal"/>
      <w:lvlText w:val="%1.%2"/>
      <w:lvlJc w:val="left"/>
      <w:pPr>
        <w:ind w:left="2856" w:hanging="318"/>
        <w:jc w:val="left"/>
      </w:pPr>
      <w:rPr>
        <w:rFonts w:hint="default" w:ascii="宋体" w:hAnsi="宋体" w:eastAsia="宋体" w:cs="宋体"/>
        <w:b/>
        <w:bCs/>
        <w:w w:val="99"/>
        <w:sz w:val="19"/>
        <w:szCs w:val="19"/>
      </w:rPr>
    </w:lvl>
    <w:lvl w:ilvl="2">
      <w:start w:val="0"/>
      <w:numFmt w:val="bullet"/>
      <w:lvlText w:val="•"/>
      <w:lvlJc w:val="left"/>
      <w:pPr>
        <w:ind w:left="4304" w:hanging="318"/>
      </w:pPr>
      <w:rPr>
        <w:rFonts w:hint="default"/>
      </w:rPr>
    </w:lvl>
    <w:lvl w:ilvl="3">
      <w:start w:val="0"/>
      <w:numFmt w:val="bullet"/>
      <w:lvlText w:val="•"/>
      <w:lvlJc w:val="left"/>
      <w:pPr>
        <w:ind w:left="5027" w:hanging="318"/>
      </w:pPr>
      <w:rPr>
        <w:rFonts w:hint="default"/>
      </w:rPr>
    </w:lvl>
    <w:lvl w:ilvl="4">
      <w:start w:val="0"/>
      <w:numFmt w:val="bullet"/>
      <w:lvlText w:val="•"/>
      <w:lvlJc w:val="left"/>
      <w:pPr>
        <w:ind w:left="5749" w:hanging="318"/>
      </w:pPr>
      <w:rPr>
        <w:rFonts w:hint="default"/>
      </w:rPr>
    </w:lvl>
    <w:lvl w:ilvl="5">
      <w:start w:val="0"/>
      <w:numFmt w:val="bullet"/>
      <w:lvlText w:val="•"/>
      <w:lvlJc w:val="left"/>
      <w:pPr>
        <w:ind w:left="6472" w:hanging="318"/>
      </w:pPr>
      <w:rPr>
        <w:rFonts w:hint="default"/>
      </w:rPr>
    </w:lvl>
    <w:lvl w:ilvl="6">
      <w:start w:val="0"/>
      <w:numFmt w:val="bullet"/>
      <w:lvlText w:val="•"/>
      <w:lvlJc w:val="left"/>
      <w:pPr>
        <w:ind w:left="7194" w:hanging="318"/>
      </w:pPr>
      <w:rPr>
        <w:rFonts w:hint="default"/>
      </w:rPr>
    </w:lvl>
    <w:lvl w:ilvl="7">
      <w:start w:val="0"/>
      <w:numFmt w:val="bullet"/>
      <w:lvlText w:val="•"/>
      <w:lvlJc w:val="left"/>
      <w:pPr>
        <w:ind w:left="7917" w:hanging="318"/>
      </w:pPr>
      <w:rPr>
        <w:rFonts w:hint="default"/>
      </w:rPr>
    </w:lvl>
    <w:lvl w:ilvl="8">
      <w:start w:val="0"/>
      <w:numFmt w:val="bullet"/>
      <w:lvlText w:val="•"/>
      <w:lvlJc w:val="left"/>
      <w:pPr>
        <w:ind w:left="8639" w:hanging="318"/>
      </w:pPr>
      <w:rPr>
        <w:rFonts w:hint="default"/>
      </w:rPr>
    </w:lvl>
  </w:abstractNum>
  <w:abstractNum w:abstractNumId="6">
    <w:multiLevelType w:val="hybridMultilevel"/>
    <w:lvl w:ilvl="0">
      <w:start w:val="1"/>
      <w:numFmt w:val="decimal"/>
      <w:lvlText w:val="%1"/>
      <w:lvlJc w:val="left"/>
      <w:pPr>
        <w:ind w:left="2721" w:hanging="319"/>
        <w:jc w:val="left"/>
      </w:pPr>
      <w:rPr>
        <w:rFonts w:hint="default"/>
      </w:rPr>
    </w:lvl>
    <w:lvl w:ilvl="1">
      <w:start w:val="1"/>
      <w:numFmt w:val="decimal"/>
      <w:lvlText w:val="%1.%2"/>
      <w:lvlJc w:val="left"/>
      <w:pPr>
        <w:ind w:left="2721" w:hanging="319"/>
        <w:jc w:val="left"/>
      </w:pPr>
      <w:rPr>
        <w:rFonts w:hint="default" w:ascii="宋体" w:hAnsi="宋体" w:eastAsia="宋体" w:cs="宋体"/>
        <w:b/>
        <w:bCs/>
        <w:spacing w:val="0"/>
        <w:w w:val="99"/>
        <w:sz w:val="19"/>
        <w:szCs w:val="19"/>
      </w:rPr>
    </w:lvl>
    <w:lvl w:ilvl="2">
      <w:start w:val="0"/>
      <w:numFmt w:val="bullet"/>
      <w:lvlText w:val="•"/>
      <w:lvlJc w:val="left"/>
      <w:pPr>
        <w:ind w:left="4192" w:hanging="319"/>
      </w:pPr>
      <w:rPr>
        <w:rFonts w:hint="default"/>
      </w:rPr>
    </w:lvl>
    <w:lvl w:ilvl="3">
      <w:start w:val="0"/>
      <w:numFmt w:val="bullet"/>
      <w:lvlText w:val="•"/>
      <w:lvlJc w:val="left"/>
      <w:pPr>
        <w:ind w:left="4929" w:hanging="319"/>
      </w:pPr>
      <w:rPr>
        <w:rFonts w:hint="default"/>
      </w:rPr>
    </w:lvl>
    <w:lvl w:ilvl="4">
      <w:start w:val="0"/>
      <w:numFmt w:val="bullet"/>
      <w:lvlText w:val="•"/>
      <w:lvlJc w:val="left"/>
      <w:pPr>
        <w:ind w:left="5665" w:hanging="319"/>
      </w:pPr>
      <w:rPr>
        <w:rFonts w:hint="default"/>
      </w:rPr>
    </w:lvl>
    <w:lvl w:ilvl="5">
      <w:start w:val="0"/>
      <w:numFmt w:val="bullet"/>
      <w:lvlText w:val="•"/>
      <w:lvlJc w:val="left"/>
      <w:pPr>
        <w:ind w:left="6402" w:hanging="319"/>
      </w:pPr>
      <w:rPr>
        <w:rFonts w:hint="default"/>
      </w:rPr>
    </w:lvl>
    <w:lvl w:ilvl="6">
      <w:start w:val="0"/>
      <w:numFmt w:val="bullet"/>
      <w:lvlText w:val="•"/>
      <w:lvlJc w:val="left"/>
      <w:pPr>
        <w:ind w:left="7138" w:hanging="319"/>
      </w:pPr>
      <w:rPr>
        <w:rFonts w:hint="default"/>
      </w:rPr>
    </w:lvl>
    <w:lvl w:ilvl="7">
      <w:start w:val="0"/>
      <w:numFmt w:val="bullet"/>
      <w:lvlText w:val="•"/>
      <w:lvlJc w:val="left"/>
      <w:pPr>
        <w:ind w:left="7875" w:hanging="319"/>
      </w:pPr>
      <w:rPr>
        <w:rFonts w:hint="default"/>
      </w:rPr>
    </w:lvl>
    <w:lvl w:ilvl="8">
      <w:start w:val="0"/>
      <w:numFmt w:val="bullet"/>
      <w:lvlText w:val="•"/>
      <w:lvlJc w:val="left"/>
      <w:pPr>
        <w:ind w:left="8611" w:hanging="319"/>
      </w:pPr>
      <w:rPr>
        <w:rFonts w:hint="default"/>
      </w:rPr>
    </w:lvl>
  </w:abstractNum>
  <w:abstractNum w:abstractNumId="5">
    <w:multiLevelType w:val="hybridMultilevel"/>
    <w:lvl w:ilvl="0">
      <w:start w:val="6"/>
      <w:numFmt w:val="decimal"/>
      <w:lvlText w:val="%1"/>
      <w:lvlJc w:val="left"/>
      <w:pPr>
        <w:ind w:left="526" w:hanging="317"/>
        <w:jc w:val="left"/>
      </w:pPr>
      <w:rPr>
        <w:rFonts w:hint="default"/>
      </w:rPr>
    </w:lvl>
    <w:lvl w:ilvl="1">
      <w:start w:val="2"/>
      <w:numFmt w:val="decimal"/>
      <w:lvlText w:val="%1.%2"/>
      <w:lvlJc w:val="left"/>
      <w:pPr>
        <w:ind w:left="526" w:hanging="317"/>
        <w:jc w:val="left"/>
      </w:pPr>
      <w:rPr>
        <w:rFonts w:hint="default" w:ascii="宋体" w:hAnsi="宋体" w:eastAsia="宋体" w:cs="宋体"/>
        <w:spacing w:val="-2"/>
        <w:w w:val="100"/>
        <w:sz w:val="19"/>
        <w:szCs w:val="19"/>
      </w:rPr>
    </w:lvl>
    <w:lvl w:ilvl="2">
      <w:start w:val="0"/>
      <w:numFmt w:val="bullet"/>
      <w:lvlText w:val="•"/>
      <w:lvlJc w:val="left"/>
      <w:pPr>
        <w:ind w:left="1005" w:hanging="317"/>
      </w:pPr>
      <w:rPr>
        <w:rFonts w:hint="default"/>
      </w:rPr>
    </w:lvl>
    <w:lvl w:ilvl="3">
      <w:start w:val="0"/>
      <w:numFmt w:val="bullet"/>
      <w:lvlText w:val="•"/>
      <w:lvlJc w:val="left"/>
      <w:pPr>
        <w:ind w:left="1248" w:hanging="317"/>
      </w:pPr>
      <w:rPr>
        <w:rFonts w:hint="default"/>
      </w:rPr>
    </w:lvl>
    <w:lvl w:ilvl="4">
      <w:start w:val="0"/>
      <w:numFmt w:val="bullet"/>
      <w:lvlText w:val="•"/>
      <w:lvlJc w:val="left"/>
      <w:pPr>
        <w:ind w:left="1491" w:hanging="317"/>
      </w:pPr>
      <w:rPr>
        <w:rFonts w:hint="default"/>
      </w:rPr>
    </w:lvl>
    <w:lvl w:ilvl="5">
      <w:start w:val="0"/>
      <w:numFmt w:val="bullet"/>
      <w:lvlText w:val="•"/>
      <w:lvlJc w:val="left"/>
      <w:pPr>
        <w:ind w:left="1734" w:hanging="317"/>
      </w:pPr>
      <w:rPr>
        <w:rFonts w:hint="default"/>
      </w:rPr>
    </w:lvl>
    <w:lvl w:ilvl="6">
      <w:start w:val="0"/>
      <w:numFmt w:val="bullet"/>
      <w:lvlText w:val="•"/>
      <w:lvlJc w:val="left"/>
      <w:pPr>
        <w:ind w:left="1977" w:hanging="317"/>
      </w:pPr>
      <w:rPr>
        <w:rFonts w:hint="default"/>
      </w:rPr>
    </w:lvl>
    <w:lvl w:ilvl="7">
      <w:start w:val="0"/>
      <w:numFmt w:val="bullet"/>
      <w:lvlText w:val="•"/>
      <w:lvlJc w:val="left"/>
      <w:pPr>
        <w:ind w:left="2220" w:hanging="317"/>
      </w:pPr>
      <w:rPr>
        <w:rFonts w:hint="default"/>
      </w:rPr>
    </w:lvl>
    <w:lvl w:ilvl="8">
      <w:start w:val="0"/>
      <w:numFmt w:val="bullet"/>
      <w:lvlText w:val="•"/>
      <w:lvlJc w:val="left"/>
      <w:pPr>
        <w:ind w:left="2463" w:hanging="317"/>
      </w:pPr>
      <w:rPr>
        <w:rFonts w:hint="default"/>
      </w:rPr>
    </w:lvl>
  </w:abstractNum>
  <w:abstractNum w:abstractNumId="4">
    <w:multiLevelType w:val="hybridMultilevel"/>
    <w:lvl w:ilvl="0">
      <w:start w:val="3"/>
      <w:numFmt w:val="decimal"/>
      <w:lvlText w:val="%1"/>
      <w:lvlJc w:val="left"/>
      <w:pPr>
        <w:ind w:left="471" w:hanging="317"/>
        <w:jc w:val="left"/>
      </w:pPr>
      <w:rPr>
        <w:rFonts w:hint="default"/>
      </w:rPr>
    </w:lvl>
    <w:lvl w:ilvl="1">
      <w:start w:val="4"/>
      <w:numFmt w:val="decimal"/>
      <w:lvlText w:val="%1.%2"/>
      <w:lvlJc w:val="left"/>
      <w:pPr>
        <w:ind w:left="471" w:hanging="317"/>
        <w:jc w:val="left"/>
      </w:pPr>
      <w:rPr>
        <w:rFonts w:hint="default" w:ascii="宋体" w:hAnsi="宋体" w:eastAsia="宋体" w:cs="宋体"/>
        <w:spacing w:val="-2"/>
        <w:w w:val="100"/>
        <w:sz w:val="19"/>
        <w:szCs w:val="19"/>
      </w:rPr>
    </w:lvl>
    <w:lvl w:ilvl="2">
      <w:start w:val="0"/>
      <w:numFmt w:val="bullet"/>
      <w:lvlText w:val="•"/>
      <w:lvlJc w:val="left"/>
      <w:pPr>
        <w:ind w:left="1003" w:hanging="317"/>
      </w:pPr>
      <w:rPr>
        <w:rFonts w:hint="default"/>
      </w:rPr>
    </w:lvl>
    <w:lvl w:ilvl="3">
      <w:start w:val="0"/>
      <w:numFmt w:val="bullet"/>
      <w:lvlText w:val="•"/>
      <w:lvlJc w:val="left"/>
      <w:pPr>
        <w:ind w:left="1264" w:hanging="317"/>
      </w:pPr>
      <w:rPr>
        <w:rFonts w:hint="default"/>
      </w:rPr>
    </w:lvl>
    <w:lvl w:ilvl="4">
      <w:start w:val="0"/>
      <w:numFmt w:val="bullet"/>
      <w:lvlText w:val="•"/>
      <w:lvlJc w:val="left"/>
      <w:pPr>
        <w:ind w:left="1526" w:hanging="317"/>
      </w:pPr>
      <w:rPr>
        <w:rFonts w:hint="default"/>
      </w:rPr>
    </w:lvl>
    <w:lvl w:ilvl="5">
      <w:start w:val="0"/>
      <w:numFmt w:val="bullet"/>
      <w:lvlText w:val="•"/>
      <w:lvlJc w:val="left"/>
      <w:pPr>
        <w:ind w:left="1787" w:hanging="317"/>
      </w:pPr>
      <w:rPr>
        <w:rFonts w:hint="default"/>
      </w:rPr>
    </w:lvl>
    <w:lvl w:ilvl="6">
      <w:start w:val="0"/>
      <w:numFmt w:val="bullet"/>
      <w:lvlText w:val="•"/>
      <w:lvlJc w:val="left"/>
      <w:pPr>
        <w:ind w:left="2049" w:hanging="317"/>
      </w:pPr>
      <w:rPr>
        <w:rFonts w:hint="default"/>
      </w:rPr>
    </w:lvl>
    <w:lvl w:ilvl="7">
      <w:start w:val="0"/>
      <w:numFmt w:val="bullet"/>
      <w:lvlText w:val="•"/>
      <w:lvlJc w:val="left"/>
      <w:pPr>
        <w:ind w:left="2310" w:hanging="317"/>
      </w:pPr>
      <w:rPr>
        <w:rFonts w:hint="default"/>
      </w:rPr>
    </w:lvl>
    <w:lvl w:ilvl="8">
      <w:start w:val="0"/>
      <w:numFmt w:val="bullet"/>
      <w:lvlText w:val="•"/>
      <w:lvlJc w:val="left"/>
      <w:pPr>
        <w:ind w:left="2572" w:hanging="317"/>
      </w:pPr>
      <w:rPr>
        <w:rFonts w:hint="default"/>
      </w:rPr>
    </w:lvl>
  </w:abstractNum>
  <w:abstractNum w:abstractNumId="3">
    <w:multiLevelType w:val="hybridMultilevel"/>
    <w:lvl w:ilvl="0">
      <w:start w:val="6"/>
      <w:numFmt w:val="decimal"/>
      <w:lvlText w:val="%1"/>
      <w:lvlJc w:val="left"/>
      <w:pPr>
        <w:ind w:left="639" w:hanging="316"/>
        <w:jc w:val="left"/>
      </w:pPr>
      <w:rPr>
        <w:rFonts w:hint="default"/>
      </w:rPr>
    </w:lvl>
    <w:lvl w:ilvl="1">
      <w:start w:val="5"/>
      <w:numFmt w:val="decimal"/>
      <w:lvlText w:val="%1.%2"/>
      <w:lvlJc w:val="left"/>
      <w:pPr>
        <w:ind w:left="639" w:hanging="316"/>
        <w:jc w:val="left"/>
      </w:pPr>
      <w:rPr>
        <w:rFonts w:hint="default" w:ascii="宋体" w:hAnsi="宋体" w:eastAsia="宋体" w:cs="宋体"/>
        <w:spacing w:val="-1"/>
        <w:w w:val="100"/>
        <w:sz w:val="19"/>
        <w:szCs w:val="19"/>
      </w:rPr>
    </w:lvl>
    <w:lvl w:ilvl="2">
      <w:start w:val="0"/>
      <w:numFmt w:val="bullet"/>
      <w:lvlText w:val="•"/>
      <w:lvlJc w:val="left"/>
      <w:pPr>
        <w:ind w:left="1275" w:hanging="316"/>
      </w:pPr>
      <w:rPr>
        <w:rFonts w:hint="default"/>
      </w:rPr>
    </w:lvl>
    <w:lvl w:ilvl="3">
      <w:start w:val="0"/>
      <w:numFmt w:val="bullet"/>
      <w:lvlText w:val="•"/>
      <w:lvlJc w:val="left"/>
      <w:pPr>
        <w:ind w:left="1593" w:hanging="316"/>
      </w:pPr>
      <w:rPr>
        <w:rFonts w:hint="default"/>
      </w:rPr>
    </w:lvl>
    <w:lvl w:ilvl="4">
      <w:start w:val="0"/>
      <w:numFmt w:val="bullet"/>
      <w:lvlText w:val="•"/>
      <w:lvlJc w:val="left"/>
      <w:pPr>
        <w:ind w:left="1911" w:hanging="316"/>
      </w:pPr>
      <w:rPr>
        <w:rFonts w:hint="default"/>
      </w:rPr>
    </w:lvl>
    <w:lvl w:ilvl="5">
      <w:start w:val="0"/>
      <w:numFmt w:val="bullet"/>
      <w:lvlText w:val="•"/>
      <w:lvlJc w:val="left"/>
      <w:pPr>
        <w:ind w:left="2229" w:hanging="316"/>
      </w:pPr>
      <w:rPr>
        <w:rFonts w:hint="default"/>
      </w:rPr>
    </w:lvl>
    <w:lvl w:ilvl="6">
      <w:start w:val="0"/>
      <w:numFmt w:val="bullet"/>
      <w:lvlText w:val="•"/>
      <w:lvlJc w:val="left"/>
      <w:pPr>
        <w:ind w:left="2547" w:hanging="316"/>
      </w:pPr>
      <w:rPr>
        <w:rFonts w:hint="default"/>
      </w:rPr>
    </w:lvl>
    <w:lvl w:ilvl="7">
      <w:start w:val="0"/>
      <w:numFmt w:val="bullet"/>
      <w:lvlText w:val="•"/>
      <w:lvlJc w:val="left"/>
      <w:pPr>
        <w:ind w:left="2865" w:hanging="316"/>
      </w:pPr>
      <w:rPr>
        <w:rFonts w:hint="default"/>
      </w:rPr>
    </w:lvl>
    <w:lvl w:ilvl="8">
      <w:start w:val="0"/>
      <w:numFmt w:val="bullet"/>
      <w:lvlText w:val="•"/>
      <w:lvlJc w:val="left"/>
      <w:pPr>
        <w:ind w:left="3183" w:hanging="316"/>
      </w:pPr>
      <w:rPr>
        <w:rFonts w:hint="default"/>
      </w:rPr>
    </w:lvl>
  </w:abstractNum>
  <w:abstractNum w:abstractNumId="2">
    <w:multiLevelType w:val="hybridMultilevel"/>
    <w:lvl w:ilvl="0">
      <w:start w:val="4"/>
      <w:numFmt w:val="decimal"/>
      <w:lvlText w:val="%1"/>
      <w:lvlJc w:val="left"/>
      <w:pPr>
        <w:ind w:left="526" w:hanging="317"/>
        <w:jc w:val="left"/>
      </w:pPr>
      <w:rPr>
        <w:rFonts w:hint="default"/>
      </w:rPr>
    </w:lvl>
    <w:lvl w:ilvl="1">
      <w:start w:val="1"/>
      <w:numFmt w:val="decimal"/>
      <w:lvlText w:val="%1.%2"/>
      <w:lvlJc w:val="left"/>
      <w:pPr>
        <w:ind w:left="526" w:hanging="317"/>
        <w:jc w:val="left"/>
      </w:pPr>
      <w:rPr>
        <w:rFonts w:hint="default" w:ascii="宋体" w:hAnsi="宋体" w:eastAsia="宋体" w:cs="宋体"/>
        <w:spacing w:val="-2"/>
        <w:w w:val="100"/>
        <w:sz w:val="19"/>
        <w:szCs w:val="19"/>
      </w:rPr>
    </w:lvl>
    <w:lvl w:ilvl="2">
      <w:start w:val="0"/>
      <w:numFmt w:val="bullet"/>
      <w:lvlText w:val="•"/>
      <w:lvlJc w:val="left"/>
      <w:pPr>
        <w:ind w:left="1005" w:hanging="317"/>
      </w:pPr>
      <w:rPr>
        <w:rFonts w:hint="default"/>
      </w:rPr>
    </w:lvl>
    <w:lvl w:ilvl="3">
      <w:start w:val="0"/>
      <w:numFmt w:val="bullet"/>
      <w:lvlText w:val="•"/>
      <w:lvlJc w:val="left"/>
      <w:pPr>
        <w:ind w:left="1248" w:hanging="317"/>
      </w:pPr>
      <w:rPr>
        <w:rFonts w:hint="default"/>
      </w:rPr>
    </w:lvl>
    <w:lvl w:ilvl="4">
      <w:start w:val="0"/>
      <w:numFmt w:val="bullet"/>
      <w:lvlText w:val="•"/>
      <w:lvlJc w:val="left"/>
      <w:pPr>
        <w:ind w:left="1491" w:hanging="317"/>
      </w:pPr>
      <w:rPr>
        <w:rFonts w:hint="default"/>
      </w:rPr>
    </w:lvl>
    <w:lvl w:ilvl="5">
      <w:start w:val="0"/>
      <w:numFmt w:val="bullet"/>
      <w:lvlText w:val="•"/>
      <w:lvlJc w:val="left"/>
      <w:pPr>
        <w:ind w:left="1734" w:hanging="317"/>
      </w:pPr>
      <w:rPr>
        <w:rFonts w:hint="default"/>
      </w:rPr>
    </w:lvl>
    <w:lvl w:ilvl="6">
      <w:start w:val="0"/>
      <w:numFmt w:val="bullet"/>
      <w:lvlText w:val="•"/>
      <w:lvlJc w:val="left"/>
      <w:pPr>
        <w:ind w:left="1977" w:hanging="317"/>
      </w:pPr>
      <w:rPr>
        <w:rFonts w:hint="default"/>
      </w:rPr>
    </w:lvl>
    <w:lvl w:ilvl="7">
      <w:start w:val="0"/>
      <w:numFmt w:val="bullet"/>
      <w:lvlText w:val="•"/>
      <w:lvlJc w:val="left"/>
      <w:pPr>
        <w:ind w:left="2220" w:hanging="317"/>
      </w:pPr>
      <w:rPr>
        <w:rFonts w:hint="default"/>
      </w:rPr>
    </w:lvl>
    <w:lvl w:ilvl="8">
      <w:start w:val="0"/>
      <w:numFmt w:val="bullet"/>
      <w:lvlText w:val="•"/>
      <w:lvlJc w:val="left"/>
      <w:pPr>
        <w:ind w:left="2463" w:hanging="317"/>
      </w:pPr>
      <w:rPr>
        <w:rFonts w:hint="default"/>
      </w:rPr>
    </w:lvl>
  </w:abstractNum>
  <w:abstractNum w:abstractNumId="1">
    <w:multiLevelType w:val="hybridMultilevel"/>
    <w:lvl w:ilvl="0">
      <w:start w:val="1"/>
      <w:numFmt w:val="decimal"/>
      <w:lvlText w:val="%1"/>
      <w:lvlJc w:val="left"/>
      <w:pPr>
        <w:ind w:left="471" w:hanging="317"/>
        <w:jc w:val="left"/>
      </w:pPr>
      <w:rPr>
        <w:rFonts w:hint="default"/>
      </w:rPr>
    </w:lvl>
    <w:lvl w:ilvl="1">
      <w:start w:val="1"/>
      <w:numFmt w:val="decimal"/>
      <w:lvlText w:val="%1.%2"/>
      <w:lvlJc w:val="left"/>
      <w:pPr>
        <w:ind w:left="471" w:hanging="317"/>
        <w:jc w:val="left"/>
      </w:pPr>
      <w:rPr>
        <w:rFonts w:hint="default" w:ascii="宋体" w:hAnsi="宋体" w:eastAsia="宋体" w:cs="宋体"/>
        <w:spacing w:val="-2"/>
        <w:w w:val="100"/>
        <w:sz w:val="19"/>
        <w:szCs w:val="19"/>
      </w:rPr>
    </w:lvl>
    <w:lvl w:ilvl="2">
      <w:start w:val="0"/>
      <w:numFmt w:val="bullet"/>
      <w:lvlText w:val="•"/>
      <w:lvlJc w:val="left"/>
      <w:pPr>
        <w:ind w:left="1003" w:hanging="317"/>
      </w:pPr>
      <w:rPr>
        <w:rFonts w:hint="default"/>
      </w:rPr>
    </w:lvl>
    <w:lvl w:ilvl="3">
      <w:start w:val="0"/>
      <w:numFmt w:val="bullet"/>
      <w:lvlText w:val="•"/>
      <w:lvlJc w:val="left"/>
      <w:pPr>
        <w:ind w:left="1264" w:hanging="317"/>
      </w:pPr>
      <w:rPr>
        <w:rFonts w:hint="default"/>
      </w:rPr>
    </w:lvl>
    <w:lvl w:ilvl="4">
      <w:start w:val="0"/>
      <w:numFmt w:val="bullet"/>
      <w:lvlText w:val="•"/>
      <w:lvlJc w:val="left"/>
      <w:pPr>
        <w:ind w:left="1526" w:hanging="317"/>
      </w:pPr>
      <w:rPr>
        <w:rFonts w:hint="default"/>
      </w:rPr>
    </w:lvl>
    <w:lvl w:ilvl="5">
      <w:start w:val="0"/>
      <w:numFmt w:val="bullet"/>
      <w:lvlText w:val="•"/>
      <w:lvlJc w:val="left"/>
      <w:pPr>
        <w:ind w:left="1787" w:hanging="317"/>
      </w:pPr>
      <w:rPr>
        <w:rFonts w:hint="default"/>
      </w:rPr>
    </w:lvl>
    <w:lvl w:ilvl="6">
      <w:start w:val="0"/>
      <w:numFmt w:val="bullet"/>
      <w:lvlText w:val="•"/>
      <w:lvlJc w:val="left"/>
      <w:pPr>
        <w:ind w:left="2049" w:hanging="317"/>
      </w:pPr>
      <w:rPr>
        <w:rFonts w:hint="default"/>
      </w:rPr>
    </w:lvl>
    <w:lvl w:ilvl="7">
      <w:start w:val="0"/>
      <w:numFmt w:val="bullet"/>
      <w:lvlText w:val="•"/>
      <w:lvlJc w:val="left"/>
      <w:pPr>
        <w:ind w:left="2310" w:hanging="317"/>
      </w:pPr>
      <w:rPr>
        <w:rFonts w:hint="default"/>
      </w:rPr>
    </w:lvl>
    <w:lvl w:ilvl="8">
      <w:start w:val="0"/>
      <w:numFmt w:val="bullet"/>
      <w:lvlText w:val="•"/>
      <w:lvlJc w:val="left"/>
      <w:pPr>
        <w:ind w:left="2572" w:hanging="317"/>
      </w:pPr>
      <w:rPr>
        <w:rFonts w:hint="default"/>
      </w:rPr>
    </w:lvl>
  </w:abstractNum>
  <w:abstractNum w:abstractNumId="0">
    <w:multiLevelType w:val="hybridMultilevel"/>
    <w:lvl w:ilvl="0">
      <w:start w:val="0"/>
      <w:numFmt w:val="bullet"/>
      <w:lvlText w:val=""/>
      <w:lvlJc w:val="left"/>
      <w:pPr>
        <w:ind w:left="674" w:hanging="189"/>
      </w:pPr>
      <w:rPr>
        <w:rFonts w:hint="default" w:ascii="Wingdings" w:hAnsi="Wingdings" w:eastAsia="Wingdings" w:cs="Wingdings"/>
        <w:w w:val="100"/>
        <w:sz w:val="19"/>
        <w:szCs w:val="19"/>
      </w:rPr>
    </w:lvl>
    <w:lvl w:ilvl="1">
      <w:start w:val="0"/>
      <w:numFmt w:val="bullet"/>
      <w:lvlText w:val="•"/>
      <w:lvlJc w:val="left"/>
      <w:pPr>
        <w:ind w:left="1654" w:hanging="189"/>
      </w:pPr>
      <w:rPr>
        <w:rFonts w:hint="default"/>
      </w:rPr>
    </w:lvl>
    <w:lvl w:ilvl="2">
      <w:start w:val="0"/>
      <w:numFmt w:val="bullet"/>
      <w:lvlText w:val="•"/>
      <w:lvlJc w:val="left"/>
      <w:pPr>
        <w:ind w:left="2628" w:hanging="189"/>
      </w:pPr>
      <w:rPr>
        <w:rFonts w:hint="default"/>
      </w:rPr>
    </w:lvl>
    <w:lvl w:ilvl="3">
      <w:start w:val="0"/>
      <w:numFmt w:val="bullet"/>
      <w:lvlText w:val="•"/>
      <w:lvlJc w:val="left"/>
      <w:pPr>
        <w:ind w:left="3603" w:hanging="189"/>
      </w:pPr>
      <w:rPr>
        <w:rFonts w:hint="default"/>
      </w:rPr>
    </w:lvl>
    <w:lvl w:ilvl="4">
      <w:start w:val="0"/>
      <w:numFmt w:val="bullet"/>
      <w:lvlText w:val="•"/>
      <w:lvlJc w:val="left"/>
      <w:pPr>
        <w:ind w:left="4577" w:hanging="189"/>
      </w:pPr>
      <w:rPr>
        <w:rFonts w:hint="default"/>
      </w:rPr>
    </w:lvl>
    <w:lvl w:ilvl="5">
      <w:start w:val="0"/>
      <w:numFmt w:val="bullet"/>
      <w:lvlText w:val="•"/>
      <w:lvlJc w:val="left"/>
      <w:pPr>
        <w:ind w:left="5552" w:hanging="189"/>
      </w:pPr>
      <w:rPr>
        <w:rFonts w:hint="default"/>
      </w:rPr>
    </w:lvl>
    <w:lvl w:ilvl="6">
      <w:start w:val="0"/>
      <w:numFmt w:val="bullet"/>
      <w:lvlText w:val="•"/>
      <w:lvlJc w:val="left"/>
      <w:pPr>
        <w:ind w:left="6526" w:hanging="189"/>
      </w:pPr>
      <w:rPr>
        <w:rFonts w:hint="default"/>
      </w:rPr>
    </w:lvl>
    <w:lvl w:ilvl="7">
      <w:start w:val="0"/>
      <w:numFmt w:val="bullet"/>
      <w:lvlText w:val="•"/>
      <w:lvlJc w:val="left"/>
      <w:pPr>
        <w:ind w:left="7501" w:hanging="189"/>
      </w:pPr>
      <w:rPr>
        <w:rFonts w:hint="default"/>
      </w:rPr>
    </w:lvl>
    <w:lvl w:ilvl="8">
      <w:start w:val="0"/>
      <w:numFmt w:val="bullet"/>
      <w:lvlText w:val="•"/>
      <w:lvlJc w:val="left"/>
      <w:pPr>
        <w:ind w:left="8475" w:hanging="189"/>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56"/>
      <w:ind w:left="222"/>
      <w:outlineLvl w:val="1"/>
    </w:pPr>
    <w:rPr>
      <w:rFonts w:ascii="宋体" w:hAnsi="宋体" w:eastAsia="宋体" w:cs="宋体"/>
      <w:b/>
      <w:bCs/>
      <w:sz w:val="24"/>
      <w:szCs w:val="24"/>
    </w:rPr>
  </w:style>
  <w:style w:styleId="Heading2" w:type="paragraph">
    <w:name w:val="Heading 2"/>
    <w:basedOn w:val="Normal"/>
    <w:uiPriority w:val="1"/>
    <w:qFormat/>
    <w:pPr>
      <w:spacing w:before="12"/>
      <w:ind w:left="189"/>
      <w:outlineLvl w:val="2"/>
    </w:pPr>
    <w:rPr>
      <w:rFonts w:ascii="宋体" w:hAnsi="宋体" w:eastAsia="宋体" w:cs="宋体"/>
      <w:sz w:val="24"/>
      <w:szCs w:val="24"/>
    </w:rPr>
  </w:style>
  <w:style w:styleId="Heading3" w:type="paragraph">
    <w:name w:val="Heading 3"/>
    <w:basedOn w:val="Normal"/>
    <w:uiPriority w:val="1"/>
    <w:qFormat/>
    <w:pPr>
      <w:spacing w:before="25"/>
      <w:ind w:left="2631"/>
      <w:outlineLvl w:val="3"/>
    </w:pPr>
    <w:rPr>
      <w:rFonts w:ascii="宋体" w:hAnsi="宋体" w:eastAsia="宋体" w:cs="宋体"/>
      <w:b/>
      <w:bCs/>
      <w:i/>
      <w:sz w:val="22"/>
      <w:szCs w:val="22"/>
    </w:rPr>
  </w:style>
  <w:style w:styleId="Heading4" w:type="paragraph">
    <w:name w:val="Heading 4"/>
    <w:basedOn w:val="Normal"/>
    <w:uiPriority w:val="1"/>
    <w:qFormat/>
    <w:pPr>
      <w:spacing w:before="23"/>
      <w:ind w:left="2855"/>
      <w:jc w:val="both"/>
      <w:outlineLvl w:val="4"/>
    </w:pPr>
    <w:rPr>
      <w:rFonts w:ascii="宋体" w:hAnsi="宋体" w:eastAsia="宋体" w:cs="宋体"/>
      <w:i/>
      <w:sz w:val="22"/>
      <w:szCs w:val="22"/>
    </w:rPr>
  </w:style>
  <w:style w:styleId="Heading5" w:type="paragraph">
    <w:name w:val="Heading 5"/>
    <w:basedOn w:val="Normal"/>
    <w:uiPriority w:val="1"/>
    <w:qFormat/>
    <w:pPr>
      <w:ind w:left="931"/>
      <w:outlineLvl w:val="5"/>
    </w:pPr>
    <w:rPr>
      <w:rFonts w:ascii="宋体" w:hAnsi="宋体" w:eastAsia="宋体" w:cs="宋体"/>
      <w:b/>
      <w:bCs/>
      <w:sz w:val="21"/>
      <w:szCs w:val="21"/>
    </w:rPr>
  </w:style>
  <w:style w:styleId="ListParagraph" w:type="paragraph">
    <w:name w:val="List Paragraph"/>
    <w:basedOn w:val="Normal"/>
    <w:uiPriority w:val="1"/>
    <w:qFormat/>
    <w:pPr>
      <w:ind w:left="2631" w:hanging="26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AB052571</dc:creator>
  <dc:title>&lt;4D6963726F736F667420576F7264202D20322E20B0B2B0EEB3A4C7E0CAF7D6D8B4F3BCB2B2A1B1A3CFD520CCF5BFEE&gt;</dc:title>
  <dcterms:created xsi:type="dcterms:W3CDTF">2018-10-19T21:29:10Z</dcterms:created>
  <dcterms:modified xsi:type="dcterms:W3CDTF">2018-10-19T21:29:10Z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Creator">
    <vt:lpwstr>PScript5.dll Version 5.2.2</vt:lpwstr>
  </property>
  <property fmtid="{D5CDD505-2E9C-101B-9397-08002B2CF9AE}" pid="4" name="LastSaved">
    <vt:filetime>2018-10-19T00:00:00Z</vt:filetime>
  </property>
</Properties>
</file>