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1"/>
        <w:ind w:left="0" w:right="149" w:firstLine="0"/>
        <w:jc w:val="right"/>
        <w:rPr>
          <w:sz w:val="16"/>
        </w:rPr>
      </w:pPr>
      <w:r>
        <w:rPr/>
        <w:drawing>
          <wp:anchor distT="0" distB="0" distL="0" distR="0" allowOverlap="1" layoutInCell="1" locked="0" behindDoc="0" simplePos="0" relativeHeight="1072">
            <wp:simplePos x="0" y="0"/>
            <wp:positionH relativeFrom="page">
              <wp:posOffset>6205854</wp:posOffset>
            </wp:positionH>
            <wp:positionV relativeFrom="paragraph">
              <wp:posOffset>233092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君康人寿[2017]疾病保险 005 号</w:t>
      </w:r>
    </w:p>
    <w:p>
      <w:pPr>
        <w:pStyle w:val="BodyText"/>
        <w:rPr>
          <w:sz w:val="20"/>
        </w:rPr>
      </w:pPr>
    </w:p>
    <w:p>
      <w:pPr>
        <w:pStyle w:val="BodyText"/>
        <w:rPr>
          <w:sz w:val="16"/>
        </w:rPr>
      </w:pPr>
    </w:p>
    <w:p>
      <w:pPr>
        <w:spacing w:after="0"/>
        <w:rPr>
          <w:sz w:val="16"/>
        </w:rPr>
        <w:sectPr>
          <w:type w:val="continuous"/>
          <w:pgSz w:w="11910" w:h="16840"/>
          <w:pgMar w:top="620" w:bottom="280" w:left="780" w:right="660"/>
        </w:sectPr>
      </w:pPr>
    </w:p>
    <w:p>
      <w:pPr>
        <w:spacing w:line="357" w:lineRule="auto" w:before="1"/>
        <w:ind w:left="4289" w:right="0" w:hanging="1205"/>
        <w:jc w:val="left"/>
        <w:rPr>
          <w:b/>
          <w:sz w:val="32"/>
        </w:rPr>
      </w:pPr>
      <w:r>
        <w:rPr>
          <w:b/>
          <w:sz w:val="32"/>
        </w:rPr>
        <w:t>君康多倍保重大疾病保险条款阅 读 指 引</w:t>
      </w:r>
    </w:p>
    <w:p>
      <w:pPr>
        <w:pStyle w:val="BodyText"/>
        <w:rPr>
          <w:b/>
          <w:sz w:val="14"/>
        </w:rPr>
      </w:pPr>
      <w:r>
        <w:rPr/>
        <w:br w:type="column"/>
      </w:r>
      <w:r>
        <w:rPr>
          <w:b/>
          <w:sz w:val="14"/>
        </w:rPr>
      </w:r>
    </w:p>
    <w:p>
      <w:pPr>
        <w:pStyle w:val="BodyText"/>
        <w:rPr>
          <w:b/>
          <w:sz w:val="14"/>
        </w:rPr>
      </w:pPr>
    </w:p>
    <w:p>
      <w:pPr>
        <w:pStyle w:val="BodyText"/>
        <w:rPr>
          <w:b/>
          <w:sz w:val="14"/>
        </w:rPr>
      </w:pPr>
    </w:p>
    <w:p>
      <w:pPr>
        <w:pStyle w:val="BodyText"/>
        <w:rPr>
          <w:b/>
          <w:sz w:val="14"/>
        </w:rPr>
      </w:pPr>
    </w:p>
    <w:p>
      <w:pPr>
        <w:pStyle w:val="BodyText"/>
        <w:spacing w:before="7"/>
        <w:rPr>
          <w:b/>
          <w:sz w:val="11"/>
        </w:rPr>
      </w:pPr>
    </w:p>
    <w:p>
      <w:pPr>
        <w:spacing w:before="0"/>
        <w:ind w:left="1441" w:right="0" w:firstLine="0"/>
        <w:jc w:val="left"/>
        <w:rPr>
          <w:sz w:val="15"/>
        </w:rPr>
      </w:pPr>
      <w:r>
        <w:rPr>
          <w:sz w:val="15"/>
        </w:rPr>
        <w:t>请扫描以查询验证条款</w:t>
      </w:r>
    </w:p>
    <w:p>
      <w:pPr>
        <w:spacing w:after="0"/>
        <w:jc w:val="left"/>
        <w:rPr>
          <w:sz w:val="15"/>
        </w:rPr>
        <w:sectPr>
          <w:type w:val="continuous"/>
          <w:pgSz w:w="11910" w:h="16840"/>
          <w:pgMar w:top="620" w:bottom="280" w:left="780" w:right="660"/>
          <w:cols w:num="2" w:equalWidth="0">
            <w:col w:w="7264" w:space="40"/>
            <w:col w:w="3166"/>
          </w:cols>
        </w:sectPr>
      </w:pPr>
    </w:p>
    <w:p>
      <w:pPr>
        <w:pStyle w:val="BodyText"/>
        <w:spacing w:line="342" w:lineRule="exact"/>
        <w:ind w:left="864"/>
        <w:rPr>
          <w:rFonts w:ascii="宋体" w:eastAsia="宋体" w:hint="eastAsia"/>
        </w:rPr>
      </w:pPr>
      <w:r>
        <w:rPr/>
        <w:pict>
          <v:shapetype id="_x0000_t202" o:spt="202" coordsize="21600,21600" path="m,l,21600r21600,l21600,xe">
            <v:stroke joinstyle="miter"/>
            <v:path gradientshapeok="t" o:connecttype="rect"/>
          </v:shapetype>
          <v:shape style="position:absolute;margin-left:99.024002pt;margin-top:604.464966pt;width:111.9pt;height:88.6pt;mso-position-horizontal-relative:page;mso-position-vertical-relative:page;z-index:1168" type="#_x0000_t202" filled="false" stroked="false">
            <v:textbox inset="0,0,0,0">
              <w:txbxContent>
                <w:p>
                  <w:pPr>
                    <w:spacing w:line="203" w:lineRule="exact" w:before="0"/>
                    <w:ind w:left="0" w:right="0" w:firstLine="0"/>
                    <w:jc w:val="left"/>
                    <w:rPr>
                      <w:b/>
                      <w:sz w:val="21"/>
                    </w:rPr>
                  </w:pPr>
                  <w:r>
                    <w:rPr>
                      <w:b/>
                      <w:sz w:val="21"/>
                    </w:rPr>
                    <w:t>3．如何申请领取保险金</w:t>
                  </w:r>
                </w:p>
                <w:p>
                  <w:pPr>
                    <w:pStyle w:val="BodyText"/>
                    <w:numPr>
                      <w:ilvl w:val="1"/>
                      <w:numId w:val="1"/>
                    </w:numPr>
                    <w:tabs>
                      <w:tab w:pos="634" w:val="left" w:leader="none"/>
                    </w:tabs>
                    <w:spacing w:line="260" w:lineRule="exact" w:before="0" w:after="0"/>
                    <w:ind w:left="633" w:right="0" w:hanging="422"/>
                    <w:jc w:val="left"/>
                  </w:pPr>
                  <w:r>
                    <w:rPr>
                      <w:spacing w:val="-2"/>
                    </w:rPr>
                    <w:t>受益人</w:t>
                  </w:r>
                </w:p>
                <w:p>
                  <w:pPr>
                    <w:pStyle w:val="BodyText"/>
                    <w:numPr>
                      <w:ilvl w:val="1"/>
                      <w:numId w:val="1"/>
                    </w:numPr>
                    <w:tabs>
                      <w:tab w:pos="634" w:val="left" w:leader="none"/>
                    </w:tabs>
                    <w:spacing w:line="260" w:lineRule="exact" w:before="0" w:after="0"/>
                    <w:ind w:left="633" w:right="0" w:hanging="422"/>
                    <w:jc w:val="left"/>
                  </w:pPr>
                  <w:r>
                    <w:rPr>
                      <w:spacing w:val="-3"/>
                    </w:rPr>
                    <w:t>保险事故通知</w:t>
                  </w:r>
                </w:p>
                <w:p>
                  <w:pPr>
                    <w:pStyle w:val="BodyText"/>
                    <w:numPr>
                      <w:ilvl w:val="1"/>
                      <w:numId w:val="1"/>
                    </w:numPr>
                    <w:tabs>
                      <w:tab w:pos="634" w:val="left" w:leader="none"/>
                    </w:tabs>
                    <w:spacing w:line="259" w:lineRule="exact" w:before="0" w:after="0"/>
                    <w:ind w:left="633" w:right="0" w:hanging="422"/>
                    <w:jc w:val="left"/>
                  </w:pPr>
                  <w:r>
                    <w:rPr>
                      <w:spacing w:val="-3"/>
                    </w:rPr>
                    <w:t>保险金申请</w:t>
                  </w:r>
                </w:p>
                <w:p>
                  <w:pPr>
                    <w:pStyle w:val="BodyText"/>
                    <w:numPr>
                      <w:ilvl w:val="1"/>
                      <w:numId w:val="1"/>
                    </w:numPr>
                    <w:tabs>
                      <w:tab w:pos="634" w:val="left" w:leader="none"/>
                    </w:tabs>
                    <w:spacing w:line="260" w:lineRule="exact" w:before="0" w:after="0"/>
                    <w:ind w:left="633" w:right="0" w:hanging="422"/>
                    <w:jc w:val="left"/>
                  </w:pPr>
                  <w:r>
                    <w:rPr>
                      <w:spacing w:val="-3"/>
                    </w:rPr>
                    <w:t>保险金给付</w:t>
                  </w:r>
                </w:p>
                <w:p>
                  <w:pPr>
                    <w:pStyle w:val="BodyText"/>
                    <w:numPr>
                      <w:ilvl w:val="1"/>
                      <w:numId w:val="1"/>
                    </w:numPr>
                    <w:tabs>
                      <w:tab w:pos="634" w:val="left" w:leader="none"/>
                    </w:tabs>
                    <w:spacing w:line="260" w:lineRule="exact" w:before="0" w:after="0"/>
                    <w:ind w:left="633" w:right="0" w:hanging="422"/>
                    <w:jc w:val="left"/>
                  </w:pPr>
                  <w:r>
                    <w:rPr>
                      <w:spacing w:val="-3"/>
                    </w:rPr>
                    <w:t>保险金申请时效</w:t>
                  </w:r>
                </w:p>
                <w:p>
                  <w:pPr>
                    <w:pStyle w:val="BodyText"/>
                    <w:numPr>
                      <w:ilvl w:val="1"/>
                      <w:numId w:val="1"/>
                    </w:numPr>
                    <w:tabs>
                      <w:tab w:pos="634" w:val="left" w:leader="none"/>
                    </w:tabs>
                    <w:spacing w:line="267" w:lineRule="exact" w:before="0" w:after="0"/>
                    <w:ind w:left="633" w:right="0" w:hanging="422"/>
                    <w:jc w:val="left"/>
                  </w:pPr>
                  <w:r>
                    <w:rPr>
                      <w:spacing w:val="-3"/>
                    </w:rPr>
                    <w:t>宣告死亡处理</w:t>
                  </w:r>
                </w:p>
              </w:txbxContent>
            </v:textbox>
            <w10:wrap type="none"/>
          </v:shape>
        </w:pict>
      </w:r>
      <w:r>
        <w:rPr/>
        <w:pict>
          <v:shape style="position:absolute;margin-left:256.489990pt;margin-top:540.474976pt;width:127.3pt;height:88.6pt;mso-position-horizontal-relative:page;mso-position-vertical-relative:page;z-index:1192" type="#_x0000_t202" filled="false" stroked="false">
            <v:textbox inset="0,0,0,0">
              <w:txbxContent>
                <w:p>
                  <w:pPr>
                    <w:spacing w:line="203" w:lineRule="exact" w:before="0"/>
                    <w:ind w:left="0" w:right="0" w:firstLine="0"/>
                    <w:jc w:val="left"/>
                    <w:rPr>
                      <w:b/>
                      <w:sz w:val="21"/>
                    </w:rPr>
                  </w:pPr>
                  <w:r>
                    <w:rPr>
                      <w:b/>
                      <w:sz w:val="21"/>
                    </w:rPr>
                    <w:t>8．其他需要关注的事项</w:t>
                  </w:r>
                </w:p>
                <w:p>
                  <w:pPr>
                    <w:pStyle w:val="BodyText"/>
                    <w:numPr>
                      <w:ilvl w:val="1"/>
                      <w:numId w:val="2"/>
                    </w:numPr>
                    <w:tabs>
                      <w:tab w:pos="634" w:val="left" w:leader="none"/>
                    </w:tabs>
                    <w:spacing w:line="259" w:lineRule="exact" w:before="0" w:after="0"/>
                    <w:ind w:left="633" w:right="0" w:hanging="422"/>
                    <w:jc w:val="left"/>
                  </w:pPr>
                  <w:r>
                    <w:rPr>
                      <w:spacing w:val="-3"/>
                    </w:rPr>
                    <w:t>明确说明与如实告知</w:t>
                  </w:r>
                </w:p>
                <w:p>
                  <w:pPr>
                    <w:pStyle w:val="BodyText"/>
                    <w:numPr>
                      <w:ilvl w:val="1"/>
                      <w:numId w:val="2"/>
                    </w:numPr>
                    <w:tabs>
                      <w:tab w:pos="634" w:val="left" w:leader="none"/>
                    </w:tabs>
                    <w:spacing w:line="261" w:lineRule="exact" w:before="0" w:after="0"/>
                    <w:ind w:left="633" w:right="0" w:hanging="422"/>
                    <w:jc w:val="left"/>
                  </w:pPr>
                  <w:r>
                    <w:rPr>
                      <w:spacing w:val="-3"/>
                    </w:rPr>
                    <w:t>年龄确定与错误处理</w:t>
                  </w:r>
                </w:p>
                <w:p>
                  <w:pPr>
                    <w:pStyle w:val="BodyText"/>
                    <w:numPr>
                      <w:ilvl w:val="1"/>
                      <w:numId w:val="2"/>
                    </w:numPr>
                    <w:tabs>
                      <w:tab w:pos="634" w:val="left" w:leader="none"/>
                    </w:tabs>
                    <w:spacing w:line="260" w:lineRule="exact" w:before="0" w:after="0"/>
                    <w:ind w:left="633" w:right="0" w:hanging="422"/>
                    <w:jc w:val="left"/>
                  </w:pPr>
                  <w:r>
                    <w:rPr>
                      <w:spacing w:val="-3"/>
                    </w:rPr>
                    <w:t>未还款项</w:t>
                  </w:r>
                </w:p>
                <w:p>
                  <w:pPr>
                    <w:pStyle w:val="BodyText"/>
                    <w:numPr>
                      <w:ilvl w:val="1"/>
                      <w:numId w:val="2"/>
                    </w:numPr>
                    <w:tabs>
                      <w:tab w:pos="634" w:val="left" w:leader="none"/>
                    </w:tabs>
                    <w:spacing w:line="259" w:lineRule="exact" w:before="0" w:after="0"/>
                    <w:ind w:left="633" w:right="0" w:hanging="422"/>
                    <w:jc w:val="left"/>
                  </w:pPr>
                  <w:r>
                    <w:rPr>
                      <w:spacing w:val="-3"/>
                    </w:rPr>
                    <w:t>合同内容变更</w:t>
                  </w:r>
                </w:p>
                <w:p>
                  <w:pPr>
                    <w:pStyle w:val="BodyText"/>
                    <w:numPr>
                      <w:ilvl w:val="1"/>
                      <w:numId w:val="2"/>
                    </w:numPr>
                    <w:tabs>
                      <w:tab w:pos="634" w:val="left" w:leader="none"/>
                    </w:tabs>
                    <w:spacing w:line="260" w:lineRule="exact" w:before="0" w:after="0"/>
                    <w:ind w:left="633" w:right="0" w:hanging="422"/>
                    <w:jc w:val="left"/>
                  </w:pPr>
                  <w:r>
                    <w:rPr>
                      <w:spacing w:val="-3"/>
                    </w:rPr>
                    <w:t>联系方式变更</w:t>
                  </w:r>
                </w:p>
                <w:p>
                  <w:pPr>
                    <w:pStyle w:val="BodyText"/>
                    <w:numPr>
                      <w:ilvl w:val="1"/>
                      <w:numId w:val="2"/>
                    </w:numPr>
                    <w:tabs>
                      <w:tab w:pos="634" w:val="left" w:leader="none"/>
                    </w:tabs>
                    <w:spacing w:line="268" w:lineRule="exact" w:before="0" w:after="0"/>
                    <w:ind w:left="633" w:right="0" w:hanging="422"/>
                    <w:jc w:val="left"/>
                  </w:pPr>
                  <w:r>
                    <w:rPr>
                      <w:spacing w:val="-3"/>
                    </w:rPr>
                    <w:t>争议处理</w:t>
                  </w:r>
                </w:p>
              </w:txbxContent>
            </v:textbox>
            <w10:wrap type="none"/>
          </v:shape>
        </w:pict>
      </w:r>
      <w:r>
        <w:rPr/>
        <w:pict>
          <v:shape style="position:absolute;margin-left:99.024002pt;margin-top:708.505005pt;width:95.7pt;height:36.5pt;mso-position-horizontal-relative:page;mso-position-vertical-relative:page;z-index:1216" type="#_x0000_t202" filled="false" stroked="false">
            <v:textbox inset="0,0,0,0">
              <w:txbxContent>
                <w:p>
                  <w:pPr>
                    <w:spacing w:line="203" w:lineRule="exact" w:before="0"/>
                    <w:ind w:left="0" w:right="0" w:firstLine="0"/>
                    <w:jc w:val="left"/>
                    <w:rPr>
                      <w:b/>
                      <w:sz w:val="21"/>
                    </w:rPr>
                  </w:pPr>
                  <w:r>
                    <w:rPr>
                      <w:b/>
                      <w:sz w:val="21"/>
                    </w:rPr>
                    <w:t>4．如何交纳保险费</w:t>
                  </w:r>
                </w:p>
                <w:p>
                  <w:pPr>
                    <w:pStyle w:val="BodyText"/>
                    <w:numPr>
                      <w:ilvl w:val="1"/>
                      <w:numId w:val="3"/>
                    </w:numPr>
                    <w:tabs>
                      <w:tab w:pos="634" w:val="left" w:leader="none"/>
                    </w:tabs>
                    <w:spacing w:line="259" w:lineRule="exact" w:before="0" w:after="0"/>
                    <w:ind w:left="633" w:right="0" w:hanging="422"/>
                    <w:jc w:val="left"/>
                  </w:pPr>
                  <w:r>
                    <w:rPr>
                      <w:spacing w:val="-3"/>
                    </w:rPr>
                    <w:t>保险费的交纳</w:t>
                  </w:r>
                </w:p>
                <w:p>
                  <w:pPr>
                    <w:pStyle w:val="BodyText"/>
                    <w:numPr>
                      <w:ilvl w:val="1"/>
                      <w:numId w:val="3"/>
                    </w:numPr>
                    <w:tabs>
                      <w:tab w:pos="634" w:val="left" w:leader="none"/>
                    </w:tabs>
                    <w:spacing w:line="267" w:lineRule="exact" w:before="0" w:after="0"/>
                    <w:ind w:left="633" w:right="0" w:hanging="422"/>
                    <w:jc w:val="left"/>
                  </w:pPr>
                  <w:r>
                    <w:rPr>
                      <w:spacing w:val="-2"/>
                    </w:rPr>
                    <w:t>宽限期</w:t>
                  </w:r>
                </w:p>
              </w:txbxContent>
            </v:textbox>
            <w10:wrap type="none"/>
          </v:shape>
        </w:pict>
      </w:r>
      <w:r>
        <w:rPr/>
        <w:pict>
          <v:shape style="position:absolute;margin-left:99.024002pt;margin-top:760.484985pt;width:80.2pt;height:24.25pt;mso-position-horizontal-relative:page;mso-position-vertical-relative:page;z-index:1264" type="#_x0000_t202" filled="false" stroked="false">
            <v:textbox inset="0,0,0,0">
              <w:txbxContent>
                <w:p>
                  <w:pPr>
                    <w:spacing w:line="210" w:lineRule="exact" w:before="0"/>
                    <w:ind w:left="0" w:right="0" w:firstLine="0"/>
                    <w:jc w:val="left"/>
                    <w:rPr>
                      <w:b/>
                      <w:sz w:val="21"/>
                    </w:rPr>
                  </w:pPr>
                  <w:r>
                    <w:rPr>
                      <w:b/>
                      <w:sz w:val="21"/>
                    </w:rPr>
                    <w:t>5．现金价值权益</w:t>
                  </w:r>
                </w:p>
                <w:p>
                  <w:pPr>
                    <w:pStyle w:val="BodyText"/>
                    <w:spacing w:line="274" w:lineRule="exact"/>
                    <w:ind w:left="211"/>
                  </w:pPr>
                  <w:r>
                    <w:rPr/>
                    <w:t>5.1 现金价值</w:t>
                  </w:r>
                </w:p>
              </w:txbxContent>
            </v:textbox>
            <w10:wrap type="none"/>
          </v:shape>
        </w:pict>
      </w:r>
      <w:r>
        <w:rPr/>
        <w:pict>
          <v:shape style="position:absolute;margin-left:256.489990pt;margin-top:644.424988pt;width:95.7pt;height:140.7pt;mso-position-horizontal-relative:page;mso-position-vertical-relative:page;z-index:1288" type="#_x0000_t202" filled="false" stroked="false">
            <v:textbox inset="0,0,0,0">
              <w:txbxContent>
                <w:p>
                  <w:pPr>
                    <w:spacing w:line="204" w:lineRule="exact" w:before="0"/>
                    <w:ind w:left="0" w:right="0" w:firstLine="0"/>
                    <w:jc w:val="left"/>
                    <w:rPr>
                      <w:b/>
                      <w:sz w:val="21"/>
                    </w:rPr>
                  </w:pPr>
                  <w:r>
                    <w:rPr>
                      <w:b/>
                      <w:sz w:val="21"/>
                    </w:rPr>
                    <w:t>9．释义</w:t>
                  </w:r>
                </w:p>
                <w:p>
                  <w:pPr>
                    <w:pStyle w:val="BodyText"/>
                    <w:numPr>
                      <w:ilvl w:val="1"/>
                      <w:numId w:val="4"/>
                    </w:numPr>
                    <w:tabs>
                      <w:tab w:pos="634" w:val="left" w:leader="none"/>
                    </w:tabs>
                    <w:spacing w:line="260" w:lineRule="exact" w:before="0" w:after="0"/>
                    <w:ind w:left="633" w:right="0" w:hanging="422"/>
                    <w:jc w:val="left"/>
                  </w:pPr>
                  <w:r>
                    <w:rPr>
                      <w:spacing w:val="-2"/>
                    </w:rPr>
                    <w:t>本公司</w:t>
                  </w:r>
                </w:p>
                <w:p>
                  <w:pPr>
                    <w:pStyle w:val="BodyText"/>
                    <w:numPr>
                      <w:ilvl w:val="1"/>
                      <w:numId w:val="4"/>
                    </w:numPr>
                    <w:tabs>
                      <w:tab w:pos="634" w:val="left" w:leader="none"/>
                    </w:tabs>
                    <w:spacing w:line="259" w:lineRule="exact" w:before="0" w:after="0"/>
                    <w:ind w:left="633" w:right="0" w:hanging="422"/>
                    <w:jc w:val="left"/>
                  </w:pPr>
                  <w:r>
                    <w:rPr>
                      <w:spacing w:val="-3"/>
                    </w:rPr>
                    <w:t>保单年度</w:t>
                  </w:r>
                </w:p>
                <w:p>
                  <w:pPr>
                    <w:pStyle w:val="BodyText"/>
                    <w:numPr>
                      <w:ilvl w:val="1"/>
                      <w:numId w:val="4"/>
                    </w:numPr>
                    <w:tabs>
                      <w:tab w:pos="634" w:val="left" w:leader="none"/>
                    </w:tabs>
                    <w:spacing w:line="260" w:lineRule="exact" w:before="0" w:after="0"/>
                    <w:ind w:left="633" w:right="0" w:hanging="422"/>
                    <w:jc w:val="left"/>
                  </w:pPr>
                  <w:r>
                    <w:rPr>
                      <w:spacing w:val="-3"/>
                    </w:rPr>
                    <w:t>保险费应交日</w:t>
                  </w:r>
                </w:p>
                <w:p>
                  <w:pPr>
                    <w:pStyle w:val="BodyText"/>
                    <w:numPr>
                      <w:ilvl w:val="1"/>
                      <w:numId w:val="4"/>
                    </w:numPr>
                    <w:tabs>
                      <w:tab w:pos="634" w:val="left" w:leader="none"/>
                    </w:tabs>
                    <w:spacing w:line="260" w:lineRule="exact" w:before="0" w:after="0"/>
                    <w:ind w:left="633" w:right="0" w:hanging="422"/>
                    <w:jc w:val="left"/>
                  </w:pPr>
                  <w:r>
                    <w:rPr>
                      <w:spacing w:val="-3"/>
                    </w:rPr>
                    <w:t>周岁</w:t>
                  </w:r>
                </w:p>
                <w:p>
                  <w:pPr>
                    <w:pStyle w:val="BodyText"/>
                    <w:numPr>
                      <w:ilvl w:val="1"/>
                      <w:numId w:val="4"/>
                    </w:numPr>
                    <w:tabs>
                      <w:tab w:pos="634" w:val="left" w:leader="none"/>
                    </w:tabs>
                    <w:spacing w:line="259" w:lineRule="exact" w:before="0" w:after="0"/>
                    <w:ind w:left="633" w:right="0" w:hanging="422"/>
                    <w:jc w:val="left"/>
                  </w:pPr>
                  <w:r>
                    <w:rPr>
                      <w:spacing w:val="-3"/>
                    </w:rPr>
                    <w:t>特殊群体</w:t>
                  </w:r>
                </w:p>
                <w:p>
                  <w:pPr>
                    <w:pStyle w:val="BodyText"/>
                    <w:numPr>
                      <w:ilvl w:val="1"/>
                      <w:numId w:val="4"/>
                    </w:numPr>
                    <w:tabs>
                      <w:tab w:pos="634" w:val="left" w:leader="none"/>
                    </w:tabs>
                    <w:spacing w:line="261" w:lineRule="exact" w:before="0" w:after="0"/>
                    <w:ind w:left="633" w:right="0" w:hanging="422"/>
                    <w:jc w:val="left"/>
                  </w:pPr>
                  <w:r>
                    <w:rPr>
                      <w:spacing w:val="-3"/>
                    </w:rPr>
                    <w:t>意外伤害</w:t>
                  </w:r>
                </w:p>
                <w:p>
                  <w:pPr>
                    <w:pStyle w:val="BodyText"/>
                    <w:numPr>
                      <w:ilvl w:val="1"/>
                      <w:numId w:val="4"/>
                    </w:numPr>
                    <w:tabs>
                      <w:tab w:pos="634" w:val="left" w:leader="none"/>
                    </w:tabs>
                    <w:spacing w:line="260" w:lineRule="exact" w:before="0" w:after="0"/>
                    <w:ind w:left="633" w:right="0" w:hanging="422"/>
                    <w:jc w:val="left"/>
                  </w:pPr>
                  <w:r>
                    <w:rPr>
                      <w:spacing w:val="-3"/>
                    </w:rPr>
                    <w:t>轻症疾病</w:t>
                  </w:r>
                </w:p>
                <w:p>
                  <w:pPr>
                    <w:pStyle w:val="BodyText"/>
                    <w:numPr>
                      <w:ilvl w:val="1"/>
                      <w:numId w:val="4"/>
                    </w:numPr>
                    <w:tabs>
                      <w:tab w:pos="634" w:val="left" w:leader="none"/>
                    </w:tabs>
                    <w:spacing w:line="259" w:lineRule="exact" w:before="0" w:after="0"/>
                    <w:ind w:left="633" w:right="0" w:hanging="422"/>
                    <w:jc w:val="left"/>
                  </w:pPr>
                  <w:r>
                    <w:rPr>
                      <w:spacing w:val="-3"/>
                    </w:rPr>
                    <w:t>重大疾病</w:t>
                  </w:r>
                </w:p>
                <w:p>
                  <w:pPr>
                    <w:pStyle w:val="BodyText"/>
                    <w:numPr>
                      <w:ilvl w:val="1"/>
                      <w:numId w:val="4"/>
                    </w:numPr>
                    <w:tabs>
                      <w:tab w:pos="634" w:val="left" w:leader="none"/>
                    </w:tabs>
                    <w:spacing w:line="260" w:lineRule="exact" w:before="0" w:after="0"/>
                    <w:ind w:left="633" w:right="0" w:hanging="422"/>
                    <w:jc w:val="left"/>
                  </w:pPr>
                  <w:r>
                    <w:rPr>
                      <w:spacing w:val="-3"/>
                    </w:rPr>
                    <w:t>全残</w:t>
                  </w:r>
                </w:p>
                <w:p>
                  <w:pPr>
                    <w:pStyle w:val="BodyText"/>
                    <w:numPr>
                      <w:ilvl w:val="1"/>
                      <w:numId w:val="4"/>
                    </w:numPr>
                    <w:tabs>
                      <w:tab w:pos="737" w:val="left" w:leader="none"/>
                    </w:tabs>
                    <w:spacing w:line="268" w:lineRule="exact" w:before="0" w:after="0"/>
                    <w:ind w:left="736" w:right="0" w:hanging="525"/>
                    <w:jc w:val="left"/>
                  </w:pPr>
                  <w:r>
                    <w:rPr>
                      <w:spacing w:val="-3"/>
                    </w:rPr>
                    <w:t>疾病终末期</w:t>
                  </w:r>
                </w:p>
              </w:txbxContent>
            </v:textbox>
            <w10:wrap type="none"/>
          </v:shape>
        </w:pict>
      </w:r>
      <w:r>
        <w:rPr>
          <w:rFonts w:ascii="宋体" w:eastAsia="宋体" w:hint="eastAsia"/>
          <w:spacing w:val="-149"/>
          <w:w w:val="100"/>
        </w:rPr>
        <w:t>本</w:t>
      </w:r>
      <w:r>
        <w:rPr>
          <w:rFonts w:ascii="宋体" w:eastAsia="宋体" w:hint="eastAsia"/>
          <w:spacing w:val="-63"/>
          <w:w w:val="100"/>
          <w:position w:val="-7"/>
        </w:rPr>
        <w:t>．</w:t>
      </w:r>
      <w:r>
        <w:rPr>
          <w:rFonts w:ascii="宋体" w:eastAsia="宋体" w:hint="eastAsia"/>
          <w:spacing w:val="-149"/>
          <w:w w:val="100"/>
        </w:rPr>
        <w:t>阅</w:t>
      </w:r>
      <w:r>
        <w:rPr>
          <w:rFonts w:ascii="宋体" w:eastAsia="宋体" w:hint="eastAsia"/>
          <w:spacing w:val="-63"/>
          <w:w w:val="100"/>
          <w:position w:val="-7"/>
        </w:rPr>
        <w:t>．</w:t>
      </w:r>
      <w:r>
        <w:rPr>
          <w:rFonts w:ascii="宋体" w:eastAsia="宋体" w:hint="eastAsia"/>
          <w:spacing w:val="-152"/>
          <w:w w:val="100"/>
        </w:rPr>
        <w:t>读</w:t>
      </w:r>
      <w:r>
        <w:rPr>
          <w:rFonts w:ascii="宋体" w:eastAsia="宋体" w:hint="eastAsia"/>
          <w:spacing w:val="-63"/>
          <w:w w:val="100"/>
          <w:position w:val="-7"/>
        </w:rPr>
        <w:t>．</w:t>
      </w:r>
      <w:r>
        <w:rPr>
          <w:rFonts w:ascii="宋体" w:eastAsia="宋体" w:hint="eastAsia"/>
          <w:spacing w:val="-149"/>
          <w:w w:val="100"/>
        </w:rPr>
        <w:t>指</w:t>
      </w:r>
      <w:r>
        <w:rPr>
          <w:rFonts w:ascii="宋体" w:eastAsia="宋体" w:hint="eastAsia"/>
          <w:spacing w:val="-63"/>
          <w:w w:val="100"/>
          <w:position w:val="-7"/>
        </w:rPr>
        <w:t>．</w:t>
      </w:r>
      <w:r>
        <w:rPr>
          <w:rFonts w:ascii="宋体" w:eastAsia="宋体" w:hint="eastAsia"/>
          <w:spacing w:val="-152"/>
          <w:w w:val="100"/>
        </w:rPr>
        <w:t>引</w:t>
      </w:r>
      <w:r>
        <w:rPr>
          <w:rFonts w:ascii="宋体" w:eastAsia="宋体" w:hint="eastAsia"/>
          <w:spacing w:val="-63"/>
          <w:w w:val="100"/>
          <w:position w:val="-7"/>
        </w:rPr>
        <w:t>．</w:t>
      </w:r>
      <w:r>
        <w:rPr>
          <w:rFonts w:ascii="宋体" w:eastAsia="宋体" w:hint="eastAsia"/>
          <w:spacing w:val="-150"/>
          <w:w w:val="100"/>
        </w:rPr>
        <w:t>有</w:t>
      </w:r>
      <w:r>
        <w:rPr>
          <w:rFonts w:ascii="宋体" w:eastAsia="宋体" w:hint="eastAsia"/>
          <w:spacing w:val="-63"/>
          <w:w w:val="100"/>
          <w:position w:val="-7"/>
        </w:rPr>
        <w:t>．</w:t>
      </w:r>
      <w:r>
        <w:rPr>
          <w:rFonts w:ascii="宋体" w:eastAsia="宋体" w:hint="eastAsia"/>
          <w:spacing w:val="-152"/>
          <w:w w:val="100"/>
        </w:rPr>
        <w:t>助</w:t>
      </w:r>
      <w:r>
        <w:rPr>
          <w:rFonts w:ascii="宋体" w:eastAsia="宋体" w:hint="eastAsia"/>
          <w:spacing w:val="-63"/>
          <w:w w:val="100"/>
          <w:position w:val="-7"/>
        </w:rPr>
        <w:t>．</w:t>
      </w:r>
      <w:r>
        <w:rPr>
          <w:rFonts w:ascii="宋体" w:eastAsia="宋体" w:hint="eastAsia"/>
          <w:spacing w:val="-150"/>
          <w:w w:val="100"/>
        </w:rPr>
        <w:t>于</w:t>
      </w:r>
      <w:r>
        <w:rPr>
          <w:rFonts w:ascii="宋体" w:eastAsia="宋体" w:hint="eastAsia"/>
          <w:spacing w:val="-63"/>
          <w:w w:val="100"/>
          <w:position w:val="-7"/>
        </w:rPr>
        <w:t>．</w:t>
      </w:r>
      <w:r>
        <w:rPr>
          <w:rFonts w:ascii="宋体" w:eastAsia="宋体" w:hint="eastAsia"/>
          <w:spacing w:val="-152"/>
          <w:w w:val="100"/>
        </w:rPr>
        <w:t>您</w:t>
      </w:r>
      <w:r>
        <w:rPr>
          <w:rFonts w:ascii="宋体" w:eastAsia="宋体" w:hint="eastAsia"/>
          <w:spacing w:val="-63"/>
          <w:w w:val="100"/>
          <w:position w:val="-7"/>
        </w:rPr>
        <w:t>．</w:t>
      </w:r>
      <w:r>
        <w:rPr>
          <w:rFonts w:ascii="宋体" w:eastAsia="宋体" w:hint="eastAsia"/>
          <w:spacing w:val="-149"/>
          <w:w w:val="100"/>
        </w:rPr>
        <w:t>（</w:t>
      </w:r>
      <w:r>
        <w:rPr>
          <w:rFonts w:ascii="宋体" w:eastAsia="宋体" w:hint="eastAsia"/>
          <w:spacing w:val="-63"/>
          <w:w w:val="100"/>
          <w:position w:val="-7"/>
        </w:rPr>
        <w:t>．</w:t>
      </w:r>
      <w:r>
        <w:rPr>
          <w:rFonts w:ascii="宋体" w:eastAsia="宋体" w:hint="eastAsia"/>
          <w:spacing w:val="-151"/>
          <w:w w:val="100"/>
        </w:rPr>
        <w:t>投</w:t>
      </w:r>
      <w:r>
        <w:rPr>
          <w:rFonts w:ascii="宋体" w:eastAsia="宋体" w:hint="eastAsia"/>
          <w:spacing w:val="-63"/>
          <w:w w:val="100"/>
          <w:position w:val="-7"/>
        </w:rPr>
        <w:t>．</w:t>
      </w:r>
      <w:r>
        <w:rPr>
          <w:rFonts w:ascii="宋体" w:eastAsia="宋体" w:hint="eastAsia"/>
          <w:spacing w:val="-149"/>
          <w:w w:val="100"/>
        </w:rPr>
        <w:t>保</w:t>
      </w:r>
      <w:r>
        <w:rPr>
          <w:rFonts w:ascii="宋体" w:eastAsia="宋体" w:hint="eastAsia"/>
          <w:spacing w:val="-63"/>
          <w:w w:val="100"/>
          <w:position w:val="-7"/>
        </w:rPr>
        <w:t>．</w:t>
      </w:r>
      <w:r>
        <w:rPr>
          <w:rFonts w:ascii="宋体" w:eastAsia="宋体" w:hint="eastAsia"/>
          <w:spacing w:val="-149"/>
          <w:w w:val="100"/>
        </w:rPr>
        <w:t>人</w:t>
      </w:r>
      <w:r>
        <w:rPr>
          <w:rFonts w:ascii="宋体" w:eastAsia="宋体" w:hint="eastAsia"/>
          <w:spacing w:val="-63"/>
          <w:w w:val="100"/>
          <w:position w:val="-7"/>
        </w:rPr>
        <w:t>．</w:t>
      </w:r>
      <w:r>
        <w:rPr>
          <w:rFonts w:ascii="宋体" w:eastAsia="宋体" w:hint="eastAsia"/>
          <w:spacing w:val="-151"/>
          <w:w w:val="100"/>
        </w:rPr>
        <w:t>，</w:t>
      </w:r>
      <w:r>
        <w:rPr>
          <w:rFonts w:ascii="宋体" w:eastAsia="宋体" w:hint="eastAsia"/>
          <w:spacing w:val="-63"/>
          <w:w w:val="100"/>
          <w:position w:val="-7"/>
        </w:rPr>
        <w:t>．</w:t>
      </w:r>
      <w:r>
        <w:rPr>
          <w:rFonts w:ascii="宋体" w:eastAsia="宋体" w:hint="eastAsia"/>
          <w:spacing w:val="-149"/>
          <w:w w:val="100"/>
        </w:rPr>
        <w:t>以</w:t>
      </w:r>
      <w:r>
        <w:rPr>
          <w:rFonts w:ascii="宋体" w:eastAsia="宋体" w:hint="eastAsia"/>
          <w:spacing w:val="-63"/>
          <w:w w:val="100"/>
          <w:position w:val="-7"/>
        </w:rPr>
        <w:t>．</w:t>
      </w:r>
      <w:r>
        <w:rPr>
          <w:rFonts w:ascii="宋体" w:eastAsia="宋体" w:hint="eastAsia"/>
          <w:spacing w:val="-151"/>
          <w:w w:val="100"/>
        </w:rPr>
        <w:t>下</w:t>
      </w:r>
      <w:r>
        <w:rPr>
          <w:rFonts w:ascii="宋体" w:eastAsia="宋体" w:hint="eastAsia"/>
          <w:spacing w:val="-63"/>
          <w:w w:val="100"/>
          <w:position w:val="-7"/>
        </w:rPr>
        <w:t>．</w:t>
      </w:r>
      <w:r>
        <w:rPr>
          <w:rFonts w:ascii="宋体" w:eastAsia="宋体" w:hint="eastAsia"/>
          <w:spacing w:val="-149"/>
          <w:w w:val="100"/>
        </w:rPr>
        <w:t>含</w:t>
      </w:r>
      <w:r>
        <w:rPr>
          <w:rFonts w:ascii="宋体" w:eastAsia="宋体" w:hint="eastAsia"/>
          <w:spacing w:val="-63"/>
          <w:w w:val="100"/>
          <w:position w:val="-7"/>
        </w:rPr>
        <w:t>．</w:t>
      </w:r>
      <w:r>
        <w:rPr>
          <w:rFonts w:ascii="宋体" w:eastAsia="宋体" w:hint="eastAsia"/>
          <w:spacing w:val="-151"/>
          <w:w w:val="100"/>
        </w:rPr>
        <w:t>义</w:t>
      </w:r>
      <w:r>
        <w:rPr>
          <w:rFonts w:ascii="宋体" w:eastAsia="宋体" w:hint="eastAsia"/>
          <w:spacing w:val="-63"/>
          <w:w w:val="100"/>
          <w:position w:val="-7"/>
        </w:rPr>
        <w:t>．</w:t>
      </w:r>
      <w:r>
        <w:rPr>
          <w:rFonts w:ascii="宋体" w:eastAsia="宋体" w:hint="eastAsia"/>
          <w:spacing w:val="-149"/>
          <w:w w:val="100"/>
        </w:rPr>
        <w:t>相</w:t>
      </w:r>
      <w:r>
        <w:rPr>
          <w:rFonts w:ascii="宋体" w:eastAsia="宋体" w:hint="eastAsia"/>
          <w:spacing w:val="-63"/>
          <w:w w:val="100"/>
          <w:position w:val="-7"/>
        </w:rPr>
        <w:t>．</w:t>
      </w:r>
      <w:r>
        <w:rPr>
          <w:rFonts w:ascii="宋体" w:eastAsia="宋体" w:hint="eastAsia"/>
          <w:spacing w:val="-151"/>
          <w:w w:val="100"/>
        </w:rPr>
        <w:t>同</w:t>
      </w:r>
      <w:r>
        <w:rPr>
          <w:rFonts w:ascii="宋体" w:eastAsia="宋体" w:hint="eastAsia"/>
          <w:spacing w:val="-63"/>
          <w:w w:val="100"/>
          <w:position w:val="-7"/>
        </w:rPr>
        <w:t>．</w:t>
      </w:r>
      <w:r>
        <w:rPr>
          <w:rFonts w:ascii="宋体" w:eastAsia="宋体" w:hint="eastAsia"/>
          <w:spacing w:val="-149"/>
          <w:w w:val="100"/>
        </w:rPr>
        <w:t>）</w:t>
      </w:r>
      <w:r>
        <w:rPr>
          <w:rFonts w:ascii="宋体" w:eastAsia="宋体" w:hint="eastAsia"/>
          <w:spacing w:val="-63"/>
          <w:w w:val="100"/>
          <w:position w:val="-7"/>
        </w:rPr>
        <w:t>．</w:t>
      </w:r>
      <w:r>
        <w:rPr>
          <w:rFonts w:ascii="宋体" w:eastAsia="宋体" w:hint="eastAsia"/>
          <w:spacing w:val="-152"/>
          <w:w w:val="100"/>
        </w:rPr>
        <w:t>理</w:t>
      </w:r>
      <w:r>
        <w:rPr>
          <w:rFonts w:ascii="宋体" w:eastAsia="宋体" w:hint="eastAsia"/>
          <w:spacing w:val="-63"/>
          <w:w w:val="100"/>
          <w:position w:val="-7"/>
        </w:rPr>
        <w:t>．</w:t>
      </w:r>
      <w:r>
        <w:rPr>
          <w:rFonts w:ascii="宋体" w:eastAsia="宋体" w:hint="eastAsia"/>
          <w:spacing w:val="-149"/>
          <w:w w:val="100"/>
        </w:rPr>
        <w:t>解</w:t>
      </w:r>
      <w:r>
        <w:rPr>
          <w:rFonts w:ascii="宋体" w:eastAsia="宋体" w:hint="eastAsia"/>
          <w:spacing w:val="-63"/>
          <w:w w:val="100"/>
          <w:position w:val="-7"/>
        </w:rPr>
        <w:t>．</w:t>
      </w:r>
      <w:r>
        <w:rPr>
          <w:rFonts w:ascii="宋体" w:eastAsia="宋体" w:hint="eastAsia"/>
          <w:spacing w:val="-149"/>
          <w:w w:val="100"/>
        </w:rPr>
        <w:t>条</w:t>
      </w:r>
      <w:r>
        <w:rPr>
          <w:rFonts w:ascii="宋体" w:eastAsia="宋体" w:hint="eastAsia"/>
          <w:spacing w:val="-63"/>
          <w:w w:val="100"/>
          <w:position w:val="-7"/>
        </w:rPr>
        <w:t>．</w:t>
      </w:r>
      <w:r>
        <w:rPr>
          <w:rFonts w:ascii="宋体" w:eastAsia="宋体" w:hint="eastAsia"/>
          <w:spacing w:val="-151"/>
          <w:w w:val="100"/>
        </w:rPr>
        <w:t>款</w:t>
      </w:r>
      <w:r>
        <w:rPr>
          <w:rFonts w:ascii="宋体" w:eastAsia="宋体" w:hint="eastAsia"/>
          <w:spacing w:val="-63"/>
          <w:w w:val="100"/>
          <w:position w:val="-7"/>
        </w:rPr>
        <w:t>．</w:t>
      </w:r>
      <w:r>
        <w:rPr>
          <w:rFonts w:ascii="宋体" w:eastAsia="宋体" w:hint="eastAsia"/>
          <w:spacing w:val="-149"/>
          <w:w w:val="100"/>
        </w:rPr>
        <w:t>，</w:t>
      </w:r>
      <w:r>
        <w:rPr>
          <w:rFonts w:ascii="宋体" w:eastAsia="宋体" w:hint="eastAsia"/>
          <w:spacing w:val="-63"/>
          <w:w w:val="100"/>
          <w:position w:val="-7"/>
        </w:rPr>
        <w:t>．</w:t>
      </w:r>
      <w:r>
        <w:rPr>
          <w:rFonts w:ascii="宋体" w:eastAsia="宋体" w:hint="eastAsia"/>
          <w:spacing w:val="-151"/>
          <w:w w:val="100"/>
        </w:rPr>
        <w:t>对</w:t>
      </w:r>
      <w:r>
        <w:rPr>
          <w:rFonts w:ascii="宋体" w:eastAsia="宋体" w:hint="eastAsia"/>
          <w:spacing w:val="-63"/>
          <w:w w:val="100"/>
          <w:position w:val="-7"/>
        </w:rPr>
        <w:t>．</w:t>
      </w:r>
      <w:r>
        <w:rPr>
          <w:rFonts w:ascii="宋体" w:eastAsia="宋体" w:hint="eastAsia"/>
          <w:spacing w:val="-149"/>
          <w:w w:val="100"/>
        </w:rPr>
        <w:t>本</w:t>
      </w:r>
      <w:r>
        <w:rPr>
          <w:rFonts w:ascii="宋体" w:eastAsia="宋体" w:hint="eastAsia"/>
          <w:spacing w:val="-63"/>
          <w:w w:val="100"/>
          <w:position w:val="-7"/>
        </w:rPr>
        <w:t>．</w:t>
      </w:r>
      <w:r>
        <w:rPr>
          <w:rFonts w:ascii="宋体" w:eastAsia="宋体" w:hint="eastAsia"/>
          <w:spacing w:val="-152"/>
          <w:w w:val="100"/>
        </w:rPr>
        <w:t>合</w:t>
      </w:r>
      <w:r>
        <w:rPr>
          <w:rFonts w:ascii="宋体" w:eastAsia="宋体" w:hint="eastAsia"/>
          <w:spacing w:val="-63"/>
          <w:w w:val="100"/>
          <w:position w:val="-7"/>
        </w:rPr>
        <w:t>．</w:t>
      </w:r>
      <w:r>
        <w:rPr>
          <w:rFonts w:ascii="宋体" w:eastAsia="宋体" w:hint="eastAsia"/>
          <w:spacing w:val="-149"/>
          <w:w w:val="100"/>
        </w:rPr>
        <w:t>同</w:t>
      </w:r>
      <w:r>
        <w:rPr>
          <w:rFonts w:ascii="宋体" w:eastAsia="宋体" w:hint="eastAsia"/>
          <w:spacing w:val="-63"/>
          <w:w w:val="100"/>
          <w:position w:val="-7"/>
        </w:rPr>
        <w:t>．</w:t>
      </w:r>
      <w:r>
        <w:rPr>
          <w:rFonts w:ascii="宋体" w:eastAsia="宋体" w:hint="eastAsia"/>
          <w:spacing w:val="-152"/>
          <w:w w:val="100"/>
        </w:rPr>
        <w:t>内</w:t>
      </w:r>
      <w:r>
        <w:rPr>
          <w:rFonts w:ascii="宋体" w:eastAsia="宋体" w:hint="eastAsia"/>
          <w:spacing w:val="-63"/>
          <w:w w:val="100"/>
          <w:position w:val="-7"/>
        </w:rPr>
        <w:t>．</w:t>
      </w:r>
      <w:r>
        <w:rPr>
          <w:rFonts w:ascii="宋体" w:eastAsia="宋体" w:hint="eastAsia"/>
          <w:spacing w:val="-149"/>
          <w:w w:val="100"/>
        </w:rPr>
        <w:t>容</w:t>
      </w:r>
      <w:r>
        <w:rPr>
          <w:rFonts w:ascii="宋体" w:eastAsia="宋体" w:hint="eastAsia"/>
          <w:spacing w:val="-63"/>
          <w:w w:val="100"/>
          <w:position w:val="-7"/>
        </w:rPr>
        <w:t>．</w:t>
      </w:r>
      <w:r>
        <w:rPr>
          <w:rFonts w:ascii="宋体" w:eastAsia="宋体" w:hint="eastAsia"/>
          <w:spacing w:val="-152"/>
          <w:w w:val="100"/>
        </w:rPr>
        <w:t>的</w:t>
      </w:r>
      <w:r>
        <w:rPr>
          <w:rFonts w:ascii="宋体" w:eastAsia="宋体" w:hint="eastAsia"/>
          <w:spacing w:val="-63"/>
          <w:w w:val="100"/>
          <w:position w:val="-7"/>
        </w:rPr>
        <w:t>．</w:t>
      </w:r>
      <w:r>
        <w:rPr>
          <w:rFonts w:ascii="宋体" w:eastAsia="宋体" w:hint="eastAsia"/>
          <w:spacing w:val="-149"/>
          <w:w w:val="100"/>
        </w:rPr>
        <w:t>解</w:t>
      </w:r>
      <w:r>
        <w:rPr>
          <w:rFonts w:ascii="宋体" w:eastAsia="宋体" w:hint="eastAsia"/>
          <w:spacing w:val="-63"/>
          <w:w w:val="100"/>
          <w:position w:val="-7"/>
        </w:rPr>
        <w:t>．</w:t>
      </w:r>
      <w:r>
        <w:rPr>
          <w:rFonts w:ascii="宋体" w:eastAsia="宋体" w:hint="eastAsia"/>
          <w:spacing w:val="-149"/>
          <w:w w:val="100"/>
        </w:rPr>
        <w:t>释</w:t>
      </w:r>
      <w:r>
        <w:rPr>
          <w:rFonts w:ascii="宋体" w:eastAsia="宋体" w:hint="eastAsia"/>
          <w:spacing w:val="-63"/>
          <w:w w:val="100"/>
          <w:position w:val="-7"/>
        </w:rPr>
        <w:t>．</w:t>
      </w:r>
      <w:r>
        <w:rPr>
          <w:rFonts w:ascii="宋体" w:eastAsia="宋体" w:hint="eastAsia"/>
          <w:spacing w:val="-151"/>
          <w:w w:val="100"/>
        </w:rPr>
        <w:t>以</w:t>
      </w:r>
      <w:r>
        <w:rPr>
          <w:rFonts w:ascii="宋体" w:eastAsia="宋体" w:hint="eastAsia"/>
          <w:spacing w:val="-63"/>
          <w:w w:val="100"/>
          <w:position w:val="-7"/>
        </w:rPr>
        <w:t>．</w:t>
      </w:r>
      <w:r>
        <w:rPr>
          <w:rFonts w:ascii="宋体" w:eastAsia="宋体" w:hint="eastAsia"/>
          <w:spacing w:val="-149"/>
          <w:w w:val="100"/>
        </w:rPr>
        <w:t>条</w:t>
      </w:r>
      <w:r>
        <w:rPr>
          <w:rFonts w:ascii="宋体" w:eastAsia="宋体" w:hint="eastAsia"/>
          <w:spacing w:val="-63"/>
          <w:w w:val="100"/>
          <w:position w:val="-7"/>
        </w:rPr>
        <w:t>．</w:t>
      </w:r>
      <w:r>
        <w:rPr>
          <w:rFonts w:ascii="宋体" w:eastAsia="宋体" w:hint="eastAsia"/>
          <w:spacing w:val="-151"/>
          <w:w w:val="100"/>
        </w:rPr>
        <w:t>款</w:t>
      </w:r>
      <w:r>
        <w:rPr>
          <w:rFonts w:ascii="宋体" w:eastAsia="宋体" w:hint="eastAsia"/>
          <w:spacing w:val="-63"/>
          <w:w w:val="100"/>
          <w:position w:val="-7"/>
        </w:rPr>
        <w:t>．</w:t>
      </w:r>
      <w:r>
        <w:rPr>
          <w:rFonts w:ascii="宋体" w:eastAsia="宋体" w:hint="eastAsia"/>
          <w:spacing w:val="-149"/>
          <w:w w:val="100"/>
        </w:rPr>
        <w:t>为</w:t>
      </w:r>
      <w:r>
        <w:rPr>
          <w:rFonts w:ascii="宋体" w:eastAsia="宋体" w:hint="eastAsia"/>
          <w:spacing w:val="-63"/>
          <w:w w:val="100"/>
          <w:position w:val="-7"/>
        </w:rPr>
        <w:t>．</w:t>
      </w:r>
      <w:r>
        <w:rPr>
          <w:rFonts w:ascii="宋体" w:eastAsia="宋体" w:hint="eastAsia"/>
          <w:spacing w:val="-151"/>
          <w:w w:val="100"/>
        </w:rPr>
        <w:t>准</w:t>
      </w:r>
      <w:r>
        <w:rPr>
          <w:rFonts w:ascii="宋体" w:eastAsia="宋体" w:hint="eastAsia"/>
          <w:spacing w:val="-63"/>
          <w:w w:val="100"/>
          <w:position w:val="-7"/>
        </w:rPr>
        <w:t>．</w:t>
      </w:r>
      <w:r>
        <w:rPr>
          <w:rFonts w:ascii="宋体" w:eastAsia="宋体" w:hint="eastAsia"/>
          <w:w w:val="100"/>
        </w:rPr>
        <w:t>。</w:t>
      </w:r>
    </w:p>
    <w:p>
      <w:pPr>
        <w:pStyle w:val="Heading1"/>
        <w:tabs>
          <w:tab w:pos="1250" w:val="left" w:leader="none"/>
        </w:tabs>
        <w:spacing w:before="170"/>
        <w:ind w:left="240"/>
        <w:rPr>
          <w:rFonts w:ascii="宋体" w:hAnsi="宋体" w:eastAsia="宋体" w:hint="eastAsia"/>
        </w:rPr>
      </w:pPr>
      <w:r>
        <w:rPr/>
        <w:pict>
          <v:group style="position:absolute;margin-left:44.040001pt;margin-top:6.138683pt;width:512.65pt;height:648.25pt;mso-position-horizontal-relative:page;mso-position-vertical-relative:paragraph;z-index:-80968" coordorigin="881,123" coordsize="10253,12965">
            <v:shape style="position:absolute;left:880;top:122;width:10253;height:12965" type="#_x0000_t75" stroked="false">
              <v:imagedata r:id="rId6" o:title=""/>
            </v:shape>
            <v:rect style="position:absolute;left:1177;top:5381;width:9720;height:7526" filled="true" fillcolor="#ffffff" stroked="false">
              <v:fill type="solid"/>
            </v:rect>
            <v:rect style="position:absolute;left:1177;top:5381;width:9720;height:7526" filled="false" stroked="true" strokeweight=".75pt" strokecolor="#000000">
              <v:stroke dashstyle="dot"/>
            </v:rect>
            <w10:wrap type="none"/>
          </v:group>
        </w:pict>
      </w:r>
      <w:r>
        <w:rPr>
          <w:rFonts w:ascii="Arial" w:hAnsi="Arial" w:eastAsia="Arial"/>
          <w:w w:val="105"/>
          <w:position w:val="-11"/>
          <w:sz w:val="52"/>
        </w:rPr>
        <w:t></w:t>
        <w:tab/>
      </w:r>
      <w:r>
        <w:rPr>
          <w:rFonts w:ascii="宋体" w:hAnsi="宋体" w:eastAsia="宋体" w:hint="eastAsia"/>
          <w:spacing w:val="-1"/>
        </w:rPr>
        <w:t>您拥有的重要权益</w:t>
      </w:r>
    </w:p>
    <w:p>
      <w:pPr>
        <w:pStyle w:val="ListParagraph"/>
        <w:numPr>
          <w:ilvl w:val="0"/>
          <w:numId w:val="5"/>
        </w:numPr>
        <w:tabs>
          <w:tab w:pos="1632" w:val="left" w:leader="none"/>
          <w:tab w:pos="1633" w:val="left" w:leader="none"/>
          <w:tab w:pos="10141" w:val="right" w:leader="dot"/>
        </w:tabs>
        <w:spacing w:line="240" w:lineRule="auto" w:before="25" w:after="0"/>
        <w:ind w:left="1632" w:right="0" w:hanging="420"/>
        <w:jc w:val="left"/>
        <w:rPr>
          <w:sz w:val="21"/>
        </w:rPr>
      </w:pPr>
      <w:r>
        <w:rPr>
          <w:sz w:val="21"/>
        </w:rPr>
        <w:t>在犹</w:t>
      </w:r>
      <w:r>
        <w:rPr>
          <w:spacing w:val="-3"/>
          <w:sz w:val="21"/>
        </w:rPr>
        <w:t>豫</w:t>
      </w:r>
      <w:r>
        <w:rPr>
          <w:sz w:val="21"/>
        </w:rPr>
        <w:t>期</w:t>
      </w:r>
      <w:r>
        <w:rPr>
          <w:spacing w:val="-3"/>
          <w:sz w:val="21"/>
        </w:rPr>
        <w:t>内</w:t>
      </w:r>
      <w:r>
        <w:rPr>
          <w:sz w:val="21"/>
        </w:rPr>
        <w:t>，</w:t>
      </w:r>
      <w:r>
        <w:rPr>
          <w:spacing w:val="-3"/>
          <w:sz w:val="21"/>
        </w:rPr>
        <w:t>您</w:t>
      </w:r>
      <w:r>
        <w:rPr>
          <w:sz w:val="21"/>
        </w:rPr>
        <w:t>可</w:t>
      </w:r>
      <w:r>
        <w:rPr>
          <w:spacing w:val="-3"/>
          <w:sz w:val="21"/>
        </w:rPr>
        <w:t>以</w:t>
      </w:r>
      <w:r>
        <w:rPr>
          <w:sz w:val="21"/>
        </w:rPr>
        <w:t>要</w:t>
      </w:r>
      <w:r>
        <w:rPr>
          <w:spacing w:val="-3"/>
          <w:sz w:val="21"/>
        </w:rPr>
        <w:t>求</w:t>
      </w:r>
      <w:r>
        <w:rPr>
          <w:sz w:val="21"/>
        </w:rPr>
        <w:t>退还</w:t>
      </w:r>
      <w:r>
        <w:rPr>
          <w:spacing w:val="-3"/>
          <w:sz w:val="21"/>
        </w:rPr>
        <w:t>全</w:t>
      </w:r>
      <w:r>
        <w:rPr>
          <w:sz w:val="21"/>
        </w:rPr>
        <w:t>部</w:t>
      </w:r>
      <w:r>
        <w:rPr>
          <w:spacing w:val="-3"/>
          <w:sz w:val="21"/>
        </w:rPr>
        <w:t>保</w:t>
      </w:r>
      <w:r>
        <w:rPr>
          <w:sz w:val="21"/>
        </w:rPr>
        <w:t>险费</w:t>
        <w:tab/>
        <w:t>1.4</w:t>
      </w:r>
    </w:p>
    <w:p>
      <w:pPr>
        <w:pStyle w:val="ListParagraph"/>
        <w:numPr>
          <w:ilvl w:val="0"/>
          <w:numId w:val="5"/>
        </w:numPr>
        <w:tabs>
          <w:tab w:pos="1632" w:val="left" w:leader="none"/>
          <w:tab w:pos="1633" w:val="left" w:leader="none"/>
          <w:tab w:pos="10141" w:val="right" w:leader="dot"/>
        </w:tabs>
        <w:spacing w:line="240" w:lineRule="auto" w:before="22" w:after="0"/>
        <w:ind w:left="16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2.1</w:t>
      </w:r>
    </w:p>
    <w:p>
      <w:pPr>
        <w:pStyle w:val="ListParagraph"/>
        <w:numPr>
          <w:ilvl w:val="0"/>
          <w:numId w:val="5"/>
        </w:numPr>
        <w:tabs>
          <w:tab w:pos="1632" w:val="left" w:leader="none"/>
          <w:tab w:pos="1633" w:val="left" w:leader="none"/>
          <w:tab w:pos="10141" w:val="right" w:leader="dot"/>
        </w:tabs>
        <w:spacing w:line="240" w:lineRule="auto" w:before="22" w:after="0"/>
        <w:ind w:left="1632" w:right="0" w:hanging="420"/>
        <w:jc w:val="left"/>
        <w:rPr>
          <w:sz w:val="21"/>
        </w:rPr>
      </w:pPr>
      <w:r>
        <w:rPr>
          <w:sz w:val="21"/>
        </w:rPr>
        <w:t>您有</w:t>
      </w:r>
      <w:r>
        <w:rPr>
          <w:spacing w:val="-3"/>
          <w:sz w:val="21"/>
        </w:rPr>
        <w:t>按</w:t>
      </w:r>
      <w:r>
        <w:rPr>
          <w:sz w:val="21"/>
        </w:rPr>
        <w:t>合</w:t>
      </w:r>
      <w:r>
        <w:rPr>
          <w:spacing w:val="-3"/>
          <w:sz w:val="21"/>
        </w:rPr>
        <w:t>同</w:t>
      </w:r>
      <w:r>
        <w:rPr>
          <w:sz w:val="21"/>
        </w:rPr>
        <w:t>约</w:t>
      </w:r>
      <w:r>
        <w:rPr>
          <w:spacing w:val="-3"/>
          <w:sz w:val="21"/>
        </w:rPr>
        <w:t>定</w:t>
      </w:r>
      <w:r>
        <w:rPr>
          <w:sz w:val="21"/>
        </w:rPr>
        <w:t>申</w:t>
      </w:r>
      <w:r>
        <w:rPr>
          <w:spacing w:val="-3"/>
          <w:sz w:val="21"/>
        </w:rPr>
        <w:t>请</w:t>
      </w:r>
      <w:r>
        <w:rPr>
          <w:sz w:val="21"/>
        </w:rPr>
        <w:t>保</w:t>
      </w:r>
      <w:r>
        <w:rPr>
          <w:spacing w:val="-3"/>
          <w:sz w:val="21"/>
        </w:rPr>
        <w:t>单</w:t>
      </w:r>
      <w:r>
        <w:rPr>
          <w:sz w:val="21"/>
        </w:rPr>
        <w:t>贷款</w:t>
      </w:r>
      <w:r>
        <w:rPr>
          <w:spacing w:val="-3"/>
          <w:sz w:val="21"/>
        </w:rPr>
        <w:t>的</w:t>
      </w:r>
      <w:r>
        <w:rPr>
          <w:sz w:val="21"/>
        </w:rPr>
        <w:t>权利</w:t>
        <w:tab/>
        <w:t>5.2</w:t>
      </w:r>
    </w:p>
    <w:p>
      <w:pPr>
        <w:pStyle w:val="ListParagraph"/>
        <w:numPr>
          <w:ilvl w:val="0"/>
          <w:numId w:val="5"/>
        </w:numPr>
        <w:tabs>
          <w:tab w:pos="1632" w:val="left" w:leader="none"/>
          <w:tab w:pos="1633" w:val="left" w:leader="none"/>
          <w:tab w:pos="10139" w:val="right" w:leader="dot"/>
        </w:tabs>
        <w:spacing w:line="240" w:lineRule="auto" w:before="22" w:after="0"/>
        <w:ind w:left="1632" w:right="0" w:hanging="420"/>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7.1</w:t>
      </w:r>
    </w:p>
    <w:p>
      <w:pPr>
        <w:pStyle w:val="Heading1"/>
        <w:tabs>
          <w:tab w:pos="1250" w:val="left" w:leader="none"/>
        </w:tabs>
        <w:spacing w:before="21"/>
        <w:ind w:left="240"/>
        <w:rPr>
          <w:rFonts w:ascii="宋体" w:hAnsi="宋体" w:eastAsia="宋体" w:hint="eastAsia"/>
        </w:rPr>
      </w:pPr>
      <w:r>
        <w:rPr>
          <w:rFonts w:ascii="Arial" w:hAnsi="Arial" w:eastAsia="Arial"/>
          <w:w w:val="105"/>
          <w:position w:val="-11"/>
          <w:sz w:val="52"/>
        </w:rPr>
        <w:t></w:t>
        <w:tab/>
      </w:r>
      <w:r>
        <w:rPr>
          <w:rFonts w:ascii="宋体" w:hAnsi="宋体" w:eastAsia="宋体" w:hint="eastAsia"/>
          <w:spacing w:val="-1"/>
        </w:rPr>
        <w:t>您应当特别注意的事项</w:t>
      </w:r>
    </w:p>
    <w:p>
      <w:pPr>
        <w:pStyle w:val="ListParagraph"/>
        <w:numPr>
          <w:ilvl w:val="0"/>
          <w:numId w:val="5"/>
        </w:numPr>
        <w:tabs>
          <w:tab w:pos="1632" w:val="left" w:leader="none"/>
          <w:tab w:pos="1633" w:val="left" w:leader="none"/>
          <w:tab w:pos="10141" w:val="right" w:leader="dot"/>
        </w:tabs>
        <w:spacing w:line="240" w:lineRule="auto" w:before="25" w:after="0"/>
        <w:ind w:left="1632"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公</w:t>
      </w:r>
      <w:r>
        <w:rPr>
          <w:sz w:val="21"/>
        </w:rPr>
        <w:t>司</w:t>
      </w:r>
      <w:r>
        <w:rPr>
          <w:spacing w:val="-3"/>
          <w:sz w:val="21"/>
        </w:rPr>
        <w:t>不</w:t>
      </w:r>
      <w:r>
        <w:rPr>
          <w:sz w:val="21"/>
        </w:rPr>
        <w:t>承担</w:t>
      </w:r>
      <w:r>
        <w:rPr>
          <w:spacing w:val="-3"/>
          <w:sz w:val="21"/>
        </w:rPr>
        <w:t>保</w:t>
      </w:r>
      <w:r>
        <w:rPr>
          <w:sz w:val="21"/>
        </w:rPr>
        <w:t>险</w:t>
      </w:r>
      <w:r>
        <w:rPr>
          <w:spacing w:val="-3"/>
          <w:sz w:val="21"/>
        </w:rPr>
        <w:t>责</w:t>
      </w:r>
      <w:r>
        <w:rPr>
          <w:sz w:val="21"/>
        </w:rPr>
        <w:t>任</w:t>
        <w:tab/>
        <w:t>2.2</w:t>
      </w:r>
    </w:p>
    <w:p>
      <w:pPr>
        <w:pStyle w:val="ListParagraph"/>
        <w:numPr>
          <w:ilvl w:val="0"/>
          <w:numId w:val="5"/>
        </w:numPr>
        <w:tabs>
          <w:tab w:pos="1632" w:val="left" w:leader="none"/>
          <w:tab w:pos="1633" w:val="left" w:leader="none"/>
          <w:tab w:pos="10141" w:val="right" w:leader="dot"/>
        </w:tabs>
        <w:spacing w:line="240" w:lineRule="auto" w:before="22" w:after="0"/>
        <w:ind w:left="1632"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本</w:t>
      </w:r>
      <w:r>
        <w:rPr>
          <w:sz w:val="21"/>
        </w:rPr>
        <w:t>公司</w:t>
        <w:tab/>
        <w:t>3.2</w:t>
      </w:r>
    </w:p>
    <w:p>
      <w:pPr>
        <w:pStyle w:val="ListParagraph"/>
        <w:numPr>
          <w:ilvl w:val="0"/>
          <w:numId w:val="5"/>
        </w:numPr>
        <w:tabs>
          <w:tab w:pos="1632" w:val="left" w:leader="none"/>
          <w:tab w:pos="1633" w:val="left" w:leader="none"/>
          <w:tab w:pos="10139" w:val="right" w:leader="dot"/>
        </w:tabs>
        <w:spacing w:line="240" w:lineRule="auto" w:before="22" w:after="0"/>
        <w:ind w:left="1632" w:right="0" w:hanging="420"/>
        <w:jc w:val="left"/>
        <w:rPr>
          <w:sz w:val="21"/>
        </w:rPr>
      </w:pPr>
      <w:r>
        <w:rPr>
          <w:sz w:val="21"/>
        </w:rPr>
        <w:t>您如</w:t>
      </w:r>
      <w:r>
        <w:rPr>
          <w:spacing w:val="-3"/>
          <w:sz w:val="21"/>
        </w:rPr>
        <w:t>何</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5"/>
        </w:numPr>
        <w:tabs>
          <w:tab w:pos="1632" w:val="left" w:leader="none"/>
          <w:tab w:pos="1633" w:val="left" w:leader="none"/>
          <w:tab w:pos="10139" w:val="right" w:leader="dot"/>
        </w:tabs>
        <w:spacing w:line="240" w:lineRule="auto" w:before="22" w:after="0"/>
        <w:ind w:left="1632"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8.1</w:t>
      </w:r>
    </w:p>
    <w:p>
      <w:pPr>
        <w:pStyle w:val="ListParagraph"/>
        <w:numPr>
          <w:ilvl w:val="0"/>
          <w:numId w:val="5"/>
        </w:numPr>
        <w:tabs>
          <w:tab w:pos="1632" w:val="left" w:leader="none"/>
          <w:tab w:pos="1633" w:val="left" w:leader="none"/>
          <w:tab w:pos="9933" w:val="right" w:leader="dot"/>
        </w:tabs>
        <w:spacing w:line="240" w:lineRule="auto" w:before="22" w:after="0"/>
        <w:ind w:left="1632" w:right="0" w:hanging="420"/>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9</w:t>
      </w:r>
    </w:p>
    <w:p>
      <w:pPr>
        <w:tabs>
          <w:tab w:pos="1250" w:val="left" w:leader="none"/>
        </w:tabs>
        <w:spacing w:before="22"/>
        <w:ind w:left="240" w:right="0" w:firstLine="0"/>
        <w:jc w:val="left"/>
        <w:rPr>
          <w:rFonts w:ascii="宋体" w:hAnsi="宋体" w:eastAsia="宋体" w:hint="eastAsia"/>
          <w:b/>
          <w:sz w:val="21"/>
        </w:rPr>
      </w:pPr>
      <w:r>
        <w:rPr>
          <w:rFonts w:ascii="Arial" w:hAnsi="Arial" w:eastAsia="Arial"/>
          <w:b/>
          <w:w w:val="105"/>
          <w:position w:val="-11"/>
          <w:sz w:val="52"/>
        </w:rPr>
        <w:t></w:t>
        <w:tab/>
      </w:r>
      <w:r>
        <w:rPr>
          <w:rFonts w:ascii="宋体" w:hAnsi="宋体" w:eastAsia="宋体" w:hint="eastAsia"/>
          <w:b/>
          <w:spacing w:val="-3"/>
          <w:sz w:val="21"/>
        </w:rPr>
        <w:t>条款是保险合同的重要内容，为充分保障您的权益，请您仔细阅读本条款。</w:t>
      </w:r>
    </w:p>
    <w:p>
      <w:pPr>
        <w:tabs>
          <w:tab w:pos="1250" w:val="left" w:leader="none"/>
        </w:tabs>
        <w:spacing w:before="26"/>
        <w:ind w:left="240" w:right="0" w:firstLine="0"/>
        <w:jc w:val="left"/>
        <w:rPr>
          <w:rFonts w:ascii="宋体" w:hAnsi="宋体" w:eastAsia="宋体" w:hint="eastAsia"/>
          <w:b/>
          <w:sz w:val="21"/>
        </w:rPr>
      </w:pPr>
      <w:r>
        <w:rPr/>
        <w:pict>
          <v:shape style="position:absolute;margin-left:99.024002pt;margin-top:36.412697pt;width:122.35pt;height:62.65pt;mso-position-horizontal-relative:page;mso-position-vertical-relative:paragraph;z-index:0;mso-wrap-distance-left:0;mso-wrap-distance-right:0" type="#_x0000_t202" filled="false" stroked="false">
            <v:textbox inset="0,0,0,0">
              <w:txbxContent>
                <w:p>
                  <w:pPr>
                    <w:spacing w:line="204" w:lineRule="exact" w:before="0"/>
                    <w:ind w:left="0" w:right="0" w:firstLine="0"/>
                    <w:jc w:val="left"/>
                    <w:rPr>
                      <w:b/>
                      <w:sz w:val="21"/>
                    </w:rPr>
                  </w:pPr>
                  <w:r>
                    <w:rPr>
                      <w:b/>
                      <w:sz w:val="21"/>
                    </w:rPr>
                    <w:t>1．投保人与本公司的合同</w:t>
                  </w:r>
                </w:p>
                <w:p>
                  <w:pPr>
                    <w:pStyle w:val="BodyText"/>
                    <w:numPr>
                      <w:ilvl w:val="1"/>
                      <w:numId w:val="6"/>
                    </w:numPr>
                    <w:tabs>
                      <w:tab w:pos="634" w:val="left" w:leader="none"/>
                    </w:tabs>
                    <w:spacing w:line="260" w:lineRule="exact" w:before="0" w:after="0"/>
                    <w:ind w:left="633" w:right="0" w:hanging="422"/>
                    <w:jc w:val="left"/>
                  </w:pPr>
                  <w:r>
                    <w:rPr>
                      <w:spacing w:val="-3"/>
                    </w:rPr>
                    <w:t>合同构成</w:t>
                  </w:r>
                </w:p>
                <w:p>
                  <w:pPr>
                    <w:pStyle w:val="BodyText"/>
                    <w:numPr>
                      <w:ilvl w:val="1"/>
                      <w:numId w:val="6"/>
                    </w:numPr>
                    <w:tabs>
                      <w:tab w:pos="634" w:val="left" w:leader="none"/>
                    </w:tabs>
                    <w:spacing w:line="259" w:lineRule="exact" w:before="0" w:after="0"/>
                    <w:ind w:left="633" w:right="0" w:hanging="422"/>
                    <w:jc w:val="left"/>
                  </w:pPr>
                  <w:r>
                    <w:rPr>
                      <w:spacing w:val="-3"/>
                    </w:rPr>
                    <w:t>合同成立与生效</w:t>
                  </w:r>
                </w:p>
                <w:p>
                  <w:pPr>
                    <w:pStyle w:val="BodyText"/>
                    <w:numPr>
                      <w:ilvl w:val="1"/>
                      <w:numId w:val="6"/>
                    </w:numPr>
                    <w:tabs>
                      <w:tab w:pos="634" w:val="left" w:leader="none"/>
                    </w:tabs>
                    <w:spacing w:line="260" w:lineRule="exact" w:before="0" w:after="0"/>
                    <w:ind w:left="633" w:right="0" w:hanging="422"/>
                    <w:jc w:val="left"/>
                  </w:pPr>
                  <w:r>
                    <w:rPr>
                      <w:spacing w:val="-3"/>
                    </w:rPr>
                    <w:t>投保范围</w:t>
                  </w:r>
                </w:p>
                <w:p>
                  <w:pPr>
                    <w:pStyle w:val="BodyText"/>
                    <w:numPr>
                      <w:ilvl w:val="1"/>
                      <w:numId w:val="6"/>
                    </w:numPr>
                    <w:tabs>
                      <w:tab w:pos="634" w:val="left" w:leader="none"/>
                    </w:tabs>
                    <w:spacing w:line="268" w:lineRule="exact" w:before="0" w:after="0"/>
                    <w:ind w:left="633" w:right="0" w:hanging="422"/>
                    <w:jc w:val="left"/>
                  </w:pPr>
                  <w:r>
                    <w:rPr>
                      <w:spacing w:val="-2"/>
                    </w:rPr>
                    <w:t>犹豫期</w:t>
                  </w:r>
                </w:p>
              </w:txbxContent>
            </v:textbox>
            <w10:wrap type="topAndBottom"/>
          </v:shape>
        </w:pict>
      </w:r>
      <w:r>
        <w:rPr/>
        <w:pict>
          <v:shape style="position:absolute;margin-left:256.489990pt;margin-top:37.132694pt;width:122.35pt;height:62.9pt;mso-position-horizontal-relative:page;mso-position-vertical-relative:paragraph;z-index:1048;mso-wrap-distance-left:0;mso-wrap-distance-right:0" type="#_x0000_t202" filled="false" stroked="false">
            <v:textbox inset="0,0,0,0">
              <w:txbxContent>
                <w:p>
                  <w:pPr>
                    <w:pStyle w:val="BodyText"/>
                    <w:spacing w:line="211" w:lineRule="exact"/>
                    <w:ind w:left="211"/>
                  </w:pPr>
                  <w:r>
                    <w:rPr/>
                    <w:t>5.2 保单贷款</w:t>
                  </w:r>
                </w:p>
                <w:p>
                  <w:pPr>
                    <w:pStyle w:val="BodyText"/>
                    <w:spacing w:before="2"/>
                    <w:rPr>
                      <w:rFonts w:ascii="宋体"/>
                      <w:b/>
                      <w:sz w:val="19"/>
                    </w:rPr>
                  </w:pPr>
                </w:p>
                <w:p>
                  <w:pPr>
                    <w:spacing w:line="268" w:lineRule="exact" w:before="0"/>
                    <w:ind w:left="0" w:right="0" w:firstLine="0"/>
                    <w:jc w:val="left"/>
                    <w:rPr>
                      <w:b/>
                      <w:sz w:val="21"/>
                    </w:rPr>
                  </w:pPr>
                  <w:r>
                    <w:rPr>
                      <w:b/>
                      <w:sz w:val="21"/>
                    </w:rPr>
                    <w:t>6．合同效力的中止及恢复</w:t>
                  </w:r>
                </w:p>
                <w:p>
                  <w:pPr>
                    <w:pStyle w:val="BodyText"/>
                    <w:numPr>
                      <w:ilvl w:val="1"/>
                      <w:numId w:val="7"/>
                    </w:numPr>
                    <w:tabs>
                      <w:tab w:pos="634" w:val="left" w:leader="none"/>
                    </w:tabs>
                    <w:spacing w:line="260" w:lineRule="exact" w:before="0" w:after="0"/>
                    <w:ind w:left="633" w:right="0" w:hanging="422"/>
                    <w:jc w:val="left"/>
                  </w:pPr>
                  <w:r>
                    <w:rPr>
                      <w:spacing w:val="-3"/>
                    </w:rPr>
                    <w:t>效力中止</w:t>
                  </w:r>
                </w:p>
                <w:p>
                  <w:pPr>
                    <w:pStyle w:val="BodyText"/>
                    <w:numPr>
                      <w:ilvl w:val="1"/>
                      <w:numId w:val="7"/>
                    </w:numPr>
                    <w:tabs>
                      <w:tab w:pos="634" w:val="left" w:leader="none"/>
                    </w:tabs>
                    <w:spacing w:line="267" w:lineRule="exact" w:before="0" w:after="0"/>
                    <w:ind w:left="633" w:right="0" w:hanging="422"/>
                    <w:jc w:val="left"/>
                  </w:pPr>
                  <w:r>
                    <w:rPr>
                      <w:spacing w:val="-3"/>
                    </w:rPr>
                    <w:t>效力恢复</w:t>
                  </w:r>
                </w:p>
              </w:txbxContent>
            </v:textbox>
            <w10:wrap type="topAndBottom"/>
          </v:shape>
        </w:pict>
      </w:r>
      <w:r>
        <w:rPr/>
        <w:pict>
          <v:shape style="position:absolute;margin-left:99.024002pt;margin-top:114.412697pt;width:127.3pt;height:88.6pt;mso-position-horizontal-relative:page;mso-position-vertical-relative:paragraph;z-index:1120" type="#_x0000_t202" filled="false" stroked="false">
            <v:textbox inset="0,0,0,0">
              <w:txbxContent>
                <w:p>
                  <w:pPr>
                    <w:spacing w:line="204" w:lineRule="exact" w:before="0"/>
                    <w:ind w:left="0" w:right="0" w:firstLine="0"/>
                    <w:jc w:val="left"/>
                    <w:rPr>
                      <w:b/>
                      <w:sz w:val="21"/>
                    </w:rPr>
                  </w:pPr>
                  <w:r>
                    <w:rPr>
                      <w:b/>
                      <w:sz w:val="21"/>
                    </w:rPr>
                    <w:t>2．本公司提供的保障</w:t>
                  </w:r>
                </w:p>
                <w:p>
                  <w:pPr>
                    <w:pStyle w:val="BodyText"/>
                    <w:numPr>
                      <w:ilvl w:val="1"/>
                      <w:numId w:val="8"/>
                    </w:numPr>
                    <w:tabs>
                      <w:tab w:pos="634" w:val="left" w:leader="none"/>
                    </w:tabs>
                    <w:spacing w:line="260" w:lineRule="exact" w:before="0" w:after="0"/>
                    <w:ind w:left="631" w:right="0" w:hanging="420"/>
                    <w:jc w:val="left"/>
                  </w:pPr>
                  <w:r>
                    <w:rPr>
                      <w:spacing w:val="-3"/>
                    </w:rPr>
                    <w:t>保险责任</w:t>
                  </w:r>
                </w:p>
                <w:p>
                  <w:pPr>
                    <w:pStyle w:val="BodyText"/>
                    <w:numPr>
                      <w:ilvl w:val="1"/>
                      <w:numId w:val="8"/>
                    </w:numPr>
                    <w:tabs>
                      <w:tab w:pos="634" w:val="left" w:leader="none"/>
                    </w:tabs>
                    <w:spacing w:line="259" w:lineRule="exact" w:before="0" w:after="0"/>
                    <w:ind w:left="631" w:right="0" w:hanging="420"/>
                    <w:jc w:val="left"/>
                  </w:pPr>
                  <w:r>
                    <w:rPr>
                      <w:spacing w:val="-3"/>
                    </w:rPr>
                    <w:t>责任免除</w:t>
                  </w:r>
                </w:p>
                <w:p>
                  <w:pPr>
                    <w:pStyle w:val="BodyText"/>
                    <w:numPr>
                      <w:ilvl w:val="1"/>
                      <w:numId w:val="8"/>
                    </w:numPr>
                    <w:tabs>
                      <w:tab w:pos="634" w:val="left" w:leader="none"/>
                    </w:tabs>
                    <w:spacing w:line="260" w:lineRule="exact" w:before="0" w:after="0"/>
                    <w:ind w:left="631" w:right="0" w:hanging="420"/>
                    <w:jc w:val="left"/>
                  </w:pPr>
                  <w:r>
                    <w:rPr>
                      <w:spacing w:val="-3"/>
                    </w:rPr>
                    <w:t>基本保险金额</w:t>
                  </w:r>
                </w:p>
                <w:p>
                  <w:pPr>
                    <w:pStyle w:val="BodyText"/>
                    <w:numPr>
                      <w:ilvl w:val="1"/>
                      <w:numId w:val="8"/>
                    </w:numPr>
                    <w:tabs>
                      <w:tab w:pos="634" w:val="left" w:leader="none"/>
                    </w:tabs>
                    <w:spacing w:line="228" w:lineRule="auto" w:before="7" w:after="0"/>
                    <w:ind w:left="631" w:right="18" w:hanging="420"/>
                    <w:jc w:val="left"/>
                  </w:pPr>
                  <w:r>
                    <w:rPr>
                      <w:spacing w:val="-3"/>
                    </w:rPr>
                    <w:t>未成年人身故利益给付限制</w:t>
                  </w:r>
                </w:p>
                <w:p>
                  <w:pPr>
                    <w:pStyle w:val="BodyText"/>
                    <w:numPr>
                      <w:ilvl w:val="1"/>
                      <w:numId w:val="8"/>
                    </w:numPr>
                    <w:tabs>
                      <w:tab w:pos="634" w:val="left" w:leader="none"/>
                    </w:tabs>
                    <w:spacing w:line="259" w:lineRule="exact" w:before="0" w:after="0"/>
                    <w:ind w:left="631" w:right="0" w:hanging="420"/>
                    <w:jc w:val="left"/>
                  </w:pPr>
                  <w:r>
                    <w:rPr>
                      <w:spacing w:val="-3"/>
                    </w:rPr>
                    <w:t>保险期间</w:t>
                  </w:r>
                </w:p>
              </w:txbxContent>
            </v:textbox>
            <w10:wrap type="none"/>
          </v:shape>
        </w:pict>
      </w:r>
      <w:r>
        <w:rPr/>
        <w:pict>
          <v:shape style="position:absolute;margin-left:256.489990pt;margin-top:115.492699pt;width:101.35pt;height:23.55pt;mso-position-horizontal-relative:page;mso-position-vertical-relative:paragraph;z-index:1144" type="#_x0000_t202" filled="false" stroked="false">
            <v:textbox inset="0,0,0,0">
              <w:txbxContent>
                <w:p>
                  <w:pPr>
                    <w:spacing w:line="203" w:lineRule="exact" w:before="0"/>
                    <w:ind w:left="0" w:right="0" w:firstLine="0"/>
                    <w:jc w:val="left"/>
                    <w:rPr>
                      <w:b/>
                      <w:sz w:val="21"/>
                    </w:rPr>
                  </w:pPr>
                  <w:r>
                    <w:rPr>
                      <w:b/>
                      <w:sz w:val="21"/>
                    </w:rPr>
                    <w:t>7．如何解除保险合同</w:t>
                  </w:r>
                </w:p>
                <w:p>
                  <w:pPr>
                    <w:pStyle w:val="BodyText"/>
                    <w:spacing w:line="267" w:lineRule="exact"/>
                    <w:ind w:left="211"/>
                  </w:pPr>
                  <w:r>
                    <w:rPr/>
                    <w:t>7.1 合同解除</w:t>
                  </w:r>
                </w:p>
              </w:txbxContent>
            </v:textbox>
            <w10:wrap type="none"/>
          </v:shape>
        </w:pict>
      </w:r>
      <w:r>
        <w:rPr/>
        <w:pict>
          <v:shape style="position:absolute;margin-left:419.350006pt;margin-top:36.412697pt;width:118.25pt;height:291.55pt;mso-position-horizontal-relative:page;mso-position-vertical-relative:paragraph;z-index:1240" type="#_x0000_t202" filled="false" stroked="false">
            <v:textbox inset="0,0,0,0">
              <w:txbxContent>
                <w:p>
                  <w:pPr>
                    <w:pStyle w:val="BodyText"/>
                    <w:numPr>
                      <w:ilvl w:val="1"/>
                      <w:numId w:val="9"/>
                    </w:numPr>
                    <w:tabs>
                      <w:tab w:pos="527" w:val="left" w:leader="none"/>
                    </w:tabs>
                    <w:spacing w:line="204" w:lineRule="exact" w:before="0" w:after="0"/>
                    <w:ind w:left="523" w:right="0" w:hanging="523"/>
                    <w:jc w:val="left"/>
                  </w:pPr>
                  <w:r>
                    <w:rPr>
                      <w:spacing w:val="-3"/>
                    </w:rPr>
                    <w:t>累计已交保险费</w:t>
                  </w:r>
                </w:p>
                <w:p>
                  <w:pPr>
                    <w:pStyle w:val="BodyText"/>
                    <w:numPr>
                      <w:ilvl w:val="1"/>
                      <w:numId w:val="9"/>
                    </w:numPr>
                    <w:tabs>
                      <w:tab w:pos="527" w:val="left" w:leader="none"/>
                    </w:tabs>
                    <w:spacing w:line="260" w:lineRule="exact" w:before="0" w:after="0"/>
                    <w:ind w:left="523" w:right="0" w:hanging="523"/>
                    <w:jc w:val="left"/>
                  </w:pPr>
                  <w:r>
                    <w:rPr>
                      <w:spacing w:val="-3"/>
                    </w:rPr>
                    <w:t>重大疾病分组表</w:t>
                  </w:r>
                </w:p>
                <w:p>
                  <w:pPr>
                    <w:pStyle w:val="BodyText"/>
                    <w:numPr>
                      <w:ilvl w:val="1"/>
                      <w:numId w:val="9"/>
                    </w:numPr>
                    <w:tabs>
                      <w:tab w:pos="527" w:val="left" w:leader="none"/>
                    </w:tabs>
                    <w:spacing w:line="259" w:lineRule="exact" w:before="0" w:after="0"/>
                    <w:ind w:left="523" w:right="0" w:hanging="523"/>
                    <w:jc w:val="left"/>
                  </w:pPr>
                  <w:r>
                    <w:rPr/>
                    <w:t>医院</w:t>
                  </w:r>
                </w:p>
                <w:p>
                  <w:pPr>
                    <w:pStyle w:val="BodyText"/>
                    <w:numPr>
                      <w:ilvl w:val="1"/>
                      <w:numId w:val="9"/>
                    </w:numPr>
                    <w:tabs>
                      <w:tab w:pos="527" w:val="left" w:leader="none"/>
                    </w:tabs>
                    <w:spacing w:line="260" w:lineRule="exact" w:before="0" w:after="0"/>
                    <w:ind w:left="523" w:right="0" w:hanging="523"/>
                    <w:jc w:val="left"/>
                  </w:pPr>
                  <w:r>
                    <w:rPr>
                      <w:spacing w:val="-2"/>
                    </w:rPr>
                    <w:t>专科医生</w:t>
                  </w:r>
                </w:p>
                <w:p>
                  <w:pPr>
                    <w:pStyle w:val="BodyText"/>
                    <w:numPr>
                      <w:ilvl w:val="1"/>
                      <w:numId w:val="9"/>
                    </w:numPr>
                    <w:tabs>
                      <w:tab w:pos="527" w:val="left" w:leader="none"/>
                    </w:tabs>
                    <w:spacing w:line="260" w:lineRule="exact" w:before="0" w:after="0"/>
                    <w:ind w:left="523" w:right="0" w:hanging="523"/>
                    <w:jc w:val="left"/>
                  </w:pPr>
                  <w:r>
                    <w:rPr>
                      <w:spacing w:val="-2"/>
                    </w:rPr>
                    <w:t>初次罹患</w:t>
                  </w:r>
                </w:p>
                <w:p>
                  <w:pPr>
                    <w:pStyle w:val="BodyText"/>
                    <w:numPr>
                      <w:ilvl w:val="1"/>
                      <w:numId w:val="9"/>
                    </w:numPr>
                    <w:tabs>
                      <w:tab w:pos="527" w:val="left" w:leader="none"/>
                    </w:tabs>
                    <w:spacing w:line="259" w:lineRule="exact" w:before="0" w:after="0"/>
                    <w:ind w:left="523" w:right="0" w:hanging="523"/>
                    <w:jc w:val="left"/>
                  </w:pPr>
                  <w:r>
                    <w:rPr>
                      <w:spacing w:val="-3"/>
                    </w:rPr>
                    <w:t>轻症疾病分组表</w:t>
                  </w:r>
                </w:p>
                <w:p>
                  <w:pPr>
                    <w:pStyle w:val="BodyText"/>
                    <w:numPr>
                      <w:ilvl w:val="1"/>
                      <w:numId w:val="9"/>
                    </w:numPr>
                    <w:tabs>
                      <w:tab w:pos="527" w:val="left" w:leader="none"/>
                    </w:tabs>
                    <w:spacing w:line="267" w:lineRule="exact" w:before="0" w:after="0"/>
                    <w:ind w:left="523" w:right="0" w:hanging="523"/>
                    <w:jc w:val="left"/>
                  </w:pPr>
                  <w:r>
                    <w:rPr>
                      <w:spacing w:val="-2"/>
                    </w:rPr>
                    <w:t>保险事故</w:t>
                  </w:r>
                </w:p>
                <w:p>
                  <w:pPr>
                    <w:pStyle w:val="BodyText"/>
                    <w:numPr>
                      <w:ilvl w:val="1"/>
                      <w:numId w:val="9"/>
                    </w:numPr>
                    <w:tabs>
                      <w:tab w:pos="527" w:val="left" w:leader="none"/>
                    </w:tabs>
                    <w:spacing w:line="240" w:lineRule="auto" w:before="1" w:after="0"/>
                    <w:ind w:left="523" w:right="0" w:hanging="523"/>
                    <w:jc w:val="left"/>
                  </w:pPr>
                  <w:r>
                    <w:rPr/>
                    <w:t>毒品</w:t>
                  </w:r>
                </w:p>
                <w:p>
                  <w:pPr>
                    <w:pStyle w:val="BodyText"/>
                    <w:numPr>
                      <w:ilvl w:val="1"/>
                      <w:numId w:val="9"/>
                    </w:numPr>
                    <w:tabs>
                      <w:tab w:pos="527" w:val="left" w:leader="none"/>
                    </w:tabs>
                    <w:spacing w:line="240" w:lineRule="auto" w:before="3" w:after="0"/>
                    <w:ind w:left="523" w:right="0" w:hanging="523"/>
                    <w:jc w:val="left"/>
                  </w:pPr>
                  <w:r>
                    <w:rPr>
                      <w:spacing w:val="-2"/>
                    </w:rPr>
                    <w:t>酒后驾驶</w:t>
                  </w:r>
                </w:p>
                <w:p>
                  <w:pPr>
                    <w:pStyle w:val="BodyText"/>
                    <w:numPr>
                      <w:ilvl w:val="1"/>
                      <w:numId w:val="9"/>
                    </w:numPr>
                    <w:tabs>
                      <w:tab w:pos="546" w:val="left" w:leader="none"/>
                    </w:tabs>
                    <w:spacing w:line="244" w:lineRule="auto" w:before="5" w:after="0"/>
                    <w:ind w:left="523" w:right="18" w:hanging="523"/>
                    <w:jc w:val="left"/>
                  </w:pPr>
                  <w:r>
                    <w:rPr>
                      <w:spacing w:val="10"/>
                    </w:rPr>
                    <w:t>无合法有效驾驶证驾驶</w:t>
                  </w:r>
                </w:p>
                <w:p>
                  <w:pPr>
                    <w:pStyle w:val="BodyText"/>
                    <w:numPr>
                      <w:ilvl w:val="1"/>
                      <w:numId w:val="9"/>
                    </w:numPr>
                    <w:tabs>
                      <w:tab w:pos="527" w:val="left" w:leader="none"/>
                    </w:tabs>
                    <w:spacing w:line="274" w:lineRule="exact" w:before="0" w:after="0"/>
                    <w:ind w:left="523" w:right="0" w:hanging="523"/>
                    <w:jc w:val="left"/>
                  </w:pPr>
                  <w:r>
                    <w:rPr>
                      <w:spacing w:val="-3"/>
                    </w:rPr>
                    <w:t>无有效行驶证</w:t>
                  </w:r>
                </w:p>
                <w:p>
                  <w:pPr>
                    <w:pStyle w:val="BodyText"/>
                    <w:numPr>
                      <w:ilvl w:val="1"/>
                      <w:numId w:val="9"/>
                    </w:numPr>
                    <w:tabs>
                      <w:tab w:pos="527" w:val="left" w:leader="none"/>
                    </w:tabs>
                    <w:spacing w:line="240" w:lineRule="auto" w:before="6" w:after="0"/>
                    <w:ind w:left="523" w:right="0" w:hanging="523"/>
                    <w:jc w:val="left"/>
                  </w:pPr>
                  <w:r>
                    <w:rPr>
                      <w:spacing w:val="-2"/>
                    </w:rPr>
                    <w:t>机动车</w:t>
                  </w:r>
                </w:p>
                <w:p>
                  <w:pPr>
                    <w:pStyle w:val="BodyText"/>
                    <w:numPr>
                      <w:ilvl w:val="1"/>
                      <w:numId w:val="9"/>
                    </w:numPr>
                    <w:tabs>
                      <w:tab w:pos="527" w:val="left" w:leader="none"/>
                    </w:tabs>
                    <w:spacing w:line="242" w:lineRule="auto" w:before="5" w:after="0"/>
                    <w:ind w:left="523" w:right="153" w:hanging="523"/>
                    <w:jc w:val="left"/>
                  </w:pPr>
                  <w:r>
                    <w:rPr>
                      <w:spacing w:val="-3"/>
                    </w:rPr>
                    <w:t>感染艾滋病病毒或患艾滋病</w:t>
                  </w:r>
                </w:p>
                <w:p>
                  <w:pPr>
                    <w:pStyle w:val="BodyText"/>
                    <w:numPr>
                      <w:ilvl w:val="1"/>
                      <w:numId w:val="9"/>
                    </w:numPr>
                    <w:tabs>
                      <w:tab w:pos="527" w:val="left" w:leader="none"/>
                    </w:tabs>
                    <w:spacing w:line="256" w:lineRule="exact" w:before="0" w:after="0"/>
                    <w:ind w:left="523" w:right="0" w:hanging="523"/>
                    <w:jc w:val="left"/>
                  </w:pPr>
                  <w:r>
                    <w:rPr>
                      <w:spacing w:val="-3"/>
                    </w:rPr>
                    <w:t>遗传性疾病</w:t>
                  </w:r>
                </w:p>
                <w:p>
                  <w:pPr>
                    <w:pStyle w:val="BodyText"/>
                    <w:numPr>
                      <w:ilvl w:val="1"/>
                      <w:numId w:val="9"/>
                    </w:numPr>
                    <w:tabs>
                      <w:tab w:pos="527" w:val="left" w:leader="none"/>
                    </w:tabs>
                    <w:spacing w:line="228" w:lineRule="auto" w:before="6" w:after="0"/>
                    <w:ind w:left="523" w:right="153" w:hanging="523"/>
                    <w:jc w:val="left"/>
                  </w:pPr>
                  <w:r>
                    <w:rPr>
                      <w:spacing w:val="-3"/>
                    </w:rPr>
                    <w:t>先天性畸形、变形或染色体异常</w:t>
                  </w:r>
                </w:p>
                <w:p>
                  <w:pPr>
                    <w:pStyle w:val="BodyText"/>
                    <w:numPr>
                      <w:ilvl w:val="1"/>
                      <w:numId w:val="9"/>
                    </w:numPr>
                    <w:tabs>
                      <w:tab w:pos="527" w:val="left" w:leader="none"/>
                    </w:tabs>
                    <w:spacing w:line="251" w:lineRule="exact" w:before="0" w:after="0"/>
                    <w:ind w:left="523" w:right="0" w:hanging="523"/>
                    <w:jc w:val="left"/>
                  </w:pPr>
                  <w:r>
                    <w:rPr>
                      <w:spacing w:val="-3"/>
                    </w:rPr>
                    <w:t>其他权利人</w:t>
                  </w:r>
                </w:p>
                <w:p>
                  <w:pPr>
                    <w:pStyle w:val="BodyText"/>
                    <w:numPr>
                      <w:ilvl w:val="1"/>
                      <w:numId w:val="9"/>
                    </w:numPr>
                    <w:tabs>
                      <w:tab w:pos="527" w:val="left" w:leader="none"/>
                    </w:tabs>
                    <w:spacing w:line="260" w:lineRule="exact" w:before="0" w:after="0"/>
                    <w:ind w:left="523" w:right="0" w:hanging="523"/>
                    <w:jc w:val="left"/>
                  </w:pPr>
                  <w:r>
                    <w:rPr>
                      <w:spacing w:val="-2"/>
                    </w:rPr>
                    <w:t>不可抗力</w:t>
                  </w:r>
                </w:p>
                <w:p>
                  <w:pPr>
                    <w:pStyle w:val="BodyText"/>
                    <w:numPr>
                      <w:ilvl w:val="1"/>
                      <w:numId w:val="9"/>
                    </w:numPr>
                    <w:tabs>
                      <w:tab w:pos="527" w:val="left" w:leader="none"/>
                    </w:tabs>
                    <w:spacing w:line="259" w:lineRule="exact" w:before="0" w:after="0"/>
                    <w:ind w:left="523" w:right="0" w:hanging="523"/>
                    <w:jc w:val="left"/>
                  </w:pPr>
                  <w:r>
                    <w:rPr>
                      <w:spacing w:val="-3"/>
                    </w:rPr>
                    <w:t>法定身份证明</w:t>
                  </w:r>
                </w:p>
                <w:p>
                  <w:pPr>
                    <w:pStyle w:val="BodyText"/>
                    <w:numPr>
                      <w:ilvl w:val="1"/>
                      <w:numId w:val="9"/>
                    </w:numPr>
                    <w:tabs>
                      <w:tab w:pos="527" w:val="left" w:leader="none"/>
                    </w:tabs>
                    <w:spacing w:line="266" w:lineRule="exact" w:before="0" w:after="0"/>
                    <w:ind w:left="523" w:right="0" w:hanging="523"/>
                    <w:jc w:val="left"/>
                  </w:pPr>
                  <w:r>
                    <w:rPr>
                      <w:spacing w:val="-3"/>
                    </w:rPr>
                    <w:t>现金价值净额</w:t>
                  </w:r>
                </w:p>
              </w:txbxContent>
            </v:textbox>
            <w10:wrap type="none"/>
          </v:shape>
        </w:pict>
      </w:r>
      <w:r>
        <w:rPr>
          <w:rFonts w:ascii="Arial" w:hAnsi="Arial" w:eastAsia="Arial"/>
          <w:b/>
          <w:w w:val="110"/>
          <w:position w:val="-11"/>
          <w:sz w:val="52"/>
        </w:rPr>
        <w:t></w:t>
        <w:tab/>
      </w:r>
      <w:r>
        <w:rPr>
          <w:rFonts w:ascii="宋体" w:hAnsi="宋体" w:eastAsia="宋体" w:hint="eastAsia"/>
          <w:b/>
          <w:sz w:val="21"/>
        </w:rPr>
        <w:t>条款目录</w:t>
      </w:r>
    </w:p>
    <w:p>
      <w:pPr>
        <w:spacing w:after="0"/>
        <w:jc w:val="left"/>
        <w:rPr>
          <w:rFonts w:ascii="宋体" w:hAnsi="宋体" w:eastAsia="宋体" w:hint="eastAsia"/>
          <w:sz w:val="21"/>
        </w:rPr>
        <w:sectPr>
          <w:type w:val="continuous"/>
          <w:pgSz w:w="11910" w:h="16840"/>
          <w:pgMar w:top="620" w:bottom="280" w:left="780" w:right="660"/>
        </w:sectPr>
      </w:pPr>
    </w:p>
    <w:p>
      <w:pPr>
        <w:spacing w:line="357" w:lineRule="auto" w:before="66"/>
        <w:ind w:left="2965" w:right="2960" w:firstLine="160"/>
        <w:jc w:val="left"/>
        <w:rPr>
          <w:b/>
          <w:sz w:val="32"/>
        </w:rPr>
      </w:pPr>
      <w:r>
        <w:rPr>
          <w:b/>
          <w:sz w:val="32"/>
        </w:rPr>
        <w:t>君康人寿保险股份有限公司</w:t>
      </w:r>
      <w:r>
        <w:rPr>
          <w:b/>
          <w:w w:val="95"/>
          <w:sz w:val="32"/>
        </w:rPr>
        <w:t>君康多倍保重大疾病保险条款</w:t>
      </w:r>
    </w:p>
    <w:p>
      <w:pPr>
        <w:pStyle w:val="BodyText"/>
        <w:spacing w:before="7"/>
        <w:rPr>
          <w:b/>
          <w:sz w:val="32"/>
        </w:rPr>
      </w:pPr>
    </w:p>
    <w:p>
      <w:pPr>
        <w:pStyle w:val="ListParagraph"/>
        <w:numPr>
          <w:ilvl w:val="0"/>
          <w:numId w:val="10"/>
        </w:numPr>
        <w:tabs>
          <w:tab w:pos="938" w:val="left" w:leader="none"/>
          <w:tab w:pos="939" w:val="left" w:leader="none"/>
        </w:tabs>
        <w:spacing w:line="240" w:lineRule="auto" w:before="1" w:after="0"/>
        <w:ind w:left="938" w:right="0" w:hanging="674"/>
        <w:jc w:val="left"/>
        <w:rPr>
          <w:b/>
          <w:sz w:val="24"/>
        </w:rPr>
      </w:pPr>
      <w:r>
        <w:rPr>
          <w:b/>
          <w:w w:val="95"/>
          <w:sz w:val="24"/>
        </w:rPr>
        <w:t>投保人与本公司的合同</w:t>
      </w:r>
    </w:p>
    <w:p>
      <w:pPr>
        <w:pStyle w:val="BodyText"/>
        <w:spacing w:before="6"/>
        <w:rPr>
          <w:b/>
          <w:sz w:val="8"/>
        </w:rPr>
      </w:pPr>
      <w:r>
        <w:rPr/>
        <w:pict>
          <v:group style="position:absolute;margin-left:50.759998pt;margin-top:7.537415pt;width:493.65pt;height:.5pt;mso-position-horizontal-relative:page;mso-position-vertical-relative:paragraph;z-index:1312;mso-wrap-distance-left:0;mso-wrap-distance-right:0" coordorigin="1015,151" coordsize="9873,10">
            <v:line style="position:absolute" from="1015,156" to="1728,156" stroked="true" strokeweight=".48pt" strokecolor="#000000">
              <v:stroke dashstyle="solid"/>
            </v:line>
            <v:rect style="position:absolute;left:1728;top:150;width:10;height:10" filled="true" fillcolor="#000000" stroked="false">
              <v:fill type="solid"/>
            </v:rect>
            <v:line style="position:absolute" from="1738,156" to="3147,156" stroked="true" strokeweight=".48pt" strokecolor="#000000">
              <v:stroke dashstyle="solid"/>
            </v:line>
            <v:rect style="position:absolute;left:3146;top:150;width:10;height:10" filled="true" fillcolor="#000000" stroked="false">
              <v:fill type="solid"/>
            </v:rect>
            <v:line style="position:absolute" from="3156,156" to="10888,156" stroked="true" strokeweight=".48pt" strokecolor="#000000">
              <v:stroke dashstyle="solid"/>
            </v:line>
            <w10:wrap type="topAndBottom"/>
          </v:group>
        </w:pict>
      </w:r>
    </w:p>
    <w:p>
      <w:pPr>
        <w:pStyle w:val="BodyText"/>
        <w:spacing w:before="6"/>
        <w:rPr>
          <w:b/>
          <w:sz w:val="6"/>
        </w:rPr>
      </w:pPr>
    </w:p>
    <w:p>
      <w:pPr>
        <w:pStyle w:val="ListParagraph"/>
        <w:numPr>
          <w:ilvl w:val="1"/>
          <w:numId w:val="10"/>
        </w:numPr>
        <w:tabs>
          <w:tab w:pos="939" w:val="left" w:leader="none"/>
        </w:tabs>
        <w:spacing w:line="292" w:lineRule="auto" w:before="34" w:after="0"/>
        <w:ind w:left="2357" w:right="112" w:hanging="2132"/>
        <w:jc w:val="both"/>
        <w:rPr>
          <w:sz w:val="21"/>
        </w:rPr>
      </w:pPr>
      <w:r>
        <w:rPr>
          <w:b/>
          <w:spacing w:val="7"/>
          <w:sz w:val="21"/>
        </w:rPr>
        <w:t>合同构成     </w:t>
      </w:r>
      <w:r>
        <w:rPr>
          <w:spacing w:val="-7"/>
          <w:position w:val="2"/>
          <w:sz w:val="21"/>
        </w:rPr>
        <w:t>本保险条款、保险单或其他保险凭证、投保书、与保险合同有关的投保文件、合法</w:t>
      </w:r>
      <w:r>
        <w:rPr>
          <w:spacing w:val="-5"/>
          <w:sz w:val="21"/>
        </w:rPr>
        <w:t>有效的声明、批注、批单、其他经投保人与</w:t>
      </w:r>
      <w:r>
        <w:rPr>
          <w:b/>
          <w:sz w:val="21"/>
        </w:rPr>
        <w:t>本公司</w:t>
      </w:r>
      <w:r>
        <w:rPr>
          <w:sz w:val="21"/>
        </w:rPr>
        <w:t>（</w:t>
      </w:r>
      <w:r>
        <w:rPr>
          <w:spacing w:val="-15"/>
          <w:sz w:val="21"/>
        </w:rPr>
        <w:t>见 </w:t>
      </w:r>
      <w:r>
        <w:rPr>
          <w:sz w:val="21"/>
        </w:rPr>
        <w:t>9.1）</w:t>
      </w:r>
      <w:r>
        <w:rPr>
          <w:spacing w:val="-3"/>
          <w:sz w:val="21"/>
        </w:rPr>
        <w:t>共同认可的与本合同有关的书面协议都是投保人与本公司之间订立的“君康多倍保重大疾病保险合同”</w:t>
      </w:r>
    </w:p>
    <w:p>
      <w:pPr>
        <w:pStyle w:val="BodyText"/>
        <w:spacing w:before="22"/>
        <w:ind w:left="2357"/>
      </w:pPr>
      <w:r>
        <w:rPr>
          <w:w w:val="100"/>
        </w:rPr>
        <w:t>（</w:t>
      </w:r>
      <w:r>
        <w:rPr>
          <w:spacing w:val="-14"/>
          <w:w w:val="100"/>
        </w:rPr>
        <w:t>以下简称为“本合同”</w:t>
      </w:r>
      <w:r>
        <w:rPr>
          <w:spacing w:val="-3"/>
          <w:w w:val="100"/>
        </w:rPr>
        <w:t>）</w:t>
      </w:r>
      <w:r>
        <w:rPr>
          <w:spacing w:val="-2"/>
          <w:w w:val="100"/>
        </w:rPr>
        <w:t>的构成部分。</w:t>
      </w:r>
    </w:p>
    <w:p>
      <w:pPr>
        <w:pStyle w:val="BodyText"/>
        <w:spacing w:before="9"/>
        <w:rPr>
          <w:sz w:val="14"/>
        </w:rPr>
      </w:pPr>
    </w:p>
    <w:p>
      <w:pPr>
        <w:spacing w:after="0"/>
        <w:rPr>
          <w:sz w:val="14"/>
        </w:rPr>
        <w:sectPr>
          <w:footerReference w:type="default" r:id="rId7"/>
          <w:pgSz w:w="11910" w:h="16840"/>
          <w:pgMar w:footer="377" w:header="0" w:top="1580" w:bottom="560" w:left="900" w:right="900"/>
          <w:pgNumType w:start="1"/>
        </w:sectPr>
      </w:pPr>
    </w:p>
    <w:p>
      <w:pPr>
        <w:pStyle w:val="Heading1"/>
        <w:numPr>
          <w:ilvl w:val="1"/>
          <w:numId w:val="10"/>
        </w:numPr>
        <w:tabs>
          <w:tab w:pos="938" w:val="left" w:leader="none"/>
          <w:tab w:pos="939" w:val="left" w:leader="none"/>
        </w:tabs>
        <w:spacing w:line="326" w:lineRule="auto" w:before="53" w:after="0"/>
        <w:ind w:left="938" w:right="0" w:hanging="713"/>
        <w:jc w:val="left"/>
      </w:pPr>
      <w:r>
        <w:rPr/>
        <w:t>合同成立与生效</w:t>
      </w:r>
    </w:p>
    <w:p>
      <w:pPr>
        <w:pStyle w:val="BodyText"/>
        <w:spacing w:before="36"/>
        <w:ind w:left="225"/>
      </w:pPr>
      <w:r>
        <w:rPr/>
        <w:br w:type="column"/>
      </w:r>
      <w:r>
        <w:rPr/>
        <w:t>投保人提出保险申请，本公司同意承保，本合同成立。</w:t>
      </w:r>
    </w:p>
    <w:p>
      <w:pPr>
        <w:pStyle w:val="BodyText"/>
        <w:spacing w:before="6"/>
        <w:rPr>
          <w:sz w:val="17"/>
        </w:rPr>
      </w:pPr>
    </w:p>
    <w:p>
      <w:pPr>
        <w:pStyle w:val="BodyText"/>
        <w:spacing w:line="300" w:lineRule="auto"/>
        <w:ind w:left="225" w:right="217"/>
        <w:jc w:val="both"/>
      </w:pPr>
      <w:r>
        <w:rPr>
          <w:spacing w:val="-6"/>
        </w:rPr>
        <w:t>除另有约定外，自本合同成立、本公司收取首期保险费并签发保险单后次日零时起</w:t>
      </w:r>
      <w:r>
        <w:rPr>
          <w:spacing w:val="-7"/>
        </w:rPr>
        <w:t>本合同生效，生效日应载于保险单上。本公司自生效日的零时起开始承担本合同约</w:t>
      </w:r>
      <w:r>
        <w:rPr>
          <w:spacing w:val="-5"/>
        </w:rPr>
        <w:t>定的保险责任。</w:t>
      </w:r>
    </w:p>
    <w:p>
      <w:pPr>
        <w:pStyle w:val="BodyText"/>
        <w:spacing w:line="300" w:lineRule="auto" w:before="150"/>
        <w:ind w:left="225" w:right="217"/>
        <w:jc w:val="both"/>
      </w:pPr>
      <w:r>
        <w:rPr>
          <w:spacing w:val="-5"/>
        </w:rPr>
        <w:t>本合同生效日以后每年的对应日是保单周年日，如果当月无对应日期，则以该月最</w:t>
      </w:r>
      <w:r>
        <w:rPr>
          <w:spacing w:val="-4"/>
        </w:rPr>
        <w:t>后一日作为对应日。</w:t>
      </w:r>
    </w:p>
    <w:p>
      <w:pPr>
        <w:spacing w:before="172"/>
        <w:ind w:left="225" w:right="0" w:firstLine="0"/>
        <w:jc w:val="both"/>
        <w:rPr>
          <w:sz w:val="21"/>
        </w:rPr>
      </w:pPr>
      <w:r>
        <w:rPr>
          <w:b/>
          <w:w w:val="100"/>
          <w:sz w:val="21"/>
        </w:rPr>
        <w:t>保单年度</w:t>
      </w:r>
      <w:r>
        <w:rPr>
          <w:spacing w:val="-3"/>
          <w:w w:val="100"/>
          <w:sz w:val="21"/>
        </w:rPr>
        <w:t>（</w:t>
      </w:r>
      <w:r>
        <w:rPr>
          <w:w w:val="100"/>
          <w:sz w:val="21"/>
        </w:rPr>
        <w:t>见</w:t>
      </w:r>
      <w:r>
        <w:rPr>
          <w:spacing w:val="-53"/>
          <w:sz w:val="21"/>
        </w:rPr>
        <w:t> </w:t>
      </w:r>
      <w:r>
        <w:rPr>
          <w:w w:val="100"/>
          <w:sz w:val="21"/>
        </w:rPr>
        <w:t>9.</w:t>
      </w:r>
      <w:r>
        <w:rPr>
          <w:spacing w:val="-3"/>
          <w:w w:val="100"/>
          <w:sz w:val="21"/>
        </w:rPr>
        <w:t>2</w:t>
      </w:r>
      <w:r>
        <w:rPr>
          <w:spacing w:val="-106"/>
          <w:w w:val="100"/>
          <w:sz w:val="21"/>
        </w:rPr>
        <w:t>）</w:t>
      </w:r>
      <w:r>
        <w:rPr>
          <w:spacing w:val="-3"/>
          <w:w w:val="100"/>
          <w:sz w:val="21"/>
        </w:rPr>
        <w:t>、</w:t>
      </w:r>
      <w:r>
        <w:rPr>
          <w:b/>
          <w:w w:val="100"/>
          <w:sz w:val="21"/>
        </w:rPr>
        <w:t>保险费应交日</w:t>
      </w:r>
      <w:r>
        <w:rPr>
          <w:spacing w:val="-3"/>
          <w:w w:val="100"/>
          <w:sz w:val="21"/>
        </w:rPr>
        <w:t>（</w:t>
      </w:r>
      <w:r>
        <w:rPr>
          <w:w w:val="100"/>
          <w:sz w:val="21"/>
        </w:rPr>
        <w:t>见</w:t>
      </w:r>
      <w:r>
        <w:rPr>
          <w:spacing w:val="-53"/>
          <w:sz w:val="21"/>
        </w:rPr>
        <w:t> </w:t>
      </w:r>
      <w:r>
        <w:rPr>
          <w:w w:val="100"/>
          <w:sz w:val="21"/>
        </w:rPr>
        <w:t>9.</w:t>
      </w:r>
      <w:r>
        <w:rPr>
          <w:spacing w:val="-3"/>
          <w:w w:val="100"/>
          <w:sz w:val="21"/>
        </w:rPr>
        <w:t>3</w:t>
      </w:r>
      <w:r>
        <w:rPr>
          <w:w w:val="100"/>
          <w:sz w:val="21"/>
        </w:rPr>
        <w:t>）</w:t>
      </w:r>
      <w:r>
        <w:rPr>
          <w:spacing w:val="-3"/>
          <w:w w:val="100"/>
          <w:sz w:val="21"/>
        </w:rPr>
        <w:t>均依据生效日进行计算。</w:t>
      </w:r>
    </w:p>
    <w:p>
      <w:pPr>
        <w:spacing w:after="0"/>
        <w:jc w:val="both"/>
        <w:rPr>
          <w:sz w:val="21"/>
        </w:rPr>
        <w:sectPr>
          <w:type w:val="continuous"/>
          <w:pgSz w:w="11910" w:h="16840"/>
          <w:pgMar w:top="620" w:bottom="280" w:left="900" w:right="900"/>
          <w:cols w:num="2" w:equalWidth="0">
            <w:col w:w="1995" w:space="136"/>
            <w:col w:w="7979"/>
          </w:cols>
        </w:sectPr>
      </w:pPr>
    </w:p>
    <w:p>
      <w:pPr>
        <w:pStyle w:val="BodyText"/>
        <w:spacing w:before="12"/>
        <w:rPr>
          <w:sz w:val="16"/>
        </w:rPr>
      </w:pPr>
    </w:p>
    <w:p>
      <w:pPr>
        <w:pStyle w:val="ListParagraph"/>
        <w:numPr>
          <w:ilvl w:val="1"/>
          <w:numId w:val="10"/>
        </w:numPr>
        <w:tabs>
          <w:tab w:pos="939" w:val="left" w:leader="none"/>
        </w:tabs>
        <w:spacing w:line="285" w:lineRule="auto" w:before="33" w:after="0"/>
        <w:ind w:left="2357" w:right="216" w:hanging="2132"/>
        <w:jc w:val="both"/>
        <w:rPr>
          <w:sz w:val="21"/>
        </w:rPr>
      </w:pPr>
      <w:r>
        <w:rPr>
          <w:b/>
          <w:spacing w:val="-1"/>
          <w:w w:val="100"/>
          <w:sz w:val="21"/>
        </w:rPr>
        <w:t>投保范围</w:t>
      </w:r>
      <w:r>
        <w:rPr>
          <w:b/>
          <w:spacing w:val="6"/>
          <w:sz w:val="21"/>
        </w:rPr>
        <w:t>     </w:t>
      </w:r>
      <w:r>
        <w:rPr>
          <w:spacing w:val="-3"/>
          <w:w w:val="100"/>
          <w:position w:val="2"/>
          <w:sz w:val="21"/>
        </w:rPr>
        <w:t>投保人：凡年满</w:t>
      </w:r>
      <w:r>
        <w:rPr>
          <w:spacing w:val="-48"/>
          <w:position w:val="2"/>
          <w:sz w:val="21"/>
        </w:rPr>
        <w:t> </w:t>
      </w:r>
      <w:r>
        <w:rPr>
          <w:w w:val="100"/>
          <w:position w:val="2"/>
          <w:sz w:val="21"/>
        </w:rPr>
        <w:t>18</w:t>
      </w:r>
      <w:r>
        <w:rPr>
          <w:spacing w:val="-50"/>
          <w:position w:val="2"/>
          <w:sz w:val="21"/>
        </w:rPr>
        <w:t> </w:t>
      </w:r>
      <w:r>
        <w:rPr>
          <w:b/>
          <w:w w:val="100"/>
          <w:position w:val="2"/>
          <w:sz w:val="21"/>
        </w:rPr>
        <w:t>周岁</w:t>
      </w:r>
      <w:r>
        <w:rPr>
          <w:spacing w:val="-3"/>
          <w:w w:val="100"/>
          <w:position w:val="2"/>
          <w:sz w:val="21"/>
        </w:rPr>
        <w:t>（</w:t>
      </w:r>
      <w:r>
        <w:rPr>
          <w:w w:val="100"/>
          <w:position w:val="2"/>
          <w:sz w:val="21"/>
        </w:rPr>
        <w:t>见</w:t>
      </w:r>
      <w:r>
        <w:rPr>
          <w:spacing w:val="-48"/>
          <w:position w:val="2"/>
          <w:sz w:val="21"/>
        </w:rPr>
        <w:t> </w:t>
      </w:r>
      <w:r>
        <w:rPr>
          <w:w w:val="100"/>
          <w:position w:val="2"/>
          <w:sz w:val="21"/>
        </w:rPr>
        <w:t>9.</w:t>
      </w:r>
      <w:r>
        <w:rPr>
          <w:spacing w:val="-2"/>
          <w:w w:val="100"/>
          <w:position w:val="2"/>
          <w:sz w:val="21"/>
        </w:rPr>
        <w:t>4</w:t>
      </w:r>
      <w:r>
        <w:rPr>
          <w:spacing w:val="-106"/>
          <w:w w:val="100"/>
          <w:position w:val="2"/>
          <w:sz w:val="21"/>
        </w:rPr>
        <w:t>）</w:t>
      </w:r>
      <w:r>
        <w:rPr>
          <w:spacing w:val="-3"/>
          <w:w w:val="100"/>
          <w:position w:val="2"/>
          <w:sz w:val="21"/>
        </w:rPr>
        <w:t>，具有完全民事行为能力且对被保险人具有保险</w:t>
      </w:r>
      <w:r>
        <w:rPr>
          <w:spacing w:val="-3"/>
          <w:sz w:val="21"/>
        </w:rPr>
        <w:t>利益的人，均可作为本合同的投保人。</w:t>
      </w:r>
    </w:p>
    <w:p>
      <w:pPr>
        <w:pStyle w:val="BodyText"/>
        <w:spacing w:line="300" w:lineRule="auto" w:before="28"/>
        <w:ind w:left="2357" w:right="216"/>
        <w:jc w:val="both"/>
      </w:pPr>
      <w:r>
        <w:rPr>
          <w:spacing w:val="-8"/>
        </w:rPr>
        <w:t>被保险人：凡出生届满 </w:t>
      </w:r>
      <w:r>
        <w:rPr/>
        <w:t>28</w:t>
      </w:r>
      <w:r>
        <w:rPr>
          <w:spacing w:val="-24"/>
        </w:rPr>
        <w:t> 天至 </w:t>
      </w:r>
      <w:r>
        <w:rPr/>
        <w:t>65</w:t>
      </w:r>
      <w:r>
        <w:rPr>
          <w:spacing w:val="-20"/>
        </w:rPr>
        <w:t> 周岁</w:t>
      </w:r>
      <w:r>
        <w:rPr/>
        <w:t>（</w:t>
      </w:r>
      <w:r>
        <w:rPr>
          <w:spacing w:val="-3"/>
        </w:rPr>
        <w:t>含</w:t>
      </w:r>
      <w:r>
        <w:rPr>
          <w:spacing w:val="-10"/>
        </w:rPr>
        <w:t>）</w:t>
      </w:r>
      <w:r>
        <w:rPr>
          <w:spacing w:val="-4"/>
        </w:rPr>
        <w:t>身体健康的人，均可作为本合同的被</w:t>
      </w:r>
      <w:r>
        <w:rPr>
          <w:spacing w:val="-3"/>
        </w:rPr>
        <w:t>保险人。</w:t>
      </w:r>
    </w:p>
    <w:p>
      <w:pPr>
        <w:pStyle w:val="ListParagraph"/>
        <w:numPr>
          <w:ilvl w:val="1"/>
          <w:numId w:val="10"/>
        </w:numPr>
        <w:tabs>
          <w:tab w:pos="939" w:val="left" w:leader="none"/>
        </w:tabs>
        <w:spacing w:line="295" w:lineRule="auto" w:before="135" w:after="0"/>
        <w:ind w:left="2357" w:right="216" w:hanging="2132"/>
        <w:jc w:val="both"/>
        <w:rPr>
          <w:sz w:val="21"/>
        </w:rPr>
      </w:pPr>
      <w:r>
        <w:rPr>
          <w:b/>
          <w:spacing w:val="1"/>
          <w:sz w:val="21"/>
        </w:rPr>
        <w:t>犹豫期       </w:t>
      </w:r>
      <w:r>
        <w:rPr>
          <w:position w:val="2"/>
          <w:sz w:val="21"/>
        </w:rPr>
        <w:t>从投保人收到本合同并书面签收或按照本公司要求的其他方式对本合同进行确认</w:t>
      </w:r>
      <w:r>
        <w:rPr>
          <w:spacing w:val="-3"/>
          <w:sz w:val="21"/>
        </w:rPr>
        <w:t>之日起的一段时期为犹豫期，该时期不低于 </w:t>
      </w:r>
      <w:r>
        <w:rPr>
          <w:sz w:val="21"/>
        </w:rPr>
        <w:t>10</w:t>
      </w:r>
      <w:r>
        <w:rPr>
          <w:spacing w:val="-3"/>
          <w:sz w:val="21"/>
        </w:rPr>
        <w:t> 日，具体日数以保险单上所载的为</w:t>
      </w:r>
      <w:r>
        <w:rPr>
          <w:spacing w:val="-8"/>
          <w:sz w:val="21"/>
        </w:rPr>
        <w:t>准。在此期间，如投保人认为本合同与投保人的需求不相符，可以解除本合同，本</w:t>
      </w:r>
      <w:r>
        <w:rPr>
          <w:spacing w:val="-15"/>
          <w:sz w:val="21"/>
        </w:rPr>
        <w:t>公司将无息退还保险费。</w:t>
      </w:r>
      <w:r>
        <w:rPr>
          <w:spacing w:val="-3"/>
          <w:sz w:val="21"/>
        </w:rPr>
        <w:t>（</w:t>
      </w:r>
      <w:r>
        <w:rPr>
          <w:b/>
          <w:sz w:val="21"/>
        </w:rPr>
        <w:t>特殊群体</w:t>
      </w:r>
      <w:r>
        <w:rPr>
          <w:spacing w:val="-3"/>
          <w:sz w:val="21"/>
        </w:rPr>
        <w:t>（</w:t>
      </w:r>
      <w:r>
        <w:rPr>
          <w:spacing w:val="-12"/>
          <w:sz w:val="21"/>
        </w:rPr>
        <w:t>见 </w:t>
      </w:r>
      <w:r>
        <w:rPr>
          <w:sz w:val="21"/>
        </w:rPr>
        <w:t>9.5）</w:t>
      </w:r>
      <w:r>
        <w:rPr>
          <w:spacing w:val="-3"/>
          <w:sz w:val="21"/>
        </w:rPr>
        <w:t>客户另有约定的除外</w:t>
      </w:r>
      <w:r>
        <w:rPr>
          <w:sz w:val="21"/>
        </w:rPr>
        <w:t>）</w:t>
      </w:r>
    </w:p>
    <w:p>
      <w:pPr>
        <w:pStyle w:val="BodyText"/>
        <w:spacing w:line="300" w:lineRule="auto" w:before="176"/>
        <w:ind w:left="2357" w:right="216"/>
        <w:jc w:val="both"/>
        <w:rPr>
          <w:rFonts w:ascii="黑体" w:eastAsia="黑体" w:hint="eastAsia"/>
        </w:rPr>
      </w:pPr>
      <w:r>
        <w:rPr>
          <w:rFonts w:ascii="黑体" w:eastAsia="黑体" w:hint="eastAsia"/>
          <w:spacing w:val="-6"/>
        </w:rPr>
        <w:t>犹豫期内解除合同时，投保人需要填写申请书，并提供本合同及本公司要求的相关</w:t>
      </w:r>
      <w:r>
        <w:rPr>
          <w:rFonts w:ascii="黑体" w:eastAsia="黑体" w:hint="eastAsia"/>
          <w:spacing w:val="-8"/>
        </w:rPr>
        <w:t>资料。自本公司收到投保人申请解除合同的书面申请之日起，本合同即被解除，本</w:t>
      </w:r>
      <w:r>
        <w:rPr>
          <w:rFonts w:ascii="黑体" w:eastAsia="黑体" w:hint="eastAsia"/>
          <w:spacing w:val="-3"/>
        </w:rPr>
        <w:t>公司自本合同</w:t>
      </w:r>
      <w:r>
        <w:rPr>
          <w:rFonts w:ascii="黑体" w:eastAsia="黑体" w:hint="eastAsia"/>
        </w:rPr>
        <w:t>Th</w:t>
      </w:r>
      <w:r>
        <w:rPr>
          <w:rFonts w:ascii="黑体" w:eastAsia="黑体" w:hint="eastAsia"/>
          <w:spacing w:val="-3"/>
        </w:rPr>
        <w:t>效日起自始不承担保险责任。</w:t>
      </w:r>
    </w:p>
    <w:p>
      <w:pPr>
        <w:pStyle w:val="BodyText"/>
        <w:spacing w:before="2"/>
        <w:rPr>
          <w:rFonts w:ascii="黑体"/>
          <w:sz w:val="23"/>
        </w:rPr>
      </w:pPr>
    </w:p>
    <w:p>
      <w:pPr>
        <w:pStyle w:val="ListParagraph"/>
        <w:numPr>
          <w:ilvl w:val="0"/>
          <w:numId w:val="10"/>
        </w:numPr>
        <w:tabs>
          <w:tab w:pos="938" w:val="left" w:leader="none"/>
          <w:tab w:pos="939" w:val="left" w:leader="none"/>
        </w:tabs>
        <w:spacing w:line="240" w:lineRule="auto" w:before="0" w:after="0"/>
        <w:ind w:left="938" w:right="0" w:hanging="674"/>
        <w:jc w:val="left"/>
        <w:rPr>
          <w:b/>
          <w:sz w:val="24"/>
        </w:rPr>
      </w:pPr>
      <w:r>
        <w:rPr>
          <w:b/>
          <w:w w:val="95"/>
          <w:sz w:val="24"/>
        </w:rPr>
        <w:t>本公司提供的保障</w:t>
      </w:r>
    </w:p>
    <w:p>
      <w:pPr>
        <w:pStyle w:val="BodyText"/>
        <w:spacing w:before="8"/>
        <w:rPr>
          <w:b/>
          <w:sz w:val="8"/>
        </w:rPr>
      </w:pPr>
      <w:r>
        <w:rPr/>
        <w:pict>
          <v:group style="position:absolute;margin-left:50.759998pt;margin-top:7.617899pt;width:493.65pt;height:.5pt;mso-position-horizontal-relative:page;mso-position-vertical-relative:paragraph;z-index:1336;mso-wrap-distance-left:0;mso-wrap-distance-right:0" coordorigin="1015,152" coordsize="9873,10">
            <v:line style="position:absolute" from="1015,157" to="1728,157" stroked="true" strokeweight=".48004pt" strokecolor="#000000">
              <v:stroke dashstyle="solid"/>
            </v:line>
            <v:rect style="position:absolute;left:1728;top:152;width:10;height:10" filled="true" fillcolor="#000000" stroked="false">
              <v:fill type="solid"/>
            </v:rect>
            <v:line style="position:absolute" from="1738,157" to="3147,157" stroked="true" strokeweight=".48004pt" strokecolor="#000000">
              <v:stroke dashstyle="solid"/>
            </v:line>
            <v:rect style="position:absolute;left:3146;top:152;width:10;height:10" filled="true" fillcolor="#000000" stroked="false">
              <v:fill type="solid"/>
            </v:rect>
            <v:line style="position:absolute" from="3156,157" to="10888,157" stroked="true" strokeweight=".48004pt" strokecolor="#000000">
              <v:stroke dashstyle="solid"/>
            </v:line>
            <w10:wrap type="topAndBottom"/>
          </v:group>
        </w:pict>
      </w:r>
    </w:p>
    <w:p>
      <w:pPr>
        <w:pStyle w:val="BodyText"/>
        <w:spacing w:before="6"/>
        <w:rPr>
          <w:b/>
          <w:sz w:val="6"/>
        </w:rPr>
      </w:pPr>
    </w:p>
    <w:p>
      <w:pPr>
        <w:pStyle w:val="ListParagraph"/>
        <w:numPr>
          <w:ilvl w:val="1"/>
          <w:numId w:val="10"/>
        </w:numPr>
        <w:tabs>
          <w:tab w:pos="938" w:val="left" w:leader="none"/>
          <w:tab w:pos="939" w:val="left" w:leader="none"/>
          <w:tab w:pos="2357" w:val="left" w:leader="none"/>
        </w:tabs>
        <w:spacing w:line="240" w:lineRule="auto" w:before="34" w:after="0"/>
        <w:ind w:left="938" w:right="0" w:hanging="713"/>
        <w:jc w:val="left"/>
        <w:rPr>
          <w:sz w:val="21"/>
        </w:rPr>
      </w:pPr>
      <w:r>
        <w:rPr>
          <w:b/>
          <w:sz w:val="21"/>
        </w:rPr>
        <w:t>保险责任</w:t>
        <w:tab/>
      </w:r>
      <w:r>
        <w:rPr>
          <w:spacing w:val="-1"/>
          <w:position w:val="2"/>
          <w:sz w:val="21"/>
        </w:rPr>
        <w:t>在</w:t>
      </w:r>
      <w:r>
        <w:rPr>
          <w:position w:val="2"/>
          <w:sz w:val="21"/>
        </w:rPr>
        <w:t>本</w:t>
      </w:r>
      <w:r>
        <w:rPr>
          <w:spacing w:val="-3"/>
          <w:position w:val="2"/>
          <w:sz w:val="21"/>
        </w:rPr>
        <w:t>合</w:t>
      </w:r>
      <w:r>
        <w:rPr>
          <w:position w:val="2"/>
          <w:sz w:val="21"/>
        </w:rPr>
        <w:t>同</w:t>
      </w:r>
      <w:r>
        <w:rPr>
          <w:spacing w:val="-3"/>
          <w:position w:val="2"/>
          <w:sz w:val="21"/>
        </w:rPr>
        <w:t>有</w:t>
      </w:r>
      <w:r>
        <w:rPr>
          <w:position w:val="2"/>
          <w:sz w:val="21"/>
        </w:rPr>
        <w:t>效</w:t>
      </w:r>
      <w:r>
        <w:rPr>
          <w:spacing w:val="-3"/>
          <w:position w:val="2"/>
          <w:sz w:val="21"/>
        </w:rPr>
        <w:t>期</w:t>
      </w:r>
      <w:r>
        <w:rPr>
          <w:position w:val="2"/>
          <w:sz w:val="21"/>
        </w:rPr>
        <w:t>内</w:t>
      </w:r>
      <w:r>
        <w:rPr>
          <w:spacing w:val="-3"/>
          <w:position w:val="2"/>
          <w:sz w:val="21"/>
        </w:rPr>
        <w:t>，</w:t>
      </w:r>
      <w:r>
        <w:rPr>
          <w:position w:val="2"/>
          <w:sz w:val="21"/>
        </w:rPr>
        <w:t>本</w:t>
      </w:r>
      <w:r>
        <w:rPr>
          <w:spacing w:val="-3"/>
          <w:position w:val="2"/>
          <w:sz w:val="21"/>
        </w:rPr>
        <w:t>公</w:t>
      </w:r>
      <w:r>
        <w:rPr>
          <w:position w:val="2"/>
          <w:sz w:val="21"/>
        </w:rPr>
        <w:t>司对</w:t>
      </w:r>
      <w:r>
        <w:rPr>
          <w:spacing w:val="-3"/>
          <w:position w:val="2"/>
          <w:sz w:val="21"/>
        </w:rPr>
        <w:t>被</w:t>
      </w:r>
      <w:r>
        <w:rPr>
          <w:position w:val="2"/>
          <w:sz w:val="21"/>
        </w:rPr>
        <w:t>保</w:t>
      </w:r>
      <w:r>
        <w:rPr>
          <w:spacing w:val="-3"/>
          <w:position w:val="2"/>
          <w:sz w:val="21"/>
        </w:rPr>
        <w:t>险</w:t>
      </w:r>
      <w:r>
        <w:rPr>
          <w:position w:val="2"/>
          <w:sz w:val="21"/>
        </w:rPr>
        <w:t>人</w:t>
      </w:r>
      <w:r>
        <w:rPr>
          <w:spacing w:val="-3"/>
          <w:position w:val="2"/>
          <w:sz w:val="21"/>
        </w:rPr>
        <w:t>承</w:t>
      </w:r>
      <w:r>
        <w:rPr>
          <w:position w:val="2"/>
          <w:sz w:val="21"/>
        </w:rPr>
        <w:t>担</w:t>
      </w:r>
      <w:r>
        <w:rPr>
          <w:spacing w:val="-3"/>
          <w:position w:val="2"/>
          <w:sz w:val="21"/>
        </w:rPr>
        <w:t>下</w:t>
      </w:r>
      <w:r>
        <w:rPr>
          <w:position w:val="2"/>
          <w:sz w:val="21"/>
        </w:rPr>
        <w:t>列</w:t>
      </w:r>
      <w:r>
        <w:rPr>
          <w:spacing w:val="-3"/>
          <w:position w:val="2"/>
          <w:sz w:val="21"/>
        </w:rPr>
        <w:t>保</w:t>
      </w:r>
      <w:r>
        <w:rPr>
          <w:position w:val="2"/>
          <w:sz w:val="21"/>
        </w:rPr>
        <w:t>险责</w:t>
      </w:r>
      <w:r>
        <w:rPr>
          <w:spacing w:val="-3"/>
          <w:position w:val="2"/>
          <w:sz w:val="21"/>
        </w:rPr>
        <w:t>任</w:t>
      </w:r>
      <w:r>
        <w:rPr>
          <w:position w:val="2"/>
          <w:sz w:val="21"/>
        </w:rPr>
        <w:t>：</w:t>
      </w:r>
    </w:p>
    <w:p>
      <w:pPr>
        <w:pStyle w:val="BodyText"/>
        <w:spacing w:before="51"/>
        <w:ind w:left="2357"/>
        <w:rPr>
          <w:rFonts w:ascii="黑体" w:eastAsia="黑体" w:hint="eastAsia"/>
        </w:rPr>
      </w:pPr>
      <w:r>
        <w:rPr>
          <w:rFonts w:ascii="黑体" w:eastAsia="黑体" w:hint="eastAsia"/>
        </w:rPr>
        <w:t>一、等待期</w:t>
      </w:r>
    </w:p>
    <w:p>
      <w:pPr>
        <w:pStyle w:val="BodyText"/>
        <w:spacing w:before="68"/>
        <w:ind w:left="2777"/>
        <w:rPr>
          <w:rFonts w:ascii="黑体" w:eastAsia="黑体" w:hint="eastAsia"/>
        </w:rPr>
      </w:pPr>
      <w:r>
        <w:rPr>
          <w:rFonts w:ascii="黑体" w:eastAsia="黑体" w:hint="eastAsia"/>
        </w:rPr>
        <w:t>被保险人在本合同Th效日或最后一个复效日起 90 日（含）内因</w:t>
      </w:r>
      <w:r>
        <w:rPr>
          <w:rFonts w:ascii="黑体" w:eastAsia="黑体" w:hint="eastAsia"/>
          <w:b/>
        </w:rPr>
        <w:t>意外伤害</w:t>
      </w:r>
      <w:r>
        <w:rPr>
          <w:rFonts w:ascii="黑体" w:eastAsia="黑体" w:hint="eastAsia"/>
        </w:rPr>
        <w:t>（见</w:t>
      </w:r>
    </w:p>
    <w:p>
      <w:pPr>
        <w:pStyle w:val="BodyText"/>
        <w:spacing w:line="300" w:lineRule="auto" w:before="68"/>
        <w:ind w:left="2357" w:right="113"/>
        <w:rPr>
          <w:rFonts w:ascii="黑体" w:eastAsia="黑体" w:hint="eastAsia"/>
        </w:rPr>
      </w:pPr>
      <w:r>
        <w:rPr>
          <w:rFonts w:ascii="黑体" w:eastAsia="黑体" w:hint="eastAsia"/>
          <w:w w:val="100"/>
        </w:rPr>
        <w:t>9.</w:t>
      </w:r>
      <w:r>
        <w:rPr>
          <w:rFonts w:ascii="黑体" w:eastAsia="黑体" w:hint="eastAsia"/>
          <w:spacing w:val="-3"/>
          <w:w w:val="100"/>
        </w:rPr>
        <w:t>6</w:t>
      </w:r>
      <w:r>
        <w:rPr>
          <w:rFonts w:ascii="黑体" w:eastAsia="黑体" w:hint="eastAsia"/>
          <w:spacing w:val="-29"/>
          <w:w w:val="100"/>
        </w:rPr>
        <w:t>）</w:t>
      </w:r>
      <w:r>
        <w:rPr>
          <w:rFonts w:ascii="黑体" w:eastAsia="黑体" w:hint="eastAsia"/>
          <w:spacing w:val="-3"/>
          <w:w w:val="100"/>
        </w:rPr>
        <w:t>以外的原因发</w:t>
      </w:r>
      <w:r>
        <w:rPr>
          <w:rFonts w:ascii="黑体" w:eastAsia="黑体" w:hint="eastAsia"/>
          <w:w w:val="100"/>
        </w:rPr>
        <w:t>Th</w:t>
      </w:r>
      <w:r>
        <w:rPr>
          <w:rFonts w:ascii="黑体" w:eastAsia="黑体" w:hint="eastAsia"/>
          <w:spacing w:val="-3"/>
          <w:w w:val="100"/>
        </w:rPr>
        <w:t>本合同约定的</w:t>
      </w:r>
      <w:r>
        <w:rPr>
          <w:rFonts w:ascii="黑体" w:eastAsia="黑体" w:hint="eastAsia"/>
          <w:b/>
          <w:spacing w:val="-8"/>
          <w:w w:val="100"/>
        </w:rPr>
        <w:t>轻症疾病</w:t>
      </w:r>
      <w:r>
        <w:rPr>
          <w:rFonts w:ascii="黑体" w:eastAsia="黑体" w:hint="eastAsia"/>
          <w:spacing w:val="-3"/>
          <w:w w:val="100"/>
        </w:rPr>
        <w:t>（</w:t>
      </w:r>
      <w:r>
        <w:rPr>
          <w:rFonts w:ascii="黑体" w:eastAsia="黑体" w:hint="eastAsia"/>
          <w:w w:val="100"/>
        </w:rPr>
        <w:t>见</w:t>
      </w:r>
      <w:r>
        <w:rPr>
          <w:rFonts w:ascii="黑体" w:eastAsia="黑体" w:hint="eastAsia"/>
          <w:spacing w:val="-53"/>
        </w:rPr>
        <w:t> </w:t>
      </w:r>
      <w:r>
        <w:rPr>
          <w:rFonts w:ascii="黑体" w:eastAsia="黑体" w:hint="eastAsia"/>
          <w:w w:val="100"/>
        </w:rPr>
        <w:t>9</w:t>
      </w:r>
      <w:r>
        <w:rPr>
          <w:rFonts w:ascii="黑体" w:eastAsia="黑体" w:hint="eastAsia"/>
          <w:spacing w:val="-3"/>
          <w:w w:val="100"/>
        </w:rPr>
        <w:t>.7</w:t>
      </w:r>
      <w:r>
        <w:rPr>
          <w:rFonts w:ascii="黑体" w:eastAsia="黑体" w:hint="eastAsia"/>
          <w:spacing w:val="-106"/>
          <w:w w:val="100"/>
        </w:rPr>
        <w:t>）</w:t>
      </w:r>
      <w:r>
        <w:rPr>
          <w:rFonts w:ascii="黑体" w:eastAsia="黑体" w:hint="eastAsia"/>
          <w:spacing w:val="-32"/>
          <w:w w:val="100"/>
        </w:rPr>
        <w:t>、</w:t>
      </w:r>
      <w:r>
        <w:rPr>
          <w:rFonts w:ascii="黑体" w:eastAsia="黑体" w:hint="eastAsia"/>
          <w:b/>
          <w:spacing w:val="-8"/>
          <w:w w:val="100"/>
        </w:rPr>
        <w:t>重大疾病</w:t>
      </w:r>
      <w:r>
        <w:rPr>
          <w:rFonts w:ascii="黑体" w:eastAsia="黑体" w:hint="eastAsia"/>
          <w:spacing w:val="-3"/>
          <w:w w:val="100"/>
        </w:rPr>
        <w:t>（</w:t>
      </w:r>
      <w:r>
        <w:rPr>
          <w:rFonts w:ascii="黑体" w:eastAsia="黑体" w:hint="eastAsia"/>
          <w:w w:val="100"/>
        </w:rPr>
        <w:t>见</w:t>
      </w:r>
      <w:r>
        <w:rPr>
          <w:rFonts w:ascii="黑体" w:eastAsia="黑体" w:hint="eastAsia"/>
          <w:spacing w:val="-53"/>
        </w:rPr>
        <w:t> </w:t>
      </w:r>
      <w:r>
        <w:rPr>
          <w:rFonts w:ascii="黑体" w:eastAsia="黑体" w:hint="eastAsia"/>
          <w:spacing w:val="-3"/>
          <w:w w:val="100"/>
        </w:rPr>
        <w:t>9</w:t>
      </w:r>
      <w:r>
        <w:rPr>
          <w:rFonts w:ascii="黑体" w:eastAsia="黑体" w:hint="eastAsia"/>
          <w:w w:val="100"/>
        </w:rPr>
        <w:t>.8</w:t>
      </w:r>
      <w:r>
        <w:rPr>
          <w:rFonts w:ascii="黑体" w:eastAsia="黑体" w:hint="eastAsia"/>
          <w:spacing w:val="-108"/>
          <w:w w:val="100"/>
        </w:rPr>
        <w:t>）</w:t>
      </w:r>
      <w:r>
        <w:rPr>
          <w:rFonts w:ascii="黑体" w:eastAsia="黑体" w:hint="eastAsia"/>
          <w:spacing w:val="-9"/>
          <w:w w:val="100"/>
        </w:rPr>
        <w:t>、身故、</w:t>
      </w:r>
      <w:r>
        <w:rPr>
          <w:rFonts w:ascii="黑体" w:eastAsia="黑体" w:hint="eastAsia"/>
          <w:b/>
          <w:spacing w:val="-9"/>
        </w:rPr>
        <w:t>全残</w:t>
      </w:r>
      <w:r>
        <w:rPr>
          <w:rFonts w:ascii="黑体" w:eastAsia="黑体" w:hint="eastAsia"/>
          <w:spacing w:val="-3"/>
        </w:rPr>
        <w:t>（</w:t>
      </w:r>
      <w:r>
        <w:rPr>
          <w:rFonts w:ascii="黑体" w:eastAsia="黑体" w:hint="eastAsia"/>
          <w:spacing w:val="-23"/>
        </w:rPr>
        <w:t>见 </w:t>
      </w:r>
      <w:r>
        <w:rPr>
          <w:rFonts w:ascii="黑体" w:eastAsia="黑体" w:hint="eastAsia"/>
          <w:spacing w:val="-4"/>
        </w:rPr>
        <w:t>9.9）</w:t>
      </w:r>
      <w:r>
        <w:rPr>
          <w:rFonts w:ascii="黑体" w:eastAsia="黑体" w:hint="eastAsia"/>
          <w:spacing w:val="-1"/>
        </w:rPr>
        <w:t>或达到</w:t>
      </w:r>
      <w:r>
        <w:rPr>
          <w:rFonts w:ascii="黑体" w:eastAsia="黑体" w:hint="eastAsia"/>
          <w:b/>
          <w:spacing w:val="-4"/>
        </w:rPr>
        <w:t>疾病终末期</w:t>
      </w:r>
      <w:r>
        <w:rPr>
          <w:rFonts w:ascii="黑体" w:eastAsia="黑体" w:hint="eastAsia"/>
        </w:rPr>
        <w:t>（</w:t>
      </w:r>
      <w:r>
        <w:rPr>
          <w:rFonts w:ascii="黑体" w:eastAsia="黑体" w:hint="eastAsia"/>
          <w:spacing w:val="-23"/>
        </w:rPr>
        <w:t>见 </w:t>
      </w:r>
      <w:r>
        <w:rPr>
          <w:rFonts w:ascii="黑体" w:eastAsia="黑体" w:hint="eastAsia"/>
          <w:spacing w:val="-3"/>
        </w:rPr>
        <w:t>9.10）</w:t>
      </w:r>
      <w:r>
        <w:rPr>
          <w:rFonts w:ascii="黑体" w:eastAsia="黑体" w:hint="eastAsia"/>
          <w:spacing w:val="-4"/>
        </w:rPr>
        <w:t>的，本公司将无息退还本合同</w:t>
      </w:r>
      <w:r>
        <w:rPr>
          <w:rFonts w:ascii="黑体" w:eastAsia="黑体" w:hint="eastAsia"/>
          <w:b/>
        </w:rPr>
        <w:t>累计已</w:t>
      </w:r>
      <w:r>
        <w:rPr>
          <w:rFonts w:ascii="黑体" w:eastAsia="黑体" w:hint="eastAsia"/>
          <w:b/>
          <w:spacing w:val="-6"/>
          <w:w w:val="100"/>
        </w:rPr>
        <w:t>交保险费</w:t>
      </w:r>
      <w:r>
        <w:rPr>
          <w:rFonts w:ascii="黑体" w:eastAsia="黑体" w:hint="eastAsia"/>
          <w:w w:val="100"/>
        </w:rPr>
        <w:t>（见</w:t>
      </w:r>
      <w:r>
        <w:rPr>
          <w:rFonts w:ascii="黑体" w:eastAsia="黑体" w:hint="eastAsia"/>
          <w:spacing w:val="-55"/>
        </w:rPr>
        <w:t> </w:t>
      </w:r>
      <w:r>
        <w:rPr>
          <w:rFonts w:ascii="黑体" w:eastAsia="黑体" w:hint="eastAsia"/>
          <w:w w:val="100"/>
        </w:rPr>
        <w:t>9.1</w:t>
      </w:r>
      <w:r>
        <w:rPr>
          <w:rFonts w:ascii="黑体" w:eastAsia="黑体" w:hint="eastAsia"/>
          <w:spacing w:val="-3"/>
          <w:w w:val="100"/>
        </w:rPr>
        <w:t>1</w:t>
      </w:r>
      <w:r>
        <w:rPr>
          <w:rFonts w:ascii="黑体" w:eastAsia="黑体" w:hint="eastAsia"/>
          <w:spacing w:val="-106"/>
          <w:w w:val="100"/>
        </w:rPr>
        <w:t>）</w:t>
      </w:r>
      <w:r>
        <w:rPr>
          <w:rFonts w:ascii="黑体" w:eastAsia="黑体" w:hint="eastAsia"/>
          <w:spacing w:val="-10"/>
          <w:w w:val="100"/>
        </w:rPr>
        <w:t>，本合同终止。这</w:t>
      </w:r>
      <w:r>
        <w:rPr>
          <w:rFonts w:ascii="黑体" w:eastAsia="黑体" w:hint="eastAsia"/>
          <w:spacing w:val="-10"/>
        </w:rPr>
        <w:t> </w:t>
      </w:r>
      <w:r>
        <w:rPr>
          <w:rFonts w:ascii="黑体" w:eastAsia="黑体" w:hint="eastAsia"/>
          <w:spacing w:val="-3"/>
          <w:w w:val="100"/>
        </w:rPr>
        <w:t>9</w:t>
      </w:r>
      <w:r>
        <w:rPr>
          <w:rFonts w:ascii="黑体" w:eastAsia="黑体" w:hint="eastAsia"/>
          <w:w w:val="100"/>
        </w:rPr>
        <w:t>0</w:t>
      </w:r>
      <w:r>
        <w:rPr>
          <w:rFonts w:ascii="黑体" w:eastAsia="黑体" w:hint="eastAsia"/>
          <w:spacing w:val="-53"/>
        </w:rPr>
        <w:t> </w:t>
      </w:r>
      <w:r>
        <w:rPr>
          <w:rFonts w:ascii="黑体" w:eastAsia="黑体" w:hint="eastAsia"/>
          <w:spacing w:val="-6"/>
          <w:w w:val="100"/>
        </w:rPr>
        <w:t>日的时间称为等待期。若被保险人因意外</w:t>
      </w:r>
    </w:p>
    <w:p>
      <w:pPr>
        <w:spacing w:after="0" w:line="300" w:lineRule="auto"/>
        <w:rPr>
          <w:rFonts w:ascii="黑体" w:eastAsia="黑体" w:hint="eastAsia"/>
        </w:rPr>
        <w:sectPr>
          <w:type w:val="continuous"/>
          <w:pgSz w:w="11910" w:h="16840"/>
          <w:pgMar w:top="620" w:bottom="280" w:left="900" w:right="900"/>
        </w:sectPr>
      </w:pPr>
    </w:p>
    <w:p>
      <w:pPr>
        <w:pStyle w:val="BodyText"/>
        <w:spacing w:line="300" w:lineRule="auto" w:before="24"/>
        <w:ind w:left="1577" w:right="136"/>
        <w:rPr>
          <w:rFonts w:ascii="黑体" w:eastAsia="黑体" w:hint="eastAsia"/>
        </w:rPr>
      </w:pPr>
      <w:r>
        <w:rPr>
          <w:rFonts w:ascii="黑体" w:eastAsia="黑体" w:hint="eastAsia"/>
          <w:spacing w:val="-1"/>
        </w:rPr>
        <w:t>伤害发</w:t>
      </w:r>
      <w:r>
        <w:rPr>
          <w:rFonts w:ascii="黑体" w:eastAsia="黑体" w:hint="eastAsia"/>
        </w:rPr>
        <w:t>Th</w:t>
      </w:r>
      <w:r>
        <w:rPr>
          <w:rFonts w:ascii="黑体" w:eastAsia="黑体" w:hint="eastAsia"/>
          <w:spacing w:val="-7"/>
        </w:rPr>
        <w:t>本合同约定的重大疾病、轻症疾病、身故、全残或达到疾病终末期的，则</w:t>
      </w:r>
      <w:r>
        <w:rPr>
          <w:rFonts w:ascii="黑体" w:eastAsia="黑体" w:hint="eastAsia"/>
          <w:spacing w:val="-4"/>
        </w:rPr>
        <w:t>无等待期。</w:t>
      </w:r>
    </w:p>
    <w:p>
      <w:pPr>
        <w:pStyle w:val="BodyText"/>
        <w:spacing w:before="3"/>
        <w:rPr>
          <w:rFonts w:ascii="黑体"/>
          <w:sz w:val="26"/>
        </w:rPr>
      </w:pPr>
    </w:p>
    <w:p>
      <w:pPr>
        <w:pStyle w:val="BodyText"/>
        <w:ind w:left="1577"/>
      </w:pPr>
      <w:r>
        <w:rPr/>
        <w:t>二、重大疾病保险金给付</w:t>
      </w:r>
    </w:p>
    <w:p>
      <w:pPr>
        <w:pStyle w:val="BodyText"/>
        <w:spacing w:line="273" w:lineRule="auto" w:before="36"/>
        <w:ind w:left="1577" w:right="100" w:firstLine="422"/>
        <w:jc w:val="both"/>
        <w:rPr>
          <w:rFonts w:ascii="黑体" w:eastAsia="黑体" w:hint="eastAsia"/>
        </w:rPr>
      </w:pPr>
      <w:r>
        <w:rPr>
          <w:spacing w:val="-3"/>
          <w:w w:val="100"/>
        </w:rPr>
        <w:t>本合同约定的重大疾病分为</w:t>
      </w:r>
      <w:r>
        <w:rPr>
          <w:spacing w:val="-3"/>
        </w:rPr>
        <w:t> </w:t>
      </w:r>
      <w:r>
        <w:rPr>
          <w:w w:val="100"/>
        </w:rPr>
        <w:t>5</w:t>
      </w:r>
      <w:r>
        <w:rPr>
          <w:spacing w:val="-52"/>
        </w:rPr>
        <w:t> </w:t>
      </w:r>
      <w:r>
        <w:rPr>
          <w:spacing w:val="-9"/>
          <w:w w:val="100"/>
        </w:rPr>
        <w:t>组，详细疾病分组见</w:t>
      </w:r>
      <w:r>
        <w:rPr>
          <w:b/>
          <w:spacing w:val="-7"/>
          <w:w w:val="100"/>
        </w:rPr>
        <w:t>重大疾病分组表</w:t>
      </w:r>
      <w:r>
        <w:rPr>
          <w:spacing w:val="-3"/>
          <w:w w:val="100"/>
        </w:rPr>
        <w:t>（</w:t>
      </w:r>
      <w:r>
        <w:rPr>
          <w:rFonts w:ascii="黑体" w:eastAsia="黑体" w:hint="eastAsia"/>
          <w:w w:val="100"/>
        </w:rPr>
        <w:t>见</w:t>
      </w:r>
      <w:r>
        <w:rPr>
          <w:rFonts w:ascii="黑体" w:eastAsia="黑体" w:hint="eastAsia"/>
          <w:spacing w:val="-53"/>
        </w:rPr>
        <w:t> </w:t>
      </w:r>
      <w:r>
        <w:rPr>
          <w:rFonts w:ascii="黑体" w:eastAsia="黑体" w:hint="eastAsia"/>
          <w:spacing w:val="-3"/>
          <w:w w:val="100"/>
        </w:rPr>
        <w:t>9</w:t>
      </w:r>
      <w:r>
        <w:rPr>
          <w:rFonts w:ascii="黑体" w:eastAsia="黑体" w:hint="eastAsia"/>
          <w:w w:val="100"/>
        </w:rPr>
        <w:t>.12</w:t>
      </w:r>
      <w:r>
        <w:rPr>
          <w:spacing w:val="-106"/>
          <w:w w:val="100"/>
        </w:rPr>
        <w:t>）。</w:t>
      </w:r>
      <w:r>
        <w:rPr>
          <w:rFonts w:ascii="黑体" w:eastAsia="黑体" w:hint="eastAsia"/>
        </w:rPr>
        <w:t>每组重大疾病保险金的给付次数以一次为限，给付后该组重大疾病的保险责任终</w:t>
      </w:r>
      <w:r>
        <w:rPr>
          <w:rFonts w:ascii="黑体" w:eastAsia="黑体" w:hint="eastAsia"/>
          <w:spacing w:val="-5"/>
        </w:rPr>
        <w:t>止。本合同重大疾病保险金的累计给付次数以 </w:t>
      </w:r>
      <w:r>
        <w:rPr>
          <w:rFonts w:ascii="黑体" w:eastAsia="黑体" w:hint="eastAsia"/>
        </w:rPr>
        <w:t>5</w:t>
      </w:r>
      <w:r>
        <w:rPr>
          <w:rFonts w:ascii="黑体" w:eastAsia="黑体" w:hint="eastAsia"/>
          <w:spacing w:val="-11"/>
        </w:rPr>
        <w:t> 次为限，当累计给付达到 </w:t>
      </w:r>
      <w:r>
        <w:rPr>
          <w:rFonts w:ascii="黑体" w:eastAsia="黑体" w:hint="eastAsia"/>
        </w:rPr>
        <w:t>5</w:t>
      </w:r>
      <w:r>
        <w:rPr>
          <w:rFonts w:ascii="黑体" w:eastAsia="黑体" w:hint="eastAsia"/>
          <w:spacing w:val="-13"/>
        </w:rPr>
        <w:t> 次时， </w:t>
      </w:r>
      <w:r>
        <w:rPr>
          <w:rFonts w:ascii="黑体" w:eastAsia="黑体" w:hint="eastAsia"/>
          <w:spacing w:val="-6"/>
        </w:rPr>
        <w:t>本合同效力终止。</w:t>
      </w:r>
    </w:p>
    <w:p>
      <w:pPr>
        <w:spacing w:before="21"/>
        <w:ind w:left="1997" w:right="0" w:firstLine="0"/>
        <w:jc w:val="left"/>
        <w:rPr>
          <w:b/>
          <w:sz w:val="21"/>
        </w:rPr>
      </w:pPr>
      <w:r>
        <w:rPr>
          <w:sz w:val="21"/>
        </w:rPr>
        <w:t>若被保险人在等待期后经</w:t>
      </w:r>
      <w:r>
        <w:rPr>
          <w:b/>
          <w:sz w:val="21"/>
        </w:rPr>
        <w:t>医院</w:t>
      </w:r>
      <w:r>
        <w:rPr>
          <w:sz w:val="21"/>
        </w:rPr>
        <w:t>（见 9.13）</w:t>
      </w:r>
      <w:r>
        <w:rPr>
          <w:b/>
          <w:sz w:val="21"/>
        </w:rPr>
        <w:t>专科医生</w:t>
      </w:r>
      <w:r>
        <w:rPr>
          <w:sz w:val="21"/>
        </w:rPr>
        <w:t>（见 9.14）确诊</w:t>
      </w:r>
      <w:r>
        <w:rPr>
          <w:b/>
          <w:sz w:val="21"/>
        </w:rPr>
        <w:t>初次罹患</w:t>
      </w:r>
    </w:p>
    <w:p>
      <w:pPr>
        <w:pStyle w:val="BodyText"/>
        <w:spacing w:line="300" w:lineRule="auto" w:before="67"/>
        <w:ind w:left="1577" w:right="136"/>
        <w:jc w:val="both"/>
      </w:pPr>
      <w:r>
        <w:rPr>
          <w:w w:val="100"/>
        </w:rPr>
        <w:t>（见</w:t>
      </w:r>
      <w:r>
        <w:rPr/>
        <w:t> </w:t>
      </w:r>
      <w:r>
        <w:rPr>
          <w:spacing w:val="-3"/>
          <w:w w:val="100"/>
        </w:rPr>
        <w:t>9</w:t>
      </w:r>
      <w:r>
        <w:rPr>
          <w:w w:val="100"/>
        </w:rPr>
        <w:t>.</w:t>
      </w:r>
      <w:r>
        <w:rPr>
          <w:spacing w:val="-1"/>
          <w:w w:val="100"/>
        </w:rPr>
        <w:t>1</w:t>
      </w:r>
      <w:r>
        <w:rPr>
          <w:spacing w:val="-3"/>
          <w:w w:val="100"/>
        </w:rPr>
        <w:t>5</w:t>
      </w:r>
      <w:r>
        <w:rPr>
          <w:w w:val="100"/>
        </w:rPr>
        <w:t>）</w:t>
      </w:r>
      <w:r>
        <w:rPr>
          <w:spacing w:val="-3"/>
          <w:w w:val="100"/>
        </w:rPr>
        <w:t>本合同约定的重大疾病（无论一项或多项</w:t>
      </w:r>
      <w:r>
        <w:rPr>
          <w:spacing w:val="-106"/>
          <w:w w:val="100"/>
        </w:rPr>
        <w:t>）</w:t>
      </w:r>
      <w:r>
        <w:rPr>
          <w:spacing w:val="-3"/>
          <w:w w:val="100"/>
        </w:rPr>
        <w:t>，本公司按本合同的基本保</w:t>
      </w:r>
      <w:r>
        <w:rPr>
          <w:spacing w:val="-6"/>
        </w:rPr>
        <w:t>险金额给付重大疾病保险金，该重大疾病所属组别的保险责任终止。同时，本合同</w:t>
      </w:r>
      <w:r>
        <w:rPr>
          <w:spacing w:val="-4"/>
        </w:rPr>
        <w:t>现金价值为零。</w:t>
      </w:r>
    </w:p>
    <w:p>
      <w:pPr>
        <w:pStyle w:val="BodyText"/>
        <w:spacing w:line="273" w:lineRule="auto" w:before="1"/>
        <w:ind w:left="1577" w:right="136" w:firstLine="420"/>
        <w:jc w:val="both"/>
      </w:pPr>
      <w:r>
        <w:rPr>
          <w:spacing w:val="-6"/>
        </w:rPr>
        <w:t>在本合同保险期间内，被保险人多次确诊初次罹患本合同约定的重大疾病，对于相邻两次确诊初次发生的重大疾病，当且仅当后项重大疾病确诊初次罹患日期自</w:t>
      </w:r>
      <w:r>
        <w:rPr>
          <w:spacing w:val="-4"/>
          <w:w w:val="100"/>
        </w:rPr>
        <w:t>前项重大疾病确诊初次发生日期已届满</w:t>
      </w:r>
      <w:r>
        <w:rPr>
          <w:w w:val="100"/>
        </w:rPr>
        <w:t>1</w:t>
      </w:r>
      <w:r>
        <w:rPr>
          <w:spacing w:val="-3"/>
          <w:w w:val="100"/>
        </w:rPr>
        <w:t>8</w:t>
      </w:r>
      <w:r>
        <w:rPr>
          <w:spacing w:val="-1"/>
          <w:w w:val="100"/>
        </w:rPr>
        <w:t>0</w:t>
      </w:r>
      <w:r>
        <w:rPr>
          <w:spacing w:val="-20"/>
          <w:w w:val="100"/>
        </w:rPr>
        <w:t>日</w:t>
      </w:r>
      <w:r>
        <w:rPr>
          <w:spacing w:val="-3"/>
          <w:w w:val="100"/>
        </w:rPr>
        <w:t>（</w:t>
      </w:r>
      <w:r>
        <w:rPr>
          <w:w w:val="100"/>
        </w:rPr>
        <w:t>含</w:t>
      </w:r>
      <w:r>
        <w:rPr>
          <w:spacing w:val="-109"/>
          <w:w w:val="100"/>
        </w:rPr>
        <w:t>）</w:t>
      </w:r>
      <w:r>
        <w:rPr>
          <w:spacing w:val="-5"/>
          <w:w w:val="100"/>
        </w:rPr>
        <w:t>，本公司对后项重大疾病承担保</w:t>
      </w:r>
      <w:r>
        <w:rPr>
          <w:spacing w:val="-4"/>
        </w:rPr>
        <w:t>险责任。</w:t>
      </w:r>
    </w:p>
    <w:p>
      <w:pPr>
        <w:pStyle w:val="BodyText"/>
        <w:spacing w:line="300" w:lineRule="auto" w:before="22"/>
        <w:ind w:left="1577" w:right="144" w:firstLine="420"/>
        <w:jc w:val="both"/>
        <w:rPr>
          <w:rFonts w:ascii="黑体" w:eastAsia="黑体" w:hint="eastAsia"/>
        </w:rPr>
      </w:pPr>
      <w:r>
        <w:rPr>
          <w:rFonts w:ascii="黑体" w:eastAsia="黑体" w:hint="eastAsia"/>
        </w:rPr>
        <w:t>如果被保险人因同一原因或在同一事故中导致其发Th本合同所指的两种或两种以上的重大疾病，本公司仅按一种重大疾病给付重大疾病保险金。</w:t>
      </w:r>
    </w:p>
    <w:p>
      <w:pPr>
        <w:pStyle w:val="BodyText"/>
        <w:spacing w:before="4"/>
        <w:rPr>
          <w:rFonts w:ascii="黑体"/>
          <w:sz w:val="26"/>
        </w:rPr>
      </w:pPr>
    </w:p>
    <w:p>
      <w:pPr>
        <w:pStyle w:val="BodyText"/>
        <w:ind w:left="1577"/>
      </w:pPr>
      <w:r>
        <w:rPr/>
        <w:t>三、轻症疾病保险金给付</w:t>
      </w:r>
    </w:p>
    <w:p>
      <w:pPr>
        <w:pStyle w:val="BodyText"/>
        <w:spacing w:line="273" w:lineRule="auto" w:before="37"/>
        <w:ind w:left="1577" w:right="100" w:firstLine="420"/>
        <w:jc w:val="both"/>
        <w:rPr>
          <w:rFonts w:ascii="黑体" w:eastAsia="黑体" w:hint="eastAsia"/>
        </w:rPr>
      </w:pPr>
      <w:r>
        <w:rPr>
          <w:spacing w:val="-3"/>
          <w:w w:val="100"/>
        </w:rPr>
        <w:t>本合同约定的轻症疾病分为</w:t>
      </w:r>
      <w:r>
        <w:rPr>
          <w:spacing w:val="-3"/>
        </w:rPr>
        <w:t> </w:t>
      </w:r>
      <w:r>
        <w:rPr>
          <w:w w:val="100"/>
        </w:rPr>
        <w:t>5</w:t>
      </w:r>
      <w:r>
        <w:rPr>
          <w:spacing w:val="-52"/>
        </w:rPr>
        <w:t> </w:t>
      </w:r>
      <w:r>
        <w:rPr>
          <w:spacing w:val="-9"/>
          <w:w w:val="100"/>
        </w:rPr>
        <w:t>组，详细疾病分组见</w:t>
      </w:r>
      <w:r>
        <w:rPr>
          <w:b/>
          <w:spacing w:val="-7"/>
          <w:w w:val="100"/>
        </w:rPr>
        <w:t>轻症疾病分组表</w:t>
      </w:r>
      <w:r>
        <w:rPr>
          <w:spacing w:val="-3"/>
          <w:w w:val="100"/>
        </w:rPr>
        <w:t>（</w:t>
      </w:r>
      <w:r>
        <w:rPr>
          <w:rFonts w:ascii="黑体" w:eastAsia="黑体" w:hint="eastAsia"/>
          <w:w w:val="100"/>
        </w:rPr>
        <w:t>见</w:t>
      </w:r>
      <w:r>
        <w:rPr>
          <w:rFonts w:ascii="黑体" w:eastAsia="黑体" w:hint="eastAsia"/>
          <w:spacing w:val="-53"/>
        </w:rPr>
        <w:t> </w:t>
      </w:r>
      <w:r>
        <w:rPr>
          <w:rFonts w:ascii="黑体" w:eastAsia="黑体" w:hint="eastAsia"/>
          <w:w w:val="100"/>
        </w:rPr>
        <w:t>9</w:t>
      </w:r>
      <w:r>
        <w:rPr>
          <w:rFonts w:ascii="黑体" w:eastAsia="黑体" w:hint="eastAsia"/>
          <w:spacing w:val="-3"/>
          <w:w w:val="100"/>
        </w:rPr>
        <w:t>.</w:t>
      </w:r>
      <w:r>
        <w:rPr>
          <w:rFonts w:ascii="黑体" w:eastAsia="黑体" w:hint="eastAsia"/>
          <w:w w:val="100"/>
        </w:rPr>
        <w:t>16</w:t>
      </w:r>
      <w:r>
        <w:rPr>
          <w:spacing w:val="-108"/>
          <w:w w:val="100"/>
        </w:rPr>
        <w:t>）。</w:t>
      </w:r>
      <w:r>
        <w:rPr/>
        <w:t>每组轻症疾病保险金的给付次数以一次为限，给付后该组轻症疾病的保险责任终止。</w:t>
      </w:r>
      <w:r>
        <w:rPr>
          <w:rFonts w:ascii="黑体" w:eastAsia="黑体" w:hint="eastAsia"/>
          <w:spacing w:val="-6"/>
        </w:rPr>
        <w:t>本合同轻症疾病保险金的累计给付次数以 </w:t>
      </w:r>
      <w:r>
        <w:rPr>
          <w:rFonts w:ascii="黑体" w:eastAsia="黑体" w:hint="eastAsia"/>
        </w:rPr>
        <w:t>5</w:t>
      </w:r>
      <w:r>
        <w:rPr>
          <w:rFonts w:ascii="黑体" w:eastAsia="黑体" w:hint="eastAsia"/>
          <w:spacing w:val="-11"/>
        </w:rPr>
        <w:t> 次为限，当累计给付达到 </w:t>
      </w:r>
      <w:r>
        <w:rPr>
          <w:rFonts w:ascii="黑体" w:eastAsia="黑体" w:hint="eastAsia"/>
        </w:rPr>
        <w:t>5</w:t>
      </w:r>
      <w:r>
        <w:rPr>
          <w:rFonts w:ascii="黑体" w:eastAsia="黑体" w:hint="eastAsia"/>
          <w:spacing w:val="-13"/>
        </w:rPr>
        <w:t> 次时， </w:t>
      </w:r>
      <w:r>
        <w:rPr>
          <w:rFonts w:ascii="黑体" w:eastAsia="黑体" w:hint="eastAsia"/>
          <w:spacing w:val="-3"/>
        </w:rPr>
        <w:t>本公司不再承担给付轻症疾病保险金责任。</w:t>
      </w:r>
    </w:p>
    <w:p>
      <w:pPr>
        <w:pStyle w:val="BodyText"/>
        <w:spacing w:before="21"/>
        <w:ind w:left="1997"/>
      </w:pPr>
      <w:r>
        <w:rPr/>
        <w:t>若被保险人在等待期后经医院专科医生确诊初次罹患本合同约定的轻症疾病</w:t>
      </w:r>
    </w:p>
    <w:p>
      <w:pPr>
        <w:pStyle w:val="BodyText"/>
        <w:spacing w:line="300" w:lineRule="auto" w:before="67"/>
        <w:ind w:left="1577" w:right="136"/>
      </w:pPr>
      <w:r>
        <w:rPr/>
        <w:t>（</w:t>
      </w:r>
      <w:r>
        <w:rPr>
          <w:spacing w:val="-3"/>
        </w:rPr>
        <w:t>无论一项或多项</w:t>
      </w:r>
      <w:r>
        <w:rPr>
          <w:spacing w:val="-77"/>
        </w:rPr>
        <w:t>）</w:t>
      </w:r>
      <w:r>
        <w:rPr>
          <w:spacing w:val="-11"/>
        </w:rPr>
        <w:t>，本公司按本合同基本保险金额的 </w:t>
      </w:r>
      <w:r>
        <w:rPr/>
        <w:t>20</w:t>
      </w:r>
      <w:r>
        <w:rPr>
          <w:spacing w:val="-7"/>
        </w:rPr>
        <w:t>%给付轻症疾病保险金，该</w:t>
      </w:r>
      <w:r>
        <w:rPr>
          <w:spacing w:val="-5"/>
        </w:rPr>
        <w:t>轻症疾病所属组别的保险责任终止。</w:t>
      </w:r>
    </w:p>
    <w:p>
      <w:pPr>
        <w:pStyle w:val="BodyText"/>
        <w:spacing w:line="273" w:lineRule="auto" w:before="1"/>
        <w:ind w:left="1577" w:right="136" w:firstLine="420"/>
        <w:jc w:val="both"/>
      </w:pPr>
      <w:r>
        <w:rPr>
          <w:spacing w:val="-6"/>
        </w:rPr>
        <w:t>在本合同保险期间内，被保险人多次确诊初次罹患本合同约定的轻症疾病，对于相邻两次确诊初次发生的轻症疾病，当且仅当后项轻症疾病确诊初次罹患日期自</w:t>
      </w:r>
      <w:r>
        <w:rPr>
          <w:spacing w:val="-4"/>
          <w:w w:val="100"/>
        </w:rPr>
        <w:t>前项轻症疾病确诊初次发生日期已届满</w:t>
      </w:r>
      <w:r>
        <w:rPr>
          <w:w w:val="100"/>
        </w:rPr>
        <w:t>1</w:t>
      </w:r>
      <w:r>
        <w:rPr>
          <w:spacing w:val="-3"/>
          <w:w w:val="100"/>
        </w:rPr>
        <w:t>8</w:t>
      </w:r>
      <w:r>
        <w:rPr>
          <w:spacing w:val="-1"/>
          <w:w w:val="100"/>
        </w:rPr>
        <w:t>0</w:t>
      </w:r>
      <w:r>
        <w:rPr>
          <w:spacing w:val="-20"/>
          <w:w w:val="100"/>
        </w:rPr>
        <w:t>日</w:t>
      </w:r>
      <w:r>
        <w:rPr>
          <w:spacing w:val="-3"/>
          <w:w w:val="100"/>
        </w:rPr>
        <w:t>（</w:t>
      </w:r>
      <w:r>
        <w:rPr>
          <w:w w:val="100"/>
        </w:rPr>
        <w:t>含</w:t>
      </w:r>
      <w:r>
        <w:rPr>
          <w:spacing w:val="-109"/>
          <w:w w:val="100"/>
        </w:rPr>
        <w:t>）</w:t>
      </w:r>
      <w:r>
        <w:rPr>
          <w:spacing w:val="-5"/>
          <w:w w:val="100"/>
        </w:rPr>
        <w:t>，本公司对后项轻症疾病承担保</w:t>
      </w:r>
      <w:r>
        <w:rPr>
          <w:spacing w:val="-1"/>
        </w:rPr>
        <w:t>险责任。</w:t>
      </w:r>
    </w:p>
    <w:p>
      <w:pPr>
        <w:pStyle w:val="BodyText"/>
        <w:spacing w:line="300" w:lineRule="auto" w:before="22"/>
        <w:ind w:left="1577" w:right="144" w:firstLine="420"/>
        <w:jc w:val="both"/>
        <w:rPr>
          <w:rFonts w:ascii="黑体" w:eastAsia="黑体" w:hint="eastAsia"/>
        </w:rPr>
      </w:pPr>
      <w:r>
        <w:rPr>
          <w:rFonts w:ascii="黑体" w:eastAsia="黑体" w:hint="eastAsia"/>
        </w:rPr>
        <w:t>如果被保险人因同一原因或在同一事故中导致其发Th本合同所指的两种或两种以上的轻症疾病，本公司仅按一种轻症疾病给付轻症疾病保险金。</w:t>
      </w:r>
    </w:p>
    <w:p>
      <w:pPr>
        <w:pStyle w:val="BodyText"/>
        <w:spacing w:line="273" w:lineRule="auto" w:before="1"/>
        <w:ind w:left="1577" w:right="138" w:firstLine="420"/>
        <w:jc w:val="both"/>
        <w:rPr>
          <w:rFonts w:ascii="黑体" w:eastAsia="黑体" w:hint="eastAsia"/>
        </w:rPr>
      </w:pPr>
      <w:r>
        <w:rPr>
          <w:rFonts w:ascii="黑体" w:eastAsia="黑体" w:hint="eastAsia"/>
          <w:spacing w:val="-5"/>
        </w:rPr>
        <w:t>若被保险人确诊时同时符合重大疾病定义和轻症疾病的，本公司仅给付重大疾</w:t>
      </w:r>
      <w:r>
        <w:rPr>
          <w:rFonts w:ascii="黑体" w:eastAsia="黑体" w:hint="eastAsia"/>
          <w:spacing w:val="-3"/>
        </w:rPr>
        <w:t>病保险金，不承担给付轻症疾病保险金责任。</w:t>
      </w:r>
    </w:p>
    <w:p>
      <w:pPr>
        <w:pStyle w:val="BodyText"/>
        <w:spacing w:before="22"/>
        <w:ind w:left="1997"/>
        <w:rPr>
          <w:rFonts w:ascii="黑体" w:eastAsia="黑体" w:hint="eastAsia"/>
        </w:rPr>
      </w:pPr>
      <w:r>
        <w:rPr>
          <w:rFonts w:ascii="黑体" w:eastAsia="黑体" w:hint="eastAsia"/>
        </w:rPr>
        <w:t>若本公司已给付过重大疾病保险金，则不再承担给付轻症疾病保险金责任。</w:t>
      </w:r>
    </w:p>
    <w:p>
      <w:pPr>
        <w:pStyle w:val="BodyText"/>
        <w:rPr>
          <w:rFonts w:ascii="黑体"/>
          <w:sz w:val="20"/>
        </w:rPr>
      </w:pPr>
    </w:p>
    <w:p>
      <w:pPr>
        <w:pStyle w:val="BodyText"/>
        <w:spacing w:before="135"/>
        <w:ind w:left="1577"/>
      </w:pPr>
      <w:r>
        <w:rPr/>
        <w:t>四、身故保险金给付</w:t>
      </w:r>
    </w:p>
    <w:p>
      <w:pPr>
        <w:pStyle w:val="BodyText"/>
        <w:spacing w:line="300" w:lineRule="auto" w:before="51"/>
        <w:ind w:left="1577" w:right="136" w:firstLine="420"/>
        <w:jc w:val="both"/>
      </w:pPr>
      <w:r>
        <w:rPr>
          <w:spacing w:val="-6"/>
        </w:rPr>
        <w:t>若被保险人在等待期后身故时未满 </w:t>
      </w:r>
      <w:r>
        <w:rPr/>
        <w:t>18</w:t>
      </w:r>
      <w:r>
        <w:rPr>
          <w:spacing w:val="-10"/>
        </w:rPr>
        <w:t> 周岁，本公司按累计已交保险费的 </w:t>
      </w:r>
      <w:r>
        <w:rPr/>
        <w:t>200% </w:t>
      </w:r>
      <w:r>
        <w:rPr>
          <w:spacing w:val="-3"/>
        </w:rPr>
        <w:t>给付身故保险金，本合同终止。</w:t>
      </w:r>
    </w:p>
    <w:p>
      <w:pPr>
        <w:pStyle w:val="BodyText"/>
        <w:spacing w:line="300" w:lineRule="auto" w:before="16"/>
        <w:ind w:left="1577" w:right="139" w:firstLine="420"/>
        <w:jc w:val="both"/>
      </w:pPr>
      <w:r>
        <w:rPr>
          <w:spacing w:val="-3"/>
        </w:rPr>
        <w:t>若被保险人在等待期后身故时已满 </w:t>
      </w:r>
      <w:r>
        <w:rPr/>
        <w:t>18</w:t>
      </w:r>
      <w:r>
        <w:rPr>
          <w:spacing w:val="-3"/>
        </w:rPr>
        <w:t> 周岁，本公司按照本合同的基本保险金额给付身故保险金，本合同终止。</w:t>
      </w:r>
    </w:p>
    <w:p>
      <w:pPr>
        <w:pStyle w:val="BodyText"/>
        <w:spacing w:before="16"/>
        <w:ind w:left="1997"/>
        <w:rPr>
          <w:rFonts w:ascii="黑体" w:eastAsia="黑体" w:hint="eastAsia"/>
        </w:rPr>
      </w:pPr>
      <w:r>
        <w:rPr>
          <w:rFonts w:ascii="黑体" w:eastAsia="黑体" w:hint="eastAsia"/>
        </w:rPr>
        <w:t>若本公司已给付过重大疾病保险金，则不再承担给付身故保险金责任。</w:t>
      </w:r>
    </w:p>
    <w:p>
      <w:pPr>
        <w:spacing w:after="0"/>
        <w:rPr>
          <w:rFonts w:ascii="黑体" w:eastAsia="黑体" w:hint="eastAsia"/>
        </w:rPr>
        <w:sectPr>
          <w:pgSz w:w="11910" w:h="16840"/>
          <w:pgMar w:header="0" w:footer="377" w:top="1260" w:bottom="640" w:left="1680" w:right="98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330"/>
        <w:gridCol w:w="8051"/>
      </w:tblGrid>
      <w:tr>
        <w:trPr>
          <w:trHeight w:val="7478" w:hRule="atLeast"/>
        </w:trPr>
        <w:tc>
          <w:tcPr>
            <w:tcW w:w="715" w:type="dxa"/>
          </w:tcPr>
          <w:p>
            <w:pPr>
              <w:pStyle w:val="TableParagraph"/>
              <w:ind w:left="0"/>
              <w:rPr>
                <w:rFonts w:ascii="Times New Roman"/>
                <w:sz w:val="20"/>
              </w:rPr>
            </w:pPr>
          </w:p>
        </w:tc>
        <w:tc>
          <w:tcPr>
            <w:tcW w:w="1330" w:type="dxa"/>
          </w:tcPr>
          <w:p>
            <w:pPr>
              <w:pStyle w:val="TableParagraph"/>
              <w:ind w:left="0"/>
              <w:rPr>
                <w:rFonts w:ascii="Times New Roman"/>
                <w:sz w:val="20"/>
              </w:rPr>
            </w:pPr>
          </w:p>
        </w:tc>
        <w:tc>
          <w:tcPr>
            <w:tcW w:w="8051" w:type="dxa"/>
          </w:tcPr>
          <w:p>
            <w:pPr>
              <w:pStyle w:val="TableParagraph"/>
              <w:spacing w:line="205" w:lineRule="exact"/>
              <w:ind w:left="286"/>
              <w:rPr>
                <w:sz w:val="21"/>
              </w:rPr>
            </w:pPr>
            <w:r>
              <w:rPr>
                <w:sz w:val="21"/>
              </w:rPr>
              <w:t>五、全残保险金给付</w:t>
            </w:r>
          </w:p>
          <w:p>
            <w:pPr>
              <w:pStyle w:val="TableParagraph"/>
              <w:spacing w:line="300" w:lineRule="auto" w:before="51"/>
              <w:ind w:left="286" w:right="233" w:firstLine="420"/>
              <w:rPr>
                <w:sz w:val="21"/>
              </w:rPr>
            </w:pPr>
            <w:r>
              <w:rPr>
                <w:spacing w:val="-6"/>
                <w:sz w:val="21"/>
              </w:rPr>
              <w:t>若被保险人在等待期后全残时未满 </w:t>
            </w:r>
            <w:r>
              <w:rPr>
                <w:sz w:val="21"/>
              </w:rPr>
              <w:t>18</w:t>
            </w:r>
            <w:r>
              <w:rPr>
                <w:spacing w:val="-10"/>
                <w:sz w:val="21"/>
              </w:rPr>
              <w:t> 周岁，本公司按累计已交保险费的 </w:t>
            </w:r>
            <w:r>
              <w:rPr>
                <w:sz w:val="21"/>
              </w:rPr>
              <w:t>200% </w:t>
            </w:r>
            <w:r>
              <w:rPr>
                <w:spacing w:val="-3"/>
                <w:sz w:val="21"/>
              </w:rPr>
              <w:t>给付全残保险金，本合同终止。</w:t>
            </w:r>
          </w:p>
          <w:p>
            <w:pPr>
              <w:pStyle w:val="TableParagraph"/>
              <w:spacing w:line="300" w:lineRule="auto" w:before="15"/>
              <w:ind w:left="286" w:right="179" w:firstLine="420"/>
              <w:rPr>
                <w:sz w:val="21"/>
              </w:rPr>
            </w:pPr>
            <w:r>
              <w:rPr>
                <w:sz w:val="21"/>
              </w:rPr>
              <w:t>若被保险人在等待期后全残时已满 18 周岁，本公司按照本合同的基本保险金额给付全残保险金，本合同终止。</w:t>
            </w:r>
          </w:p>
          <w:p>
            <w:pPr>
              <w:pStyle w:val="TableParagraph"/>
              <w:spacing w:before="15"/>
              <w:ind w:left="706"/>
              <w:rPr>
                <w:rFonts w:ascii="黑体" w:eastAsia="黑体" w:hint="eastAsia"/>
                <w:sz w:val="21"/>
              </w:rPr>
            </w:pPr>
            <w:r>
              <w:rPr>
                <w:rFonts w:ascii="黑体" w:eastAsia="黑体" w:hint="eastAsia"/>
                <w:sz w:val="21"/>
              </w:rPr>
              <w:t>若本公司已给付过重大疾病保险金，则不再承担给付全残保险金责任。</w:t>
            </w:r>
          </w:p>
          <w:p>
            <w:pPr>
              <w:pStyle w:val="TableParagraph"/>
              <w:spacing w:before="12"/>
              <w:ind w:left="0"/>
              <w:rPr>
                <w:rFonts w:ascii="黑体"/>
                <w:sz w:val="27"/>
              </w:rPr>
            </w:pPr>
          </w:p>
          <w:p>
            <w:pPr>
              <w:pStyle w:val="TableParagraph"/>
              <w:ind w:left="286"/>
              <w:rPr>
                <w:sz w:val="21"/>
              </w:rPr>
            </w:pPr>
            <w:r>
              <w:rPr>
                <w:sz w:val="21"/>
              </w:rPr>
              <w:t>六、疾病终末期保险金给付</w:t>
            </w:r>
          </w:p>
          <w:p>
            <w:pPr>
              <w:pStyle w:val="TableParagraph"/>
              <w:spacing w:line="300" w:lineRule="auto" w:before="51"/>
              <w:ind w:left="286" w:right="179" w:firstLine="420"/>
              <w:rPr>
                <w:sz w:val="21"/>
              </w:rPr>
            </w:pPr>
            <w:r>
              <w:rPr>
                <w:sz w:val="21"/>
              </w:rPr>
              <w:t>若被保险人在等待期后经医院专科医生确诊初次达到疾病终末期时未满 18 周岁，本公司按累计已交保险费的 200%给付疾病终末期保险金，本合同终止。</w:t>
            </w:r>
          </w:p>
          <w:p>
            <w:pPr>
              <w:pStyle w:val="TableParagraph"/>
              <w:spacing w:line="300" w:lineRule="auto" w:before="16"/>
              <w:ind w:left="286" w:right="179" w:firstLine="420"/>
              <w:rPr>
                <w:sz w:val="21"/>
              </w:rPr>
            </w:pPr>
            <w:r>
              <w:rPr>
                <w:sz w:val="21"/>
              </w:rPr>
              <w:t>若被保险人在等待期后经医院专科医生确诊初次达到疾病终末期时已满 18 周岁，本公司按照本合同的基本保险金额给付疾病终末期保险金，本合同终止。</w:t>
            </w:r>
          </w:p>
          <w:p>
            <w:pPr>
              <w:pStyle w:val="TableParagraph"/>
              <w:spacing w:before="16"/>
              <w:ind w:left="706"/>
              <w:rPr>
                <w:rFonts w:ascii="黑体" w:eastAsia="黑体" w:hint="eastAsia"/>
                <w:sz w:val="21"/>
              </w:rPr>
            </w:pPr>
            <w:r>
              <w:rPr>
                <w:rFonts w:ascii="黑体" w:eastAsia="黑体" w:hint="eastAsia"/>
                <w:sz w:val="21"/>
              </w:rPr>
              <w:t>若本公司已给付过重大疾病保险金，则不再承担给付疾病终末期保险金责任。</w:t>
            </w:r>
          </w:p>
          <w:p>
            <w:pPr>
              <w:pStyle w:val="TableParagraph"/>
              <w:ind w:left="0"/>
              <w:rPr>
                <w:rFonts w:ascii="黑体"/>
                <w:sz w:val="20"/>
              </w:rPr>
            </w:pPr>
          </w:p>
          <w:p>
            <w:pPr>
              <w:pStyle w:val="TableParagraph"/>
              <w:spacing w:before="150"/>
              <w:ind w:left="286"/>
              <w:rPr>
                <w:sz w:val="21"/>
              </w:rPr>
            </w:pPr>
            <w:r>
              <w:rPr>
                <w:sz w:val="21"/>
              </w:rPr>
              <w:t>七、被保险人重大疾病或轻症疾病豁免保险费</w:t>
            </w:r>
          </w:p>
          <w:p>
            <w:pPr>
              <w:pStyle w:val="TableParagraph"/>
              <w:spacing w:line="300" w:lineRule="auto" w:before="68"/>
              <w:ind w:left="286" w:right="233" w:firstLine="420"/>
              <w:jc w:val="both"/>
              <w:rPr>
                <w:sz w:val="21"/>
              </w:rPr>
            </w:pPr>
            <w:r>
              <w:rPr>
                <w:sz w:val="21"/>
              </w:rPr>
              <w:t>若被保险人在等待期后经医院专科医生确诊初次罹患本合同约定的重大疾病</w:t>
            </w:r>
            <w:r>
              <w:rPr>
                <w:spacing w:val="-7"/>
                <w:sz w:val="21"/>
              </w:rPr>
              <w:t>或轻症疾病，本公司将豁免本合同自重大疾病或轻症疾病确诊之日以后的各期保险</w:t>
            </w:r>
            <w:r>
              <w:rPr>
                <w:spacing w:val="-5"/>
                <w:sz w:val="21"/>
              </w:rPr>
              <w:t>费，被豁免的保险费视为已交纳，同时本合同继续有效。</w:t>
            </w:r>
          </w:p>
          <w:p>
            <w:pPr>
              <w:pStyle w:val="TableParagraph"/>
              <w:spacing w:before="15"/>
              <w:ind w:left="706"/>
              <w:rPr>
                <w:rFonts w:ascii="黑体" w:eastAsia="黑体" w:hint="eastAsia"/>
                <w:sz w:val="21"/>
              </w:rPr>
            </w:pPr>
            <w:r>
              <w:rPr>
                <w:rFonts w:ascii="黑体" w:eastAsia="黑体" w:hint="eastAsia"/>
                <w:sz w:val="21"/>
              </w:rPr>
              <w:t>上述豁免的保险费不包括以下款项：</w:t>
            </w:r>
          </w:p>
          <w:p>
            <w:pPr>
              <w:pStyle w:val="TableParagraph"/>
              <w:spacing w:before="68"/>
              <w:ind w:left="286"/>
              <w:rPr>
                <w:rFonts w:ascii="黑体" w:eastAsia="黑体" w:hint="eastAsia"/>
                <w:sz w:val="21"/>
              </w:rPr>
            </w:pPr>
            <w:r>
              <w:rPr>
                <w:rFonts w:ascii="黑体" w:eastAsia="黑体" w:hint="eastAsia"/>
                <w:sz w:val="21"/>
              </w:rPr>
              <w:t>（1）被保险人罹患重大疾病或轻症疾病之日之前所欠交的保险费和利息；</w:t>
            </w:r>
          </w:p>
          <w:p>
            <w:pPr>
              <w:pStyle w:val="TableParagraph"/>
              <w:spacing w:before="69"/>
              <w:ind w:left="286"/>
              <w:rPr>
                <w:rFonts w:ascii="黑体" w:eastAsia="黑体" w:hint="eastAsia"/>
                <w:sz w:val="21"/>
              </w:rPr>
            </w:pPr>
            <w:r>
              <w:rPr>
                <w:rFonts w:ascii="黑体" w:eastAsia="黑体" w:hint="eastAsia"/>
                <w:sz w:val="21"/>
              </w:rPr>
              <w:t>（2）续期保险费交费宽限期内应交未交的保险费；</w:t>
            </w:r>
          </w:p>
          <w:p>
            <w:pPr>
              <w:pStyle w:val="TableParagraph"/>
              <w:spacing w:before="68"/>
              <w:ind w:left="286"/>
              <w:rPr>
                <w:rFonts w:ascii="黑体" w:eastAsia="黑体" w:hint="eastAsia"/>
                <w:sz w:val="21"/>
              </w:rPr>
            </w:pPr>
            <w:r>
              <w:rPr>
                <w:rFonts w:ascii="黑体" w:eastAsia="黑体" w:hint="eastAsia"/>
                <w:sz w:val="21"/>
              </w:rPr>
              <w:t>（3）保险单上载明的其他保险合同的保险费。</w:t>
            </w:r>
          </w:p>
        </w:tc>
      </w:tr>
      <w:tr>
        <w:trPr>
          <w:trHeight w:val="6278" w:hRule="atLeast"/>
        </w:trPr>
        <w:tc>
          <w:tcPr>
            <w:tcW w:w="715" w:type="dxa"/>
          </w:tcPr>
          <w:p>
            <w:pPr>
              <w:pStyle w:val="TableParagraph"/>
              <w:spacing w:before="99"/>
              <w:ind w:left="200"/>
              <w:rPr>
                <w:b/>
                <w:sz w:val="21"/>
              </w:rPr>
            </w:pPr>
            <w:r>
              <w:rPr>
                <w:b/>
                <w:sz w:val="21"/>
              </w:rPr>
              <w:t>2.2</w:t>
            </w:r>
          </w:p>
        </w:tc>
        <w:tc>
          <w:tcPr>
            <w:tcW w:w="1330" w:type="dxa"/>
          </w:tcPr>
          <w:p>
            <w:pPr>
              <w:pStyle w:val="TableParagraph"/>
              <w:spacing w:before="99"/>
              <w:ind w:left="198"/>
              <w:rPr>
                <w:rFonts w:ascii="黑体" w:eastAsia="黑体" w:hint="eastAsia"/>
                <w:b/>
                <w:sz w:val="21"/>
              </w:rPr>
            </w:pPr>
            <w:r>
              <w:rPr>
                <w:rFonts w:ascii="黑体" w:eastAsia="黑体" w:hint="eastAsia"/>
                <w:b/>
                <w:sz w:val="21"/>
              </w:rPr>
              <w:t>责任免除</w:t>
            </w:r>
          </w:p>
        </w:tc>
        <w:tc>
          <w:tcPr>
            <w:tcW w:w="8051" w:type="dxa"/>
          </w:tcPr>
          <w:p>
            <w:pPr>
              <w:pStyle w:val="TableParagraph"/>
              <w:spacing w:line="273" w:lineRule="auto" w:before="68"/>
              <w:ind w:left="286" w:right="234"/>
              <w:rPr>
                <w:rFonts w:ascii="黑体" w:eastAsia="黑体" w:hint="eastAsia"/>
                <w:sz w:val="21"/>
              </w:rPr>
            </w:pPr>
            <w:r>
              <w:rPr>
                <w:rFonts w:ascii="黑体" w:eastAsia="黑体" w:hint="eastAsia"/>
                <w:spacing w:val="-6"/>
                <w:sz w:val="21"/>
              </w:rPr>
              <w:t>因下列情形之一，造成被保险人发</w:t>
            </w:r>
            <w:r>
              <w:rPr>
                <w:rFonts w:ascii="黑体" w:eastAsia="黑体" w:hint="eastAsia"/>
                <w:sz w:val="21"/>
              </w:rPr>
              <w:t>Th</w:t>
            </w:r>
            <w:r>
              <w:rPr>
                <w:rFonts w:ascii="黑体" w:eastAsia="黑体" w:hint="eastAsia"/>
                <w:b/>
                <w:spacing w:val="-6"/>
                <w:sz w:val="21"/>
              </w:rPr>
              <w:t>保险事故</w:t>
            </w:r>
            <w:r>
              <w:rPr>
                <w:rFonts w:ascii="黑体" w:eastAsia="黑体" w:hint="eastAsia"/>
                <w:spacing w:val="-3"/>
                <w:sz w:val="21"/>
              </w:rPr>
              <w:t>（</w:t>
            </w:r>
            <w:r>
              <w:rPr>
                <w:rFonts w:ascii="黑体" w:eastAsia="黑体" w:hint="eastAsia"/>
                <w:spacing w:val="-11"/>
                <w:sz w:val="21"/>
              </w:rPr>
              <w:t>见 </w:t>
            </w:r>
            <w:r>
              <w:rPr>
                <w:rFonts w:ascii="黑体" w:eastAsia="黑体" w:hint="eastAsia"/>
                <w:spacing w:val="-6"/>
                <w:sz w:val="21"/>
              </w:rPr>
              <w:t>9.17）的，本公司不承担给付保</w:t>
            </w:r>
            <w:r>
              <w:rPr>
                <w:rFonts w:ascii="黑体" w:eastAsia="黑体" w:hint="eastAsia"/>
                <w:spacing w:val="-4"/>
                <w:sz w:val="21"/>
              </w:rPr>
              <w:t>险金的责任：</w:t>
            </w:r>
          </w:p>
          <w:p>
            <w:pPr>
              <w:pStyle w:val="TableParagraph"/>
              <w:spacing w:before="7"/>
              <w:ind w:left="286"/>
              <w:rPr>
                <w:rFonts w:ascii="黑体" w:eastAsia="黑体" w:hint="eastAsia"/>
                <w:sz w:val="21"/>
              </w:rPr>
            </w:pPr>
            <w:r>
              <w:rPr>
                <w:rFonts w:ascii="黑体" w:eastAsia="黑体" w:hint="eastAsia"/>
                <w:sz w:val="21"/>
              </w:rPr>
              <w:t>（1）投保人对被保险人的故意杀害、故意伤害；</w:t>
            </w:r>
          </w:p>
          <w:p>
            <w:pPr>
              <w:pStyle w:val="TableParagraph"/>
              <w:spacing w:before="36"/>
              <w:ind w:left="286"/>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6"/>
              <w:ind w:left="286"/>
              <w:rPr>
                <w:rFonts w:ascii="黑体" w:eastAsia="黑体" w:hint="eastAsia"/>
                <w:sz w:val="21"/>
              </w:rPr>
            </w:pPr>
            <w:r>
              <w:rPr>
                <w:rFonts w:ascii="黑体" w:eastAsia="黑体" w:hint="eastAsia"/>
                <w:w w:val="100"/>
                <w:sz w:val="21"/>
              </w:rPr>
              <w:t>（3</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9.1</w:t>
            </w:r>
            <w:r>
              <w:rPr>
                <w:rFonts w:ascii="黑体" w:eastAsia="黑体" w:hint="eastAsia"/>
                <w:spacing w:val="-3"/>
                <w:w w:val="100"/>
                <w:sz w:val="21"/>
              </w:rPr>
              <w:t>8</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6"/>
              <w:ind w:left="793" w:right="236" w:hanging="503"/>
              <w:rPr>
                <w:rFonts w:ascii="黑体" w:eastAsia="黑体" w:hint="eastAsia"/>
                <w:sz w:val="21"/>
              </w:rPr>
            </w:pPr>
            <w:r>
              <w:rPr>
                <w:rFonts w:ascii="黑体" w:eastAsia="黑体" w:hint="eastAsia"/>
                <w:w w:val="100"/>
                <w:sz w:val="21"/>
              </w:rPr>
              <w:t>（</w:t>
            </w:r>
            <w:r>
              <w:rPr>
                <w:rFonts w:ascii="黑体" w:eastAsia="黑体" w:hint="eastAsia"/>
                <w:spacing w:val="-3"/>
                <w:w w:val="100"/>
                <w:sz w:val="21"/>
              </w:rPr>
              <w:t>4</w:t>
            </w:r>
            <w:r>
              <w:rPr>
                <w:rFonts w:ascii="黑体" w:eastAsia="黑体" w:hint="eastAsia"/>
                <w:spacing w:val="-10"/>
                <w:w w:val="100"/>
                <w:sz w:val="21"/>
              </w:rPr>
              <w:t>）</w:t>
            </w:r>
            <w:r>
              <w:rPr>
                <w:rFonts w:ascii="黑体" w:eastAsia="黑体" w:hint="eastAsia"/>
                <w:spacing w:val="-3"/>
                <w:w w:val="100"/>
                <w:sz w:val="21"/>
              </w:rPr>
              <w:t>被保险人</w:t>
            </w:r>
            <w:r>
              <w:rPr>
                <w:rFonts w:ascii="黑体" w:eastAsia="黑体" w:hint="eastAsia"/>
                <w:b/>
                <w:spacing w:val="-3"/>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1</w:t>
            </w:r>
            <w:r>
              <w:rPr>
                <w:rFonts w:ascii="黑体" w:eastAsia="黑体" w:hint="eastAsia"/>
                <w:w w:val="100"/>
                <w:sz w:val="21"/>
              </w:rPr>
              <w:t>9</w:t>
            </w:r>
            <w:r>
              <w:rPr>
                <w:rFonts w:ascii="黑体" w:eastAsia="黑体" w:hint="eastAsia"/>
                <w:spacing w:val="-108"/>
                <w:w w:val="100"/>
                <w:sz w:val="21"/>
              </w:rPr>
              <w:t>）</w:t>
            </w:r>
            <w:r>
              <w:rPr>
                <w:rFonts w:ascii="黑体" w:eastAsia="黑体" w:hint="eastAsia"/>
                <w:spacing w:val="-12"/>
                <w:w w:val="100"/>
                <w:sz w:val="21"/>
              </w:rPr>
              <w:t>、</w:t>
            </w:r>
            <w:r>
              <w:rPr>
                <w:rFonts w:ascii="黑体" w:eastAsia="黑体" w:hint="eastAsia"/>
                <w:b/>
                <w:spacing w:val="-2"/>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9</w:t>
            </w:r>
            <w:r>
              <w:rPr>
                <w:rFonts w:ascii="黑体" w:eastAsia="黑体" w:hint="eastAsia"/>
                <w:w w:val="100"/>
                <w:sz w:val="21"/>
              </w:rPr>
              <w:t>.20</w:t>
            </w:r>
            <w:r>
              <w:rPr>
                <w:rFonts w:ascii="黑体" w:eastAsia="黑体" w:hint="eastAsia"/>
                <w:spacing w:val="-108"/>
                <w:w w:val="100"/>
                <w:sz w:val="21"/>
              </w:rPr>
              <w:t>）</w:t>
            </w:r>
            <w:r>
              <w:rPr>
                <w:rFonts w:ascii="黑体" w:eastAsia="黑体" w:hint="eastAsia"/>
                <w:spacing w:val="-6"/>
                <w:w w:val="100"/>
                <w:sz w:val="21"/>
              </w:rPr>
              <w:t>，或驾驶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w w:val="100"/>
                <w:sz w:val="21"/>
              </w:rPr>
              <w:t>21</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2</w:t>
            </w:r>
            <w:r>
              <w:rPr>
                <w:rFonts w:ascii="黑体" w:eastAsia="黑体" w:hint="eastAsia"/>
                <w:w w:val="100"/>
                <w:sz w:val="21"/>
              </w:rPr>
              <w:t>2</w:t>
            </w:r>
            <w:r>
              <w:rPr>
                <w:rFonts w:ascii="黑体" w:eastAsia="黑体" w:hint="eastAsia"/>
                <w:spacing w:val="-106"/>
                <w:w w:val="100"/>
                <w:sz w:val="21"/>
              </w:rPr>
              <w:t>）</w:t>
            </w:r>
            <w:r>
              <w:rPr>
                <w:rFonts w:ascii="黑体" w:eastAsia="黑体" w:hint="eastAsia"/>
                <w:w w:val="100"/>
                <w:sz w:val="21"/>
              </w:rPr>
              <w:t>；</w:t>
            </w:r>
          </w:p>
          <w:p>
            <w:pPr>
              <w:pStyle w:val="TableParagraph"/>
              <w:spacing w:before="7"/>
              <w:ind w:left="286"/>
              <w:rPr>
                <w:rFonts w:ascii="黑体" w:eastAsia="黑体" w:hint="eastAsia"/>
                <w:sz w:val="21"/>
              </w:rPr>
            </w:pPr>
            <w:r>
              <w:rPr>
                <w:rFonts w:ascii="黑体" w:eastAsia="黑体" w:hint="eastAsia"/>
                <w:w w:val="100"/>
                <w:sz w:val="21"/>
              </w:rPr>
              <w:t>（5</w:t>
            </w:r>
            <w:r>
              <w:rPr>
                <w:rFonts w:ascii="黑体" w:eastAsia="黑体" w:hint="eastAsia"/>
                <w:spacing w:val="-3"/>
                <w:w w:val="100"/>
                <w:sz w:val="21"/>
              </w:rPr>
              <w:t>）</w:t>
            </w:r>
            <w:r>
              <w:rPr>
                <w:rFonts w:ascii="黑体" w:eastAsia="黑体" w:hint="eastAsia"/>
                <w:spacing w:val="-2"/>
                <w:w w:val="100"/>
                <w:sz w:val="21"/>
              </w:rPr>
              <w:t>被保险人</w:t>
            </w:r>
            <w:r>
              <w:rPr>
                <w:rFonts w:ascii="黑体" w:eastAsia="黑体" w:hint="eastAsia"/>
                <w:b/>
                <w:spacing w:val="-1"/>
                <w:w w:val="100"/>
                <w:sz w:val="21"/>
              </w:rPr>
              <w:t>感染艾滋病病毒或患艾滋病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w:t>
            </w:r>
            <w:r>
              <w:rPr>
                <w:rFonts w:ascii="黑体" w:eastAsia="黑体" w:hint="eastAsia"/>
                <w:spacing w:val="-1"/>
                <w:w w:val="100"/>
                <w:sz w:val="21"/>
              </w:rPr>
              <w:t>2</w:t>
            </w:r>
            <w:r>
              <w:rPr>
                <w:rFonts w:ascii="黑体" w:eastAsia="黑体" w:hint="eastAsia"/>
                <w:spacing w:val="-3"/>
                <w:w w:val="100"/>
                <w:sz w:val="21"/>
              </w:rPr>
              <w:t>3</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3"/>
                <w:w w:val="100"/>
                <w:sz w:val="21"/>
              </w:rPr>
              <w:t>本保险条款</w:t>
            </w:r>
            <w:r>
              <w:rPr>
                <w:rFonts w:ascii="黑体" w:eastAsia="黑体" w:hint="eastAsia"/>
                <w:spacing w:val="-55"/>
                <w:sz w:val="21"/>
              </w:rPr>
              <w:t> </w:t>
            </w:r>
            <w:r>
              <w:rPr>
                <w:rFonts w:ascii="黑体" w:eastAsia="黑体" w:hint="eastAsia"/>
                <w:w w:val="100"/>
                <w:sz w:val="21"/>
              </w:rPr>
              <w:t>9.8</w:t>
            </w:r>
            <w:r>
              <w:rPr>
                <w:rFonts w:ascii="黑体" w:eastAsia="黑体" w:hint="eastAsia"/>
                <w:spacing w:val="-55"/>
                <w:sz w:val="21"/>
              </w:rPr>
              <w:t> </w:t>
            </w:r>
            <w:r>
              <w:rPr>
                <w:rFonts w:ascii="黑体" w:eastAsia="黑体" w:hint="eastAsia"/>
                <w:spacing w:val="-3"/>
                <w:w w:val="100"/>
                <w:sz w:val="21"/>
              </w:rPr>
              <w:t>中所列第</w:t>
            </w:r>
          </w:p>
          <w:p>
            <w:pPr>
              <w:pStyle w:val="TableParagraph"/>
              <w:spacing w:before="36"/>
              <w:ind w:left="812"/>
              <w:rPr>
                <w:rFonts w:ascii="黑体" w:eastAsia="黑体" w:hint="eastAsia"/>
                <w:sz w:val="21"/>
              </w:rPr>
            </w:pPr>
            <w:r>
              <w:rPr>
                <w:rFonts w:ascii="黑体" w:eastAsia="黑体" w:hint="eastAsia"/>
                <w:w w:val="100"/>
                <w:sz w:val="21"/>
              </w:rPr>
              <w:t>33、4</w:t>
            </w:r>
            <w:r>
              <w:rPr>
                <w:rFonts w:ascii="黑体" w:eastAsia="黑体" w:hint="eastAsia"/>
                <w:spacing w:val="-3"/>
                <w:w w:val="100"/>
                <w:sz w:val="21"/>
              </w:rPr>
              <w:t>7</w:t>
            </w:r>
            <w:r>
              <w:rPr>
                <w:rFonts w:ascii="黑体" w:eastAsia="黑体" w:hint="eastAsia"/>
                <w:w w:val="100"/>
                <w:sz w:val="21"/>
              </w:rPr>
              <w:t>、</w:t>
            </w:r>
            <w:r>
              <w:rPr>
                <w:rFonts w:ascii="黑体" w:eastAsia="黑体" w:hint="eastAsia"/>
                <w:spacing w:val="-3"/>
                <w:w w:val="100"/>
                <w:sz w:val="21"/>
              </w:rPr>
              <w:t>8</w:t>
            </w:r>
            <w:r>
              <w:rPr>
                <w:rFonts w:ascii="黑体" w:eastAsia="黑体" w:hint="eastAsia"/>
                <w:w w:val="100"/>
                <w:sz w:val="21"/>
              </w:rPr>
              <w:t>5</w:t>
            </w:r>
            <w:r>
              <w:rPr>
                <w:rFonts w:ascii="黑体" w:eastAsia="黑体" w:hint="eastAsia"/>
                <w:spacing w:val="-53"/>
                <w:sz w:val="21"/>
              </w:rPr>
              <w:t> </w:t>
            </w:r>
            <w:r>
              <w:rPr>
                <w:rFonts w:ascii="黑体" w:eastAsia="黑体" w:hint="eastAsia"/>
                <w:spacing w:val="-3"/>
                <w:w w:val="100"/>
                <w:sz w:val="21"/>
              </w:rPr>
              <w:t>种重大疾病除外</w:t>
            </w:r>
            <w:r>
              <w:rPr>
                <w:rFonts w:ascii="黑体" w:eastAsia="黑体" w:hint="eastAsia"/>
                <w:spacing w:val="-106"/>
                <w:w w:val="100"/>
                <w:sz w:val="21"/>
              </w:rPr>
              <w:t>）</w:t>
            </w:r>
            <w:r>
              <w:rPr>
                <w:rFonts w:ascii="黑体" w:eastAsia="黑体" w:hint="eastAsia"/>
                <w:w w:val="100"/>
                <w:sz w:val="21"/>
              </w:rPr>
              <w:t>；</w:t>
            </w:r>
          </w:p>
          <w:p>
            <w:pPr>
              <w:pStyle w:val="TableParagraph"/>
              <w:spacing w:before="36"/>
              <w:ind w:left="286"/>
              <w:rPr>
                <w:rFonts w:ascii="黑体" w:eastAsia="黑体" w:hint="eastAsia"/>
                <w:sz w:val="21"/>
              </w:rPr>
            </w:pPr>
            <w:r>
              <w:rPr>
                <w:rFonts w:ascii="黑体" w:eastAsia="黑体" w:hint="eastAsia"/>
                <w:w w:val="100"/>
                <w:sz w:val="21"/>
              </w:rPr>
              <w:t>（6</w:t>
            </w:r>
            <w:r>
              <w:rPr>
                <w:rFonts w:ascii="黑体" w:eastAsia="黑体" w:hint="eastAsia"/>
                <w:spacing w:val="-3"/>
                <w:w w:val="100"/>
                <w:sz w:val="21"/>
              </w:rPr>
              <w:t>）战争、军事冲突、暴乱或武装叛乱（以上行为以政府宣告或认定为准</w:t>
            </w:r>
            <w:r>
              <w:rPr>
                <w:rFonts w:ascii="黑体" w:eastAsia="黑体" w:hint="eastAsia"/>
                <w:spacing w:val="-108"/>
                <w:w w:val="100"/>
                <w:sz w:val="21"/>
              </w:rPr>
              <w:t>）</w:t>
            </w:r>
            <w:r>
              <w:rPr>
                <w:rFonts w:ascii="黑体" w:eastAsia="黑体" w:hint="eastAsia"/>
                <w:w w:val="100"/>
                <w:sz w:val="21"/>
              </w:rPr>
              <w:t>；</w:t>
            </w:r>
          </w:p>
          <w:p>
            <w:pPr>
              <w:pStyle w:val="TableParagraph"/>
              <w:spacing w:before="36"/>
              <w:ind w:left="286"/>
              <w:rPr>
                <w:rFonts w:ascii="黑体" w:eastAsia="黑体" w:hint="eastAsia"/>
                <w:sz w:val="21"/>
              </w:rPr>
            </w:pPr>
            <w:r>
              <w:rPr>
                <w:rFonts w:ascii="黑体" w:eastAsia="黑体" w:hint="eastAsia"/>
                <w:sz w:val="21"/>
              </w:rPr>
              <w:t>（7）核爆炸、核辐射或核污染；</w:t>
            </w:r>
          </w:p>
          <w:p>
            <w:pPr>
              <w:pStyle w:val="TableParagraph"/>
              <w:spacing w:before="36"/>
              <w:ind w:left="286"/>
              <w:rPr>
                <w:rFonts w:ascii="黑体" w:eastAsia="黑体" w:hint="eastAsia"/>
                <w:sz w:val="21"/>
              </w:rPr>
            </w:pPr>
            <w:r>
              <w:rPr>
                <w:rFonts w:ascii="黑体" w:eastAsia="黑体" w:hint="eastAsia"/>
                <w:w w:val="100"/>
                <w:sz w:val="21"/>
              </w:rPr>
              <w:t>（8</w:t>
            </w:r>
            <w:r>
              <w:rPr>
                <w:rFonts w:ascii="黑体" w:eastAsia="黑体" w:hint="eastAsia"/>
                <w:spacing w:val="-2"/>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9</w:t>
            </w:r>
            <w:r>
              <w:rPr>
                <w:rFonts w:ascii="黑体" w:eastAsia="黑体" w:hint="eastAsia"/>
                <w:w w:val="100"/>
                <w:sz w:val="21"/>
              </w:rPr>
              <w:t>.</w:t>
            </w:r>
            <w:r>
              <w:rPr>
                <w:rFonts w:ascii="黑体" w:eastAsia="黑体" w:hint="eastAsia"/>
                <w:spacing w:val="-3"/>
                <w:w w:val="100"/>
                <w:sz w:val="21"/>
              </w:rPr>
              <w:t>2</w:t>
            </w:r>
            <w:r>
              <w:rPr>
                <w:rFonts w:ascii="黑体" w:eastAsia="黑体" w:hint="eastAsia"/>
                <w:w w:val="100"/>
                <w:sz w:val="21"/>
              </w:rPr>
              <w:t>4</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spacing w:val="-1"/>
                <w:w w:val="100"/>
                <w:sz w:val="21"/>
              </w:rPr>
              <w:t>2</w:t>
            </w:r>
            <w:r>
              <w:rPr>
                <w:rFonts w:ascii="黑体" w:eastAsia="黑体" w:hint="eastAsia"/>
                <w:w w:val="100"/>
                <w:sz w:val="21"/>
              </w:rPr>
              <w:t>5</w:t>
            </w:r>
            <w:r>
              <w:rPr>
                <w:rFonts w:ascii="黑体" w:eastAsia="黑体" w:hint="eastAsia"/>
                <w:spacing w:val="-108"/>
                <w:w w:val="100"/>
                <w:sz w:val="21"/>
              </w:rPr>
              <w:t>）</w:t>
            </w:r>
            <w:r>
              <w:rPr>
                <w:rFonts w:ascii="黑体" w:eastAsia="黑体" w:hint="eastAsia"/>
                <w:w w:val="100"/>
                <w:sz w:val="21"/>
              </w:rPr>
              <w:t>。</w:t>
            </w:r>
          </w:p>
          <w:p>
            <w:pPr>
              <w:pStyle w:val="TableParagraph"/>
              <w:spacing w:before="9"/>
              <w:ind w:left="0"/>
              <w:rPr>
                <w:rFonts w:ascii="黑体"/>
                <w:sz w:val="14"/>
              </w:rPr>
            </w:pPr>
          </w:p>
          <w:p>
            <w:pPr>
              <w:pStyle w:val="TableParagraph"/>
              <w:spacing w:line="273" w:lineRule="auto"/>
              <w:ind w:left="286" w:right="233"/>
              <w:rPr>
                <w:rFonts w:ascii="黑体" w:eastAsia="黑体" w:hint="eastAsia"/>
                <w:b/>
                <w:sz w:val="21"/>
              </w:rPr>
            </w:pPr>
            <w:r>
              <w:rPr>
                <w:rFonts w:ascii="黑体" w:eastAsia="黑体" w:hint="eastAsia"/>
                <w:sz w:val="21"/>
              </w:rPr>
              <w:t>发Th上述第（1）项情形导致被保险人发Th保险事故的，本合同效力即行终止，如果投保人选择的是一次性交付的交费方式，本公司向除投保人以外的</w:t>
            </w:r>
            <w:r>
              <w:rPr>
                <w:rFonts w:ascii="黑体" w:eastAsia="黑体" w:hint="eastAsia"/>
                <w:b/>
                <w:sz w:val="21"/>
              </w:rPr>
              <w:t>其他权利人</w:t>
            </w:r>
          </w:p>
          <w:p>
            <w:pPr>
              <w:pStyle w:val="TableParagraph"/>
              <w:spacing w:line="273" w:lineRule="auto" w:before="7"/>
              <w:ind w:left="286" w:right="231"/>
              <w:jc w:val="both"/>
              <w:rPr>
                <w:rFonts w:ascii="黑体" w:eastAsia="黑体" w:hint="eastAsia"/>
                <w:sz w:val="21"/>
              </w:rPr>
            </w:pPr>
            <w:r>
              <w:rPr>
                <w:rFonts w:ascii="黑体" w:eastAsia="黑体" w:hint="eastAsia"/>
                <w:sz w:val="21"/>
              </w:rPr>
              <w:t>（</w:t>
            </w:r>
            <w:r>
              <w:rPr>
                <w:rFonts w:ascii="黑体" w:eastAsia="黑体" w:hint="eastAsia"/>
                <w:spacing w:val="-9"/>
                <w:sz w:val="21"/>
              </w:rPr>
              <w:t>见 </w:t>
            </w:r>
            <w:r>
              <w:rPr>
                <w:rFonts w:ascii="黑体" w:eastAsia="黑体" w:hint="eastAsia"/>
                <w:spacing w:val="-8"/>
                <w:sz w:val="21"/>
              </w:rPr>
              <w:t>9.26）</w:t>
            </w:r>
            <w:r>
              <w:rPr>
                <w:rFonts w:ascii="黑体" w:eastAsia="黑体" w:hint="eastAsia"/>
                <w:spacing w:val="-7"/>
                <w:sz w:val="21"/>
              </w:rPr>
              <w:t>退还本合同的现金价值。如果投保人选择的是分期交付的交费方式，且</w:t>
            </w:r>
            <w:r>
              <w:rPr>
                <w:rFonts w:ascii="黑体" w:eastAsia="黑体" w:hint="eastAsia"/>
                <w:spacing w:val="-8"/>
                <w:sz w:val="21"/>
              </w:rPr>
              <w:t>投保人已交足两年以上保险费的，本公司向除投保人以外的其他权利人退还本合同</w:t>
            </w:r>
            <w:r>
              <w:rPr>
                <w:rFonts w:ascii="黑体" w:eastAsia="黑体" w:hint="eastAsia"/>
                <w:spacing w:val="-5"/>
                <w:sz w:val="21"/>
              </w:rPr>
              <w:t>的现金价值。</w:t>
            </w:r>
          </w:p>
          <w:p>
            <w:pPr>
              <w:pStyle w:val="TableParagraph"/>
              <w:spacing w:line="310" w:lineRule="atLeast" w:before="128"/>
              <w:ind w:left="286" w:right="190"/>
              <w:rPr>
                <w:rFonts w:ascii="黑体" w:eastAsia="黑体" w:hint="eastAsia"/>
                <w:sz w:val="21"/>
              </w:rPr>
            </w:pPr>
            <w:r>
              <w:rPr>
                <w:rFonts w:ascii="黑体" w:eastAsia="黑体" w:hint="eastAsia"/>
                <w:sz w:val="21"/>
              </w:rPr>
              <w:t>发Th上述其他情形导致被保险人发Th保险事故的，本合同效力即行终止，本公司向投保人退还本合同的现金价值。</w:t>
            </w:r>
          </w:p>
        </w:tc>
      </w:tr>
    </w:tbl>
    <w:p>
      <w:pPr>
        <w:spacing w:after="0" w:line="310" w:lineRule="atLeast"/>
        <w:rPr>
          <w:rFonts w:ascii="黑体" w:eastAsia="黑体" w:hint="eastAsia"/>
          <w:sz w:val="21"/>
        </w:rPr>
        <w:sectPr>
          <w:pgSz w:w="11910" w:h="16840"/>
          <w:pgMar w:header="0" w:footer="377" w:top="1340" w:bottom="560" w:left="820" w:right="78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435"/>
        <w:gridCol w:w="7812"/>
      </w:tblGrid>
      <w:tr>
        <w:trPr>
          <w:trHeight w:val="1000" w:hRule="atLeast"/>
        </w:trPr>
        <w:tc>
          <w:tcPr>
            <w:tcW w:w="625" w:type="dxa"/>
          </w:tcPr>
          <w:p>
            <w:pPr>
              <w:pStyle w:val="TableParagraph"/>
              <w:spacing w:line="205" w:lineRule="exact"/>
              <w:ind w:left="110"/>
              <w:rPr>
                <w:b/>
                <w:sz w:val="21"/>
              </w:rPr>
            </w:pPr>
            <w:r>
              <w:rPr>
                <w:b/>
                <w:sz w:val="21"/>
              </w:rPr>
              <w:t>2.3</w:t>
            </w:r>
          </w:p>
        </w:tc>
        <w:tc>
          <w:tcPr>
            <w:tcW w:w="1435" w:type="dxa"/>
          </w:tcPr>
          <w:p>
            <w:pPr>
              <w:pStyle w:val="TableParagraph"/>
              <w:spacing w:line="205" w:lineRule="exact"/>
              <w:ind w:left="198"/>
              <w:rPr>
                <w:b/>
                <w:sz w:val="21"/>
              </w:rPr>
            </w:pPr>
            <w:r>
              <w:rPr>
                <w:b/>
                <w:sz w:val="21"/>
              </w:rPr>
              <w:t>基本保险金</w:t>
            </w:r>
          </w:p>
          <w:p>
            <w:pPr>
              <w:pStyle w:val="TableParagraph"/>
              <w:spacing w:before="37"/>
              <w:ind w:left="198"/>
              <w:rPr>
                <w:b/>
                <w:sz w:val="21"/>
              </w:rPr>
            </w:pPr>
            <w:r>
              <w:rPr>
                <w:b/>
                <w:w w:val="100"/>
                <w:sz w:val="21"/>
              </w:rPr>
              <w:t>额</w:t>
            </w:r>
          </w:p>
        </w:tc>
        <w:tc>
          <w:tcPr>
            <w:tcW w:w="7812" w:type="dxa"/>
          </w:tcPr>
          <w:p>
            <w:pPr>
              <w:pStyle w:val="TableParagraph"/>
              <w:spacing w:line="205" w:lineRule="exact"/>
              <w:ind w:left="182"/>
              <w:rPr>
                <w:sz w:val="21"/>
              </w:rPr>
            </w:pPr>
            <w:r>
              <w:rPr>
                <w:sz w:val="21"/>
              </w:rPr>
              <w:t>指投保人与本公司约定的用以计算保险金数额的基数。本合同的基本保险金额由投</w:t>
            </w:r>
          </w:p>
          <w:p>
            <w:pPr>
              <w:pStyle w:val="TableParagraph"/>
              <w:spacing w:line="273" w:lineRule="auto" w:before="37"/>
              <w:ind w:left="182" w:right="97"/>
              <w:rPr>
                <w:sz w:val="21"/>
              </w:rPr>
            </w:pPr>
            <w:r>
              <w:rPr>
                <w:spacing w:val="-6"/>
                <w:sz w:val="21"/>
              </w:rPr>
              <w:t>保人在投保时与本公司约定，并在保险单上载明。若该金额发生变更，则以变更后</w:t>
            </w:r>
            <w:r>
              <w:rPr>
                <w:spacing w:val="-4"/>
                <w:sz w:val="21"/>
              </w:rPr>
              <w:t>的金额为准。</w:t>
            </w:r>
          </w:p>
        </w:tc>
      </w:tr>
      <w:tr>
        <w:trPr>
          <w:trHeight w:val="1127" w:hRule="atLeast"/>
        </w:trPr>
        <w:tc>
          <w:tcPr>
            <w:tcW w:w="625" w:type="dxa"/>
          </w:tcPr>
          <w:p>
            <w:pPr>
              <w:pStyle w:val="TableParagraph"/>
              <w:spacing w:before="96"/>
              <w:ind w:left="110"/>
              <w:rPr>
                <w:b/>
                <w:sz w:val="21"/>
              </w:rPr>
            </w:pPr>
            <w:r>
              <w:rPr>
                <w:b/>
                <w:sz w:val="21"/>
              </w:rPr>
              <w:t>2.4</w:t>
            </w:r>
          </w:p>
        </w:tc>
        <w:tc>
          <w:tcPr>
            <w:tcW w:w="1435" w:type="dxa"/>
          </w:tcPr>
          <w:p>
            <w:pPr>
              <w:pStyle w:val="TableParagraph"/>
              <w:spacing w:line="271" w:lineRule="auto" w:before="96"/>
              <w:ind w:left="198" w:right="178"/>
              <w:jc w:val="both"/>
              <w:rPr>
                <w:b/>
                <w:sz w:val="21"/>
              </w:rPr>
            </w:pPr>
            <w:r>
              <w:rPr>
                <w:b/>
                <w:sz w:val="21"/>
              </w:rPr>
              <w:t>未成年人身故利益给付限制</w:t>
            </w:r>
          </w:p>
        </w:tc>
        <w:tc>
          <w:tcPr>
            <w:tcW w:w="7812" w:type="dxa"/>
          </w:tcPr>
          <w:p>
            <w:pPr>
              <w:pStyle w:val="TableParagraph"/>
              <w:spacing w:line="271" w:lineRule="auto" w:before="96"/>
              <w:ind w:left="182" w:right="97"/>
              <w:rPr>
                <w:sz w:val="21"/>
              </w:rPr>
            </w:pPr>
            <w:r>
              <w:rPr>
                <w:spacing w:val="-7"/>
                <w:sz w:val="21"/>
              </w:rPr>
              <w:t>若被保险人为未成年人，因被保险人身故给付的保险金总和不得超过国务院保险监</w:t>
            </w:r>
            <w:r>
              <w:rPr>
                <w:spacing w:val="-5"/>
                <w:sz w:val="21"/>
              </w:rPr>
              <w:t>督管理机构规定的限额，身故给付的保险金额总和约定也不得超过前述限额。</w:t>
            </w:r>
          </w:p>
        </w:tc>
      </w:tr>
      <w:tr>
        <w:trPr>
          <w:trHeight w:val="559" w:hRule="atLeast"/>
        </w:trPr>
        <w:tc>
          <w:tcPr>
            <w:tcW w:w="625" w:type="dxa"/>
          </w:tcPr>
          <w:p>
            <w:pPr>
              <w:pStyle w:val="TableParagraph"/>
              <w:spacing w:before="60"/>
              <w:ind w:left="110"/>
              <w:rPr>
                <w:b/>
                <w:sz w:val="21"/>
              </w:rPr>
            </w:pPr>
            <w:r>
              <w:rPr>
                <w:b/>
                <w:sz w:val="21"/>
              </w:rPr>
              <w:t>2.5</w:t>
            </w:r>
          </w:p>
        </w:tc>
        <w:tc>
          <w:tcPr>
            <w:tcW w:w="1435" w:type="dxa"/>
          </w:tcPr>
          <w:p>
            <w:pPr>
              <w:pStyle w:val="TableParagraph"/>
              <w:spacing w:before="60"/>
              <w:ind w:left="198"/>
              <w:rPr>
                <w:b/>
                <w:sz w:val="21"/>
              </w:rPr>
            </w:pPr>
            <w:r>
              <w:rPr>
                <w:b/>
                <w:sz w:val="21"/>
              </w:rPr>
              <w:t>保险期间</w:t>
            </w:r>
          </w:p>
        </w:tc>
        <w:tc>
          <w:tcPr>
            <w:tcW w:w="7812" w:type="dxa"/>
          </w:tcPr>
          <w:p>
            <w:pPr>
              <w:pStyle w:val="TableParagraph"/>
              <w:spacing w:before="60"/>
              <w:ind w:left="182"/>
              <w:rPr>
                <w:sz w:val="21"/>
              </w:rPr>
            </w:pPr>
            <w:r>
              <w:rPr>
                <w:sz w:val="21"/>
              </w:rPr>
              <w:t>本合同的保险期间为终身，并在保险单上载明。</w:t>
            </w:r>
          </w:p>
        </w:tc>
      </w:tr>
      <w:tr>
        <w:trPr>
          <w:trHeight w:val="692" w:hRule="atLeast"/>
        </w:trPr>
        <w:tc>
          <w:tcPr>
            <w:tcW w:w="625" w:type="dxa"/>
            <w:tcBorders>
              <w:bottom w:val="single" w:sz="4" w:space="0" w:color="000000"/>
            </w:tcBorders>
          </w:tcPr>
          <w:p>
            <w:pPr>
              <w:pStyle w:val="TableParagraph"/>
              <w:spacing w:before="113"/>
              <w:ind w:left="148"/>
              <w:rPr>
                <w:b/>
                <w:sz w:val="32"/>
              </w:rPr>
            </w:pPr>
            <w:r>
              <w:rPr>
                <w:b/>
                <w:w w:val="98"/>
                <w:sz w:val="32"/>
              </w:rPr>
              <w:t>3</w:t>
            </w:r>
          </w:p>
        </w:tc>
        <w:tc>
          <w:tcPr>
            <w:tcW w:w="9247" w:type="dxa"/>
            <w:gridSpan w:val="2"/>
            <w:tcBorders>
              <w:bottom w:val="single" w:sz="4" w:space="0" w:color="000000"/>
            </w:tcBorders>
          </w:tcPr>
          <w:p>
            <w:pPr>
              <w:pStyle w:val="TableParagraph"/>
              <w:spacing w:before="180"/>
              <w:ind w:left="198"/>
              <w:rPr>
                <w:b/>
                <w:sz w:val="24"/>
              </w:rPr>
            </w:pPr>
            <w:r>
              <w:rPr>
                <w:b/>
                <w:w w:val="95"/>
                <w:sz w:val="24"/>
              </w:rPr>
              <w:t>如何申请领取保险金</w:t>
            </w:r>
          </w:p>
        </w:tc>
      </w:tr>
      <w:tr>
        <w:trPr>
          <w:trHeight w:val="7563" w:hRule="atLeast"/>
        </w:trPr>
        <w:tc>
          <w:tcPr>
            <w:tcW w:w="625" w:type="dxa"/>
            <w:tcBorders>
              <w:top w:val="single" w:sz="4" w:space="0" w:color="000000"/>
            </w:tcBorders>
          </w:tcPr>
          <w:p>
            <w:pPr>
              <w:pStyle w:val="TableParagraph"/>
              <w:spacing w:before="133"/>
              <w:ind w:left="110"/>
              <w:rPr>
                <w:b/>
                <w:sz w:val="21"/>
              </w:rPr>
            </w:pPr>
            <w:r>
              <w:rPr>
                <w:b/>
                <w:sz w:val="21"/>
              </w:rPr>
              <w:t>3.1</w:t>
            </w:r>
          </w:p>
        </w:tc>
        <w:tc>
          <w:tcPr>
            <w:tcW w:w="1435" w:type="dxa"/>
            <w:tcBorders>
              <w:top w:val="single" w:sz="4" w:space="0" w:color="000000"/>
            </w:tcBorders>
          </w:tcPr>
          <w:p>
            <w:pPr>
              <w:pStyle w:val="TableParagraph"/>
              <w:spacing w:before="133"/>
              <w:ind w:left="198"/>
              <w:rPr>
                <w:b/>
                <w:sz w:val="21"/>
              </w:rPr>
            </w:pPr>
            <w:r>
              <w:rPr>
                <w:b/>
                <w:sz w:val="21"/>
              </w:rPr>
              <w:t>受益人</w:t>
            </w:r>
          </w:p>
        </w:tc>
        <w:tc>
          <w:tcPr>
            <w:tcW w:w="7812" w:type="dxa"/>
            <w:tcBorders>
              <w:top w:val="single" w:sz="4" w:space="0" w:color="000000"/>
            </w:tcBorders>
          </w:tcPr>
          <w:p>
            <w:pPr>
              <w:pStyle w:val="TableParagraph"/>
              <w:spacing w:line="273" w:lineRule="auto" w:before="133"/>
              <w:ind w:left="182" w:right="63"/>
              <w:jc w:val="both"/>
              <w:rPr>
                <w:sz w:val="21"/>
              </w:rPr>
            </w:pPr>
            <w:r>
              <w:rPr>
                <w:spacing w:val="-5"/>
                <w:sz w:val="21"/>
              </w:rPr>
              <w:t>投保人或者被保险人可以指定一人或多人为身故保险金受益人，身故保险金受益人</w:t>
            </w:r>
            <w:r>
              <w:rPr>
                <w:spacing w:val="-8"/>
                <w:sz w:val="21"/>
              </w:rPr>
              <w:t>为多人时，可以确定受益顺序和受益份额，如果没有确定受益顺序，各受益人按同</w:t>
            </w:r>
            <w:r>
              <w:rPr>
                <w:spacing w:val="-5"/>
                <w:sz w:val="21"/>
              </w:rPr>
              <w:t>一顺序享有受益权；如果没有确定受益份额，各受益人按照相等份额享有受益权。</w:t>
            </w:r>
          </w:p>
          <w:p>
            <w:pPr>
              <w:pStyle w:val="TableParagraph"/>
              <w:spacing w:line="273" w:lineRule="auto" w:before="163"/>
              <w:ind w:left="182" w:right="57"/>
              <w:rPr>
                <w:sz w:val="21"/>
              </w:rPr>
            </w:pPr>
            <w:r>
              <w:rPr>
                <w:sz w:val="21"/>
              </w:rPr>
              <w:t>被保险人为无民事行为能力人或限制民事行为能力人的，应当由其监护人指定受益人。</w:t>
            </w:r>
          </w:p>
          <w:p>
            <w:pPr>
              <w:pStyle w:val="TableParagraph"/>
              <w:spacing w:line="273" w:lineRule="auto" w:before="163"/>
              <w:ind w:left="182" w:right="97"/>
              <w:jc w:val="both"/>
              <w:rPr>
                <w:sz w:val="21"/>
              </w:rPr>
            </w:pPr>
            <w:r>
              <w:rPr>
                <w:spacing w:val="-5"/>
                <w:sz w:val="21"/>
              </w:rPr>
              <w:t>投保人或者被保险人可以变更身故保险金受益人并书面通知本公司。本公司收到变</w:t>
            </w:r>
            <w:r>
              <w:rPr>
                <w:sz w:val="21"/>
              </w:rPr>
              <w:t>更受益人的书面通知并审核通过后，在保险单或其他保险凭证上批注或者附贴批</w:t>
            </w:r>
            <w:r>
              <w:rPr>
                <w:spacing w:val="-3"/>
                <w:sz w:val="21"/>
              </w:rPr>
              <w:t>单；变更自本公司在保险单或其他保险凭证上批注或附贴批单之日起产生效力。</w:t>
            </w:r>
          </w:p>
          <w:p>
            <w:pPr>
              <w:pStyle w:val="TableParagraph"/>
              <w:spacing w:before="164"/>
              <w:ind w:left="182"/>
              <w:rPr>
                <w:sz w:val="21"/>
              </w:rPr>
            </w:pPr>
            <w:r>
              <w:rPr>
                <w:sz w:val="21"/>
              </w:rPr>
              <w:t>投保人在指定和变更身故保险金受益人时，必须经过被保险人书面同意。</w:t>
            </w:r>
          </w:p>
          <w:p>
            <w:pPr>
              <w:pStyle w:val="TableParagraph"/>
              <w:spacing w:before="10"/>
              <w:ind w:left="0"/>
              <w:rPr>
                <w:rFonts w:ascii="黑体"/>
                <w:sz w:val="14"/>
              </w:rPr>
            </w:pPr>
          </w:p>
          <w:p>
            <w:pPr>
              <w:pStyle w:val="TableParagraph"/>
              <w:spacing w:line="273" w:lineRule="auto"/>
              <w:ind w:left="182" w:right="98"/>
              <w:rPr>
                <w:sz w:val="21"/>
              </w:rPr>
            </w:pPr>
            <w:r>
              <w:rPr>
                <w:spacing w:val="-7"/>
                <w:sz w:val="21"/>
              </w:rPr>
              <w:t>被保险人身故后，有下列情形之一的，身故保险金作为被保险人的遗产，由本公司</w:t>
            </w:r>
            <w:r>
              <w:rPr>
                <w:spacing w:val="-5"/>
                <w:sz w:val="21"/>
              </w:rPr>
              <w:t>依照《中华人民共和国继承法》的规定履行给付保险金的义务：</w:t>
            </w:r>
          </w:p>
          <w:p>
            <w:pPr>
              <w:pStyle w:val="TableParagraph"/>
              <w:numPr>
                <w:ilvl w:val="0"/>
                <w:numId w:val="11"/>
              </w:numPr>
              <w:tabs>
                <w:tab w:pos="814" w:val="left" w:leader="none"/>
              </w:tabs>
              <w:spacing w:line="240" w:lineRule="auto" w:before="7" w:after="0"/>
              <w:ind w:left="813" w:right="0" w:hanging="631"/>
              <w:jc w:val="left"/>
              <w:rPr>
                <w:sz w:val="21"/>
              </w:rPr>
            </w:pPr>
            <w:r>
              <w:rPr>
                <w:spacing w:val="-3"/>
                <w:sz w:val="21"/>
              </w:rPr>
              <w:t>没有指定受益人，或者受益人指定不明无法确定的；</w:t>
            </w:r>
          </w:p>
          <w:p>
            <w:pPr>
              <w:pStyle w:val="TableParagraph"/>
              <w:numPr>
                <w:ilvl w:val="0"/>
                <w:numId w:val="11"/>
              </w:numPr>
              <w:tabs>
                <w:tab w:pos="814" w:val="left" w:leader="none"/>
              </w:tabs>
              <w:spacing w:line="240" w:lineRule="auto" w:before="36" w:after="0"/>
              <w:ind w:left="813" w:right="0" w:hanging="631"/>
              <w:jc w:val="left"/>
              <w:rPr>
                <w:sz w:val="21"/>
              </w:rPr>
            </w:pPr>
            <w:r>
              <w:rPr>
                <w:spacing w:val="-3"/>
                <w:sz w:val="21"/>
              </w:rPr>
              <w:t>受益人先于被保险人身故，没有其他受益人的；</w:t>
            </w:r>
          </w:p>
          <w:p>
            <w:pPr>
              <w:pStyle w:val="TableParagraph"/>
              <w:numPr>
                <w:ilvl w:val="0"/>
                <w:numId w:val="11"/>
              </w:numPr>
              <w:tabs>
                <w:tab w:pos="814" w:val="left" w:leader="none"/>
              </w:tabs>
              <w:spacing w:line="240" w:lineRule="auto" w:before="36" w:after="0"/>
              <w:ind w:left="813" w:right="0" w:hanging="631"/>
              <w:jc w:val="left"/>
              <w:rPr>
                <w:sz w:val="21"/>
              </w:rPr>
            </w:pPr>
            <w:r>
              <w:rPr>
                <w:spacing w:val="-3"/>
                <w:sz w:val="21"/>
              </w:rPr>
              <w:t>受益人依法丧失受益权或者放弃受益权，没有其他受益人的。</w:t>
            </w:r>
          </w:p>
          <w:p>
            <w:pPr>
              <w:pStyle w:val="TableParagraph"/>
              <w:spacing w:before="9"/>
              <w:ind w:left="0"/>
              <w:rPr>
                <w:rFonts w:ascii="黑体"/>
                <w:sz w:val="14"/>
              </w:rPr>
            </w:pPr>
          </w:p>
          <w:p>
            <w:pPr>
              <w:pStyle w:val="TableParagraph"/>
              <w:spacing w:line="273" w:lineRule="auto"/>
              <w:ind w:left="182" w:right="98"/>
              <w:rPr>
                <w:sz w:val="21"/>
              </w:rPr>
            </w:pPr>
            <w:r>
              <w:rPr>
                <w:spacing w:val="-6"/>
                <w:sz w:val="21"/>
              </w:rPr>
              <w:t>受益人与被保险人在同一事件中身故，且不能确定身故先后顺序的，推定受益人身</w:t>
            </w:r>
            <w:r>
              <w:rPr>
                <w:spacing w:val="-4"/>
                <w:sz w:val="21"/>
              </w:rPr>
              <w:t>故在先。</w:t>
            </w:r>
          </w:p>
          <w:p>
            <w:pPr>
              <w:pStyle w:val="TableParagraph"/>
              <w:spacing w:line="273" w:lineRule="auto" w:before="163"/>
              <w:ind w:left="182" w:right="98"/>
              <w:rPr>
                <w:rFonts w:ascii="黑体" w:eastAsia="黑体" w:hint="eastAsia"/>
                <w:sz w:val="21"/>
              </w:rPr>
            </w:pPr>
            <w:r>
              <w:rPr>
                <w:rFonts w:ascii="黑体" w:eastAsia="黑体" w:hint="eastAsia"/>
                <w:spacing w:val="-7"/>
                <w:sz w:val="21"/>
              </w:rPr>
              <w:t>受益人故意造成被保险人死亡、伤残、疾病的，或者故意杀害被保险人未遂的，该</w:t>
            </w:r>
            <w:r>
              <w:rPr>
                <w:rFonts w:ascii="黑体" w:eastAsia="黑体" w:hint="eastAsia"/>
                <w:spacing w:val="-5"/>
                <w:sz w:val="21"/>
              </w:rPr>
              <w:t>受益人丧失受益权。</w:t>
            </w:r>
          </w:p>
          <w:p>
            <w:pPr>
              <w:pStyle w:val="TableParagraph"/>
              <w:spacing w:line="273" w:lineRule="auto" w:before="163"/>
              <w:ind w:left="182" w:right="98"/>
              <w:rPr>
                <w:sz w:val="21"/>
              </w:rPr>
            </w:pPr>
            <w:r>
              <w:rPr>
                <w:spacing w:val="-6"/>
                <w:sz w:val="21"/>
              </w:rPr>
              <w:t>除另有约定外，轻症疾病保险金、重大疾病保险金、全残保险金和疾病终末期保险</w:t>
            </w:r>
            <w:r>
              <w:rPr>
                <w:spacing w:val="-3"/>
                <w:sz w:val="21"/>
              </w:rPr>
              <w:t>金的受益人均为被保险人本人。</w:t>
            </w:r>
          </w:p>
        </w:tc>
      </w:tr>
      <w:tr>
        <w:trPr>
          <w:trHeight w:val="2496" w:hRule="atLeast"/>
        </w:trPr>
        <w:tc>
          <w:tcPr>
            <w:tcW w:w="625" w:type="dxa"/>
          </w:tcPr>
          <w:p>
            <w:pPr>
              <w:pStyle w:val="TableParagraph"/>
              <w:spacing w:before="58"/>
              <w:ind w:left="110"/>
              <w:rPr>
                <w:b/>
                <w:sz w:val="21"/>
              </w:rPr>
            </w:pPr>
            <w:r>
              <w:rPr>
                <w:b/>
                <w:sz w:val="21"/>
              </w:rPr>
              <w:t>3.2</w:t>
            </w:r>
          </w:p>
        </w:tc>
        <w:tc>
          <w:tcPr>
            <w:tcW w:w="1435" w:type="dxa"/>
          </w:tcPr>
          <w:p>
            <w:pPr>
              <w:pStyle w:val="TableParagraph"/>
              <w:spacing w:line="273" w:lineRule="auto" w:before="58"/>
              <w:ind w:left="198" w:right="178"/>
              <w:rPr>
                <w:b/>
                <w:sz w:val="21"/>
              </w:rPr>
            </w:pPr>
            <w:r>
              <w:rPr>
                <w:b/>
                <w:sz w:val="21"/>
              </w:rPr>
              <w:t>保险事故通知</w:t>
            </w:r>
          </w:p>
        </w:tc>
        <w:tc>
          <w:tcPr>
            <w:tcW w:w="7812" w:type="dxa"/>
          </w:tcPr>
          <w:p>
            <w:pPr>
              <w:pStyle w:val="TableParagraph"/>
              <w:spacing w:line="273" w:lineRule="auto" w:before="58"/>
              <w:ind w:left="182" w:right="97"/>
              <w:jc w:val="both"/>
              <w:rPr>
                <w:sz w:val="21"/>
              </w:rPr>
            </w:pPr>
            <w:r>
              <w:rPr>
                <w:spacing w:val="-3"/>
                <w:sz w:val="21"/>
              </w:rPr>
              <w:t>投保人、被保险人或受益人应于自其知道或应当知道保险事故发生之日起 </w:t>
            </w:r>
            <w:r>
              <w:rPr>
                <w:sz w:val="21"/>
              </w:rPr>
              <w:t>10</w:t>
            </w:r>
            <w:r>
              <w:rPr>
                <w:spacing w:val="-1"/>
                <w:sz w:val="21"/>
              </w:rPr>
              <w:t> 日内</w:t>
            </w:r>
            <w:r>
              <w:rPr>
                <w:spacing w:val="-7"/>
                <w:sz w:val="21"/>
              </w:rPr>
              <w:t>通知本公司。否则投保人、被保险人或受益人应承担由于通知迟延致使本公司增加</w:t>
            </w:r>
            <w:r>
              <w:rPr>
                <w:spacing w:val="-9"/>
                <w:sz w:val="21"/>
              </w:rPr>
              <w:t>的勘查、检验等各项费用，但因</w:t>
            </w:r>
            <w:r>
              <w:rPr>
                <w:b/>
                <w:spacing w:val="-5"/>
                <w:sz w:val="21"/>
              </w:rPr>
              <w:t>不可抗力</w:t>
            </w:r>
            <w:r>
              <w:rPr>
                <w:sz w:val="21"/>
              </w:rPr>
              <w:t>（</w:t>
            </w:r>
            <w:r>
              <w:rPr>
                <w:spacing w:val="-12"/>
                <w:sz w:val="21"/>
              </w:rPr>
              <w:t>见 </w:t>
            </w:r>
            <w:r>
              <w:rPr>
                <w:spacing w:val="-5"/>
                <w:sz w:val="21"/>
              </w:rPr>
              <w:t>9.27）</w:t>
            </w:r>
            <w:r>
              <w:rPr>
                <w:spacing w:val="-6"/>
                <w:sz w:val="21"/>
              </w:rPr>
              <w:t>导致的迟延除外。通知内容包</w:t>
            </w:r>
            <w:r>
              <w:rPr>
                <w:spacing w:val="-4"/>
                <w:sz w:val="21"/>
              </w:rPr>
              <w:t>括：事故情况、原因、伤亡情况以及本公司需要了解的其他情况。</w:t>
            </w:r>
          </w:p>
          <w:p>
            <w:pPr>
              <w:pStyle w:val="TableParagraph"/>
              <w:spacing w:line="273" w:lineRule="auto" w:before="163"/>
              <w:ind w:left="182" w:right="61"/>
              <w:jc w:val="both"/>
              <w:rPr>
                <w:rFonts w:ascii="黑体" w:eastAsia="黑体" w:hint="eastAsia"/>
                <w:sz w:val="21"/>
              </w:rPr>
            </w:pPr>
            <w:r>
              <w:rPr>
                <w:rFonts w:ascii="黑体" w:eastAsia="黑体" w:hint="eastAsia"/>
                <w:spacing w:val="-3"/>
                <w:sz w:val="21"/>
              </w:rPr>
              <w:t>投保人、被保险人或受益人故意或因重大过失未及时通知，致使保险事故的性质、</w:t>
            </w:r>
            <w:r>
              <w:rPr>
                <w:rFonts w:ascii="黑体" w:eastAsia="黑体" w:hint="eastAsia"/>
                <w:spacing w:val="-7"/>
                <w:sz w:val="21"/>
              </w:rPr>
              <w:t>原因等难以确定的，本公司对无法确定的部分，不承担给付保险金的责任，但本公</w:t>
            </w:r>
            <w:r>
              <w:rPr>
                <w:rFonts w:ascii="黑体" w:eastAsia="黑体" w:hint="eastAsia"/>
                <w:spacing w:val="-5"/>
                <w:sz w:val="21"/>
              </w:rPr>
              <w:t>司通过其他途径已经及时知道或应当及时知道保险事故发</w:t>
            </w:r>
            <w:r>
              <w:rPr>
                <w:rFonts w:ascii="黑体" w:eastAsia="黑体" w:hint="eastAsia"/>
                <w:sz w:val="21"/>
              </w:rPr>
              <w:t>Th</w:t>
            </w:r>
            <w:r>
              <w:rPr>
                <w:rFonts w:ascii="黑体" w:eastAsia="黑体" w:hint="eastAsia"/>
                <w:spacing w:val="-3"/>
                <w:sz w:val="21"/>
              </w:rPr>
              <w:t>的除外。</w:t>
            </w:r>
          </w:p>
        </w:tc>
      </w:tr>
      <w:tr>
        <w:trPr>
          <w:trHeight w:val="339" w:hRule="atLeast"/>
        </w:trPr>
        <w:tc>
          <w:tcPr>
            <w:tcW w:w="625" w:type="dxa"/>
          </w:tcPr>
          <w:p>
            <w:pPr>
              <w:pStyle w:val="TableParagraph"/>
              <w:spacing w:line="261" w:lineRule="exact" w:before="58"/>
              <w:ind w:left="110"/>
              <w:rPr>
                <w:b/>
                <w:sz w:val="21"/>
              </w:rPr>
            </w:pPr>
            <w:r>
              <w:rPr>
                <w:b/>
                <w:sz w:val="21"/>
              </w:rPr>
              <w:t>3.3</w:t>
            </w:r>
          </w:p>
        </w:tc>
        <w:tc>
          <w:tcPr>
            <w:tcW w:w="1435" w:type="dxa"/>
          </w:tcPr>
          <w:p>
            <w:pPr>
              <w:pStyle w:val="TableParagraph"/>
              <w:spacing w:line="261" w:lineRule="exact" w:before="58"/>
              <w:ind w:left="198"/>
              <w:rPr>
                <w:b/>
                <w:sz w:val="21"/>
              </w:rPr>
            </w:pPr>
            <w:r>
              <w:rPr>
                <w:b/>
                <w:sz w:val="21"/>
              </w:rPr>
              <w:t>保险金申请</w:t>
            </w:r>
          </w:p>
        </w:tc>
        <w:tc>
          <w:tcPr>
            <w:tcW w:w="7812" w:type="dxa"/>
          </w:tcPr>
          <w:p>
            <w:pPr>
              <w:pStyle w:val="TableParagraph"/>
              <w:spacing w:line="261" w:lineRule="exact" w:before="58"/>
              <w:ind w:left="182"/>
              <w:rPr>
                <w:sz w:val="21"/>
              </w:rPr>
            </w:pPr>
            <w:r>
              <w:rPr>
                <w:sz w:val="21"/>
              </w:rPr>
              <w:t>在申请保险金时，请按照下列方式办理：</w:t>
            </w:r>
          </w:p>
        </w:tc>
      </w:tr>
    </w:tbl>
    <w:p>
      <w:pPr>
        <w:spacing w:after="0" w:line="261" w:lineRule="exact"/>
        <w:rPr>
          <w:sz w:val="21"/>
        </w:rPr>
        <w:sectPr>
          <w:pgSz w:w="11910" w:h="16840"/>
          <w:pgMar w:header="0" w:footer="377" w:top="1340" w:bottom="560" w:left="900" w:right="9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7837"/>
      </w:tblGrid>
      <w:tr>
        <w:trPr>
          <w:trHeight w:val="1878" w:hRule="atLeast"/>
        </w:trPr>
        <w:tc>
          <w:tcPr>
            <w:tcW w:w="1512" w:type="dxa"/>
          </w:tcPr>
          <w:p>
            <w:pPr>
              <w:pStyle w:val="TableParagraph"/>
              <w:spacing w:line="205" w:lineRule="exact"/>
              <w:ind w:left="200"/>
              <w:rPr>
                <w:b/>
                <w:sz w:val="21"/>
              </w:rPr>
            </w:pPr>
            <w:r>
              <w:rPr>
                <w:b/>
                <w:sz w:val="21"/>
              </w:rPr>
              <w:t>重大疾病保</w:t>
            </w:r>
          </w:p>
          <w:p>
            <w:pPr>
              <w:pStyle w:val="TableParagraph"/>
              <w:spacing w:line="273" w:lineRule="auto" w:before="37"/>
              <w:ind w:left="200" w:right="35"/>
              <w:rPr>
                <w:b/>
                <w:sz w:val="21"/>
              </w:rPr>
            </w:pPr>
            <w:r>
              <w:rPr>
                <w:b/>
                <w:sz w:val="21"/>
              </w:rPr>
              <w:t>险金、轻症疾病保险金、疾病终末期保险金申请</w:t>
            </w:r>
          </w:p>
        </w:tc>
        <w:tc>
          <w:tcPr>
            <w:tcW w:w="7837" w:type="dxa"/>
          </w:tcPr>
          <w:p>
            <w:pPr>
              <w:pStyle w:val="TableParagraph"/>
              <w:spacing w:line="205" w:lineRule="exact"/>
              <w:ind w:left="106"/>
              <w:rPr>
                <w:sz w:val="21"/>
              </w:rPr>
            </w:pPr>
            <w:r>
              <w:rPr>
                <w:sz w:val="21"/>
              </w:rPr>
              <w:t>由相应受益人作为申请人书面提出保险金给付申请，并提供下列证明和资料：</w:t>
            </w:r>
          </w:p>
          <w:p>
            <w:pPr>
              <w:pStyle w:val="TableParagraph"/>
              <w:numPr>
                <w:ilvl w:val="0"/>
                <w:numId w:val="12"/>
              </w:numPr>
              <w:tabs>
                <w:tab w:pos="827" w:val="left" w:leader="none"/>
              </w:tabs>
              <w:spacing w:line="240" w:lineRule="auto" w:before="37" w:after="0"/>
              <w:ind w:left="826" w:right="0" w:hanging="720"/>
              <w:jc w:val="left"/>
              <w:rPr>
                <w:sz w:val="21"/>
              </w:rPr>
            </w:pPr>
            <w:r>
              <w:rPr>
                <w:spacing w:val="-1"/>
                <w:sz w:val="21"/>
              </w:rPr>
              <w:t>保险合同；</w:t>
            </w:r>
          </w:p>
          <w:p>
            <w:pPr>
              <w:pStyle w:val="TableParagraph"/>
              <w:numPr>
                <w:ilvl w:val="0"/>
                <w:numId w:val="12"/>
              </w:numPr>
              <w:tabs>
                <w:tab w:pos="827" w:val="left" w:leader="none"/>
              </w:tabs>
              <w:spacing w:line="240" w:lineRule="auto" w:before="37" w:after="0"/>
              <w:ind w:left="826" w:right="0" w:hanging="720"/>
              <w:jc w:val="left"/>
              <w:rPr>
                <w:sz w:val="21"/>
              </w:rPr>
            </w:pPr>
            <w:r>
              <w:rPr>
                <w:spacing w:val="-2"/>
                <w:sz w:val="21"/>
              </w:rPr>
              <w:t>受益人的</w:t>
            </w:r>
            <w:r>
              <w:rPr>
                <w:b/>
                <w:sz w:val="21"/>
              </w:rPr>
              <w:t>法定身份证明</w:t>
            </w:r>
            <w:r>
              <w:rPr>
                <w:spacing w:val="-3"/>
                <w:sz w:val="21"/>
              </w:rPr>
              <w:t>（</w:t>
            </w:r>
            <w:r>
              <w:rPr>
                <w:spacing w:val="-22"/>
                <w:sz w:val="21"/>
              </w:rPr>
              <w:t>见 </w:t>
            </w:r>
            <w:r>
              <w:rPr>
                <w:sz w:val="21"/>
              </w:rPr>
              <w:t>9.28）；</w:t>
            </w:r>
          </w:p>
          <w:p>
            <w:pPr>
              <w:pStyle w:val="TableParagraph"/>
              <w:numPr>
                <w:ilvl w:val="0"/>
                <w:numId w:val="12"/>
              </w:numPr>
              <w:tabs>
                <w:tab w:pos="827" w:val="left" w:leader="none"/>
              </w:tabs>
              <w:spacing w:line="273" w:lineRule="auto" w:before="37" w:after="0"/>
              <w:ind w:left="826" w:right="201" w:hanging="720"/>
              <w:jc w:val="left"/>
              <w:rPr>
                <w:sz w:val="21"/>
              </w:rPr>
            </w:pPr>
            <w:r>
              <w:rPr>
                <w:sz w:val="21"/>
              </w:rPr>
              <w:t>由医院出具的附有病历、必要病理检验、血液检验及其他科学方法检验报</w:t>
            </w:r>
            <w:r>
              <w:rPr>
                <w:spacing w:val="-3"/>
                <w:sz w:val="21"/>
              </w:rPr>
              <w:t>告的疾病诊断书；</w:t>
            </w:r>
          </w:p>
          <w:p>
            <w:pPr>
              <w:pStyle w:val="TableParagraph"/>
              <w:numPr>
                <w:ilvl w:val="0"/>
                <w:numId w:val="12"/>
              </w:numPr>
              <w:tabs>
                <w:tab w:pos="827" w:val="left" w:leader="none"/>
              </w:tabs>
              <w:spacing w:line="240" w:lineRule="auto" w:before="7" w:after="0"/>
              <w:ind w:left="826" w:right="0" w:hanging="720"/>
              <w:jc w:val="left"/>
              <w:rPr>
                <w:sz w:val="21"/>
              </w:rPr>
            </w:pPr>
            <w:r>
              <w:rPr>
                <w:spacing w:val="-3"/>
                <w:sz w:val="21"/>
              </w:rPr>
              <w:t>与确认保险事故的性质、原因、经过等有关的其他证明和资料。</w:t>
            </w:r>
          </w:p>
        </w:tc>
      </w:tr>
      <w:tr>
        <w:trPr>
          <w:trHeight w:val="2353" w:hRule="atLeast"/>
        </w:trPr>
        <w:tc>
          <w:tcPr>
            <w:tcW w:w="1512" w:type="dxa"/>
          </w:tcPr>
          <w:p>
            <w:pPr>
              <w:pStyle w:val="TableParagraph"/>
              <w:spacing w:line="273" w:lineRule="auto" w:before="37"/>
              <w:ind w:left="200" w:right="255"/>
              <w:rPr>
                <w:b/>
                <w:sz w:val="21"/>
              </w:rPr>
            </w:pPr>
            <w:r>
              <w:rPr>
                <w:b/>
                <w:sz w:val="21"/>
              </w:rPr>
              <w:t>全残保险金申请</w:t>
            </w:r>
          </w:p>
        </w:tc>
        <w:tc>
          <w:tcPr>
            <w:tcW w:w="7837" w:type="dxa"/>
          </w:tcPr>
          <w:p>
            <w:pPr>
              <w:pStyle w:val="TableParagraph"/>
              <w:spacing w:line="273" w:lineRule="auto" w:before="37"/>
              <w:ind w:left="106" w:right="202"/>
              <w:rPr>
                <w:sz w:val="21"/>
              </w:rPr>
            </w:pPr>
            <w:r>
              <w:rPr>
                <w:sz w:val="21"/>
              </w:rPr>
              <w:t>由全残保险金受益人作为申请人填写保险金给付申请书，并须提供下列证明和资料：</w:t>
            </w:r>
          </w:p>
          <w:p>
            <w:pPr>
              <w:pStyle w:val="TableParagraph"/>
              <w:numPr>
                <w:ilvl w:val="0"/>
                <w:numId w:val="13"/>
              </w:numPr>
              <w:tabs>
                <w:tab w:pos="827" w:val="left" w:leader="none"/>
              </w:tabs>
              <w:spacing w:line="240" w:lineRule="auto" w:before="7" w:after="0"/>
              <w:ind w:left="826" w:right="0" w:hanging="720"/>
              <w:jc w:val="left"/>
              <w:rPr>
                <w:sz w:val="21"/>
              </w:rPr>
            </w:pPr>
            <w:r>
              <w:rPr>
                <w:spacing w:val="-1"/>
                <w:sz w:val="21"/>
              </w:rPr>
              <w:t>保险合同；</w:t>
            </w:r>
          </w:p>
          <w:p>
            <w:pPr>
              <w:pStyle w:val="TableParagraph"/>
              <w:numPr>
                <w:ilvl w:val="0"/>
                <w:numId w:val="13"/>
              </w:numPr>
              <w:tabs>
                <w:tab w:pos="827" w:val="left" w:leader="none"/>
              </w:tabs>
              <w:spacing w:line="240" w:lineRule="auto" w:before="36" w:after="0"/>
              <w:ind w:left="826" w:right="0" w:hanging="720"/>
              <w:jc w:val="left"/>
              <w:rPr>
                <w:sz w:val="21"/>
              </w:rPr>
            </w:pPr>
            <w:r>
              <w:rPr>
                <w:spacing w:val="-3"/>
                <w:sz w:val="21"/>
              </w:rPr>
              <w:t>受益人的法定身份证明；</w:t>
            </w:r>
          </w:p>
          <w:p>
            <w:pPr>
              <w:pStyle w:val="TableParagraph"/>
              <w:numPr>
                <w:ilvl w:val="0"/>
                <w:numId w:val="13"/>
              </w:numPr>
              <w:tabs>
                <w:tab w:pos="827" w:val="left" w:leader="none"/>
              </w:tabs>
              <w:spacing w:line="273" w:lineRule="auto" w:before="36" w:after="0"/>
              <w:ind w:left="826" w:right="200" w:hanging="720"/>
              <w:jc w:val="left"/>
              <w:rPr>
                <w:sz w:val="21"/>
              </w:rPr>
            </w:pPr>
            <w:r>
              <w:rPr>
                <w:sz w:val="21"/>
              </w:rPr>
              <w:t>国家有关机构认可或具有合法资质的伤残鉴定机构出具的被保险人全残鉴定书；</w:t>
            </w:r>
          </w:p>
          <w:p>
            <w:pPr>
              <w:pStyle w:val="TableParagraph"/>
              <w:numPr>
                <w:ilvl w:val="0"/>
                <w:numId w:val="13"/>
              </w:numPr>
              <w:tabs>
                <w:tab w:pos="827" w:val="left" w:leader="none"/>
              </w:tabs>
              <w:spacing w:line="240" w:lineRule="auto" w:before="7" w:after="0"/>
              <w:ind w:left="826" w:right="0" w:hanging="720"/>
              <w:jc w:val="left"/>
              <w:rPr>
                <w:sz w:val="21"/>
              </w:rPr>
            </w:pPr>
            <w:r>
              <w:rPr>
                <w:spacing w:val="-3"/>
                <w:sz w:val="21"/>
              </w:rPr>
              <w:t>与确认保险事故的性质、原因、经过等有关的其他证明和资料。</w:t>
            </w:r>
          </w:p>
        </w:tc>
      </w:tr>
      <w:tr>
        <w:trPr>
          <w:trHeight w:val="4247" w:hRule="atLeast"/>
        </w:trPr>
        <w:tc>
          <w:tcPr>
            <w:tcW w:w="1512" w:type="dxa"/>
          </w:tcPr>
          <w:p>
            <w:pPr>
              <w:pStyle w:val="TableParagraph"/>
              <w:spacing w:line="273" w:lineRule="auto" w:before="93"/>
              <w:ind w:left="200" w:right="255"/>
              <w:rPr>
                <w:b/>
                <w:sz w:val="21"/>
              </w:rPr>
            </w:pPr>
            <w:r>
              <w:rPr>
                <w:b/>
                <w:sz w:val="21"/>
              </w:rPr>
              <w:t>身故保险金申请</w:t>
            </w:r>
          </w:p>
        </w:tc>
        <w:tc>
          <w:tcPr>
            <w:tcW w:w="7837" w:type="dxa"/>
          </w:tcPr>
          <w:p>
            <w:pPr>
              <w:pStyle w:val="TableParagraph"/>
              <w:spacing w:line="273" w:lineRule="auto" w:before="93"/>
              <w:ind w:left="106" w:right="209"/>
              <w:rPr>
                <w:sz w:val="21"/>
              </w:rPr>
            </w:pPr>
            <w:r>
              <w:rPr>
                <w:sz w:val="21"/>
              </w:rPr>
              <w:t>由身故保险金受益人作为申请人填写保险金给付申请书，并须提供下列证明和资料：</w:t>
            </w:r>
          </w:p>
          <w:p>
            <w:pPr>
              <w:pStyle w:val="TableParagraph"/>
              <w:numPr>
                <w:ilvl w:val="0"/>
                <w:numId w:val="14"/>
              </w:numPr>
              <w:tabs>
                <w:tab w:pos="827" w:val="left" w:leader="none"/>
              </w:tabs>
              <w:spacing w:line="240" w:lineRule="auto" w:before="7" w:after="0"/>
              <w:ind w:left="826" w:right="0" w:hanging="720"/>
              <w:jc w:val="left"/>
              <w:rPr>
                <w:sz w:val="21"/>
              </w:rPr>
            </w:pPr>
            <w:r>
              <w:rPr>
                <w:spacing w:val="-1"/>
                <w:sz w:val="21"/>
              </w:rPr>
              <w:t>保险合同；</w:t>
            </w:r>
          </w:p>
          <w:p>
            <w:pPr>
              <w:pStyle w:val="TableParagraph"/>
              <w:numPr>
                <w:ilvl w:val="0"/>
                <w:numId w:val="14"/>
              </w:numPr>
              <w:tabs>
                <w:tab w:pos="827" w:val="left" w:leader="none"/>
              </w:tabs>
              <w:spacing w:line="240" w:lineRule="auto" w:before="37" w:after="0"/>
              <w:ind w:left="826" w:right="0" w:hanging="720"/>
              <w:jc w:val="left"/>
              <w:rPr>
                <w:sz w:val="21"/>
              </w:rPr>
            </w:pPr>
            <w:r>
              <w:rPr>
                <w:spacing w:val="-3"/>
                <w:sz w:val="21"/>
              </w:rPr>
              <w:t>受益人的法定身份证明；</w:t>
            </w:r>
          </w:p>
          <w:p>
            <w:pPr>
              <w:pStyle w:val="TableParagraph"/>
              <w:numPr>
                <w:ilvl w:val="0"/>
                <w:numId w:val="14"/>
              </w:numPr>
              <w:tabs>
                <w:tab w:pos="827" w:val="left" w:leader="none"/>
              </w:tabs>
              <w:spacing w:line="273" w:lineRule="auto" w:before="37" w:after="0"/>
              <w:ind w:left="826" w:right="207" w:hanging="720"/>
              <w:jc w:val="left"/>
              <w:rPr>
                <w:sz w:val="21"/>
              </w:rPr>
            </w:pPr>
            <w:r>
              <w:rPr>
                <w:sz w:val="21"/>
              </w:rPr>
              <w:t>国务院卫生行政部门规定的医疗机构或公安部门出具的被保险人死亡证明</w:t>
            </w:r>
            <w:r>
              <w:rPr>
                <w:spacing w:val="-2"/>
                <w:sz w:val="21"/>
              </w:rPr>
              <w:t>书或验尸证明；</w:t>
            </w:r>
          </w:p>
          <w:p>
            <w:pPr>
              <w:pStyle w:val="TableParagraph"/>
              <w:numPr>
                <w:ilvl w:val="0"/>
                <w:numId w:val="14"/>
              </w:numPr>
              <w:tabs>
                <w:tab w:pos="827" w:val="left" w:leader="none"/>
              </w:tabs>
              <w:spacing w:line="240" w:lineRule="auto" w:before="7" w:after="0"/>
              <w:ind w:left="826" w:right="0" w:hanging="720"/>
              <w:jc w:val="left"/>
              <w:rPr>
                <w:sz w:val="21"/>
              </w:rPr>
            </w:pPr>
            <w:r>
              <w:rPr>
                <w:spacing w:val="-3"/>
                <w:sz w:val="21"/>
              </w:rPr>
              <w:t>如被保险人为宣告死亡，受益人须提供人民法院出具的宣告死亡判决书；</w:t>
            </w:r>
          </w:p>
          <w:p>
            <w:pPr>
              <w:pStyle w:val="TableParagraph"/>
              <w:numPr>
                <w:ilvl w:val="0"/>
                <w:numId w:val="14"/>
              </w:numPr>
              <w:tabs>
                <w:tab w:pos="827" w:val="left" w:leader="none"/>
              </w:tabs>
              <w:spacing w:line="240" w:lineRule="auto" w:before="37" w:after="0"/>
              <w:ind w:left="826" w:right="0" w:hanging="720"/>
              <w:jc w:val="left"/>
              <w:rPr>
                <w:sz w:val="21"/>
              </w:rPr>
            </w:pPr>
            <w:r>
              <w:rPr>
                <w:spacing w:val="-3"/>
                <w:sz w:val="21"/>
              </w:rPr>
              <w:t>公安部门出具的被保险人户籍注销证明和殡葬证明；</w:t>
            </w:r>
          </w:p>
          <w:p>
            <w:pPr>
              <w:pStyle w:val="TableParagraph"/>
              <w:numPr>
                <w:ilvl w:val="0"/>
                <w:numId w:val="14"/>
              </w:numPr>
              <w:tabs>
                <w:tab w:pos="827" w:val="left" w:leader="none"/>
              </w:tabs>
              <w:spacing w:line="240" w:lineRule="auto" w:before="37" w:after="0"/>
              <w:ind w:left="826" w:right="0" w:hanging="720"/>
              <w:jc w:val="left"/>
              <w:rPr>
                <w:sz w:val="21"/>
              </w:rPr>
            </w:pPr>
            <w:r>
              <w:rPr>
                <w:spacing w:val="-3"/>
                <w:sz w:val="21"/>
              </w:rPr>
              <w:t>与确认保险事故的性质、原因、经过等有关的其他证明和资料。</w:t>
            </w:r>
          </w:p>
          <w:p>
            <w:pPr>
              <w:pStyle w:val="TableParagraph"/>
              <w:spacing w:before="9"/>
              <w:ind w:left="0"/>
              <w:rPr>
                <w:rFonts w:ascii="黑体"/>
                <w:sz w:val="14"/>
              </w:rPr>
            </w:pPr>
          </w:p>
          <w:p>
            <w:pPr>
              <w:pStyle w:val="TableParagraph"/>
              <w:spacing w:line="273" w:lineRule="auto" w:before="1"/>
              <w:ind w:left="106" w:right="198"/>
              <w:rPr>
                <w:sz w:val="21"/>
              </w:rPr>
            </w:pPr>
            <w:r>
              <w:rPr>
                <w:spacing w:val="-6"/>
                <w:sz w:val="21"/>
              </w:rPr>
              <w:t>保险金作为被保险人遗产时，除上述证明和资料外，被保险人的继承人还必须提供</w:t>
            </w:r>
            <w:r>
              <w:rPr>
                <w:spacing w:val="-4"/>
                <w:sz w:val="21"/>
              </w:rPr>
              <w:t>可证明合法继承权的相关权利文件。</w:t>
            </w:r>
          </w:p>
          <w:p>
            <w:pPr>
              <w:pStyle w:val="TableParagraph"/>
              <w:spacing w:before="164"/>
              <w:ind w:left="106"/>
              <w:rPr>
                <w:sz w:val="21"/>
              </w:rPr>
            </w:pPr>
            <w:r>
              <w:rPr>
                <w:sz w:val="21"/>
              </w:rPr>
              <w:t>如果被保险人身故，本公司有权要求司法鉴定机构对保险事故进行鉴定。</w:t>
            </w:r>
          </w:p>
        </w:tc>
      </w:tr>
      <w:tr>
        <w:trPr>
          <w:trHeight w:val="2031" w:hRule="atLeast"/>
        </w:trPr>
        <w:tc>
          <w:tcPr>
            <w:tcW w:w="1512" w:type="dxa"/>
          </w:tcPr>
          <w:p>
            <w:pPr>
              <w:pStyle w:val="TableParagraph"/>
              <w:spacing w:line="273" w:lineRule="auto" w:before="58"/>
              <w:ind w:left="200" w:right="255"/>
              <w:jc w:val="both"/>
              <w:rPr>
                <w:b/>
                <w:sz w:val="21"/>
              </w:rPr>
            </w:pPr>
            <w:r>
              <w:rPr>
                <w:b/>
                <w:sz w:val="21"/>
              </w:rPr>
              <w:t>被保险人疾病豁免保险费的申请</w:t>
            </w:r>
          </w:p>
        </w:tc>
        <w:tc>
          <w:tcPr>
            <w:tcW w:w="7837" w:type="dxa"/>
          </w:tcPr>
          <w:p>
            <w:pPr>
              <w:pStyle w:val="TableParagraph"/>
              <w:spacing w:before="58"/>
              <w:ind w:left="106"/>
              <w:rPr>
                <w:sz w:val="21"/>
              </w:rPr>
            </w:pPr>
            <w:r>
              <w:rPr>
                <w:sz w:val="21"/>
              </w:rPr>
              <w:t>由被保险人作为申请人书面提出豁免保险费申请，并提供下列证明和资料：</w:t>
            </w:r>
          </w:p>
          <w:p>
            <w:pPr>
              <w:pStyle w:val="TableParagraph"/>
              <w:numPr>
                <w:ilvl w:val="0"/>
                <w:numId w:val="15"/>
              </w:numPr>
              <w:tabs>
                <w:tab w:pos="827" w:val="left" w:leader="none"/>
              </w:tabs>
              <w:spacing w:line="240" w:lineRule="auto" w:before="36" w:after="0"/>
              <w:ind w:left="826" w:right="0" w:hanging="720"/>
              <w:jc w:val="left"/>
              <w:rPr>
                <w:sz w:val="21"/>
              </w:rPr>
            </w:pPr>
            <w:r>
              <w:rPr>
                <w:spacing w:val="-1"/>
                <w:sz w:val="21"/>
              </w:rPr>
              <w:t>保险合同；</w:t>
            </w:r>
          </w:p>
          <w:p>
            <w:pPr>
              <w:pStyle w:val="TableParagraph"/>
              <w:numPr>
                <w:ilvl w:val="0"/>
                <w:numId w:val="15"/>
              </w:numPr>
              <w:tabs>
                <w:tab w:pos="827" w:val="left" w:leader="none"/>
              </w:tabs>
              <w:spacing w:line="240" w:lineRule="auto" w:before="36" w:after="0"/>
              <w:ind w:left="826" w:right="0" w:hanging="720"/>
              <w:jc w:val="left"/>
              <w:rPr>
                <w:sz w:val="21"/>
              </w:rPr>
            </w:pPr>
            <w:r>
              <w:rPr>
                <w:spacing w:val="-3"/>
                <w:sz w:val="21"/>
              </w:rPr>
              <w:t>被保险人的法定身份证明；</w:t>
            </w:r>
          </w:p>
          <w:p>
            <w:pPr>
              <w:pStyle w:val="TableParagraph"/>
              <w:numPr>
                <w:ilvl w:val="0"/>
                <w:numId w:val="15"/>
              </w:numPr>
              <w:tabs>
                <w:tab w:pos="827" w:val="left" w:leader="none"/>
              </w:tabs>
              <w:spacing w:line="273" w:lineRule="auto" w:before="36" w:after="0"/>
              <w:ind w:left="826" w:right="201" w:hanging="720"/>
              <w:jc w:val="left"/>
              <w:rPr>
                <w:sz w:val="21"/>
              </w:rPr>
            </w:pPr>
            <w:r>
              <w:rPr>
                <w:sz w:val="21"/>
              </w:rPr>
              <w:t>由医院出具的附有病历、必要病理检验、血液检验及其他科学方法检验报</w:t>
            </w:r>
            <w:r>
              <w:rPr>
                <w:spacing w:val="-3"/>
                <w:sz w:val="21"/>
              </w:rPr>
              <w:t>告的疾病诊断书；</w:t>
            </w:r>
          </w:p>
          <w:p>
            <w:pPr>
              <w:pStyle w:val="TableParagraph"/>
              <w:numPr>
                <w:ilvl w:val="0"/>
                <w:numId w:val="15"/>
              </w:numPr>
              <w:tabs>
                <w:tab w:pos="827" w:val="left" w:leader="none"/>
              </w:tabs>
              <w:spacing w:line="240" w:lineRule="auto" w:before="7" w:after="0"/>
              <w:ind w:left="826" w:right="0" w:hanging="720"/>
              <w:jc w:val="left"/>
              <w:rPr>
                <w:sz w:val="21"/>
              </w:rPr>
            </w:pPr>
            <w:r>
              <w:rPr>
                <w:spacing w:val="-3"/>
                <w:sz w:val="21"/>
              </w:rPr>
              <w:t>与确认保险事故的性质、原因、经过等有关的其他证明和资料。</w:t>
            </w:r>
          </w:p>
        </w:tc>
      </w:tr>
      <w:tr>
        <w:trPr>
          <w:trHeight w:val="1724" w:hRule="atLeast"/>
        </w:trPr>
        <w:tc>
          <w:tcPr>
            <w:tcW w:w="1512" w:type="dxa"/>
          </w:tcPr>
          <w:p>
            <w:pPr>
              <w:pStyle w:val="TableParagraph"/>
              <w:spacing w:line="273" w:lineRule="auto" w:before="61"/>
              <w:ind w:left="200" w:right="255"/>
              <w:jc w:val="both"/>
              <w:rPr>
                <w:b/>
                <w:sz w:val="21"/>
              </w:rPr>
            </w:pPr>
            <w:r>
              <w:rPr>
                <w:b/>
                <w:sz w:val="21"/>
              </w:rPr>
              <w:t>委托他人代为申请保险金</w:t>
            </w:r>
          </w:p>
        </w:tc>
        <w:tc>
          <w:tcPr>
            <w:tcW w:w="7837" w:type="dxa"/>
          </w:tcPr>
          <w:p>
            <w:pPr>
              <w:pStyle w:val="TableParagraph"/>
              <w:spacing w:line="273" w:lineRule="auto" w:before="61"/>
              <w:ind w:left="106" w:right="198"/>
              <w:jc w:val="both"/>
              <w:rPr>
                <w:sz w:val="21"/>
              </w:rPr>
            </w:pPr>
            <w:r>
              <w:rPr>
                <w:spacing w:val="-6"/>
                <w:sz w:val="21"/>
              </w:rPr>
              <w:t>如果委托他人代为申请，除上述证明和资料外，还须提供相关保险金受益人的授权</w:t>
            </w:r>
            <w:r>
              <w:rPr>
                <w:spacing w:val="-8"/>
                <w:sz w:val="21"/>
              </w:rPr>
              <w:t>委托书、受托人有效身份证件等相关证明文件。受益人或继承人为限制民事行为能力人或无民事行为能力人时，由其合法监护人代其申请领取保险金，其合法监护人</w:t>
            </w:r>
            <w:r>
              <w:rPr>
                <w:sz w:val="21"/>
              </w:rPr>
              <w:t>还必须提供受益人或继承人为限制民事行为能力人或无民事行为能力人的证明和</w:t>
            </w:r>
            <w:r>
              <w:rPr>
                <w:spacing w:val="-3"/>
                <w:sz w:val="21"/>
              </w:rPr>
              <w:t>监护人具有合法监护权的证明。</w:t>
            </w:r>
          </w:p>
        </w:tc>
      </w:tr>
      <w:tr>
        <w:trPr>
          <w:trHeight w:val="657" w:hRule="atLeast"/>
        </w:trPr>
        <w:tc>
          <w:tcPr>
            <w:tcW w:w="1512" w:type="dxa"/>
          </w:tcPr>
          <w:p>
            <w:pPr>
              <w:pStyle w:val="TableParagraph"/>
              <w:spacing w:before="64"/>
              <w:ind w:left="200"/>
              <w:rPr>
                <w:b/>
                <w:sz w:val="21"/>
              </w:rPr>
            </w:pPr>
            <w:r>
              <w:rPr>
                <w:b/>
                <w:sz w:val="21"/>
              </w:rPr>
              <w:t>补充通知</w:t>
            </w:r>
          </w:p>
        </w:tc>
        <w:tc>
          <w:tcPr>
            <w:tcW w:w="7837" w:type="dxa"/>
          </w:tcPr>
          <w:p>
            <w:pPr>
              <w:pStyle w:val="TableParagraph"/>
              <w:spacing w:line="310" w:lineRule="atLeast" w:before="29"/>
              <w:ind w:left="106" w:right="198"/>
              <w:rPr>
                <w:sz w:val="21"/>
              </w:rPr>
            </w:pPr>
            <w:r>
              <w:rPr>
                <w:spacing w:val="-6"/>
                <w:sz w:val="21"/>
              </w:rPr>
              <w:t>以上证明和资料不完整的，本公司将及时一次性通知申请人补充提供有关的证明和资料。</w:t>
            </w:r>
          </w:p>
        </w:tc>
      </w:tr>
    </w:tbl>
    <w:p>
      <w:pPr>
        <w:spacing w:after="0" w:line="310" w:lineRule="atLeast"/>
        <w:rPr>
          <w:sz w:val="21"/>
        </w:rPr>
        <w:sectPr>
          <w:pgSz w:w="11910" w:h="16840"/>
          <w:pgMar w:header="0" w:footer="377" w:top="1340" w:bottom="560" w:left="1520" w:right="8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5"/>
        <w:gridCol w:w="1435"/>
        <w:gridCol w:w="7814"/>
      </w:tblGrid>
      <w:tr>
        <w:trPr>
          <w:trHeight w:val="2991" w:hRule="atLeast"/>
        </w:trPr>
        <w:tc>
          <w:tcPr>
            <w:tcW w:w="625" w:type="dxa"/>
          </w:tcPr>
          <w:p>
            <w:pPr>
              <w:pStyle w:val="TableParagraph"/>
              <w:spacing w:line="205" w:lineRule="exact"/>
              <w:ind w:left="110"/>
              <w:rPr>
                <w:b/>
                <w:sz w:val="21"/>
              </w:rPr>
            </w:pPr>
            <w:r>
              <w:rPr>
                <w:b/>
                <w:sz w:val="21"/>
              </w:rPr>
              <w:t>3.4</w:t>
            </w:r>
          </w:p>
        </w:tc>
        <w:tc>
          <w:tcPr>
            <w:tcW w:w="1435" w:type="dxa"/>
          </w:tcPr>
          <w:p>
            <w:pPr>
              <w:pStyle w:val="TableParagraph"/>
              <w:spacing w:line="205" w:lineRule="exact"/>
              <w:ind w:left="198"/>
              <w:rPr>
                <w:b/>
                <w:sz w:val="21"/>
              </w:rPr>
            </w:pPr>
            <w:r>
              <w:rPr>
                <w:b/>
                <w:sz w:val="21"/>
              </w:rPr>
              <w:t>保险金给付</w:t>
            </w:r>
          </w:p>
        </w:tc>
        <w:tc>
          <w:tcPr>
            <w:tcW w:w="7814" w:type="dxa"/>
          </w:tcPr>
          <w:p>
            <w:pPr>
              <w:pStyle w:val="TableParagraph"/>
              <w:spacing w:line="205" w:lineRule="exact"/>
              <w:ind w:left="182"/>
              <w:rPr>
                <w:sz w:val="21"/>
              </w:rPr>
            </w:pPr>
            <w:r>
              <w:rPr>
                <w:spacing w:val="-6"/>
                <w:sz w:val="21"/>
              </w:rPr>
              <w:t>本公司在收到保险金给付申请书及上述完整齐全的有关证明和资料后，将在 </w:t>
            </w:r>
            <w:r>
              <w:rPr>
                <w:sz w:val="21"/>
              </w:rPr>
              <w:t>5</w:t>
            </w:r>
            <w:r>
              <w:rPr>
                <w:spacing w:val="-11"/>
                <w:sz w:val="21"/>
              </w:rPr>
              <w:t> 日内</w:t>
            </w:r>
          </w:p>
          <w:p>
            <w:pPr>
              <w:pStyle w:val="TableParagraph"/>
              <w:spacing w:before="37"/>
              <w:ind w:left="182"/>
              <w:rPr>
                <w:sz w:val="21"/>
              </w:rPr>
            </w:pPr>
            <w:r>
              <w:rPr>
                <w:sz w:val="21"/>
              </w:rPr>
              <w:t>作出核定；情形复杂的，在 30 日内作出核定。对属于保险责任的，本公司在与受</w:t>
            </w:r>
          </w:p>
          <w:p>
            <w:pPr>
              <w:pStyle w:val="TableParagraph"/>
              <w:spacing w:line="273" w:lineRule="auto" w:before="37"/>
              <w:ind w:left="182" w:right="99"/>
              <w:jc w:val="both"/>
              <w:rPr>
                <w:sz w:val="21"/>
              </w:rPr>
            </w:pPr>
            <w:r>
              <w:rPr>
                <w:spacing w:val="-3"/>
                <w:sz w:val="21"/>
              </w:rPr>
              <w:t>益人达成给付保险金的协议后 </w:t>
            </w:r>
            <w:r>
              <w:rPr>
                <w:sz w:val="21"/>
              </w:rPr>
              <w:t>10</w:t>
            </w:r>
            <w:r>
              <w:rPr>
                <w:spacing w:val="-3"/>
                <w:sz w:val="21"/>
              </w:rPr>
              <w:t> 日内，履行给付保险金义务。本公司未及时履行</w:t>
            </w:r>
            <w:r>
              <w:rPr>
                <w:spacing w:val="-7"/>
                <w:sz w:val="21"/>
              </w:rPr>
              <w:t>前款规定义务的，除支付保险金外，应当赔偿受益人因此受到的损失。对不属于保</w:t>
            </w:r>
            <w:r>
              <w:rPr>
                <w:spacing w:val="-10"/>
                <w:sz w:val="21"/>
              </w:rPr>
              <w:t>险责任的，本公司自作出核定之日起 </w:t>
            </w:r>
            <w:r>
              <w:rPr>
                <w:sz w:val="21"/>
              </w:rPr>
              <w:t>3</w:t>
            </w:r>
            <w:r>
              <w:rPr>
                <w:spacing w:val="-7"/>
                <w:sz w:val="21"/>
              </w:rPr>
              <w:t> 日内向受益人发出拒绝给付保险金通知书并</w:t>
            </w:r>
            <w:r>
              <w:rPr>
                <w:spacing w:val="-4"/>
                <w:sz w:val="21"/>
              </w:rPr>
              <w:t>说明理由。</w:t>
            </w:r>
          </w:p>
          <w:p>
            <w:pPr>
              <w:pStyle w:val="TableParagraph"/>
              <w:spacing w:line="273" w:lineRule="auto" w:before="163"/>
              <w:ind w:left="182" w:right="-15"/>
              <w:rPr>
                <w:sz w:val="21"/>
              </w:rPr>
            </w:pPr>
            <w:r>
              <w:rPr>
                <w:spacing w:val="-2"/>
                <w:sz w:val="21"/>
              </w:rPr>
              <w:t>本公司在收到保险金给付申请书及上述完整齐全的有关证明和资料之日起</w:t>
            </w:r>
            <w:r>
              <w:rPr>
                <w:sz w:val="21"/>
              </w:rPr>
              <w:t>60</w:t>
            </w:r>
            <w:r>
              <w:rPr>
                <w:spacing w:val="-12"/>
                <w:sz w:val="21"/>
              </w:rPr>
              <w:t> 日内， </w:t>
            </w:r>
            <w:r>
              <w:rPr>
                <w:spacing w:val="-6"/>
                <w:sz w:val="21"/>
              </w:rPr>
              <w:t>对给付保险金的数额不能确定的，根据已有证明和资料可以确定的数额先予支付； </w:t>
            </w:r>
            <w:r>
              <w:rPr>
                <w:spacing w:val="-4"/>
                <w:sz w:val="21"/>
              </w:rPr>
              <w:t>本公司最终确定给付保险金的数额后，将支付相应的差额。</w:t>
            </w:r>
          </w:p>
        </w:tc>
      </w:tr>
      <w:tr>
        <w:trPr>
          <w:trHeight w:val="1560" w:hRule="atLeast"/>
        </w:trPr>
        <w:tc>
          <w:tcPr>
            <w:tcW w:w="625" w:type="dxa"/>
          </w:tcPr>
          <w:p>
            <w:pPr>
              <w:pStyle w:val="TableParagraph"/>
              <w:spacing w:before="58"/>
              <w:ind w:left="110"/>
              <w:rPr>
                <w:b/>
                <w:sz w:val="21"/>
              </w:rPr>
            </w:pPr>
            <w:r>
              <w:rPr>
                <w:b/>
                <w:sz w:val="21"/>
              </w:rPr>
              <w:t>3.5</w:t>
            </w:r>
          </w:p>
        </w:tc>
        <w:tc>
          <w:tcPr>
            <w:tcW w:w="1435" w:type="dxa"/>
          </w:tcPr>
          <w:p>
            <w:pPr>
              <w:pStyle w:val="TableParagraph"/>
              <w:spacing w:line="273" w:lineRule="auto" w:before="58"/>
              <w:ind w:left="198" w:right="178"/>
              <w:rPr>
                <w:b/>
                <w:sz w:val="21"/>
              </w:rPr>
            </w:pPr>
            <w:r>
              <w:rPr>
                <w:b/>
                <w:sz w:val="21"/>
              </w:rPr>
              <w:t>保险金申请时效</w:t>
            </w:r>
          </w:p>
        </w:tc>
        <w:tc>
          <w:tcPr>
            <w:tcW w:w="7814" w:type="dxa"/>
          </w:tcPr>
          <w:p>
            <w:pPr>
              <w:pStyle w:val="TableParagraph"/>
              <w:spacing w:line="273" w:lineRule="auto" w:before="58"/>
              <w:ind w:left="182" w:right="99"/>
              <w:rPr>
                <w:sz w:val="21"/>
              </w:rPr>
            </w:pPr>
            <w:r>
              <w:rPr>
                <w:spacing w:val="-5"/>
                <w:sz w:val="21"/>
              </w:rPr>
              <w:t>受益人向本公司请求给付身故保险金和全残保险金的诉讼时效期间为 </w:t>
            </w:r>
            <w:r>
              <w:rPr>
                <w:sz w:val="21"/>
              </w:rPr>
              <w:t>5</w:t>
            </w:r>
            <w:r>
              <w:rPr>
                <w:spacing w:val="-15"/>
                <w:sz w:val="21"/>
              </w:rPr>
              <w:t> 年，自其知</w:t>
            </w:r>
            <w:r>
              <w:rPr>
                <w:spacing w:val="-7"/>
                <w:sz w:val="21"/>
              </w:rPr>
              <w:t>道或者应当知道保险事故发生之日起计算。</w:t>
            </w:r>
          </w:p>
          <w:p>
            <w:pPr>
              <w:pStyle w:val="TableParagraph"/>
              <w:spacing w:line="273" w:lineRule="auto" w:before="163"/>
              <w:ind w:left="182" w:right="99"/>
              <w:rPr>
                <w:sz w:val="21"/>
              </w:rPr>
            </w:pPr>
            <w:r>
              <w:rPr>
                <w:spacing w:val="-5"/>
                <w:sz w:val="21"/>
              </w:rPr>
              <w:t>受益人向本公司请求给付其他保险金的诉讼时效期间为 </w:t>
            </w:r>
            <w:r>
              <w:rPr>
                <w:sz w:val="21"/>
              </w:rPr>
              <w:t>2</w:t>
            </w:r>
            <w:r>
              <w:rPr>
                <w:spacing w:val="-11"/>
                <w:sz w:val="21"/>
              </w:rPr>
              <w:t> 年，自其知道或者应当知</w:t>
            </w:r>
            <w:r>
              <w:rPr>
                <w:spacing w:val="-6"/>
                <w:sz w:val="21"/>
              </w:rPr>
              <w:t>道保险事故发生之日起计算。</w:t>
            </w:r>
          </w:p>
        </w:tc>
      </w:tr>
      <w:tr>
        <w:trPr>
          <w:trHeight w:val="1921" w:hRule="atLeast"/>
        </w:trPr>
        <w:tc>
          <w:tcPr>
            <w:tcW w:w="625" w:type="dxa"/>
          </w:tcPr>
          <w:p>
            <w:pPr>
              <w:pStyle w:val="TableParagraph"/>
              <w:spacing w:before="58"/>
              <w:ind w:left="110"/>
              <w:rPr>
                <w:b/>
                <w:sz w:val="21"/>
              </w:rPr>
            </w:pPr>
            <w:r>
              <w:rPr>
                <w:b/>
                <w:sz w:val="21"/>
              </w:rPr>
              <w:t>3.6</w:t>
            </w:r>
          </w:p>
        </w:tc>
        <w:tc>
          <w:tcPr>
            <w:tcW w:w="1435" w:type="dxa"/>
          </w:tcPr>
          <w:p>
            <w:pPr>
              <w:pStyle w:val="TableParagraph"/>
              <w:spacing w:line="273" w:lineRule="auto" w:before="58"/>
              <w:ind w:left="198" w:right="178"/>
              <w:rPr>
                <w:b/>
                <w:sz w:val="21"/>
              </w:rPr>
            </w:pPr>
            <w:r>
              <w:rPr>
                <w:b/>
                <w:sz w:val="21"/>
              </w:rPr>
              <w:t>宣告死亡处理</w:t>
            </w:r>
          </w:p>
        </w:tc>
        <w:tc>
          <w:tcPr>
            <w:tcW w:w="7814" w:type="dxa"/>
          </w:tcPr>
          <w:p>
            <w:pPr>
              <w:pStyle w:val="TableParagraph"/>
              <w:spacing w:line="273" w:lineRule="auto" w:before="58"/>
              <w:ind w:left="182" w:right="65"/>
              <w:jc w:val="both"/>
              <w:rPr>
                <w:sz w:val="21"/>
              </w:rPr>
            </w:pPr>
            <w:r>
              <w:rPr>
                <w:sz w:val="21"/>
              </w:rPr>
              <w:t>如果被保险人在本合同有效期内下落不明，后经人民法院宣告死亡的，本公司以法院判决宣告死亡之日作为被保险人的死亡时间，按本合同的约定给付身故保险金。</w:t>
            </w:r>
          </w:p>
          <w:p>
            <w:pPr>
              <w:pStyle w:val="TableParagraph"/>
              <w:spacing w:line="273" w:lineRule="auto" w:before="163"/>
              <w:ind w:left="182" w:right="99"/>
              <w:jc w:val="both"/>
              <w:rPr>
                <w:sz w:val="21"/>
              </w:rPr>
            </w:pPr>
            <w:r>
              <w:rPr>
                <w:spacing w:val="-6"/>
                <w:sz w:val="21"/>
              </w:rPr>
              <w:t>如果被保险人在宣告死亡后生还，身故保险金受益人应于知道或应当知道被保险人</w:t>
            </w:r>
            <w:r>
              <w:rPr>
                <w:spacing w:val="-4"/>
                <w:sz w:val="21"/>
              </w:rPr>
              <w:t>生还后 </w:t>
            </w:r>
            <w:r>
              <w:rPr>
                <w:sz w:val="21"/>
              </w:rPr>
              <w:t>30</w:t>
            </w:r>
            <w:r>
              <w:rPr>
                <w:spacing w:val="-3"/>
                <w:sz w:val="21"/>
              </w:rPr>
              <w:t> 日内向本公司退还已给付的保险金。退还保险金后，本合同的效力由投保人与本公司协商处理。</w:t>
            </w:r>
          </w:p>
        </w:tc>
      </w:tr>
      <w:tr>
        <w:trPr>
          <w:trHeight w:val="651" w:hRule="atLeast"/>
        </w:trPr>
        <w:tc>
          <w:tcPr>
            <w:tcW w:w="625" w:type="dxa"/>
            <w:tcBorders>
              <w:bottom w:val="single" w:sz="4" w:space="0" w:color="000000"/>
            </w:tcBorders>
          </w:tcPr>
          <w:p>
            <w:pPr>
              <w:pStyle w:val="TableParagraph"/>
              <w:spacing w:before="73"/>
              <w:ind w:left="148"/>
              <w:rPr>
                <w:b/>
                <w:sz w:val="32"/>
              </w:rPr>
            </w:pPr>
            <w:r>
              <w:rPr>
                <w:b/>
                <w:w w:val="98"/>
                <w:sz w:val="32"/>
              </w:rPr>
              <w:t>4</w:t>
            </w:r>
          </w:p>
        </w:tc>
        <w:tc>
          <w:tcPr>
            <w:tcW w:w="9249" w:type="dxa"/>
            <w:gridSpan w:val="2"/>
            <w:tcBorders>
              <w:bottom w:val="single" w:sz="4" w:space="0" w:color="000000"/>
            </w:tcBorders>
          </w:tcPr>
          <w:p>
            <w:pPr>
              <w:pStyle w:val="TableParagraph"/>
              <w:spacing w:before="137"/>
              <w:ind w:left="198"/>
              <w:rPr>
                <w:b/>
                <w:sz w:val="24"/>
              </w:rPr>
            </w:pPr>
            <w:r>
              <w:rPr>
                <w:b/>
                <w:w w:val="95"/>
                <w:sz w:val="24"/>
              </w:rPr>
              <w:t>如何交纳保险费</w:t>
            </w:r>
          </w:p>
        </w:tc>
      </w:tr>
      <w:tr>
        <w:trPr>
          <w:trHeight w:val="1919" w:hRule="atLeast"/>
        </w:trPr>
        <w:tc>
          <w:tcPr>
            <w:tcW w:w="625" w:type="dxa"/>
            <w:tcBorders>
              <w:top w:val="single" w:sz="4" w:space="0" w:color="000000"/>
            </w:tcBorders>
          </w:tcPr>
          <w:p>
            <w:pPr>
              <w:pStyle w:val="TableParagraph"/>
              <w:spacing w:before="161"/>
              <w:ind w:left="110"/>
              <w:rPr>
                <w:b/>
                <w:sz w:val="21"/>
              </w:rPr>
            </w:pPr>
            <w:r>
              <w:rPr>
                <w:b/>
                <w:sz w:val="21"/>
              </w:rPr>
              <w:t>4.1</w:t>
            </w:r>
          </w:p>
        </w:tc>
        <w:tc>
          <w:tcPr>
            <w:tcW w:w="1435" w:type="dxa"/>
            <w:tcBorders>
              <w:top w:val="single" w:sz="4" w:space="0" w:color="000000"/>
            </w:tcBorders>
          </w:tcPr>
          <w:p>
            <w:pPr>
              <w:pStyle w:val="TableParagraph"/>
              <w:spacing w:line="326" w:lineRule="auto" w:before="161"/>
              <w:ind w:left="198" w:right="178"/>
              <w:rPr>
                <w:b/>
                <w:sz w:val="21"/>
              </w:rPr>
            </w:pPr>
            <w:r>
              <w:rPr>
                <w:b/>
                <w:sz w:val="21"/>
              </w:rPr>
              <w:t>保险费的交纳</w:t>
            </w:r>
          </w:p>
        </w:tc>
        <w:tc>
          <w:tcPr>
            <w:tcW w:w="7814" w:type="dxa"/>
            <w:tcBorders>
              <w:top w:val="single" w:sz="4" w:space="0" w:color="000000"/>
            </w:tcBorders>
          </w:tcPr>
          <w:p>
            <w:pPr>
              <w:pStyle w:val="TableParagraph"/>
              <w:spacing w:line="273" w:lineRule="auto" w:before="130"/>
              <w:ind w:left="182" w:right="99"/>
              <w:jc w:val="both"/>
              <w:rPr>
                <w:sz w:val="21"/>
              </w:rPr>
            </w:pPr>
            <w:r>
              <w:rPr>
                <w:spacing w:val="-4"/>
                <w:sz w:val="21"/>
              </w:rPr>
              <w:t>本合同的保险费采取一次性交付、分期交付两种方式，可选择的分期交付期限为 </w:t>
            </w:r>
            <w:r>
              <w:rPr>
                <w:sz w:val="21"/>
              </w:rPr>
              <w:t>5 </w:t>
            </w:r>
            <w:r>
              <w:rPr>
                <w:spacing w:val="-5"/>
                <w:sz w:val="21"/>
              </w:rPr>
              <w:t>年、</w:t>
            </w:r>
            <w:r>
              <w:rPr>
                <w:sz w:val="21"/>
              </w:rPr>
              <w:t>10</w:t>
            </w:r>
            <w:r>
              <w:rPr>
                <w:spacing w:val="-19"/>
                <w:sz w:val="21"/>
              </w:rPr>
              <w:t> 年、</w:t>
            </w:r>
            <w:r>
              <w:rPr>
                <w:sz w:val="21"/>
              </w:rPr>
              <w:t>15</w:t>
            </w:r>
            <w:r>
              <w:rPr>
                <w:spacing w:val="-23"/>
                <w:sz w:val="21"/>
              </w:rPr>
              <w:t> 年和 </w:t>
            </w:r>
            <w:r>
              <w:rPr>
                <w:sz w:val="21"/>
              </w:rPr>
              <w:t>20</w:t>
            </w:r>
            <w:r>
              <w:rPr>
                <w:spacing w:val="-10"/>
                <w:sz w:val="21"/>
              </w:rPr>
              <w:t> 年，按照本公司的相关规定，由投保人和本公司约定并在保</w:t>
            </w:r>
            <w:r>
              <w:rPr>
                <w:spacing w:val="-5"/>
                <w:sz w:val="21"/>
              </w:rPr>
              <w:t>险单上载明。</w:t>
            </w:r>
          </w:p>
          <w:p>
            <w:pPr>
              <w:pStyle w:val="TableParagraph"/>
              <w:spacing w:line="340" w:lineRule="atLeast" w:before="112"/>
              <w:ind w:left="182" w:right="99"/>
              <w:jc w:val="both"/>
              <w:rPr>
                <w:sz w:val="21"/>
              </w:rPr>
            </w:pPr>
            <w:r>
              <w:rPr>
                <w:spacing w:val="-5"/>
                <w:sz w:val="21"/>
              </w:rPr>
              <w:t>分期交付保险费的，在交纳首期保险费后，投保人应当在每个保险费应交日交纳其</w:t>
            </w:r>
            <w:r>
              <w:rPr>
                <w:spacing w:val="-4"/>
                <w:sz w:val="21"/>
              </w:rPr>
              <w:t>余各期的保险费。</w:t>
            </w:r>
          </w:p>
        </w:tc>
      </w:tr>
      <w:tr>
        <w:trPr>
          <w:trHeight w:val="1906" w:hRule="atLeast"/>
        </w:trPr>
        <w:tc>
          <w:tcPr>
            <w:tcW w:w="625" w:type="dxa"/>
          </w:tcPr>
          <w:p>
            <w:pPr>
              <w:pStyle w:val="TableParagraph"/>
              <w:spacing w:before="20"/>
              <w:ind w:left="110"/>
              <w:rPr>
                <w:b/>
                <w:sz w:val="21"/>
              </w:rPr>
            </w:pPr>
            <w:r>
              <w:rPr>
                <w:b/>
                <w:sz w:val="21"/>
              </w:rPr>
              <w:t>4.2</w:t>
            </w:r>
          </w:p>
        </w:tc>
        <w:tc>
          <w:tcPr>
            <w:tcW w:w="1435" w:type="dxa"/>
          </w:tcPr>
          <w:p>
            <w:pPr>
              <w:pStyle w:val="TableParagraph"/>
              <w:spacing w:before="20"/>
              <w:ind w:left="198"/>
              <w:rPr>
                <w:b/>
                <w:sz w:val="21"/>
              </w:rPr>
            </w:pPr>
            <w:r>
              <w:rPr>
                <w:b/>
                <w:sz w:val="21"/>
              </w:rPr>
              <w:t>宽限期</w:t>
            </w:r>
          </w:p>
        </w:tc>
        <w:tc>
          <w:tcPr>
            <w:tcW w:w="7814" w:type="dxa"/>
          </w:tcPr>
          <w:p>
            <w:pPr>
              <w:pStyle w:val="TableParagraph"/>
              <w:spacing w:line="273" w:lineRule="auto"/>
              <w:ind w:left="182" w:right="-15"/>
              <w:rPr>
                <w:rFonts w:ascii="黑体" w:eastAsia="黑体" w:hint="eastAsia"/>
                <w:sz w:val="21"/>
              </w:rPr>
            </w:pPr>
            <w:r>
              <w:rPr>
                <w:spacing w:val="-6"/>
                <w:sz w:val="21"/>
              </w:rPr>
              <w:t>分期交付保险费的，投保人支付首期保险费后，除本合同另有约定外，如果投保人到期未交纳保险费，自保险费应交日的次日起 </w:t>
            </w:r>
            <w:r>
              <w:rPr>
                <w:sz w:val="21"/>
              </w:rPr>
              <w:t>60</w:t>
            </w:r>
            <w:r>
              <w:rPr>
                <w:spacing w:val="-9"/>
                <w:sz w:val="21"/>
              </w:rPr>
              <w:t> 日为宽限期。</w:t>
            </w:r>
            <w:r>
              <w:rPr>
                <w:rFonts w:ascii="黑体" w:eastAsia="黑体" w:hint="eastAsia"/>
                <w:spacing w:val="-3"/>
                <w:sz w:val="21"/>
              </w:rPr>
              <w:t>宽限期内发</w:t>
            </w:r>
            <w:r>
              <w:rPr>
                <w:rFonts w:ascii="黑体" w:eastAsia="黑体" w:hint="eastAsia"/>
                <w:sz w:val="21"/>
              </w:rPr>
              <w:t>Th的保险</w:t>
            </w:r>
            <w:r>
              <w:rPr>
                <w:rFonts w:ascii="黑体" w:eastAsia="黑体" w:hint="eastAsia"/>
                <w:spacing w:val="-15"/>
                <w:sz w:val="21"/>
              </w:rPr>
              <w:t>事故，本公司仍会承担保险责任，但在给付保险金时会扣除投保人欠交的保险费。</w:t>
            </w:r>
          </w:p>
          <w:p>
            <w:pPr>
              <w:pStyle w:val="TableParagraph"/>
              <w:spacing w:before="6"/>
              <w:ind w:left="0"/>
              <w:rPr>
                <w:rFonts w:ascii="黑体"/>
                <w:sz w:val="14"/>
              </w:rPr>
            </w:pPr>
          </w:p>
          <w:p>
            <w:pPr>
              <w:pStyle w:val="TableParagraph"/>
              <w:spacing w:line="300" w:lineRule="auto"/>
              <w:ind w:left="182" w:right="58"/>
              <w:rPr>
                <w:sz w:val="21"/>
              </w:rPr>
            </w:pPr>
            <w:r>
              <w:rPr>
                <w:sz w:val="21"/>
              </w:rPr>
              <w:t>如果宽限期结束之后投保人仍未交纳保险费，则本合同自宽限期满的次日零时起中止，但本合同另有约定的除外。</w:t>
            </w:r>
          </w:p>
        </w:tc>
      </w:tr>
      <w:tr>
        <w:trPr>
          <w:trHeight w:val="659" w:hRule="atLeast"/>
        </w:trPr>
        <w:tc>
          <w:tcPr>
            <w:tcW w:w="625" w:type="dxa"/>
            <w:tcBorders>
              <w:bottom w:val="single" w:sz="4" w:space="0" w:color="000000"/>
            </w:tcBorders>
          </w:tcPr>
          <w:p>
            <w:pPr>
              <w:pStyle w:val="TableParagraph"/>
              <w:spacing w:before="81"/>
              <w:ind w:left="148"/>
              <w:rPr>
                <w:b/>
                <w:sz w:val="32"/>
              </w:rPr>
            </w:pPr>
            <w:r>
              <w:rPr>
                <w:b/>
                <w:w w:val="98"/>
                <w:sz w:val="32"/>
              </w:rPr>
              <w:t>5</w:t>
            </w:r>
          </w:p>
        </w:tc>
        <w:tc>
          <w:tcPr>
            <w:tcW w:w="9249" w:type="dxa"/>
            <w:gridSpan w:val="2"/>
            <w:tcBorders>
              <w:bottom w:val="single" w:sz="4" w:space="0" w:color="000000"/>
            </w:tcBorders>
          </w:tcPr>
          <w:p>
            <w:pPr>
              <w:pStyle w:val="TableParagraph"/>
              <w:spacing w:before="148"/>
              <w:ind w:left="198"/>
              <w:rPr>
                <w:b/>
                <w:sz w:val="24"/>
              </w:rPr>
            </w:pPr>
            <w:r>
              <w:rPr>
                <w:b/>
                <w:w w:val="95"/>
                <w:sz w:val="24"/>
              </w:rPr>
              <w:t>现金价值权益</w:t>
            </w:r>
          </w:p>
        </w:tc>
      </w:tr>
      <w:tr>
        <w:trPr>
          <w:trHeight w:val="1326" w:hRule="atLeast"/>
        </w:trPr>
        <w:tc>
          <w:tcPr>
            <w:tcW w:w="625" w:type="dxa"/>
            <w:tcBorders>
              <w:top w:val="single" w:sz="4" w:space="0" w:color="000000"/>
            </w:tcBorders>
          </w:tcPr>
          <w:p>
            <w:pPr>
              <w:pStyle w:val="TableParagraph"/>
              <w:spacing w:line="256" w:lineRule="exact"/>
              <w:ind w:left="110"/>
              <w:rPr>
                <w:b/>
                <w:sz w:val="21"/>
              </w:rPr>
            </w:pPr>
            <w:r>
              <w:rPr>
                <w:b/>
                <w:sz w:val="21"/>
              </w:rPr>
              <w:t>5.1</w:t>
            </w:r>
          </w:p>
        </w:tc>
        <w:tc>
          <w:tcPr>
            <w:tcW w:w="1435" w:type="dxa"/>
            <w:tcBorders>
              <w:top w:val="single" w:sz="4" w:space="0" w:color="000000"/>
            </w:tcBorders>
          </w:tcPr>
          <w:p>
            <w:pPr>
              <w:pStyle w:val="TableParagraph"/>
              <w:spacing w:line="256" w:lineRule="exact"/>
              <w:ind w:left="198"/>
              <w:rPr>
                <w:b/>
                <w:sz w:val="21"/>
              </w:rPr>
            </w:pPr>
            <w:r>
              <w:rPr>
                <w:b/>
                <w:sz w:val="21"/>
              </w:rPr>
              <w:t>现金价值</w:t>
            </w:r>
          </w:p>
        </w:tc>
        <w:tc>
          <w:tcPr>
            <w:tcW w:w="7814" w:type="dxa"/>
            <w:tcBorders>
              <w:top w:val="single" w:sz="4" w:space="0" w:color="000000"/>
            </w:tcBorders>
          </w:tcPr>
          <w:p>
            <w:pPr>
              <w:pStyle w:val="TableParagraph"/>
              <w:spacing w:line="256" w:lineRule="exact"/>
              <w:ind w:left="182"/>
              <w:rPr>
                <w:sz w:val="21"/>
              </w:rPr>
            </w:pPr>
            <w:r>
              <w:rPr>
                <w:sz w:val="21"/>
              </w:rPr>
              <w:t>指保险单所具有的价值，通常体现为解除保险合同时，根据精算原理计算的，由本</w:t>
            </w:r>
          </w:p>
          <w:p>
            <w:pPr>
              <w:pStyle w:val="TableParagraph"/>
              <w:spacing w:line="273" w:lineRule="auto" w:before="37"/>
              <w:ind w:left="182" w:right="99"/>
              <w:jc w:val="both"/>
              <w:rPr>
                <w:sz w:val="21"/>
              </w:rPr>
            </w:pPr>
            <w:r>
              <w:rPr>
                <w:spacing w:val="-6"/>
                <w:sz w:val="21"/>
              </w:rPr>
              <w:t>公司向投保人退还的那部分金额。本合同保单年度末基本保险金额对应的现金价值</w:t>
            </w:r>
            <w:r>
              <w:rPr>
                <w:spacing w:val="-7"/>
                <w:sz w:val="21"/>
              </w:rPr>
              <w:t>会在保险单或批注上载明。保单年度中现金价值的金额基于保单年度末现金价值的</w:t>
            </w:r>
            <w:r>
              <w:rPr>
                <w:spacing w:val="-5"/>
                <w:sz w:val="21"/>
              </w:rPr>
              <w:t>金额根据合理的方法计算而得，投保人可以向本公司咨询。</w:t>
            </w:r>
          </w:p>
        </w:tc>
      </w:tr>
      <w:tr>
        <w:trPr>
          <w:trHeight w:val="1275" w:hRule="atLeast"/>
        </w:trPr>
        <w:tc>
          <w:tcPr>
            <w:tcW w:w="625" w:type="dxa"/>
          </w:tcPr>
          <w:p>
            <w:pPr>
              <w:pStyle w:val="TableParagraph"/>
              <w:spacing w:before="59"/>
              <w:ind w:left="110"/>
              <w:rPr>
                <w:b/>
                <w:sz w:val="21"/>
              </w:rPr>
            </w:pPr>
            <w:r>
              <w:rPr>
                <w:b/>
                <w:sz w:val="21"/>
              </w:rPr>
              <w:t>5.2</w:t>
            </w:r>
          </w:p>
        </w:tc>
        <w:tc>
          <w:tcPr>
            <w:tcW w:w="1435" w:type="dxa"/>
          </w:tcPr>
          <w:p>
            <w:pPr>
              <w:pStyle w:val="TableParagraph"/>
              <w:spacing w:before="59"/>
              <w:ind w:left="198"/>
              <w:rPr>
                <w:b/>
                <w:sz w:val="21"/>
              </w:rPr>
            </w:pPr>
            <w:r>
              <w:rPr>
                <w:b/>
                <w:sz w:val="21"/>
              </w:rPr>
              <w:t>保单贷款</w:t>
            </w:r>
          </w:p>
        </w:tc>
        <w:tc>
          <w:tcPr>
            <w:tcW w:w="7814" w:type="dxa"/>
          </w:tcPr>
          <w:p>
            <w:pPr>
              <w:pStyle w:val="TableParagraph"/>
              <w:spacing w:line="310" w:lineRule="atLeast" w:before="23"/>
              <w:ind w:left="182" w:right="99"/>
              <w:jc w:val="both"/>
              <w:rPr>
                <w:sz w:val="21"/>
              </w:rPr>
            </w:pPr>
            <w:r>
              <w:rPr>
                <w:spacing w:val="-6"/>
                <w:sz w:val="21"/>
              </w:rPr>
              <w:t>在本合同有效期内且在犹豫期之后，如果本合同具有现金价值，经被保险人书面同</w:t>
            </w:r>
            <w:r>
              <w:rPr>
                <w:spacing w:val="-7"/>
                <w:sz w:val="21"/>
              </w:rPr>
              <w:t>意，投保人可以向本公司申请贷款，经本公司同意后投保人可办理保单贷款。保单</w:t>
            </w:r>
            <w:r>
              <w:rPr>
                <w:spacing w:val="-5"/>
                <w:sz w:val="21"/>
              </w:rPr>
              <w:t>贷款的最高金额不超过本合同当时所具有的</w:t>
            </w:r>
            <w:r>
              <w:rPr>
                <w:b/>
                <w:sz w:val="21"/>
              </w:rPr>
              <w:t>现金价值净额</w:t>
            </w:r>
            <w:r>
              <w:rPr>
                <w:sz w:val="21"/>
              </w:rPr>
              <w:t>（</w:t>
            </w:r>
            <w:r>
              <w:rPr>
                <w:spacing w:val="-5"/>
                <w:sz w:val="21"/>
              </w:rPr>
              <w:t>见 </w:t>
            </w:r>
            <w:r>
              <w:rPr>
                <w:sz w:val="21"/>
              </w:rPr>
              <w:t>9.29）</w:t>
            </w:r>
            <w:r>
              <w:rPr>
                <w:spacing w:val="-5"/>
                <w:sz w:val="21"/>
              </w:rPr>
              <w:t>的 </w:t>
            </w:r>
            <w:r>
              <w:rPr>
                <w:sz w:val="21"/>
              </w:rPr>
              <w:t>80％，具</w:t>
            </w:r>
            <w:r>
              <w:rPr>
                <w:spacing w:val="-7"/>
                <w:sz w:val="21"/>
              </w:rPr>
              <w:t>体额度需经本公司审批。每次贷款期限最长不超过 </w:t>
            </w:r>
            <w:r>
              <w:rPr>
                <w:sz w:val="21"/>
              </w:rPr>
              <w:t>6</w:t>
            </w:r>
            <w:r>
              <w:rPr>
                <w:spacing w:val="-9"/>
                <w:sz w:val="21"/>
              </w:rPr>
              <w:t> 个月，贷款利率根据投保人与</w:t>
            </w:r>
          </w:p>
        </w:tc>
      </w:tr>
    </w:tbl>
    <w:p>
      <w:pPr>
        <w:spacing w:after="0" w:line="310" w:lineRule="atLeast"/>
        <w:jc w:val="both"/>
        <w:rPr>
          <w:sz w:val="21"/>
        </w:rPr>
        <w:sectPr>
          <w:pgSz w:w="11910" w:h="16840"/>
          <w:pgMar w:header="0" w:footer="377" w:top="1340" w:bottom="560" w:left="900" w:right="9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1435"/>
        <w:gridCol w:w="7812"/>
      </w:tblGrid>
      <w:tr>
        <w:trPr>
          <w:trHeight w:val="2729" w:hRule="atLeast"/>
        </w:trPr>
        <w:tc>
          <w:tcPr>
            <w:tcW w:w="626" w:type="dxa"/>
          </w:tcPr>
          <w:p>
            <w:pPr>
              <w:pStyle w:val="TableParagraph"/>
              <w:ind w:left="0"/>
              <w:rPr>
                <w:rFonts w:ascii="Times New Roman"/>
                <w:sz w:val="20"/>
              </w:rPr>
            </w:pPr>
          </w:p>
        </w:tc>
        <w:tc>
          <w:tcPr>
            <w:tcW w:w="1435" w:type="dxa"/>
          </w:tcPr>
          <w:p>
            <w:pPr>
              <w:pStyle w:val="TableParagraph"/>
              <w:ind w:left="0"/>
              <w:rPr>
                <w:rFonts w:ascii="Times New Roman"/>
                <w:sz w:val="20"/>
              </w:rPr>
            </w:pPr>
          </w:p>
        </w:tc>
        <w:tc>
          <w:tcPr>
            <w:tcW w:w="7812" w:type="dxa"/>
          </w:tcPr>
          <w:p>
            <w:pPr>
              <w:pStyle w:val="TableParagraph"/>
              <w:spacing w:line="205" w:lineRule="exact"/>
              <w:ind w:left="181"/>
              <w:rPr>
                <w:sz w:val="21"/>
              </w:rPr>
            </w:pPr>
            <w:r>
              <w:rPr>
                <w:sz w:val="21"/>
              </w:rPr>
              <w:t>本公司的约定执行。</w:t>
            </w:r>
          </w:p>
          <w:p>
            <w:pPr>
              <w:pStyle w:val="TableParagraph"/>
              <w:spacing w:before="9"/>
              <w:ind w:left="0"/>
              <w:rPr>
                <w:rFonts w:ascii="黑体"/>
                <w:sz w:val="14"/>
              </w:rPr>
            </w:pPr>
          </w:p>
          <w:p>
            <w:pPr>
              <w:pStyle w:val="TableParagraph"/>
              <w:spacing w:line="273" w:lineRule="auto" w:before="1"/>
              <w:ind w:left="181" w:right="98"/>
              <w:jc w:val="both"/>
              <w:rPr>
                <w:sz w:val="21"/>
              </w:rPr>
            </w:pPr>
            <w:r>
              <w:rPr>
                <w:spacing w:val="-6"/>
                <w:sz w:val="21"/>
              </w:rPr>
              <w:t>保单贷款期满时，如果投保人未能全部偿还贷款本金及利息，且本合同的现金价值</w:t>
            </w:r>
            <w:r>
              <w:rPr>
                <w:spacing w:val="-8"/>
                <w:sz w:val="21"/>
              </w:rPr>
              <w:t>净额大于零，未偿还的贷款本金及利息将构成新一期的保单贷款，贷款期限为 </w:t>
            </w:r>
            <w:r>
              <w:rPr>
                <w:sz w:val="21"/>
              </w:rPr>
              <w:t>6</w:t>
            </w:r>
            <w:r>
              <w:rPr>
                <w:spacing w:val="-18"/>
                <w:sz w:val="21"/>
              </w:rPr>
              <w:t> 个</w:t>
            </w:r>
            <w:r>
              <w:rPr>
                <w:spacing w:val="-3"/>
                <w:sz w:val="21"/>
              </w:rPr>
              <w:t>月，并按贷款利率计息。</w:t>
            </w:r>
          </w:p>
          <w:p>
            <w:pPr>
              <w:pStyle w:val="TableParagraph"/>
              <w:spacing w:before="164"/>
              <w:ind w:left="181"/>
              <w:rPr>
                <w:sz w:val="21"/>
              </w:rPr>
            </w:pPr>
            <w:r>
              <w:rPr>
                <w:sz w:val="21"/>
              </w:rPr>
              <w:t>当本合同的现金价值净额小于或等于零时，本合同的效力中止。</w:t>
            </w:r>
          </w:p>
          <w:p>
            <w:pPr>
              <w:pStyle w:val="TableParagraph"/>
              <w:spacing w:before="10"/>
              <w:ind w:left="0"/>
              <w:rPr>
                <w:rFonts w:ascii="黑体"/>
                <w:sz w:val="14"/>
              </w:rPr>
            </w:pPr>
          </w:p>
          <w:p>
            <w:pPr>
              <w:pStyle w:val="TableParagraph"/>
              <w:spacing w:line="273" w:lineRule="auto"/>
              <w:ind w:left="181" w:right="57"/>
              <w:rPr>
                <w:sz w:val="21"/>
              </w:rPr>
            </w:pPr>
            <w:r>
              <w:rPr>
                <w:sz w:val="21"/>
              </w:rPr>
              <w:t>保单贷款须填写保单贷款申请书及其他相关文件，并凭保险合同、交费凭证及投保人的法定身份证明办理。</w:t>
            </w:r>
          </w:p>
        </w:tc>
      </w:tr>
      <w:tr>
        <w:trPr>
          <w:trHeight w:val="651" w:hRule="atLeast"/>
        </w:trPr>
        <w:tc>
          <w:tcPr>
            <w:tcW w:w="626" w:type="dxa"/>
            <w:tcBorders>
              <w:bottom w:val="single" w:sz="4" w:space="0" w:color="000000"/>
            </w:tcBorders>
          </w:tcPr>
          <w:p>
            <w:pPr>
              <w:pStyle w:val="TableParagraph"/>
              <w:spacing w:before="72"/>
              <w:ind w:left="148"/>
              <w:rPr>
                <w:b/>
                <w:sz w:val="32"/>
              </w:rPr>
            </w:pPr>
            <w:r>
              <w:rPr>
                <w:b/>
                <w:w w:val="98"/>
                <w:sz w:val="32"/>
              </w:rPr>
              <w:t>6</w:t>
            </w:r>
          </w:p>
        </w:tc>
        <w:tc>
          <w:tcPr>
            <w:tcW w:w="9247" w:type="dxa"/>
            <w:gridSpan w:val="2"/>
            <w:tcBorders>
              <w:bottom w:val="single" w:sz="4" w:space="0" w:color="000000"/>
            </w:tcBorders>
          </w:tcPr>
          <w:p>
            <w:pPr>
              <w:pStyle w:val="TableParagraph"/>
              <w:spacing w:before="137"/>
              <w:ind w:left="197"/>
              <w:rPr>
                <w:b/>
                <w:sz w:val="24"/>
              </w:rPr>
            </w:pPr>
            <w:r>
              <w:rPr>
                <w:b/>
                <w:w w:val="95"/>
                <w:sz w:val="24"/>
              </w:rPr>
              <w:t>合同效力的中止及恢复</w:t>
            </w:r>
          </w:p>
        </w:tc>
      </w:tr>
      <w:tr>
        <w:trPr>
          <w:trHeight w:val="542" w:hRule="atLeast"/>
        </w:trPr>
        <w:tc>
          <w:tcPr>
            <w:tcW w:w="626" w:type="dxa"/>
            <w:tcBorders>
              <w:top w:val="single" w:sz="4" w:space="0" w:color="000000"/>
            </w:tcBorders>
          </w:tcPr>
          <w:p>
            <w:pPr>
              <w:pStyle w:val="TableParagraph"/>
              <w:spacing w:before="131"/>
              <w:ind w:left="110"/>
              <w:rPr>
                <w:b/>
                <w:sz w:val="21"/>
              </w:rPr>
            </w:pPr>
            <w:r>
              <w:rPr>
                <w:b/>
                <w:sz w:val="21"/>
              </w:rPr>
              <w:t>6.1</w:t>
            </w:r>
          </w:p>
        </w:tc>
        <w:tc>
          <w:tcPr>
            <w:tcW w:w="1435" w:type="dxa"/>
            <w:tcBorders>
              <w:top w:val="single" w:sz="4" w:space="0" w:color="000000"/>
            </w:tcBorders>
          </w:tcPr>
          <w:p>
            <w:pPr>
              <w:pStyle w:val="TableParagraph"/>
              <w:spacing w:before="131"/>
              <w:ind w:left="197"/>
              <w:rPr>
                <w:b/>
                <w:sz w:val="21"/>
              </w:rPr>
            </w:pPr>
            <w:r>
              <w:rPr>
                <w:b/>
                <w:sz w:val="21"/>
              </w:rPr>
              <w:t>效力中止</w:t>
            </w:r>
          </w:p>
        </w:tc>
        <w:tc>
          <w:tcPr>
            <w:tcW w:w="7812" w:type="dxa"/>
            <w:tcBorders>
              <w:top w:val="single" w:sz="4" w:space="0" w:color="000000"/>
            </w:tcBorders>
          </w:tcPr>
          <w:p>
            <w:pPr>
              <w:pStyle w:val="TableParagraph"/>
              <w:spacing w:before="131"/>
              <w:ind w:left="181"/>
              <w:rPr>
                <w:rFonts w:ascii="黑体" w:eastAsia="黑体" w:hint="eastAsia"/>
                <w:sz w:val="21"/>
              </w:rPr>
            </w:pPr>
            <w:r>
              <w:rPr>
                <w:rFonts w:ascii="黑体" w:eastAsia="黑体" w:hint="eastAsia"/>
                <w:sz w:val="21"/>
              </w:rPr>
              <w:t>在本合同效力中止期间，本公司不负保险责任。</w:t>
            </w:r>
          </w:p>
        </w:tc>
      </w:tr>
      <w:tr>
        <w:trPr>
          <w:trHeight w:val="3484" w:hRule="atLeast"/>
        </w:trPr>
        <w:tc>
          <w:tcPr>
            <w:tcW w:w="626" w:type="dxa"/>
          </w:tcPr>
          <w:p>
            <w:pPr>
              <w:pStyle w:val="TableParagraph"/>
              <w:spacing w:before="61"/>
              <w:ind w:left="110"/>
              <w:rPr>
                <w:b/>
                <w:sz w:val="21"/>
              </w:rPr>
            </w:pPr>
            <w:r>
              <w:rPr>
                <w:b/>
                <w:sz w:val="21"/>
              </w:rPr>
              <w:t>6.2</w:t>
            </w:r>
          </w:p>
        </w:tc>
        <w:tc>
          <w:tcPr>
            <w:tcW w:w="1435" w:type="dxa"/>
          </w:tcPr>
          <w:p>
            <w:pPr>
              <w:pStyle w:val="TableParagraph"/>
              <w:spacing w:before="61"/>
              <w:ind w:left="197"/>
              <w:rPr>
                <w:b/>
                <w:sz w:val="21"/>
              </w:rPr>
            </w:pPr>
            <w:r>
              <w:rPr>
                <w:b/>
                <w:sz w:val="21"/>
              </w:rPr>
              <w:t>效力恢复</w:t>
            </w:r>
          </w:p>
        </w:tc>
        <w:tc>
          <w:tcPr>
            <w:tcW w:w="7812" w:type="dxa"/>
          </w:tcPr>
          <w:p>
            <w:pPr>
              <w:pStyle w:val="TableParagraph"/>
              <w:spacing w:before="61"/>
              <w:ind w:left="181"/>
              <w:rPr>
                <w:sz w:val="21"/>
              </w:rPr>
            </w:pPr>
            <w:r>
              <w:rPr>
                <w:sz w:val="21"/>
              </w:rPr>
              <w:t>本合同效力中止后 2 年内，投保人可以申请恢复合同效力。</w:t>
            </w:r>
          </w:p>
          <w:p>
            <w:pPr>
              <w:pStyle w:val="TableParagraph"/>
              <w:spacing w:before="9"/>
              <w:ind w:left="0"/>
              <w:rPr>
                <w:rFonts w:ascii="黑体"/>
                <w:sz w:val="14"/>
              </w:rPr>
            </w:pPr>
          </w:p>
          <w:p>
            <w:pPr>
              <w:pStyle w:val="TableParagraph"/>
              <w:spacing w:line="273" w:lineRule="auto" w:before="1"/>
              <w:ind w:left="181" w:right="99"/>
              <w:jc w:val="both"/>
              <w:rPr>
                <w:sz w:val="21"/>
              </w:rPr>
            </w:pPr>
            <w:r>
              <w:rPr>
                <w:spacing w:val="-6"/>
                <w:sz w:val="21"/>
              </w:rPr>
              <w:t>因欠交保险费导致本合同效力中止的，经本公司与投保人协商并达成协议，在投保</w:t>
            </w:r>
            <w:r>
              <w:rPr>
                <w:spacing w:val="-7"/>
                <w:sz w:val="21"/>
              </w:rPr>
              <w:t>人补交保险费及累积利息次日零时起，本合同效力恢复。累积利息按本合同约定利</w:t>
            </w:r>
            <w:r>
              <w:rPr>
                <w:spacing w:val="-5"/>
                <w:sz w:val="21"/>
              </w:rPr>
              <w:t>率计算，但本合同另有约定的除外。</w:t>
            </w:r>
          </w:p>
          <w:p>
            <w:pPr>
              <w:pStyle w:val="TableParagraph"/>
              <w:spacing w:line="273" w:lineRule="auto" w:before="164"/>
              <w:ind w:left="181" w:right="99"/>
              <w:jc w:val="both"/>
              <w:rPr>
                <w:sz w:val="21"/>
              </w:rPr>
            </w:pPr>
            <w:r>
              <w:rPr>
                <w:spacing w:val="-6"/>
                <w:sz w:val="21"/>
              </w:rPr>
              <w:t>因保单贷款导致本合同效力中止的，经本公司与投保人协商并达成协议，在投保人</w:t>
            </w:r>
            <w:r>
              <w:rPr>
                <w:spacing w:val="-8"/>
                <w:sz w:val="21"/>
              </w:rPr>
              <w:t>偿还保单贷款、累积利息及其他未还款项次日零时起，本合同效力恢复。累积利息</w:t>
            </w:r>
            <w:r>
              <w:rPr>
                <w:spacing w:val="-5"/>
                <w:sz w:val="21"/>
              </w:rPr>
              <w:t>按本合同约定利率计算，但本合同另有约定的除外。</w:t>
            </w:r>
          </w:p>
          <w:p>
            <w:pPr>
              <w:pStyle w:val="TableParagraph"/>
              <w:spacing w:line="273" w:lineRule="auto" w:before="164"/>
              <w:ind w:left="181" w:right="101"/>
              <w:jc w:val="both"/>
              <w:rPr>
                <w:sz w:val="21"/>
              </w:rPr>
            </w:pPr>
            <w:r>
              <w:rPr>
                <w:spacing w:val="-6"/>
                <w:sz w:val="21"/>
              </w:rPr>
              <w:t>自合同效力中止之日起满 </w:t>
            </w:r>
            <w:r>
              <w:rPr>
                <w:sz w:val="21"/>
              </w:rPr>
              <w:t>2</w:t>
            </w:r>
            <w:r>
              <w:rPr>
                <w:spacing w:val="-10"/>
                <w:sz w:val="21"/>
              </w:rPr>
              <w:t> 年双方未达成协议的，本公司有权解除合同，并向投保</w:t>
            </w:r>
            <w:r>
              <w:rPr>
                <w:spacing w:val="-5"/>
                <w:sz w:val="21"/>
              </w:rPr>
              <w:t>人退还本合同的现金价值。</w:t>
            </w:r>
          </w:p>
        </w:tc>
      </w:tr>
      <w:tr>
        <w:trPr>
          <w:trHeight w:val="646" w:hRule="atLeast"/>
        </w:trPr>
        <w:tc>
          <w:tcPr>
            <w:tcW w:w="626" w:type="dxa"/>
            <w:tcBorders>
              <w:bottom w:val="single" w:sz="4" w:space="0" w:color="000000"/>
            </w:tcBorders>
          </w:tcPr>
          <w:p>
            <w:pPr>
              <w:pStyle w:val="TableParagraph"/>
              <w:spacing w:before="72"/>
              <w:ind w:left="148"/>
              <w:rPr>
                <w:b/>
                <w:sz w:val="32"/>
              </w:rPr>
            </w:pPr>
            <w:r>
              <w:rPr>
                <w:b/>
                <w:w w:val="98"/>
                <w:sz w:val="32"/>
              </w:rPr>
              <w:t>7</w:t>
            </w:r>
          </w:p>
        </w:tc>
        <w:tc>
          <w:tcPr>
            <w:tcW w:w="9247" w:type="dxa"/>
            <w:gridSpan w:val="2"/>
            <w:tcBorders>
              <w:bottom w:val="single" w:sz="4" w:space="0" w:color="000000"/>
            </w:tcBorders>
          </w:tcPr>
          <w:p>
            <w:pPr>
              <w:pStyle w:val="TableParagraph"/>
              <w:spacing w:before="137"/>
              <w:ind w:left="197"/>
              <w:rPr>
                <w:b/>
                <w:sz w:val="24"/>
              </w:rPr>
            </w:pPr>
            <w:r>
              <w:rPr>
                <w:b/>
                <w:w w:val="95"/>
                <w:sz w:val="24"/>
              </w:rPr>
              <w:t>如何解除保险合同</w:t>
            </w:r>
          </w:p>
        </w:tc>
      </w:tr>
      <w:tr>
        <w:trPr>
          <w:trHeight w:val="3373" w:hRule="atLeast"/>
        </w:trPr>
        <w:tc>
          <w:tcPr>
            <w:tcW w:w="626" w:type="dxa"/>
            <w:tcBorders>
              <w:top w:val="single" w:sz="4" w:space="0" w:color="000000"/>
            </w:tcBorders>
          </w:tcPr>
          <w:p>
            <w:pPr>
              <w:pStyle w:val="TableParagraph"/>
              <w:spacing w:before="132"/>
              <w:ind w:left="110"/>
              <w:rPr>
                <w:b/>
                <w:sz w:val="21"/>
              </w:rPr>
            </w:pPr>
            <w:r>
              <w:rPr>
                <w:b/>
                <w:sz w:val="21"/>
              </w:rPr>
              <w:t>7.1</w:t>
            </w:r>
          </w:p>
        </w:tc>
        <w:tc>
          <w:tcPr>
            <w:tcW w:w="1435" w:type="dxa"/>
            <w:tcBorders>
              <w:top w:val="single" w:sz="4" w:space="0" w:color="000000"/>
            </w:tcBorders>
          </w:tcPr>
          <w:p>
            <w:pPr>
              <w:pStyle w:val="TableParagraph"/>
              <w:spacing w:before="132"/>
              <w:ind w:left="197"/>
              <w:rPr>
                <w:b/>
                <w:sz w:val="21"/>
              </w:rPr>
            </w:pPr>
            <w:r>
              <w:rPr>
                <w:b/>
                <w:sz w:val="21"/>
              </w:rPr>
              <w:t>合同解除</w:t>
            </w:r>
          </w:p>
        </w:tc>
        <w:tc>
          <w:tcPr>
            <w:tcW w:w="7812" w:type="dxa"/>
            <w:tcBorders>
              <w:top w:val="single" w:sz="4" w:space="0" w:color="000000"/>
            </w:tcBorders>
          </w:tcPr>
          <w:p>
            <w:pPr>
              <w:pStyle w:val="TableParagraph"/>
              <w:spacing w:line="273" w:lineRule="auto" w:before="132"/>
              <w:ind w:left="181" w:right="99"/>
              <w:rPr>
                <w:sz w:val="21"/>
              </w:rPr>
            </w:pPr>
            <w:r>
              <w:rPr>
                <w:spacing w:val="-6"/>
                <w:sz w:val="21"/>
              </w:rPr>
              <w:t>投保人在犹豫期后，可以书面通知要求解除本合同，并向本公司提供下列证明和资料：</w:t>
            </w:r>
          </w:p>
          <w:p>
            <w:pPr>
              <w:pStyle w:val="TableParagraph"/>
              <w:numPr>
                <w:ilvl w:val="0"/>
                <w:numId w:val="16"/>
              </w:numPr>
              <w:tabs>
                <w:tab w:pos="758" w:val="left" w:leader="none"/>
              </w:tabs>
              <w:spacing w:line="240" w:lineRule="auto" w:before="7" w:after="0"/>
              <w:ind w:left="757" w:right="0" w:hanging="576"/>
              <w:jc w:val="left"/>
              <w:rPr>
                <w:sz w:val="21"/>
              </w:rPr>
            </w:pPr>
            <w:r>
              <w:rPr>
                <w:spacing w:val="-1"/>
                <w:sz w:val="21"/>
              </w:rPr>
              <w:t>保险合同；</w:t>
            </w:r>
          </w:p>
          <w:p>
            <w:pPr>
              <w:pStyle w:val="TableParagraph"/>
              <w:numPr>
                <w:ilvl w:val="0"/>
                <w:numId w:val="16"/>
              </w:numPr>
              <w:tabs>
                <w:tab w:pos="758" w:val="left" w:leader="none"/>
              </w:tabs>
              <w:spacing w:line="240" w:lineRule="auto" w:before="37" w:after="0"/>
              <w:ind w:left="757" w:right="0" w:hanging="576"/>
              <w:jc w:val="left"/>
              <w:rPr>
                <w:sz w:val="21"/>
              </w:rPr>
            </w:pPr>
            <w:r>
              <w:rPr>
                <w:spacing w:val="-3"/>
                <w:sz w:val="21"/>
              </w:rPr>
              <w:t>解除合同申请书；</w:t>
            </w:r>
          </w:p>
          <w:p>
            <w:pPr>
              <w:pStyle w:val="TableParagraph"/>
              <w:numPr>
                <w:ilvl w:val="0"/>
                <w:numId w:val="16"/>
              </w:numPr>
              <w:tabs>
                <w:tab w:pos="758" w:val="left" w:leader="none"/>
              </w:tabs>
              <w:spacing w:line="240" w:lineRule="auto" w:before="37" w:after="0"/>
              <w:ind w:left="757" w:right="0" w:hanging="576"/>
              <w:jc w:val="left"/>
              <w:rPr>
                <w:sz w:val="21"/>
              </w:rPr>
            </w:pPr>
            <w:r>
              <w:rPr>
                <w:spacing w:val="-3"/>
                <w:sz w:val="21"/>
              </w:rPr>
              <w:t>投保人的法定身份证明；</w:t>
            </w:r>
          </w:p>
          <w:p>
            <w:pPr>
              <w:pStyle w:val="TableParagraph"/>
              <w:numPr>
                <w:ilvl w:val="0"/>
                <w:numId w:val="16"/>
              </w:numPr>
              <w:tabs>
                <w:tab w:pos="758" w:val="left" w:leader="none"/>
              </w:tabs>
              <w:spacing w:line="240" w:lineRule="auto" w:before="37" w:after="0"/>
              <w:ind w:left="757" w:right="0" w:hanging="576"/>
              <w:jc w:val="left"/>
              <w:rPr>
                <w:sz w:val="21"/>
              </w:rPr>
            </w:pPr>
            <w:r>
              <w:rPr>
                <w:spacing w:val="-3"/>
                <w:sz w:val="21"/>
              </w:rPr>
              <w:t>本公司要求的其他证明和资料。</w:t>
            </w:r>
          </w:p>
          <w:p>
            <w:pPr>
              <w:pStyle w:val="TableParagraph"/>
              <w:spacing w:before="9"/>
              <w:ind w:left="0"/>
              <w:rPr>
                <w:rFonts w:ascii="黑体"/>
                <w:sz w:val="14"/>
              </w:rPr>
            </w:pPr>
          </w:p>
          <w:p>
            <w:pPr>
              <w:pStyle w:val="TableParagraph"/>
              <w:spacing w:line="273" w:lineRule="auto"/>
              <w:ind w:left="181" w:right="99"/>
              <w:rPr>
                <w:sz w:val="21"/>
              </w:rPr>
            </w:pPr>
            <w:r>
              <w:rPr>
                <w:spacing w:val="-6"/>
                <w:sz w:val="21"/>
              </w:rPr>
              <w:t>自本公司收到解除合同申请书之日起，本合同终止。本公司在收到上述证明和资料</w:t>
            </w:r>
            <w:r>
              <w:rPr>
                <w:spacing w:val="-14"/>
                <w:sz w:val="21"/>
              </w:rPr>
              <w:t>之日起 </w:t>
            </w:r>
            <w:r>
              <w:rPr>
                <w:sz w:val="21"/>
              </w:rPr>
              <w:t>30</w:t>
            </w:r>
            <w:r>
              <w:rPr>
                <w:spacing w:val="-8"/>
                <w:sz w:val="21"/>
              </w:rPr>
              <w:t> 日内退还本合同的现金价值。</w:t>
            </w:r>
          </w:p>
          <w:p>
            <w:pPr>
              <w:pStyle w:val="TableParagraph"/>
              <w:spacing w:before="163"/>
              <w:ind w:left="181"/>
              <w:rPr>
                <w:rFonts w:ascii="黑体" w:eastAsia="黑体" w:hint="eastAsia"/>
                <w:sz w:val="21"/>
              </w:rPr>
            </w:pPr>
            <w:r>
              <w:rPr>
                <w:rFonts w:ascii="黑体" w:eastAsia="黑体" w:hint="eastAsia"/>
                <w:sz w:val="21"/>
              </w:rPr>
              <w:t>投保人在犹豫期后解除合同会遭受一定的损失。</w:t>
            </w:r>
          </w:p>
        </w:tc>
      </w:tr>
      <w:tr>
        <w:trPr>
          <w:trHeight w:val="622" w:hRule="atLeast"/>
        </w:trPr>
        <w:tc>
          <w:tcPr>
            <w:tcW w:w="626" w:type="dxa"/>
            <w:tcBorders>
              <w:bottom w:val="single" w:sz="4" w:space="0" w:color="000000"/>
            </w:tcBorders>
          </w:tcPr>
          <w:p>
            <w:pPr>
              <w:pStyle w:val="TableParagraph"/>
              <w:spacing w:before="46"/>
              <w:ind w:left="148"/>
              <w:rPr>
                <w:b/>
                <w:sz w:val="32"/>
              </w:rPr>
            </w:pPr>
            <w:r>
              <w:rPr>
                <w:b/>
                <w:w w:val="98"/>
                <w:sz w:val="32"/>
              </w:rPr>
              <w:t>8</w:t>
            </w:r>
          </w:p>
        </w:tc>
        <w:tc>
          <w:tcPr>
            <w:tcW w:w="9247" w:type="dxa"/>
            <w:gridSpan w:val="2"/>
            <w:tcBorders>
              <w:bottom w:val="single" w:sz="4" w:space="0" w:color="000000"/>
            </w:tcBorders>
          </w:tcPr>
          <w:p>
            <w:pPr>
              <w:pStyle w:val="TableParagraph"/>
              <w:spacing w:before="111"/>
              <w:ind w:left="197"/>
              <w:rPr>
                <w:b/>
                <w:sz w:val="24"/>
              </w:rPr>
            </w:pPr>
            <w:r>
              <w:rPr>
                <w:b/>
                <w:sz w:val="24"/>
              </w:rPr>
              <w:t>其他需要关注的事项</w:t>
            </w:r>
          </w:p>
        </w:tc>
      </w:tr>
      <w:tr>
        <w:trPr>
          <w:trHeight w:val="2127" w:hRule="atLeast"/>
        </w:trPr>
        <w:tc>
          <w:tcPr>
            <w:tcW w:w="626" w:type="dxa"/>
            <w:tcBorders>
              <w:top w:val="single" w:sz="4" w:space="0" w:color="000000"/>
            </w:tcBorders>
          </w:tcPr>
          <w:p>
            <w:pPr>
              <w:pStyle w:val="TableParagraph"/>
              <w:spacing w:before="130"/>
              <w:ind w:left="110"/>
              <w:rPr>
                <w:b/>
                <w:sz w:val="21"/>
              </w:rPr>
            </w:pPr>
            <w:r>
              <w:rPr>
                <w:b/>
                <w:sz w:val="21"/>
              </w:rPr>
              <w:t>8.1</w:t>
            </w:r>
          </w:p>
        </w:tc>
        <w:tc>
          <w:tcPr>
            <w:tcW w:w="1435" w:type="dxa"/>
            <w:tcBorders>
              <w:top w:val="single" w:sz="4" w:space="0" w:color="000000"/>
            </w:tcBorders>
          </w:tcPr>
          <w:p>
            <w:pPr>
              <w:pStyle w:val="TableParagraph"/>
              <w:spacing w:line="273" w:lineRule="auto" w:before="130"/>
              <w:ind w:left="197" w:right="179"/>
              <w:rPr>
                <w:b/>
                <w:sz w:val="21"/>
              </w:rPr>
            </w:pPr>
            <w:r>
              <w:rPr>
                <w:b/>
                <w:sz w:val="21"/>
              </w:rPr>
              <w:t>明确说明与如实告知</w:t>
            </w:r>
          </w:p>
        </w:tc>
        <w:tc>
          <w:tcPr>
            <w:tcW w:w="7812" w:type="dxa"/>
            <w:tcBorders>
              <w:top w:val="single" w:sz="4" w:space="0" w:color="000000"/>
            </w:tcBorders>
          </w:tcPr>
          <w:p>
            <w:pPr>
              <w:pStyle w:val="TableParagraph"/>
              <w:spacing w:line="273" w:lineRule="auto" w:before="130"/>
              <w:ind w:left="181" w:right="98"/>
              <w:jc w:val="both"/>
              <w:rPr>
                <w:sz w:val="21"/>
              </w:rPr>
            </w:pPr>
            <w:r>
              <w:rPr>
                <w:spacing w:val="-5"/>
                <w:sz w:val="21"/>
              </w:rPr>
              <w:t>订立本合同时，本公司会向投保人明确说明本合同的内容。对本合同中免除本公司</w:t>
            </w:r>
            <w:r>
              <w:rPr>
                <w:spacing w:val="-7"/>
                <w:sz w:val="21"/>
              </w:rPr>
              <w:t>责任的条款，本公司在订立合同时会在投保单、保险单或者其他保险凭证上作出足</w:t>
            </w:r>
            <w:r>
              <w:rPr>
                <w:spacing w:val="-9"/>
                <w:sz w:val="21"/>
              </w:rPr>
              <w:t>以引起投保人注意的提示，并对该条款的内容以书面或者口头形式向投保人作出明确说明，未作提示或明确说明的，该条款不产生效力。本公司就投保人和被保险人</w:t>
            </w:r>
            <w:r>
              <w:rPr>
                <w:spacing w:val="-5"/>
                <w:sz w:val="21"/>
              </w:rPr>
              <w:t>的有关情况提出询问，投保人应当如实告知。</w:t>
            </w:r>
          </w:p>
          <w:p>
            <w:pPr>
              <w:pStyle w:val="TableParagraph"/>
              <w:spacing w:line="261" w:lineRule="exact" w:before="163"/>
              <w:ind w:left="181"/>
              <w:jc w:val="both"/>
              <w:rPr>
                <w:rFonts w:ascii="黑体" w:eastAsia="黑体" w:hint="eastAsia"/>
                <w:sz w:val="21"/>
              </w:rPr>
            </w:pPr>
            <w:r>
              <w:rPr>
                <w:rFonts w:ascii="黑体" w:eastAsia="黑体" w:hint="eastAsia"/>
                <w:sz w:val="21"/>
              </w:rPr>
              <w:t>投保人故意或者因重大过失未履行前款规定的如实告知义务，足以影响本公司决定</w:t>
            </w:r>
          </w:p>
        </w:tc>
      </w:tr>
    </w:tbl>
    <w:p>
      <w:pPr>
        <w:spacing w:after="0" w:line="261" w:lineRule="exact"/>
        <w:jc w:val="both"/>
        <w:rPr>
          <w:rFonts w:ascii="黑体" w:eastAsia="黑体" w:hint="eastAsia"/>
          <w:sz w:val="21"/>
        </w:rPr>
        <w:sectPr>
          <w:pgSz w:w="11910" w:h="16840"/>
          <w:pgMar w:header="0" w:footer="377" w:top="1340" w:bottom="560" w:left="900" w:right="90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1435"/>
        <w:gridCol w:w="7812"/>
      </w:tblGrid>
      <w:tr>
        <w:trPr>
          <w:trHeight w:val="3772" w:hRule="atLeast"/>
        </w:trPr>
        <w:tc>
          <w:tcPr>
            <w:tcW w:w="626" w:type="dxa"/>
          </w:tcPr>
          <w:p>
            <w:pPr>
              <w:pStyle w:val="TableParagraph"/>
              <w:ind w:left="0"/>
              <w:rPr>
                <w:rFonts w:ascii="Times New Roman"/>
                <w:sz w:val="20"/>
              </w:rPr>
            </w:pPr>
          </w:p>
        </w:tc>
        <w:tc>
          <w:tcPr>
            <w:tcW w:w="1435" w:type="dxa"/>
          </w:tcPr>
          <w:p>
            <w:pPr>
              <w:pStyle w:val="TableParagraph"/>
              <w:ind w:left="0"/>
              <w:rPr>
                <w:rFonts w:ascii="Times New Roman"/>
                <w:sz w:val="20"/>
              </w:rPr>
            </w:pPr>
          </w:p>
        </w:tc>
        <w:tc>
          <w:tcPr>
            <w:tcW w:w="7812" w:type="dxa"/>
          </w:tcPr>
          <w:p>
            <w:pPr>
              <w:pStyle w:val="TableParagraph"/>
              <w:spacing w:line="205" w:lineRule="exact"/>
              <w:ind w:left="181"/>
              <w:rPr>
                <w:rFonts w:ascii="黑体" w:eastAsia="黑体" w:hint="eastAsia"/>
                <w:sz w:val="21"/>
              </w:rPr>
            </w:pPr>
            <w:r>
              <w:rPr>
                <w:rFonts w:ascii="黑体" w:eastAsia="黑体" w:hint="eastAsia"/>
                <w:sz w:val="21"/>
              </w:rPr>
              <w:t>是否同意承保或者提高保险费率的，本公司有权解除本合同。</w:t>
            </w:r>
          </w:p>
          <w:p>
            <w:pPr>
              <w:pStyle w:val="TableParagraph"/>
              <w:spacing w:before="9"/>
              <w:ind w:left="0"/>
              <w:rPr>
                <w:rFonts w:ascii="黑体"/>
                <w:sz w:val="14"/>
              </w:rPr>
            </w:pPr>
          </w:p>
          <w:p>
            <w:pPr>
              <w:pStyle w:val="TableParagraph"/>
              <w:spacing w:before="1"/>
              <w:ind w:left="181"/>
              <w:rPr>
                <w:sz w:val="21"/>
              </w:rPr>
            </w:pPr>
            <w:r>
              <w:rPr>
                <w:sz w:val="21"/>
              </w:rPr>
              <w:t>前条规定的合同解除权，自本公司知道有解除事由之日起，超过 30 日不行使而消</w:t>
            </w:r>
          </w:p>
          <w:p>
            <w:pPr>
              <w:pStyle w:val="TableParagraph"/>
              <w:spacing w:line="273" w:lineRule="auto" w:before="37"/>
              <w:ind w:left="181" w:right="62"/>
              <w:rPr>
                <w:sz w:val="21"/>
              </w:rPr>
            </w:pPr>
            <w:r>
              <w:rPr>
                <w:spacing w:val="-6"/>
                <w:sz w:val="21"/>
              </w:rPr>
              <w:t>灭。自本合同成立之日起超过 </w:t>
            </w:r>
            <w:r>
              <w:rPr>
                <w:sz w:val="21"/>
              </w:rPr>
              <w:t>2</w:t>
            </w:r>
            <w:r>
              <w:rPr>
                <w:spacing w:val="-8"/>
                <w:sz w:val="21"/>
              </w:rPr>
              <w:t> 年的，本公司不得解除本合同；发生保险事故的， </w:t>
            </w:r>
            <w:r>
              <w:rPr>
                <w:spacing w:val="-5"/>
                <w:sz w:val="21"/>
              </w:rPr>
              <w:t>本公司承担给付保险金的责任。</w:t>
            </w:r>
          </w:p>
          <w:p>
            <w:pPr>
              <w:pStyle w:val="TableParagraph"/>
              <w:spacing w:line="273" w:lineRule="auto" w:before="163"/>
              <w:ind w:left="181" w:right="58"/>
              <w:rPr>
                <w:rFonts w:ascii="黑体" w:eastAsia="黑体" w:hint="eastAsia"/>
                <w:sz w:val="21"/>
              </w:rPr>
            </w:pPr>
            <w:r>
              <w:rPr>
                <w:rFonts w:ascii="黑体" w:eastAsia="黑体" w:hint="eastAsia"/>
                <w:sz w:val="21"/>
              </w:rPr>
              <w:t>投保人故意不履行如实告知义务的，本公司对于合同解除前发Th的保险事故，不承担给付保险金的责任，并不退还保险费。</w:t>
            </w:r>
          </w:p>
          <w:p>
            <w:pPr>
              <w:pStyle w:val="TableParagraph"/>
              <w:spacing w:line="273" w:lineRule="auto" w:before="163"/>
              <w:ind w:left="181" w:right="46"/>
              <w:rPr>
                <w:rFonts w:ascii="黑体" w:eastAsia="黑体" w:hint="eastAsia"/>
                <w:sz w:val="21"/>
              </w:rPr>
            </w:pPr>
            <w:r>
              <w:rPr>
                <w:rFonts w:ascii="黑体" w:eastAsia="黑体" w:hint="eastAsia"/>
                <w:sz w:val="21"/>
              </w:rPr>
              <w:t>投保人因重大过失未履行如实告知义务，对保险事故的发Th有严重影响的，本公司对于合同解除前发Th的保险事故，不承担给付保险金的责任，但退还保险费。</w:t>
            </w:r>
          </w:p>
          <w:p>
            <w:pPr>
              <w:pStyle w:val="TableParagraph"/>
              <w:spacing w:line="273" w:lineRule="auto" w:before="163"/>
              <w:ind w:left="181" w:right="57"/>
              <w:rPr>
                <w:sz w:val="21"/>
              </w:rPr>
            </w:pPr>
            <w:r>
              <w:rPr>
                <w:sz w:val="21"/>
              </w:rPr>
              <w:t>本公司在本合同订立时已经知道投保人未如实告知的情况的，本公司不得解除本合同；发生保险事故的，本公司承担给付保险金的责任。</w:t>
            </w:r>
          </w:p>
        </w:tc>
      </w:tr>
      <w:tr>
        <w:trPr>
          <w:trHeight w:val="3277" w:hRule="atLeast"/>
        </w:trPr>
        <w:tc>
          <w:tcPr>
            <w:tcW w:w="626" w:type="dxa"/>
          </w:tcPr>
          <w:p>
            <w:pPr>
              <w:pStyle w:val="TableParagraph"/>
              <w:spacing w:before="58"/>
              <w:ind w:left="110"/>
              <w:rPr>
                <w:b/>
                <w:sz w:val="21"/>
              </w:rPr>
            </w:pPr>
            <w:r>
              <w:rPr>
                <w:b/>
                <w:sz w:val="21"/>
              </w:rPr>
              <w:t>8.2</w:t>
            </w:r>
          </w:p>
        </w:tc>
        <w:tc>
          <w:tcPr>
            <w:tcW w:w="1435" w:type="dxa"/>
          </w:tcPr>
          <w:p>
            <w:pPr>
              <w:pStyle w:val="TableParagraph"/>
              <w:spacing w:line="273" w:lineRule="auto" w:before="58"/>
              <w:ind w:left="197" w:right="179"/>
              <w:rPr>
                <w:b/>
                <w:sz w:val="21"/>
              </w:rPr>
            </w:pPr>
            <w:r>
              <w:rPr>
                <w:b/>
                <w:sz w:val="21"/>
              </w:rPr>
              <w:t>年龄确定与错误处理</w:t>
            </w:r>
          </w:p>
        </w:tc>
        <w:tc>
          <w:tcPr>
            <w:tcW w:w="7812" w:type="dxa"/>
          </w:tcPr>
          <w:p>
            <w:pPr>
              <w:pStyle w:val="TableParagraph"/>
              <w:spacing w:line="273" w:lineRule="auto" w:before="58"/>
              <w:ind w:left="181" w:right="98"/>
              <w:rPr>
                <w:sz w:val="21"/>
              </w:rPr>
            </w:pPr>
            <w:r>
              <w:rPr>
                <w:spacing w:val="-6"/>
                <w:sz w:val="21"/>
              </w:rPr>
              <w:t>被保险人的投保年龄按周岁计算。投保人应在投保本保险时将被保险人的真实年龄</w:t>
            </w:r>
            <w:r>
              <w:rPr>
                <w:spacing w:val="-4"/>
                <w:sz w:val="21"/>
              </w:rPr>
              <w:t>在投保单上填明，如果发生错误，本公司按照下列规定办理：</w:t>
            </w:r>
          </w:p>
          <w:p>
            <w:pPr>
              <w:pStyle w:val="TableParagraph"/>
              <w:numPr>
                <w:ilvl w:val="0"/>
                <w:numId w:val="17"/>
              </w:numPr>
              <w:tabs>
                <w:tab w:pos="806" w:val="left" w:leader="none"/>
              </w:tabs>
              <w:spacing w:line="273" w:lineRule="auto" w:before="7" w:after="0"/>
              <w:ind w:left="805" w:right="98" w:hanging="624"/>
              <w:jc w:val="both"/>
              <w:rPr>
                <w:rFonts w:ascii="黑体" w:eastAsia="黑体" w:hint="eastAsia"/>
                <w:sz w:val="21"/>
              </w:rPr>
            </w:pPr>
            <w:r>
              <w:rPr>
                <w:rFonts w:ascii="黑体" w:eastAsia="黑体" w:hint="eastAsia"/>
                <w:spacing w:val="-5"/>
                <w:sz w:val="21"/>
              </w:rPr>
              <w:t>投保人申报的被保险人年龄不真实，并且其真实年龄不符合本合同约定的年</w:t>
            </w:r>
            <w:r>
              <w:rPr>
                <w:rFonts w:ascii="黑体" w:eastAsia="黑体" w:hint="eastAsia"/>
                <w:spacing w:val="-4"/>
                <w:sz w:val="21"/>
              </w:rPr>
              <w:t>龄限制的，本公司有权在知道有解除事由之日起 </w:t>
            </w:r>
            <w:r>
              <w:rPr>
                <w:rFonts w:ascii="黑体" w:eastAsia="黑体" w:hint="eastAsia"/>
                <w:sz w:val="21"/>
              </w:rPr>
              <w:t>30</w:t>
            </w:r>
            <w:r>
              <w:rPr>
                <w:rFonts w:ascii="黑体" w:eastAsia="黑体" w:hint="eastAsia"/>
                <w:spacing w:val="-3"/>
                <w:sz w:val="21"/>
              </w:rPr>
              <w:t> 日内解除本合同，并向</w:t>
            </w:r>
          </w:p>
          <w:p>
            <w:pPr>
              <w:pStyle w:val="TableParagraph"/>
              <w:spacing w:before="7"/>
              <w:ind w:left="805"/>
              <w:rPr>
                <w:rFonts w:ascii="黑体" w:eastAsia="黑体" w:hint="eastAsia"/>
                <w:sz w:val="21"/>
              </w:rPr>
            </w:pPr>
            <w:r>
              <w:rPr>
                <w:rFonts w:ascii="黑体" w:eastAsia="黑体" w:hint="eastAsia"/>
                <w:sz w:val="21"/>
              </w:rPr>
              <w:t>投保人退还本合同的现金价值，但自本合同成立之日起超过 2 年的除外。</w:t>
            </w:r>
          </w:p>
          <w:p>
            <w:pPr>
              <w:pStyle w:val="TableParagraph"/>
              <w:numPr>
                <w:ilvl w:val="0"/>
                <w:numId w:val="17"/>
              </w:numPr>
              <w:tabs>
                <w:tab w:pos="806" w:val="left" w:leader="none"/>
              </w:tabs>
              <w:spacing w:line="273" w:lineRule="auto" w:before="36" w:after="0"/>
              <w:ind w:left="805" w:right="98" w:hanging="624"/>
              <w:jc w:val="both"/>
              <w:rPr>
                <w:rFonts w:ascii="黑体" w:eastAsia="黑体" w:hint="eastAsia"/>
                <w:sz w:val="21"/>
              </w:rPr>
            </w:pPr>
            <w:r>
              <w:rPr>
                <w:rFonts w:ascii="黑体" w:eastAsia="黑体" w:hint="eastAsia"/>
                <w:spacing w:val="-5"/>
                <w:sz w:val="21"/>
              </w:rPr>
              <w:t>投保人申报的被保险人年龄不真实，致使投保人支付的保险费少于应付保险</w:t>
            </w:r>
            <w:r>
              <w:rPr>
                <w:rFonts w:ascii="黑体" w:eastAsia="黑体" w:hint="eastAsia"/>
                <w:spacing w:val="-7"/>
                <w:sz w:val="21"/>
              </w:rPr>
              <w:t>费的，本公司有权更正并要求投保人补交保险费，或在给付保险金时按照实</w:t>
            </w:r>
            <w:r>
              <w:rPr>
                <w:rFonts w:ascii="黑体" w:eastAsia="黑体" w:hint="eastAsia"/>
                <w:spacing w:val="-5"/>
                <w:sz w:val="21"/>
              </w:rPr>
              <w:t>付保险费与应付保险费的比例支付。</w:t>
            </w:r>
          </w:p>
          <w:p>
            <w:pPr>
              <w:pStyle w:val="TableParagraph"/>
              <w:numPr>
                <w:ilvl w:val="0"/>
                <w:numId w:val="17"/>
              </w:numPr>
              <w:tabs>
                <w:tab w:pos="806" w:val="left" w:leader="none"/>
              </w:tabs>
              <w:spacing w:line="273" w:lineRule="auto" w:before="7" w:after="0"/>
              <w:ind w:left="805" w:right="98" w:hanging="624"/>
              <w:jc w:val="both"/>
              <w:rPr>
                <w:sz w:val="21"/>
              </w:rPr>
            </w:pPr>
            <w:r>
              <w:rPr>
                <w:spacing w:val="-5"/>
                <w:sz w:val="21"/>
              </w:rPr>
              <w:t>投保人申报的被保险人年龄不真实，致使投保人支付的保险费多于应付保险</w:t>
            </w:r>
            <w:r>
              <w:rPr>
                <w:spacing w:val="-4"/>
                <w:sz w:val="21"/>
              </w:rPr>
              <w:t>费的，本公司应将多收的保险费无息退还投保人。</w:t>
            </w:r>
          </w:p>
        </w:tc>
      </w:tr>
      <w:tr>
        <w:trPr>
          <w:trHeight w:val="783" w:hRule="atLeast"/>
        </w:trPr>
        <w:tc>
          <w:tcPr>
            <w:tcW w:w="626" w:type="dxa"/>
          </w:tcPr>
          <w:p>
            <w:pPr>
              <w:pStyle w:val="TableParagraph"/>
              <w:spacing w:before="60"/>
              <w:ind w:left="110"/>
              <w:rPr>
                <w:b/>
                <w:sz w:val="21"/>
              </w:rPr>
            </w:pPr>
            <w:r>
              <w:rPr>
                <w:b/>
                <w:sz w:val="21"/>
              </w:rPr>
              <w:t>8.3</w:t>
            </w:r>
          </w:p>
        </w:tc>
        <w:tc>
          <w:tcPr>
            <w:tcW w:w="1435" w:type="dxa"/>
          </w:tcPr>
          <w:p>
            <w:pPr>
              <w:pStyle w:val="TableParagraph"/>
              <w:spacing w:before="60"/>
              <w:ind w:left="197"/>
              <w:rPr>
                <w:b/>
                <w:sz w:val="21"/>
              </w:rPr>
            </w:pPr>
            <w:r>
              <w:rPr>
                <w:b/>
                <w:sz w:val="21"/>
              </w:rPr>
              <w:t>未还款项</w:t>
            </w:r>
          </w:p>
        </w:tc>
        <w:tc>
          <w:tcPr>
            <w:tcW w:w="7812" w:type="dxa"/>
          </w:tcPr>
          <w:p>
            <w:pPr>
              <w:pStyle w:val="TableParagraph"/>
              <w:spacing w:line="273" w:lineRule="auto" w:before="60"/>
              <w:ind w:left="181" w:right="98"/>
              <w:rPr>
                <w:sz w:val="21"/>
              </w:rPr>
            </w:pPr>
            <w:r>
              <w:rPr>
                <w:spacing w:val="-6"/>
                <w:sz w:val="21"/>
              </w:rPr>
              <w:t>本公司在给付各项保险金、退还现金价值或返还保险费时，如果投保人有欠交的保</w:t>
            </w:r>
            <w:r>
              <w:rPr>
                <w:spacing w:val="-4"/>
                <w:sz w:val="21"/>
              </w:rPr>
              <w:t>险费或其他未还清款项，本公司会在扣除上述欠款及应付利息后给付。</w:t>
            </w:r>
          </w:p>
        </w:tc>
      </w:tr>
      <w:tr>
        <w:trPr>
          <w:trHeight w:val="1564" w:hRule="atLeast"/>
        </w:trPr>
        <w:tc>
          <w:tcPr>
            <w:tcW w:w="626" w:type="dxa"/>
          </w:tcPr>
          <w:p>
            <w:pPr>
              <w:pStyle w:val="TableParagraph"/>
              <w:spacing w:before="61"/>
              <w:ind w:left="110"/>
              <w:rPr>
                <w:b/>
                <w:sz w:val="21"/>
              </w:rPr>
            </w:pPr>
            <w:r>
              <w:rPr>
                <w:b/>
                <w:sz w:val="21"/>
              </w:rPr>
              <w:t>8.4</w:t>
            </w:r>
          </w:p>
        </w:tc>
        <w:tc>
          <w:tcPr>
            <w:tcW w:w="1435" w:type="dxa"/>
          </w:tcPr>
          <w:p>
            <w:pPr>
              <w:pStyle w:val="TableParagraph"/>
              <w:spacing w:line="273" w:lineRule="auto" w:before="61"/>
              <w:ind w:left="197" w:right="179"/>
              <w:rPr>
                <w:b/>
                <w:sz w:val="21"/>
              </w:rPr>
            </w:pPr>
            <w:r>
              <w:rPr>
                <w:b/>
                <w:sz w:val="21"/>
              </w:rPr>
              <w:t>合同内容变更</w:t>
            </w:r>
          </w:p>
        </w:tc>
        <w:tc>
          <w:tcPr>
            <w:tcW w:w="7812" w:type="dxa"/>
          </w:tcPr>
          <w:p>
            <w:pPr>
              <w:pStyle w:val="TableParagraph"/>
              <w:spacing w:line="273" w:lineRule="auto" w:before="61"/>
              <w:ind w:left="181" w:right="98"/>
              <w:jc w:val="both"/>
              <w:rPr>
                <w:sz w:val="21"/>
              </w:rPr>
            </w:pPr>
            <w:r>
              <w:rPr>
                <w:spacing w:val="-5"/>
                <w:sz w:val="21"/>
              </w:rPr>
              <w:t>投保人和本公司可以协商变更本合同的内容。变更本合同的，应当由本公司在保险</w:t>
            </w:r>
            <w:r>
              <w:rPr>
                <w:spacing w:val="-6"/>
                <w:sz w:val="21"/>
              </w:rPr>
              <w:t>单或者其他保险凭证上批注或者附贴批单，或者由投保人与本公司订立书面的变更协议。</w:t>
            </w:r>
          </w:p>
          <w:p>
            <w:pPr>
              <w:pStyle w:val="TableParagraph"/>
              <w:spacing w:before="163"/>
              <w:ind w:left="181"/>
              <w:jc w:val="both"/>
              <w:rPr>
                <w:sz w:val="21"/>
              </w:rPr>
            </w:pPr>
            <w:r>
              <w:rPr>
                <w:sz w:val="21"/>
              </w:rPr>
              <w:t>若被保险人身故，则本公司不接受本合同内容的任何变更申请。</w:t>
            </w:r>
          </w:p>
        </w:tc>
      </w:tr>
      <w:tr>
        <w:trPr>
          <w:trHeight w:val="1408" w:hRule="atLeast"/>
        </w:trPr>
        <w:tc>
          <w:tcPr>
            <w:tcW w:w="626" w:type="dxa"/>
          </w:tcPr>
          <w:p>
            <w:pPr>
              <w:pStyle w:val="TableParagraph"/>
              <w:spacing w:before="61"/>
              <w:ind w:left="110"/>
              <w:rPr>
                <w:b/>
                <w:sz w:val="21"/>
              </w:rPr>
            </w:pPr>
            <w:r>
              <w:rPr>
                <w:b/>
                <w:sz w:val="21"/>
              </w:rPr>
              <w:t>8.5</w:t>
            </w:r>
          </w:p>
        </w:tc>
        <w:tc>
          <w:tcPr>
            <w:tcW w:w="1435" w:type="dxa"/>
          </w:tcPr>
          <w:p>
            <w:pPr>
              <w:pStyle w:val="TableParagraph"/>
              <w:spacing w:line="273" w:lineRule="auto" w:before="61"/>
              <w:ind w:left="197" w:right="179"/>
              <w:rPr>
                <w:b/>
                <w:sz w:val="21"/>
              </w:rPr>
            </w:pPr>
            <w:r>
              <w:rPr>
                <w:b/>
                <w:sz w:val="21"/>
              </w:rPr>
              <w:t>联系方式变更</w:t>
            </w:r>
          </w:p>
        </w:tc>
        <w:tc>
          <w:tcPr>
            <w:tcW w:w="7812" w:type="dxa"/>
          </w:tcPr>
          <w:p>
            <w:pPr>
              <w:pStyle w:val="TableParagraph"/>
              <w:spacing w:line="273" w:lineRule="auto" w:before="61"/>
              <w:ind w:left="181" w:right="98"/>
              <w:jc w:val="both"/>
              <w:rPr>
                <w:sz w:val="21"/>
              </w:rPr>
            </w:pPr>
            <w:r>
              <w:rPr>
                <w:spacing w:val="-6"/>
                <w:sz w:val="21"/>
              </w:rPr>
              <w:t>投保人住所、通讯地址或电话等联系方式变更时，应及时以书面形式或双方认可的</w:t>
            </w:r>
            <w:r>
              <w:rPr>
                <w:spacing w:val="-7"/>
                <w:sz w:val="21"/>
              </w:rPr>
              <w:t>其他形式通知本公司。投保人未以书面形式或双方认可的其他形式通知的，本公司将按本合同载明的最后住所或通讯地址等联系方式发送有关通知，并视为已送达给</w:t>
            </w:r>
            <w:r>
              <w:rPr>
                <w:spacing w:val="-5"/>
                <w:sz w:val="21"/>
              </w:rPr>
              <w:t>投保人。</w:t>
            </w:r>
          </w:p>
        </w:tc>
      </w:tr>
      <w:tr>
        <w:trPr>
          <w:trHeight w:val="1769" w:hRule="atLeast"/>
        </w:trPr>
        <w:tc>
          <w:tcPr>
            <w:tcW w:w="626" w:type="dxa"/>
          </w:tcPr>
          <w:p>
            <w:pPr>
              <w:pStyle w:val="TableParagraph"/>
              <w:spacing w:before="60"/>
              <w:ind w:left="110"/>
              <w:rPr>
                <w:b/>
                <w:sz w:val="21"/>
              </w:rPr>
            </w:pPr>
            <w:r>
              <w:rPr>
                <w:b/>
                <w:sz w:val="21"/>
              </w:rPr>
              <w:t>8.6</w:t>
            </w:r>
          </w:p>
        </w:tc>
        <w:tc>
          <w:tcPr>
            <w:tcW w:w="1435" w:type="dxa"/>
          </w:tcPr>
          <w:p>
            <w:pPr>
              <w:pStyle w:val="TableParagraph"/>
              <w:spacing w:before="60"/>
              <w:ind w:left="197"/>
              <w:rPr>
                <w:b/>
                <w:sz w:val="21"/>
              </w:rPr>
            </w:pPr>
            <w:r>
              <w:rPr>
                <w:b/>
                <w:sz w:val="21"/>
              </w:rPr>
              <w:t>争议处理</w:t>
            </w:r>
          </w:p>
        </w:tc>
        <w:tc>
          <w:tcPr>
            <w:tcW w:w="7812" w:type="dxa"/>
          </w:tcPr>
          <w:p>
            <w:pPr>
              <w:pStyle w:val="TableParagraph"/>
              <w:spacing w:before="60"/>
              <w:ind w:left="181"/>
              <w:rPr>
                <w:sz w:val="21"/>
              </w:rPr>
            </w:pPr>
            <w:r>
              <w:rPr>
                <w:sz w:val="21"/>
              </w:rPr>
              <w:t>本合同争议的解决方式，由当事人在合同中约定从下列两种方式中选择一种：</w:t>
            </w:r>
          </w:p>
          <w:p>
            <w:pPr>
              <w:pStyle w:val="TableParagraph"/>
              <w:numPr>
                <w:ilvl w:val="0"/>
                <w:numId w:val="18"/>
              </w:numPr>
              <w:tabs>
                <w:tab w:pos="902" w:val="left" w:leader="none"/>
                <w:tab w:pos="7759" w:val="left" w:leader="none"/>
              </w:tabs>
              <w:spacing w:line="273" w:lineRule="auto" w:before="37" w:after="0"/>
              <w:ind w:left="901" w:right="50" w:hanging="720"/>
              <w:jc w:val="left"/>
              <w:rPr>
                <w:sz w:val="21"/>
              </w:rPr>
            </w:pPr>
            <w:r>
              <w:rPr>
                <w:sz w:val="21"/>
              </w:rPr>
              <w:t>因履行本合同发生的争议，由当事人协商解决，协商不成的，提</w:t>
            </w:r>
            <w:r>
              <w:rPr>
                <w:spacing w:val="7"/>
                <w:sz w:val="21"/>
              </w:rPr>
              <w:t>交</w:t>
            </w:r>
            <w:r>
              <w:rPr>
                <w:spacing w:val="7"/>
                <w:sz w:val="21"/>
                <w:u w:val="single"/>
              </w:rPr>
              <w:tab/>
            </w:r>
            <w:r>
              <w:rPr>
                <w:sz w:val="21"/>
              </w:rPr>
              <w:t>     仲裁</w:t>
            </w:r>
            <w:r>
              <w:rPr>
                <w:spacing w:val="-3"/>
                <w:sz w:val="21"/>
              </w:rPr>
              <w:t>委</w:t>
            </w:r>
            <w:r>
              <w:rPr>
                <w:sz w:val="21"/>
              </w:rPr>
              <w:t>员</w:t>
            </w:r>
            <w:r>
              <w:rPr>
                <w:spacing w:val="-3"/>
                <w:sz w:val="21"/>
              </w:rPr>
              <w:t>会</w:t>
            </w:r>
            <w:r>
              <w:rPr>
                <w:sz w:val="21"/>
              </w:rPr>
              <w:t>仲</w:t>
            </w:r>
            <w:r>
              <w:rPr>
                <w:spacing w:val="-3"/>
                <w:sz w:val="21"/>
              </w:rPr>
              <w:t>裁</w:t>
            </w:r>
            <w:r>
              <w:rPr>
                <w:sz w:val="21"/>
              </w:rPr>
              <w:t>；</w:t>
            </w:r>
          </w:p>
          <w:p>
            <w:pPr>
              <w:pStyle w:val="TableParagraph"/>
              <w:numPr>
                <w:ilvl w:val="0"/>
                <w:numId w:val="18"/>
              </w:numPr>
              <w:tabs>
                <w:tab w:pos="902" w:val="left" w:leader="none"/>
              </w:tabs>
              <w:spacing w:line="273" w:lineRule="auto" w:before="7" w:after="0"/>
              <w:ind w:left="901" w:right="107" w:hanging="720"/>
              <w:jc w:val="left"/>
              <w:rPr>
                <w:sz w:val="21"/>
              </w:rPr>
            </w:pPr>
            <w:r>
              <w:rPr>
                <w:sz w:val="21"/>
              </w:rPr>
              <w:t>因履行本合同发生的争议，由当事人协商解决，协商不成的，依法向人民</w:t>
            </w:r>
            <w:r>
              <w:rPr>
                <w:spacing w:val="-2"/>
                <w:sz w:val="21"/>
              </w:rPr>
              <w:t>法院提起诉讼。</w:t>
            </w:r>
          </w:p>
        </w:tc>
      </w:tr>
      <w:tr>
        <w:trPr>
          <w:trHeight w:val="620" w:hRule="atLeast"/>
        </w:trPr>
        <w:tc>
          <w:tcPr>
            <w:tcW w:w="626" w:type="dxa"/>
            <w:tcBorders>
              <w:bottom w:val="single" w:sz="6" w:space="0" w:color="000000"/>
            </w:tcBorders>
          </w:tcPr>
          <w:p>
            <w:pPr>
              <w:pStyle w:val="TableParagraph"/>
              <w:spacing w:before="75"/>
              <w:ind w:left="148"/>
              <w:rPr>
                <w:b/>
                <w:sz w:val="32"/>
              </w:rPr>
            </w:pPr>
            <w:r>
              <w:rPr>
                <w:b/>
                <w:w w:val="98"/>
                <w:sz w:val="32"/>
              </w:rPr>
              <w:t>9</w:t>
            </w:r>
          </w:p>
        </w:tc>
        <w:tc>
          <w:tcPr>
            <w:tcW w:w="1435" w:type="dxa"/>
            <w:tcBorders>
              <w:bottom w:val="single" w:sz="6" w:space="0" w:color="000000"/>
            </w:tcBorders>
          </w:tcPr>
          <w:p>
            <w:pPr>
              <w:pStyle w:val="TableParagraph"/>
              <w:spacing w:before="125"/>
              <w:ind w:left="197"/>
              <w:rPr>
                <w:b/>
                <w:sz w:val="24"/>
              </w:rPr>
            </w:pPr>
            <w:r>
              <w:rPr>
                <w:b/>
                <w:sz w:val="24"/>
              </w:rPr>
              <w:t>释义</w:t>
            </w:r>
          </w:p>
        </w:tc>
        <w:tc>
          <w:tcPr>
            <w:tcW w:w="7812" w:type="dxa"/>
            <w:tcBorders>
              <w:bottom w:val="single" w:sz="6" w:space="0" w:color="000000"/>
            </w:tcBorders>
          </w:tcPr>
          <w:p>
            <w:pPr>
              <w:pStyle w:val="TableParagraph"/>
              <w:ind w:left="0"/>
              <w:rPr>
                <w:rFonts w:ascii="Times New Roman"/>
                <w:sz w:val="20"/>
              </w:rPr>
            </w:pPr>
          </w:p>
        </w:tc>
      </w:tr>
      <w:tr>
        <w:trPr>
          <w:trHeight w:val="540" w:hRule="atLeast"/>
        </w:trPr>
        <w:tc>
          <w:tcPr>
            <w:tcW w:w="626" w:type="dxa"/>
            <w:tcBorders>
              <w:top w:val="single" w:sz="6" w:space="0" w:color="000000"/>
            </w:tcBorders>
          </w:tcPr>
          <w:p>
            <w:pPr>
              <w:pStyle w:val="TableParagraph"/>
              <w:spacing w:before="130"/>
              <w:ind w:left="110"/>
              <w:rPr>
                <w:b/>
                <w:sz w:val="21"/>
              </w:rPr>
            </w:pPr>
            <w:r>
              <w:rPr>
                <w:b/>
                <w:sz w:val="21"/>
              </w:rPr>
              <w:t>9.1</w:t>
            </w:r>
          </w:p>
        </w:tc>
        <w:tc>
          <w:tcPr>
            <w:tcW w:w="1435" w:type="dxa"/>
            <w:tcBorders>
              <w:top w:val="single" w:sz="6" w:space="0" w:color="000000"/>
            </w:tcBorders>
          </w:tcPr>
          <w:p>
            <w:pPr>
              <w:pStyle w:val="TableParagraph"/>
              <w:spacing w:before="130"/>
              <w:ind w:left="197"/>
              <w:rPr>
                <w:b/>
                <w:sz w:val="21"/>
              </w:rPr>
            </w:pPr>
            <w:r>
              <w:rPr>
                <w:b/>
                <w:sz w:val="21"/>
              </w:rPr>
              <w:t>本公司</w:t>
            </w:r>
          </w:p>
        </w:tc>
        <w:tc>
          <w:tcPr>
            <w:tcW w:w="7812" w:type="dxa"/>
            <w:tcBorders>
              <w:top w:val="single" w:sz="6" w:space="0" w:color="000000"/>
            </w:tcBorders>
          </w:tcPr>
          <w:p>
            <w:pPr>
              <w:pStyle w:val="TableParagraph"/>
              <w:spacing w:before="130"/>
              <w:ind w:left="181"/>
              <w:rPr>
                <w:sz w:val="21"/>
              </w:rPr>
            </w:pPr>
            <w:r>
              <w:rPr>
                <w:sz w:val="21"/>
              </w:rPr>
              <w:t>君康人寿保险股份有限公司。</w:t>
            </w:r>
          </w:p>
        </w:tc>
      </w:tr>
      <w:tr>
        <w:trPr>
          <w:trHeight w:val="652" w:hRule="atLeast"/>
        </w:trPr>
        <w:tc>
          <w:tcPr>
            <w:tcW w:w="626" w:type="dxa"/>
          </w:tcPr>
          <w:p>
            <w:pPr>
              <w:pStyle w:val="TableParagraph"/>
              <w:spacing w:before="60"/>
              <w:ind w:left="110"/>
              <w:rPr>
                <w:b/>
                <w:sz w:val="21"/>
              </w:rPr>
            </w:pPr>
            <w:r>
              <w:rPr>
                <w:b/>
                <w:sz w:val="21"/>
              </w:rPr>
              <w:t>9.2</w:t>
            </w:r>
          </w:p>
        </w:tc>
        <w:tc>
          <w:tcPr>
            <w:tcW w:w="1435" w:type="dxa"/>
          </w:tcPr>
          <w:p>
            <w:pPr>
              <w:pStyle w:val="TableParagraph"/>
              <w:spacing w:before="60"/>
              <w:ind w:left="197"/>
              <w:rPr>
                <w:b/>
                <w:sz w:val="21"/>
              </w:rPr>
            </w:pPr>
            <w:r>
              <w:rPr>
                <w:b/>
                <w:sz w:val="21"/>
              </w:rPr>
              <w:t>保单年度</w:t>
            </w:r>
          </w:p>
        </w:tc>
        <w:tc>
          <w:tcPr>
            <w:tcW w:w="7812" w:type="dxa"/>
          </w:tcPr>
          <w:p>
            <w:pPr>
              <w:pStyle w:val="TableParagraph"/>
              <w:spacing w:line="310" w:lineRule="atLeast" w:before="24"/>
              <w:ind w:left="181" w:right="109"/>
              <w:rPr>
                <w:sz w:val="21"/>
              </w:rPr>
            </w:pPr>
            <w:r>
              <w:rPr>
                <w:sz w:val="21"/>
              </w:rPr>
              <w:t>从保险合同生效日或生效对应日的零时起至下一年度保险合同生效对应日的前一日 24 时止为一个保单年度。</w:t>
            </w:r>
          </w:p>
        </w:tc>
      </w:tr>
    </w:tbl>
    <w:p>
      <w:pPr>
        <w:spacing w:after="0" w:line="310" w:lineRule="atLeast"/>
        <w:rPr>
          <w:sz w:val="21"/>
        </w:rPr>
        <w:sectPr>
          <w:pgSz w:w="11910" w:h="16840"/>
          <w:pgMar w:header="0" w:footer="377" w:top="1340" w:bottom="560" w:left="900" w:right="9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509"/>
        <w:gridCol w:w="7942"/>
      </w:tblGrid>
      <w:tr>
        <w:trPr>
          <w:trHeight w:val="651" w:hRule="atLeast"/>
        </w:trPr>
        <w:tc>
          <w:tcPr>
            <w:tcW w:w="715" w:type="dxa"/>
          </w:tcPr>
          <w:p>
            <w:pPr>
              <w:pStyle w:val="TableParagraph"/>
              <w:spacing w:line="204" w:lineRule="exact"/>
              <w:ind w:left="200"/>
              <w:rPr>
                <w:b/>
                <w:sz w:val="21"/>
              </w:rPr>
            </w:pPr>
            <w:r>
              <w:rPr>
                <w:b/>
                <w:sz w:val="21"/>
              </w:rPr>
              <w:t>9.3</w:t>
            </w:r>
          </w:p>
        </w:tc>
        <w:tc>
          <w:tcPr>
            <w:tcW w:w="1509" w:type="dxa"/>
          </w:tcPr>
          <w:p>
            <w:pPr>
              <w:pStyle w:val="TableParagraph"/>
              <w:spacing w:line="204" w:lineRule="exact"/>
              <w:ind w:left="198"/>
              <w:rPr>
                <w:b/>
                <w:sz w:val="21"/>
              </w:rPr>
            </w:pPr>
            <w:r>
              <w:rPr>
                <w:b/>
                <w:sz w:val="21"/>
              </w:rPr>
              <w:t>保险费应交</w:t>
            </w:r>
          </w:p>
          <w:p>
            <w:pPr>
              <w:pStyle w:val="TableParagraph"/>
              <w:spacing w:before="37"/>
              <w:ind w:left="198"/>
              <w:rPr>
                <w:b/>
                <w:sz w:val="21"/>
              </w:rPr>
            </w:pPr>
            <w:r>
              <w:rPr>
                <w:b/>
                <w:w w:val="100"/>
                <w:sz w:val="21"/>
              </w:rPr>
              <w:t>日</w:t>
            </w:r>
          </w:p>
        </w:tc>
        <w:tc>
          <w:tcPr>
            <w:tcW w:w="7942" w:type="dxa"/>
          </w:tcPr>
          <w:p>
            <w:pPr>
              <w:pStyle w:val="TableParagraph"/>
              <w:spacing w:line="204" w:lineRule="exact"/>
              <w:rPr>
                <w:sz w:val="21"/>
              </w:rPr>
            </w:pPr>
            <w:r>
              <w:rPr>
                <w:sz w:val="21"/>
              </w:rPr>
              <w:t>保险合同生效日在每年的对应日的前一日。如果当月无对应的同一日，以该月最后</w:t>
            </w:r>
          </w:p>
          <w:p>
            <w:pPr>
              <w:pStyle w:val="TableParagraph"/>
              <w:spacing w:before="37"/>
              <w:rPr>
                <w:sz w:val="21"/>
              </w:rPr>
            </w:pPr>
            <w:r>
              <w:rPr>
                <w:sz w:val="21"/>
              </w:rPr>
              <w:t>一日为对应日。</w:t>
            </w:r>
          </w:p>
        </w:tc>
      </w:tr>
      <w:tr>
        <w:trPr>
          <w:trHeight w:val="784" w:hRule="atLeast"/>
        </w:trPr>
        <w:tc>
          <w:tcPr>
            <w:tcW w:w="715" w:type="dxa"/>
          </w:tcPr>
          <w:p>
            <w:pPr>
              <w:pStyle w:val="TableParagraph"/>
              <w:spacing w:before="88"/>
              <w:ind w:left="200"/>
              <w:rPr>
                <w:b/>
                <w:sz w:val="21"/>
              </w:rPr>
            </w:pPr>
            <w:r>
              <w:rPr>
                <w:b/>
                <w:sz w:val="21"/>
              </w:rPr>
              <w:t>9.4</w:t>
            </w:r>
          </w:p>
        </w:tc>
        <w:tc>
          <w:tcPr>
            <w:tcW w:w="1509" w:type="dxa"/>
          </w:tcPr>
          <w:p>
            <w:pPr>
              <w:pStyle w:val="TableParagraph"/>
              <w:spacing w:before="88"/>
              <w:ind w:left="198"/>
              <w:rPr>
                <w:b/>
                <w:sz w:val="21"/>
              </w:rPr>
            </w:pPr>
            <w:r>
              <w:rPr>
                <w:b/>
                <w:sz w:val="21"/>
              </w:rPr>
              <w:t>周岁</w:t>
            </w:r>
          </w:p>
        </w:tc>
        <w:tc>
          <w:tcPr>
            <w:tcW w:w="7942" w:type="dxa"/>
          </w:tcPr>
          <w:p>
            <w:pPr>
              <w:pStyle w:val="TableParagraph"/>
              <w:spacing w:line="273" w:lineRule="auto" w:before="57"/>
              <w:ind w:right="261"/>
              <w:rPr>
                <w:sz w:val="21"/>
              </w:rPr>
            </w:pPr>
            <w:r>
              <w:rPr>
                <w:sz w:val="21"/>
              </w:rPr>
              <w:t>以法定有效身份证件中记载的出生日期为计算基础，自出生之日起为零周岁，每经过一年增加一岁，不足一年的不计。</w:t>
            </w:r>
          </w:p>
        </w:tc>
      </w:tr>
      <w:tr>
        <w:trPr>
          <w:trHeight w:val="789" w:hRule="atLeast"/>
        </w:trPr>
        <w:tc>
          <w:tcPr>
            <w:tcW w:w="715" w:type="dxa"/>
          </w:tcPr>
          <w:p>
            <w:pPr>
              <w:pStyle w:val="TableParagraph"/>
              <w:spacing w:before="93"/>
              <w:ind w:left="200"/>
              <w:rPr>
                <w:b/>
                <w:sz w:val="21"/>
              </w:rPr>
            </w:pPr>
            <w:r>
              <w:rPr>
                <w:b/>
                <w:sz w:val="21"/>
              </w:rPr>
              <w:t>9.5</w:t>
            </w:r>
          </w:p>
        </w:tc>
        <w:tc>
          <w:tcPr>
            <w:tcW w:w="1509" w:type="dxa"/>
          </w:tcPr>
          <w:p>
            <w:pPr>
              <w:pStyle w:val="TableParagraph"/>
              <w:spacing w:before="93"/>
              <w:ind w:left="198"/>
              <w:rPr>
                <w:b/>
                <w:sz w:val="21"/>
              </w:rPr>
            </w:pPr>
            <w:r>
              <w:rPr>
                <w:b/>
                <w:sz w:val="21"/>
              </w:rPr>
              <w:t>特殊群体</w:t>
            </w:r>
          </w:p>
        </w:tc>
        <w:tc>
          <w:tcPr>
            <w:tcW w:w="7942" w:type="dxa"/>
          </w:tcPr>
          <w:p>
            <w:pPr>
              <w:pStyle w:val="TableParagraph"/>
              <w:spacing w:line="273" w:lineRule="auto" w:before="62"/>
              <w:ind w:right="302"/>
              <w:rPr>
                <w:sz w:val="21"/>
              </w:rPr>
            </w:pPr>
            <w:r>
              <w:rPr>
                <w:spacing w:val="-6"/>
                <w:sz w:val="21"/>
              </w:rPr>
              <w:t>特殊群体主要针对部分年长、残疾、低收入者设定，本公司对特殊群体的认定以各</w:t>
            </w:r>
            <w:r>
              <w:rPr>
                <w:spacing w:val="-4"/>
                <w:sz w:val="21"/>
              </w:rPr>
              <w:t>地方保险监管机构的统一规范标准为依据。</w:t>
            </w:r>
          </w:p>
        </w:tc>
      </w:tr>
      <w:tr>
        <w:trPr>
          <w:trHeight w:val="747" w:hRule="atLeast"/>
        </w:trPr>
        <w:tc>
          <w:tcPr>
            <w:tcW w:w="715" w:type="dxa"/>
          </w:tcPr>
          <w:p>
            <w:pPr>
              <w:pStyle w:val="TableParagraph"/>
              <w:spacing w:before="62"/>
              <w:ind w:left="200"/>
              <w:rPr>
                <w:b/>
                <w:sz w:val="21"/>
              </w:rPr>
            </w:pPr>
            <w:r>
              <w:rPr>
                <w:b/>
                <w:sz w:val="21"/>
              </w:rPr>
              <w:t>9.6</w:t>
            </w:r>
          </w:p>
        </w:tc>
        <w:tc>
          <w:tcPr>
            <w:tcW w:w="1509" w:type="dxa"/>
          </w:tcPr>
          <w:p>
            <w:pPr>
              <w:pStyle w:val="TableParagraph"/>
              <w:spacing w:before="62"/>
              <w:ind w:left="198"/>
              <w:rPr>
                <w:b/>
                <w:sz w:val="21"/>
              </w:rPr>
            </w:pPr>
            <w:r>
              <w:rPr>
                <w:b/>
                <w:sz w:val="21"/>
              </w:rPr>
              <w:t>意外伤害</w:t>
            </w:r>
          </w:p>
        </w:tc>
        <w:tc>
          <w:tcPr>
            <w:tcW w:w="7942" w:type="dxa"/>
          </w:tcPr>
          <w:p>
            <w:pPr>
              <w:pStyle w:val="TableParagraph"/>
              <w:spacing w:line="273" w:lineRule="auto" w:before="62"/>
              <w:ind w:right="302"/>
              <w:rPr>
                <w:rFonts w:ascii="黑体" w:eastAsia="黑体" w:hint="eastAsia"/>
                <w:sz w:val="21"/>
              </w:rPr>
            </w:pPr>
            <w:r>
              <w:rPr>
                <w:spacing w:val="-6"/>
                <w:sz w:val="21"/>
              </w:rPr>
              <w:t>指以外来的、突发的、非本意的、非疾病的客观事件为直接且主要原因导致的身体</w:t>
            </w:r>
            <w:r>
              <w:rPr>
                <w:spacing w:val="-1"/>
                <w:sz w:val="21"/>
              </w:rPr>
              <w:t>伤害。</w:t>
            </w:r>
            <w:r>
              <w:rPr>
                <w:rFonts w:ascii="黑体" w:eastAsia="黑体" w:hint="eastAsia"/>
                <w:spacing w:val="-3"/>
                <w:sz w:val="21"/>
              </w:rPr>
              <w:t>猝死、自杀以及自伤均不属于意外伤害。</w:t>
            </w:r>
          </w:p>
        </w:tc>
      </w:tr>
      <w:tr>
        <w:trPr>
          <w:trHeight w:val="431" w:hRule="atLeast"/>
        </w:trPr>
        <w:tc>
          <w:tcPr>
            <w:tcW w:w="715" w:type="dxa"/>
          </w:tcPr>
          <w:p>
            <w:pPr>
              <w:pStyle w:val="TableParagraph"/>
              <w:spacing w:before="20"/>
              <w:ind w:left="200"/>
              <w:rPr>
                <w:b/>
                <w:sz w:val="21"/>
              </w:rPr>
            </w:pPr>
            <w:r>
              <w:rPr>
                <w:b/>
                <w:sz w:val="21"/>
              </w:rPr>
              <w:t>9.7</w:t>
            </w:r>
          </w:p>
        </w:tc>
        <w:tc>
          <w:tcPr>
            <w:tcW w:w="1509" w:type="dxa"/>
          </w:tcPr>
          <w:p>
            <w:pPr>
              <w:pStyle w:val="TableParagraph"/>
              <w:spacing w:before="20"/>
              <w:ind w:left="198"/>
              <w:rPr>
                <w:b/>
                <w:sz w:val="21"/>
              </w:rPr>
            </w:pPr>
            <w:r>
              <w:rPr>
                <w:b/>
                <w:sz w:val="21"/>
              </w:rPr>
              <w:t>轻症疾病</w:t>
            </w:r>
          </w:p>
        </w:tc>
        <w:tc>
          <w:tcPr>
            <w:tcW w:w="7942" w:type="dxa"/>
          </w:tcPr>
          <w:p>
            <w:pPr>
              <w:pStyle w:val="TableParagraph"/>
              <w:ind w:left="0"/>
              <w:rPr>
                <w:rFonts w:ascii="Times New Roman"/>
                <w:sz w:val="20"/>
              </w:rPr>
            </w:pPr>
          </w:p>
        </w:tc>
      </w:tr>
      <w:tr>
        <w:trPr>
          <w:trHeight w:val="2652" w:hRule="atLeast"/>
        </w:trPr>
        <w:tc>
          <w:tcPr>
            <w:tcW w:w="715" w:type="dxa"/>
          </w:tcPr>
          <w:p>
            <w:pPr>
              <w:pStyle w:val="TableParagraph"/>
              <w:ind w:left="0"/>
              <w:rPr>
                <w:rFonts w:ascii="Times New Roman"/>
                <w:sz w:val="20"/>
              </w:rPr>
            </w:pPr>
          </w:p>
        </w:tc>
        <w:tc>
          <w:tcPr>
            <w:tcW w:w="1509" w:type="dxa"/>
          </w:tcPr>
          <w:p>
            <w:pPr>
              <w:pStyle w:val="TableParagraph"/>
              <w:spacing w:line="273" w:lineRule="auto" w:before="57"/>
              <w:ind w:left="198" w:right="252"/>
              <w:jc w:val="both"/>
              <w:rPr>
                <w:b/>
                <w:sz w:val="21"/>
              </w:rPr>
            </w:pPr>
            <w:r>
              <w:rPr>
                <w:b/>
                <w:sz w:val="21"/>
              </w:rPr>
              <w:t>1.极早期恶性肿瘤或者恶性病变</w:t>
            </w:r>
          </w:p>
        </w:tc>
        <w:tc>
          <w:tcPr>
            <w:tcW w:w="7942" w:type="dxa"/>
          </w:tcPr>
          <w:p>
            <w:pPr>
              <w:pStyle w:val="TableParagraph"/>
              <w:spacing w:before="57"/>
              <w:rPr>
                <w:sz w:val="21"/>
              </w:rPr>
            </w:pPr>
            <w:r>
              <w:rPr>
                <w:sz w:val="21"/>
              </w:rPr>
              <w:t>指经组织病理学检查被明确诊断为下列恶性病变，并且接受了相应的治疗。</w:t>
            </w:r>
          </w:p>
          <w:p>
            <w:pPr>
              <w:pStyle w:val="TableParagraph"/>
              <w:numPr>
                <w:ilvl w:val="0"/>
                <w:numId w:val="19"/>
              </w:numPr>
              <w:tabs>
                <w:tab w:pos="829" w:val="left" w:leader="none"/>
              </w:tabs>
              <w:spacing w:line="240" w:lineRule="auto" w:before="36" w:after="0"/>
              <w:ind w:left="828" w:right="0" w:hanging="721"/>
              <w:jc w:val="left"/>
              <w:rPr>
                <w:sz w:val="21"/>
              </w:rPr>
            </w:pPr>
            <w:r>
              <w:rPr>
                <w:spacing w:val="-1"/>
                <w:sz w:val="21"/>
              </w:rPr>
              <w:t>原位癌；</w:t>
            </w:r>
          </w:p>
          <w:p>
            <w:pPr>
              <w:pStyle w:val="TableParagraph"/>
              <w:numPr>
                <w:ilvl w:val="0"/>
                <w:numId w:val="19"/>
              </w:numPr>
              <w:tabs>
                <w:tab w:pos="829" w:val="left" w:leader="none"/>
              </w:tabs>
              <w:spacing w:line="240" w:lineRule="auto" w:before="36" w:after="0"/>
              <w:ind w:left="828" w:right="0" w:hanging="721"/>
              <w:jc w:val="left"/>
              <w:rPr>
                <w:sz w:val="21"/>
              </w:rPr>
            </w:pPr>
            <w:r>
              <w:rPr>
                <w:spacing w:val="-14"/>
                <w:sz w:val="21"/>
              </w:rPr>
              <w:t>相当于 </w:t>
            </w:r>
            <w:r>
              <w:rPr>
                <w:sz w:val="21"/>
              </w:rPr>
              <w:t>Binet</w:t>
            </w:r>
            <w:r>
              <w:rPr>
                <w:spacing w:val="-18"/>
                <w:sz w:val="21"/>
              </w:rPr>
              <w:t> 分期方案 </w:t>
            </w:r>
            <w:r>
              <w:rPr>
                <w:sz w:val="21"/>
              </w:rPr>
              <w:t>A</w:t>
            </w:r>
            <w:r>
              <w:rPr>
                <w:spacing w:val="-3"/>
                <w:sz w:val="21"/>
              </w:rPr>
              <w:t> 期程度的慢性淋巴细胞白血病；</w:t>
            </w:r>
          </w:p>
          <w:p>
            <w:pPr>
              <w:pStyle w:val="TableParagraph"/>
              <w:numPr>
                <w:ilvl w:val="0"/>
                <w:numId w:val="19"/>
              </w:numPr>
              <w:tabs>
                <w:tab w:pos="829" w:val="left" w:leader="none"/>
              </w:tabs>
              <w:spacing w:line="240" w:lineRule="auto" w:before="36" w:after="0"/>
              <w:ind w:left="828" w:right="0" w:hanging="721"/>
              <w:jc w:val="left"/>
              <w:rPr>
                <w:sz w:val="21"/>
              </w:rPr>
            </w:pP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TableParagraph"/>
              <w:numPr>
                <w:ilvl w:val="0"/>
                <w:numId w:val="19"/>
              </w:numPr>
              <w:tabs>
                <w:tab w:pos="829" w:val="left" w:leader="none"/>
              </w:tabs>
              <w:spacing w:line="240" w:lineRule="auto" w:before="36" w:after="0"/>
              <w:ind w:left="828" w:right="0" w:hanging="721"/>
              <w:jc w:val="left"/>
              <w:rPr>
                <w:sz w:val="21"/>
              </w:rPr>
            </w:pP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numPr>
                <w:ilvl w:val="0"/>
                <w:numId w:val="19"/>
              </w:numPr>
              <w:tabs>
                <w:tab w:pos="829" w:val="left" w:leader="none"/>
              </w:tabs>
              <w:spacing w:line="240" w:lineRule="auto" w:before="36" w:after="0"/>
              <w:ind w:left="828" w:right="0" w:hanging="721"/>
              <w:jc w:val="left"/>
              <w:rPr>
                <w:sz w:val="21"/>
              </w:rPr>
            </w:pPr>
            <w:r>
              <w:rPr>
                <w:sz w:val="21"/>
              </w:rPr>
              <w:t>TNM</w:t>
            </w:r>
            <w:r>
              <w:rPr>
                <w:spacing w:val="-20"/>
                <w:sz w:val="21"/>
              </w:rPr>
              <w:t> 分期为 </w:t>
            </w:r>
            <w:r>
              <w:rPr>
                <w:sz w:val="21"/>
              </w:rPr>
              <w:t>T1N0M0</w:t>
            </w:r>
            <w:r>
              <w:rPr>
                <w:spacing w:val="-8"/>
                <w:sz w:val="21"/>
              </w:rPr>
              <w:t> 期或者更轻分期的前列腺癌。</w:t>
            </w:r>
          </w:p>
          <w:p>
            <w:pPr>
              <w:pStyle w:val="TableParagraph"/>
              <w:spacing w:line="273" w:lineRule="auto" w:before="36"/>
              <w:ind w:right="311"/>
              <w:rPr>
                <w:rFonts w:ascii="黑体" w:eastAsia="黑体" w:hint="eastAsia"/>
                <w:sz w:val="21"/>
              </w:rPr>
            </w:pPr>
            <w:r>
              <w:rPr>
                <w:rFonts w:ascii="黑体" w:eastAsia="黑体" w:hint="eastAsia"/>
                <w:sz w:val="21"/>
              </w:rPr>
              <w:t>感染艾滋病毒或者患艾滋病期间所患极早期恶性肿瘤或者恶性病变不在保障范围之内。</w:t>
            </w:r>
          </w:p>
        </w:tc>
      </w:tr>
      <w:tr>
        <w:trPr>
          <w:trHeight w:val="2028" w:hRule="atLeast"/>
        </w:trPr>
        <w:tc>
          <w:tcPr>
            <w:tcW w:w="715" w:type="dxa"/>
          </w:tcPr>
          <w:p>
            <w:pPr>
              <w:pStyle w:val="TableParagraph"/>
              <w:ind w:left="0"/>
              <w:rPr>
                <w:rFonts w:ascii="Times New Roman"/>
                <w:sz w:val="20"/>
              </w:rPr>
            </w:pPr>
          </w:p>
        </w:tc>
        <w:tc>
          <w:tcPr>
            <w:tcW w:w="1509" w:type="dxa"/>
          </w:tcPr>
          <w:p>
            <w:pPr>
              <w:pStyle w:val="TableParagraph"/>
              <w:spacing w:line="273" w:lineRule="auto" w:before="57"/>
              <w:ind w:left="198" w:right="252"/>
              <w:jc w:val="both"/>
              <w:rPr>
                <w:b/>
                <w:sz w:val="21"/>
              </w:rPr>
            </w:pPr>
            <w:r>
              <w:rPr>
                <w:b/>
                <w:sz w:val="21"/>
              </w:rPr>
              <w:t>2.不典型的急性心肌梗塞</w:t>
            </w:r>
          </w:p>
        </w:tc>
        <w:tc>
          <w:tcPr>
            <w:tcW w:w="7942" w:type="dxa"/>
          </w:tcPr>
          <w:p>
            <w:pPr>
              <w:pStyle w:val="TableParagraph"/>
              <w:spacing w:line="273" w:lineRule="auto" w:before="57"/>
              <w:ind w:right="266"/>
              <w:rPr>
                <w:sz w:val="21"/>
              </w:rPr>
            </w:pPr>
            <w:r>
              <w:rPr>
                <w:sz w:val="21"/>
              </w:rPr>
              <w:t>指被临床诊断为急性心肌梗塞并接受了急性心肌梗塞治疗，且满足下列全部条件， 但未达到本合同所指重大疾病“急性心肌梗塞”的标准：</w:t>
            </w:r>
          </w:p>
          <w:p>
            <w:pPr>
              <w:pStyle w:val="TableParagraph"/>
              <w:numPr>
                <w:ilvl w:val="0"/>
                <w:numId w:val="20"/>
              </w:numPr>
              <w:tabs>
                <w:tab w:pos="829" w:val="left" w:leader="none"/>
              </w:tabs>
              <w:spacing w:line="240" w:lineRule="auto" w:before="7" w:after="0"/>
              <w:ind w:left="828" w:right="0" w:hanging="721"/>
              <w:jc w:val="left"/>
              <w:rPr>
                <w:sz w:val="21"/>
              </w:rPr>
            </w:pPr>
            <w:r>
              <w:rPr>
                <w:spacing w:val="-3"/>
                <w:sz w:val="21"/>
              </w:rPr>
              <w:t>心肌酶或肌钙蛋白有诊断意义的升高；</w:t>
            </w:r>
          </w:p>
          <w:p>
            <w:pPr>
              <w:pStyle w:val="TableParagraph"/>
              <w:numPr>
                <w:ilvl w:val="0"/>
                <w:numId w:val="20"/>
              </w:numPr>
              <w:tabs>
                <w:tab w:pos="829" w:val="left" w:leader="none"/>
              </w:tabs>
              <w:spacing w:line="240" w:lineRule="auto" w:before="36" w:after="0"/>
              <w:ind w:left="828" w:right="0" w:hanging="721"/>
              <w:jc w:val="left"/>
              <w:rPr>
                <w:sz w:val="21"/>
              </w:rPr>
            </w:pPr>
            <w:r>
              <w:rPr>
                <w:spacing w:val="-9"/>
                <w:sz w:val="21"/>
              </w:rPr>
              <w:t>心电图有损伤性的 </w:t>
            </w:r>
            <w:r>
              <w:rPr>
                <w:sz w:val="21"/>
              </w:rPr>
              <w:t>ST</w:t>
            </w:r>
            <w:r>
              <w:rPr>
                <w:spacing w:val="-8"/>
                <w:sz w:val="21"/>
              </w:rPr>
              <w:t> 段改变但未出现病理 </w:t>
            </w:r>
            <w:r>
              <w:rPr>
                <w:sz w:val="21"/>
              </w:rPr>
              <w:t>Q</w:t>
            </w:r>
            <w:r>
              <w:rPr>
                <w:spacing w:val="-1"/>
                <w:sz w:val="21"/>
              </w:rPr>
              <w:t> 波。</w:t>
            </w:r>
          </w:p>
          <w:p>
            <w:pPr>
              <w:pStyle w:val="TableParagraph"/>
              <w:numPr>
                <w:ilvl w:val="0"/>
                <w:numId w:val="20"/>
              </w:numPr>
              <w:tabs>
                <w:tab w:pos="829" w:val="left" w:leader="none"/>
              </w:tabs>
              <w:spacing w:line="273" w:lineRule="auto" w:before="36" w:after="0"/>
              <w:ind w:left="828" w:right="311" w:hanging="721"/>
              <w:jc w:val="left"/>
              <w:rPr>
                <w:sz w:val="21"/>
              </w:rPr>
            </w:pPr>
            <w:r>
              <w:rPr>
                <w:sz w:val="21"/>
              </w:rPr>
              <w:t>若被保险人因同一原因导致其同时满足不典型的急性心肌梗塞和冠状动脉</w:t>
            </w:r>
            <w:r>
              <w:rPr>
                <w:spacing w:val="-1"/>
                <w:sz w:val="21"/>
              </w:rPr>
              <w:t>介入手术</w:t>
            </w:r>
            <w:r>
              <w:rPr>
                <w:spacing w:val="-3"/>
                <w:sz w:val="21"/>
              </w:rPr>
              <w:t>（非开胸手术）的，仅按其中一项给付。</w:t>
            </w:r>
          </w:p>
        </w:tc>
      </w:tr>
      <w:tr>
        <w:trPr>
          <w:trHeight w:val="2652" w:hRule="atLeast"/>
        </w:trPr>
        <w:tc>
          <w:tcPr>
            <w:tcW w:w="715" w:type="dxa"/>
          </w:tcPr>
          <w:p>
            <w:pPr>
              <w:pStyle w:val="TableParagraph"/>
              <w:ind w:left="0"/>
              <w:rPr>
                <w:rFonts w:ascii="Times New Roman"/>
                <w:sz w:val="20"/>
              </w:rPr>
            </w:pPr>
          </w:p>
        </w:tc>
        <w:tc>
          <w:tcPr>
            <w:tcW w:w="1509" w:type="dxa"/>
          </w:tcPr>
          <w:p>
            <w:pPr>
              <w:pStyle w:val="TableParagraph"/>
              <w:spacing w:line="273" w:lineRule="auto" w:before="57"/>
              <w:ind w:left="198" w:right="252"/>
              <w:rPr>
                <w:b/>
                <w:sz w:val="21"/>
              </w:rPr>
            </w:pPr>
            <w:r>
              <w:rPr>
                <w:b/>
                <w:sz w:val="21"/>
              </w:rPr>
              <w:t>3.轻微脑中风后遗症</w:t>
            </w:r>
          </w:p>
        </w:tc>
        <w:tc>
          <w:tcPr>
            <w:tcW w:w="7942" w:type="dxa"/>
          </w:tcPr>
          <w:p>
            <w:pPr>
              <w:pStyle w:val="TableParagraph"/>
              <w:spacing w:line="273" w:lineRule="auto" w:before="57"/>
              <w:ind w:right="196"/>
              <w:rPr>
                <w:sz w:val="21"/>
              </w:rPr>
            </w:pPr>
            <w:r>
              <w:rPr>
                <w:spacing w:val="-5"/>
                <w:sz w:val="21"/>
              </w:rPr>
              <w:t>指被保险人实际发生了脑血管的突发病变并出现神经系统功能障碍表现，头颅断层</w:t>
            </w:r>
            <w:r>
              <w:rPr>
                <w:spacing w:val="-17"/>
                <w:w w:val="100"/>
                <w:sz w:val="21"/>
              </w:rPr>
              <w:t>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spacing w:val="-1"/>
                <w:w w:val="100"/>
                <w:sz w:val="21"/>
              </w:rPr>
              <w:t>（</w:t>
            </w:r>
            <w:r>
              <w:rPr>
                <w:w w:val="100"/>
                <w:sz w:val="21"/>
              </w:rPr>
              <w:t>MRI</w:t>
            </w:r>
            <w:r>
              <w:rPr>
                <w:spacing w:val="-32"/>
                <w:w w:val="100"/>
                <w:sz w:val="21"/>
              </w:rPr>
              <w:t>）</w:t>
            </w:r>
            <w:r>
              <w:rPr>
                <w:spacing w:val="-5"/>
                <w:w w:val="100"/>
                <w:sz w:val="21"/>
              </w:rPr>
              <w:t>等影像学检查证实存在对应病灶，确诊为脑出血、</w:t>
            </w:r>
            <w:r>
              <w:rPr>
                <w:spacing w:val="-9"/>
                <w:sz w:val="21"/>
              </w:rPr>
              <w:t>脑栓塞或者脑梗塞，在确诊 </w:t>
            </w:r>
            <w:r>
              <w:rPr>
                <w:sz w:val="21"/>
              </w:rPr>
              <w:t>180</w:t>
            </w:r>
            <w:r>
              <w:rPr>
                <w:spacing w:val="-9"/>
                <w:sz w:val="21"/>
              </w:rPr>
              <w:t> 天后遗留神经系统功能障碍，但未达到本合同所指重大疾病“脑中风后遗症”的标准。遗留的神经系统功能障碍须满足下列一种或者</w:t>
            </w:r>
            <w:r>
              <w:rPr>
                <w:spacing w:val="-5"/>
                <w:sz w:val="21"/>
              </w:rPr>
              <w:t>一种以上障碍：</w:t>
            </w:r>
          </w:p>
          <w:p>
            <w:pPr>
              <w:pStyle w:val="TableParagraph"/>
              <w:numPr>
                <w:ilvl w:val="0"/>
                <w:numId w:val="21"/>
              </w:numPr>
              <w:tabs>
                <w:tab w:pos="740" w:val="left" w:leader="none"/>
              </w:tabs>
              <w:spacing w:line="240" w:lineRule="auto" w:before="8" w:after="0"/>
              <w:ind w:left="107" w:right="0" w:firstLine="0"/>
              <w:jc w:val="left"/>
              <w:rPr>
                <w:sz w:val="21"/>
              </w:rPr>
            </w:pPr>
            <w:r>
              <w:rPr>
                <w:spacing w:val="-3"/>
                <w:sz w:val="21"/>
              </w:rPr>
              <w:t>一肢或者一肢以上肢体机能部分丧失，其肢体肌力为Ⅲ级,或者小于Ⅲ级；</w:t>
            </w:r>
          </w:p>
          <w:p>
            <w:pPr>
              <w:pStyle w:val="TableParagraph"/>
              <w:numPr>
                <w:ilvl w:val="0"/>
                <w:numId w:val="21"/>
              </w:numPr>
              <w:tabs>
                <w:tab w:pos="723" w:val="left" w:leader="none"/>
              </w:tabs>
              <w:spacing w:line="273" w:lineRule="auto" w:before="37" w:after="0"/>
              <w:ind w:left="107" w:right="301" w:firstLine="0"/>
              <w:jc w:val="left"/>
              <w:rPr>
                <w:sz w:val="21"/>
              </w:rPr>
            </w:pPr>
            <w:r>
              <w:rPr>
                <w:spacing w:val="-5"/>
                <w:sz w:val="21"/>
              </w:rPr>
              <w:t>自主生活能力部分丧失，无法独立完成六项基本日常生活活动中的两项或者</w:t>
            </w:r>
            <w:r>
              <w:rPr>
                <w:spacing w:val="-4"/>
                <w:sz w:val="21"/>
              </w:rPr>
              <w:t>两项以上。</w:t>
            </w:r>
          </w:p>
        </w:tc>
      </w:tr>
      <w:tr>
        <w:trPr>
          <w:trHeight w:val="2028" w:hRule="atLeast"/>
        </w:trPr>
        <w:tc>
          <w:tcPr>
            <w:tcW w:w="715" w:type="dxa"/>
          </w:tcPr>
          <w:p>
            <w:pPr>
              <w:pStyle w:val="TableParagraph"/>
              <w:ind w:left="0"/>
              <w:rPr>
                <w:rFonts w:ascii="Times New Roman"/>
                <w:sz w:val="20"/>
              </w:rPr>
            </w:pPr>
          </w:p>
        </w:tc>
        <w:tc>
          <w:tcPr>
            <w:tcW w:w="1509" w:type="dxa"/>
          </w:tcPr>
          <w:p>
            <w:pPr>
              <w:pStyle w:val="TableParagraph"/>
              <w:spacing w:line="273" w:lineRule="auto" w:before="57"/>
              <w:ind w:left="198" w:right="252"/>
              <w:rPr>
                <w:b/>
                <w:sz w:val="21"/>
              </w:rPr>
            </w:pPr>
            <w:r>
              <w:rPr>
                <w:b/>
                <w:sz w:val="21"/>
              </w:rPr>
              <w:t>4.微创冠状动脉搭桥术</w:t>
            </w:r>
          </w:p>
        </w:tc>
        <w:tc>
          <w:tcPr>
            <w:tcW w:w="7942" w:type="dxa"/>
          </w:tcPr>
          <w:p>
            <w:pPr>
              <w:pStyle w:val="TableParagraph"/>
              <w:spacing w:line="273" w:lineRule="auto" w:before="57"/>
              <w:ind w:right="303"/>
              <w:jc w:val="both"/>
              <w:rPr>
                <w:sz w:val="21"/>
              </w:rPr>
            </w:pPr>
            <w:r>
              <w:rPr>
                <w:w w:val="100"/>
                <w:sz w:val="21"/>
              </w:rPr>
              <w:t>指确实透过微型的胸壁锁孔（于肋骨之间开一个细小的切口</w:t>
            </w:r>
            <w:r>
              <w:rPr>
                <w:spacing w:val="-106"/>
                <w:w w:val="100"/>
                <w:sz w:val="21"/>
              </w:rPr>
              <w:t>）</w:t>
            </w:r>
            <w:r>
              <w:rPr>
                <w:w w:val="100"/>
                <w:sz w:val="21"/>
              </w:rPr>
              <w:t>，进行非体外循环下</w:t>
            </w:r>
            <w:r>
              <w:rPr>
                <w:spacing w:val="-6"/>
                <w:sz w:val="21"/>
              </w:rPr>
              <w:t>的冠状动脉搭桥手术，以矫正一条或以上冠状动脉狭窄或闭塞。微创进行直接的冠</w:t>
            </w:r>
            <w:r>
              <w:rPr>
                <w:spacing w:val="-7"/>
                <w:sz w:val="21"/>
              </w:rPr>
              <w:t>状动脉搭桥手术亦可称“锁孔”式冠状动脉手术。有关程序为医疗所需及由本公司</w:t>
            </w:r>
            <w:r>
              <w:rPr>
                <w:spacing w:val="-5"/>
                <w:sz w:val="21"/>
              </w:rPr>
              <w:t>认可医院的心脏专科医生进行。</w:t>
            </w:r>
          </w:p>
          <w:p>
            <w:pPr>
              <w:pStyle w:val="TableParagraph"/>
              <w:spacing w:line="273" w:lineRule="auto" w:before="7"/>
              <w:ind w:right="266"/>
              <w:jc w:val="both"/>
              <w:rPr>
                <w:rFonts w:ascii="黑体" w:hAnsi="黑体" w:eastAsia="黑体" w:hint="eastAsia"/>
                <w:sz w:val="21"/>
              </w:rPr>
            </w:pPr>
            <w:r>
              <w:rPr>
                <w:rFonts w:ascii="黑体" w:hAnsi="黑体" w:eastAsia="黑体" w:hint="eastAsia"/>
                <w:sz w:val="21"/>
              </w:rPr>
              <w:t>被保险人已达到本合同所指重大疾病“急性心肌梗塞”或“严重冠心病”标准的， 本公司不承担本项手术保险责任。</w:t>
            </w:r>
          </w:p>
        </w:tc>
      </w:tr>
      <w:tr>
        <w:trPr>
          <w:trHeight w:val="1275" w:hRule="atLeast"/>
        </w:trPr>
        <w:tc>
          <w:tcPr>
            <w:tcW w:w="715" w:type="dxa"/>
          </w:tcPr>
          <w:p>
            <w:pPr>
              <w:pStyle w:val="TableParagraph"/>
              <w:ind w:left="0"/>
              <w:rPr>
                <w:rFonts w:ascii="Times New Roman"/>
                <w:sz w:val="20"/>
              </w:rPr>
            </w:pPr>
          </w:p>
        </w:tc>
        <w:tc>
          <w:tcPr>
            <w:tcW w:w="1509" w:type="dxa"/>
          </w:tcPr>
          <w:p>
            <w:pPr>
              <w:pStyle w:val="TableParagraph"/>
              <w:spacing w:line="273" w:lineRule="auto" w:before="57"/>
              <w:ind w:left="198" w:right="103"/>
              <w:rPr>
                <w:b/>
                <w:sz w:val="21"/>
              </w:rPr>
            </w:pPr>
            <w:r>
              <w:rPr>
                <w:b/>
                <w:sz w:val="21"/>
              </w:rPr>
              <w:t>5.冠状动脉</w:t>
            </w:r>
            <w:r>
              <w:rPr>
                <w:b/>
                <w:spacing w:val="-16"/>
                <w:sz w:val="21"/>
              </w:rPr>
              <w:t>介入手术</w:t>
            </w:r>
            <w:r>
              <w:rPr>
                <w:b/>
                <w:sz w:val="21"/>
              </w:rPr>
              <w:t>（非开胸手术）</w:t>
            </w:r>
          </w:p>
        </w:tc>
        <w:tc>
          <w:tcPr>
            <w:tcW w:w="7942" w:type="dxa"/>
          </w:tcPr>
          <w:p>
            <w:pPr>
              <w:pStyle w:val="TableParagraph"/>
              <w:spacing w:line="273" w:lineRule="auto" w:before="57"/>
              <w:ind w:right="266"/>
              <w:rPr>
                <w:sz w:val="21"/>
              </w:rPr>
            </w:pPr>
            <w:r>
              <w:rPr>
                <w:sz w:val="21"/>
              </w:rPr>
              <w:t>为了治疗明显的冠状动脉狭窄性疾病，首次实际实施了冠状动脉球囊扩张成形术、冠状动脉支架植入术、冠状动脉粥肿斑块切除术或者激光冠状动脉成形术。</w:t>
            </w:r>
          </w:p>
          <w:p>
            <w:pPr>
              <w:pStyle w:val="TableParagraph"/>
              <w:spacing w:line="312" w:lineRule="exact" w:before="3"/>
              <w:ind w:right="266"/>
              <w:rPr>
                <w:rFonts w:ascii="黑体" w:hAnsi="黑体" w:eastAsia="黑体" w:hint="eastAsia"/>
                <w:sz w:val="21"/>
              </w:rPr>
            </w:pPr>
            <w:r>
              <w:rPr>
                <w:rFonts w:ascii="黑体" w:hAnsi="黑体" w:eastAsia="黑体" w:hint="eastAsia"/>
                <w:sz w:val="21"/>
              </w:rPr>
              <w:t>被保险人已达到本合同所指重大疾病“急性心肌梗塞”或“严重冠心病”标准的， 本公司不承担本项手术保险责任。</w:t>
            </w:r>
          </w:p>
        </w:tc>
      </w:tr>
    </w:tbl>
    <w:p>
      <w:pPr>
        <w:spacing w:after="0" w:line="312" w:lineRule="exact"/>
        <w:rPr>
          <w:rFonts w:ascii="黑体" w:hAnsi="黑体" w:eastAsia="黑体" w:hint="eastAsia"/>
          <w:sz w:val="21"/>
        </w:rPr>
        <w:sectPr>
          <w:pgSz w:w="11910" w:h="16840"/>
          <w:pgMar w:header="0" w:footer="377" w:top="1500" w:bottom="560" w:left="8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3"/>
        <w:gridCol w:w="7842"/>
      </w:tblGrid>
      <w:tr>
        <w:trPr>
          <w:trHeight w:val="1587" w:hRule="atLeast"/>
        </w:trPr>
        <w:tc>
          <w:tcPr>
            <w:tcW w:w="1543" w:type="dxa"/>
          </w:tcPr>
          <w:p>
            <w:pPr>
              <w:pStyle w:val="TableParagraph"/>
              <w:spacing w:line="205" w:lineRule="exact"/>
              <w:ind w:left="200"/>
              <w:rPr>
                <w:b/>
                <w:sz w:val="21"/>
              </w:rPr>
            </w:pPr>
            <w:r>
              <w:rPr>
                <w:b/>
                <w:sz w:val="21"/>
              </w:rPr>
              <w:t>6.激光心肌</w:t>
            </w:r>
          </w:p>
          <w:p>
            <w:pPr>
              <w:pStyle w:val="TableParagraph"/>
              <w:spacing w:before="37"/>
              <w:ind w:left="200"/>
              <w:rPr>
                <w:b/>
                <w:sz w:val="21"/>
              </w:rPr>
            </w:pPr>
            <w:r>
              <w:rPr>
                <w:b/>
                <w:sz w:val="21"/>
              </w:rPr>
              <w:t>血运重建术</w:t>
            </w:r>
          </w:p>
        </w:tc>
        <w:tc>
          <w:tcPr>
            <w:tcW w:w="7842" w:type="dxa"/>
          </w:tcPr>
          <w:p>
            <w:pPr>
              <w:pStyle w:val="TableParagraph"/>
              <w:spacing w:line="205" w:lineRule="exact"/>
              <w:ind w:left="75"/>
              <w:rPr>
                <w:sz w:val="21"/>
              </w:rPr>
            </w:pPr>
            <w:r>
              <w:rPr>
                <w:sz w:val="21"/>
              </w:rPr>
              <w:t>指患有顽固性心绞痛，经持续药物治疗后无改善，冠状动脉搭桥手术及经皮血管成</w:t>
            </w:r>
          </w:p>
          <w:p>
            <w:pPr>
              <w:pStyle w:val="TableParagraph"/>
              <w:spacing w:line="273" w:lineRule="auto" w:before="37"/>
              <w:ind w:left="75" w:right="193"/>
              <w:rPr>
                <w:sz w:val="21"/>
              </w:rPr>
            </w:pPr>
            <w:r>
              <w:rPr>
                <w:sz w:val="21"/>
              </w:rPr>
              <w:t>形手术已失败或者被认为不者被认为不适合。在本公司认可医院内实际进行了开胸手术下或者胸腔镜下的激光心肌血运重建术。</w:t>
            </w:r>
          </w:p>
          <w:p>
            <w:pPr>
              <w:pStyle w:val="TableParagraph"/>
              <w:spacing w:line="273" w:lineRule="auto" w:before="7"/>
              <w:ind w:left="75" w:right="198"/>
              <w:rPr>
                <w:rFonts w:ascii="黑体" w:hAnsi="黑体" w:eastAsia="黑体" w:hint="eastAsia"/>
                <w:sz w:val="21"/>
              </w:rPr>
            </w:pPr>
            <w:r>
              <w:rPr>
                <w:rFonts w:ascii="黑体" w:hAnsi="黑体" w:eastAsia="黑体" w:hint="eastAsia"/>
                <w:sz w:val="21"/>
              </w:rPr>
              <w:t>被保险人已达到本合同所指重大疾病“急性心肌梗塞”或“严重冠心病”标准的， 本公司不承担本项手术保险责任。</w:t>
            </w:r>
          </w:p>
        </w:tc>
      </w:tr>
      <w:tr>
        <w:trPr>
          <w:trHeight w:val="2028" w:hRule="atLeast"/>
        </w:trPr>
        <w:tc>
          <w:tcPr>
            <w:tcW w:w="1543" w:type="dxa"/>
          </w:tcPr>
          <w:p>
            <w:pPr>
              <w:pStyle w:val="TableParagraph"/>
              <w:spacing w:line="273" w:lineRule="auto" w:before="58"/>
              <w:ind w:left="200" w:right="285"/>
              <w:rPr>
                <w:b/>
                <w:sz w:val="21"/>
              </w:rPr>
            </w:pPr>
            <w:r>
              <w:rPr>
                <w:b/>
                <w:sz w:val="21"/>
              </w:rPr>
              <w:t>7.慢性肾功能衰竭</w:t>
            </w:r>
          </w:p>
        </w:tc>
        <w:tc>
          <w:tcPr>
            <w:tcW w:w="7842" w:type="dxa"/>
          </w:tcPr>
          <w:p>
            <w:pPr>
              <w:pStyle w:val="TableParagraph"/>
              <w:spacing w:line="273" w:lineRule="auto" w:before="58"/>
              <w:ind w:left="75" w:right="234"/>
              <w:jc w:val="both"/>
              <w:rPr>
                <w:sz w:val="21"/>
              </w:rPr>
            </w:pPr>
            <w:r>
              <w:rPr>
                <w:spacing w:val="-5"/>
                <w:sz w:val="21"/>
              </w:rPr>
              <w:t>指被保险人因双肾功能慢性不可逆性损害达到肾功能衰竭期，但未达到本合同所指</w:t>
            </w:r>
            <w:r>
              <w:rPr>
                <w:w w:val="100"/>
                <w:sz w:val="21"/>
              </w:rPr>
              <w:t>重大疾病“终末期肾病（或称慢性肾功能衰竭尿毒症期</w:t>
            </w:r>
            <w:r>
              <w:rPr>
                <w:spacing w:val="-104"/>
                <w:w w:val="100"/>
                <w:sz w:val="21"/>
              </w:rPr>
              <w:t>）</w:t>
            </w:r>
            <w:r>
              <w:rPr>
                <w:w w:val="100"/>
                <w:sz w:val="21"/>
              </w:rPr>
              <w:t>”的标准。诊断必须满足</w:t>
            </w:r>
            <w:r>
              <w:rPr>
                <w:spacing w:val="-2"/>
                <w:sz w:val="21"/>
              </w:rPr>
              <w:t>所有以下标准。</w:t>
            </w:r>
          </w:p>
          <w:p>
            <w:pPr>
              <w:pStyle w:val="TableParagraph"/>
              <w:spacing w:before="7"/>
              <w:ind w:left="75"/>
              <w:jc w:val="both"/>
              <w:rPr>
                <w:sz w:val="21"/>
              </w:rPr>
            </w:pPr>
            <w:r>
              <w:rPr>
                <w:sz w:val="21"/>
              </w:rPr>
              <w:t>（1） GFR &lt; 25%；</w:t>
            </w:r>
          </w:p>
          <w:p>
            <w:pPr>
              <w:pStyle w:val="TableParagraph"/>
              <w:numPr>
                <w:ilvl w:val="0"/>
                <w:numId w:val="22"/>
              </w:numPr>
              <w:tabs>
                <w:tab w:pos="708" w:val="left" w:leader="none"/>
              </w:tabs>
              <w:spacing w:line="240" w:lineRule="auto" w:before="37" w:after="0"/>
              <w:ind w:left="707" w:right="0" w:hanging="632"/>
              <w:jc w:val="both"/>
              <w:rPr>
                <w:sz w:val="21"/>
              </w:rPr>
            </w:pPr>
            <w:r>
              <w:rPr>
                <w:sz w:val="21"/>
              </w:rPr>
              <w:t>Scr&gt;</w:t>
            </w:r>
            <w:r>
              <w:rPr>
                <w:spacing w:val="-1"/>
                <w:sz w:val="21"/>
              </w:rPr>
              <w:t> </w:t>
            </w:r>
            <w:r>
              <w:rPr>
                <w:sz w:val="21"/>
              </w:rPr>
              <w:t>5mg/dl</w:t>
            </w:r>
            <w:r>
              <w:rPr>
                <w:spacing w:val="-19"/>
                <w:sz w:val="21"/>
              </w:rPr>
              <w:t> 或&gt;</w:t>
            </w:r>
            <w:r>
              <w:rPr>
                <w:sz w:val="21"/>
              </w:rPr>
              <w:t>442umol/L；</w:t>
            </w:r>
          </w:p>
          <w:p>
            <w:pPr>
              <w:pStyle w:val="TableParagraph"/>
              <w:numPr>
                <w:ilvl w:val="0"/>
                <w:numId w:val="22"/>
              </w:numPr>
              <w:tabs>
                <w:tab w:pos="708" w:val="left" w:leader="none"/>
              </w:tabs>
              <w:spacing w:line="240" w:lineRule="auto" w:before="37" w:after="0"/>
              <w:ind w:left="707" w:right="0" w:hanging="632"/>
              <w:jc w:val="both"/>
              <w:rPr>
                <w:sz w:val="21"/>
              </w:rPr>
            </w:pPr>
            <w:r>
              <w:rPr>
                <w:spacing w:val="-18"/>
                <w:sz w:val="21"/>
              </w:rPr>
              <w:t>持续 </w:t>
            </w:r>
            <w:r>
              <w:rPr>
                <w:sz w:val="21"/>
              </w:rPr>
              <w:t>180</w:t>
            </w:r>
            <w:r>
              <w:rPr>
                <w:spacing w:val="-18"/>
                <w:sz w:val="21"/>
              </w:rPr>
              <w:t> 天。</w:t>
            </w:r>
          </w:p>
        </w:tc>
      </w:tr>
      <w:tr>
        <w:trPr>
          <w:trHeight w:val="789" w:hRule="atLeast"/>
        </w:trPr>
        <w:tc>
          <w:tcPr>
            <w:tcW w:w="1543" w:type="dxa"/>
          </w:tcPr>
          <w:p>
            <w:pPr>
              <w:pStyle w:val="TableParagraph"/>
              <w:spacing w:before="58"/>
              <w:ind w:left="200"/>
              <w:rPr>
                <w:b/>
                <w:sz w:val="21"/>
              </w:rPr>
            </w:pPr>
            <w:r>
              <w:rPr>
                <w:b/>
                <w:sz w:val="21"/>
              </w:rPr>
              <w:t>8.肾脏切除</w:t>
            </w:r>
          </w:p>
        </w:tc>
        <w:tc>
          <w:tcPr>
            <w:tcW w:w="7842" w:type="dxa"/>
          </w:tcPr>
          <w:p>
            <w:pPr>
              <w:pStyle w:val="TableParagraph"/>
              <w:spacing w:before="58"/>
              <w:ind w:left="75"/>
              <w:rPr>
                <w:sz w:val="21"/>
              </w:rPr>
            </w:pPr>
            <w:r>
              <w:rPr>
                <w:sz w:val="21"/>
              </w:rPr>
              <w:t>因疾病或者意外伤害导致至少单侧肾切除。</w:t>
            </w:r>
          </w:p>
          <w:p>
            <w:pPr>
              <w:pStyle w:val="TableParagraph"/>
              <w:spacing w:before="36"/>
              <w:ind w:left="75"/>
              <w:rPr>
                <w:rFonts w:ascii="黑体" w:eastAsia="黑体" w:hint="eastAsia"/>
                <w:sz w:val="21"/>
              </w:rPr>
            </w:pPr>
            <w:r>
              <w:rPr>
                <w:rFonts w:ascii="黑体" w:eastAsia="黑体" w:hint="eastAsia"/>
                <w:sz w:val="21"/>
              </w:rPr>
              <w:t>因捐赠肾脏而所需的肾脏切除不在保障范围内。</w:t>
            </w:r>
          </w:p>
        </w:tc>
      </w:tr>
      <w:tr>
        <w:trPr>
          <w:trHeight w:val="1101" w:hRule="atLeast"/>
        </w:trPr>
        <w:tc>
          <w:tcPr>
            <w:tcW w:w="1543" w:type="dxa"/>
          </w:tcPr>
          <w:p>
            <w:pPr>
              <w:pStyle w:val="TableParagraph"/>
              <w:spacing w:line="273" w:lineRule="auto" w:before="68"/>
              <w:ind w:left="200" w:right="285"/>
              <w:rPr>
                <w:b/>
                <w:sz w:val="21"/>
              </w:rPr>
            </w:pPr>
            <w:r>
              <w:rPr>
                <w:b/>
                <w:sz w:val="21"/>
              </w:rPr>
              <w:t>9.单个肢体缺失</w:t>
            </w:r>
          </w:p>
        </w:tc>
        <w:tc>
          <w:tcPr>
            <w:tcW w:w="7842" w:type="dxa"/>
          </w:tcPr>
          <w:p>
            <w:pPr>
              <w:pStyle w:val="TableParagraph"/>
              <w:spacing w:line="273" w:lineRule="auto" w:before="68"/>
              <w:ind w:left="75" w:right="184"/>
              <w:rPr>
                <w:sz w:val="21"/>
              </w:rPr>
            </w:pPr>
            <w:r>
              <w:rPr>
                <w:sz w:val="21"/>
              </w:rPr>
              <w:t>指一个肢体自腕关节或踝关节近端（靠近躯干端）以上完全性断离，但未达到本合同所指重大疾病“多个肢体缺失”的标准。</w:t>
            </w:r>
          </w:p>
          <w:p>
            <w:pPr>
              <w:pStyle w:val="TableParagraph"/>
              <w:spacing w:before="7"/>
              <w:ind w:left="75"/>
              <w:rPr>
                <w:rFonts w:ascii="黑体" w:hAnsi="黑体" w:eastAsia="黑体" w:hint="eastAsia"/>
                <w:sz w:val="21"/>
              </w:rPr>
            </w:pPr>
            <w:r>
              <w:rPr>
                <w:rFonts w:ascii="黑体" w:hAnsi="黑体" w:eastAsia="黑体" w:hint="eastAsia"/>
                <w:sz w:val="21"/>
              </w:rPr>
              <w:t>因“糖尿病导致单足切除”导致的单个肢体缺失不在本项保障范围内。</w:t>
            </w:r>
          </w:p>
        </w:tc>
      </w:tr>
      <w:tr>
        <w:trPr>
          <w:trHeight w:val="2340" w:hRule="atLeast"/>
        </w:trPr>
        <w:tc>
          <w:tcPr>
            <w:tcW w:w="1543" w:type="dxa"/>
          </w:tcPr>
          <w:p>
            <w:pPr>
              <w:pStyle w:val="TableParagraph"/>
              <w:spacing w:line="273" w:lineRule="auto" w:before="58"/>
              <w:ind w:left="200" w:right="179"/>
              <w:rPr>
                <w:b/>
                <w:sz w:val="21"/>
              </w:rPr>
            </w:pPr>
            <w:r>
              <w:rPr>
                <w:b/>
                <w:sz w:val="21"/>
              </w:rPr>
              <w:t>10.病毒性肝炎导致的肝硬化</w:t>
            </w:r>
          </w:p>
        </w:tc>
        <w:tc>
          <w:tcPr>
            <w:tcW w:w="7842" w:type="dxa"/>
          </w:tcPr>
          <w:p>
            <w:pPr>
              <w:pStyle w:val="TableParagraph"/>
              <w:spacing w:before="58"/>
              <w:ind w:left="75"/>
              <w:rPr>
                <w:sz w:val="21"/>
              </w:rPr>
            </w:pPr>
            <w:r>
              <w:rPr>
                <w:sz w:val="21"/>
              </w:rPr>
              <w:t>因肝炎病毒感染的肝脏慢性炎症并发展为肝硬化。理赔时须满足下列全部条件：</w:t>
            </w:r>
          </w:p>
          <w:p>
            <w:pPr>
              <w:pStyle w:val="TableParagraph"/>
              <w:numPr>
                <w:ilvl w:val="0"/>
                <w:numId w:val="23"/>
              </w:numPr>
              <w:tabs>
                <w:tab w:pos="708" w:val="left" w:leader="none"/>
              </w:tabs>
              <w:spacing w:line="240" w:lineRule="auto" w:before="36" w:after="0"/>
              <w:ind w:left="75" w:right="0" w:firstLine="0"/>
              <w:jc w:val="left"/>
              <w:rPr>
                <w:sz w:val="21"/>
              </w:rPr>
            </w:pPr>
            <w:r>
              <w:rPr>
                <w:spacing w:val="-3"/>
                <w:sz w:val="21"/>
              </w:rPr>
              <w:t>被保人有感染慢性肝炎病毒的血清学及实验室检查报告等临床证据；</w:t>
            </w:r>
          </w:p>
          <w:p>
            <w:pPr>
              <w:pStyle w:val="TableParagraph"/>
              <w:numPr>
                <w:ilvl w:val="0"/>
                <w:numId w:val="23"/>
              </w:numPr>
              <w:tabs>
                <w:tab w:pos="691" w:val="left" w:leader="none"/>
              </w:tabs>
              <w:spacing w:line="273" w:lineRule="auto" w:before="36" w:after="0"/>
              <w:ind w:left="75" w:right="234" w:firstLine="0"/>
              <w:jc w:val="left"/>
              <w:rPr>
                <w:sz w:val="21"/>
              </w:rPr>
            </w:pPr>
            <w:r>
              <w:rPr>
                <w:spacing w:val="-4"/>
                <w:sz w:val="21"/>
              </w:rPr>
              <w:t>必须由本公司认可医院的消化科专科医生基于肝脏组织病理学检查报告、临</w:t>
            </w:r>
            <w:r>
              <w:rPr>
                <w:spacing w:val="-3"/>
                <w:sz w:val="21"/>
              </w:rPr>
              <w:t>床表现及病史对肝炎病毒感染导致肝硬化作出明确诊断；</w:t>
            </w:r>
          </w:p>
          <w:p>
            <w:pPr>
              <w:pStyle w:val="TableParagraph"/>
              <w:numPr>
                <w:ilvl w:val="0"/>
                <w:numId w:val="23"/>
              </w:numPr>
              <w:tabs>
                <w:tab w:pos="672" w:val="left" w:leader="none"/>
              </w:tabs>
              <w:spacing w:line="273" w:lineRule="auto" w:before="7" w:after="0"/>
              <w:ind w:left="75" w:right="236" w:firstLine="0"/>
              <w:jc w:val="left"/>
              <w:rPr>
                <w:sz w:val="21"/>
              </w:rPr>
            </w:pPr>
            <w:r>
              <w:rPr>
                <w:spacing w:val="-7"/>
                <w:sz w:val="21"/>
              </w:rPr>
              <w:t>病理学检查报告证明肝脏病变按 </w:t>
            </w:r>
            <w:r>
              <w:rPr>
                <w:sz w:val="21"/>
              </w:rPr>
              <w:t>Metavir</w:t>
            </w:r>
            <w:r>
              <w:rPr>
                <w:spacing w:val="-9"/>
                <w:sz w:val="21"/>
              </w:rPr>
              <w:t> 分级表中属 </w:t>
            </w:r>
            <w:r>
              <w:rPr>
                <w:sz w:val="21"/>
              </w:rPr>
              <w:t>F4</w:t>
            </w:r>
            <w:r>
              <w:rPr>
                <w:spacing w:val="-11"/>
                <w:sz w:val="21"/>
              </w:rPr>
              <w:t> 阶段或 </w:t>
            </w:r>
            <w:r>
              <w:rPr>
                <w:sz w:val="21"/>
              </w:rPr>
              <w:t>Knodell</w:t>
            </w:r>
            <w:r>
              <w:rPr>
                <w:spacing w:val="-26"/>
                <w:sz w:val="21"/>
              </w:rPr>
              <w:t> 肝</w:t>
            </w:r>
            <w:r>
              <w:rPr>
                <w:spacing w:val="-16"/>
                <w:sz w:val="21"/>
              </w:rPr>
              <w:t>纤维化标准达到 </w:t>
            </w:r>
            <w:r>
              <w:rPr>
                <w:sz w:val="21"/>
              </w:rPr>
              <w:t>4</w:t>
            </w:r>
            <w:r>
              <w:rPr>
                <w:spacing w:val="0"/>
                <w:sz w:val="21"/>
              </w:rPr>
              <w:t> 分。</w:t>
            </w:r>
          </w:p>
          <w:p>
            <w:pPr>
              <w:pStyle w:val="TableParagraph"/>
              <w:spacing w:before="7"/>
              <w:ind w:left="75"/>
              <w:rPr>
                <w:rFonts w:ascii="黑体" w:eastAsia="黑体" w:hint="eastAsia"/>
                <w:sz w:val="21"/>
              </w:rPr>
            </w:pPr>
            <w:r>
              <w:rPr>
                <w:rFonts w:ascii="黑体" w:eastAsia="黑体" w:hint="eastAsia"/>
                <w:sz w:val="21"/>
              </w:rPr>
              <w:t>由酒精或药物滥用而引起的本疾病不在保障范围内。</w:t>
            </w:r>
          </w:p>
        </w:tc>
      </w:tr>
      <w:tr>
        <w:trPr>
          <w:trHeight w:val="1718" w:hRule="atLeast"/>
        </w:trPr>
        <w:tc>
          <w:tcPr>
            <w:tcW w:w="1543" w:type="dxa"/>
          </w:tcPr>
          <w:p>
            <w:pPr>
              <w:pStyle w:val="TableParagraph"/>
              <w:spacing w:line="273" w:lineRule="auto" w:before="58"/>
              <w:ind w:left="200" w:right="73"/>
              <w:rPr>
                <w:b/>
                <w:sz w:val="21"/>
              </w:rPr>
            </w:pPr>
            <w:r>
              <w:rPr>
                <w:b/>
                <w:sz w:val="21"/>
              </w:rPr>
              <w:t>11.脑垂体  瘤、脑囊肿、脑动脉瘤及 脑血管瘤</w:t>
            </w:r>
          </w:p>
        </w:tc>
        <w:tc>
          <w:tcPr>
            <w:tcW w:w="7842" w:type="dxa"/>
          </w:tcPr>
          <w:p>
            <w:pPr>
              <w:pStyle w:val="TableParagraph"/>
              <w:spacing w:line="273" w:lineRule="auto" w:before="58"/>
              <w:ind w:left="75" w:right="233"/>
              <w:rPr>
                <w:sz w:val="21"/>
              </w:rPr>
            </w:pPr>
            <w:r>
              <w:rPr>
                <w:spacing w:val="-4"/>
                <w:w w:val="100"/>
                <w:sz w:val="21"/>
              </w:rPr>
              <w:t>指经头颅断层扫描</w:t>
            </w:r>
            <w:r>
              <w:rPr>
                <w:w w:val="100"/>
                <w:sz w:val="21"/>
              </w:rPr>
              <w:t>（</w:t>
            </w:r>
            <w:r>
              <w:rPr>
                <w:spacing w:val="-3"/>
                <w:w w:val="100"/>
                <w:sz w:val="21"/>
              </w:rPr>
              <w:t>C</w:t>
            </w:r>
            <w:r>
              <w:rPr>
                <w:w w:val="100"/>
                <w:sz w:val="21"/>
              </w:rPr>
              <w:t>T</w:t>
            </w:r>
            <w:r>
              <w:rPr>
                <w:spacing w:val="-106"/>
                <w:w w:val="100"/>
                <w:sz w:val="21"/>
              </w:rPr>
              <w:t>）</w:t>
            </w:r>
            <w:r>
              <w:rPr>
                <w:spacing w:val="-5"/>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3"/>
                <w:w w:val="100"/>
                <w:sz w:val="21"/>
              </w:rPr>
              <w:t>）</w:t>
            </w:r>
            <w:r>
              <w:rPr>
                <w:spacing w:val="-3"/>
                <w:w w:val="100"/>
                <w:sz w:val="21"/>
              </w:rPr>
              <w:t>或者其他影像学检查被确诊为下列</w:t>
            </w:r>
            <w:r>
              <w:rPr>
                <w:spacing w:val="-3"/>
                <w:sz w:val="21"/>
              </w:rPr>
              <w:t>病变，并实际接受了手术或者放射治疗。</w:t>
            </w:r>
          </w:p>
          <w:p>
            <w:pPr>
              <w:pStyle w:val="TableParagraph"/>
              <w:numPr>
                <w:ilvl w:val="0"/>
                <w:numId w:val="24"/>
              </w:numPr>
              <w:tabs>
                <w:tab w:pos="708" w:val="left" w:leader="none"/>
              </w:tabs>
              <w:spacing w:line="240" w:lineRule="auto" w:before="7" w:after="0"/>
              <w:ind w:left="707" w:right="0" w:hanging="632"/>
              <w:jc w:val="left"/>
              <w:rPr>
                <w:sz w:val="21"/>
              </w:rPr>
            </w:pPr>
            <w:r>
              <w:rPr>
                <w:spacing w:val="-3"/>
                <w:sz w:val="21"/>
              </w:rPr>
              <w:t>脑垂体瘤；</w:t>
            </w:r>
          </w:p>
          <w:p>
            <w:pPr>
              <w:pStyle w:val="TableParagraph"/>
              <w:numPr>
                <w:ilvl w:val="0"/>
                <w:numId w:val="24"/>
              </w:numPr>
              <w:tabs>
                <w:tab w:pos="708" w:val="left" w:leader="none"/>
              </w:tabs>
              <w:spacing w:line="240" w:lineRule="auto" w:before="37" w:after="0"/>
              <w:ind w:left="707" w:right="0" w:hanging="632"/>
              <w:jc w:val="left"/>
              <w:rPr>
                <w:sz w:val="21"/>
              </w:rPr>
            </w:pPr>
            <w:r>
              <w:rPr>
                <w:spacing w:val="-2"/>
                <w:sz w:val="21"/>
              </w:rPr>
              <w:t>脑囊肿；</w:t>
            </w:r>
          </w:p>
          <w:p>
            <w:pPr>
              <w:pStyle w:val="TableParagraph"/>
              <w:numPr>
                <w:ilvl w:val="0"/>
                <w:numId w:val="24"/>
              </w:numPr>
              <w:tabs>
                <w:tab w:pos="708" w:val="left" w:leader="none"/>
              </w:tabs>
              <w:spacing w:line="240" w:lineRule="auto" w:before="37" w:after="0"/>
              <w:ind w:left="707" w:right="0" w:hanging="632"/>
              <w:jc w:val="left"/>
              <w:rPr>
                <w:sz w:val="21"/>
              </w:rPr>
            </w:pPr>
            <w:r>
              <w:rPr>
                <w:spacing w:val="-3"/>
                <w:sz w:val="21"/>
              </w:rPr>
              <w:t>脑动脉瘤、脑血管瘤。</w:t>
            </w:r>
          </w:p>
        </w:tc>
      </w:tr>
      <w:tr>
        <w:trPr>
          <w:trHeight w:val="2343" w:hRule="atLeast"/>
        </w:trPr>
        <w:tc>
          <w:tcPr>
            <w:tcW w:w="1543" w:type="dxa"/>
          </w:tcPr>
          <w:p>
            <w:pPr>
              <w:pStyle w:val="TableParagraph"/>
              <w:spacing w:line="273" w:lineRule="auto" w:before="61"/>
              <w:ind w:left="200" w:right="179"/>
              <w:rPr>
                <w:b/>
                <w:sz w:val="21"/>
              </w:rPr>
            </w:pPr>
            <w:r>
              <w:rPr>
                <w:b/>
                <w:sz w:val="21"/>
              </w:rPr>
              <w:t>12.慢性肝功能衰竭</w:t>
            </w:r>
          </w:p>
        </w:tc>
        <w:tc>
          <w:tcPr>
            <w:tcW w:w="7842" w:type="dxa"/>
          </w:tcPr>
          <w:p>
            <w:pPr>
              <w:pStyle w:val="TableParagraph"/>
              <w:spacing w:line="273" w:lineRule="auto" w:before="61"/>
              <w:ind w:left="75" w:right="234"/>
              <w:rPr>
                <w:sz w:val="21"/>
              </w:rPr>
            </w:pPr>
            <w:r>
              <w:rPr>
                <w:spacing w:val="-6"/>
                <w:sz w:val="21"/>
              </w:rPr>
              <w:t>指因慢性肝脏疾病导致肝功能衰竭，但未达到本合同所指重大疾病“慢性肝功能衰</w:t>
            </w:r>
            <w:r>
              <w:rPr>
                <w:spacing w:val="-4"/>
                <w:sz w:val="21"/>
              </w:rPr>
              <w:t>竭失代偿期”的标准。须满足下列任意三个条件：</w:t>
            </w:r>
          </w:p>
          <w:p>
            <w:pPr>
              <w:pStyle w:val="TableParagraph"/>
              <w:numPr>
                <w:ilvl w:val="0"/>
                <w:numId w:val="25"/>
              </w:numPr>
              <w:tabs>
                <w:tab w:pos="708" w:val="left" w:leader="none"/>
              </w:tabs>
              <w:spacing w:line="240" w:lineRule="auto" w:before="7" w:after="0"/>
              <w:ind w:left="707" w:right="0" w:hanging="632"/>
              <w:jc w:val="left"/>
              <w:rPr>
                <w:sz w:val="21"/>
              </w:rPr>
            </w:pPr>
            <w:r>
              <w:rPr>
                <w:spacing w:val="-3"/>
                <w:sz w:val="21"/>
              </w:rPr>
              <w:t>持续性黄疸；</w:t>
            </w:r>
          </w:p>
          <w:p>
            <w:pPr>
              <w:pStyle w:val="TableParagraph"/>
              <w:numPr>
                <w:ilvl w:val="0"/>
                <w:numId w:val="25"/>
              </w:numPr>
              <w:tabs>
                <w:tab w:pos="708" w:val="left" w:leader="none"/>
              </w:tabs>
              <w:spacing w:line="240" w:lineRule="auto" w:before="36" w:after="0"/>
              <w:ind w:left="707" w:right="0" w:hanging="632"/>
              <w:jc w:val="left"/>
              <w:rPr>
                <w:sz w:val="21"/>
              </w:rPr>
            </w:pPr>
            <w:r>
              <w:rPr>
                <w:spacing w:val="-2"/>
                <w:sz w:val="21"/>
              </w:rPr>
              <w:t>腹水；</w:t>
            </w:r>
          </w:p>
          <w:p>
            <w:pPr>
              <w:pStyle w:val="TableParagraph"/>
              <w:numPr>
                <w:ilvl w:val="0"/>
                <w:numId w:val="25"/>
              </w:numPr>
              <w:tabs>
                <w:tab w:pos="708" w:val="left" w:leader="none"/>
              </w:tabs>
              <w:spacing w:line="240" w:lineRule="auto" w:before="36" w:after="0"/>
              <w:ind w:left="707" w:right="0" w:hanging="632"/>
              <w:jc w:val="left"/>
              <w:rPr>
                <w:sz w:val="21"/>
              </w:rPr>
            </w:pPr>
            <w:r>
              <w:rPr>
                <w:spacing w:val="-2"/>
                <w:sz w:val="21"/>
              </w:rPr>
              <w:t>肝性脑病</w:t>
            </w:r>
          </w:p>
          <w:p>
            <w:pPr>
              <w:pStyle w:val="TableParagraph"/>
              <w:numPr>
                <w:ilvl w:val="0"/>
                <w:numId w:val="25"/>
              </w:numPr>
              <w:tabs>
                <w:tab w:pos="708" w:val="left" w:leader="none"/>
              </w:tabs>
              <w:spacing w:line="240" w:lineRule="auto" w:before="36" w:after="0"/>
              <w:ind w:left="707" w:right="0" w:hanging="632"/>
              <w:jc w:val="left"/>
              <w:rPr>
                <w:sz w:val="21"/>
              </w:rPr>
            </w:pPr>
            <w:r>
              <w:rPr>
                <w:spacing w:val="-3"/>
                <w:sz w:val="21"/>
              </w:rPr>
              <w:t>充血性脾肿大伴脾功能亢进或食管胃底静脉曲张。</w:t>
            </w:r>
          </w:p>
          <w:p>
            <w:pPr>
              <w:pStyle w:val="TableParagraph"/>
              <w:spacing w:before="36"/>
              <w:ind w:left="75"/>
              <w:rPr>
                <w:rFonts w:ascii="黑体" w:eastAsia="黑体" w:hint="eastAsia"/>
                <w:sz w:val="21"/>
              </w:rPr>
            </w:pPr>
            <w:r>
              <w:rPr>
                <w:rFonts w:ascii="黑体" w:eastAsia="黑体" w:hint="eastAsia"/>
                <w:sz w:val="21"/>
              </w:rPr>
              <w:t>因酗酒或药物滥用导致的肝功能衰竭不在保障范围内。</w:t>
            </w:r>
          </w:p>
        </w:tc>
      </w:tr>
      <w:tr>
        <w:trPr>
          <w:trHeight w:val="1587" w:hRule="atLeast"/>
        </w:trPr>
        <w:tc>
          <w:tcPr>
            <w:tcW w:w="1543" w:type="dxa"/>
          </w:tcPr>
          <w:p>
            <w:pPr>
              <w:pStyle w:val="TableParagraph"/>
              <w:spacing w:before="58"/>
              <w:ind w:left="200"/>
              <w:rPr>
                <w:b/>
                <w:sz w:val="21"/>
              </w:rPr>
            </w:pPr>
            <w:r>
              <w:rPr>
                <w:b/>
                <w:sz w:val="21"/>
              </w:rPr>
              <w:t>13.单耳失聪</w:t>
            </w:r>
          </w:p>
        </w:tc>
        <w:tc>
          <w:tcPr>
            <w:tcW w:w="7842" w:type="dxa"/>
          </w:tcPr>
          <w:p>
            <w:pPr>
              <w:pStyle w:val="TableParagraph"/>
              <w:spacing w:line="273" w:lineRule="auto" w:before="58"/>
              <w:ind w:left="75" w:right="234"/>
              <w:rPr>
                <w:sz w:val="21"/>
              </w:rPr>
            </w:pPr>
            <w:r>
              <w:rPr>
                <w:spacing w:val="-5"/>
                <w:sz w:val="21"/>
              </w:rPr>
              <w:t>指因疾病或者意外伤害导致单耳听力永久不可逆性丧失，未达到重大疾病“双耳失</w:t>
            </w:r>
            <w:r>
              <w:rPr>
                <w:spacing w:val="-7"/>
                <w:sz w:val="21"/>
              </w:rPr>
              <w:t>聪”的给付标准，但满足以下条件：在 </w:t>
            </w:r>
            <w:r>
              <w:rPr>
                <w:sz w:val="21"/>
              </w:rPr>
              <w:t>500</w:t>
            </w:r>
            <w:r>
              <w:rPr>
                <w:spacing w:val="-13"/>
                <w:sz w:val="21"/>
              </w:rPr>
              <w:t> 赫兹、</w:t>
            </w:r>
            <w:r>
              <w:rPr>
                <w:sz w:val="21"/>
              </w:rPr>
              <w:t>1000</w:t>
            </w:r>
            <w:r>
              <w:rPr>
                <w:spacing w:val="-19"/>
                <w:sz w:val="21"/>
              </w:rPr>
              <w:t> 赫兹和 </w:t>
            </w:r>
            <w:r>
              <w:rPr>
                <w:sz w:val="21"/>
              </w:rPr>
              <w:t>2000</w:t>
            </w:r>
            <w:r>
              <w:rPr>
                <w:spacing w:val="-9"/>
                <w:sz w:val="21"/>
              </w:rPr>
              <w:t> 赫兹语音频率</w:t>
            </w:r>
          </w:p>
          <w:p>
            <w:pPr>
              <w:pStyle w:val="TableParagraph"/>
              <w:spacing w:line="273" w:lineRule="auto" w:before="7"/>
              <w:ind w:left="75" w:right="180"/>
              <w:rPr>
                <w:sz w:val="21"/>
              </w:rPr>
            </w:pPr>
            <w:r>
              <w:rPr>
                <w:sz w:val="21"/>
              </w:rPr>
              <w:t>下，平均听阈大于 90 分贝，且经纯音听力测试、声导抗检测或者听觉诱发电位检测等证实。</w:t>
            </w:r>
          </w:p>
          <w:p>
            <w:pPr>
              <w:pStyle w:val="TableParagraph"/>
              <w:spacing w:line="261" w:lineRule="exact" w:before="8"/>
              <w:ind w:left="75"/>
              <w:rPr>
                <w:rFonts w:ascii="黑体" w:eastAsia="黑体" w:hint="eastAsia"/>
                <w:sz w:val="21"/>
              </w:rPr>
            </w:pPr>
            <w:r>
              <w:rPr>
                <w:rFonts w:ascii="黑体" w:eastAsia="黑体" w:hint="eastAsia"/>
                <w:sz w:val="21"/>
              </w:rPr>
              <w:t>被保险人在 3 周岁之前因疾病导致的单耳失聪不在保障范围内。</w:t>
            </w:r>
          </w:p>
        </w:tc>
      </w:tr>
    </w:tbl>
    <w:p>
      <w:pPr>
        <w:spacing w:after="0" w:line="261" w:lineRule="exact"/>
        <w:rPr>
          <w:rFonts w:ascii="黑体" w:eastAsia="黑体" w:hint="eastAsia"/>
          <w:sz w:val="21"/>
        </w:rPr>
        <w:sectPr>
          <w:pgSz w:w="11910" w:h="16840"/>
          <w:pgMar w:header="0" w:footer="377" w:top="1340" w:bottom="560" w:left="1520" w:right="7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0"/>
        <w:gridCol w:w="7964"/>
      </w:tblGrid>
      <w:tr>
        <w:trPr>
          <w:trHeight w:val="1281" w:hRule="atLeast"/>
        </w:trPr>
        <w:tc>
          <w:tcPr>
            <w:tcW w:w="1490" w:type="dxa"/>
          </w:tcPr>
          <w:p>
            <w:pPr>
              <w:pStyle w:val="TableParagraph"/>
              <w:spacing w:line="205" w:lineRule="exact"/>
              <w:ind w:left="200"/>
              <w:rPr>
                <w:b/>
                <w:sz w:val="21"/>
              </w:rPr>
            </w:pPr>
            <w:r>
              <w:rPr>
                <w:b/>
                <w:sz w:val="21"/>
              </w:rPr>
              <w:t>14.人工耳蜗</w:t>
            </w:r>
          </w:p>
          <w:p>
            <w:pPr>
              <w:pStyle w:val="TableParagraph"/>
              <w:spacing w:before="37"/>
              <w:ind w:left="200"/>
              <w:rPr>
                <w:b/>
                <w:sz w:val="21"/>
              </w:rPr>
            </w:pPr>
            <w:r>
              <w:rPr>
                <w:b/>
                <w:sz w:val="21"/>
              </w:rPr>
              <w:t>植入术</w:t>
            </w:r>
          </w:p>
        </w:tc>
        <w:tc>
          <w:tcPr>
            <w:tcW w:w="7964" w:type="dxa"/>
          </w:tcPr>
          <w:p>
            <w:pPr>
              <w:pStyle w:val="TableParagraph"/>
              <w:spacing w:line="205" w:lineRule="exact"/>
              <w:ind w:left="128"/>
              <w:rPr>
                <w:sz w:val="21"/>
              </w:rPr>
            </w:pPr>
            <w:r>
              <w:rPr>
                <w:sz w:val="21"/>
              </w:rPr>
              <w:t>指由于耳蜗的永久损害而实际实施了人工耳蜗植入手术。诊断须经专科医生确认在</w:t>
            </w:r>
          </w:p>
          <w:p>
            <w:pPr>
              <w:pStyle w:val="TableParagraph"/>
              <w:spacing w:before="37"/>
              <w:ind w:left="128"/>
              <w:rPr>
                <w:sz w:val="21"/>
              </w:rPr>
            </w:pPr>
            <w:r>
              <w:rPr>
                <w:sz w:val="21"/>
              </w:rPr>
              <w:t>医学上是必要的，且在植入手术之前已经符合下列全部条件：</w:t>
            </w:r>
          </w:p>
          <w:p>
            <w:pPr>
              <w:pStyle w:val="TableParagraph"/>
              <w:spacing w:before="37"/>
              <w:ind w:left="128"/>
              <w:rPr>
                <w:sz w:val="21"/>
              </w:rPr>
            </w:pPr>
            <w:r>
              <w:rPr>
                <w:sz w:val="21"/>
              </w:rPr>
              <w:t>1.双耳持续 12 个月以上重度感音神经性耳聋；</w:t>
            </w:r>
          </w:p>
          <w:p>
            <w:pPr>
              <w:pStyle w:val="TableParagraph"/>
              <w:spacing w:before="37"/>
              <w:ind w:left="128"/>
              <w:rPr>
                <w:sz w:val="21"/>
              </w:rPr>
            </w:pPr>
            <w:r>
              <w:rPr>
                <w:sz w:val="21"/>
              </w:rPr>
              <w:t>2.使用相应的听力辅助设备效果不佳。</w:t>
            </w:r>
          </w:p>
        </w:tc>
      </w:tr>
      <w:tr>
        <w:trPr>
          <w:trHeight w:val="1721" w:hRule="atLeast"/>
        </w:trPr>
        <w:tc>
          <w:tcPr>
            <w:tcW w:w="1490" w:type="dxa"/>
          </w:tcPr>
          <w:p>
            <w:pPr>
              <w:pStyle w:val="TableParagraph"/>
              <w:spacing w:line="273" w:lineRule="auto" w:before="64"/>
              <w:ind w:left="200" w:right="126"/>
              <w:rPr>
                <w:b/>
                <w:sz w:val="21"/>
              </w:rPr>
            </w:pPr>
            <w:r>
              <w:rPr>
                <w:b/>
                <w:sz w:val="21"/>
              </w:rPr>
              <w:t>15.听力严重受损</w:t>
            </w:r>
          </w:p>
        </w:tc>
        <w:tc>
          <w:tcPr>
            <w:tcW w:w="7964" w:type="dxa"/>
          </w:tcPr>
          <w:p>
            <w:pPr>
              <w:pStyle w:val="TableParagraph"/>
              <w:spacing w:before="64"/>
              <w:ind w:left="128"/>
              <w:rPr>
                <w:sz w:val="21"/>
              </w:rPr>
            </w:pPr>
            <w:r>
              <w:rPr>
                <w:sz w:val="21"/>
              </w:rPr>
              <w:t>指因疾病或意外伤害导致双耳听力永久不可逆性丧失，在 500 赫兹、1000 赫兹和</w:t>
            </w:r>
          </w:p>
          <w:p>
            <w:pPr>
              <w:pStyle w:val="TableParagraph"/>
              <w:spacing w:line="273" w:lineRule="auto" w:before="36"/>
              <w:ind w:left="128" w:right="303"/>
              <w:rPr>
                <w:sz w:val="21"/>
              </w:rPr>
            </w:pPr>
            <w:r>
              <w:rPr>
                <w:sz w:val="21"/>
              </w:rPr>
              <w:t>2000</w:t>
            </w:r>
            <w:r>
              <w:rPr>
                <w:spacing w:val="-9"/>
                <w:sz w:val="21"/>
              </w:rPr>
              <w:t> 赫兹语音频率下，平均听阈大于 </w:t>
            </w:r>
            <w:r>
              <w:rPr>
                <w:sz w:val="21"/>
              </w:rPr>
              <w:t>70</w:t>
            </w:r>
            <w:r>
              <w:rPr>
                <w:spacing w:val="-7"/>
                <w:sz w:val="21"/>
              </w:rPr>
              <w:t> 分贝，且经纯音听力测试、声导抗检测或</w:t>
            </w:r>
            <w:r>
              <w:rPr>
                <w:spacing w:val="-5"/>
                <w:sz w:val="21"/>
              </w:rPr>
              <w:t>听觉诱发电位检测等证实。</w:t>
            </w:r>
          </w:p>
          <w:p>
            <w:pPr>
              <w:pStyle w:val="TableParagraph"/>
              <w:spacing w:line="273" w:lineRule="auto" w:before="7"/>
              <w:ind w:left="128" w:right="303"/>
              <w:rPr>
                <w:rFonts w:ascii="黑体" w:eastAsia="黑体" w:hint="eastAsia"/>
                <w:sz w:val="21"/>
              </w:rPr>
            </w:pPr>
            <w:r>
              <w:rPr>
                <w:rFonts w:ascii="黑体" w:eastAsia="黑体" w:hint="eastAsia"/>
                <w:spacing w:val="-6"/>
                <w:sz w:val="21"/>
              </w:rPr>
              <w:t>被保险人申请理赔时年龄必须在 </w:t>
            </w:r>
            <w:r>
              <w:rPr>
                <w:rFonts w:ascii="黑体" w:eastAsia="黑体" w:hint="eastAsia"/>
                <w:sz w:val="21"/>
              </w:rPr>
              <w:t>3</w:t>
            </w:r>
            <w:r>
              <w:rPr>
                <w:rFonts w:ascii="黑体" w:eastAsia="黑体" w:hint="eastAsia"/>
                <w:spacing w:val="-9"/>
                <w:sz w:val="21"/>
              </w:rPr>
              <w:t> 周岁以上，并且提供理赔当时的听力丧失诊断及</w:t>
            </w:r>
            <w:r>
              <w:rPr>
                <w:rFonts w:ascii="黑体" w:eastAsia="黑体" w:hint="eastAsia"/>
                <w:spacing w:val="-5"/>
                <w:sz w:val="21"/>
              </w:rPr>
              <w:t>检查证据。</w:t>
            </w:r>
          </w:p>
        </w:tc>
      </w:tr>
      <w:tr>
        <w:trPr>
          <w:trHeight w:val="2340" w:hRule="atLeast"/>
        </w:trPr>
        <w:tc>
          <w:tcPr>
            <w:tcW w:w="1490" w:type="dxa"/>
          </w:tcPr>
          <w:p>
            <w:pPr>
              <w:pStyle w:val="TableParagraph"/>
              <w:spacing w:line="273" w:lineRule="auto" w:before="58"/>
              <w:ind w:left="200" w:right="126"/>
              <w:rPr>
                <w:b/>
                <w:sz w:val="21"/>
              </w:rPr>
            </w:pPr>
            <w:r>
              <w:rPr>
                <w:b/>
                <w:sz w:val="21"/>
              </w:rPr>
              <w:t>16.视力严重受损</w:t>
            </w:r>
          </w:p>
        </w:tc>
        <w:tc>
          <w:tcPr>
            <w:tcW w:w="7964" w:type="dxa"/>
          </w:tcPr>
          <w:p>
            <w:pPr>
              <w:pStyle w:val="TableParagraph"/>
              <w:spacing w:line="273" w:lineRule="auto" w:before="58"/>
              <w:ind w:left="128" w:right="262"/>
              <w:rPr>
                <w:sz w:val="21"/>
              </w:rPr>
            </w:pPr>
            <w:r>
              <w:rPr>
                <w:sz w:val="21"/>
              </w:rPr>
              <w:t>指因疾病或者意外伤害导致双眼视力永久不可逆性丧失，虽然未达到重大疾病“双目失明”的给付标准，但满足下列条件之一：</w:t>
            </w:r>
          </w:p>
          <w:p>
            <w:pPr>
              <w:pStyle w:val="TableParagraph"/>
              <w:numPr>
                <w:ilvl w:val="0"/>
                <w:numId w:val="26"/>
              </w:numPr>
              <w:tabs>
                <w:tab w:pos="761" w:val="left" w:leader="none"/>
              </w:tabs>
              <w:spacing w:line="273" w:lineRule="auto" w:before="7" w:after="0"/>
              <w:ind w:left="128" w:right="303" w:firstLine="0"/>
              <w:jc w:val="left"/>
              <w:rPr>
                <w:sz w:val="21"/>
              </w:rPr>
            </w:pPr>
            <w:r>
              <w:rPr>
                <w:spacing w:val="-4"/>
                <w:sz w:val="21"/>
              </w:rPr>
              <w:t>双眼中较好眼矫正视力低于 </w:t>
            </w:r>
            <w:r>
              <w:rPr>
                <w:sz w:val="21"/>
              </w:rPr>
              <w:t>0.1（</w:t>
            </w:r>
            <w:r>
              <w:rPr>
                <w:spacing w:val="-3"/>
                <w:sz w:val="21"/>
              </w:rPr>
              <w:t>采用国际标准视力表，如果使用其他视力</w:t>
            </w:r>
            <w:r>
              <w:rPr>
                <w:spacing w:val="-3"/>
                <w:w w:val="100"/>
                <w:sz w:val="21"/>
              </w:rPr>
              <w:t>表应进行换算</w:t>
            </w:r>
            <w:r>
              <w:rPr>
                <w:spacing w:val="-108"/>
                <w:w w:val="100"/>
                <w:sz w:val="21"/>
              </w:rPr>
              <w:t>）</w:t>
            </w:r>
            <w:r>
              <w:rPr>
                <w:w w:val="100"/>
                <w:sz w:val="21"/>
              </w:rPr>
              <w:t>；</w:t>
            </w:r>
          </w:p>
          <w:p>
            <w:pPr>
              <w:pStyle w:val="TableParagraph"/>
              <w:numPr>
                <w:ilvl w:val="0"/>
                <w:numId w:val="26"/>
              </w:numPr>
              <w:tabs>
                <w:tab w:pos="761" w:val="left" w:leader="none"/>
              </w:tabs>
              <w:spacing w:line="240" w:lineRule="auto" w:before="7" w:after="0"/>
              <w:ind w:left="128" w:right="0" w:firstLine="0"/>
              <w:jc w:val="left"/>
              <w:rPr>
                <w:sz w:val="21"/>
              </w:rPr>
            </w:pPr>
            <w:r>
              <w:rPr>
                <w:spacing w:val="-7"/>
                <w:sz w:val="21"/>
              </w:rPr>
              <w:t>双眼中较好眼视野半径小于 </w:t>
            </w:r>
            <w:r>
              <w:rPr>
                <w:sz w:val="21"/>
              </w:rPr>
              <w:t>20 度。</w:t>
            </w:r>
          </w:p>
          <w:p>
            <w:pPr>
              <w:pStyle w:val="TableParagraph"/>
              <w:spacing w:line="273" w:lineRule="auto" w:before="36"/>
              <w:ind w:left="128" w:right="303"/>
              <w:rPr>
                <w:rFonts w:ascii="黑体" w:eastAsia="黑体" w:hint="eastAsia"/>
                <w:sz w:val="21"/>
              </w:rPr>
            </w:pPr>
            <w:r>
              <w:rPr>
                <w:rFonts w:ascii="黑体" w:eastAsia="黑体" w:hint="eastAsia"/>
                <w:spacing w:val="-6"/>
                <w:sz w:val="21"/>
              </w:rPr>
              <w:t>被保险人申请理赔时年龄必须在 </w:t>
            </w:r>
            <w:r>
              <w:rPr>
                <w:rFonts w:ascii="黑体" w:eastAsia="黑体" w:hint="eastAsia"/>
                <w:sz w:val="21"/>
              </w:rPr>
              <w:t>3</w:t>
            </w:r>
            <w:r>
              <w:rPr>
                <w:rFonts w:ascii="黑体" w:eastAsia="黑体" w:hint="eastAsia"/>
                <w:spacing w:val="-9"/>
                <w:sz w:val="21"/>
              </w:rPr>
              <w:t> 周岁以上，并且提供理赔当时的视力丧失诊断及</w:t>
            </w:r>
            <w:r>
              <w:rPr>
                <w:rFonts w:ascii="黑体" w:eastAsia="黑体" w:hint="eastAsia"/>
                <w:spacing w:val="-5"/>
                <w:sz w:val="21"/>
              </w:rPr>
              <w:t>检查证据。</w:t>
            </w:r>
          </w:p>
        </w:tc>
      </w:tr>
      <w:tr>
        <w:trPr>
          <w:trHeight w:val="780" w:hRule="atLeast"/>
        </w:trPr>
        <w:tc>
          <w:tcPr>
            <w:tcW w:w="1490" w:type="dxa"/>
          </w:tcPr>
          <w:p>
            <w:pPr>
              <w:pStyle w:val="TableParagraph"/>
              <w:spacing w:before="58"/>
              <w:ind w:left="0" w:right="126"/>
              <w:jc w:val="right"/>
              <w:rPr>
                <w:b/>
                <w:sz w:val="21"/>
              </w:rPr>
            </w:pPr>
            <w:r>
              <w:rPr>
                <w:b/>
                <w:sz w:val="21"/>
              </w:rPr>
              <w:t>17.角膜移植</w:t>
            </w:r>
          </w:p>
        </w:tc>
        <w:tc>
          <w:tcPr>
            <w:tcW w:w="7964" w:type="dxa"/>
          </w:tcPr>
          <w:p>
            <w:pPr>
              <w:pStyle w:val="TableParagraph"/>
              <w:spacing w:before="58"/>
              <w:ind w:left="128"/>
              <w:rPr>
                <w:sz w:val="21"/>
              </w:rPr>
            </w:pPr>
            <w:r>
              <w:rPr>
                <w:sz w:val="21"/>
              </w:rPr>
              <w:t>指为增进视力或治疗某些角膜疾患，已经实施了异体的角膜移植手术。</w:t>
            </w:r>
          </w:p>
          <w:p>
            <w:pPr>
              <w:pStyle w:val="TableParagraph"/>
              <w:spacing w:before="36"/>
              <w:ind w:left="128"/>
              <w:rPr>
                <w:sz w:val="21"/>
              </w:rPr>
            </w:pPr>
            <w:r>
              <w:rPr>
                <w:sz w:val="21"/>
              </w:rPr>
              <w:t>此手术必须在本公司认可医院内由专科医生认为是医疗必须的情况下进行。</w:t>
            </w:r>
          </w:p>
        </w:tc>
      </w:tr>
      <w:tr>
        <w:trPr>
          <w:trHeight w:val="2964" w:hRule="atLeast"/>
        </w:trPr>
        <w:tc>
          <w:tcPr>
            <w:tcW w:w="1490" w:type="dxa"/>
          </w:tcPr>
          <w:p>
            <w:pPr>
              <w:pStyle w:val="TableParagraph"/>
              <w:spacing w:before="58"/>
              <w:ind w:left="0" w:right="126"/>
              <w:jc w:val="right"/>
              <w:rPr>
                <w:b/>
                <w:sz w:val="21"/>
              </w:rPr>
            </w:pPr>
            <w:r>
              <w:rPr>
                <w:b/>
                <w:sz w:val="21"/>
              </w:rPr>
              <w:t>18.单目失明</w:t>
            </w:r>
          </w:p>
        </w:tc>
        <w:tc>
          <w:tcPr>
            <w:tcW w:w="7964" w:type="dxa"/>
          </w:tcPr>
          <w:p>
            <w:pPr>
              <w:pStyle w:val="TableParagraph"/>
              <w:spacing w:line="273" w:lineRule="auto" w:before="58"/>
              <w:ind w:left="128" w:right="263"/>
              <w:rPr>
                <w:sz w:val="21"/>
              </w:rPr>
            </w:pPr>
            <w:r>
              <w:rPr>
                <w:sz w:val="21"/>
              </w:rPr>
              <w:t>指因疾病或意外伤害导致单眼视力永久不可逆性丧失，患眼须满足下列至少一项条件：</w:t>
            </w:r>
          </w:p>
          <w:p>
            <w:pPr>
              <w:pStyle w:val="TableParagraph"/>
              <w:spacing w:before="7"/>
              <w:ind w:left="128"/>
              <w:rPr>
                <w:sz w:val="21"/>
              </w:rPr>
            </w:pPr>
            <w:r>
              <w:rPr>
                <w:sz w:val="21"/>
              </w:rPr>
              <w:t>（1）眼球缺失或摘除；</w:t>
            </w:r>
          </w:p>
          <w:p>
            <w:pPr>
              <w:pStyle w:val="TableParagraph"/>
              <w:spacing w:before="37"/>
              <w:ind w:left="128"/>
              <w:rPr>
                <w:sz w:val="21"/>
              </w:rPr>
            </w:pPr>
            <w:r>
              <w:rPr>
                <w:w w:val="100"/>
                <w:sz w:val="21"/>
              </w:rPr>
              <w:t>（2</w:t>
            </w:r>
            <w:r>
              <w:rPr>
                <w:spacing w:val="-68"/>
                <w:w w:val="100"/>
                <w:sz w:val="21"/>
              </w:rPr>
              <w:t>）</w:t>
            </w:r>
            <w:r>
              <w:rPr>
                <w:spacing w:val="-3"/>
                <w:w w:val="100"/>
                <w:sz w:val="21"/>
              </w:rPr>
              <w:t>矫正视力低于</w:t>
            </w:r>
            <w:r>
              <w:rPr>
                <w:spacing w:val="-52"/>
                <w:sz w:val="21"/>
              </w:rPr>
              <w:t> </w:t>
            </w:r>
            <w:r>
              <w:rPr>
                <w:spacing w:val="-3"/>
                <w:w w:val="100"/>
                <w:sz w:val="21"/>
              </w:rPr>
              <w:t>0</w:t>
            </w:r>
            <w:r>
              <w:rPr>
                <w:w w:val="100"/>
                <w:sz w:val="21"/>
              </w:rPr>
              <w:t>.0</w:t>
            </w:r>
            <w:r>
              <w:rPr>
                <w:spacing w:val="-68"/>
                <w:w w:val="100"/>
                <w:sz w:val="21"/>
              </w:rPr>
              <w:t>2</w:t>
            </w:r>
            <w:r>
              <w:rPr>
                <w:spacing w:val="-3"/>
                <w:w w:val="100"/>
                <w:sz w:val="21"/>
              </w:rPr>
              <w:t>（</w:t>
            </w:r>
            <w:r>
              <w:rPr>
                <w:spacing w:val="-10"/>
                <w:w w:val="100"/>
                <w:sz w:val="21"/>
              </w:rPr>
              <w:t>采用国际标准视力表，如果使用其他视力表应进行换算</w:t>
            </w:r>
            <w:r>
              <w:rPr>
                <w:spacing w:val="-106"/>
                <w:w w:val="100"/>
                <w:sz w:val="21"/>
              </w:rPr>
              <w:t>）</w:t>
            </w:r>
            <w:r>
              <w:rPr>
                <w:w w:val="100"/>
                <w:sz w:val="21"/>
              </w:rPr>
              <w:t>；</w:t>
            </w:r>
          </w:p>
          <w:p>
            <w:pPr>
              <w:pStyle w:val="TableParagraph"/>
              <w:spacing w:before="37"/>
              <w:ind w:left="128"/>
              <w:rPr>
                <w:sz w:val="21"/>
              </w:rPr>
            </w:pPr>
            <w:r>
              <w:rPr>
                <w:sz w:val="21"/>
              </w:rPr>
              <w:t>（3）视野半径小于 5 度。</w:t>
            </w:r>
          </w:p>
          <w:p>
            <w:pPr>
              <w:pStyle w:val="TableParagraph"/>
              <w:spacing w:line="273" w:lineRule="auto" w:before="37"/>
              <w:ind w:left="128" w:right="262"/>
              <w:rPr>
                <w:sz w:val="21"/>
              </w:rPr>
            </w:pPr>
            <w:r>
              <w:rPr>
                <w:sz w:val="21"/>
              </w:rPr>
              <w:t>诊断须在本公司认可的医院内由眼科专科医生确认，并且提供理赔当时的视力丧失诊断及检查证据。</w:t>
            </w:r>
          </w:p>
          <w:p>
            <w:pPr>
              <w:pStyle w:val="TableParagraph"/>
              <w:spacing w:line="273" w:lineRule="auto" w:before="7"/>
              <w:ind w:left="128" w:right="303"/>
              <w:rPr>
                <w:rFonts w:ascii="黑体" w:eastAsia="黑体" w:hint="eastAsia"/>
                <w:sz w:val="21"/>
              </w:rPr>
            </w:pPr>
            <w:r>
              <w:rPr>
                <w:rFonts w:ascii="黑体" w:eastAsia="黑体" w:hint="eastAsia"/>
                <w:spacing w:val="-6"/>
                <w:sz w:val="21"/>
              </w:rPr>
              <w:t>被保险人申请理赔时年龄必须在 </w:t>
            </w:r>
            <w:r>
              <w:rPr>
                <w:rFonts w:ascii="黑体" w:eastAsia="黑体" w:hint="eastAsia"/>
                <w:sz w:val="21"/>
              </w:rPr>
              <w:t>3</w:t>
            </w:r>
            <w:r>
              <w:rPr>
                <w:rFonts w:ascii="黑体" w:eastAsia="黑体" w:hint="eastAsia"/>
                <w:spacing w:val="-9"/>
                <w:sz w:val="21"/>
              </w:rPr>
              <w:t> 周岁以上，并且提供理赔当时的听力丧失诊断及</w:t>
            </w:r>
            <w:r>
              <w:rPr>
                <w:rFonts w:ascii="黑体" w:eastAsia="黑体" w:hint="eastAsia"/>
                <w:spacing w:val="-5"/>
                <w:sz w:val="21"/>
              </w:rPr>
              <w:t>检查证据。</w:t>
            </w:r>
          </w:p>
        </w:tc>
      </w:tr>
      <w:tr>
        <w:trPr>
          <w:trHeight w:val="1092" w:hRule="atLeast"/>
        </w:trPr>
        <w:tc>
          <w:tcPr>
            <w:tcW w:w="1490" w:type="dxa"/>
          </w:tcPr>
          <w:p>
            <w:pPr>
              <w:pStyle w:val="TableParagraph"/>
              <w:spacing w:before="58"/>
              <w:ind w:left="0" w:right="126"/>
              <w:jc w:val="right"/>
              <w:rPr>
                <w:b/>
                <w:sz w:val="21"/>
              </w:rPr>
            </w:pPr>
            <w:r>
              <w:rPr>
                <w:b/>
                <w:sz w:val="21"/>
              </w:rPr>
              <w:t>19.中度瘫痪</w:t>
            </w:r>
          </w:p>
        </w:tc>
        <w:tc>
          <w:tcPr>
            <w:tcW w:w="7964" w:type="dxa"/>
          </w:tcPr>
          <w:p>
            <w:pPr>
              <w:pStyle w:val="TableParagraph"/>
              <w:spacing w:line="273" w:lineRule="auto" w:before="58"/>
              <w:ind w:left="128" w:right="303"/>
              <w:rPr>
                <w:sz w:val="21"/>
              </w:rPr>
            </w:pPr>
            <w:r>
              <w:rPr>
                <w:spacing w:val="-5"/>
                <w:sz w:val="21"/>
              </w:rPr>
              <w:t>指因疾病或者意外伤害导致一肢或一肢以上肢体机能永久完全丧失，且未达到重大</w:t>
            </w:r>
            <w:r>
              <w:rPr>
                <w:spacing w:val="-9"/>
                <w:sz w:val="21"/>
              </w:rPr>
              <w:t>疾病“瘫痪”的给付标准。肢体机能永久完全丧失，指疾病确诊 </w:t>
            </w:r>
            <w:r>
              <w:rPr>
                <w:sz w:val="21"/>
              </w:rPr>
              <w:t>180</w:t>
            </w:r>
            <w:r>
              <w:rPr>
                <w:spacing w:val="-7"/>
                <w:sz w:val="21"/>
              </w:rPr>
              <w:t> 天后或意外伤</w:t>
            </w:r>
          </w:p>
          <w:p>
            <w:pPr>
              <w:pStyle w:val="TableParagraph"/>
              <w:spacing w:before="7"/>
              <w:ind w:left="128"/>
              <w:rPr>
                <w:sz w:val="21"/>
              </w:rPr>
            </w:pPr>
            <w:r>
              <w:rPr>
                <w:sz w:val="21"/>
              </w:rPr>
              <w:t>害发生 180 天后，每肢三大关节中的两大关节仍然完全僵硬，或不能随意识活动。</w:t>
            </w:r>
          </w:p>
        </w:tc>
      </w:tr>
      <w:tr>
        <w:trPr>
          <w:trHeight w:val="1326" w:hRule="atLeast"/>
        </w:trPr>
        <w:tc>
          <w:tcPr>
            <w:tcW w:w="1490" w:type="dxa"/>
          </w:tcPr>
          <w:p>
            <w:pPr>
              <w:pStyle w:val="TableParagraph"/>
              <w:spacing w:line="273" w:lineRule="auto" w:before="58"/>
              <w:ind w:left="200" w:right="233"/>
              <w:rPr>
                <w:b/>
                <w:sz w:val="21"/>
              </w:rPr>
            </w:pPr>
            <w:r>
              <w:rPr>
                <w:b/>
                <w:sz w:val="21"/>
              </w:rPr>
              <w:t>20. 心脏瓣膜介入手术</w:t>
            </w:r>
          </w:p>
          <w:p>
            <w:pPr>
              <w:pStyle w:val="TableParagraph"/>
              <w:spacing w:line="273" w:lineRule="auto" w:before="7"/>
              <w:ind w:left="200" w:right="233"/>
              <w:rPr>
                <w:b/>
                <w:sz w:val="21"/>
              </w:rPr>
            </w:pPr>
            <w:r>
              <w:rPr>
                <w:b/>
                <w:sz w:val="21"/>
              </w:rPr>
              <w:t>（非开胸手术）</w:t>
            </w:r>
          </w:p>
        </w:tc>
        <w:tc>
          <w:tcPr>
            <w:tcW w:w="7964" w:type="dxa"/>
          </w:tcPr>
          <w:p>
            <w:pPr>
              <w:pStyle w:val="TableParagraph"/>
              <w:spacing w:line="273" w:lineRule="auto" w:before="58"/>
              <w:ind w:left="128" w:right="303"/>
              <w:rPr>
                <w:sz w:val="21"/>
              </w:rPr>
            </w:pPr>
            <w:r>
              <w:rPr>
                <w:spacing w:val="-7"/>
                <w:sz w:val="21"/>
              </w:rPr>
              <w:t>为了治疗心脏瓣膜疾病，实际实施了非开胸的经胸壁打孔内镜手术或者经皮经导管</w:t>
            </w:r>
            <w:r>
              <w:rPr>
                <w:spacing w:val="-5"/>
                <w:sz w:val="21"/>
              </w:rPr>
              <w:t>介入手术进行的心脏瓣膜置换或者修复手术。</w:t>
            </w:r>
          </w:p>
        </w:tc>
      </w:tr>
      <w:tr>
        <w:trPr>
          <w:trHeight w:val="2446" w:hRule="atLeast"/>
        </w:trPr>
        <w:tc>
          <w:tcPr>
            <w:tcW w:w="1490" w:type="dxa"/>
          </w:tcPr>
          <w:p>
            <w:pPr>
              <w:pStyle w:val="TableParagraph"/>
              <w:spacing w:line="256" w:lineRule="exact"/>
              <w:ind w:left="200"/>
              <w:rPr>
                <w:b/>
                <w:sz w:val="21"/>
              </w:rPr>
            </w:pPr>
            <w:r>
              <w:rPr>
                <w:b/>
                <w:sz w:val="21"/>
              </w:rPr>
              <w:t>21.中度阿尔</w:t>
            </w:r>
          </w:p>
          <w:p>
            <w:pPr>
              <w:pStyle w:val="TableParagraph"/>
              <w:spacing w:before="37"/>
              <w:ind w:left="200"/>
              <w:rPr>
                <w:b/>
                <w:sz w:val="21"/>
              </w:rPr>
            </w:pPr>
            <w:r>
              <w:rPr>
                <w:b/>
                <w:sz w:val="21"/>
              </w:rPr>
              <w:t>茨海默病</w:t>
            </w:r>
          </w:p>
        </w:tc>
        <w:tc>
          <w:tcPr>
            <w:tcW w:w="7964" w:type="dxa"/>
          </w:tcPr>
          <w:p>
            <w:pPr>
              <w:pStyle w:val="TableParagraph"/>
              <w:spacing w:line="256" w:lineRule="exact"/>
              <w:ind w:left="128"/>
              <w:rPr>
                <w:sz w:val="21"/>
              </w:rPr>
            </w:pPr>
            <w:r>
              <w:rPr>
                <w:sz w:val="21"/>
              </w:rPr>
              <w:t>指因大脑进行性、不可逆性改变导致智能严重衰退或丧失，临床表现为明显的认知</w:t>
            </w:r>
          </w:p>
          <w:p>
            <w:pPr>
              <w:pStyle w:val="TableParagraph"/>
              <w:spacing w:line="273" w:lineRule="auto" w:before="37"/>
              <w:ind w:left="128" w:right="198"/>
              <w:rPr>
                <w:sz w:val="21"/>
              </w:rPr>
            </w:pPr>
            <w:r>
              <w:rPr>
                <w:spacing w:val="-6"/>
                <w:sz w:val="21"/>
              </w:rPr>
              <w:t>能力障碍、行为异常和社交能力减退，其日常生活必须持续受到他人监护。须由头</w:t>
            </w:r>
            <w:r>
              <w:rPr>
                <w:spacing w:val="-4"/>
                <w:sz w:val="21"/>
              </w:rPr>
              <w:t>颅断层扫描</w:t>
            </w:r>
            <w:r>
              <w:rPr>
                <w:sz w:val="21"/>
              </w:rPr>
              <w:t>(CT</w:t>
            </w:r>
            <w:r>
              <w:rPr>
                <w:spacing w:val="-4"/>
                <w:sz w:val="21"/>
              </w:rPr>
              <w:t>)、核磁共振检查</w:t>
            </w:r>
            <w:r>
              <w:rPr>
                <w:spacing w:val="-3"/>
                <w:sz w:val="21"/>
              </w:rPr>
              <w:t>（MRI）</w:t>
            </w:r>
            <w:r>
              <w:rPr>
                <w:spacing w:val="-4"/>
                <w:sz w:val="21"/>
              </w:rPr>
              <w:t>或正电子发射断层扫描</w:t>
            </w:r>
            <w:r>
              <w:rPr>
                <w:spacing w:val="-3"/>
                <w:sz w:val="21"/>
              </w:rPr>
              <w:t>（PET）等影像学检</w:t>
            </w:r>
            <w:r>
              <w:rPr>
                <w:spacing w:val="-14"/>
                <w:sz w:val="21"/>
              </w:rPr>
              <w:t>查证实，且自主生活能力严重丧失，无法独立完成六项基本日常生活活动中的两项， </w:t>
            </w:r>
            <w:r>
              <w:rPr>
                <w:spacing w:val="-7"/>
                <w:sz w:val="21"/>
              </w:rPr>
              <w:t>但未达到重大疾病“严重阿尔茨海默病”的给付标准。</w:t>
            </w:r>
          </w:p>
          <w:p>
            <w:pPr>
              <w:pStyle w:val="TableParagraph"/>
              <w:spacing w:before="8"/>
              <w:ind w:left="128"/>
              <w:rPr>
                <w:sz w:val="21"/>
              </w:rPr>
            </w:pPr>
            <w:r>
              <w:rPr>
                <w:sz w:val="21"/>
              </w:rPr>
              <w:t>以下情况不在保障范围内：</w:t>
            </w:r>
          </w:p>
          <w:p>
            <w:pPr>
              <w:pStyle w:val="TableParagraph"/>
              <w:numPr>
                <w:ilvl w:val="0"/>
                <w:numId w:val="27"/>
              </w:numPr>
              <w:tabs>
                <w:tab w:pos="761" w:val="left" w:leader="none"/>
              </w:tabs>
              <w:spacing w:line="240" w:lineRule="auto" w:before="37" w:after="0"/>
              <w:ind w:left="760" w:right="0" w:hanging="632"/>
              <w:jc w:val="left"/>
              <w:rPr>
                <w:sz w:val="21"/>
              </w:rPr>
            </w:pPr>
            <w:r>
              <w:rPr>
                <w:spacing w:val="-3"/>
                <w:sz w:val="21"/>
              </w:rPr>
              <w:t>存在酒精滥用、药物滥用或获得性免疫缺陷综合征</w:t>
            </w:r>
            <w:r>
              <w:rPr>
                <w:sz w:val="21"/>
              </w:rPr>
              <w:t>（AIDS）</w:t>
            </w:r>
            <w:r>
              <w:rPr>
                <w:spacing w:val="-3"/>
                <w:sz w:val="21"/>
              </w:rPr>
              <w:t>情况下的痴呆；</w:t>
            </w:r>
          </w:p>
          <w:p>
            <w:pPr>
              <w:pStyle w:val="TableParagraph"/>
              <w:numPr>
                <w:ilvl w:val="0"/>
                <w:numId w:val="27"/>
              </w:numPr>
              <w:tabs>
                <w:tab w:pos="761" w:val="left" w:leader="none"/>
              </w:tabs>
              <w:spacing w:line="261" w:lineRule="exact" w:before="37" w:after="0"/>
              <w:ind w:left="760" w:right="0" w:hanging="632"/>
              <w:jc w:val="left"/>
              <w:rPr>
                <w:sz w:val="21"/>
              </w:rPr>
            </w:pPr>
            <w:r>
              <w:rPr>
                <w:spacing w:val="-3"/>
                <w:sz w:val="21"/>
              </w:rPr>
              <w:t>神经官能症和精神疾病。</w:t>
            </w:r>
          </w:p>
        </w:tc>
      </w:tr>
    </w:tbl>
    <w:p>
      <w:pPr>
        <w:spacing w:after="0" w:line="261" w:lineRule="exact"/>
        <w:jc w:val="left"/>
        <w:rPr>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7941"/>
      </w:tblGrid>
      <w:tr>
        <w:trPr>
          <w:trHeight w:val="2835" w:hRule="atLeast"/>
        </w:trPr>
        <w:tc>
          <w:tcPr>
            <w:tcW w:w="1512" w:type="dxa"/>
          </w:tcPr>
          <w:p>
            <w:pPr>
              <w:pStyle w:val="TableParagraph"/>
              <w:spacing w:line="205" w:lineRule="exact"/>
              <w:ind w:left="200"/>
              <w:rPr>
                <w:b/>
                <w:sz w:val="21"/>
              </w:rPr>
            </w:pPr>
            <w:r>
              <w:rPr>
                <w:b/>
                <w:sz w:val="21"/>
              </w:rPr>
              <w:t>22.脑损伤</w:t>
            </w:r>
          </w:p>
        </w:tc>
        <w:tc>
          <w:tcPr>
            <w:tcW w:w="7941" w:type="dxa"/>
          </w:tcPr>
          <w:p>
            <w:pPr>
              <w:pStyle w:val="TableParagraph"/>
              <w:spacing w:line="205" w:lineRule="exact"/>
              <w:ind w:left="106"/>
              <w:rPr>
                <w:sz w:val="21"/>
              </w:rPr>
            </w:pPr>
            <w:r>
              <w:rPr>
                <w:sz w:val="21"/>
              </w:rPr>
              <w:t>指因头部遭受机械性外力，引起脑重要部位损伤，导致神经系统的功能障碍。须由</w:t>
            </w:r>
          </w:p>
          <w:p>
            <w:pPr>
              <w:pStyle w:val="TableParagraph"/>
              <w:spacing w:line="273" w:lineRule="auto" w:before="37"/>
              <w:ind w:left="106" w:right="199"/>
              <w:rPr>
                <w:sz w:val="21"/>
              </w:rPr>
            </w:pPr>
            <w:r>
              <w:rPr>
                <w:w w:val="100"/>
                <w:sz w:val="21"/>
              </w:rPr>
              <w:t>头颅断层扫描</w:t>
            </w:r>
            <w:r>
              <w:rPr>
                <w:spacing w:val="2"/>
                <w:w w:val="100"/>
                <w:sz w:val="21"/>
              </w:rPr>
              <w:t>（</w:t>
            </w:r>
            <w:r>
              <w:rPr>
                <w:w w:val="100"/>
                <w:sz w:val="21"/>
              </w:rPr>
              <w:t>CT</w:t>
            </w:r>
            <w:r>
              <w:rPr>
                <w:spacing w:val="-104"/>
                <w:w w:val="100"/>
                <w:sz w:val="21"/>
              </w:rPr>
              <w:t>）</w:t>
            </w:r>
            <w:r>
              <w:rPr>
                <w:w w:val="100"/>
                <w:sz w:val="21"/>
              </w:rPr>
              <w:t>、核磁共振检查</w:t>
            </w:r>
            <w:r>
              <w:rPr>
                <w:spacing w:val="2"/>
                <w:w w:val="100"/>
                <w:sz w:val="21"/>
              </w:rPr>
              <w:t>（</w:t>
            </w:r>
            <w:r>
              <w:rPr>
                <w:spacing w:val="-3"/>
                <w:w w:val="100"/>
                <w:sz w:val="21"/>
              </w:rPr>
              <w:t>M</w:t>
            </w:r>
            <w:r>
              <w:rPr>
                <w:w w:val="100"/>
                <w:sz w:val="21"/>
              </w:rPr>
              <w:t>R</w:t>
            </w:r>
            <w:r>
              <w:rPr>
                <w:spacing w:val="-1"/>
                <w:w w:val="100"/>
                <w:sz w:val="21"/>
              </w:rPr>
              <w:t>I</w:t>
            </w:r>
            <w:r>
              <w:rPr>
                <w:spacing w:val="1"/>
                <w:w w:val="100"/>
                <w:sz w:val="21"/>
              </w:rPr>
              <w:t>）</w:t>
            </w:r>
            <w:r>
              <w:rPr>
                <w:w w:val="100"/>
                <w:sz w:val="21"/>
              </w:rPr>
              <w:t>或正电子发射断层扫描</w:t>
            </w:r>
            <w:r>
              <w:rPr>
                <w:spacing w:val="3"/>
                <w:w w:val="100"/>
                <w:sz w:val="21"/>
              </w:rPr>
              <w:t>（</w:t>
            </w:r>
            <w:r>
              <w:rPr>
                <w:w w:val="100"/>
                <w:sz w:val="21"/>
              </w:rPr>
              <w:t>PET）等影像</w:t>
            </w:r>
            <w:r>
              <w:rPr>
                <w:spacing w:val="-12"/>
                <w:sz w:val="21"/>
              </w:rPr>
              <w:t>学检查证实。头部外伤导致神经系统功能障碍，虽然未达到重大疾病“严重脑损伤” </w:t>
            </w:r>
            <w:r>
              <w:rPr>
                <w:spacing w:val="-6"/>
                <w:sz w:val="21"/>
              </w:rPr>
              <w:t>的给付标准，但是符合以下条件：</w:t>
            </w:r>
          </w:p>
          <w:p>
            <w:pPr>
              <w:pStyle w:val="TableParagraph"/>
              <w:spacing w:before="7"/>
              <w:ind w:left="106"/>
              <w:rPr>
                <w:sz w:val="21"/>
              </w:rPr>
            </w:pPr>
            <w:r>
              <w:rPr>
                <w:sz w:val="21"/>
              </w:rPr>
              <w:t>脑损伤 30 天后，仍遗留下列一种或一种以上障碍：</w:t>
            </w:r>
          </w:p>
          <w:p>
            <w:pPr>
              <w:pStyle w:val="TableParagraph"/>
              <w:spacing w:before="36"/>
              <w:ind w:left="106"/>
              <w:rPr>
                <w:sz w:val="21"/>
              </w:rPr>
            </w:pPr>
            <w:r>
              <w:rPr>
                <w:sz w:val="21"/>
              </w:rPr>
              <w:t>（1）一肢或一肢以上肢体机能完全丧失；</w:t>
            </w:r>
          </w:p>
          <w:p>
            <w:pPr>
              <w:pStyle w:val="TableParagraph"/>
              <w:spacing w:before="36"/>
              <w:ind w:left="106"/>
              <w:rPr>
                <w:sz w:val="21"/>
              </w:rPr>
            </w:pPr>
            <w:r>
              <w:rPr>
                <w:sz w:val="21"/>
              </w:rPr>
              <w:t>（2）语言能力或咀嚼吞咽能力完全丧失；</w:t>
            </w:r>
          </w:p>
          <w:p>
            <w:pPr>
              <w:pStyle w:val="TableParagraph"/>
              <w:spacing w:line="273" w:lineRule="auto" w:before="36"/>
              <w:ind w:left="106" w:right="299"/>
              <w:rPr>
                <w:sz w:val="21"/>
              </w:rPr>
            </w:pPr>
            <w:r>
              <w:rPr>
                <w:sz w:val="21"/>
              </w:rPr>
              <w:t>（3）自主生活能力完全丧失，无法独立完成六项基本日常生活活动中的一项或一项以上。</w:t>
            </w:r>
          </w:p>
        </w:tc>
      </w:tr>
      <w:tr>
        <w:trPr>
          <w:trHeight w:val="2028" w:hRule="atLeast"/>
        </w:trPr>
        <w:tc>
          <w:tcPr>
            <w:tcW w:w="1512" w:type="dxa"/>
          </w:tcPr>
          <w:p>
            <w:pPr>
              <w:pStyle w:val="TableParagraph"/>
              <w:spacing w:line="273" w:lineRule="auto" w:before="58"/>
              <w:ind w:left="200" w:right="148"/>
              <w:rPr>
                <w:b/>
                <w:sz w:val="21"/>
              </w:rPr>
            </w:pPr>
            <w:r>
              <w:rPr>
                <w:b/>
                <w:sz w:val="21"/>
              </w:rPr>
              <w:t>23.中度帕金森氏病</w:t>
            </w:r>
          </w:p>
        </w:tc>
        <w:tc>
          <w:tcPr>
            <w:tcW w:w="7941" w:type="dxa"/>
          </w:tcPr>
          <w:p>
            <w:pPr>
              <w:pStyle w:val="TableParagraph"/>
              <w:spacing w:line="273" w:lineRule="auto" w:before="58"/>
              <w:ind w:left="106" w:right="302"/>
              <w:rPr>
                <w:sz w:val="21"/>
              </w:rPr>
            </w:pPr>
            <w:r>
              <w:rPr>
                <w:spacing w:val="-6"/>
                <w:sz w:val="21"/>
              </w:rPr>
              <w:t>是一种中枢神经系统的退行性疾病，临床表现为震颤麻痹、共济失调等。须同时符</w:t>
            </w:r>
            <w:r>
              <w:rPr>
                <w:spacing w:val="-4"/>
                <w:sz w:val="21"/>
              </w:rPr>
              <w:t>合下列所有条件，但未达到本合同所指重大疾病“严重帕金森病”的标准：</w:t>
            </w:r>
          </w:p>
          <w:p>
            <w:pPr>
              <w:pStyle w:val="TableParagraph"/>
              <w:spacing w:before="7"/>
              <w:ind w:left="106"/>
              <w:rPr>
                <w:sz w:val="21"/>
              </w:rPr>
            </w:pPr>
            <w:r>
              <w:rPr>
                <w:sz w:val="21"/>
              </w:rPr>
              <w:t>（1）无法通过药物控制；</w:t>
            </w:r>
          </w:p>
          <w:p>
            <w:pPr>
              <w:pStyle w:val="TableParagraph"/>
              <w:spacing w:before="37"/>
              <w:ind w:left="106"/>
              <w:rPr>
                <w:sz w:val="21"/>
              </w:rPr>
            </w:pPr>
            <w:r>
              <w:rPr>
                <w:sz w:val="21"/>
              </w:rPr>
              <w:t>（2）出现逐步退化客观征状；</w:t>
            </w:r>
          </w:p>
          <w:p>
            <w:pPr>
              <w:pStyle w:val="TableParagraph"/>
              <w:spacing w:before="37"/>
              <w:ind w:left="106"/>
              <w:rPr>
                <w:sz w:val="21"/>
              </w:rPr>
            </w:pPr>
            <w:r>
              <w:rPr>
                <w:sz w:val="21"/>
              </w:rPr>
              <w:t>（3）至少 180 天无法独立完成六项基本日常生活活动中的二项。</w:t>
            </w:r>
          </w:p>
          <w:p>
            <w:pPr>
              <w:pStyle w:val="TableParagraph"/>
              <w:spacing w:before="37"/>
              <w:ind w:left="106"/>
              <w:rPr>
                <w:rFonts w:ascii="黑体" w:eastAsia="黑体" w:hint="eastAsia"/>
                <w:sz w:val="21"/>
              </w:rPr>
            </w:pPr>
            <w:r>
              <w:rPr>
                <w:rFonts w:ascii="黑体" w:eastAsia="黑体" w:hint="eastAsia"/>
                <w:sz w:val="21"/>
              </w:rPr>
              <w:t>继发性帕金森综合征不在保障范围内。</w:t>
            </w:r>
          </w:p>
        </w:tc>
      </w:tr>
      <w:tr>
        <w:trPr>
          <w:trHeight w:val="1092" w:hRule="atLeast"/>
        </w:trPr>
        <w:tc>
          <w:tcPr>
            <w:tcW w:w="1512" w:type="dxa"/>
          </w:tcPr>
          <w:p>
            <w:pPr>
              <w:pStyle w:val="TableParagraph"/>
              <w:spacing w:line="273" w:lineRule="auto" w:before="58"/>
              <w:ind w:left="200" w:right="148"/>
              <w:rPr>
                <w:b/>
                <w:sz w:val="21"/>
              </w:rPr>
            </w:pPr>
            <w:r>
              <w:rPr>
                <w:b/>
                <w:sz w:val="21"/>
              </w:rPr>
              <w:t>24.全身较小面积Ⅲ度烧伤</w:t>
            </w:r>
          </w:p>
        </w:tc>
        <w:tc>
          <w:tcPr>
            <w:tcW w:w="7941" w:type="dxa"/>
          </w:tcPr>
          <w:p>
            <w:pPr>
              <w:pStyle w:val="TableParagraph"/>
              <w:spacing w:line="273" w:lineRule="auto" w:before="58"/>
              <w:ind w:left="106" w:right="248"/>
              <w:rPr>
                <w:sz w:val="21"/>
              </w:rPr>
            </w:pPr>
            <w:r>
              <w:rPr>
                <w:sz w:val="21"/>
              </w:rPr>
              <w:t>指烧伤程度为Ⅲ度，且Ⅲ度烧伤面积为全身体表面积的 10%或者 10%以上，但尚未达到 20%。体表面积根据《中国新九分法》计算。</w:t>
            </w:r>
          </w:p>
        </w:tc>
      </w:tr>
      <w:tr>
        <w:trPr>
          <w:trHeight w:val="1092" w:hRule="atLeast"/>
        </w:trPr>
        <w:tc>
          <w:tcPr>
            <w:tcW w:w="1512" w:type="dxa"/>
          </w:tcPr>
          <w:p>
            <w:pPr>
              <w:pStyle w:val="TableParagraph"/>
              <w:spacing w:line="273" w:lineRule="auto" w:before="58"/>
              <w:ind w:left="200" w:right="148"/>
              <w:rPr>
                <w:b/>
                <w:sz w:val="21"/>
              </w:rPr>
            </w:pPr>
            <w:r>
              <w:rPr>
                <w:b/>
                <w:sz w:val="21"/>
              </w:rPr>
              <w:t>25.原发性肺动脉高压</w:t>
            </w:r>
          </w:p>
        </w:tc>
        <w:tc>
          <w:tcPr>
            <w:tcW w:w="7941" w:type="dxa"/>
          </w:tcPr>
          <w:p>
            <w:pPr>
              <w:pStyle w:val="TableParagraph"/>
              <w:spacing w:line="273" w:lineRule="auto" w:before="58"/>
              <w:ind w:left="106" w:right="302"/>
              <w:jc w:val="both"/>
              <w:rPr>
                <w:sz w:val="21"/>
              </w:rPr>
            </w:pPr>
            <w:r>
              <w:rPr>
                <w:spacing w:val="-5"/>
                <w:sz w:val="21"/>
              </w:rPr>
              <w:t>指由于原发性肺动脉高压进行性发展而导致右心室肥厚，已经造成永久不可逆性的</w:t>
            </w:r>
            <w:r>
              <w:rPr>
                <w:spacing w:val="-11"/>
                <w:sz w:val="21"/>
              </w:rPr>
              <w:t>体力活动能力受限，达到美国纽约心脏病学会心功能状态分级 </w:t>
            </w:r>
            <w:r>
              <w:rPr>
                <w:sz w:val="21"/>
              </w:rPr>
              <w:t>III</w:t>
            </w:r>
            <w:r>
              <w:rPr>
                <w:spacing w:val="-7"/>
                <w:sz w:val="21"/>
              </w:rPr>
              <w:t> 级及以上，但尚</w:t>
            </w:r>
            <w:r>
              <w:rPr>
                <w:spacing w:val="-15"/>
                <w:sz w:val="21"/>
              </w:rPr>
              <w:t>未达到 </w:t>
            </w:r>
            <w:r>
              <w:rPr>
                <w:sz w:val="21"/>
              </w:rPr>
              <w:t>IV</w:t>
            </w:r>
            <w:r>
              <w:rPr>
                <w:spacing w:val="-6"/>
                <w:sz w:val="21"/>
              </w:rPr>
              <w:t> 级，且静息状态下肺动脉平均压超过 </w:t>
            </w:r>
            <w:r>
              <w:rPr>
                <w:sz w:val="21"/>
              </w:rPr>
              <w:t>25mmHg</w:t>
            </w:r>
            <w:r>
              <w:rPr>
                <w:spacing w:val="-9"/>
                <w:sz w:val="21"/>
              </w:rPr>
              <w:t>，但尚未超过 </w:t>
            </w:r>
            <w:r>
              <w:rPr>
                <w:sz w:val="21"/>
              </w:rPr>
              <w:t>30mmHg。</w:t>
            </w:r>
          </w:p>
        </w:tc>
      </w:tr>
      <w:tr>
        <w:trPr>
          <w:trHeight w:val="1083" w:hRule="atLeast"/>
        </w:trPr>
        <w:tc>
          <w:tcPr>
            <w:tcW w:w="1512" w:type="dxa"/>
          </w:tcPr>
          <w:p>
            <w:pPr>
              <w:pStyle w:val="TableParagraph"/>
              <w:spacing w:line="273" w:lineRule="auto" w:before="58"/>
              <w:ind w:left="200" w:right="148"/>
              <w:rPr>
                <w:b/>
                <w:sz w:val="21"/>
              </w:rPr>
            </w:pPr>
            <w:r>
              <w:rPr>
                <w:b/>
                <w:sz w:val="21"/>
              </w:rPr>
              <w:t>26.早期运动神经元病</w:t>
            </w:r>
          </w:p>
        </w:tc>
        <w:tc>
          <w:tcPr>
            <w:tcW w:w="7941" w:type="dxa"/>
          </w:tcPr>
          <w:p>
            <w:pPr>
              <w:pStyle w:val="TableParagraph"/>
              <w:spacing w:line="273" w:lineRule="auto" w:before="58"/>
              <w:ind w:left="106" w:right="302"/>
              <w:jc w:val="both"/>
              <w:rPr>
                <w:sz w:val="21"/>
              </w:rPr>
            </w:pPr>
            <w:r>
              <w:rPr>
                <w:spacing w:val="-5"/>
                <w:sz w:val="21"/>
              </w:rPr>
              <w:t>指一组中枢神经系统运动神经元的进行性变性疾病，包括进行性脊肌萎缩症、进行</w:t>
            </w:r>
            <w:r>
              <w:rPr>
                <w:spacing w:val="-8"/>
                <w:sz w:val="21"/>
              </w:rPr>
              <w:t>性延髓麻痹症、原发性侧索硬化症、肌萎缩性侧索硬化症。须满足自主生活能力部</w:t>
            </w:r>
            <w:r>
              <w:rPr>
                <w:spacing w:val="-5"/>
                <w:sz w:val="21"/>
              </w:rPr>
              <w:t>分丧失，无法独立完成六项基本日常生活活动中的两项或者两项以上的条件。</w:t>
            </w:r>
          </w:p>
        </w:tc>
      </w:tr>
      <w:tr>
        <w:trPr>
          <w:trHeight w:val="1673" w:hRule="atLeast"/>
        </w:trPr>
        <w:tc>
          <w:tcPr>
            <w:tcW w:w="1512" w:type="dxa"/>
          </w:tcPr>
          <w:p>
            <w:pPr>
              <w:pStyle w:val="TableParagraph"/>
              <w:spacing w:line="273" w:lineRule="auto" w:before="50"/>
              <w:ind w:left="200" w:right="148"/>
              <w:rPr>
                <w:b/>
                <w:sz w:val="21"/>
              </w:rPr>
            </w:pPr>
            <w:r>
              <w:rPr>
                <w:b/>
                <w:sz w:val="21"/>
              </w:rPr>
              <w:t>27.可逆性再生障碍性贫血</w:t>
            </w:r>
          </w:p>
        </w:tc>
        <w:tc>
          <w:tcPr>
            <w:tcW w:w="7941" w:type="dxa"/>
          </w:tcPr>
          <w:p>
            <w:pPr>
              <w:pStyle w:val="TableParagraph"/>
              <w:spacing w:line="273" w:lineRule="auto" w:before="50"/>
              <w:ind w:left="106" w:right="266"/>
              <w:rPr>
                <w:sz w:val="21"/>
              </w:rPr>
            </w:pPr>
            <w:r>
              <w:rPr>
                <w:sz w:val="21"/>
              </w:rPr>
              <w:t>指因急性可逆性的骨髓造血功能衰竭而导致贫血、中性粒细胞减少和血小板减少， 必须由血液科医生的诊断，且病历资料显示接受了下列任一治疗：</w:t>
            </w:r>
          </w:p>
          <w:p>
            <w:pPr>
              <w:pStyle w:val="TableParagraph"/>
              <w:spacing w:before="7"/>
              <w:ind w:left="106"/>
              <w:rPr>
                <w:sz w:val="21"/>
              </w:rPr>
            </w:pPr>
            <w:r>
              <w:rPr>
                <w:sz w:val="21"/>
              </w:rPr>
              <w:t>（1）骨髓刺激疗法至少一个月；</w:t>
            </w:r>
          </w:p>
          <w:p>
            <w:pPr>
              <w:pStyle w:val="TableParagraph"/>
              <w:spacing w:before="36"/>
              <w:ind w:left="106"/>
              <w:rPr>
                <w:sz w:val="21"/>
              </w:rPr>
            </w:pPr>
            <w:r>
              <w:rPr>
                <w:sz w:val="21"/>
              </w:rPr>
              <w:t>（2）免疫抑制剂治疗至少一个月；</w:t>
            </w:r>
          </w:p>
          <w:p>
            <w:pPr>
              <w:pStyle w:val="TableParagraph"/>
              <w:spacing w:before="36"/>
              <w:ind w:left="106"/>
              <w:rPr>
                <w:sz w:val="21"/>
              </w:rPr>
            </w:pPr>
            <w:r>
              <w:rPr>
                <w:sz w:val="21"/>
              </w:rPr>
              <w:t>（3）接受了骨髓移植。</w:t>
            </w:r>
          </w:p>
        </w:tc>
      </w:tr>
      <w:tr>
        <w:trPr>
          <w:trHeight w:val="1033" w:hRule="atLeast"/>
        </w:trPr>
        <w:tc>
          <w:tcPr>
            <w:tcW w:w="1512" w:type="dxa"/>
          </w:tcPr>
          <w:p>
            <w:pPr>
              <w:pStyle w:val="TableParagraph"/>
              <w:spacing w:line="273" w:lineRule="auto" w:before="24"/>
              <w:ind w:left="200" w:right="105"/>
              <w:jc w:val="both"/>
              <w:rPr>
                <w:b/>
                <w:sz w:val="21"/>
              </w:rPr>
            </w:pPr>
            <w:r>
              <w:rPr>
                <w:b/>
                <w:sz w:val="21"/>
              </w:rPr>
              <w:t>28.主动脉内</w:t>
            </w:r>
            <w:r>
              <w:rPr>
                <w:b/>
                <w:spacing w:val="-32"/>
                <w:sz w:val="21"/>
              </w:rPr>
              <w:t>手术</w:t>
            </w:r>
            <w:r>
              <w:rPr>
                <w:b/>
                <w:sz w:val="21"/>
              </w:rPr>
              <w:t>（非开胸手术）</w:t>
            </w:r>
          </w:p>
        </w:tc>
        <w:tc>
          <w:tcPr>
            <w:tcW w:w="7941" w:type="dxa"/>
          </w:tcPr>
          <w:p>
            <w:pPr>
              <w:pStyle w:val="TableParagraph"/>
              <w:spacing w:line="273" w:lineRule="auto" w:before="24"/>
              <w:ind w:left="106" w:right="261"/>
              <w:rPr>
                <w:sz w:val="21"/>
              </w:rPr>
            </w:pPr>
            <w:r>
              <w:rPr>
                <w:sz w:val="21"/>
              </w:rPr>
              <w:t>为了治疗主动脉疾病实际实施了经皮经导管进行的动脉内手术。主动脉指胸主动脉和腹主动脉，不包括胸主动脉和腹主动脉的分支血管。</w:t>
            </w:r>
          </w:p>
        </w:tc>
      </w:tr>
      <w:tr>
        <w:trPr>
          <w:trHeight w:val="755" w:hRule="atLeast"/>
        </w:trPr>
        <w:tc>
          <w:tcPr>
            <w:tcW w:w="1512" w:type="dxa"/>
          </w:tcPr>
          <w:p>
            <w:pPr>
              <w:pStyle w:val="TableParagraph"/>
              <w:spacing w:line="273" w:lineRule="auto" w:before="34"/>
              <w:ind w:left="200" w:right="148"/>
              <w:rPr>
                <w:b/>
                <w:sz w:val="21"/>
              </w:rPr>
            </w:pPr>
            <w:r>
              <w:rPr>
                <w:b/>
                <w:sz w:val="21"/>
              </w:rPr>
              <w:t>29.微创颅脑手术</w:t>
            </w:r>
          </w:p>
        </w:tc>
        <w:tc>
          <w:tcPr>
            <w:tcW w:w="7941" w:type="dxa"/>
          </w:tcPr>
          <w:p>
            <w:pPr>
              <w:pStyle w:val="TableParagraph"/>
              <w:spacing w:line="273" w:lineRule="auto" w:before="34"/>
              <w:ind w:left="106" w:right="261"/>
              <w:rPr>
                <w:sz w:val="21"/>
              </w:rPr>
            </w:pPr>
            <w:r>
              <w:rPr>
                <w:sz w:val="21"/>
              </w:rPr>
              <w:t>因疾病被保险人确已实施全麻下的颅骨钻孔手术或者经鼻蝶窦入颅手术。因外伤而实施的脑外科手术不在保障术不在保障范围内。</w:t>
            </w:r>
          </w:p>
        </w:tc>
      </w:tr>
      <w:tr>
        <w:trPr>
          <w:trHeight w:val="1404" w:hRule="atLeast"/>
        </w:trPr>
        <w:tc>
          <w:tcPr>
            <w:tcW w:w="1512" w:type="dxa"/>
          </w:tcPr>
          <w:p>
            <w:pPr>
              <w:pStyle w:val="TableParagraph"/>
              <w:spacing w:line="273" w:lineRule="auto" w:before="58"/>
              <w:ind w:left="200" w:right="148"/>
              <w:rPr>
                <w:b/>
                <w:sz w:val="21"/>
              </w:rPr>
            </w:pPr>
            <w:r>
              <w:rPr>
                <w:b/>
                <w:sz w:val="21"/>
              </w:rPr>
              <w:t>30.糖尿病导致单足截除</w:t>
            </w:r>
          </w:p>
        </w:tc>
        <w:tc>
          <w:tcPr>
            <w:tcW w:w="7941" w:type="dxa"/>
          </w:tcPr>
          <w:p>
            <w:pPr>
              <w:pStyle w:val="TableParagraph"/>
              <w:spacing w:line="273" w:lineRule="auto" w:before="58"/>
              <w:ind w:left="106" w:right="260"/>
              <w:rPr>
                <w:sz w:val="21"/>
              </w:rPr>
            </w:pPr>
            <w:r>
              <w:rPr>
                <w:sz w:val="21"/>
              </w:rPr>
              <w:t>因糖尿病引起的神经及血管病变累及足部，为了维持生命在本公司认可医院内已经进行了医疗必须的由足踝或以上位置的单足截除手术，且未达到本合同重大疾病</w:t>
            </w:r>
          </w:p>
          <w:p>
            <w:pPr>
              <w:pStyle w:val="TableParagraph"/>
              <w:spacing w:before="7"/>
              <w:ind w:left="106"/>
              <w:rPr>
                <w:sz w:val="21"/>
              </w:rPr>
            </w:pPr>
            <w:r>
              <w:rPr>
                <w:sz w:val="21"/>
              </w:rPr>
              <w:t>“糖尿病导致的双脚截除”的赔付标准。</w:t>
            </w:r>
          </w:p>
          <w:p>
            <w:pPr>
              <w:pStyle w:val="TableParagraph"/>
              <w:spacing w:before="37"/>
              <w:ind w:left="106"/>
              <w:rPr>
                <w:rFonts w:ascii="黑体" w:eastAsia="黑体" w:hint="eastAsia"/>
                <w:sz w:val="21"/>
              </w:rPr>
            </w:pPr>
            <w:r>
              <w:rPr>
                <w:rFonts w:ascii="黑体" w:eastAsia="黑体" w:hint="eastAsia"/>
                <w:sz w:val="21"/>
              </w:rPr>
              <w:t>切除多只脚趾或因任何其他原因引起的截除术不在保障范围内。</w:t>
            </w:r>
          </w:p>
        </w:tc>
      </w:tr>
      <w:tr>
        <w:trPr>
          <w:trHeight w:val="1275" w:hRule="atLeast"/>
        </w:trPr>
        <w:tc>
          <w:tcPr>
            <w:tcW w:w="1512" w:type="dxa"/>
          </w:tcPr>
          <w:p>
            <w:pPr>
              <w:pStyle w:val="TableParagraph"/>
              <w:spacing w:line="273" w:lineRule="auto" w:before="59"/>
              <w:ind w:left="200" w:right="148"/>
              <w:rPr>
                <w:b/>
                <w:sz w:val="21"/>
              </w:rPr>
            </w:pPr>
            <w:r>
              <w:rPr>
                <w:b/>
                <w:sz w:val="21"/>
              </w:rPr>
              <w:t>31.中度类风湿性关节炎</w:t>
            </w:r>
          </w:p>
        </w:tc>
        <w:tc>
          <w:tcPr>
            <w:tcW w:w="7941" w:type="dxa"/>
          </w:tcPr>
          <w:p>
            <w:pPr>
              <w:pStyle w:val="TableParagraph"/>
              <w:spacing w:line="273" w:lineRule="auto" w:before="59"/>
              <w:ind w:left="106" w:right="302"/>
              <w:rPr>
                <w:sz w:val="21"/>
              </w:rPr>
            </w:pPr>
            <w:r>
              <w:rPr>
                <w:spacing w:val="-6"/>
                <w:sz w:val="21"/>
              </w:rPr>
              <w:t>根据美国风湿病学院的诊断标准，由风湿科专科医生明确诊断并符合下列所有理赔</w:t>
            </w:r>
            <w:r>
              <w:rPr>
                <w:spacing w:val="-4"/>
                <w:sz w:val="21"/>
              </w:rPr>
              <w:t>条件，但未达到本合同所指重大疾病“严重类风湿性关节炎”的标准：</w:t>
            </w:r>
          </w:p>
          <w:p>
            <w:pPr>
              <w:pStyle w:val="TableParagraph"/>
              <w:spacing w:line="312" w:lineRule="exact" w:before="3"/>
              <w:ind w:left="106" w:right="249"/>
              <w:rPr>
                <w:sz w:val="21"/>
              </w:rPr>
            </w:pPr>
            <w:r>
              <w:rPr>
                <w:sz w:val="21"/>
              </w:rPr>
              <w:t>（1）关节广泛受损，并经临床证实出现最少 2 个下列关节位置严重变形：手部、手腕、肘部、膝部、髋部、踝部、颈椎或脚部；</w:t>
            </w:r>
          </w:p>
        </w:tc>
      </w:tr>
    </w:tbl>
    <w:p>
      <w:pPr>
        <w:spacing w:after="0" w:line="312" w:lineRule="exact"/>
        <w:rPr>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0"/>
        <w:gridCol w:w="7964"/>
      </w:tblGrid>
      <w:tr>
        <w:trPr>
          <w:trHeight w:val="339" w:hRule="atLeast"/>
        </w:trPr>
        <w:tc>
          <w:tcPr>
            <w:tcW w:w="1490" w:type="dxa"/>
          </w:tcPr>
          <w:p>
            <w:pPr>
              <w:pStyle w:val="TableParagraph"/>
              <w:ind w:left="0"/>
              <w:rPr>
                <w:rFonts w:ascii="Times New Roman"/>
                <w:sz w:val="20"/>
              </w:rPr>
            </w:pPr>
          </w:p>
        </w:tc>
        <w:tc>
          <w:tcPr>
            <w:tcW w:w="7964" w:type="dxa"/>
          </w:tcPr>
          <w:p>
            <w:pPr>
              <w:pStyle w:val="TableParagraph"/>
              <w:spacing w:line="205" w:lineRule="exact"/>
              <w:ind w:left="128"/>
              <w:rPr>
                <w:sz w:val="21"/>
              </w:rPr>
            </w:pPr>
            <w:r>
              <w:rPr>
                <w:sz w:val="21"/>
              </w:rPr>
              <w:t>（2）至少 180 天无法独立完成六项基本日常生活活动中的二项或二项以上。</w:t>
            </w:r>
          </w:p>
        </w:tc>
      </w:tr>
      <w:tr>
        <w:trPr>
          <w:trHeight w:val="1716" w:hRule="atLeast"/>
        </w:trPr>
        <w:tc>
          <w:tcPr>
            <w:tcW w:w="1490" w:type="dxa"/>
          </w:tcPr>
          <w:p>
            <w:pPr>
              <w:pStyle w:val="TableParagraph"/>
              <w:spacing w:line="273" w:lineRule="auto" w:before="58"/>
              <w:ind w:left="200" w:right="126"/>
              <w:rPr>
                <w:b/>
                <w:sz w:val="21"/>
              </w:rPr>
            </w:pPr>
            <w:r>
              <w:rPr>
                <w:b/>
                <w:sz w:val="21"/>
              </w:rPr>
              <w:t>32.中度重症肌无力</w:t>
            </w:r>
          </w:p>
        </w:tc>
        <w:tc>
          <w:tcPr>
            <w:tcW w:w="7964" w:type="dxa"/>
          </w:tcPr>
          <w:p>
            <w:pPr>
              <w:pStyle w:val="TableParagraph"/>
              <w:spacing w:line="273" w:lineRule="auto" w:before="58"/>
              <w:ind w:left="128" w:right="303"/>
              <w:jc w:val="both"/>
              <w:rPr>
                <w:sz w:val="21"/>
              </w:rPr>
            </w:pPr>
            <w:r>
              <w:rPr>
                <w:spacing w:val="-5"/>
                <w:sz w:val="21"/>
              </w:rPr>
              <w:t>是一种神经与肌肉接头部位传递障碍的自身免疫性疾病，临床特征是局部或全身横</w:t>
            </w:r>
            <w:r>
              <w:rPr>
                <w:spacing w:val="-7"/>
                <w:sz w:val="21"/>
              </w:rPr>
              <w:t>纹肌于活动时易于疲劳无力，颅神经眼外肌最易累及，也可涉及呼吸肌、下肢近端</w:t>
            </w:r>
            <w:r>
              <w:rPr>
                <w:spacing w:val="-8"/>
                <w:sz w:val="21"/>
              </w:rPr>
              <w:t>肌群以至全身肌肉。该病必须由本公司认可医院的专科医生明确诊断，且疾病确诊</w:t>
            </w:r>
          </w:p>
          <w:p>
            <w:pPr>
              <w:pStyle w:val="TableParagraph"/>
              <w:spacing w:line="273" w:lineRule="auto" w:before="7"/>
              <w:ind w:left="128" w:right="303"/>
              <w:jc w:val="both"/>
              <w:rPr>
                <w:sz w:val="21"/>
              </w:rPr>
            </w:pPr>
            <w:r>
              <w:rPr>
                <w:sz w:val="21"/>
              </w:rPr>
              <w:t>180</w:t>
            </w:r>
            <w:r>
              <w:rPr>
                <w:spacing w:val="-3"/>
                <w:sz w:val="21"/>
              </w:rPr>
              <w:t> 天后，仍然存在自主生活能力部分丧失，无法独立完成六项基本日常生活活动中的二项，但未达到本合同所指重大疾病“重症肌无力”的标准。</w:t>
            </w:r>
          </w:p>
        </w:tc>
      </w:tr>
      <w:tr>
        <w:trPr>
          <w:trHeight w:val="2340" w:hRule="atLeast"/>
        </w:trPr>
        <w:tc>
          <w:tcPr>
            <w:tcW w:w="1490" w:type="dxa"/>
          </w:tcPr>
          <w:p>
            <w:pPr>
              <w:pStyle w:val="TableParagraph"/>
              <w:spacing w:line="273" w:lineRule="auto" w:before="58"/>
              <w:ind w:left="200" w:right="126"/>
              <w:rPr>
                <w:b/>
                <w:sz w:val="21"/>
              </w:rPr>
            </w:pPr>
            <w:r>
              <w:rPr>
                <w:b/>
                <w:sz w:val="21"/>
              </w:rPr>
              <w:t>33.中度溃疡性结肠炎</w:t>
            </w:r>
          </w:p>
        </w:tc>
        <w:tc>
          <w:tcPr>
            <w:tcW w:w="7964" w:type="dxa"/>
          </w:tcPr>
          <w:p>
            <w:pPr>
              <w:pStyle w:val="TableParagraph"/>
              <w:spacing w:line="273" w:lineRule="auto" w:before="58"/>
              <w:ind w:left="128" w:right="197"/>
              <w:rPr>
                <w:sz w:val="21"/>
              </w:rPr>
            </w:pPr>
            <w:r>
              <w:rPr>
                <w:sz w:val="21"/>
              </w:rPr>
              <w:t>本合同所保障的溃疡性结肠炎是指伴有致命性电解质紊乱的急性暴发性溃疡性结 </w:t>
            </w:r>
            <w:r>
              <w:rPr>
                <w:spacing w:val="-6"/>
                <w:sz w:val="21"/>
              </w:rPr>
              <w:t>肠炎，病变累及全结肠，表现为严重的血便和系统性症状体征和肠破裂的风险，本</w:t>
            </w:r>
            <w:r>
              <w:rPr>
                <w:sz w:val="21"/>
              </w:rPr>
              <w:t>疾病的确诊必须经由内窥镜检查证实该疾病侵犯全部结肠及直肠及活体切片检查 </w:t>
            </w:r>
            <w:r>
              <w:rPr>
                <w:spacing w:val="-7"/>
                <w:sz w:val="21"/>
              </w:rPr>
              <w:t>证实为溃疡性结肠炎。且须经肠胃专科医生连续以系统性免疫抑制剂或免疫调节剂</w:t>
            </w:r>
            <w:r>
              <w:rPr>
                <w:spacing w:val="-10"/>
                <w:sz w:val="21"/>
              </w:rPr>
              <w:t>持续治疗最少 </w:t>
            </w:r>
            <w:r>
              <w:rPr>
                <w:sz w:val="21"/>
              </w:rPr>
              <w:t>90</w:t>
            </w:r>
            <w:r>
              <w:rPr>
                <w:spacing w:val="-11"/>
                <w:sz w:val="21"/>
              </w:rPr>
              <w:t> 天，但未达到本合同所指重大疾病“严重溃疡性结肠炎”的标准， </w:t>
            </w:r>
            <w:r>
              <w:rPr>
                <w:spacing w:val="-6"/>
                <w:sz w:val="21"/>
              </w:rPr>
              <w:t>才符合本保障范围。</w:t>
            </w:r>
          </w:p>
          <w:p>
            <w:pPr>
              <w:pStyle w:val="TableParagraph"/>
              <w:spacing w:before="7"/>
              <w:ind w:left="128"/>
              <w:rPr>
                <w:rFonts w:ascii="黑体" w:eastAsia="黑体" w:hint="eastAsia"/>
                <w:sz w:val="21"/>
              </w:rPr>
            </w:pPr>
            <w:r>
              <w:rPr>
                <w:rFonts w:ascii="黑体" w:eastAsia="黑体" w:hint="eastAsia"/>
                <w:sz w:val="21"/>
              </w:rPr>
              <w:t>其他种类的发炎性结肠炎,只发Th在直肠的溃疡性结肠炎均不在保障范围内。</w:t>
            </w:r>
          </w:p>
        </w:tc>
      </w:tr>
      <w:tr>
        <w:trPr>
          <w:trHeight w:val="3892" w:hRule="atLeast"/>
        </w:trPr>
        <w:tc>
          <w:tcPr>
            <w:tcW w:w="1490" w:type="dxa"/>
          </w:tcPr>
          <w:p>
            <w:pPr>
              <w:pStyle w:val="TableParagraph"/>
              <w:spacing w:line="273" w:lineRule="auto" w:before="58"/>
              <w:ind w:left="200" w:right="126"/>
              <w:rPr>
                <w:b/>
                <w:sz w:val="21"/>
              </w:rPr>
            </w:pPr>
            <w:r>
              <w:rPr>
                <w:b/>
                <w:sz w:val="21"/>
              </w:rPr>
              <w:t>34.早期系统性硬皮病</w:t>
            </w:r>
          </w:p>
        </w:tc>
        <w:tc>
          <w:tcPr>
            <w:tcW w:w="7964" w:type="dxa"/>
          </w:tcPr>
          <w:p>
            <w:pPr>
              <w:pStyle w:val="TableParagraph"/>
              <w:spacing w:line="273" w:lineRule="auto" w:before="58"/>
              <w:ind w:left="128" w:right="303"/>
              <w:jc w:val="both"/>
              <w:rPr>
                <w:sz w:val="21"/>
              </w:rPr>
            </w:pPr>
            <w:r>
              <w:rPr>
                <w:spacing w:val="-5"/>
                <w:sz w:val="21"/>
              </w:rPr>
              <w:t>指一种以局限性或弥漫性皮肤增厚和皮肤、血管、内脏器官异常纤维化为特征的结</w:t>
            </w:r>
            <w:r>
              <w:rPr>
                <w:spacing w:val="-8"/>
                <w:sz w:val="21"/>
              </w:rPr>
              <w:t>缔组织病。本病须经专科医生明确诊断，未达到本合同所指重大疾病“严重系统性</w:t>
            </w:r>
            <w:r>
              <w:rPr>
                <w:spacing w:val="-5"/>
                <w:sz w:val="21"/>
              </w:rPr>
              <w:t>硬皮病”的标准，并须满足下列所有条件：</w:t>
            </w:r>
          </w:p>
          <w:p>
            <w:pPr>
              <w:pStyle w:val="TableParagraph"/>
              <w:numPr>
                <w:ilvl w:val="0"/>
                <w:numId w:val="28"/>
              </w:numPr>
              <w:tabs>
                <w:tab w:pos="768" w:val="left" w:leader="none"/>
              </w:tabs>
              <w:spacing w:line="273" w:lineRule="auto" w:before="7" w:after="0"/>
              <w:ind w:left="128" w:right="303" w:firstLine="0"/>
              <w:jc w:val="both"/>
              <w:rPr>
                <w:sz w:val="21"/>
              </w:rPr>
            </w:pPr>
            <w:r>
              <w:rPr>
                <w:sz w:val="21"/>
              </w:rPr>
              <w:t>必须是经由本公司认可医院的风湿学专科医生根据美国风湿病学会（ACR） 及欧洲抗风湿病联盟(EULAR</w:t>
            </w:r>
            <w:r>
              <w:rPr>
                <w:spacing w:val="10"/>
                <w:sz w:val="21"/>
              </w:rPr>
              <w:t>)在 </w:t>
            </w:r>
            <w:r>
              <w:rPr>
                <w:sz w:val="21"/>
              </w:rPr>
              <w:t>2013 年发布的系统性硬皮病诊断标准确认达到确</w:t>
            </w:r>
            <w:r>
              <w:rPr>
                <w:spacing w:val="-1"/>
                <w:sz w:val="21"/>
              </w:rPr>
              <w:t>诊标准</w:t>
            </w:r>
            <w:r>
              <w:rPr>
                <w:sz w:val="21"/>
              </w:rPr>
              <w:t>（</w:t>
            </w:r>
            <w:r>
              <w:rPr>
                <w:spacing w:val="-3"/>
                <w:sz w:val="21"/>
              </w:rPr>
              <w:t>总分值由每一个分类中的最高比重（</w:t>
            </w:r>
            <w:r>
              <w:rPr>
                <w:spacing w:val="-2"/>
                <w:sz w:val="21"/>
              </w:rPr>
              <w:t>分值</w:t>
            </w:r>
            <w:r>
              <w:rPr>
                <w:sz w:val="21"/>
              </w:rPr>
              <w:t>）</w:t>
            </w:r>
            <w:r>
              <w:rPr>
                <w:spacing w:val="-3"/>
                <w:sz w:val="21"/>
              </w:rPr>
              <w:t>相加而成，总分≥</w:t>
            </w:r>
            <w:r>
              <w:rPr>
                <w:sz w:val="21"/>
              </w:rPr>
              <w:t>9</w:t>
            </w:r>
            <w:r>
              <w:rPr>
                <w:spacing w:val="-3"/>
                <w:sz w:val="21"/>
              </w:rPr>
              <w:t> 分的患者被分类为系统性硬皮病</w:t>
            </w:r>
            <w:r>
              <w:rPr>
                <w:spacing w:val="-108"/>
                <w:sz w:val="21"/>
              </w:rPr>
              <w:t>）</w:t>
            </w:r>
            <w:r>
              <w:rPr>
                <w:sz w:val="21"/>
              </w:rPr>
              <w:t>。</w:t>
            </w:r>
          </w:p>
          <w:p>
            <w:pPr>
              <w:pStyle w:val="TableParagraph"/>
              <w:numPr>
                <w:ilvl w:val="0"/>
                <w:numId w:val="28"/>
              </w:numPr>
              <w:tabs>
                <w:tab w:pos="761" w:val="left" w:leader="none"/>
              </w:tabs>
              <w:spacing w:line="240" w:lineRule="auto" w:before="8" w:after="0"/>
              <w:ind w:left="760" w:right="0" w:hanging="632"/>
              <w:jc w:val="both"/>
              <w:rPr>
                <w:sz w:val="21"/>
              </w:rPr>
            </w:pPr>
            <w:r>
              <w:rPr>
                <w:spacing w:val="-3"/>
                <w:sz w:val="21"/>
              </w:rPr>
              <w:t>须提供明确的病理活检及自身抗体免疫血清学证据支持。</w:t>
            </w:r>
          </w:p>
          <w:p>
            <w:pPr>
              <w:pStyle w:val="TableParagraph"/>
              <w:spacing w:before="37"/>
              <w:ind w:left="128"/>
              <w:jc w:val="both"/>
              <w:rPr>
                <w:rFonts w:ascii="黑体" w:eastAsia="黑体" w:hint="eastAsia"/>
                <w:sz w:val="21"/>
              </w:rPr>
            </w:pPr>
            <w:r>
              <w:rPr>
                <w:rFonts w:ascii="黑体" w:eastAsia="黑体" w:hint="eastAsia"/>
                <w:sz w:val="21"/>
              </w:rPr>
              <w:t>以下情况不在保障范围内：</w:t>
            </w:r>
          </w:p>
          <w:p>
            <w:pPr>
              <w:pStyle w:val="TableParagraph"/>
              <w:numPr>
                <w:ilvl w:val="0"/>
                <w:numId w:val="29"/>
              </w:numPr>
              <w:tabs>
                <w:tab w:pos="761" w:val="left" w:leader="none"/>
              </w:tabs>
              <w:spacing w:line="240" w:lineRule="auto" w:before="37" w:after="0"/>
              <w:ind w:left="760" w:right="0" w:hanging="632"/>
              <w:jc w:val="both"/>
              <w:rPr>
                <w:rFonts w:ascii="黑体" w:eastAsia="黑体" w:hint="eastAsia"/>
                <w:sz w:val="21"/>
              </w:rPr>
            </w:pPr>
            <w:r>
              <w:rPr>
                <w:rFonts w:ascii="黑体" w:eastAsia="黑体" w:hint="eastAsia"/>
                <w:spacing w:val="-3"/>
                <w:w w:val="100"/>
                <w:sz w:val="21"/>
              </w:rPr>
              <w:t>局限性硬皮病</w:t>
            </w:r>
            <w:r>
              <w:rPr>
                <w:rFonts w:ascii="黑体" w:eastAsia="黑体" w:hint="eastAsia"/>
                <w:w w:val="100"/>
                <w:sz w:val="21"/>
              </w:rPr>
              <w:t>（</w:t>
            </w:r>
            <w:r>
              <w:rPr>
                <w:rFonts w:ascii="黑体" w:eastAsia="黑体" w:hint="eastAsia"/>
                <w:spacing w:val="-3"/>
                <w:w w:val="100"/>
                <w:sz w:val="21"/>
              </w:rPr>
              <w:t>带状硬皮病或斑状损害</w:t>
            </w:r>
            <w:r>
              <w:rPr>
                <w:rFonts w:ascii="黑体" w:eastAsia="黑体" w:hint="eastAsia"/>
                <w:spacing w:val="-106"/>
                <w:w w:val="100"/>
                <w:sz w:val="21"/>
              </w:rPr>
              <w:t>）</w:t>
            </w:r>
            <w:r>
              <w:rPr>
                <w:rFonts w:ascii="黑体" w:eastAsia="黑体" w:hint="eastAsia"/>
                <w:w w:val="100"/>
                <w:sz w:val="21"/>
              </w:rPr>
              <w:t>；</w:t>
            </w:r>
          </w:p>
          <w:p>
            <w:pPr>
              <w:pStyle w:val="TableParagraph"/>
              <w:numPr>
                <w:ilvl w:val="0"/>
                <w:numId w:val="29"/>
              </w:numPr>
              <w:tabs>
                <w:tab w:pos="761" w:val="left" w:leader="none"/>
              </w:tabs>
              <w:spacing w:line="240" w:lineRule="auto" w:before="37" w:after="0"/>
              <w:ind w:left="760" w:right="0" w:hanging="632"/>
              <w:jc w:val="both"/>
              <w:rPr>
                <w:rFonts w:ascii="黑体" w:eastAsia="黑体" w:hint="eastAsia"/>
                <w:sz w:val="21"/>
              </w:rPr>
            </w:pPr>
            <w:r>
              <w:rPr>
                <w:rFonts w:ascii="黑体" w:eastAsia="黑体" w:hint="eastAsia"/>
                <w:spacing w:val="-3"/>
                <w:sz w:val="21"/>
              </w:rPr>
              <w:t>嗜酸性筋膜炎；</w:t>
            </w:r>
          </w:p>
          <w:p>
            <w:pPr>
              <w:pStyle w:val="TableParagraph"/>
              <w:numPr>
                <w:ilvl w:val="0"/>
                <w:numId w:val="29"/>
              </w:numPr>
              <w:tabs>
                <w:tab w:pos="761" w:val="left" w:leader="none"/>
              </w:tabs>
              <w:spacing w:line="240" w:lineRule="auto" w:before="37" w:after="0"/>
              <w:ind w:left="760" w:right="0" w:hanging="632"/>
              <w:jc w:val="both"/>
              <w:rPr>
                <w:rFonts w:ascii="黑体" w:eastAsia="黑体" w:hint="eastAsia"/>
                <w:sz w:val="21"/>
              </w:rPr>
            </w:pPr>
            <w:r>
              <w:rPr>
                <w:rFonts w:ascii="黑体" w:eastAsia="黑体" w:hint="eastAsia"/>
                <w:sz w:val="21"/>
              </w:rPr>
              <w:t>CREST</w:t>
            </w:r>
            <w:r>
              <w:rPr>
                <w:rFonts w:ascii="黑体" w:eastAsia="黑体" w:hint="eastAsia"/>
                <w:spacing w:val="-1"/>
                <w:sz w:val="21"/>
              </w:rPr>
              <w:t> 综合征。</w:t>
            </w:r>
          </w:p>
        </w:tc>
      </w:tr>
      <w:tr>
        <w:trPr>
          <w:trHeight w:val="1707" w:hRule="atLeast"/>
        </w:trPr>
        <w:tc>
          <w:tcPr>
            <w:tcW w:w="1490" w:type="dxa"/>
          </w:tcPr>
          <w:p>
            <w:pPr>
              <w:pStyle w:val="TableParagraph"/>
              <w:spacing w:line="273" w:lineRule="auto" w:before="50"/>
              <w:ind w:left="200" w:right="126"/>
              <w:rPr>
                <w:b/>
                <w:sz w:val="21"/>
              </w:rPr>
            </w:pPr>
            <w:r>
              <w:rPr>
                <w:b/>
                <w:sz w:val="21"/>
              </w:rPr>
              <w:t>35.早期象皮病</w:t>
            </w:r>
          </w:p>
        </w:tc>
        <w:tc>
          <w:tcPr>
            <w:tcW w:w="7964" w:type="dxa"/>
          </w:tcPr>
          <w:p>
            <w:pPr>
              <w:pStyle w:val="TableParagraph"/>
              <w:spacing w:line="273" w:lineRule="auto" w:before="50"/>
              <w:ind w:left="128" w:right="303"/>
              <w:jc w:val="both"/>
              <w:rPr>
                <w:sz w:val="21"/>
              </w:rPr>
            </w:pPr>
            <w:r>
              <w:rPr>
                <w:spacing w:val="-5"/>
                <w:sz w:val="21"/>
              </w:rPr>
              <w:t>指因丝虫感染导致淋巴管阻塞而造成身体组织出现严重淋巴水肿，但未达到本合同</w:t>
            </w:r>
            <w:r>
              <w:rPr>
                <w:spacing w:val="-8"/>
                <w:sz w:val="21"/>
              </w:rPr>
              <w:t>所指重大疾病“象皮病”的标准。此病症须经本公司认可医院的专科医生根据临床</w:t>
            </w:r>
            <w:r>
              <w:rPr>
                <w:spacing w:val="-5"/>
                <w:sz w:val="21"/>
              </w:rPr>
              <w:t>表现和微丝蚴的化验结果确诊。</w:t>
            </w:r>
          </w:p>
          <w:p>
            <w:pPr>
              <w:pStyle w:val="TableParagraph"/>
              <w:spacing w:line="273" w:lineRule="auto" w:before="7"/>
              <w:ind w:left="128" w:right="269"/>
              <w:jc w:val="both"/>
              <w:rPr>
                <w:rFonts w:ascii="黑体" w:eastAsia="黑体" w:hint="eastAsia"/>
                <w:sz w:val="21"/>
              </w:rPr>
            </w:pPr>
            <w:r>
              <w:rPr>
                <w:rFonts w:ascii="黑体" w:eastAsia="黑体" w:hint="eastAsia"/>
                <w:spacing w:val="-6"/>
                <w:sz w:val="21"/>
              </w:rPr>
              <w:t>由性接触传染的疾病、创伤、手术后疤痕、充血性心力衰竭或先天性淋巴系统异常</w:t>
            </w:r>
            <w:r>
              <w:rPr>
                <w:rFonts w:ascii="黑体" w:eastAsia="黑体" w:hint="eastAsia"/>
                <w:spacing w:val="-4"/>
                <w:sz w:val="21"/>
              </w:rPr>
              <w:t>引起的淋巴水肿，以及急性淋巴管炎或其他原因引起的淋巴水肿不在保障范围内。</w:t>
            </w:r>
          </w:p>
        </w:tc>
      </w:tr>
      <w:tr>
        <w:trPr>
          <w:trHeight w:val="1092" w:hRule="atLeast"/>
        </w:trPr>
        <w:tc>
          <w:tcPr>
            <w:tcW w:w="1490" w:type="dxa"/>
          </w:tcPr>
          <w:p>
            <w:pPr>
              <w:pStyle w:val="TableParagraph"/>
              <w:spacing w:line="273" w:lineRule="auto" w:before="59"/>
              <w:ind w:left="200" w:right="126"/>
              <w:rPr>
                <w:b/>
                <w:sz w:val="21"/>
              </w:rPr>
            </w:pPr>
            <w:r>
              <w:rPr>
                <w:b/>
                <w:sz w:val="21"/>
              </w:rPr>
              <w:t>36.心包膜切除术</w:t>
            </w:r>
          </w:p>
        </w:tc>
        <w:tc>
          <w:tcPr>
            <w:tcW w:w="7964" w:type="dxa"/>
          </w:tcPr>
          <w:p>
            <w:pPr>
              <w:pStyle w:val="TableParagraph"/>
              <w:spacing w:line="273" w:lineRule="auto" w:before="59"/>
              <w:ind w:left="128" w:right="303"/>
              <w:jc w:val="both"/>
              <w:rPr>
                <w:sz w:val="21"/>
              </w:rPr>
            </w:pPr>
            <w:r>
              <w:rPr>
                <w:spacing w:val="-17"/>
                <w:sz w:val="21"/>
              </w:rPr>
              <w:t>指为治疗心包膜疾病，已经实施了心包膜切除术，但未达到本合同所指重大疾病“严</w:t>
            </w:r>
            <w:r>
              <w:rPr>
                <w:spacing w:val="-10"/>
                <w:sz w:val="21"/>
              </w:rPr>
              <w:t>重慢性缩窄型心包炎”的标准。手术必须在心脏科医生认为是医学上必需的情况下进行。</w:t>
            </w:r>
          </w:p>
        </w:tc>
      </w:tr>
      <w:tr>
        <w:trPr>
          <w:trHeight w:val="1716" w:hRule="atLeast"/>
        </w:trPr>
        <w:tc>
          <w:tcPr>
            <w:tcW w:w="1490" w:type="dxa"/>
          </w:tcPr>
          <w:p>
            <w:pPr>
              <w:pStyle w:val="TableParagraph"/>
              <w:spacing w:line="273" w:lineRule="auto" w:before="58"/>
              <w:ind w:left="200" w:right="126"/>
              <w:rPr>
                <w:b/>
                <w:sz w:val="21"/>
              </w:rPr>
            </w:pPr>
            <w:r>
              <w:rPr>
                <w:b/>
                <w:sz w:val="21"/>
              </w:rPr>
              <w:t>37.肺功能衰竭</w:t>
            </w:r>
          </w:p>
        </w:tc>
        <w:tc>
          <w:tcPr>
            <w:tcW w:w="7964" w:type="dxa"/>
          </w:tcPr>
          <w:p>
            <w:pPr>
              <w:pStyle w:val="TableParagraph"/>
              <w:spacing w:line="273" w:lineRule="auto" w:before="58"/>
              <w:ind w:left="128" w:right="262"/>
              <w:rPr>
                <w:sz w:val="21"/>
              </w:rPr>
            </w:pPr>
            <w:r>
              <w:rPr>
                <w:sz w:val="21"/>
              </w:rPr>
              <w:t>指因慢性呼吸系统疾病导致呼吸功能衰竭，未达到本合同所指重大疾病“慢性呼吸功能衰竭”的标准，且诊断必须满足以下所有条件：</w:t>
            </w:r>
          </w:p>
          <w:p>
            <w:pPr>
              <w:pStyle w:val="TableParagraph"/>
              <w:numPr>
                <w:ilvl w:val="0"/>
                <w:numId w:val="30"/>
              </w:numPr>
              <w:tabs>
                <w:tab w:pos="761" w:val="left" w:leader="none"/>
              </w:tabs>
              <w:spacing w:line="240" w:lineRule="auto" w:before="7" w:after="0"/>
              <w:ind w:left="760" w:right="0" w:hanging="632"/>
              <w:jc w:val="left"/>
              <w:rPr>
                <w:sz w:val="21"/>
              </w:rPr>
            </w:pPr>
            <w:r>
              <w:rPr>
                <w:spacing w:val="-3"/>
                <w:sz w:val="21"/>
              </w:rPr>
              <w:t>第一秒末用力呼吸量</w:t>
            </w:r>
            <w:r>
              <w:rPr>
                <w:sz w:val="21"/>
              </w:rPr>
              <w:t>（FEV1）</w:t>
            </w:r>
            <w:r>
              <w:rPr>
                <w:spacing w:val="-17"/>
                <w:sz w:val="21"/>
              </w:rPr>
              <w:t>小于 </w:t>
            </w:r>
            <w:r>
              <w:rPr>
                <w:sz w:val="21"/>
              </w:rPr>
              <w:t>1</w:t>
            </w:r>
            <w:r>
              <w:rPr>
                <w:spacing w:val="-18"/>
                <w:sz w:val="21"/>
              </w:rPr>
              <w:t> 升；</w:t>
            </w:r>
          </w:p>
          <w:p>
            <w:pPr>
              <w:pStyle w:val="TableParagraph"/>
              <w:numPr>
                <w:ilvl w:val="0"/>
                <w:numId w:val="30"/>
              </w:numPr>
              <w:tabs>
                <w:tab w:pos="761" w:val="left" w:leader="none"/>
              </w:tabs>
              <w:spacing w:line="240" w:lineRule="auto" w:before="37" w:after="0"/>
              <w:ind w:left="760" w:right="0" w:hanging="632"/>
              <w:jc w:val="left"/>
              <w:rPr>
                <w:sz w:val="21"/>
              </w:rPr>
            </w:pPr>
            <w:r>
              <w:rPr>
                <w:spacing w:val="-3"/>
                <w:sz w:val="21"/>
              </w:rPr>
              <w:t>残气容积占肺总量</w:t>
            </w:r>
            <w:r>
              <w:rPr>
                <w:sz w:val="21"/>
              </w:rPr>
              <w:t>（TLC）</w:t>
            </w:r>
            <w:r>
              <w:rPr>
                <w:spacing w:val="-21"/>
                <w:sz w:val="21"/>
              </w:rPr>
              <w:t>的 </w:t>
            </w:r>
            <w:r>
              <w:rPr>
                <w:sz w:val="21"/>
              </w:rPr>
              <w:t>50</w:t>
            </w:r>
            <w:r>
              <w:rPr>
                <w:spacing w:val="-1"/>
                <w:sz w:val="21"/>
              </w:rPr>
              <w:t>%以上；</w:t>
            </w:r>
          </w:p>
          <w:p>
            <w:pPr>
              <w:pStyle w:val="TableParagraph"/>
              <w:numPr>
                <w:ilvl w:val="0"/>
                <w:numId w:val="30"/>
              </w:numPr>
              <w:tabs>
                <w:tab w:pos="761" w:val="left" w:leader="none"/>
              </w:tabs>
              <w:spacing w:line="240" w:lineRule="auto" w:before="37" w:after="0"/>
              <w:ind w:left="760" w:right="0" w:hanging="632"/>
              <w:jc w:val="left"/>
              <w:rPr>
                <w:sz w:val="21"/>
              </w:rPr>
            </w:pPr>
            <w:r>
              <w:rPr>
                <w:sz w:val="21"/>
              </w:rPr>
              <w:t>PaO2&lt;60mmHg,</w:t>
            </w:r>
            <w:r>
              <w:rPr>
                <w:spacing w:val="-3"/>
                <w:sz w:val="21"/>
              </w:rPr>
              <w:t> </w:t>
            </w:r>
            <w:r>
              <w:rPr>
                <w:sz w:val="21"/>
              </w:rPr>
              <w:t>PaCO2&gt;50mmHg。</w:t>
            </w:r>
          </w:p>
        </w:tc>
      </w:tr>
      <w:tr>
        <w:trPr>
          <w:trHeight w:val="1275" w:hRule="atLeast"/>
        </w:trPr>
        <w:tc>
          <w:tcPr>
            <w:tcW w:w="1490" w:type="dxa"/>
          </w:tcPr>
          <w:p>
            <w:pPr>
              <w:pStyle w:val="TableParagraph"/>
              <w:spacing w:line="273" w:lineRule="auto" w:before="58"/>
              <w:ind w:left="200" w:right="126"/>
              <w:rPr>
                <w:b/>
                <w:sz w:val="21"/>
              </w:rPr>
            </w:pPr>
            <w:r>
              <w:rPr>
                <w:b/>
                <w:sz w:val="21"/>
              </w:rPr>
              <w:t>38.植入心脏起搏器</w:t>
            </w:r>
          </w:p>
        </w:tc>
        <w:tc>
          <w:tcPr>
            <w:tcW w:w="7964" w:type="dxa"/>
          </w:tcPr>
          <w:p>
            <w:pPr>
              <w:pStyle w:val="TableParagraph"/>
              <w:spacing w:line="273" w:lineRule="auto" w:before="58"/>
              <w:ind w:left="128" w:right="264"/>
              <w:rPr>
                <w:sz w:val="21"/>
              </w:rPr>
            </w:pPr>
            <w:r>
              <w:rPr>
                <w:sz w:val="21"/>
              </w:rPr>
              <w:t>因严重心律失常而确实已经实施永久性心脏起搏器的植入手术。理赔时须提供完整病历资料及手术记录，诊断及治疗均须在本公司认可医院专科医生认为是医疗必须</w:t>
            </w:r>
          </w:p>
          <w:p>
            <w:pPr>
              <w:pStyle w:val="TableParagraph"/>
              <w:spacing w:line="312" w:lineRule="exact" w:before="2"/>
              <w:ind w:left="128" w:right="303"/>
              <w:rPr>
                <w:sz w:val="21"/>
              </w:rPr>
            </w:pPr>
            <w:r>
              <w:rPr>
                <w:spacing w:val="-7"/>
                <w:sz w:val="21"/>
              </w:rPr>
              <w:t>的情况下进行。由于心脏再同步化治疗而实施的植入心脏起博器包括在本项保障范围内。</w:t>
            </w:r>
          </w:p>
        </w:tc>
      </w:tr>
    </w:tbl>
    <w:p>
      <w:pPr>
        <w:spacing w:after="0" w:line="312" w:lineRule="exact"/>
        <w:rPr>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0"/>
        <w:gridCol w:w="7859"/>
      </w:tblGrid>
      <w:tr>
        <w:trPr>
          <w:trHeight w:val="3437" w:hRule="atLeast"/>
        </w:trPr>
        <w:tc>
          <w:tcPr>
            <w:tcW w:w="1490" w:type="dxa"/>
          </w:tcPr>
          <w:p>
            <w:pPr>
              <w:pStyle w:val="TableParagraph"/>
              <w:spacing w:line="205" w:lineRule="exact"/>
              <w:ind w:left="200"/>
              <w:rPr>
                <w:b/>
                <w:sz w:val="21"/>
              </w:rPr>
            </w:pPr>
            <w:r>
              <w:rPr>
                <w:b/>
                <w:sz w:val="21"/>
              </w:rPr>
              <w:t>39.早期原发</w:t>
            </w:r>
          </w:p>
          <w:p>
            <w:pPr>
              <w:pStyle w:val="TableParagraph"/>
              <w:spacing w:before="37"/>
              <w:ind w:left="200"/>
              <w:rPr>
                <w:b/>
                <w:sz w:val="21"/>
              </w:rPr>
            </w:pPr>
            <w:r>
              <w:rPr>
                <w:b/>
                <w:sz w:val="21"/>
              </w:rPr>
              <w:t>性心脏病</w:t>
            </w:r>
          </w:p>
        </w:tc>
        <w:tc>
          <w:tcPr>
            <w:tcW w:w="7859" w:type="dxa"/>
          </w:tcPr>
          <w:p>
            <w:pPr>
              <w:pStyle w:val="TableParagraph"/>
              <w:spacing w:line="205" w:lineRule="exact"/>
              <w:ind w:left="128"/>
              <w:rPr>
                <w:sz w:val="21"/>
              </w:rPr>
            </w:pPr>
            <w:r>
              <w:rPr>
                <w:sz w:val="21"/>
              </w:rPr>
              <w:t>被诊断为原发性心肌病，并符合下列所有条件，但未达到本合同所指重大疾病“严</w:t>
            </w:r>
          </w:p>
          <w:p>
            <w:pPr>
              <w:pStyle w:val="TableParagraph"/>
              <w:spacing w:before="37"/>
              <w:ind w:left="128"/>
              <w:rPr>
                <w:sz w:val="21"/>
              </w:rPr>
            </w:pPr>
            <w:r>
              <w:rPr>
                <w:sz w:val="21"/>
              </w:rPr>
              <w:t>重原发性心肌病”的标准：</w:t>
            </w:r>
          </w:p>
          <w:p>
            <w:pPr>
              <w:pStyle w:val="TableParagraph"/>
              <w:numPr>
                <w:ilvl w:val="0"/>
                <w:numId w:val="31"/>
              </w:numPr>
              <w:tabs>
                <w:tab w:pos="744" w:val="left" w:leader="none"/>
              </w:tabs>
              <w:spacing w:line="273" w:lineRule="auto" w:before="37" w:after="0"/>
              <w:ind w:left="128" w:right="198" w:firstLine="0"/>
              <w:jc w:val="left"/>
              <w:rPr>
                <w:sz w:val="21"/>
              </w:rPr>
            </w:pPr>
            <w:r>
              <w:rPr>
                <w:spacing w:val="-5"/>
                <w:sz w:val="21"/>
              </w:rPr>
              <w:t>导致心室功能受损，其受损程度达到美国纽约心脏病学会心功能状态分级Ⅲ </w:t>
            </w:r>
            <w:r>
              <w:rPr>
                <w:spacing w:val="-5"/>
                <w:w w:val="100"/>
                <w:sz w:val="21"/>
              </w:rPr>
              <w:t>级（</w:t>
            </w:r>
            <w:r>
              <w:rPr>
                <w:spacing w:val="-3"/>
                <w:w w:val="100"/>
                <w:sz w:val="21"/>
              </w:rPr>
              <w:t>注</w:t>
            </w:r>
            <w:r>
              <w:rPr>
                <w:spacing w:val="-106"/>
                <w:w w:val="100"/>
                <w:sz w:val="21"/>
              </w:rPr>
              <w:t>）</w:t>
            </w:r>
            <w:r>
              <w:rPr>
                <w:spacing w:val="-3"/>
                <w:w w:val="100"/>
                <w:sz w:val="21"/>
              </w:rPr>
              <w:t>，或其同等级别。</w:t>
            </w:r>
          </w:p>
          <w:p>
            <w:pPr>
              <w:pStyle w:val="TableParagraph"/>
              <w:numPr>
                <w:ilvl w:val="0"/>
                <w:numId w:val="31"/>
              </w:numPr>
              <w:tabs>
                <w:tab w:pos="761" w:val="left" w:leader="none"/>
              </w:tabs>
              <w:spacing w:line="240" w:lineRule="auto" w:before="7" w:after="0"/>
              <w:ind w:left="760" w:right="0" w:hanging="632"/>
              <w:jc w:val="left"/>
              <w:rPr>
                <w:sz w:val="21"/>
              </w:rPr>
            </w:pPr>
            <w:r>
              <w:rPr>
                <w:spacing w:val="-3"/>
                <w:sz w:val="21"/>
              </w:rPr>
              <w:t>左室射血分数 </w:t>
            </w:r>
            <w:r>
              <w:rPr>
                <w:sz w:val="21"/>
              </w:rPr>
              <w:t>LVEF</w:t>
            </w:r>
            <w:r>
              <w:rPr>
                <w:spacing w:val="0"/>
                <w:sz w:val="21"/>
              </w:rPr>
              <w:t> </w:t>
            </w:r>
            <w:r>
              <w:rPr>
                <w:sz w:val="21"/>
              </w:rPr>
              <w:t>&lt;35%。</w:t>
            </w:r>
          </w:p>
          <w:p>
            <w:pPr>
              <w:pStyle w:val="TableParagraph"/>
              <w:numPr>
                <w:ilvl w:val="0"/>
                <w:numId w:val="31"/>
              </w:numPr>
              <w:tabs>
                <w:tab w:pos="744" w:val="left" w:leader="none"/>
              </w:tabs>
              <w:spacing w:line="273" w:lineRule="auto" w:before="36" w:after="0"/>
              <w:ind w:left="128" w:right="198" w:firstLine="0"/>
              <w:jc w:val="left"/>
              <w:rPr>
                <w:sz w:val="21"/>
              </w:rPr>
            </w:pPr>
            <w:r>
              <w:rPr>
                <w:spacing w:val="-4"/>
                <w:sz w:val="21"/>
              </w:rPr>
              <w:t>原发性心肌病的诊断必须由本公司认可医院的心脏专科医生确认，并提供心</w:t>
            </w:r>
            <w:r>
              <w:rPr>
                <w:spacing w:val="-3"/>
                <w:sz w:val="21"/>
              </w:rPr>
              <w:t>脏超声检查结果报告。</w:t>
            </w:r>
          </w:p>
          <w:p>
            <w:pPr>
              <w:pStyle w:val="TableParagraph"/>
              <w:spacing w:line="273" w:lineRule="auto" w:before="7"/>
              <w:ind w:left="128" w:right="198"/>
              <w:rPr>
                <w:sz w:val="21"/>
              </w:rPr>
            </w:pPr>
            <w:r>
              <w:rPr>
                <w:rFonts w:ascii="黑体" w:hAnsi="黑体" w:eastAsia="黑体" w:hint="eastAsia"/>
                <w:spacing w:val="-5"/>
                <w:sz w:val="21"/>
              </w:rPr>
              <w:t>本保障范围内的心肌病仅包括扩张型心肌病、肥厚型心肌病及限制型心肌病。继发</w:t>
            </w:r>
            <w:r>
              <w:rPr>
                <w:rFonts w:ascii="黑体" w:hAnsi="黑体" w:eastAsia="黑体" w:hint="eastAsia"/>
                <w:spacing w:val="-4"/>
                <w:sz w:val="21"/>
              </w:rPr>
              <w:t>于全身性疾病或其他器官系统疾病及酒精滥用造成的心肌病变不在保障范围内。 </w:t>
            </w:r>
            <w:r>
              <w:rPr>
                <w:spacing w:val="-7"/>
                <w:sz w:val="21"/>
              </w:rPr>
              <w:t>注：美国纽约心脏病学会心功能状态分级Ⅲ级是指体力活动明显受限，休息时无症</w:t>
            </w:r>
            <w:r>
              <w:rPr>
                <w:spacing w:val="-5"/>
                <w:sz w:val="21"/>
              </w:rPr>
              <w:t>状，轻于日常的活动即可引起充血性心力衰竭的症状。</w:t>
            </w:r>
          </w:p>
        </w:tc>
      </w:tr>
      <w:tr>
        <w:trPr>
          <w:trHeight w:val="757" w:hRule="atLeast"/>
        </w:trPr>
        <w:tc>
          <w:tcPr>
            <w:tcW w:w="1490" w:type="dxa"/>
          </w:tcPr>
          <w:p>
            <w:pPr>
              <w:pStyle w:val="TableParagraph"/>
              <w:spacing w:line="273" w:lineRule="auto" w:before="36"/>
              <w:ind w:left="200" w:right="126"/>
              <w:rPr>
                <w:b/>
                <w:sz w:val="21"/>
              </w:rPr>
            </w:pPr>
            <w:r>
              <w:rPr>
                <w:b/>
                <w:sz w:val="21"/>
              </w:rPr>
              <w:t>40.轻度面部烧伤</w:t>
            </w:r>
          </w:p>
        </w:tc>
        <w:tc>
          <w:tcPr>
            <w:tcW w:w="7859" w:type="dxa"/>
          </w:tcPr>
          <w:p>
            <w:pPr>
              <w:pStyle w:val="TableParagraph"/>
              <w:spacing w:line="273" w:lineRule="auto" w:before="36"/>
              <w:ind w:left="128" w:right="144"/>
              <w:rPr>
                <w:sz w:val="21"/>
              </w:rPr>
            </w:pPr>
            <w:r>
              <w:rPr>
                <w:sz w:val="21"/>
              </w:rPr>
              <w:t>指烧伤程度为Ⅲ度，且Ⅲ度烧伤的面积达到面部表面积的 30％或者 30％以上，但未达到面部表面积的 80%。</w:t>
            </w:r>
          </w:p>
        </w:tc>
      </w:tr>
      <w:tr>
        <w:trPr>
          <w:trHeight w:val="2964" w:hRule="atLeast"/>
        </w:trPr>
        <w:tc>
          <w:tcPr>
            <w:tcW w:w="1490" w:type="dxa"/>
          </w:tcPr>
          <w:p>
            <w:pPr>
              <w:pStyle w:val="TableParagraph"/>
              <w:spacing w:line="273" w:lineRule="auto" w:before="58"/>
              <w:ind w:left="200" w:right="126"/>
              <w:rPr>
                <w:b/>
                <w:sz w:val="21"/>
              </w:rPr>
            </w:pPr>
            <w:r>
              <w:rPr>
                <w:b/>
                <w:sz w:val="21"/>
              </w:rPr>
              <w:t>41.特定周围动脉疾病的血管介入治疗</w:t>
            </w:r>
          </w:p>
        </w:tc>
        <w:tc>
          <w:tcPr>
            <w:tcW w:w="7859" w:type="dxa"/>
          </w:tcPr>
          <w:p>
            <w:pPr>
              <w:pStyle w:val="TableParagraph"/>
              <w:spacing w:before="58"/>
              <w:ind w:left="128"/>
              <w:rPr>
                <w:sz w:val="21"/>
              </w:rPr>
            </w:pPr>
            <w:r>
              <w:rPr>
                <w:sz w:val="21"/>
              </w:rPr>
              <w:t>指为治疗一条或者一条以上的下</w:t>
            </w:r>
            <w:r>
              <w:rPr>
                <w:rFonts w:ascii="Arial" w:eastAsia="Arial"/>
                <w:w w:val="115"/>
                <w:sz w:val="21"/>
              </w:rPr>
              <w:t>列</w:t>
            </w:r>
            <w:r>
              <w:rPr>
                <w:sz w:val="21"/>
              </w:rPr>
              <w:t>动脉狭窄而实施的血管介入治疗：</w:t>
            </w:r>
          </w:p>
          <w:p>
            <w:pPr>
              <w:pStyle w:val="TableParagraph"/>
              <w:numPr>
                <w:ilvl w:val="0"/>
                <w:numId w:val="32"/>
              </w:numPr>
              <w:tabs>
                <w:tab w:pos="761" w:val="left" w:leader="none"/>
              </w:tabs>
              <w:spacing w:line="240" w:lineRule="auto" w:before="21" w:after="0"/>
              <w:ind w:left="128" w:right="0" w:firstLine="0"/>
              <w:jc w:val="left"/>
              <w:rPr>
                <w:sz w:val="21"/>
              </w:rPr>
            </w:pPr>
            <w:r>
              <w:rPr>
                <w:spacing w:val="-3"/>
                <w:sz w:val="21"/>
              </w:rPr>
              <w:t>为下肢或者上肢供血的动脉；</w:t>
            </w:r>
          </w:p>
          <w:p>
            <w:pPr>
              <w:pStyle w:val="TableParagraph"/>
              <w:numPr>
                <w:ilvl w:val="0"/>
                <w:numId w:val="32"/>
              </w:numPr>
              <w:tabs>
                <w:tab w:pos="761" w:val="left" w:leader="none"/>
              </w:tabs>
              <w:spacing w:line="240" w:lineRule="auto" w:before="36" w:after="0"/>
              <w:ind w:left="128" w:right="0" w:firstLine="0"/>
              <w:jc w:val="left"/>
              <w:rPr>
                <w:sz w:val="21"/>
              </w:rPr>
            </w:pPr>
            <w:r>
              <w:rPr>
                <w:spacing w:val="-2"/>
                <w:sz w:val="21"/>
              </w:rPr>
              <w:t>肾动脉；</w:t>
            </w:r>
          </w:p>
          <w:p>
            <w:pPr>
              <w:pStyle w:val="TableParagraph"/>
              <w:numPr>
                <w:ilvl w:val="0"/>
                <w:numId w:val="32"/>
              </w:numPr>
              <w:tabs>
                <w:tab w:pos="761" w:val="left" w:leader="none"/>
              </w:tabs>
              <w:spacing w:line="273" w:lineRule="auto" w:before="36" w:after="0"/>
              <w:ind w:left="128" w:right="5625" w:firstLine="0"/>
              <w:jc w:val="left"/>
              <w:rPr>
                <w:sz w:val="21"/>
              </w:rPr>
            </w:pPr>
            <w:r>
              <w:rPr>
                <w:spacing w:val="-3"/>
                <w:sz w:val="21"/>
              </w:rPr>
              <w:t>肠系膜动脉。 须满足下列全部条件：</w:t>
            </w:r>
          </w:p>
          <w:p>
            <w:pPr>
              <w:pStyle w:val="TableParagraph"/>
              <w:numPr>
                <w:ilvl w:val="0"/>
                <w:numId w:val="33"/>
              </w:numPr>
              <w:tabs>
                <w:tab w:pos="761" w:val="left" w:leader="none"/>
              </w:tabs>
              <w:spacing w:line="240" w:lineRule="auto" w:before="7" w:after="0"/>
              <w:ind w:left="128" w:right="0" w:firstLine="0"/>
              <w:jc w:val="left"/>
              <w:rPr>
                <w:sz w:val="21"/>
              </w:rPr>
            </w:pPr>
            <w:r>
              <w:rPr>
                <w:spacing w:val="-4"/>
                <w:sz w:val="21"/>
              </w:rPr>
              <w:t>经血管造影术证实一条或者一条以上的上述动脉狭窄达到 </w:t>
            </w:r>
            <w:r>
              <w:rPr>
                <w:sz w:val="21"/>
              </w:rPr>
              <w:t>50</w:t>
            </w:r>
            <w:r>
              <w:rPr>
                <w:spacing w:val="-3"/>
                <w:sz w:val="21"/>
              </w:rPr>
              <w:t>%或者以上；</w:t>
            </w:r>
          </w:p>
          <w:p>
            <w:pPr>
              <w:pStyle w:val="TableParagraph"/>
              <w:numPr>
                <w:ilvl w:val="0"/>
                <w:numId w:val="33"/>
              </w:numPr>
              <w:tabs>
                <w:tab w:pos="768" w:val="left" w:leader="none"/>
              </w:tabs>
              <w:spacing w:line="273" w:lineRule="auto" w:before="37" w:after="0"/>
              <w:ind w:left="128" w:right="203" w:firstLine="0"/>
              <w:jc w:val="left"/>
              <w:rPr>
                <w:sz w:val="21"/>
              </w:rPr>
            </w:pPr>
            <w:r>
              <w:rPr>
                <w:sz w:val="21"/>
              </w:rPr>
              <w:t>对一条或者一条以上的上述动脉施行了血管介入治疗，如血管成形术及/或</w:t>
            </w:r>
            <w:r>
              <w:rPr>
                <w:spacing w:val="-3"/>
                <w:sz w:val="21"/>
              </w:rPr>
              <w:t>者进行植入支架或者动脉瘤清除手术。</w:t>
            </w:r>
          </w:p>
          <w:p>
            <w:pPr>
              <w:pStyle w:val="TableParagraph"/>
              <w:spacing w:before="8"/>
              <w:ind w:left="128"/>
              <w:rPr>
                <w:sz w:val="21"/>
              </w:rPr>
            </w:pPr>
            <w:r>
              <w:rPr>
                <w:sz w:val="21"/>
              </w:rPr>
              <w:t>上述动脉疾病的诊断以及相关治疗的必要性必须由血管疾病的专科医生确定。</w:t>
            </w:r>
          </w:p>
        </w:tc>
      </w:tr>
      <w:tr>
        <w:trPr>
          <w:trHeight w:val="1950" w:hRule="atLeast"/>
        </w:trPr>
        <w:tc>
          <w:tcPr>
            <w:tcW w:w="1490" w:type="dxa"/>
          </w:tcPr>
          <w:p>
            <w:pPr>
              <w:pStyle w:val="TableParagraph"/>
              <w:spacing w:line="273" w:lineRule="auto" w:before="58"/>
              <w:ind w:left="200" w:right="126"/>
              <w:rPr>
                <w:b/>
                <w:sz w:val="21"/>
              </w:rPr>
            </w:pPr>
            <w:r>
              <w:rPr>
                <w:b/>
                <w:sz w:val="21"/>
              </w:rPr>
              <w:t>42.于颈动脉进行血管成形术或内膜切除术</w:t>
            </w:r>
          </w:p>
        </w:tc>
        <w:tc>
          <w:tcPr>
            <w:tcW w:w="7859" w:type="dxa"/>
          </w:tcPr>
          <w:p>
            <w:pPr>
              <w:pStyle w:val="TableParagraph"/>
              <w:spacing w:line="273" w:lineRule="auto" w:before="58"/>
              <w:ind w:left="128" w:right="198"/>
              <w:jc w:val="both"/>
              <w:rPr>
                <w:sz w:val="21"/>
              </w:rPr>
            </w:pPr>
            <w:r>
              <w:rPr>
                <w:spacing w:val="-6"/>
                <w:sz w:val="21"/>
              </w:rPr>
              <w:t>指根据颈动脉造影检查结果，确诊一条或以上颈动脉存在严重狭窄性病变</w:t>
            </w:r>
            <w:r>
              <w:rPr>
                <w:spacing w:val="-3"/>
                <w:sz w:val="21"/>
              </w:rPr>
              <w:t>（</w:t>
            </w:r>
            <w:r>
              <w:rPr>
                <w:sz w:val="21"/>
              </w:rPr>
              <w:t>至少一</w:t>
            </w:r>
            <w:r>
              <w:rPr>
                <w:spacing w:val="-6"/>
                <w:sz w:val="21"/>
              </w:rPr>
              <w:t>支血管管腔直径减少 </w:t>
            </w:r>
            <w:r>
              <w:rPr>
                <w:sz w:val="21"/>
              </w:rPr>
              <w:t>50％以上</w:t>
            </w:r>
            <w:r>
              <w:rPr>
                <w:spacing w:val="-108"/>
                <w:sz w:val="21"/>
              </w:rPr>
              <w:t>）</w:t>
            </w:r>
            <w:r>
              <w:rPr>
                <w:spacing w:val="-3"/>
                <w:sz w:val="21"/>
              </w:rPr>
              <w:t>。本病须经国家机关认可的有合法资质的专科医生明确诊断，同时必须已经采取以下手术以减轻症状：</w:t>
            </w:r>
          </w:p>
          <w:p>
            <w:pPr>
              <w:pStyle w:val="TableParagraph"/>
              <w:spacing w:before="7"/>
              <w:ind w:left="128"/>
              <w:rPr>
                <w:sz w:val="21"/>
              </w:rPr>
            </w:pPr>
            <w:r>
              <w:rPr>
                <w:sz w:val="21"/>
              </w:rPr>
              <w:t>1.确实进行动脉内膜切除术；</w:t>
            </w:r>
          </w:p>
          <w:p>
            <w:pPr>
              <w:pStyle w:val="TableParagraph"/>
              <w:spacing w:line="273" w:lineRule="auto" w:before="37"/>
              <w:ind w:left="128" w:right="267"/>
              <w:jc w:val="both"/>
              <w:rPr>
                <w:sz w:val="21"/>
              </w:rPr>
            </w:pPr>
            <w:r>
              <w:rPr>
                <w:sz w:val="21"/>
              </w:rPr>
              <w:t>2.确实进行血管介入治疗，例如血管成形术及/或进行植入支架或动脉粥样瘤清除手术。</w:t>
            </w:r>
          </w:p>
        </w:tc>
      </w:tr>
      <w:tr>
        <w:trPr>
          <w:trHeight w:val="1629" w:hRule="atLeast"/>
        </w:trPr>
        <w:tc>
          <w:tcPr>
            <w:tcW w:w="1490" w:type="dxa"/>
          </w:tcPr>
          <w:p>
            <w:pPr>
              <w:pStyle w:val="TableParagraph"/>
              <w:spacing w:line="256" w:lineRule="exact"/>
              <w:ind w:left="200"/>
              <w:rPr>
                <w:b/>
                <w:sz w:val="21"/>
              </w:rPr>
            </w:pPr>
            <w:r>
              <w:rPr>
                <w:b/>
                <w:sz w:val="21"/>
              </w:rPr>
              <w:t>43.面部重建</w:t>
            </w:r>
          </w:p>
          <w:p>
            <w:pPr>
              <w:pStyle w:val="TableParagraph"/>
              <w:spacing w:before="37"/>
              <w:ind w:left="200"/>
              <w:rPr>
                <w:b/>
                <w:sz w:val="21"/>
              </w:rPr>
            </w:pPr>
            <w:r>
              <w:rPr>
                <w:b/>
                <w:sz w:val="21"/>
              </w:rPr>
              <w:t>手术</w:t>
            </w:r>
          </w:p>
        </w:tc>
        <w:tc>
          <w:tcPr>
            <w:tcW w:w="7859" w:type="dxa"/>
          </w:tcPr>
          <w:p>
            <w:pPr>
              <w:pStyle w:val="TableParagraph"/>
              <w:spacing w:line="256" w:lineRule="exact"/>
              <w:ind w:left="128"/>
              <w:rPr>
                <w:sz w:val="21"/>
              </w:rPr>
            </w:pPr>
            <w:r>
              <w:rPr>
                <w:sz w:val="21"/>
              </w:rPr>
              <w:t>确实进行整形或者重建手术（颈部以上的面部构造不完整、缺失或者受损而对其形</w:t>
            </w:r>
          </w:p>
          <w:p>
            <w:pPr>
              <w:pStyle w:val="TableParagraph"/>
              <w:spacing w:line="273" w:lineRule="auto" w:before="37"/>
              <w:ind w:left="128" w:right="200"/>
              <w:rPr>
                <w:sz w:val="21"/>
              </w:rPr>
            </w:pPr>
            <w:r>
              <w:rPr>
                <w:w w:val="100"/>
                <w:sz w:val="21"/>
              </w:rPr>
              <w:t>态及外观进行修复或者重建</w:t>
            </w:r>
            <w:r>
              <w:rPr>
                <w:spacing w:val="-106"/>
                <w:w w:val="100"/>
                <w:sz w:val="21"/>
              </w:rPr>
              <w:t>）</w:t>
            </w:r>
            <w:r>
              <w:rPr>
                <w:w w:val="100"/>
                <w:sz w:val="21"/>
              </w:rPr>
              <w:t>，同时必须由专科医生认为该面部毁容是需要接受住</w:t>
            </w:r>
            <w:r>
              <w:rPr>
                <w:spacing w:val="-3"/>
                <w:sz w:val="21"/>
              </w:rPr>
              <w:t>院治疗，及其后接受该手术，而对该面部毁容所进行的治疗亦是医疗所需。</w:t>
            </w:r>
          </w:p>
          <w:p>
            <w:pPr>
              <w:pStyle w:val="TableParagraph"/>
              <w:spacing w:line="273" w:lineRule="auto" w:before="7"/>
              <w:ind w:left="128" w:right="198"/>
              <w:rPr>
                <w:rFonts w:ascii="黑体" w:eastAsia="黑体" w:hint="eastAsia"/>
                <w:sz w:val="21"/>
              </w:rPr>
            </w:pPr>
            <w:r>
              <w:rPr>
                <w:rFonts w:ascii="黑体" w:eastAsia="黑体" w:hint="eastAsia"/>
                <w:spacing w:val="-6"/>
                <w:sz w:val="21"/>
              </w:rPr>
              <w:t>因纯粹整容原因、独立的牙齿修复、独立的鼻骨骨折或者独立的皮肤伤口所进行的</w:t>
            </w:r>
            <w:r>
              <w:rPr>
                <w:rFonts w:ascii="黑体" w:eastAsia="黑体" w:hint="eastAsia"/>
                <w:spacing w:val="-1"/>
                <w:sz w:val="21"/>
              </w:rPr>
              <w:t>手术均</w:t>
            </w:r>
            <w:r>
              <w:rPr>
                <w:rFonts w:ascii="Arial" w:eastAsia="Arial"/>
                <w:w w:val="115"/>
                <w:sz w:val="21"/>
              </w:rPr>
              <w:t>不</w:t>
            </w:r>
            <w:r>
              <w:rPr>
                <w:rFonts w:ascii="黑体" w:eastAsia="黑体" w:hint="eastAsia"/>
                <w:spacing w:val="-3"/>
                <w:sz w:val="21"/>
              </w:rPr>
              <w:t>受此保障。</w:t>
            </w:r>
          </w:p>
        </w:tc>
      </w:tr>
      <w:tr>
        <w:trPr>
          <w:trHeight w:val="1082" w:hRule="atLeast"/>
        </w:trPr>
        <w:tc>
          <w:tcPr>
            <w:tcW w:w="1490" w:type="dxa"/>
          </w:tcPr>
          <w:p>
            <w:pPr>
              <w:pStyle w:val="TableParagraph"/>
              <w:spacing w:before="49"/>
              <w:ind w:left="200"/>
              <w:rPr>
                <w:b/>
                <w:sz w:val="21"/>
              </w:rPr>
            </w:pPr>
            <w:r>
              <w:rPr>
                <w:b/>
                <w:sz w:val="21"/>
              </w:rPr>
              <w:t>44.肝叶切除</w:t>
            </w:r>
          </w:p>
        </w:tc>
        <w:tc>
          <w:tcPr>
            <w:tcW w:w="7859" w:type="dxa"/>
          </w:tcPr>
          <w:p>
            <w:pPr>
              <w:pStyle w:val="TableParagraph"/>
              <w:spacing w:before="49"/>
              <w:ind w:left="128"/>
              <w:rPr>
                <w:sz w:val="21"/>
              </w:rPr>
            </w:pPr>
            <w:r>
              <w:rPr>
                <w:sz w:val="21"/>
              </w:rPr>
              <w:t>因疾病或者意外伤害导致至少一整叶肝脏切除。</w:t>
            </w:r>
          </w:p>
          <w:p>
            <w:pPr>
              <w:pStyle w:val="TableParagraph"/>
              <w:spacing w:line="273" w:lineRule="auto" w:before="37"/>
              <w:ind w:left="128" w:right="209"/>
              <w:rPr>
                <w:rFonts w:ascii="黑体" w:eastAsia="黑体" w:hint="eastAsia"/>
                <w:sz w:val="21"/>
              </w:rPr>
            </w:pPr>
            <w:r>
              <w:rPr>
                <w:rFonts w:ascii="黑体" w:eastAsia="黑体" w:hint="eastAsia"/>
                <w:sz w:val="21"/>
              </w:rPr>
              <w:t>因酒精或者滥用药物引致的疾病或者紊乱及／或者因捐赠肝脏而所需的肝脏手术均不在保障范围内。</w:t>
            </w:r>
          </w:p>
        </w:tc>
      </w:tr>
      <w:tr>
        <w:trPr>
          <w:trHeight w:val="780" w:hRule="atLeast"/>
        </w:trPr>
        <w:tc>
          <w:tcPr>
            <w:tcW w:w="1490" w:type="dxa"/>
          </w:tcPr>
          <w:p>
            <w:pPr>
              <w:pStyle w:val="TableParagraph"/>
              <w:spacing w:line="273" w:lineRule="auto" w:before="58"/>
              <w:ind w:left="200" w:right="126"/>
              <w:rPr>
                <w:b/>
                <w:sz w:val="21"/>
              </w:rPr>
            </w:pPr>
            <w:r>
              <w:rPr>
                <w:b/>
                <w:sz w:val="21"/>
              </w:rPr>
              <w:t>45.单侧肺脏切除</w:t>
            </w:r>
          </w:p>
        </w:tc>
        <w:tc>
          <w:tcPr>
            <w:tcW w:w="7859" w:type="dxa"/>
          </w:tcPr>
          <w:p>
            <w:pPr>
              <w:pStyle w:val="TableParagraph"/>
              <w:spacing w:before="58"/>
              <w:ind w:left="128"/>
              <w:rPr>
                <w:sz w:val="21"/>
              </w:rPr>
            </w:pPr>
            <w:r>
              <w:rPr>
                <w:sz w:val="21"/>
              </w:rPr>
              <w:t>因疾病或意外事故实际实施的一侧肺脏切除术。</w:t>
            </w:r>
          </w:p>
          <w:p>
            <w:pPr>
              <w:pStyle w:val="TableParagraph"/>
              <w:spacing w:before="36"/>
              <w:ind w:left="128"/>
              <w:rPr>
                <w:rFonts w:ascii="黑体" w:eastAsia="黑体" w:hint="eastAsia"/>
                <w:sz w:val="21"/>
              </w:rPr>
            </w:pPr>
            <w:r>
              <w:rPr>
                <w:rFonts w:ascii="黑体" w:eastAsia="黑体" w:hint="eastAsia"/>
                <w:sz w:val="21"/>
              </w:rPr>
              <w:t>部分切除手术和肺脏捐献引起的手术不在保障范围内。</w:t>
            </w:r>
          </w:p>
        </w:tc>
      </w:tr>
      <w:tr>
        <w:trPr>
          <w:trHeight w:val="1043" w:hRule="atLeast"/>
        </w:trPr>
        <w:tc>
          <w:tcPr>
            <w:tcW w:w="1490" w:type="dxa"/>
          </w:tcPr>
          <w:p>
            <w:pPr>
              <w:pStyle w:val="TableParagraph"/>
              <w:spacing w:line="273" w:lineRule="auto" w:before="58"/>
              <w:ind w:left="200" w:right="126"/>
              <w:rPr>
                <w:b/>
                <w:sz w:val="21"/>
              </w:rPr>
            </w:pPr>
            <w:r>
              <w:rPr>
                <w:b/>
                <w:sz w:val="21"/>
              </w:rPr>
              <w:t>46.双侧卵巢或睾丸切除术</w:t>
            </w:r>
          </w:p>
        </w:tc>
        <w:tc>
          <w:tcPr>
            <w:tcW w:w="7859" w:type="dxa"/>
          </w:tcPr>
          <w:p>
            <w:pPr>
              <w:pStyle w:val="TableParagraph"/>
              <w:spacing w:line="273" w:lineRule="auto" w:before="58"/>
              <w:ind w:left="128" w:right="206"/>
              <w:rPr>
                <w:rFonts w:ascii="黑体" w:eastAsia="黑体" w:hint="eastAsia"/>
                <w:sz w:val="21"/>
              </w:rPr>
            </w:pPr>
            <w:r>
              <w:rPr>
                <w:sz w:val="21"/>
              </w:rPr>
              <w:t>指为治疗疾病实际接受了经腹部切开或腹腔镜进行的双侧卵巢或睾丸完全切除手术。</w:t>
            </w:r>
            <w:r>
              <w:rPr>
                <w:rFonts w:ascii="黑体" w:eastAsia="黑体" w:hint="eastAsia"/>
                <w:sz w:val="21"/>
              </w:rPr>
              <w:t>部分卵巢或睾丸切除不在保障范围。</w:t>
            </w:r>
          </w:p>
        </w:tc>
      </w:tr>
      <w:tr>
        <w:trPr>
          <w:trHeight w:val="602" w:hRule="atLeast"/>
        </w:trPr>
        <w:tc>
          <w:tcPr>
            <w:tcW w:w="1490" w:type="dxa"/>
          </w:tcPr>
          <w:p>
            <w:pPr>
              <w:pStyle w:val="TableParagraph"/>
              <w:spacing w:line="312" w:lineRule="exact" w:before="5"/>
              <w:ind w:left="200" w:right="126"/>
              <w:rPr>
                <w:b/>
                <w:sz w:val="21"/>
              </w:rPr>
            </w:pPr>
            <w:r>
              <w:rPr>
                <w:b/>
                <w:sz w:val="21"/>
              </w:rPr>
              <w:t>47.腔静脉过滤器植入术</w:t>
            </w:r>
          </w:p>
        </w:tc>
        <w:tc>
          <w:tcPr>
            <w:tcW w:w="7859" w:type="dxa"/>
          </w:tcPr>
          <w:p>
            <w:pPr>
              <w:pStyle w:val="TableParagraph"/>
              <w:spacing w:line="312" w:lineRule="exact" w:before="5"/>
              <w:ind w:left="128" w:right="198"/>
              <w:rPr>
                <w:sz w:val="21"/>
              </w:rPr>
            </w:pPr>
            <w:r>
              <w:rPr>
                <w:spacing w:val="-6"/>
                <w:sz w:val="21"/>
              </w:rPr>
              <w:t>指为治疗反复肺栓塞发作，抗凝血疗法无效，已经实施了腔静脉过滤器植入术。手</w:t>
            </w:r>
            <w:r>
              <w:rPr>
                <w:spacing w:val="-4"/>
                <w:sz w:val="21"/>
              </w:rPr>
              <w:t>术必须在专科医生认为是医学上必需的情况下进行。</w:t>
            </w:r>
          </w:p>
        </w:tc>
      </w:tr>
    </w:tbl>
    <w:p>
      <w:pPr>
        <w:spacing w:after="0" w:line="312" w:lineRule="exact"/>
        <w:rPr>
          <w:sz w:val="21"/>
        </w:rPr>
        <w:sectPr>
          <w:pgSz w:w="11910" w:h="16840"/>
          <w:pgMar w:header="0" w:footer="377" w:top="1340" w:bottom="560" w:left="1520" w:right="8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486"/>
        <w:gridCol w:w="7964"/>
      </w:tblGrid>
      <w:tr>
        <w:trPr>
          <w:trHeight w:val="963" w:hRule="atLeast"/>
        </w:trPr>
        <w:tc>
          <w:tcPr>
            <w:tcW w:w="715" w:type="dxa"/>
          </w:tcPr>
          <w:p>
            <w:pPr>
              <w:pStyle w:val="TableParagraph"/>
              <w:ind w:left="0"/>
              <w:rPr>
                <w:rFonts w:ascii="Times New Roman"/>
                <w:sz w:val="20"/>
              </w:rPr>
            </w:pPr>
          </w:p>
        </w:tc>
        <w:tc>
          <w:tcPr>
            <w:tcW w:w="1486" w:type="dxa"/>
          </w:tcPr>
          <w:p>
            <w:pPr>
              <w:pStyle w:val="TableParagraph"/>
              <w:spacing w:line="205" w:lineRule="exact"/>
              <w:ind w:left="198"/>
              <w:rPr>
                <w:b/>
                <w:sz w:val="21"/>
              </w:rPr>
            </w:pPr>
            <w:r>
              <w:rPr>
                <w:b/>
                <w:sz w:val="21"/>
              </w:rPr>
              <w:t>48.硬脑膜下</w:t>
            </w:r>
          </w:p>
          <w:p>
            <w:pPr>
              <w:pStyle w:val="TableParagraph"/>
              <w:spacing w:before="37"/>
              <w:ind w:left="198"/>
              <w:rPr>
                <w:b/>
                <w:sz w:val="21"/>
              </w:rPr>
            </w:pPr>
            <w:r>
              <w:rPr>
                <w:b/>
                <w:sz w:val="21"/>
              </w:rPr>
              <w:t>血肿手术</w:t>
            </w:r>
          </w:p>
        </w:tc>
        <w:tc>
          <w:tcPr>
            <w:tcW w:w="7964" w:type="dxa"/>
          </w:tcPr>
          <w:p>
            <w:pPr>
              <w:pStyle w:val="TableParagraph"/>
              <w:spacing w:line="205" w:lineRule="exact"/>
              <w:ind w:left="130"/>
              <w:rPr>
                <w:sz w:val="21"/>
              </w:rPr>
            </w:pPr>
            <w:r>
              <w:rPr>
                <w:sz w:val="21"/>
              </w:rPr>
              <w:t>为清除或引流因意外导致的血肿，需于头部进行开颅或钻孔手术。</w:t>
            </w:r>
          </w:p>
          <w:p>
            <w:pPr>
              <w:pStyle w:val="TableParagraph"/>
              <w:spacing w:line="273" w:lineRule="auto" w:before="37"/>
              <w:ind w:left="130" w:right="311"/>
              <w:rPr>
                <w:sz w:val="21"/>
              </w:rPr>
            </w:pPr>
            <w:r>
              <w:rPr>
                <w:sz w:val="21"/>
              </w:rPr>
              <w:t>开颅或钻孔手术必须在本公司认可医院内由专科医生认为是医疗必须的情况下进行。</w:t>
            </w:r>
          </w:p>
        </w:tc>
      </w:tr>
      <w:tr>
        <w:trPr>
          <w:trHeight w:val="1411" w:hRule="atLeast"/>
        </w:trPr>
        <w:tc>
          <w:tcPr>
            <w:tcW w:w="715" w:type="dxa"/>
          </w:tcPr>
          <w:p>
            <w:pPr>
              <w:pStyle w:val="TableParagraph"/>
              <w:ind w:left="0"/>
              <w:rPr>
                <w:rFonts w:ascii="Times New Roman"/>
                <w:sz w:val="20"/>
              </w:rPr>
            </w:pPr>
          </w:p>
        </w:tc>
        <w:tc>
          <w:tcPr>
            <w:tcW w:w="1486" w:type="dxa"/>
          </w:tcPr>
          <w:p>
            <w:pPr>
              <w:pStyle w:val="TableParagraph"/>
              <w:spacing w:line="273" w:lineRule="auto" w:before="58"/>
              <w:ind w:left="198" w:right="124"/>
              <w:rPr>
                <w:b/>
                <w:sz w:val="21"/>
              </w:rPr>
            </w:pPr>
            <w:r>
              <w:rPr>
                <w:b/>
                <w:sz w:val="21"/>
              </w:rPr>
              <w:t>49.严重阻塞性睡眠窒息症</w:t>
            </w:r>
          </w:p>
        </w:tc>
        <w:tc>
          <w:tcPr>
            <w:tcW w:w="7964" w:type="dxa"/>
          </w:tcPr>
          <w:p>
            <w:pPr>
              <w:pStyle w:val="TableParagraph"/>
              <w:spacing w:line="273" w:lineRule="auto" w:before="58"/>
              <w:ind w:left="130" w:right="301"/>
              <w:rPr>
                <w:sz w:val="21"/>
              </w:rPr>
            </w:pPr>
            <w:r>
              <w:rPr>
                <w:spacing w:val="-6"/>
                <w:sz w:val="21"/>
              </w:rPr>
              <w:t>须有相关医学范畴的注册专科医生，经多导睡眠监测仪监测明确诊断为严重阻塞性</w:t>
            </w:r>
            <w:r>
              <w:rPr>
                <w:spacing w:val="-4"/>
                <w:w w:val="100"/>
                <w:sz w:val="21"/>
              </w:rPr>
              <w:t>睡眠呼吸暂停综合征</w:t>
            </w:r>
            <w:r>
              <w:rPr>
                <w:w w:val="100"/>
                <w:sz w:val="21"/>
              </w:rPr>
              <w:t>（O</w:t>
            </w:r>
            <w:r>
              <w:rPr>
                <w:spacing w:val="-3"/>
                <w:w w:val="100"/>
                <w:sz w:val="21"/>
              </w:rPr>
              <w:t>SA</w:t>
            </w:r>
            <w:r>
              <w:rPr>
                <w:spacing w:val="-106"/>
                <w:w w:val="100"/>
                <w:sz w:val="21"/>
              </w:rPr>
              <w:t>）</w:t>
            </w:r>
            <w:r>
              <w:rPr>
                <w:spacing w:val="-3"/>
                <w:w w:val="100"/>
                <w:sz w:val="21"/>
              </w:rPr>
              <w:t>，并必须符合以下两项条件：</w:t>
            </w:r>
          </w:p>
          <w:p>
            <w:pPr>
              <w:pStyle w:val="TableParagraph"/>
              <w:numPr>
                <w:ilvl w:val="0"/>
                <w:numId w:val="34"/>
              </w:numPr>
              <w:tabs>
                <w:tab w:pos="763" w:val="left" w:leader="none"/>
              </w:tabs>
              <w:spacing w:line="240" w:lineRule="auto" w:before="7" w:after="0"/>
              <w:ind w:left="762" w:right="0" w:hanging="632"/>
              <w:jc w:val="left"/>
              <w:rPr>
                <w:sz w:val="21"/>
              </w:rPr>
            </w:pPr>
            <w:r>
              <w:rPr>
                <w:spacing w:val="-3"/>
                <w:sz w:val="21"/>
              </w:rPr>
              <w:t>被保险人必须现正介绍持续气道正压呼吸器</w:t>
            </w:r>
            <w:r>
              <w:rPr>
                <w:sz w:val="21"/>
              </w:rPr>
              <w:t>（CPAP）</w:t>
            </w:r>
            <w:r>
              <w:rPr>
                <w:spacing w:val="-3"/>
                <w:sz w:val="21"/>
              </w:rPr>
              <w:t>之夜间治疗；</w:t>
            </w:r>
          </w:p>
          <w:p>
            <w:pPr>
              <w:pStyle w:val="TableParagraph"/>
              <w:numPr>
                <w:ilvl w:val="0"/>
                <w:numId w:val="34"/>
              </w:numPr>
              <w:tabs>
                <w:tab w:pos="763" w:val="left" w:leader="none"/>
              </w:tabs>
              <w:spacing w:line="240" w:lineRule="auto" w:before="37" w:after="0"/>
              <w:ind w:left="762" w:right="0" w:hanging="632"/>
              <w:jc w:val="left"/>
              <w:rPr>
                <w:sz w:val="21"/>
              </w:rPr>
            </w:pPr>
            <w:r>
              <w:rPr>
                <w:spacing w:val="-6"/>
                <w:sz w:val="21"/>
              </w:rPr>
              <w:t>必须提供睡眠测试的文件证明，显示 </w:t>
            </w:r>
            <w:r>
              <w:rPr>
                <w:sz w:val="21"/>
              </w:rPr>
              <w:t>AHI</w:t>
            </w:r>
            <w:r>
              <w:rPr>
                <w:rFonts w:ascii="Arial" w:hAnsi="Arial" w:eastAsia="Arial"/>
                <w:sz w:val="21"/>
              </w:rPr>
              <w:t>˃</w:t>
            </w:r>
            <w:r>
              <w:rPr>
                <w:sz w:val="21"/>
              </w:rPr>
              <w:t>30</w:t>
            </w:r>
            <w:r>
              <w:rPr>
                <w:spacing w:val="-8"/>
                <w:sz w:val="21"/>
              </w:rPr>
              <w:t> 及夜间血氧饱和平均值</w:t>
            </w:r>
            <w:r>
              <w:rPr>
                <w:rFonts w:ascii="Arial" w:hAnsi="Arial" w:eastAsia="Arial"/>
                <w:sz w:val="21"/>
              </w:rPr>
              <w:t>˂</w:t>
            </w:r>
            <w:r>
              <w:rPr>
                <w:sz w:val="21"/>
              </w:rPr>
              <w:t>85。</w:t>
            </w:r>
          </w:p>
        </w:tc>
      </w:tr>
      <w:tr>
        <w:trPr>
          <w:trHeight w:val="1097" w:hRule="atLeast"/>
        </w:trPr>
        <w:tc>
          <w:tcPr>
            <w:tcW w:w="715" w:type="dxa"/>
          </w:tcPr>
          <w:p>
            <w:pPr>
              <w:pStyle w:val="TableParagraph"/>
              <w:ind w:left="0"/>
              <w:rPr>
                <w:rFonts w:ascii="Times New Roman"/>
                <w:sz w:val="20"/>
              </w:rPr>
            </w:pPr>
          </w:p>
        </w:tc>
        <w:tc>
          <w:tcPr>
            <w:tcW w:w="1486" w:type="dxa"/>
          </w:tcPr>
          <w:p>
            <w:pPr>
              <w:pStyle w:val="TableParagraph"/>
              <w:spacing w:line="273" w:lineRule="auto" w:before="51"/>
              <w:ind w:left="198" w:right="124"/>
              <w:rPr>
                <w:b/>
                <w:sz w:val="21"/>
              </w:rPr>
            </w:pPr>
            <w:r>
              <w:rPr>
                <w:b/>
                <w:sz w:val="21"/>
              </w:rPr>
              <w:t>50.因肾上腺皮质腺瘤切除肾上腺</w:t>
            </w:r>
          </w:p>
        </w:tc>
        <w:tc>
          <w:tcPr>
            <w:tcW w:w="7964" w:type="dxa"/>
          </w:tcPr>
          <w:p>
            <w:pPr>
              <w:pStyle w:val="TableParagraph"/>
              <w:spacing w:line="273" w:lineRule="auto" w:before="51"/>
              <w:ind w:left="130" w:right="301"/>
              <w:jc w:val="both"/>
              <w:rPr>
                <w:sz w:val="21"/>
              </w:rPr>
            </w:pPr>
            <w:r>
              <w:rPr>
                <w:sz w:val="21"/>
              </w:rPr>
              <w:t>因肾上腺皮质腺瘤所导致的醛固酮分泌过多而产生的继发性恶性高血压而实际接</w:t>
            </w:r>
            <w:r>
              <w:rPr>
                <w:spacing w:val="-7"/>
                <w:sz w:val="21"/>
              </w:rPr>
              <w:t>受了肾上腺切除术治疗。诊断及治疗均须在本公司认可医院内由专科医生认为是医</w:t>
            </w:r>
            <w:r>
              <w:rPr>
                <w:spacing w:val="-5"/>
                <w:sz w:val="21"/>
              </w:rPr>
              <w:t>疗必须的情况下进行。</w:t>
            </w:r>
          </w:p>
        </w:tc>
      </w:tr>
      <w:tr>
        <w:trPr>
          <w:trHeight w:val="1116" w:hRule="atLeast"/>
        </w:trPr>
        <w:tc>
          <w:tcPr>
            <w:tcW w:w="715" w:type="dxa"/>
          </w:tcPr>
          <w:p>
            <w:pPr>
              <w:pStyle w:val="TableParagraph"/>
              <w:spacing w:before="103"/>
              <w:ind w:left="200"/>
              <w:rPr>
                <w:b/>
                <w:sz w:val="21"/>
              </w:rPr>
            </w:pPr>
            <w:r>
              <w:rPr>
                <w:b/>
                <w:sz w:val="21"/>
              </w:rPr>
              <w:t>9.8</w:t>
            </w:r>
          </w:p>
        </w:tc>
        <w:tc>
          <w:tcPr>
            <w:tcW w:w="1486" w:type="dxa"/>
          </w:tcPr>
          <w:p>
            <w:pPr>
              <w:pStyle w:val="TableParagraph"/>
              <w:spacing w:before="103"/>
              <w:ind w:left="198"/>
              <w:rPr>
                <w:b/>
                <w:sz w:val="21"/>
              </w:rPr>
            </w:pPr>
            <w:r>
              <w:rPr>
                <w:b/>
                <w:sz w:val="21"/>
              </w:rPr>
              <w:t>重大疾病</w:t>
            </w:r>
          </w:p>
        </w:tc>
        <w:tc>
          <w:tcPr>
            <w:tcW w:w="7964" w:type="dxa"/>
          </w:tcPr>
          <w:p>
            <w:pPr>
              <w:pStyle w:val="TableParagraph"/>
              <w:spacing w:before="72"/>
              <w:ind w:left="130"/>
              <w:rPr>
                <w:sz w:val="21"/>
              </w:rPr>
            </w:pPr>
            <w:r>
              <w:rPr>
                <w:sz w:val="21"/>
              </w:rPr>
              <w:t>被保险人发生符合以下疾病定义所述条件的疾病，应当由专科医生明确诊断。</w:t>
            </w:r>
          </w:p>
          <w:p>
            <w:pPr>
              <w:pStyle w:val="TableParagraph"/>
              <w:spacing w:line="273" w:lineRule="auto" w:before="37"/>
              <w:ind w:left="130" w:right="301"/>
              <w:rPr>
                <w:sz w:val="21"/>
              </w:rPr>
            </w:pPr>
            <w:r>
              <w:rPr>
                <w:spacing w:val="-7"/>
                <w:sz w:val="21"/>
              </w:rPr>
              <w:t>其中，</w:t>
            </w:r>
            <w:r>
              <w:rPr>
                <w:spacing w:val="-16"/>
                <w:sz w:val="21"/>
              </w:rPr>
              <w:t>25</w:t>
            </w:r>
            <w:r>
              <w:rPr>
                <w:spacing w:val="-7"/>
                <w:sz w:val="21"/>
              </w:rPr>
              <w:t> 种重大疾病定义完全采用了中国保险行业协会制定的《重大疾病保险的疾</w:t>
            </w:r>
            <w:r>
              <w:rPr>
                <w:spacing w:val="-5"/>
                <w:sz w:val="21"/>
              </w:rPr>
              <w:t>病定义使用规范》中的疾病定义，其他为本公司增加的疾病定义。</w:t>
            </w:r>
          </w:p>
        </w:tc>
      </w:tr>
      <w:tr>
        <w:trPr>
          <w:trHeight w:val="3402" w:hRule="atLeast"/>
        </w:trPr>
        <w:tc>
          <w:tcPr>
            <w:tcW w:w="715" w:type="dxa"/>
          </w:tcPr>
          <w:p>
            <w:pPr>
              <w:pStyle w:val="TableParagraph"/>
              <w:ind w:left="0"/>
              <w:rPr>
                <w:rFonts w:ascii="Times New Roman"/>
                <w:sz w:val="20"/>
              </w:rPr>
            </w:pPr>
          </w:p>
        </w:tc>
        <w:tc>
          <w:tcPr>
            <w:tcW w:w="1486" w:type="dxa"/>
          </w:tcPr>
          <w:p>
            <w:pPr>
              <w:pStyle w:val="TableParagraph"/>
              <w:spacing w:before="69"/>
              <w:ind w:left="198"/>
              <w:rPr>
                <w:b/>
                <w:sz w:val="21"/>
              </w:rPr>
            </w:pPr>
            <w:r>
              <w:rPr>
                <w:b/>
                <w:sz w:val="21"/>
              </w:rPr>
              <w:t>1.恶性肿瘤</w:t>
            </w:r>
          </w:p>
        </w:tc>
        <w:tc>
          <w:tcPr>
            <w:tcW w:w="7964" w:type="dxa"/>
          </w:tcPr>
          <w:p>
            <w:pPr>
              <w:pStyle w:val="TableParagraph"/>
              <w:spacing w:line="273" w:lineRule="auto" w:before="69"/>
              <w:ind w:left="130" w:right="195"/>
              <w:rPr>
                <w:sz w:val="21"/>
              </w:rPr>
            </w:pPr>
            <w:r>
              <w:rPr>
                <w:spacing w:val="-10"/>
                <w:sz w:val="21"/>
              </w:rPr>
              <w:t>指恶性细胞不受控制的进行性增长和扩散，浸润和破坏周围正常组织，可以经血管、</w:t>
            </w:r>
            <w:r>
              <w:rPr>
                <w:spacing w:val="-7"/>
                <w:sz w:val="21"/>
              </w:rPr>
              <w:t>淋巴管和体腔扩散转移到身体其他部位的疾病。经病理学检查结果明确诊断，临床</w:t>
            </w:r>
            <w:r>
              <w:rPr>
                <w:spacing w:val="-9"/>
                <w:sz w:val="21"/>
              </w:rPr>
              <w:t>诊断属于世界卫生组织《疾病和有关健康问题的国际统计分类》</w:t>
            </w:r>
            <w:r>
              <w:rPr>
                <w:sz w:val="21"/>
              </w:rPr>
              <w:t>（ICD-10）</w:t>
            </w:r>
            <w:r>
              <w:rPr>
                <w:spacing w:val="-2"/>
                <w:sz w:val="21"/>
              </w:rPr>
              <w:t>的恶性 </w:t>
            </w:r>
            <w:r>
              <w:rPr>
                <w:spacing w:val="-3"/>
                <w:sz w:val="21"/>
              </w:rPr>
              <w:t>肿瘤范畴。</w:t>
            </w:r>
          </w:p>
          <w:p>
            <w:pPr>
              <w:pStyle w:val="TableParagraph"/>
              <w:spacing w:before="7"/>
              <w:ind w:left="130"/>
              <w:rPr>
                <w:rFonts w:ascii="黑体" w:eastAsia="黑体" w:hint="eastAsia"/>
                <w:sz w:val="21"/>
              </w:rPr>
            </w:pPr>
            <w:r>
              <w:rPr>
                <w:rFonts w:ascii="黑体" w:eastAsia="黑体" w:hint="eastAsia"/>
                <w:sz w:val="21"/>
              </w:rPr>
              <w:t>下列疾病不在保障范围内：</w:t>
            </w:r>
          </w:p>
          <w:p>
            <w:pPr>
              <w:pStyle w:val="TableParagraph"/>
              <w:numPr>
                <w:ilvl w:val="0"/>
                <w:numId w:val="35"/>
              </w:numPr>
              <w:tabs>
                <w:tab w:pos="549" w:val="left" w:leader="none"/>
              </w:tabs>
              <w:spacing w:line="274" w:lineRule="exact" w:before="15" w:after="0"/>
              <w:ind w:left="548" w:right="0" w:hanging="420"/>
              <w:jc w:val="left"/>
              <w:rPr>
                <w:rFonts w:ascii="黑体" w:eastAsia="黑体" w:hint="eastAsia"/>
                <w:sz w:val="21"/>
              </w:rPr>
            </w:pPr>
            <w:r>
              <w:rPr>
                <w:rFonts w:ascii="黑体" w:eastAsia="黑体" w:hint="eastAsia"/>
                <w:spacing w:val="-1"/>
                <w:sz w:val="21"/>
              </w:rPr>
              <w:t>原位癌；</w:t>
            </w:r>
          </w:p>
          <w:p>
            <w:pPr>
              <w:pStyle w:val="TableParagraph"/>
              <w:numPr>
                <w:ilvl w:val="0"/>
                <w:numId w:val="35"/>
              </w:numPr>
              <w:tabs>
                <w:tab w:pos="549" w:val="left" w:leader="none"/>
              </w:tabs>
              <w:spacing w:line="273" w:lineRule="exact" w:before="0" w:after="0"/>
              <w:ind w:left="548" w:right="0" w:hanging="420"/>
              <w:jc w:val="left"/>
              <w:rPr>
                <w:rFonts w:ascii="黑体" w:eastAsia="黑体" w:hint="eastAsia"/>
                <w:sz w:val="21"/>
              </w:rPr>
            </w:pPr>
            <w:r>
              <w:rPr>
                <w:rFonts w:ascii="黑体" w:eastAsia="黑体" w:hint="eastAsia"/>
                <w:spacing w:val="-13"/>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9"/>
                <w:sz w:val="21"/>
              </w:rPr>
              <w:t> 期程度的慢性淋巴细胞白血病；</w:t>
            </w:r>
          </w:p>
          <w:p>
            <w:pPr>
              <w:pStyle w:val="TableParagraph"/>
              <w:numPr>
                <w:ilvl w:val="0"/>
                <w:numId w:val="35"/>
              </w:numPr>
              <w:tabs>
                <w:tab w:pos="549" w:val="left" w:leader="none"/>
              </w:tabs>
              <w:spacing w:line="272" w:lineRule="exact" w:before="0" w:after="0"/>
              <w:ind w:left="548" w:right="0" w:hanging="420"/>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9"/>
                <w:sz w:val="21"/>
              </w:rPr>
              <w:t> 期程度的何杰金氏病；</w:t>
            </w:r>
          </w:p>
          <w:p>
            <w:pPr>
              <w:pStyle w:val="TableParagraph"/>
              <w:numPr>
                <w:ilvl w:val="0"/>
                <w:numId w:val="35"/>
              </w:numPr>
              <w:tabs>
                <w:tab w:pos="549" w:val="left" w:leader="none"/>
              </w:tabs>
              <w:spacing w:line="272" w:lineRule="exact" w:before="0" w:after="0"/>
              <w:ind w:left="548" w:right="0" w:hanging="420"/>
              <w:jc w:val="left"/>
              <w:rPr>
                <w:rFonts w:ascii="黑体" w:eastAsia="黑体" w:hint="eastAsia"/>
                <w:sz w:val="21"/>
              </w:rPr>
            </w:pPr>
            <w:r>
              <w:rPr>
                <w:rFonts w:ascii="黑体" w:eastAsia="黑体" w:hint="eastAsia"/>
                <w:spacing w:val="-1"/>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TableParagraph"/>
              <w:numPr>
                <w:ilvl w:val="0"/>
                <w:numId w:val="35"/>
              </w:numPr>
              <w:tabs>
                <w:tab w:pos="549" w:val="left" w:leader="none"/>
              </w:tabs>
              <w:spacing w:line="273" w:lineRule="exact" w:before="0" w:after="0"/>
              <w:ind w:left="548" w:right="0" w:hanging="420"/>
              <w:jc w:val="left"/>
              <w:rPr>
                <w:rFonts w:ascii="黑体" w:eastAsia="黑体" w:hint="eastAsia"/>
                <w:sz w:val="21"/>
              </w:rPr>
            </w:pPr>
            <w:r>
              <w:rPr>
                <w:rFonts w:ascii="黑体" w:eastAsia="黑体" w:hint="eastAsia"/>
                <w:sz w:val="21"/>
              </w:rPr>
              <w:t>TNM</w:t>
            </w:r>
            <w:r>
              <w:rPr>
                <w:rFonts w:ascii="黑体" w:eastAsia="黑体" w:hint="eastAsia"/>
                <w:spacing w:val="-20"/>
                <w:sz w:val="21"/>
              </w:rPr>
              <w:t> 分期为 </w:t>
            </w:r>
            <w:r>
              <w:rPr>
                <w:rFonts w:ascii="黑体" w:eastAsia="黑体" w:hint="eastAsia"/>
                <w:sz w:val="21"/>
              </w:rPr>
              <w:t>T1N0M0</w:t>
            </w:r>
            <w:r>
              <w:rPr>
                <w:rFonts w:ascii="黑体" w:eastAsia="黑体" w:hint="eastAsia"/>
                <w:spacing w:val="-8"/>
                <w:sz w:val="21"/>
              </w:rPr>
              <w:t> 期或更轻分期的前列腺癌；</w:t>
            </w:r>
          </w:p>
          <w:p>
            <w:pPr>
              <w:pStyle w:val="TableParagraph"/>
              <w:numPr>
                <w:ilvl w:val="0"/>
                <w:numId w:val="35"/>
              </w:numPr>
              <w:tabs>
                <w:tab w:pos="553" w:val="left" w:leader="none"/>
              </w:tabs>
              <w:spacing w:line="240" w:lineRule="auto" w:before="20" w:after="0"/>
              <w:ind w:left="553" w:right="0" w:hanging="423"/>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1908" w:hRule="atLeast"/>
        </w:trPr>
        <w:tc>
          <w:tcPr>
            <w:tcW w:w="715" w:type="dxa"/>
          </w:tcPr>
          <w:p>
            <w:pPr>
              <w:pStyle w:val="TableParagraph"/>
              <w:ind w:left="0"/>
              <w:rPr>
                <w:rFonts w:ascii="Times New Roman"/>
                <w:sz w:val="20"/>
              </w:rPr>
            </w:pPr>
          </w:p>
        </w:tc>
        <w:tc>
          <w:tcPr>
            <w:tcW w:w="1486" w:type="dxa"/>
          </w:tcPr>
          <w:p>
            <w:pPr>
              <w:pStyle w:val="TableParagraph"/>
              <w:spacing w:line="273" w:lineRule="auto" w:before="58"/>
              <w:ind w:left="198" w:right="229"/>
              <w:rPr>
                <w:b/>
                <w:sz w:val="21"/>
              </w:rPr>
            </w:pPr>
            <w:r>
              <w:rPr>
                <w:b/>
                <w:sz w:val="21"/>
              </w:rPr>
              <w:t>2.急性心肌梗塞</w:t>
            </w:r>
          </w:p>
        </w:tc>
        <w:tc>
          <w:tcPr>
            <w:tcW w:w="7964" w:type="dxa"/>
          </w:tcPr>
          <w:p>
            <w:pPr>
              <w:pStyle w:val="TableParagraph"/>
              <w:spacing w:line="273" w:lineRule="auto" w:before="58"/>
              <w:ind w:left="130" w:right="260"/>
              <w:rPr>
                <w:sz w:val="21"/>
              </w:rPr>
            </w:pPr>
            <w:r>
              <w:rPr>
                <w:sz w:val="21"/>
              </w:rPr>
              <w:t>指因冠状动脉阻塞导致的相应区域供血不足造成部分心肌坏死。须满足下列至少三项条件：</w:t>
            </w:r>
          </w:p>
          <w:p>
            <w:pPr>
              <w:pStyle w:val="TableParagraph"/>
              <w:spacing w:line="259" w:lineRule="exact"/>
              <w:ind w:left="130"/>
              <w:rPr>
                <w:sz w:val="21"/>
              </w:rPr>
            </w:pPr>
            <w:r>
              <w:rPr>
                <w:sz w:val="21"/>
              </w:rPr>
              <w:t>（1）典型临床表现，例如急性胸痛等；</w:t>
            </w:r>
          </w:p>
          <w:p>
            <w:pPr>
              <w:pStyle w:val="TableParagraph"/>
              <w:spacing w:line="272" w:lineRule="exact"/>
              <w:ind w:left="130"/>
              <w:rPr>
                <w:sz w:val="21"/>
              </w:rPr>
            </w:pPr>
            <w:r>
              <w:rPr>
                <w:sz w:val="21"/>
              </w:rPr>
              <w:t>（2）新近的心电图改变提示急性心肌梗塞；</w:t>
            </w:r>
          </w:p>
          <w:p>
            <w:pPr>
              <w:pStyle w:val="TableParagraph"/>
              <w:spacing w:line="274" w:lineRule="exact"/>
              <w:ind w:left="130"/>
              <w:rPr>
                <w:sz w:val="21"/>
              </w:rPr>
            </w:pPr>
            <w:r>
              <w:rPr>
                <w:sz w:val="21"/>
              </w:rPr>
              <w:t>（3）心肌酶或肌钙蛋白有诊断意义的升高，或呈符合急性心肌梗塞的动态性变化；</w:t>
            </w:r>
          </w:p>
          <w:p>
            <w:pPr>
              <w:pStyle w:val="TableParagraph"/>
              <w:spacing w:before="18"/>
              <w:ind w:left="130"/>
              <w:rPr>
                <w:sz w:val="21"/>
              </w:rPr>
            </w:pPr>
            <w:r>
              <w:rPr>
                <w:sz w:val="21"/>
              </w:rPr>
              <w:t>（4）发病 90 天后，经检查证实左心室功能降低，如左心室射血分数低于 50%。</w:t>
            </w:r>
          </w:p>
        </w:tc>
      </w:tr>
      <w:tr>
        <w:trPr>
          <w:trHeight w:val="2261" w:hRule="atLeast"/>
        </w:trPr>
        <w:tc>
          <w:tcPr>
            <w:tcW w:w="715" w:type="dxa"/>
          </w:tcPr>
          <w:p>
            <w:pPr>
              <w:pStyle w:val="TableParagraph"/>
              <w:ind w:left="0"/>
              <w:rPr>
                <w:rFonts w:ascii="Times New Roman"/>
                <w:sz w:val="20"/>
              </w:rPr>
            </w:pPr>
          </w:p>
        </w:tc>
        <w:tc>
          <w:tcPr>
            <w:tcW w:w="1486" w:type="dxa"/>
          </w:tcPr>
          <w:p>
            <w:pPr>
              <w:pStyle w:val="TableParagraph"/>
              <w:spacing w:line="273" w:lineRule="auto" w:before="59"/>
              <w:ind w:left="198" w:right="229"/>
              <w:rPr>
                <w:b/>
                <w:sz w:val="21"/>
              </w:rPr>
            </w:pPr>
            <w:r>
              <w:rPr>
                <w:b/>
                <w:sz w:val="21"/>
              </w:rPr>
              <w:t>3.脑中风后遗症</w:t>
            </w:r>
          </w:p>
        </w:tc>
        <w:tc>
          <w:tcPr>
            <w:tcW w:w="7964" w:type="dxa"/>
          </w:tcPr>
          <w:p>
            <w:pPr>
              <w:pStyle w:val="TableParagraph"/>
              <w:spacing w:line="273" w:lineRule="auto" w:before="59"/>
              <w:ind w:left="130" w:right="301"/>
              <w:jc w:val="both"/>
              <w:rPr>
                <w:sz w:val="21"/>
              </w:rPr>
            </w:pPr>
            <w:r>
              <w:rPr>
                <w:spacing w:val="-5"/>
                <w:sz w:val="21"/>
              </w:rPr>
              <w:t>指因脑血管的突发病变引起脑血管出血、栓塞或梗塞，并导致神经系统永久性的功</w:t>
            </w:r>
            <w:r>
              <w:rPr>
                <w:spacing w:val="-9"/>
                <w:sz w:val="21"/>
              </w:rPr>
              <w:t>能障碍。神经系统永久性的功能障碍，指疾病确诊 </w:t>
            </w:r>
            <w:r>
              <w:rPr>
                <w:sz w:val="21"/>
              </w:rPr>
              <w:t>180</w:t>
            </w:r>
            <w:r>
              <w:rPr>
                <w:spacing w:val="-9"/>
                <w:sz w:val="21"/>
              </w:rPr>
              <w:t> 天后，仍遗留下列一种或一</w:t>
            </w:r>
            <w:r>
              <w:rPr>
                <w:spacing w:val="-5"/>
                <w:sz w:val="21"/>
              </w:rPr>
              <w:t>种以上障碍：</w:t>
            </w:r>
          </w:p>
          <w:p>
            <w:pPr>
              <w:pStyle w:val="TableParagraph"/>
              <w:spacing w:line="260" w:lineRule="exact"/>
              <w:ind w:left="130"/>
              <w:rPr>
                <w:sz w:val="21"/>
              </w:rPr>
            </w:pPr>
            <w:r>
              <w:rPr>
                <w:sz w:val="21"/>
              </w:rPr>
              <w:t>（1）一肢或一肢以上肢体机能完全丧失；</w:t>
            </w:r>
          </w:p>
          <w:p>
            <w:pPr>
              <w:pStyle w:val="TableParagraph"/>
              <w:spacing w:line="274" w:lineRule="exact"/>
              <w:ind w:left="130"/>
              <w:rPr>
                <w:sz w:val="21"/>
              </w:rPr>
            </w:pPr>
            <w:r>
              <w:rPr>
                <w:sz w:val="21"/>
              </w:rPr>
              <w:t>（2）语言能力或咀嚼吞咽能力完全丧失；</w:t>
            </w:r>
          </w:p>
          <w:p>
            <w:pPr>
              <w:pStyle w:val="TableParagraph"/>
              <w:spacing w:line="273" w:lineRule="auto" w:before="18"/>
              <w:ind w:left="635" w:right="370" w:hanging="505"/>
              <w:rPr>
                <w:sz w:val="21"/>
              </w:rPr>
            </w:pPr>
            <w:r>
              <w:rPr>
                <w:sz w:val="21"/>
              </w:rPr>
              <w:t>（3）自主生活能力完全丧失，无法独立完成六项基本日常生活活动中的三项或三项以上。</w:t>
            </w:r>
          </w:p>
        </w:tc>
      </w:tr>
      <w:tr>
        <w:trPr>
          <w:trHeight w:val="1275" w:hRule="atLeast"/>
        </w:trPr>
        <w:tc>
          <w:tcPr>
            <w:tcW w:w="715" w:type="dxa"/>
          </w:tcPr>
          <w:p>
            <w:pPr>
              <w:pStyle w:val="TableParagraph"/>
              <w:ind w:left="0"/>
              <w:rPr>
                <w:rFonts w:ascii="Times New Roman"/>
                <w:sz w:val="20"/>
              </w:rPr>
            </w:pPr>
          </w:p>
        </w:tc>
        <w:tc>
          <w:tcPr>
            <w:tcW w:w="1486" w:type="dxa"/>
          </w:tcPr>
          <w:p>
            <w:pPr>
              <w:pStyle w:val="TableParagraph"/>
              <w:spacing w:line="273" w:lineRule="auto" w:before="58"/>
              <w:ind w:left="198" w:right="229"/>
              <w:jc w:val="both"/>
              <w:rPr>
                <w:b/>
                <w:sz w:val="21"/>
              </w:rPr>
            </w:pPr>
            <w:r>
              <w:rPr>
                <w:b/>
                <w:sz w:val="21"/>
              </w:rPr>
              <w:t>4.重大器官移植术或造血干细胞移</w:t>
            </w:r>
          </w:p>
          <w:p>
            <w:pPr>
              <w:pStyle w:val="TableParagraph"/>
              <w:spacing w:line="261" w:lineRule="exact" w:before="7"/>
              <w:ind w:left="198"/>
              <w:jc w:val="both"/>
              <w:rPr>
                <w:b/>
                <w:sz w:val="21"/>
              </w:rPr>
            </w:pPr>
            <w:r>
              <w:rPr>
                <w:b/>
                <w:sz w:val="21"/>
              </w:rPr>
              <w:t>植术</w:t>
            </w:r>
          </w:p>
        </w:tc>
        <w:tc>
          <w:tcPr>
            <w:tcW w:w="7964" w:type="dxa"/>
          </w:tcPr>
          <w:p>
            <w:pPr>
              <w:pStyle w:val="TableParagraph"/>
              <w:spacing w:line="273" w:lineRule="auto" w:before="58"/>
              <w:ind w:left="130" w:right="301"/>
              <w:rPr>
                <w:sz w:val="21"/>
              </w:rPr>
            </w:pPr>
            <w:r>
              <w:rPr>
                <w:spacing w:val="-7"/>
                <w:sz w:val="21"/>
              </w:rPr>
              <w:t>重大器官移植术，指因相应器官功能衰竭，已经实施了肾脏、肝脏、心脏或肺脏的</w:t>
            </w:r>
            <w:r>
              <w:rPr>
                <w:spacing w:val="-5"/>
                <w:sz w:val="21"/>
              </w:rPr>
              <w:t>异体移植手术。</w:t>
            </w:r>
          </w:p>
          <w:p>
            <w:pPr>
              <w:pStyle w:val="TableParagraph"/>
              <w:spacing w:line="312" w:lineRule="exact" w:before="2"/>
              <w:ind w:left="130" w:right="198"/>
              <w:rPr>
                <w:sz w:val="21"/>
              </w:rPr>
            </w:pPr>
            <w:r>
              <w:rPr>
                <w:spacing w:val="-6"/>
                <w:sz w:val="21"/>
              </w:rPr>
              <w:t>造血干细胞移植术，指因造血功能损害或造血系统恶性肿瘤，已经实施了造血干细</w:t>
            </w:r>
            <w:r>
              <w:rPr>
                <w:spacing w:val="-48"/>
                <w:sz w:val="21"/>
              </w:rPr>
              <w:t>胞</w:t>
            </w:r>
            <w:r>
              <w:rPr>
                <w:sz w:val="21"/>
              </w:rPr>
              <w:t>（</w:t>
            </w:r>
            <w:r>
              <w:rPr>
                <w:spacing w:val="-8"/>
                <w:sz w:val="21"/>
              </w:rPr>
              <w:t>包括骨髓造血干细胞、外周血造血干细胞和脐血造血干细胞</w:t>
            </w:r>
            <w:r>
              <w:rPr>
                <w:spacing w:val="-48"/>
                <w:sz w:val="21"/>
              </w:rPr>
              <w:t>）</w:t>
            </w:r>
            <w:r>
              <w:rPr>
                <w:spacing w:val="-3"/>
                <w:sz w:val="21"/>
              </w:rPr>
              <w:t>的异体移植手术。</w:t>
            </w:r>
          </w:p>
        </w:tc>
      </w:tr>
    </w:tbl>
    <w:p>
      <w:pPr>
        <w:spacing w:after="0" w:line="312" w:lineRule="exact"/>
        <w:rPr>
          <w:sz w:val="21"/>
        </w:rPr>
        <w:sectPr>
          <w:pgSz w:w="11910" w:h="16840"/>
          <w:pgMar w:header="0" w:footer="377" w:top="1340" w:bottom="560" w:left="8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7943"/>
      </w:tblGrid>
      <w:tr>
        <w:trPr>
          <w:trHeight w:val="1285" w:hRule="atLeast"/>
        </w:trPr>
        <w:tc>
          <w:tcPr>
            <w:tcW w:w="1512" w:type="dxa"/>
          </w:tcPr>
          <w:p>
            <w:pPr>
              <w:pStyle w:val="TableParagraph"/>
              <w:spacing w:line="205" w:lineRule="exact"/>
              <w:ind w:left="200"/>
              <w:rPr>
                <w:b/>
                <w:sz w:val="21"/>
              </w:rPr>
            </w:pPr>
            <w:r>
              <w:rPr>
                <w:b/>
                <w:sz w:val="21"/>
              </w:rPr>
              <w:t>5.冠状动脉</w:t>
            </w:r>
          </w:p>
          <w:p>
            <w:pPr>
              <w:pStyle w:val="TableParagraph"/>
              <w:spacing w:line="273" w:lineRule="auto" w:before="37"/>
              <w:ind w:left="200" w:right="47"/>
              <w:rPr>
                <w:b/>
                <w:sz w:val="21"/>
              </w:rPr>
            </w:pPr>
            <w:r>
              <w:rPr>
                <w:b/>
                <w:sz w:val="21"/>
              </w:rPr>
              <w:t>搭桥术（或称冠状动脉旁路移植术）</w:t>
            </w:r>
          </w:p>
        </w:tc>
        <w:tc>
          <w:tcPr>
            <w:tcW w:w="7943" w:type="dxa"/>
          </w:tcPr>
          <w:p>
            <w:pPr>
              <w:pStyle w:val="TableParagraph"/>
              <w:spacing w:line="205" w:lineRule="exact"/>
              <w:ind w:left="106"/>
              <w:rPr>
                <w:sz w:val="21"/>
              </w:rPr>
            </w:pPr>
            <w:r>
              <w:rPr>
                <w:sz w:val="21"/>
              </w:rPr>
              <w:t>指为治疗严重的冠心病，实际实施了开胸进行的冠状动脉血管旁路移植的手术。</w:t>
            </w:r>
          </w:p>
          <w:p>
            <w:pPr>
              <w:pStyle w:val="TableParagraph"/>
              <w:spacing w:line="273" w:lineRule="auto" w:before="37"/>
              <w:ind w:left="106" w:right="198"/>
              <w:rPr>
                <w:rFonts w:ascii="黑体" w:eastAsia="黑体" w:hint="eastAsia"/>
                <w:sz w:val="21"/>
              </w:rPr>
            </w:pPr>
            <w:r>
              <w:rPr>
                <w:rFonts w:ascii="黑体" w:eastAsia="黑体" w:hint="eastAsia"/>
                <w:spacing w:val="-14"/>
                <w:sz w:val="21"/>
              </w:rPr>
              <w:t>冠状动脉支架植入术、心导管球囊扩张术、激光射频技术及其他非开胸的介入手术、</w:t>
            </w:r>
            <w:r>
              <w:rPr>
                <w:rFonts w:ascii="黑体" w:eastAsia="黑体" w:hint="eastAsia"/>
                <w:spacing w:val="-7"/>
                <w:sz w:val="21"/>
              </w:rPr>
              <w:t>腔镜手术不在保障范围内。</w:t>
            </w:r>
          </w:p>
        </w:tc>
      </w:tr>
      <w:tr>
        <w:trPr>
          <w:trHeight w:val="1397" w:hRule="atLeast"/>
        </w:trPr>
        <w:tc>
          <w:tcPr>
            <w:tcW w:w="1512" w:type="dxa"/>
          </w:tcPr>
          <w:p>
            <w:pPr>
              <w:pStyle w:val="TableParagraph"/>
              <w:spacing w:line="273" w:lineRule="auto" w:before="68"/>
              <w:ind w:left="200" w:right="105"/>
              <w:rPr>
                <w:b/>
                <w:sz w:val="21"/>
              </w:rPr>
            </w:pPr>
            <w:r>
              <w:rPr>
                <w:b/>
                <w:sz w:val="21"/>
              </w:rPr>
              <w:t>6.终末期肾 </w:t>
            </w:r>
            <w:r>
              <w:rPr>
                <w:b/>
                <w:spacing w:val="-63"/>
                <w:sz w:val="21"/>
              </w:rPr>
              <w:t>病</w:t>
            </w:r>
            <w:r>
              <w:rPr>
                <w:b/>
                <w:sz w:val="21"/>
              </w:rPr>
              <w:t>（或称慢性肾功能衰竭尿毒症期）</w:t>
            </w:r>
          </w:p>
        </w:tc>
        <w:tc>
          <w:tcPr>
            <w:tcW w:w="7943" w:type="dxa"/>
          </w:tcPr>
          <w:p>
            <w:pPr>
              <w:pStyle w:val="TableParagraph"/>
              <w:spacing w:line="273" w:lineRule="auto" w:before="68"/>
              <w:ind w:left="106" w:right="373"/>
              <w:rPr>
                <w:sz w:val="21"/>
              </w:rPr>
            </w:pPr>
            <w:r>
              <w:rPr>
                <w:spacing w:val="-4"/>
                <w:sz w:val="21"/>
              </w:rPr>
              <w:t>指双肾功能慢性不可逆性衰竭，达到尿毒症期，经诊断后已经进行了至少 </w:t>
            </w:r>
            <w:r>
              <w:rPr>
                <w:sz w:val="21"/>
              </w:rPr>
              <w:t>90</w:t>
            </w:r>
            <w:r>
              <w:rPr>
                <w:spacing w:val="-14"/>
                <w:sz w:val="21"/>
              </w:rPr>
              <w:t> 天的</w:t>
            </w:r>
            <w:r>
              <w:rPr>
                <w:spacing w:val="-7"/>
                <w:sz w:val="21"/>
              </w:rPr>
              <w:t>规律性透析治疗或实施了肾脏移植手术。</w:t>
            </w:r>
          </w:p>
        </w:tc>
      </w:tr>
      <w:tr>
        <w:trPr>
          <w:trHeight w:val="764" w:hRule="atLeast"/>
        </w:trPr>
        <w:tc>
          <w:tcPr>
            <w:tcW w:w="1512" w:type="dxa"/>
          </w:tcPr>
          <w:p>
            <w:pPr>
              <w:pStyle w:val="TableParagraph"/>
              <w:spacing w:line="273" w:lineRule="auto" w:before="43"/>
              <w:ind w:left="200" w:right="254"/>
              <w:rPr>
                <w:b/>
                <w:sz w:val="21"/>
              </w:rPr>
            </w:pPr>
            <w:r>
              <w:rPr>
                <w:b/>
                <w:sz w:val="21"/>
              </w:rPr>
              <w:t>7.多个肢体缺失</w:t>
            </w:r>
          </w:p>
        </w:tc>
        <w:tc>
          <w:tcPr>
            <w:tcW w:w="7943" w:type="dxa"/>
          </w:tcPr>
          <w:p>
            <w:pPr>
              <w:pStyle w:val="TableParagraph"/>
              <w:spacing w:line="273" w:lineRule="auto" w:before="43"/>
              <w:ind w:left="106" w:right="477"/>
              <w:rPr>
                <w:sz w:val="21"/>
              </w:rPr>
            </w:pPr>
            <w:r>
              <w:rPr>
                <w:sz w:val="21"/>
              </w:rPr>
              <w:t>指因疾病或意外伤害导致两个或两个以上肢体自腕关节或踝关节近端（靠近躯干端）以上完全性断离。</w:t>
            </w:r>
          </w:p>
        </w:tc>
      </w:tr>
      <w:tr>
        <w:trPr>
          <w:trHeight w:val="2029" w:hRule="atLeast"/>
        </w:trPr>
        <w:tc>
          <w:tcPr>
            <w:tcW w:w="1512" w:type="dxa"/>
          </w:tcPr>
          <w:p>
            <w:pPr>
              <w:pStyle w:val="TableParagraph"/>
              <w:spacing w:line="273" w:lineRule="auto" w:before="59"/>
              <w:ind w:left="200" w:right="255"/>
              <w:jc w:val="both"/>
              <w:rPr>
                <w:b/>
                <w:sz w:val="21"/>
              </w:rPr>
            </w:pPr>
            <w:r>
              <w:rPr>
                <w:b/>
                <w:sz w:val="21"/>
              </w:rPr>
              <w:t>8.急性或亚急性重症肝炎</w:t>
            </w:r>
          </w:p>
        </w:tc>
        <w:tc>
          <w:tcPr>
            <w:tcW w:w="7943" w:type="dxa"/>
          </w:tcPr>
          <w:p>
            <w:pPr>
              <w:pStyle w:val="TableParagraph"/>
              <w:spacing w:line="273" w:lineRule="auto" w:before="59"/>
              <w:ind w:left="106" w:right="263"/>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36"/>
              </w:numPr>
              <w:tabs>
                <w:tab w:pos="827" w:val="left" w:leader="none"/>
              </w:tabs>
              <w:spacing w:line="240" w:lineRule="auto" w:before="7" w:after="0"/>
              <w:ind w:left="826" w:right="0" w:hanging="720"/>
              <w:jc w:val="left"/>
              <w:rPr>
                <w:sz w:val="21"/>
              </w:rPr>
            </w:pPr>
            <w:r>
              <w:rPr>
                <w:spacing w:val="-3"/>
                <w:sz w:val="21"/>
              </w:rPr>
              <w:t>重度黄疸或黄疸迅速加重；</w:t>
            </w:r>
          </w:p>
          <w:p>
            <w:pPr>
              <w:pStyle w:val="TableParagraph"/>
              <w:numPr>
                <w:ilvl w:val="0"/>
                <w:numId w:val="36"/>
              </w:numPr>
              <w:tabs>
                <w:tab w:pos="827" w:val="left" w:leader="none"/>
              </w:tabs>
              <w:spacing w:line="240" w:lineRule="auto" w:before="36" w:after="0"/>
              <w:ind w:left="826" w:right="0" w:hanging="720"/>
              <w:jc w:val="left"/>
              <w:rPr>
                <w:sz w:val="21"/>
              </w:rPr>
            </w:pPr>
            <w:r>
              <w:rPr>
                <w:spacing w:val="-1"/>
                <w:sz w:val="21"/>
              </w:rPr>
              <w:t>肝性脑病；</w:t>
            </w:r>
          </w:p>
          <w:p>
            <w:pPr>
              <w:pStyle w:val="TableParagraph"/>
              <w:numPr>
                <w:ilvl w:val="0"/>
                <w:numId w:val="36"/>
              </w:numPr>
              <w:tabs>
                <w:tab w:pos="827" w:val="left" w:leader="none"/>
              </w:tabs>
              <w:spacing w:line="240" w:lineRule="auto" w:before="36" w:after="0"/>
              <w:ind w:left="826" w:right="0" w:hanging="720"/>
              <w:jc w:val="left"/>
              <w:rPr>
                <w:sz w:val="21"/>
              </w:rPr>
            </w:pPr>
            <w:r>
              <w:rPr>
                <w:sz w:val="21"/>
              </w:rPr>
              <w:t>B</w:t>
            </w:r>
            <w:r>
              <w:rPr>
                <w:spacing w:val="-7"/>
                <w:sz w:val="21"/>
              </w:rPr>
              <w:t> 超或其他影像学检查显示肝脏体积急速萎缩；</w:t>
            </w:r>
          </w:p>
          <w:p>
            <w:pPr>
              <w:pStyle w:val="TableParagraph"/>
              <w:numPr>
                <w:ilvl w:val="0"/>
                <w:numId w:val="36"/>
              </w:numPr>
              <w:tabs>
                <w:tab w:pos="827" w:val="left" w:leader="none"/>
              </w:tabs>
              <w:spacing w:line="240" w:lineRule="auto" w:before="36" w:after="0"/>
              <w:ind w:left="826" w:right="0" w:hanging="720"/>
              <w:jc w:val="left"/>
              <w:rPr>
                <w:sz w:val="21"/>
              </w:rPr>
            </w:pPr>
            <w:r>
              <w:rPr>
                <w:spacing w:val="-3"/>
                <w:sz w:val="21"/>
              </w:rPr>
              <w:t>肝功能指标进行性恶化。</w:t>
            </w:r>
          </w:p>
        </w:tc>
      </w:tr>
      <w:tr>
        <w:trPr>
          <w:trHeight w:val="2029" w:hRule="atLeast"/>
        </w:trPr>
        <w:tc>
          <w:tcPr>
            <w:tcW w:w="1512" w:type="dxa"/>
          </w:tcPr>
          <w:p>
            <w:pPr>
              <w:pStyle w:val="TableParagraph"/>
              <w:spacing w:line="273" w:lineRule="auto" w:before="60"/>
              <w:ind w:left="200" w:right="254"/>
              <w:rPr>
                <w:b/>
                <w:sz w:val="21"/>
              </w:rPr>
            </w:pPr>
            <w:r>
              <w:rPr>
                <w:b/>
                <w:sz w:val="21"/>
              </w:rPr>
              <w:t>9.良性脑肿瘤</w:t>
            </w:r>
          </w:p>
        </w:tc>
        <w:tc>
          <w:tcPr>
            <w:tcW w:w="7943" w:type="dxa"/>
          </w:tcPr>
          <w:p>
            <w:pPr>
              <w:pStyle w:val="TableParagraph"/>
              <w:spacing w:line="273" w:lineRule="auto" w:before="60"/>
              <w:ind w:left="106" w:right="201"/>
              <w:jc w:val="both"/>
              <w:rPr>
                <w:sz w:val="21"/>
              </w:rPr>
            </w:pPr>
            <w:r>
              <w:rPr>
                <w:spacing w:val="-3"/>
                <w:sz w:val="21"/>
              </w:rPr>
              <w:t>指脑的良性肿瘤，已经引起颅内压增高，临床表现为视神经乳头水肿、精神症状、</w:t>
            </w:r>
            <w:r>
              <w:rPr>
                <w:spacing w:val="-17"/>
                <w:w w:val="100"/>
                <w:sz w:val="21"/>
              </w:rPr>
              <w:t>癫痫及运动感觉障碍等，并危及生命。须由头颅断层扫描</w:t>
            </w:r>
            <w:r>
              <w:rPr>
                <w:w w:val="100"/>
                <w:sz w:val="21"/>
              </w:rPr>
              <w:t>（</w:t>
            </w:r>
            <w:r>
              <w:rPr>
                <w:spacing w:val="-3"/>
                <w:w w:val="100"/>
                <w:sz w:val="21"/>
              </w:rPr>
              <w:t>C</w:t>
            </w:r>
            <w:r>
              <w:rPr>
                <w:w w:val="100"/>
                <w:sz w:val="21"/>
              </w:rPr>
              <w:t>T</w:t>
            </w:r>
            <w:r>
              <w:rPr>
                <w:spacing w:val="-108"/>
                <w:w w:val="100"/>
                <w:sz w:val="21"/>
              </w:rPr>
              <w:t>）</w:t>
            </w:r>
            <w:r>
              <w:rPr>
                <w:spacing w:val="-22"/>
                <w:w w:val="100"/>
                <w:sz w:val="21"/>
              </w:rPr>
              <w:t>、核磁共振检查</w:t>
            </w:r>
            <w:r>
              <w:rPr>
                <w:spacing w:val="-2"/>
                <w:w w:val="100"/>
                <w:sz w:val="21"/>
              </w:rPr>
              <w:t>（</w:t>
            </w:r>
            <w:r>
              <w:rPr>
                <w:w w:val="100"/>
                <w:sz w:val="21"/>
              </w:rPr>
              <w:t>M</w:t>
            </w:r>
            <w:r>
              <w:rPr>
                <w:spacing w:val="-3"/>
                <w:w w:val="100"/>
                <w:sz w:val="21"/>
              </w:rPr>
              <w:t>R</w:t>
            </w:r>
            <w:r>
              <w:rPr>
                <w:w w:val="100"/>
                <w:sz w:val="21"/>
              </w:rPr>
              <w:t>I）</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37"/>
              </w:numPr>
              <w:tabs>
                <w:tab w:pos="827" w:val="left" w:leader="none"/>
              </w:tabs>
              <w:spacing w:line="240" w:lineRule="auto" w:before="8" w:after="0"/>
              <w:ind w:left="826" w:right="0" w:hanging="720"/>
              <w:jc w:val="both"/>
              <w:rPr>
                <w:sz w:val="21"/>
              </w:rPr>
            </w:pPr>
            <w:r>
              <w:rPr>
                <w:spacing w:val="-3"/>
                <w:sz w:val="21"/>
              </w:rPr>
              <w:t>实际实施了开颅进行的脑肿瘤完全切除或部分切除的手术；</w:t>
            </w:r>
          </w:p>
          <w:p>
            <w:pPr>
              <w:pStyle w:val="TableParagraph"/>
              <w:numPr>
                <w:ilvl w:val="0"/>
                <w:numId w:val="37"/>
              </w:numPr>
              <w:tabs>
                <w:tab w:pos="827" w:val="left" w:leader="none"/>
              </w:tabs>
              <w:spacing w:line="240" w:lineRule="auto" w:before="37" w:after="0"/>
              <w:ind w:left="826" w:right="0" w:hanging="720"/>
              <w:jc w:val="both"/>
              <w:rPr>
                <w:sz w:val="21"/>
              </w:rPr>
            </w:pPr>
            <w:r>
              <w:rPr>
                <w:spacing w:val="-3"/>
                <w:sz w:val="21"/>
              </w:rPr>
              <w:t>实际实施了对脑肿瘤进行的放射治疗。</w:t>
            </w:r>
          </w:p>
          <w:p>
            <w:pPr>
              <w:pStyle w:val="TableParagraph"/>
              <w:spacing w:before="37"/>
              <w:ind w:left="106"/>
              <w:jc w:val="both"/>
              <w:rPr>
                <w:rFonts w:ascii="黑体" w:eastAsia="黑体" w:hint="eastAsia"/>
                <w:sz w:val="21"/>
              </w:rPr>
            </w:pPr>
            <w:r>
              <w:rPr>
                <w:rFonts w:ascii="黑体" w:eastAsia="黑体" w:hint="eastAsia"/>
                <w:sz w:val="21"/>
              </w:rPr>
              <w:t>脑垂体瘤、脑囊肿、脑血管性疾病不在保障范围内。</w:t>
            </w:r>
          </w:p>
        </w:tc>
      </w:tr>
      <w:tr>
        <w:trPr>
          <w:trHeight w:val="2028" w:hRule="atLeast"/>
        </w:trPr>
        <w:tc>
          <w:tcPr>
            <w:tcW w:w="1512" w:type="dxa"/>
          </w:tcPr>
          <w:p>
            <w:pPr>
              <w:pStyle w:val="TableParagraph"/>
              <w:spacing w:line="273" w:lineRule="auto" w:before="58"/>
              <w:ind w:left="200" w:right="148"/>
              <w:rPr>
                <w:b/>
                <w:sz w:val="21"/>
              </w:rPr>
            </w:pPr>
            <w:r>
              <w:rPr>
                <w:b/>
                <w:sz w:val="21"/>
              </w:rPr>
              <w:t>10.慢性肝功能衰竭失代偿期</w:t>
            </w:r>
          </w:p>
        </w:tc>
        <w:tc>
          <w:tcPr>
            <w:tcW w:w="7943" w:type="dxa"/>
          </w:tcPr>
          <w:p>
            <w:pPr>
              <w:pStyle w:val="TableParagraph"/>
              <w:spacing w:before="58"/>
              <w:ind w:left="106"/>
              <w:rPr>
                <w:sz w:val="21"/>
              </w:rPr>
            </w:pPr>
            <w:r>
              <w:rPr>
                <w:sz w:val="21"/>
              </w:rPr>
              <w:t>指因慢性肝脏疾病导致肝功能衰竭。须满足下列全部条件：</w:t>
            </w:r>
          </w:p>
          <w:p>
            <w:pPr>
              <w:pStyle w:val="TableParagraph"/>
              <w:numPr>
                <w:ilvl w:val="0"/>
                <w:numId w:val="38"/>
              </w:numPr>
              <w:tabs>
                <w:tab w:pos="827" w:val="left" w:leader="none"/>
              </w:tabs>
              <w:spacing w:line="240" w:lineRule="auto" w:before="36" w:after="0"/>
              <w:ind w:left="826" w:right="0" w:hanging="720"/>
              <w:jc w:val="left"/>
              <w:rPr>
                <w:sz w:val="21"/>
              </w:rPr>
            </w:pPr>
            <w:r>
              <w:rPr>
                <w:spacing w:val="-2"/>
                <w:sz w:val="21"/>
              </w:rPr>
              <w:t>持续性黄疸；</w:t>
            </w:r>
          </w:p>
          <w:p>
            <w:pPr>
              <w:pStyle w:val="TableParagraph"/>
              <w:numPr>
                <w:ilvl w:val="0"/>
                <w:numId w:val="38"/>
              </w:numPr>
              <w:tabs>
                <w:tab w:pos="827" w:val="left" w:leader="none"/>
              </w:tabs>
              <w:spacing w:line="240" w:lineRule="auto" w:before="36" w:after="0"/>
              <w:ind w:left="826" w:right="0" w:hanging="720"/>
              <w:jc w:val="left"/>
              <w:rPr>
                <w:sz w:val="21"/>
              </w:rPr>
            </w:pPr>
            <w:r>
              <w:rPr>
                <w:sz w:val="21"/>
              </w:rPr>
              <w:t>腹水；</w:t>
            </w:r>
          </w:p>
          <w:p>
            <w:pPr>
              <w:pStyle w:val="TableParagraph"/>
              <w:numPr>
                <w:ilvl w:val="0"/>
                <w:numId w:val="38"/>
              </w:numPr>
              <w:tabs>
                <w:tab w:pos="827" w:val="left" w:leader="none"/>
              </w:tabs>
              <w:spacing w:line="240" w:lineRule="auto" w:before="36" w:after="0"/>
              <w:ind w:left="826" w:right="0" w:hanging="720"/>
              <w:jc w:val="left"/>
              <w:rPr>
                <w:sz w:val="21"/>
              </w:rPr>
            </w:pPr>
            <w:r>
              <w:rPr>
                <w:spacing w:val="-1"/>
                <w:sz w:val="21"/>
              </w:rPr>
              <w:t>肝性脑病；</w:t>
            </w:r>
          </w:p>
          <w:p>
            <w:pPr>
              <w:pStyle w:val="TableParagraph"/>
              <w:numPr>
                <w:ilvl w:val="0"/>
                <w:numId w:val="38"/>
              </w:numPr>
              <w:tabs>
                <w:tab w:pos="827" w:val="left" w:leader="none"/>
              </w:tabs>
              <w:spacing w:line="240" w:lineRule="auto" w:before="36" w:after="0"/>
              <w:ind w:left="826" w:right="0" w:hanging="720"/>
              <w:jc w:val="left"/>
              <w:rPr>
                <w:sz w:val="21"/>
              </w:rPr>
            </w:pPr>
            <w:r>
              <w:rPr>
                <w:spacing w:val="-3"/>
                <w:sz w:val="21"/>
              </w:rPr>
              <w:t>充血性脾肿大伴脾功能亢进或食管胃底静脉曲张。</w:t>
            </w:r>
          </w:p>
          <w:p>
            <w:pPr>
              <w:pStyle w:val="TableParagraph"/>
              <w:spacing w:before="36"/>
              <w:ind w:left="106"/>
              <w:rPr>
                <w:rFonts w:ascii="黑体" w:eastAsia="黑体" w:hint="eastAsia"/>
                <w:sz w:val="21"/>
              </w:rPr>
            </w:pPr>
            <w:r>
              <w:rPr>
                <w:rFonts w:ascii="黑体" w:eastAsia="黑体" w:hint="eastAsia"/>
                <w:sz w:val="21"/>
              </w:rPr>
              <w:t>因酗酒或药物滥用导致的肝功能衰竭不在保障范围内。</w:t>
            </w:r>
          </w:p>
        </w:tc>
      </w:tr>
      <w:tr>
        <w:trPr>
          <w:trHeight w:val="1994" w:hRule="atLeast"/>
        </w:trPr>
        <w:tc>
          <w:tcPr>
            <w:tcW w:w="1512" w:type="dxa"/>
          </w:tcPr>
          <w:p>
            <w:pPr>
              <w:pStyle w:val="TableParagraph"/>
              <w:spacing w:line="273" w:lineRule="auto" w:before="58"/>
              <w:ind w:left="200" w:right="148"/>
              <w:rPr>
                <w:b/>
                <w:sz w:val="21"/>
              </w:rPr>
            </w:pPr>
            <w:r>
              <w:rPr>
                <w:b/>
                <w:sz w:val="21"/>
              </w:rPr>
              <w:t>11.脑炎后遗症或脑膜炎后遗症</w:t>
            </w:r>
          </w:p>
        </w:tc>
        <w:tc>
          <w:tcPr>
            <w:tcW w:w="7943" w:type="dxa"/>
          </w:tcPr>
          <w:p>
            <w:pPr>
              <w:pStyle w:val="TableParagraph"/>
              <w:spacing w:line="273" w:lineRule="auto" w:before="58"/>
              <w:ind w:left="106" w:right="265"/>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39"/>
              </w:numPr>
              <w:tabs>
                <w:tab w:pos="827" w:val="left" w:leader="none"/>
              </w:tabs>
              <w:spacing w:line="240" w:lineRule="auto" w:before="7" w:after="0"/>
              <w:ind w:left="826" w:right="0" w:hanging="720"/>
              <w:jc w:val="left"/>
              <w:rPr>
                <w:sz w:val="21"/>
              </w:rPr>
            </w:pPr>
            <w:r>
              <w:rPr>
                <w:spacing w:val="-3"/>
                <w:sz w:val="21"/>
              </w:rPr>
              <w:t>一肢或一肢以上肢体机能完全丧失；</w:t>
            </w:r>
          </w:p>
          <w:p>
            <w:pPr>
              <w:pStyle w:val="TableParagraph"/>
              <w:numPr>
                <w:ilvl w:val="0"/>
                <w:numId w:val="39"/>
              </w:numPr>
              <w:tabs>
                <w:tab w:pos="827" w:val="left" w:leader="none"/>
              </w:tabs>
              <w:spacing w:line="240" w:lineRule="auto" w:before="37" w:after="0"/>
              <w:ind w:left="826" w:right="0" w:hanging="720"/>
              <w:jc w:val="left"/>
              <w:rPr>
                <w:sz w:val="21"/>
              </w:rPr>
            </w:pPr>
            <w:r>
              <w:rPr>
                <w:spacing w:val="-3"/>
                <w:sz w:val="21"/>
              </w:rPr>
              <w:t>语言能力或咀嚼吞咽能力完全丧失；</w:t>
            </w:r>
          </w:p>
          <w:p>
            <w:pPr>
              <w:pStyle w:val="TableParagraph"/>
              <w:numPr>
                <w:ilvl w:val="0"/>
                <w:numId w:val="39"/>
              </w:numPr>
              <w:tabs>
                <w:tab w:pos="827" w:val="left" w:leader="none"/>
              </w:tabs>
              <w:spacing w:line="273" w:lineRule="auto" w:before="37" w:after="0"/>
              <w:ind w:left="826" w:right="313" w:hanging="720"/>
              <w:jc w:val="left"/>
              <w:rPr>
                <w:sz w:val="21"/>
              </w:rPr>
            </w:pPr>
            <w:r>
              <w:rPr>
                <w:sz w:val="21"/>
              </w:rPr>
              <w:t>自主生活能力完全丧失，无法独立完成六项基本日常生活活动中的三项或</w:t>
            </w:r>
            <w:r>
              <w:rPr>
                <w:spacing w:val="-1"/>
                <w:sz w:val="21"/>
              </w:rPr>
              <w:t>三项以上。</w:t>
            </w:r>
          </w:p>
        </w:tc>
      </w:tr>
      <w:tr>
        <w:trPr>
          <w:trHeight w:val="1370" w:hRule="atLeast"/>
        </w:trPr>
        <w:tc>
          <w:tcPr>
            <w:tcW w:w="1512" w:type="dxa"/>
          </w:tcPr>
          <w:p>
            <w:pPr>
              <w:pStyle w:val="TableParagraph"/>
              <w:spacing w:before="25"/>
              <w:ind w:left="0" w:right="148"/>
              <w:jc w:val="right"/>
              <w:rPr>
                <w:b/>
                <w:sz w:val="21"/>
              </w:rPr>
            </w:pPr>
            <w:r>
              <w:rPr>
                <w:b/>
                <w:sz w:val="21"/>
              </w:rPr>
              <w:t>12.深度昏迷</w:t>
            </w:r>
          </w:p>
        </w:tc>
        <w:tc>
          <w:tcPr>
            <w:tcW w:w="7943" w:type="dxa"/>
          </w:tcPr>
          <w:p>
            <w:pPr>
              <w:pStyle w:val="TableParagraph"/>
              <w:spacing w:line="273" w:lineRule="auto" w:before="25"/>
              <w:ind w:left="106" w:right="306"/>
              <w:rPr>
                <w:sz w:val="21"/>
              </w:rPr>
            </w:pPr>
            <w:r>
              <w:rPr>
                <w:spacing w:val="-3"/>
                <w:sz w:val="21"/>
              </w:rPr>
              <w:t>指因疾病或意外伤害导致意识丧失,对外界刺激和体内需求均无反应,昏迷程度按 照格拉斯哥昏迷分级</w:t>
            </w:r>
            <w:r>
              <w:rPr>
                <w:sz w:val="21"/>
              </w:rPr>
              <w:t>（Glasgow</w:t>
            </w:r>
            <w:r>
              <w:rPr>
                <w:spacing w:val="-14"/>
                <w:sz w:val="21"/>
              </w:rPr>
              <w:t> </w:t>
            </w:r>
            <w:r>
              <w:rPr>
                <w:sz w:val="21"/>
              </w:rPr>
              <w:t>coma</w:t>
            </w:r>
            <w:r>
              <w:rPr>
                <w:spacing w:val="-14"/>
                <w:sz w:val="21"/>
              </w:rPr>
              <w:t> </w:t>
            </w:r>
            <w:r>
              <w:rPr>
                <w:sz w:val="21"/>
              </w:rPr>
              <w:t>scale）</w:t>
            </w:r>
            <w:r>
              <w:rPr>
                <w:spacing w:val="-15"/>
                <w:sz w:val="21"/>
              </w:rPr>
              <w:t>结果为 </w:t>
            </w:r>
            <w:r>
              <w:rPr>
                <w:sz w:val="21"/>
              </w:rPr>
              <w:t>5</w:t>
            </w:r>
            <w:r>
              <w:rPr>
                <w:spacing w:val="-26"/>
                <w:sz w:val="21"/>
              </w:rPr>
              <w:t> 分或 </w:t>
            </w:r>
            <w:r>
              <w:rPr>
                <w:sz w:val="21"/>
              </w:rPr>
              <w:t>5</w:t>
            </w:r>
            <w:r>
              <w:rPr>
                <w:spacing w:val="-9"/>
                <w:sz w:val="21"/>
              </w:rPr>
              <w:t> 分以下，且已经持续</w:t>
            </w:r>
            <w:r>
              <w:rPr>
                <w:spacing w:val="-8"/>
                <w:sz w:val="21"/>
              </w:rPr>
              <w:t>使用呼吸机及其他生命维持系统 </w:t>
            </w:r>
            <w:r>
              <w:rPr>
                <w:sz w:val="21"/>
              </w:rPr>
              <w:t>96</w:t>
            </w:r>
            <w:r>
              <w:rPr>
                <w:spacing w:val="-10"/>
                <w:sz w:val="21"/>
              </w:rPr>
              <w:t> 小时以上。</w:t>
            </w:r>
          </w:p>
          <w:p>
            <w:pPr>
              <w:pStyle w:val="TableParagraph"/>
              <w:spacing w:before="7"/>
              <w:ind w:left="106"/>
              <w:rPr>
                <w:rFonts w:ascii="黑体" w:eastAsia="黑体" w:hint="eastAsia"/>
                <w:sz w:val="21"/>
              </w:rPr>
            </w:pPr>
            <w:r>
              <w:rPr>
                <w:rFonts w:ascii="黑体" w:eastAsia="黑体" w:hint="eastAsia"/>
                <w:sz w:val="21"/>
              </w:rPr>
              <w:t>因酗酒或药物滥用导致的深度昏迷不在保障范围内。</w:t>
            </w:r>
          </w:p>
        </w:tc>
      </w:tr>
      <w:tr>
        <w:trPr>
          <w:trHeight w:val="1275" w:hRule="atLeast"/>
        </w:trPr>
        <w:tc>
          <w:tcPr>
            <w:tcW w:w="1512" w:type="dxa"/>
          </w:tcPr>
          <w:p>
            <w:pPr>
              <w:pStyle w:val="TableParagraph"/>
              <w:spacing w:before="59"/>
              <w:ind w:left="0" w:right="148"/>
              <w:jc w:val="right"/>
              <w:rPr>
                <w:b/>
                <w:sz w:val="21"/>
              </w:rPr>
            </w:pPr>
            <w:r>
              <w:rPr>
                <w:b/>
                <w:sz w:val="21"/>
              </w:rPr>
              <w:t>13.双耳失聪</w:t>
            </w:r>
          </w:p>
        </w:tc>
        <w:tc>
          <w:tcPr>
            <w:tcW w:w="7943" w:type="dxa"/>
          </w:tcPr>
          <w:p>
            <w:pPr>
              <w:pStyle w:val="TableParagraph"/>
              <w:spacing w:before="59"/>
              <w:ind w:left="106"/>
              <w:rPr>
                <w:sz w:val="21"/>
              </w:rPr>
            </w:pPr>
            <w:r>
              <w:rPr>
                <w:sz w:val="21"/>
              </w:rPr>
              <w:t>指因疾病或意外伤害导致双耳听力永久不可逆性丧失，在 500 赫兹、1000 赫兹和</w:t>
            </w:r>
          </w:p>
          <w:p>
            <w:pPr>
              <w:pStyle w:val="TableParagraph"/>
              <w:spacing w:line="273" w:lineRule="auto" w:before="37"/>
              <w:ind w:left="106" w:right="323"/>
              <w:rPr>
                <w:sz w:val="21"/>
              </w:rPr>
            </w:pPr>
            <w:r>
              <w:rPr>
                <w:sz w:val="21"/>
              </w:rPr>
              <w:t>2000</w:t>
            </w:r>
            <w:r>
              <w:rPr>
                <w:spacing w:val="-10"/>
                <w:sz w:val="21"/>
              </w:rPr>
              <w:t> 赫兹语音频率下，平均听阈大于 </w:t>
            </w:r>
            <w:r>
              <w:rPr>
                <w:sz w:val="21"/>
              </w:rPr>
              <w:t>90</w:t>
            </w:r>
            <w:r>
              <w:rPr>
                <w:spacing w:val="-8"/>
                <w:sz w:val="21"/>
              </w:rPr>
              <w:t> 分贝，且经纯音听力测试、声导抗检测或</w:t>
            </w:r>
            <w:r>
              <w:rPr>
                <w:spacing w:val="-5"/>
                <w:sz w:val="21"/>
              </w:rPr>
              <w:t>听觉诱发电位检测等证实。</w:t>
            </w:r>
          </w:p>
          <w:p>
            <w:pPr>
              <w:pStyle w:val="TableParagraph"/>
              <w:spacing w:line="261" w:lineRule="exact" w:before="7"/>
              <w:ind w:left="106"/>
              <w:rPr>
                <w:rFonts w:ascii="黑体" w:eastAsia="黑体" w:hint="eastAsia"/>
                <w:sz w:val="21"/>
              </w:rPr>
            </w:pPr>
            <w:r>
              <w:rPr>
                <w:rFonts w:ascii="黑体" w:eastAsia="黑体" w:hint="eastAsia"/>
                <w:sz w:val="21"/>
              </w:rPr>
              <w:t>被保险人申请理赔时年龄必须在 3 周岁以上，并且提供理赔当时的听力丧失诊断及</w:t>
            </w:r>
          </w:p>
        </w:tc>
      </w:tr>
    </w:tbl>
    <w:p>
      <w:pPr>
        <w:spacing w:after="0" w:line="261" w:lineRule="exact"/>
        <w:rPr>
          <w:rFonts w:ascii="黑体" w:eastAsia="黑体" w:hint="eastAsia"/>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0"/>
        <w:gridCol w:w="7964"/>
      </w:tblGrid>
      <w:tr>
        <w:trPr>
          <w:trHeight w:val="339" w:hRule="atLeast"/>
        </w:trPr>
        <w:tc>
          <w:tcPr>
            <w:tcW w:w="1490" w:type="dxa"/>
          </w:tcPr>
          <w:p>
            <w:pPr>
              <w:pStyle w:val="TableParagraph"/>
              <w:ind w:left="0"/>
              <w:rPr>
                <w:rFonts w:ascii="Times New Roman"/>
                <w:sz w:val="20"/>
              </w:rPr>
            </w:pPr>
          </w:p>
        </w:tc>
        <w:tc>
          <w:tcPr>
            <w:tcW w:w="7964" w:type="dxa"/>
          </w:tcPr>
          <w:p>
            <w:pPr>
              <w:pStyle w:val="TableParagraph"/>
              <w:spacing w:line="205" w:lineRule="exact"/>
              <w:ind w:left="128"/>
              <w:rPr>
                <w:rFonts w:ascii="黑体" w:eastAsia="黑体" w:hint="eastAsia"/>
                <w:sz w:val="21"/>
              </w:rPr>
            </w:pPr>
            <w:r>
              <w:rPr>
                <w:rFonts w:ascii="黑体" w:eastAsia="黑体" w:hint="eastAsia"/>
                <w:sz w:val="21"/>
              </w:rPr>
              <w:t>检查证据。</w:t>
            </w:r>
          </w:p>
        </w:tc>
      </w:tr>
      <w:tr>
        <w:trPr>
          <w:trHeight w:val="2652" w:hRule="atLeast"/>
        </w:trPr>
        <w:tc>
          <w:tcPr>
            <w:tcW w:w="1490" w:type="dxa"/>
          </w:tcPr>
          <w:p>
            <w:pPr>
              <w:pStyle w:val="TableParagraph"/>
              <w:spacing w:before="58"/>
              <w:ind w:left="200"/>
              <w:rPr>
                <w:b/>
                <w:sz w:val="21"/>
              </w:rPr>
            </w:pPr>
            <w:r>
              <w:rPr>
                <w:b/>
                <w:sz w:val="21"/>
              </w:rPr>
              <w:t>14.双目失明</w:t>
            </w:r>
          </w:p>
        </w:tc>
        <w:tc>
          <w:tcPr>
            <w:tcW w:w="7964" w:type="dxa"/>
          </w:tcPr>
          <w:p>
            <w:pPr>
              <w:pStyle w:val="TableParagraph"/>
              <w:spacing w:line="273" w:lineRule="auto" w:before="58"/>
              <w:ind w:left="128" w:right="262"/>
              <w:rPr>
                <w:sz w:val="21"/>
              </w:rPr>
            </w:pPr>
            <w:r>
              <w:rPr>
                <w:sz w:val="21"/>
              </w:rPr>
              <w:t>指因疾病或意外伤害导致双眼视力永久不可逆性丧失，双眼中较好眼须满足下列至少一项条件：</w:t>
            </w:r>
          </w:p>
          <w:p>
            <w:pPr>
              <w:pStyle w:val="TableParagraph"/>
              <w:numPr>
                <w:ilvl w:val="0"/>
                <w:numId w:val="40"/>
              </w:numPr>
              <w:tabs>
                <w:tab w:pos="849" w:val="left" w:leader="none"/>
              </w:tabs>
              <w:spacing w:line="240" w:lineRule="auto" w:before="7" w:after="0"/>
              <w:ind w:left="848" w:right="0" w:hanging="720"/>
              <w:jc w:val="left"/>
              <w:rPr>
                <w:sz w:val="21"/>
              </w:rPr>
            </w:pPr>
            <w:r>
              <w:rPr>
                <w:spacing w:val="-3"/>
                <w:sz w:val="21"/>
              </w:rPr>
              <w:t>眼球缺失或摘除；</w:t>
            </w:r>
          </w:p>
          <w:p>
            <w:pPr>
              <w:pStyle w:val="TableParagraph"/>
              <w:numPr>
                <w:ilvl w:val="0"/>
                <w:numId w:val="40"/>
              </w:numPr>
              <w:tabs>
                <w:tab w:pos="849" w:val="left" w:leader="none"/>
              </w:tabs>
              <w:spacing w:line="273" w:lineRule="auto" w:before="37" w:after="0"/>
              <w:ind w:left="848" w:right="303" w:hanging="720"/>
              <w:jc w:val="left"/>
              <w:rPr>
                <w:sz w:val="21"/>
              </w:rPr>
            </w:pPr>
            <w:r>
              <w:rPr>
                <w:spacing w:val="-2"/>
                <w:sz w:val="21"/>
              </w:rPr>
              <w:t>矫正视力低于 </w:t>
            </w:r>
            <w:r>
              <w:rPr>
                <w:sz w:val="21"/>
              </w:rPr>
              <w:t>0.02（</w:t>
            </w:r>
            <w:r>
              <w:rPr>
                <w:spacing w:val="-3"/>
                <w:sz w:val="21"/>
              </w:rPr>
              <w:t>采用国际标准视力表，如果使用其他视力表应进行换</w:t>
            </w:r>
            <w:r>
              <w:rPr>
                <w:spacing w:val="-3"/>
                <w:w w:val="100"/>
                <w:sz w:val="21"/>
              </w:rPr>
              <w:t>算</w:t>
            </w:r>
            <w:r>
              <w:rPr>
                <w:spacing w:val="-106"/>
                <w:w w:val="100"/>
                <w:sz w:val="21"/>
              </w:rPr>
              <w:t>）</w:t>
            </w:r>
            <w:r>
              <w:rPr>
                <w:w w:val="100"/>
                <w:sz w:val="21"/>
              </w:rPr>
              <w:t>；</w:t>
            </w:r>
          </w:p>
          <w:p>
            <w:pPr>
              <w:pStyle w:val="TableParagraph"/>
              <w:numPr>
                <w:ilvl w:val="0"/>
                <w:numId w:val="40"/>
              </w:numPr>
              <w:tabs>
                <w:tab w:pos="849" w:val="left" w:leader="none"/>
              </w:tabs>
              <w:spacing w:line="240" w:lineRule="auto" w:before="7" w:after="0"/>
              <w:ind w:left="848" w:right="0" w:hanging="720"/>
              <w:jc w:val="left"/>
              <w:rPr>
                <w:sz w:val="21"/>
              </w:rPr>
            </w:pPr>
            <w:r>
              <w:rPr>
                <w:spacing w:val="-9"/>
                <w:sz w:val="21"/>
              </w:rPr>
              <w:t>视野半径小于 </w:t>
            </w:r>
            <w:r>
              <w:rPr>
                <w:sz w:val="21"/>
              </w:rPr>
              <w:t>5</w:t>
            </w:r>
            <w:r>
              <w:rPr>
                <w:spacing w:val="-17"/>
                <w:sz w:val="21"/>
              </w:rPr>
              <w:t> 度。</w:t>
            </w:r>
          </w:p>
          <w:p>
            <w:pPr>
              <w:pStyle w:val="TableParagraph"/>
              <w:spacing w:line="273" w:lineRule="auto" w:before="36"/>
              <w:ind w:left="128" w:right="372"/>
              <w:rPr>
                <w:rFonts w:ascii="黑体" w:eastAsia="黑体" w:hint="eastAsia"/>
                <w:sz w:val="21"/>
              </w:rPr>
            </w:pPr>
            <w:r>
              <w:rPr>
                <w:rFonts w:ascii="黑体" w:eastAsia="黑体" w:hint="eastAsia"/>
                <w:sz w:val="21"/>
              </w:rPr>
              <w:t>被保险人申请理赔时年龄必须在3周岁以上，并且提供理赔当时的视力丧失诊断及检查证据。</w:t>
            </w:r>
          </w:p>
        </w:tc>
      </w:tr>
      <w:tr>
        <w:trPr>
          <w:trHeight w:val="1092" w:hRule="atLeast"/>
        </w:trPr>
        <w:tc>
          <w:tcPr>
            <w:tcW w:w="1490" w:type="dxa"/>
          </w:tcPr>
          <w:p>
            <w:pPr>
              <w:pStyle w:val="TableParagraph"/>
              <w:spacing w:before="58"/>
              <w:ind w:left="200"/>
              <w:rPr>
                <w:b/>
                <w:sz w:val="21"/>
              </w:rPr>
            </w:pPr>
            <w:r>
              <w:rPr>
                <w:b/>
                <w:sz w:val="21"/>
              </w:rPr>
              <w:t>15.瘫痪</w:t>
            </w:r>
          </w:p>
        </w:tc>
        <w:tc>
          <w:tcPr>
            <w:tcW w:w="7964" w:type="dxa"/>
          </w:tcPr>
          <w:p>
            <w:pPr>
              <w:pStyle w:val="TableParagraph"/>
              <w:spacing w:line="273" w:lineRule="auto" w:before="58"/>
              <w:ind w:left="128" w:right="303"/>
              <w:jc w:val="both"/>
              <w:rPr>
                <w:sz w:val="21"/>
              </w:rPr>
            </w:pPr>
            <w:r>
              <w:rPr>
                <w:spacing w:val="-5"/>
                <w:sz w:val="21"/>
              </w:rPr>
              <w:t>指因疾病或意外伤害导致两肢或两肢以上肢体机能永久完全丧失。肢体机能永久完</w:t>
            </w:r>
            <w:r>
              <w:rPr>
                <w:spacing w:val="-11"/>
                <w:sz w:val="21"/>
              </w:rPr>
              <w:t>全丧失，指疾病确诊 </w:t>
            </w:r>
            <w:r>
              <w:rPr>
                <w:sz w:val="21"/>
              </w:rPr>
              <w:t>180</w:t>
            </w:r>
            <w:r>
              <w:rPr>
                <w:spacing w:val="-13"/>
                <w:sz w:val="21"/>
              </w:rPr>
              <w:t> 天后或意外伤害发生 </w:t>
            </w:r>
            <w:r>
              <w:rPr>
                <w:sz w:val="21"/>
              </w:rPr>
              <w:t>180</w:t>
            </w:r>
            <w:r>
              <w:rPr>
                <w:spacing w:val="-10"/>
                <w:sz w:val="21"/>
              </w:rPr>
              <w:t> 天后，每肢三大关节中的两大关</w:t>
            </w:r>
            <w:r>
              <w:rPr>
                <w:spacing w:val="-5"/>
                <w:sz w:val="21"/>
              </w:rPr>
              <w:t>节仍然完全僵硬，或不能随意识活动。</w:t>
            </w:r>
          </w:p>
        </w:tc>
      </w:tr>
      <w:tr>
        <w:trPr>
          <w:trHeight w:val="792" w:hRule="atLeast"/>
        </w:trPr>
        <w:tc>
          <w:tcPr>
            <w:tcW w:w="1490" w:type="dxa"/>
          </w:tcPr>
          <w:p>
            <w:pPr>
              <w:pStyle w:val="TableParagraph"/>
              <w:spacing w:line="273" w:lineRule="auto" w:before="58"/>
              <w:ind w:left="200" w:right="126"/>
              <w:rPr>
                <w:b/>
                <w:sz w:val="21"/>
              </w:rPr>
            </w:pPr>
            <w:r>
              <w:rPr>
                <w:b/>
                <w:sz w:val="21"/>
              </w:rPr>
              <w:t>16.心脏瓣膜手术</w:t>
            </w:r>
          </w:p>
        </w:tc>
        <w:tc>
          <w:tcPr>
            <w:tcW w:w="7964" w:type="dxa"/>
          </w:tcPr>
          <w:p>
            <w:pPr>
              <w:pStyle w:val="TableParagraph"/>
              <w:spacing w:before="58"/>
              <w:ind w:left="128"/>
              <w:rPr>
                <w:sz w:val="21"/>
              </w:rPr>
            </w:pPr>
            <w:r>
              <w:rPr>
                <w:sz w:val="21"/>
              </w:rPr>
              <w:t>指为治疗心脏瓣膜疾病，实际实施了开胸进行的心脏瓣膜置换或修复的手术。</w:t>
            </w:r>
          </w:p>
        </w:tc>
      </w:tr>
      <w:tr>
        <w:trPr>
          <w:trHeight w:val="2040" w:hRule="atLeast"/>
        </w:trPr>
        <w:tc>
          <w:tcPr>
            <w:tcW w:w="1490" w:type="dxa"/>
          </w:tcPr>
          <w:p>
            <w:pPr>
              <w:pStyle w:val="TableParagraph"/>
              <w:spacing w:line="273" w:lineRule="auto" w:before="70"/>
              <w:ind w:left="200" w:right="126"/>
              <w:rPr>
                <w:b/>
                <w:sz w:val="21"/>
              </w:rPr>
            </w:pPr>
            <w:r>
              <w:rPr>
                <w:b/>
                <w:sz w:val="21"/>
              </w:rPr>
              <w:t>17.严重阿尔茨海默病</w:t>
            </w:r>
          </w:p>
        </w:tc>
        <w:tc>
          <w:tcPr>
            <w:tcW w:w="7964" w:type="dxa"/>
          </w:tcPr>
          <w:p>
            <w:pPr>
              <w:pStyle w:val="TableParagraph"/>
              <w:spacing w:line="273" w:lineRule="auto" w:before="70"/>
              <w:ind w:left="128" w:right="303"/>
              <w:rPr>
                <w:sz w:val="21"/>
              </w:rPr>
            </w:pPr>
            <w:r>
              <w:rPr>
                <w:spacing w:val="-6"/>
                <w:sz w:val="21"/>
              </w:rPr>
              <w:t>指因大脑进行性、不可逆性改变导致智能严重衰退或丧失，临床表现为明显的认知</w:t>
            </w:r>
            <w:r>
              <w:rPr>
                <w:spacing w:val="-8"/>
                <w:sz w:val="21"/>
              </w:rPr>
              <w:t>能力障碍、行为异常和社交能力减退，其日常生活必须持续受到他人监护。须由头</w:t>
            </w:r>
            <w:r>
              <w:rPr>
                <w:spacing w:val="-6"/>
                <w:w w:val="100"/>
                <w:sz w:val="21"/>
              </w:rPr>
              <w:t>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）等影像学</w:t>
            </w:r>
            <w:r>
              <w:rPr>
                <w:spacing w:val="-7"/>
                <w:sz w:val="21"/>
              </w:rPr>
              <w:t>检查证实，且自主生活能力完全丧失，无法独立完成六项基本日常生活活动中的三</w:t>
            </w:r>
            <w:r>
              <w:rPr>
                <w:spacing w:val="-5"/>
                <w:sz w:val="21"/>
              </w:rPr>
              <w:t>项或三项以上。</w:t>
            </w:r>
          </w:p>
          <w:p>
            <w:pPr>
              <w:pStyle w:val="TableParagraph"/>
              <w:spacing w:before="7"/>
              <w:ind w:left="128"/>
              <w:rPr>
                <w:rFonts w:ascii="黑体" w:eastAsia="黑体" w:hint="eastAsia"/>
                <w:sz w:val="21"/>
              </w:rPr>
            </w:pPr>
            <w:r>
              <w:rPr>
                <w:rFonts w:ascii="黑体" w:eastAsia="黑体" w:hint="eastAsia"/>
                <w:sz w:val="21"/>
              </w:rPr>
              <w:t>神经官能症和精神疾病不在保障范围内。</w:t>
            </w:r>
          </w:p>
        </w:tc>
      </w:tr>
      <w:tr>
        <w:trPr>
          <w:trHeight w:val="2618" w:hRule="atLeast"/>
        </w:trPr>
        <w:tc>
          <w:tcPr>
            <w:tcW w:w="1490" w:type="dxa"/>
          </w:tcPr>
          <w:p>
            <w:pPr>
              <w:pStyle w:val="TableParagraph"/>
              <w:spacing w:line="273" w:lineRule="auto" w:before="58"/>
              <w:ind w:left="200" w:right="126"/>
              <w:rPr>
                <w:b/>
                <w:sz w:val="21"/>
              </w:rPr>
            </w:pPr>
            <w:r>
              <w:rPr>
                <w:b/>
                <w:sz w:val="21"/>
              </w:rPr>
              <w:t>18.严重脑损伤</w:t>
            </w:r>
          </w:p>
        </w:tc>
        <w:tc>
          <w:tcPr>
            <w:tcW w:w="7964" w:type="dxa"/>
          </w:tcPr>
          <w:p>
            <w:pPr>
              <w:pStyle w:val="TableParagraph"/>
              <w:spacing w:line="273" w:lineRule="auto" w:before="58"/>
              <w:ind w:left="128" w:right="198"/>
              <w:rPr>
                <w:sz w:val="21"/>
              </w:rPr>
            </w:pPr>
            <w:r>
              <w:rPr>
                <w:spacing w:val="-12"/>
                <w:sz w:val="21"/>
              </w:rPr>
              <w:t>指因头部遭受机械性外力，引起脑重要部位损伤，导致神经系统永久性的功能障碍。</w:t>
            </w:r>
            <w:r>
              <w:rPr>
                <w:spacing w:val="-6"/>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r>
              <w:rPr>
                <w:w w:val="100"/>
                <w:sz w:val="21"/>
              </w:rPr>
              <w:t>PE</w:t>
            </w:r>
            <w:r>
              <w:rPr>
                <w:spacing w:val="-3"/>
                <w:w w:val="100"/>
                <w:sz w:val="21"/>
              </w:rPr>
              <w:t>T）等</w:t>
            </w:r>
            <w:r>
              <w:rPr>
                <w:spacing w:val="-8"/>
                <w:sz w:val="21"/>
              </w:rPr>
              <w:t>影像学检查证实。神经系统永久性的功能障碍，指脑损伤 </w:t>
            </w:r>
            <w:r>
              <w:rPr>
                <w:sz w:val="21"/>
              </w:rPr>
              <w:t>180</w:t>
            </w:r>
            <w:r>
              <w:rPr>
                <w:spacing w:val="-9"/>
                <w:sz w:val="21"/>
              </w:rPr>
              <w:t> 天后，仍遗留下列一</w:t>
            </w:r>
            <w:r>
              <w:rPr>
                <w:spacing w:val="-5"/>
                <w:sz w:val="21"/>
              </w:rPr>
              <w:t>种或一种以上障碍：</w:t>
            </w:r>
          </w:p>
          <w:p>
            <w:pPr>
              <w:pStyle w:val="TableParagraph"/>
              <w:numPr>
                <w:ilvl w:val="0"/>
                <w:numId w:val="41"/>
              </w:numPr>
              <w:tabs>
                <w:tab w:pos="849" w:val="left" w:leader="none"/>
              </w:tabs>
              <w:spacing w:line="240" w:lineRule="auto" w:before="7" w:after="0"/>
              <w:ind w:left="848" w:right="0" w:hanging="720"/>
              <w:jc w:val="left"/>
              <w:rPr>
                <w:sz w:val="21"/>
              </w:rPr>
            </w:pPr>
            <w:r>
              <w:rPr>
                <w:spacing w:val="-3"/>
                <w:sz w:val="21"/>
              </w:rPr>
              <w:t>一肢或一肢以上肢体机能完全丧失；</w:t>
            </w:r>
          </w:p>
          <w:p>
            <w:pPr>
              <w:pStyle w:val="TableParagraph"/>
              <w:numPr>
                <w:ilvl w:val="0"/>
                <w:numId w:val="41"/>
              </w:numPr>
              <w:tabs>
                <w:tab w:pos="849" w:val="left" w:leader="none"/>
              </w:tabs>
              <w:spacing w:line="240" w:lineRule="auto" w:before="37" w:after="0"/>
              <w:ind w:left="848" w:right="0" w:hanging="720"/>
              <w:jc w:val="left"/>
              <w:rPr>
                <w:sz w:val="21"/>
              </w:rPr>
            </w:pPr>
            <w:r>
              <w:rPr>
                <w:spacing w:val="-3"/>
                <w:sz w:val="21"/>
              </w:rPr>
              <w:t>语言能力或咀嚼吞咽能力完全丧失；</w:t>
            </w:r>
          </w:p>
          <w:p>
            <w:pPr>
              <w:pStyle w:val="TableParagraph"/>
              <w:numPr>
                <w:ilvl w:val="0"/>
                <w:numId w:val="41"/>
              </w:numPr>
              <w:tabs>
                <w:tab w:pos="849" w:val="left" w:leader="none"/>
              </w:tabs>
              <w:spacing w:line="273" w:lineRule="auto" w:before="37" w:after="0"/>
              <w:ind w:left="848" w:right="312" w:hanging="720"/>
              <w:jc w:val="left"/>
              <w:rPr>
                <w:sz w:val="21"/>
              </w:rPr>
            </w:pPr>
            <w:r>
              <w:rPr>
                <w:sz w:val="21"/>
              </w:rPr>
              <w:t>自主生活能力完全丧失，无法独立完成六项基本日常生活活动中的三项或</w:t>
            </w:r>
            <w:r>
              <w:rPr>
                <w:spacing w:val="-1"/>
                <w:sz w:val="21"/>
              </w:rPr>
              <w:t>三项以上。</w:t>
            </w:r>
          </w:p>
        </w:tc>
      </w:tr>
      <w:tr>
        <w:trPr>
          <w:trHeight w:val="1994" w:hRule="atLeast"/>
        </w:trPr>
        <w:tc>
          <w:tcPr>
            <w:tcW w:w="1490" w:type="dxa"/>
          </w:tcPr>
          <w:p>
            <w:pPr>
              <w:pStyle w:val="TableParagraph"/>
              <w:spacing w:line="273" w:lineRule="auto" w:before="25"/>
              <w:ind w:left="200" w:right="126"/>
              <w:rPr>
                <w:b/>
                <w:sz w:val="21"/>
              </w:rPr>
            </w:pPr>
            <w:r>
              <w:rPr>
                <w:b/>
                <w:sz w:val="21"/>
              </w:rPr>
              <w:t>19.严重帕金森病</w:t>
            </w:r>
          </w:p>
        </w:tc>
        <w:tc>
          <w:tcPr>
            <w:tcW w:w="7964" w:type="dxa"/>
          </w:tcPr>
          <w:p>
            <w:pPr>
              <w:pStyle w:val="TableParagraph"/>
              <w:spacing w:line="273" w:lineRule="auto" w:before="25"/>
              <w:ind w:left="128" w:right="303"/>
              <w:rPr>
                <w:sz w:val="21"/>
              </w:rPr>
            </w:pPr>
            <w:r>
              <w:rPr>
                <w:spacing w:val="-6"/>
                <w:sz w:val="21"/>
              </w:rPr>
              <w:t>是一种中枢神经系统的退行性疾病，临床表现为震颤麻痹、共济失调等。须满足下</w:t>
            </w:r>
            <w:r>
              <w:rPr>
                <w:spacing w:val="-4"/>
                <w:sz w:val="21"/>
              </w:rPr>
              <w:t>列全部条件：</w:t>
            </w:r>
          </w:p>
          <w:p>
            <w:pPr>
              <w:pStyle w:val="TableParagraph"/>
              <w:numPr>
                <w:ilvl w:val="0"/>
                <w:numId w:val="42"/>
              </w:numPr>
              <w:tabs>
                <w:tab w:pos="849" w:val="left" w:leader="none"/>
              </w:tabs>
              <w:spacing w:line="240" w:lineRule="auto" w:before="7" w:after="0"/>
              <w:ind w:left="848" w:right="0" w:hanging="720"/>
              <w:jc w:val="left"/>
              <w:rPr>
                <w:sz w:val="21"/>
              </w:rPr>
            </w:pPr>
            <w:r>
              <w:rPr>
                <w:spacing w:val="-3"/>
                <w:sz w:val="21"/>
              </w:rPr>
              <w:t>药物治疗无法控制病情；</w:t>
            </w:r>
          </w:p>
          <w:p>
            <w:pPr>
              <w:pStyle w:val="TableParagraph"/>
              <w:numPr>
                <w:ilvl w:val="0"/>
                <w:numId w:val="42"/>
              </w:numPr>
              <w:tabs>
                <w:tab w:pos="849" w:val="left" w:leader="none"/>
              </w:tabs>
              <w:spacing w:line="273" w:lineRule="auto" w:before="36" w:after="0"/>
              <w:ind w:left="848" w:right="312" w:hanging="720"/>
              <w:jc w:val="left"/>
              <w:rPr>
                <w:sz w:val="21"/>
              </w:rPr>
            </w:pPr>
            <w:r>
              <w:rPr>
                <w:sz w:val="21"/>
              </w:rPr>
              <w:t>自主生活能力完全丧失，无法独立完成六项基本日常生活活动中的三项或</w:t>
            </w:r>
            <w:r>
              <w:rPr>
                <w:spacing w:val="-1"/>
                <w:sz w:val="21"/>
              </w:rPr>
              <w:t>三项以上。</w:t>
            </w:r>
          </w:p>
          <w:p>
            <w:pPr>
              <w:pStyle w:val="TableParagraph"/>
              <w:spacing w:before="7"/>
              <w:ind w:left="128"/>
              <w:rPr>
                <w:rFonts w:ascii="黑体" w:eastAsia="黑体" w:hint="eastAsia"/>
                <w:sz w:val="21"/>
              </w:rPr>
            </w:pPr>
            <w:r>
              <w:rPr>
                <w:rFonts w:ascii="黑体" w:eastAsia="黑体" w:hint="eastAsia"/>
                <w:sz w:val="21"/>
              </w:rPr>
              <w:t>继发性帕金森综合征不在保障范围内。</w:t>
            </w:r>
          </w:p>
        </w:tc>
      </w:tr>
      <w:tr>
        <w:trPr>
          <w:trHeight w:val="780" w:hRule="atLeast"/>
        </w:trPr>
        <w:tc>
          <w:tcPr>
            <w:tcW w:w="1490" w:type="dxa"/>
          </w:tcPr>
          <w:p>
            <w:pPr>
              <w:pStyle w:val="TableParagraph"/>
              <w:spacing w:line="273" w:lineRule="auto" w:before="58"/>
              <w:ind w:left="200" w:right="126"/>
              <w:rPr>
                <w:b/>
                <w:sz w:val="21"/>
              </w:rPr>
            </w:pPr>
            <w:r>
              <w:rPr>
                <w:b/>
                <w:sz w:val="21"/>
              </w:rPr>
              <w:t>20.严重</w:t>
            </w:r>
            <w:r>
              <w:rPr>
                <w:rFonts w:ascii="宋体" w:hAnsi="宋体" w:eastAsia="宋体" w:hint="eastAsia"/>
                <w:b/>
                <w:sz w:val="21"/>
              </w:rPr>
              <w:t>Ⅲ</w:t>
            </w:r>
            <w:r>
              <w:rPr>
                <w:b/>
                <w:sz w:val="21"/>
              </w:rPr>
              <w:t>度烧伤</w:t>
            </w:r>
          </w:p>
        </w:tc>
        <w:tc>
          <w:tcPr>
            <w:tcW w:w="7964" w:type="dxa"/>
          </w:tcPr>
          <w:p>
            <w:pPr>
              <w:pStyle w:val="TableParagraph"/>
              <w:spacing w:line="273" w:lineRule="auto" w:before="58"/>
              <w:ind w:left="128" w:right="372"/>
              <w:rPr>
                <w:sz w:val="21"/>
              </w:rPr>
            </w:pPr>
            <w:r>
              <w:rPr>
                <w:spacing w:val="-5"/>
                <w:sz w:val="21"/>
              </w:rPr>
              <w:t>指烧伤程度为Ⅲ度，且Ⅲ度烧伤的面积达到全身体表面积的 </w:t>
            </w:r>
            <w:r>
              <w:rPr>
                <w:sz w:val="21"/>
              </w:rPr>
              <w:t>20</w:t>
            </w:r>
            <w:r>
              <w:rPr>
                <w:spacing w:val="-13"/>
                <w:sz w:val="21"/>
              </w:rPr>
              <w:t>％或 </w:t>
            </w:r>
            <w:r>
              <w:rPr>
                <w:sz w:val="21"/>
              </w:rPr>
              <w:t>20</w:t>
            </w:r>
            <w:r>
              <w:rPr>
                <w:spacing w:val="-3"/>
                <w:sz w:val="21"/>
              </w:rPr>
              <w:t>％以上。体表面积根据《中国新九分法》计算。</w:t>
            </w:r>
          </w:p>
        </w:tc>
      </w:tr>
      <w:tr>
        <w:trPr>
          <w:trHeight w:val="1092" w:hRule="atLeast"/>
        </w:trPr>
        <w:tc>
          <w:tcPr>
            <w:tcW w:w="1490" w:type="dxa"/>
          </w:tcPr>
          <w:p>
            <w:pPr>
              <w:pStyle w:val="TableParagraph"/>
              <w:spacing w:line="273" w:lineRule="auto" w:before="58"/>
              <w:ind w:left="200" w:right="126"/>
              <w:rPr>
                <w:b/>
                <w:sz w:val="21"/>
              </w:rPr>
            </w:pPr>
            <w:r>
              <w:rPr>
                <w:b/>
                <w:sz w:val="21"/>
              </w:rPr>
              <w:t>21.严重原发性肺动脉高压</w:t>
            </w:r>
          </w:p>
        </w:tc>
        <w:tc>
          <w:tcPr>
            <w:tcW w:w="7964" w:type="dxa"/>
          </w:tcPr>
          <w:p>
            <w:pPr>
              <w:pStyle w:val="TableParagraph"/>
              <w:spacing w:line="273" w:lineRule="auto" w:before="58"/>
              <w:ind w:left="128" w:right="197"/>
              <w:rPr>
                <w:sz w:val="21"/>
              </w:rPr>
            </w:pPr>
            <w:r>
              <w:rPr>
                <w:spacing w:val="-6"/>
                <w:sz w:val="21"/>
              </w:rPr>
              <w:t>指不明原因的肺动脉压力持续性增高，进行性发展而导致的慢性疾病，已经造成永</w:t>
            </w:r>
            <w:r>
              <w:rPr>
                <w:spacing w:val="-8"/>
                <w:sz w:val="21"/>
              </w:rPr>
              <w:t>久不可逆性的体力活动能力受限，达到美国纽约心脏病学会心功能状态分级 </w:t>
            </w:r>
            <w:r>
              <w:rPr>
                <w:sz w:val="21"/>
              </w:rPr>
              <w:t>IV</w:t>
            </w:r>
            <w:r>
              <w:rPr>
                <w:spacing w:val="-12"/>
                <w:sz w:val="21"/>
              </w:rPr>
              <w:t> 级， </w:t>
            </w:r>
            <w:r>
              <w:rPr>
                <w:spacing w:val="-9"/>
                <w:sz w:val="21"/>
              </w:rPr>
              <w:t>且静息状态下肺动脉平均压超过 </w:t>
            </w:r>
            <w:r>
              <w:rPr>
                <w:sz w:val="21"/>
              </w:rPr>
              <w:t>30mmHg。</w:t>
            </w:r>
          </w:p>
        </w:tc>
      </w:tr>
      <w:tr>
        <w:trPr>
          <w:trHeight w:val="651" w:hRule="atLeast"/>
        </w:trPr>
        <w:tc>
          <w:tcPr>
            <w:tcW w:w="1490" w:type="dxa"/>
          </w:tcPr>
          <w:p>
            <w:pPr>
              <w:pStyle w:val="TableParagraph"/>
              <w:spacing w:line="310" w:lineRule="atLeast" w:before="23"/>
              <w:ind w:left="200" w:right="126"/>
              <w:rPr>
                <w:b/>
                <w:sz w:val="21"/>
              </w:rPr>
            </w:pPr>
            <w:r>
              <w:rPr>
                <w:b/>
                <w:sz w:val="21"/>
              </w:rPr>
              <w:t>22.严重运动神经元病</w:t>
            </w:r>
          </w:p>
        </w:tc>
        <w:tc>
          <w:tcPr>
            <w:tcW w:w="7964" w:type="dxa"/>
          </w:tcPr>
          <w:p>
            <w:pPr>
              <w:pStyle w:val="TableParagraph"/>
              <w:spacing w:line="310" w:lineRule="atLeast" w:before="23"/>
              <w:ind w:left="128" w:right="264"/>
              <w:rPr>
                <w:sz w:val="21"/>
              </w:rPr>
            </w:pPr>
            <w:r>
              <w:rPr>
                <w:sz w:val="21"/>
              </w:rPr>
              <w:t>是一组中枢神经系统运动神经元的进行性变性疾病，包括进行性脊肌萎缩症、进行性延髓麻痹症、原发性侧索硬化症、肌萎缩性侧索硬化症。须满足自主生活能力完</w:t>
            </w:r>
          </w:p>
        </w:tc>
      </w:tr>
    </w:tbl>
    <w:p>
      <w:pPr>
        <w:spacing w:after="0" w:line="310" w:lineRule="atLeast"/>
        <w:rPr>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936"/>
      </w:tblGrid>
      <w:tr>
        <w:trPr>
          <w:trHeight w:val="339" w:hRule="atLeast"/>
        </w:trPr>
        <w:tc>
          <w:tcPr>
            <w:tcW w:w="1515" w:type="dxa"/>
          </w:tcPr>
          <w:p>
            <w:pPr>
              <w:pStyle w:val="TableParagraph"/>
              <w:ind w:left="0"/>
              <w:rPr>
                <w:rFonts w:ascii="Times New Roman"/>
                <w:sz w:val="20"/>
              </w:rPr>
            </w:pPr>
          </w:p>
        </w:tc>
        <w:tc>
          <w:tcPr>
            <w:tcW w:w="7936" w:type="dxa"/>
          </w:tcPr>
          <w:p>
            <w:pPr>
              <w:pStyle w:val="TableParagraph"/>
              <w:spacing w:line="205" w:lineRule="exact"/>
              <w:ind w:left="103"/>
              <w:rPr>
                <w:sz w:val="21"/>
              </w:rPr>
            </w:pPr>
            <w:r>
              <w:rPr>
                <w:sz w:val="21"/>
              </w:rPr>
              <w:t>全丧失，无法独立完成六项基本日常生活活动中的三项或三项以上的条件。</w:t>
            </w:r>
          </w:p>
        </w:tc>
      </w:tr>
      <w:tr>
        <w:trPr>
          <w:trHeight w:val="1716" w:hRule="atLeast"/>
        </w:trPr>
        <w:tc>
          <w:tcPr>
            <w:tcW w:w="1515" w:type="dxa"/>
          </w:tcPr>
          <w:p>
            <w:pPr>
              <w:pStyle w:val="TableParagraph"/>
              <w:spacing w:line="273" w:lineRule="auto" w:before="58"/>
              <w:ind w:left="200" w:right="151"/>
              <w:rPr>
                <w:b/>
                <w:sz w:val="21"/>
              </w:rPr>
            </w:pPr>
            <w:r>
              <w:rPr>
                <w:b/>
                <w:sz w:val="21"/>
              </w:rPr>
              <w:t>23.语言能力丧失</w:t>
            </w:r>
          </w:p>
        </w:tc>
        <w:tc>
          <w:tcPr>
            <w:tcW w:w="7936" w:type="dxa"/>
          </w:tcPr>
          <w:p>
            <w:pPr>
              <w:pStyle w:val="TableParagraph"/>
              <w:spacing w:line="273" w:lineRule="auto" w:before="58"/>
              <w:ind w:left="103" w:right="369"/>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7"/>
              <w:ind w:left="103"/>
              <w:rPr>
                <w:rFonts w:ascii="黑体" w:eastAsia="黑体" w:hint="eastAsia"/>
                <w:sz w:val="21"/>
              </w:rPr>
            </w:pPr>
            <w:r>
              <w:rPr>
                <w:rFonts w:ascii="黑体" w:eastAsia="黑体" w:hint="eastAsia"/>
                <w:sz w:val="21"/>
              </w:rPr>
              <w:t>精神心理因素所致的语言能力丧失不在保障范围内。</w:t>
            </w:r>
          </w:p>
          <w:p>
            <w:pPr>
              <w:pStyle w:val="TableParagraph"/>
              <w:spacing w:line="273" w:lineRule="auto" w:before="37"/>
              <w:ind w:left="103" w:right="300"/>
              <w:rPr>
                <w:rFonts w:ascii="黑体" w:eastAsia="黑体" w:hint="eastAsia"/>
                <w:sz w:val="21"/>
              </w:rPr>
            </w:pPr>
            <w:r>
              <w:rPr>
                <w:rFonts w:ascii="黑体" w:eastAsia="黑体" w:hint="eastAsia"/>
                <w:spacing w:val="-6"/>
                <w:sz w:val="21"/>
              </w:rPr>
              <w:t>被保险人申请理赔时年龄必须在 </w:t>
            </w:r>
            <w:r>
              <w:rPr>
                <w:rFonts w:ascii="黑体" w:eastAsia="黑体" w:hint="eastAsia"/>
                <w:sz w:val="21"/>
              </w:rPr>
              <w:t>3</w:t>
            </w:r>
            <w:r>
              <w:rPr>
                <w:rFonts w:ascii="黑体" w:eastAsia="黑体" w:hint="eastAsia"/>
                <w:spacing w:val="-9"/>
                <w:sz w:val="21"/>
              </w:rPr>
              <w:t> 周岁以上，并且提供理赔当时的语言能力丧失诊</w:t>
            </w:r>
            <w:r>
              <w:rPr>
                <w:rFonts w:ascii="黑体" w:eastAsia="黑体" w:hint="eastAsia"/>
                <w:spacing w:val="-5"/>
                <w:sz w:val="21"/>
              </w:rPr>
              <w:t>断及检查证据。</w:t>
            </w:r>
          </w:p>
        </w:tc>
      </w:tr>
      <w:tr>
        <w:trPr>
          <w:trHeight w:val="2375" w:hRule="atLeast"/>
        </w:trPr>
        <w:tc>
          <w:tcPr>
            <w:tcW w:w="1515" w:type="dxa"/>
          </w:tcPr>
          <w:p>
            <w:pPr>
              <w:pStyle w:val="TableParagraph"/>
              <w:spacing w:line="273" w:lineRule="auto" w:before="58"/>
              <w:ind w:left="200" w:right="151"/>
              <w:rPr>
                <w:b/>
                <w:sz w:val="21"/>
              </w:rPr>
            </w:pPr>
            <w:r>
              <w:rPr>
                <w:b/>
                <w:sz w:val="21"/>
              </w:rPr>
              <w:t>24.重型再生障碍性贫血</w:t>
            </w:r>
          </w:p>
        </w:tc>
        <w:tc>
          <w:tcPr>
            <w:tcW w:w="7936" w:type="dxa"/>
          </w:tcPr>
          <w:p>
            <w:pPr>
              <w:pStyle w:val="TableParagraph"/>
              <w:spacing w:line="273" w:lineRule="auto" w:before="58"/>
              <w:ind w:left="103" w:right="259"/>
              <w:rPr>
                <w:sz w:val="21"/>
              </w:rPr>
            </w:pPr>
            <w:r>
              <w:rPr>
                <w:sz w:val="21"/>
              </w:rPr>
              <w:t>指因骨髓造血功能慢性持续性衰竭导致的贫血、中性粒细胞减少及血小板减少。须满足下列全部条件：</w:t>
            </w:r>
          </w:p>
          <w:p>
            <w:pPr>
              <w:pStyle w:val="TableParagraph"/>
              <w:numPr>
                <w:ilvl w:val="0"/>
                <w:numId w:val="43"/>
              </w:numPr>
              <w:tabs>
                <w:tab w:pos="824" w:val="left" w:leader="none"/>
              </w:tabs>
              <w:spacing w:line="240" w:lineRule="auto" w:before="7" w:after="0"/>
              <w:ind w:left="823" w:right="0" w:hanging="720"/>
              <w:jc w:val="left"/>
              <w:rPr>
                <w:sz w:val="21"/>
              </w:rPr>
            </w:pPr>
            <w:r>
              <w:rPr>
                <w:spacing w:val="-3"/>
                <w:sz w:val="21"/>
              </w:rPr>
              <w:t>骨髓穿刺检查或骨髓活检结果支持诊断；</w:t>
            </w:r>
          </w:p>
          <w:p>
            <w:pPr>
              <w:pStyle w:val="TableParagraph"/>
              <w:numPr>
                <w:ilvl w:val="0"/>
                <w:numId w:val="43"/>
              </w:numPr>
              <w:tabs>
                <w:tab w:pos="824" w:val="left" w:leader="none"/>
              </w:tabs>
              <w:spacing w:line="240" w:lineRule="auto" w:before="37" w:after="0"/>
              <w:ind w:left="823" w:right="0" w:hanging="720"/>
              <w:jc w:val="left"/>
              <w:rPr>
                <w:sz w:val="21"/>
              </w:rPr>
            </w:pPr>
            <w:r>
              <w:rPr>
                <w:spacing w:val="-3"/>
                <w:sz w:val="21"/>
              </w:rPr>
              <w:t>外周血象须具备以下三项条件：</w:t>
            </w:r>
          </w:p>
          <w:p>
            <w:pPr>
              <w:pStyle w:val="TableParagraph"/>
              <w:spacing w:before="37"/>
              <w:ind w:left="823"/>
              <w:rPr>
                <w:sz w:val="21"/>
              </w:rPr>
            </w:pPr>
            <w:r>
              <w:rPr>
                <w:sz w:val="21"/>
              </w:rPr>
              <w:t>① 中性粒细胞绝对值≤0.5×10</w:t>
            </w:r>
            <w:r>
              <w:rPr>
                <w:position w:val="11"/>
                <w:sz w:val="11"/>
              </w:rPr>
              <w:t>9</w:t>
            </w:r>
            <w:r>
              <w:rPr>
                <w:sz w:val="21"/>
              </w:rPr>
              <w:t>/L；</w:t>
            </w:r>
          </w:p>
          <w:p>
            <w:pPr>
              <w:pStyle w:val="TableParagraph"/>
              <w:spacing w:before="36"/>
              <w:ind w:left="823"/>
              <w:rPr>
                <w:sz w:val="21"/>
              </w:rPr>
            </w:pPr>
            <w:r>
              <w:rPr>
                <w:sz w:val="21"/>
              </w:rPr>
              <w:t>② 网织红细胞＜1%；</w:t>
            </w:r>
          </w:p>
          <w:p>
            <w:pPr>
              <w:pStyle w:val="TableParagraph"/>
              <w:spacing w:before="36"/>
              <w:ind w:left="823"/>
              <w:rPr>
                <w:sz w:val="21"/>
              </w:rPr>
            </w:pPr>
            <w:r>
              <w:rPr>
                <w:sz w:val="21"/>
              </w:rPr>
              <w:t>③ 血小板绝对值≤20×10</w:t>
            </w:r>
            <w:r>
              <w:rPr>
                <w:position w:val="11"/>
                <w:sz w:val="11"/>
              </w:rPr>
              <w:t>9</w:t>
            </w:r>
            <w:r>
              <w:rPr>
                <w:sz w:val="21"/>
              </w:rPr>
              <w:t>/L。</w:t>
            </w:r>
          </w:p>
        </w:tc>
      </w:tr>
      <w:tr>
        <w:trPr>
          <w:trHeight w:val="1438" w:hRule="atLeast"/>
        </w:trPr>
        <w:tc>
          <w:tcPr>
            <w:tcW w:w="1515" w:type="dxa"/>
          </w:tcPr>
          <w:p>
            <w:pPr>
              <w:pStyle w:val="TableParagraph"/>
              <w:spacing w:line="273" w:lineRule="auto" w:before="93"/>
              <w:ind w:left="200" w:right="151"/>
              <w:rPr>
                <w:b/>
                <w:sz w:val="21"/>
              </w:rPr>
            </w:pPr>
            <w:r>
              <w:rPr>
                <w:b/>
                <w:sz w:val="21"/>
              </w:rPr>
              <w:t>25.主动脉手术</w:t>
            </w:r>
          </w:p>
        </w:tc>
        <w:tc>
          <w:tcPr>
            <w:tcW w:w="7936" w:type="dxa"/>
          </w:tcPr>
          <w:p>
            <w:pPr>
              <w:pStyle w:val="TableParagraph"/>
              <w:spacing w:line="273" w:lineRule="auto" w:before="93"/>
              <w:ind w:left="103" w:right="300"/>
              <w:jc w:val="both"/>
              <w:rPr>
                <w:sz w:val="21"/>
              </w:rPr>
            </w:pPr>
            <w:r>
              <w:rPr>
                <w:spacing w:val="-6"/>
                <w:sz w:val="21"/>
              </w:rPr>
              <w:t>指为治疗主动脉疾病，实际实施了开胸或开腹进行的切除、置换、修补病损主动脉</w:t>
            </w:r>
            <w:r>
              <w:rPr>
                <w:spacing w:val="-7"/>
                <w:sz w:val="21"/>
              </w:rPr>
              <w:t>血管的手术。主动脉指胸主动脉和腹主动脉，不包括胸主动脉和腹主动脉的分支血管。</w:t>
            </w:r>
          </w:p>
          <w:p>
            <w:pPr>
              <w:pStyle w:val="TableParagraph"/>
              <w:spacing w:before="7"/>
              <w:ind w:left="103"/>
              <w:jc w:val="both"/>
              <w:rPr>
                <w:rFonts w:ascii="黑体" w:eastAsia="黑体" w:hint="eastAsia"/>
                <w:sz w:val="21"/>
              </w:rPr>
            </w:pPr>
            <w:r>
              <w:rPr>
                <w:rFonts w:ascii="黑体" w:eastAsia="黑体" w:hint="eastAsia"/>
                <w:sz w:val="21"/>
              </w:rPr>
              <w:t>动脉内血管成形术不在保障范围内。</w:t>
            </w:r>
          </w:p>
        </w:tc>
      </w:tr>
      <w:tr>
        <w:trPr>
          <w:trHeight w:val="1716" w:hRule="atLeast"/>
        </w:trPr>
        <w:tc>
          <w:tcPr>
            <w:tcW w:w="1515" w:type="dxa"/>
          </w:tcPr>
          <w:p>
            <w:pPr>
              <w:pStyle w:val="TableParagraph"/>
              <w:spacing w:line="273" w:lineRule="auto" w:before="58"/>
              <w:ind w:left="200" w:right="151"/>
              <w:rPr>
                <w:b/>
                <w:sz w:val="21"/>
              </w:rPr>
            </w:pPr>
            <w:r>
              <w:rPr>
                <w:b/>
                <w:sz w:val="21"/>
              </w:rPr>
              <w:t>26.严重多发性硬化症</w:t>
            </w:r>
          </w:p>
        </w:tc>
        <w:tc>
          <w:tcPr>
            <w:tcW w:w="7936" w:type="dxa"/>
          </w:tcPr>
          <w:p>
            <w:pPr>
              <w:pStyle w:val="TableParagraph"/>
              <w:spacing w:line="273" w:lineRule="auto" w:before="58"/>
              <w:ind w:left="103" w:right="300"/>
              <w:jc w:val="both"/>
              <w:rPr>
                <w:sz w:val="21"/>
              </w:rPr>
            </w:pPr>
            <w:r>
              <w:rPr>
                <w:spacing w:val="-7"/>
                <w:sz w:val="21"/>
              </w:rPr>
              <w:t>指被保险人因脑及脊髓内的脱髓鞘病变而出现神经系统多灶性</w:t>
            </w:r>
            <w:r>
              <w:rPr>
                <w:spacing w:val="-3"/>
                <w:sz w:val="21"/>
              </w:rPr>
              <w:t>（</w:t>
            </w:r>
            <w:r>
              <w:rPr>
                <w:spacing w:val="-2"/>
                <w:sz w:val="21"/>
              </w:rPr>
              <w:t>多发性</w:t>
            </w:r>
            <w:r>
              <w:rPr>
                <w:spacing w:val="-85"/>
                <w:sz w:val="21"/>
              </w:rPr>
              <w:t>）</w:t>
            </w:r>
            <w:r>
              <w:rPr>
                <w:spacing w:val="-29"/>
                <w:sz w:val="21"/>
              </w:rPr>
              <w:t>多时相</w:t>
            </w:r>
            <w:r>
              <w:rPr>
                <w:spacing w:val="-3"/>
                <w:sz w:val="21"/>
              </w:rPr>
              <w:t>（</w:t>
            </w:r>
            <w:r>
              <w:rPr>
                <w:sz w:val="21"/>
              </w:rPr>
              <w:t>至</w:t>
            </w:r>
            <w:r>
              <w:rPr>
                <w:w w:val="100"/>
                <w:sz w:val="21"/>
              </w:rPr>
              <w:t>少</w:t>
            </w:r>
            <w:r>
              <w:rPr>
                <w:spacing w:val="-53"/>
                <w:sz w:val="21"/>
              </w:rPr>
              <w:t> </w:t>
            </w:r>
            <w:r>
              <w:rPr>
                <w:w w:val="100"/>
                <w:sz w:val="21"/>
              </w:rPr>
              <w:t>6</w:t>
            </w:r>
            <w:r>
              <w:rPr>
                <w:spacing w:val="-53"/>
                <w:sz w:val="21"/>
              </w:rPr>
              <w:t> </w:t>
            </w:r>
            <w:r>
              <w:rPr>
                <w:spacing w:val="-14"/>
                <w:w w:val="100"/>
                <w:sz w:val="21"/>
              </w:rPr>
              <w:t>个月以内有一次以上</w:t>
            </w:r>
            <w:r>
              <w:rPr>
                <w:spacing w:val="-3"/>
                <w:w w:val="100"/>
                <w:sz w:val="21"/>
              </w:rPr>
              <w:t>（</w:t>
            </w:r>
            <w:r>
              <w:rPr>
                <w:spacing w:val="-2"/>
                <w:w w:val="100"/>
                <w:sz w:val="21"/>
              </w:rPr>
              <w:t>不包含一次</w:t>
            </w:r>
            <w:r>
              <w:rPr>
                <w:spacing w:val="-92"/>
                <w:w w:val="100"/>
                <w:sz w:val="21"/>
              </w:rPr>
              <w:t>）</w:t>
            </w:r>
            <w:r>
              <w:rPr>
                <w:spacing w:val="-3"/>
                <w:w w:val="100"/>
                <w:sz w:val="21"/>
              </w:rPr>
              <w:t>的发作</w:t>
            </w:r>
            <w:r>
              <w:rPr>
                <w:spacing w:val="-92"/>
                <w:w w:val="100"/>
                <w:sz w:val="21"/>
              </w:rPr>
              <w:t>）</w:t>
            </w:r>
            <w:r>
              <w:rPr>
                <w:spacing w:val="-18"/>
                <w:w w:val="100"/>
                <w:sz w:val="21"/>
              </w:rPr>
              <w:t>的病变，须由计算机断层扫描</w:t>
            </w:r>
            <w:r>
              <w:rPr>
                <w:w w:val="100"/>
                <w:sz w:val="21"/>
              </w:rPr>
              <w:t>（</w:t>
            </w:r>
            <w:r>
              <w:rPr>
                <w:spacing w:val="-3"/>
                <w:w w:val="100"/>
                <w:sz w:val="21"/>
              </w:rPr>
              <w:t>C</w:t>
            </w:r>
            <w:r>
              <w:rPr>
                <w:w w:val="100"/>
                <w:sz w:val="21"/>
              </w:rPr>
              <w:t>T</w:t>
            </w:r>
            <w:r>
              <w:rPr>
                <w:spacing w:val="-106"/>
                <w:w w:val="100"/>
                <w:sz w:val="21"/>
              </w:rPr>
              <w:t>）、</w:t>
            </w:r>
            <w:r>
              <w:rPr>
                <w:spacing w:val="-3"/>
                <w:sz w:val="21"/>
              </w:rPr>
              <w:t>核磁共振检查（MRI）</w:t>
            </w:r>
            <w:r>
              <w:rPr>
                <w:spacing w:val="-4"/>
                <w:sz w:val="21"/>
              </w:rPr>
              <w:t>或正电子发射断层扫描（PET）等影像学检查证实，且已经造</w:t>
            </w:r>
            <w:r>
              <w:rPr>
                <w:spacing w:val="-6"/>
                <w:sz w:val="21"/>
              </w:rPr>
              <w:t>成自主生活能力完全丧失，无法独立完成六项基本日常生活活动中的三项或三项以</w:t>
            </w:r>
            <w:r>
              <w:rPr>
                <w:spacing w:val="-11"/>
                <w:sz w:val="21"/>
              </w:rPr>
              <w:t>上，持续至少 </w:t>
            </w:r>
            <w:r>
              <w:rPr>
                <w:sz w:val="21"/>
              </w:rPr>
              <w:t>180</w:t>
            </w:r>
            <w:r>
              <w:rPr>
                <w:spacing w:val="-19"/>
                <w:sz w:val="21"/>
              </w:rPr>
              <w:t> 天。</w:t>
            </w:r>
          </w:p>
        </w:tc>
      </w:tr>
      <w:tr>
        <w:trPr>
          <w:trHeight w:val="1404" w:hRule="atLeast"/>
        </w:trPr>
        <w:tc>
          <w:tcPr>
            <w:tcW w:w="1515" w:type="dxa"/>
          </w:tcPr>
          <w:p>
            <w:pPr>
              <w:pStyle w:val="TableParagraph"/>
              <w:spacing w:line="273" w:lineRule="auto" w:before="58"/>
              <w:ind w:left="200" w:right="101"/>
              <w:rPr>
                <w:b/>
                <w:sz w:val="21"/>
              </w:rPr>
            </w:pPr>
            <w:r>
              <w:rPr>
                <w:b/>
                <w:sz w:val="21"/>
              </w:rPr>
              <w:t>27.终末期肺病</w:t>
            </w:r>
          </w:p>
        </w:tc>
        <w:tc>
          <w:tcPr>
            <w:tcW w:w="7936" w:type="dxa"/>
          </w:tcPr>
          <w:p>
            <w:pPr>
              <w:pStyle w:val="TableParagraph"/>
              <w:spacing w:before="58"/>
              <w:ind w:left="103"/>
              <w:rPr>
                <w:sz w:val="21"/>
              </w:rPr>
            </w:pPr>
            <w:r>
              <w:rPr>
                <w:sz w:val="21"/>
              </w:rPr>
              <w:t>被保险人患有终末期肺病而出现慢性呼吸功能衰竭，须满足下列全部条件：</w:t>
            </w:r>
          </w:p>
          <w:p>
            <w:pPr>
              <w:pStyle w:val="TableParagraph"/>
              <w:numPr>
                <w:ilvl w:val="0"/>
                <w:numId w:val="44"/>
              </w:numPr>
              <w:tabs>
                <w:tab w:pos="840" w:val="left" w:leader="none"/>
                <w:tab w:pos="841" w:val="left" w:leader="none"/>
              </w:tabs>
              <w:spacing w:line="240" w:lineRule="auto" w:before="36" w:after="0"/>
              <w:ind w:left="840"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44"/>
              </w:numPr>
              <w:tabs>
                <w:tab w:pos="840" w:val="left" w:leader="none"/>
                <w:tab w:pos="841" w:val="left" w:leader="none"/>
              </w:tabs>
              <w:spacing w:line="240" w:lineRule="auto" w:before="36" w:after="0"/>
              <w:ind w:left="840" w:right="0" w:hanging="737"/>
              <w:jc w:val="left"/>
              <w:rPr>
                <w:sz w:val="21"/>
              </w:rPr>
            </w:pPr>
            <w:r>
              <w:rPr>
                <w:spacing w:val="-3"/>
                <w:sz w:val="21"/>
              </w:rPr>
              <w:t>病人缺氧必须广泛而持续地进行输氧治疗；</w:t>
            </w:r>
          </w:p>
          <w:p>
            <w:pPr>
              <w:pStyle w:val="TableParagraph"/>
              <w:numPr>
                <w:ilvl w:val="0"/>
                <w:numId w:val="44"/>
              </w:numPr>
              <w:tabs>
                <w:tab w:pos="840" w:val="left" w:leader="none"/>
                <w:tab w:pos="841" w:val="left" w:leader="none"/>
              </w:tabs>
              <w:spacing w:line="240" w:lineRule="auto" w:before="36" w:after="0"/>
              <w:ind w:left="840" w:right="0" w:hanging="737"/>
              <w:jc w:val="left"/>
              <w:rPr>
                <w:sz w:val="21"/>
              </w:rPr>
            </w:pPr>
            <w:r>
              <w:rPr>
                <w:spacing w:val="-7"/>
                <w:sz w:val="21"/>
              </w:rPr>
              <w:t>动脉血气分析氧分压低于 </w:t>
            </w:r>
            <w:r>
              <w:rPr>
                <w:sz w:val="21"/>
              </w:rPr>
              <w:t>55mmHg。</w:t>
            </w:r>
          </w:p>
        </w:tc>
      </w:tr>
      <w:tr>
        <w:trPr>
          <w:trHeight w:val="787" w:hRule="atLeast"/>
        </w:trPr>
        <w:tc>
          <w:tcPr>
            <w:tcW w:w="1515" w:type="dxa"/>
          </w:tcPr>
          <w:p>
            <w:pPr>
              <w:pStyle w:val="TableParagraph"/>
              <w:spacing w:before="58"/>
              <w:ind w:left="200"/>
              <w:rPr>
                <w:b/>
                <w:sz w:val="21"/>
              </w:rPr>
            </w:pPr>
            <w:r>
              <w:rPr>
                <w:b/>
                <w:sz w:val="21"/>
              </w:rPr>
              <w:t>28.颅脑手术</w:t>
            </w:r>
          </w:p>
        </w:tc>
        <w:tc>
          <w:tcPr>
            <w:tcW w:w="7936" w:type="dxa"/>
          </w:tcPr>
          <w:p>
            <w:pPr>
              <w:pStyle w:val="TableParagraph"/>
              <w:spacing w:before="58"/>
              <w:ind w:left="103"/>
              <w:rPr>
                <w:sz w:val="21"/>
              </w:rPr>
            </w:pPr>
            <w:r>
              <w:rPr>
                <w:spacing w:val="-6"/>
                <w:sz w:val="21"/>
              </w:rPr>
              <w:t>被保险人确已实施全麻下的开颅手术</w:t>
            </w:r>
            <w:r>
              <w:rPr>
                <w:sz w:val="21"/>
              </w:rPr>
              <w:t>（</w:t>
            </w:r>
            <w:r>
              <w:rPr>
                <w:spacing w:val="-3"/>
                <w:sz w:val="21"/>
              </w:rPr>
              <w:t>不包括颅骨钻孔手术和经鼻蝶窦入颅手术</w:t>
            </w:r>
            <w:r>
              <w:rPr>
                <w:spacing w:val="-108"/>
                <w:sz w:val="21"/>
              </w:rPr>
              <w:t>）</w:t>
            </w:r>
            <w:r>
              <w:rPr>
                <w:sz w:val="21"/>
              </w:rPr>
              <w:t>。</w:t>
            </w:r>
          </w:p>
          <w:p>
            <w:pPr>
              <w:pStyle w:val="TableParagraph"/>
              <w:spacing w:before="36"/>
              <w:ind w:left="103"/>
              <w:rPr>
                <w:rFonts w:ascii="黑体" w:eastAsia="黑体" w:hint="eastAsia"/>
                <w:sz w:val="21"/>
              </w:rPr>
            </w:pPr>
            <w:r>
              <w:rPr>
                <w:rFonts w:ascii="黑体" w:eastAsia="黑体" w:hint="eastAsia"/>
                <w:sz w:val="21"/>
              </w:rPr>
              <w:t>因外伤而实施的脑外科手术不在保障范围之内。</w:t>
            </w:r>
          </w:p>
        </w:tc>
      </w:tr>
      <w:tr>
        <w:trPr>
          <w:trHeight w:val="2390" w:hRule="atLeast"/>
        </w:trPr>
        <w:tc>
          <w:tcPr>
            <w:tcW w:w="1515" w:type="dxa"/>
          </w:tcPr>
          <w:p>
            <w:pPr>
              <w:pStyle w:val="TableParagraph"/>
              <w:spacing w:line="273" w:lineRule="auto" w:before="66"/>
              <w:ind w:left="200" w:right="38"/>
              <w:rPr>
                <w:b/>
                <w:sz w:val="21"/>
              </w:rPr>
            </w:pPr>
            <w:r>
              <w:rPr>
                <w:b/>
                <w:sz w:val="21"/>
              </w:rPr>
              <w:t>29. 严重I 型糖尿病</w:t>
            </w:r>
          </w:p>
        </w:tc>
        <w:tc>
          <w:tcPr>
            <w:tcW w:w="7936" w:type="dxa"/>
          </w:tcPr>
          <w:p>
            <w:pPr>
              <w:pStyle w:val="TableParagraph"/>
              <w:spacing w:line="273" w:lineRule="auto" w:before="66"/>
              <w:ind w:left="103" w:right="264"/>
              <w:jc w:val="both"/>
              <w:rPr>
                <w:sz w:val="21"/>
              </w:rPr>
            </w:pPr>
            <w:r>
              <w:rPr>
                <w:spacing w:val="-6"/>
                <w:sz w:val="21"/>
              </w:rPr>
              <w:t>指因严重的胰岛素缺乏导致的一组糖、脂肪、蛋白质代谢异常综合症，且须依赖外</w:t>
            </w:r>
            <w:r>
              <w:rPr>
                <w:spacing w:val="-8"/>
                <w:sz w:val="21"/>
              </w:rPr>
              <w:t>源性胰岛素进行机体的葡萄糖代谢和维持生命。本病须经血胰岛素测定、血 </w:t>
            </w:r>
            <w:r>
              <w:rPr>
                <w:sz w:val="21"/>
              </w:rPr>
              <w:t>C</w:t>
            </w:r>
            <w:r>
              <w:rPr>
                <w:spacing w:val="-14"/>
                <w:sz w:val="21"/>
              </w:rPr>
              <w:t> 肽测</w:t>
            </w:r>
            <w:r>
              <w:rPr>
                <w:spacing w:val="-16"/>
                <w:sz w:val="21"/>
              </w:rPr>
              <w:t>定或尿 </w:t>
            </w:r>
            <w:r>
              <w:rPr>
                <w:sz w:val="21"/>
              </w:rPr>
              <w:t>C</w:t>
            </w:r>
            <w:r>
              <w:rPr>
                <w:spacing w:val="-10"/>
                <w:sz w:val="21"/>
              </w:rPr>
              <w:t> 肽测定检查证实，且被保险人已经接受了持续的胰岛素治疗 </w:t>
            </w:r>
            <w:r>
              <w:rPr>
                <w:sz w:val="21"/>
              </w:rPr>
              <w:t>180</w:t>
            </w:r>
            <w:r>
              <w:rPr>
                <w:spacing w:val="-11"/>
                <w:sz w:val="21"/>
              </w:rPr>
              <w:t> 天以上， </w:t>
            </w:r>
            <w:r>
              <w:rPr>
                <w:spacing w:val="-6"/>
                <w:sz w:val="21"/>
              </w:rPr>
              <w:t>并须满足下列至少一项条件：</w:t>
            </w:r>
          </w:p>
          <w:p>
            <w:pPr>
              <w:pStyle w:val="TableParagraph"/>
              <w:numPr>
                <w:ilvl w:val="0"/>
                <w:numId w:val="45"/>
              </w:numPr>
              <w:tabs>
                <w:tab w:pos="524" w:val="left" w:leader="none"/>
              </w:tabs>
              <w:spacing w:line="240" w:lineRule="auto" w:before="7" w:after="0"/>
              <w:ind w:left="523" w:right="0" w:hanging="420"/>
              <w:jc w:val="both"/>
              <w:rPr>
                <w:sz w:val="21"/>
              </w:rPr>
            </w:pPr>
            <w:r>
              <w:rPr>
                <w:spacing w:val="-3"/>
                <w:sz w:val="21"/>
              </w:rPr>
              <w:t>并发增殖性视网膜病变；</w:t>
            </w:r>
          </w:p>
          <w:p>
            <w:pPr>
              <w:pStyle w:val="TableParagraph"/>
              <w:numPr>
                <w:ilvl w:val="0"/>
                <w:numId w:val="45"/>
              </w:numPr>
              <w:tabs>
                <w:tab w:pos="524" w:val="left" w:leader="none"/>
              </w:tabs>
              <w:spacing w:line="240" w:lineRule="auto" w:before="36" w:after="0"/>
              <w:ind w:left="523" w:right="0" w:hanging="420"/>
              <w:jc w:val="both"/>
              <w:rPr>
                <w:sz w:val="21"/>
              </w:rPr>
            </w:pPr>
            <w:r>
              <w:rPr>
                <w:spacing w:val="-3"/>
                <w:sz w:val="21"/>
              </w:rPr>
              <w:t>并发心脏病变，并须植入心脏起搏器进行治疗；</w:t>
            </w:r>
          </w:p>
          <w:p>
            <w:pPr>
              <w:pStyle w:val="TableParagraph"/>
              <w:numPr>
                <w:ilvl w:val="0"/>
                <w:numId w:val="45"/>
              </w:numPr>
              <w:tabs>
                <w:tab w:pos="524" w:val="left" w:leader="none"/>
              </w:tabs>
              <w:spacing w:line="240" w:lineRule="auto" w:before="36" w:after="0"/>
              <w:ind w:left="523" w:right="0" w:hanging="420"/>
              <w:jc w:val="both"/>
              <w:rPr>
                <w:sz w:val="21"/>
              </w:rPr>
            </w:pPr>
            <w:r>
              <w:rPr>
                <w:spacing w:val="-3"/>
                <w:sz w:val="21"/>
              </w:rPr>
              <w:t>至少一个脚趾发生坏疽并已实施手术切除。</w:t>
            </w:r>
          </w:p>
        </w:tc>
      </w:tr>
      <w:tr>
        <w:trPr>
          <w:trHeight w:val="2255" w:hRule="atLeast"/>
        </w:trPr>
        <w:tc>
          <w:tcPr>
            <w:tcW w:w="1515" w:type="dxa"/>
          </w:tcPr>
          <w:p>
            <w:pPr>
              <w:pStyle w:val="TableParagraph"/>
              <w:spacing w:line="273" w:lineRule="auto" w:before="102"/>
              <w:ind w:left="200" w:right="151"/>
              <w:rPr>
                <w:b/>
                <w:sz w:val="21"/>
              </w:rPr>
            </w:pPr>
            <w:r>
              <w:rPr>
                <w:b/>
                <w:sz w:val="21"/>
              </w:rPr>
              <w:t>30.严重类风湿性关节炎</w:t>
            </w:r>
          </w:p>
        </w:tc>
        <w:tc>
          <w:tcPr>
            <w:tcW w:w="7936" w:type="dxa"/>
          </w:tcPr>
          <w:p>
            <w:pPr>
              <w:pStyle w:val="TableParagraph"/>
              <w:spacing w:line="273" w:lineRule="auto" w:before="102"/>
              <w:ind w:left="103" w:right="300"/>
              <w:rPr>
                <w:sz w:val="21"/>
              </w:rPr>
            </w:pPr>
            <w:r>
              <w:rPr>
                <w:spacing w:val="-6"/>
                <w:sz w:val="21"/>
              </w:rPr>
              <w:t>指广泛分布的慢性进行性多关节病变，表现为关节严重变形，侵犯至少三个主要关</w:t>
            </w:r>
            <w:r>
              <w:rPr>
                <w:spacing w:val="-5"/>
                <w:sz w:val="21"/>
              </w:rPr>
              <w:t>节</w:t>
            </w:r>
            <w:r>
              <w:rPr>
                <w:sz w:val="21"/>
              </w:rPr>
              <w:t>（</w:t>
            </w:r>
            <w:r>
              <w:rPr>
                <w:spacing w:val="-8"/>
                <w:sz w:val="21"/>
              </w:rPr>
              <w:t>腕关节、肘关节、肩关节、踝关节、膝关节、髋关节</w:t>
            </w:r>
            <w:r>
              <w:rPr>
                <w:spacing w:val="-5"/>
                <w:sz w:val="21"/>
              </w:rPr>
              <w:t>）</w:t>
            </w:r>
            <w:r>
              <w:rPr>
                <w:spacing w:val="-4"/>
                <w:sz w:val="21"/>
              </w:rPr>
              <w:t>或关节组</w:t>
            </w:r>
            <w:r>
              <w:rPr>
                <w:spacing w:val="-3"/>
                <w:sz w:val="21"/>
              </w:rPr>
              <w:t>（</w:t>
            </w:r>
            <w:r>
              <w:rPr>
                <w:spacing w:val="-2"/>
                <w:sz w:val="21"/>
              </w:rPr>
              <w:t>如手的多个</w:t>
            </w:r>
            <w:r>
              <w:rPr>
                <w:spacing w:val="-3"/>
                <w:w w:val="100"/>
                <w:sz w:val="21"/>
              </w:rPr>
              <w:t>指间、掌指关节，足的多个足趾、跖趾关节等</w:t>
            </w:r>
            <w:r>
              <w:rPr>
                <w:spacing w:val="-106"/>
                <w:w w:val="100"/>
                <w:sz w:val="21"/>
              </w:rPr>
              <w:t>）</w:t>
            </w:r>
            <w:r>
              <w:rPr>
                <w:spacing w:val="-3"/>
                <w:w w:val="100"/>
                <w:sz w:val="21"/>
              </w:rPr>
              <w:t>，并已达到类风湿性关节炎功能分</w:t>
            </w:r>
            <w:r>
              <w:rPr>
                <w:spacing w:val="-23"/>
                <w:sz w:val="21"/>
              </w:rPr>
              <w:t>类 </w:t>
            </w:r>
            <w:r>
              <w:rPr>
                <w:sz w:val="21"/>
              </w:rPr>
              <w:t>IV</w:t>
            </w:r>
            <w:r>
              <w:rPr>
                <w:spacing w:val="-3"/>
                <w:sz w:val="21"/>
              </w:rPr>
              <w:t> 级的永久不可逆性关节功能障碍，且须满足下列全部条件：</w:t>
            </w:r>
          </w:p>
          <w:p>
            <w:pPr>
              <w:pStyle w:val="TableParagraph"/>
              <w:spacing w:before="8"/>
              <w:ind w:left="103"/>
              <w:rPr>
                <w:sz w:val="21"/>
              </w:rPr>
            </w:pPr>
            <w:r>
              <w:rPr>
                <w:sz w:val="21"/>
              </w:rPr>
              <w:t>晨僵；</w:t>
            </w:r>
          </w:p>
          <w:p>
            <w:pPr>
              <w:pStyle w:val="TableParagraph"/>
              <w:spacing w:before="37"/>
              <w:ind w:left="103"/>
              <w:rPr>
                <w:sz w:val="21"/>
              </w:rPr>
            </w:pPr>
            <w:r>
              <w:rPr>
                <w:sz w:val="21"/>
              </w:rPr>
              <w:t>（1）对称性关节炎；</w:t>
            </w:r>
          </w:p>
          <w:p>
            <w:pPr>
              <w:pStyle w:val="TableParagraph"/>
              <w:spacing w:line="261" w:lineRule="exact" w:before="37"/>
              <w:ind w:left="103"/>
              <w:rPr>
                <w:sz w:val="21"/>
              </w:rPr>
            </w:pPr>
            <w:r>
              <w:rPr>
                <w:sz w:val="21"/>
              </w:rPr>
              <w:t>（2）类风湿性皮下结节；</w:t>
            </w:r>
          </w:p>
        </w:tc>
      </w:tr>
    </w:tbl>
    <w:p>
      <w:pPr>
        <w:spacing w:after="0" w:line="261" w:lineRule="exact"/>
        <w:rPr>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939"/>
      </w:tblGrid>
      <w:tr>
        <w:trPr>
          <w:trHeight w:val="651" w:hRule="atLeast"/>
        </w:trPr>
        <w:tc>
          <w:tcPr>
            <w:tcW w:w="1515" w:type="dxa"/>
          </w:tcPr>
          <w:p>
            <w:pPr>
              <w:pStyle w:val="TableParagraph"/>
              <w:ind w:left="0"/>
              <w:rPr>
                <w:rFonts w:ascii="Times New Roman"/>
                <w:sz w:val="20"/>
              </w:rPr>
            </w:pPr>
          </w:p>
        </w:tc>
        <w:tc>
          <w:tcPr>
            <w:tcW w:w="7939" w:type="dxa"/>
          </w:tcPr>
          <w:p>
            <w:pPr>
              <w:pStyle w:val="TableParagraph"/>
              <w:spacing w:line="205" w:lineRule="exact"/>
              <w:ind w:left="103"/>
              <w:rPr>
                <w:sz w:val="21"/>
              </w:rPr>
            </w:pPr>
            <w:r>
              <w:rPr>
                <w:sz w:val="21"/>
              </w:rPr>
              <w:t>（3）类风湿因子滴度升高；</w:t>
            </w:r>
          </w:p>
          <w:p>
            <w:pPr>
              <w:pStyle w:val="TableParagraph"/>
              <w:spacing w:before="37"/>
              <w:ind w:left="103"/>
              <w:rPr>
                <w:sz w:val="21"/>
              </w:rPr>
            </w:pPr>
            <w:r>
              <w:rPr>
                <w:sz w:val="21"/>
              </w:rPr>
              <w:t>（4）X 线显示严重的关节（软骨和骨）破坏和关节畸形。</w:t>
            </w:r>
          </w:p>
        </w:tc>
      </w:tr>
      <w:tr>
        <w:trPr>
          <w:trHeight w:val="1092" w:hRule="atLeast"/>
        </w:trPr>
        <w:tc>
          <w:tcPr>
            <w:tcW w:w="1515" w:type="dxa"/>
          </w:tcPr>
          <w:p>
            <w:pPr>
              <w:pStyle w:val="TableParagraph"/>
              <w:spacing w:line="273" w:lineRule="auto" w:before="58"/>
              <w:ind w:left="200" w:right="151"/>
              <w:rPr>
                <w:b/>
                <w:sz w:val="21"/>
              </w:rPr>
            </w:pPr>
            <w:r>
              <w:rPr>
                <w:b/>
                <w:sz w:val="21"/>
              </w:rPr>
              <w:t>31.急性出血坏死性胰腺炎开腹手术</w:t>
            </w:r>
          </w:p>
        </w:tc>
        <w:tc>
          <w:tcPr>
            <w:tcW w:w="7939" w:type="dxa"/>
          </w:tcPr>
          <w:p>
            <w:pPr>
              <w:pStyle w:val="TableParagraph"/>
              <w:spacing w:line="273" w:lineRule="auto" w:before="58"/>
              <w:ind w:left="103" w:right="262"/>
              <w:rPr>
                <w:sz w:val="21"/>
              </w:rPr>
            </w:pPr>
            <w:r>
              <w:rPr>
                <w:sz w:val="21"/>
              </w:rPr>
              <w:t>指被保险人因为急性出血坏死性胰腺炎已经接受了外科开腹手术治疗，以进行坏死组织清除、坏死病灶切除或胰腺切除。</w:t>
            </w:r>
          </w:p>
          <w:p>
            <w:pPr>
              <w:pStyle w:val="TableParagraph"/>
              <w:spacing w:before="7"/>
              <w:ind w:left="103"/>
              <w:rPr>
                <w:rFonts w:ascii="黑体" w:eastAsia="黑体" w:hint="eastAsia"/>
                <w:sz w:val="21"/>
              </w:rPr>
            </w:pPr>
            <w:r>
              <w:rPr>
                <w:rFonts w:ascii="黑体" w:eastAsia="黑体" w:hint="eastAsia"/>
                <w:sz w:val="21"/>
              </w:rPr>
              <w:t>因饮酒所致的急性出血坏死性胰腺炎或经腹腔镜手术进行的治疗不在保障范围内。</w:t>
            </w:r>
          </w:p>
        </w:tc>
      </w:tr>
      <w:tr>
        <w:trPr>
          <w:trHeight w:val="1033" w:hRule="atLeast"/>
        </w:trPr>
        <w:tc>
          <w:tcPr>
            <w:tcW w:w="1515" w:type="dxa"/>
          </w:tcPr>
          <w:p>
            <w:pPr>
              <w:pStyle w:val="TableParagraph"/>
              <w:spacing w:line="273" w:lineRule="auto" w:before="58"/>
              <w:ind w:left="200" w:right="108"/>
              <w:jc w:val="both"/>
              <w:rPr>
                <w:b/>
                <w:sz w:val="21"/>
              </w:rPr>
            </w:pPr>
            <w:r>
              <w:rPr>
                <w:b/>
                <w:sz w:val="21"/>
              </w:rPr>
              <w:t>32.侵蚀性葡</w:t>
            </w:r>
            <w:r>
              <w:rPr>
                <w:b/>
                <w:spacing w:val="-32"/>
                <w:sz w:val="21"/>
              </w:rPr>
              <w:t>萄胎</w:t>
            </w:r>
            <w:r>
              <w:rPr>
                <w:b/>
                <w:sz w:val="21"/>
              </w:rPr>
              <w:t>（或称恶性葡萄胎）</w:t>
            </w:r>
          </w:p>
        </w:tc>
        <w:tc>
          <w:tcPr>
            <w:tcW w:w="7939" w:type="dxa"/>
          </w:tcPr>
          <w:p>
            <w:pPr>
              <w:pStyle w:val="TableParagraph"/>
              <w:spacing w:line="273" w:lineRule="auto" w:before="58"/>
              <w:ind w:left="103" w:right="476"/>
              <w:rPr>
                <w:sz w:val="21"/>
              </w:rPr>
            </w:pPr>
            <w:r>
              <w:rPr>
                <w:sz w:val="21"/>
              </w:rPr>
              <w:t>指异常增生的绒毛组织浸润性生长浸入子宫肌层或转移至其他器官或组织的葡萄胎，并已经进行化疗或手术治疗的。</w:t>
            </w:r>
          </w:p>
        </w:tc>
      </w:tr>
      <w:tr>
        <w:trPr>
          <w:trHeight w:val="2908" w:hRule="atLeast"/>
        </w:trPr>
        <w:tc>
          <w:tcPr>
            <w:tcW w:w="1515" w:type="dxa"/>
          </w:tcPr>
          <w:p>
            <w:pPr>
              <w:pStyle w:val="TableParagraph"/>
              <w:spacing w:line="273" w:lineRule="auto"/>
              <w:ind w:left="200" w:right="101"/>
              <w:jc w:val="both"/>
              <w:rPr>
                <w:b/>
                <w:sz w:val="21"/>
              </w:rPr>
            </w:pPr>
            <w:r>
              <w:rPr>
                <w:b/>
                <w:sz w:val="21"/>
              </w:rPr>
              <w:t>33.经输血导致 的感染艾滋 病病毒或者患艾滋病</w:t>
            </w:r>
          </w:p>
        </w:tc>
        <w:tc>
          <w:tcPr>
            <w:tcW w:w="7939" w:type="dxa"/>
          </w:tcPr>
          <w:p>
            <w:pPr>
              <w:pStyle w:val="TableParagraph"/>
              <w:ind w:left="103"/>
              <w:rPr>
                <w:sz w:val="21"/>
              </w:rPr>
            </w:pPr>
            <w:r>
              <w:rPr>
                <w:sz w:val="21"/>
              </w:rPr>
              <w:t>指被保险人感染艾滋病病毒或者患艾滋病且须满足下列全部条件：</w:t>
            </w:r>
          </w:p>
          <w:p>
            <w:pPr>
              <w:pStyle w:val="TableParagraph"/>
              <w:spacing w:before="37"/>
              <w:ind w:left="103"/>
              <w:rPr>
                <w:sz w:val="21"/>
              </w:rPr>
            </w:pPr>
            <w:r>
              <w:rPr>
                <w:sz w:val="21"/>
              </w:rPr>
              <w:t>（1）因输血而感染；</w:t>
            </w:r>
          </w:p>
          <w:p>
            <w:pPr>
              <w:pStyle w:val="TableParagraph"/>
              <w:spacing w:line="273" w:lineRule="auto" w:before="37"/>
              <w:ind w:left="629" w:right="144" w:hanging="527"/>
              <w:rPr>
                <w:sz w:val="21"/>
              </w:rPr>
            </w:pPr>
            <w:r>
              <w:rPr>
                <w:sz w:val="21"/>
              </w:rPr>
              <w:t>（2）提供输血治疗的输血中心或医院出具的该项输血感染属医疗责任事故的报告， 或法院终审判决为医疗责任；</w:t>
            </w:r>
          </w:p>
          <w:p>
            <w:pPr>
              <w:pStyle w:val="TableParagraph"/>
              <w:spacing w:before="7"/>
              <w:ind w:left="103"/>
              <w:rPr>
                <w:sz w:val="21"/>
              </w:rPr>
            </w:pPr>
            <w:r>
              <w:rPr>
                <w:sz w:val="21"/>
              </w:rPr>
              <w:t>（3）受感染的被保险人不是血友病患者。</w:t>
            </w:r>
          </w:p>
          <w:p>
            <w:pPr>
              <w:pStyle w:val="TableParagraph"/>
              <w:spacing w:line="273" w:lineRule="auto" w:before="37"/>
              <w:ind w:left="103" w:right="475"/>
              <w:rPr>
                <w:rFonts w:ascii="黑体" w:eastAsia="黑体" w:hint="eastAsia"/>
                <w:sz w:val="21"/>
              </w:rPr>
            </w:pPr>
            <w:r>
              <w:rPr>
                <w:rFonts w:ascii="黑体" w:eastAsia="黑体" w:hint="eastAsia"/>
                <w:sz w:val="21"/>
              </w:rPr>
              <w:t>本公司具有获得和使用被保险人的所有血液样本的权利以及能够对这些样本进行独立检验的权利。</w:t>
            </w:r>
          </w:p>
          <w:p>
            <w:pPr>
              <w:pStyle w:val="TableParagraph"/>
              <w:spacing w:line="273" w:lineRule="auto" w:before="8"/>
              <w:ind w:left="103" w:right="251"/>
              <w:rPr>
                <w:rFonts w:ascii="黑体" w:eastAsia="黑体" w:hint="eastAsia"/>
                <w:sz w:val="21"/>
              </w:rPr>
            </w:pPr>
            <w:r>
              <w:rPr>
                <w:rFonts w:ascii="黑体" w:eastAsia="黑体" w:hint="eastAsia"/>
                <w:sz w:val="21"/>
              </w:rPr>
              <w:t>任何因其他传播方式（包括：性传播或静脉注射毒品）导致感染艾滋病病毒或者患艾滋病不在保障范围内。</w:t>
            </w:r>
          </w:p>
        </w:tc>
      </w:tr>
      <w:tr>
        <w:trPr>
          <w:trHeight w:val="5438" w:hRule="atLeast"/>
        </w:trPr>
        <w:tc>
          <w:tcPr>
            <w:tcW w:w="1515" w:type="dxa"/>
          </w:tcPr>
          <w:p>
            <w:pPr>
              <w:pStyle w:val="TableParagraph"/>
              <w:spacing w:line="273" w:lineRule="auto" w:before="61"/>
              <w:ind w:left="200" w:right="101"/>
              <w:jc w:val="both"/>
              <w:rPr>
                <w:b/>
                <w:sz w:val="21"/>
              </w:rPr>
            </w:pPr>
            <w:r>
              <w:rPr>
                <w:b/>
                <w:sz w:val="21"/>
              </w:rPr>
              <w:t>34.系统性红斑 狼疮并发重 度的肾功能损害</w:t>
            </w:r>
          </w:p>
        </w:tc>
        <w:tc>
          <w:tcPr>
            <w:tcW w:w="7939" w:type="dxa"/>
          </w:tcPr>
          <w:p>
            <w:pPr>
              <w:pStyle w:val="TableParagraph"/>
              <w:spacing w:line="273" w:lineRule="auto" w:before="61"/>
              <w:ind w:left="103" w:right="263"/>
              <w:rPr>
                <w:sz w:val="21"/>
              </w:rPr>
            </w:pPr>
            <w:r>
              <w:rPr>
                <w:sz w:val="21"/>
              </w:rPr>
              <w:t>指系统性红斑狼疮患者并发狼疮性肾炎而影响和损害肾脏功能。须满足下列全部条件：</w:t>
            </w:r>
          </w:p>
          <w:p>
            <w:pPr>
              <w:pStyle w:val="TableParagraph"/>
              <w:spacing w:before="7"/>
              <w:ind w:left="103"/>
              <w:rPr>
                <w:sz w:val="21"/>
              </w:rPr>
            </w:pPr>
            <w:r>
              <w:rPr>
                <w:sz w:val="21"/>
              </w:rPr>
              <w:t>临床表现须具备以下至少四项条件：</w:t>
            </w:r>
          </w:p>
          <w:p>
            <w:pPr>
              <w:pStyle w:val="TableParagraph"/>
              <w:spacing w:before="37"/>
              <w:ind w:left="103"/>
              <w:rPr>
                <w:sz w:val="21"/>
              </w:rPr>
            </w:pPr>
            <w:r>
              <w:rPr>
                <w:sz w:val="21"/>
              </w:rPr>
              <w:t>① 蝶形红斑或盘形红斑；</w:t>
            </w:r>
          </w:p>
          <w:p>
            <w:pPr>
              <w:pStyle w:val="TableParagraph"/>
              <w:spacing w:before="37"/>
              <w:ind w:left="103"/>
              <w:rPr>
                <w:sz w:val="21"/>
              </w:rPr>
            </w:pPr>
            <w:r>
              <w:rPr>
                <w:sz w:val="21"/>
              </w:rPr>
              <w:t>② 光敏感；</w:t>
            </w:r>
          </w:p>
          <w:p>
            <w:pPr>
              <w:pStyle w:val="TableParagraph"/>
              <w:spacing w:before="37"/>
              <w:ind w:left="103"/>
              <w:rPr>
                <w:sz w:val="21"/>
              </w:rPr>
            </w:pPr>
            <w:r>
              <w:rPr>
                <w:sz w:val="21"/>
              </w:rPr>
              <w:t>③ 口鼻腔黏膜溃疡；</w:t>
            </w:r>
          </w:p>
          <w:p>
            <w:pPr>
              <w:pStyle w:val="TableParagraph"/>
              <w:spacing w:before="37"/>
              <w:ind w:left="103"/>
              <w:rPr>
                <w:sz w:val="21"/>
              </w:rPr>
            </w:pPr>
            <w:r>
              <w:rPr>
                <w:sz w:val="21"/>
              </w:rPr>
              <w:t>④ 非畸形性关节炎或多关节痛；</w:t>
            </w:r>
          </w:p>
          <w:p>
            <w:pPr>
              <w:pStyle w:val="TableParagraph"/>
              <w:spacing w:before="37"/>
              <w:ind w:left="103"/>
              <w:rPr>
                <w:sz w:val="21"/>
              </w:rPr>
            </w:pPr>
            <w:r>
              <w:rPr>
                <w:sz w:val="21"/>
              </w:rPr>
              <w:t>⑤ 胸膜炎或心包炎；</w:t>
            </w:r>
          </w:p>
          <w:p>
            <w:pPr>
              <w:pStyle w:val="TableParagraph"/>
              <w:spacing w:before="37"/>
              <w:ind w:left="103"/>
              <w:rPr>
                <w:sz w:val="21"/>
              </w:rPr>
            </w:pPr>
            <w:r>
              <w:rPr>
                <w:w w:val="100"/>
                <w:sz w:val="21"/>
              </w:rPr>
              <w:t>⑥</w:t>
            </w:r>
            <w:r>
              <w:rPr>
                <w:sz w:val="21"/>
              </w:rPr>
              <w:t> </w:t>
            </w:r>
            <w:r>
              <w:rPr>
                <w:spacing w:val="-3"/>
                <w:w w:val="100"/>
                <w:sz w:val="21"/>
              </w:rPr>
              <w:t>神经系统损伤（癫痫或精神症状</w:t>
            </w:r>
            <w:r>
              <w:rPr>
                <w:spacing w:val="-108"/>
                <w:w w:val="100"/>
                <w:sz w:val="21"/>
              </w:rPr>
              <w:t>）</w:t>
            </w:r>
            <w:r>
              <w:rPr>
                <w:w w:val="100"/>
                <w:sz w:val="21"/>
              </w:rPr>
              <w:t>；</w:t>
            </w:r>
          </w:p>
          <w:p>
            <w:pPr>
              <w:pStyle w:val="TableParagraph"/>
              <w:spacing w:line="273" w:lineRule="auto" w:before="37"/>
              <w:ind w:left="103" w:right="478"/>
              <w:rPr>
                <w:sz w:val="21"/>
              </w:rPr>
            </w:pPr>
            <w:r>
              <w:rPr>
                <w:spacing w:val="-1"/>
                <w:sz w:val="21"/>
              </w:rPr>
              <w:t>⑦ 血象异常</w:t>
            </w:r>
            <w:r>
              <w:rPr>
                <w:spacing w:val="-3"/>
                <w:sz w:val="21"/>
              </w:rPr>
              <w:t>（</w:t>
            </w:r>
            <w:r>
              <w:rPr>
                <w:spacing w:val="-11"/>
                <w:sz w:val="21"/>
              </w:rPr>
              <w:t>白细胞小于 </w:t>
            </w:r>
            <w:r>
              <w:rPr>
                <w:sz w:val="21"/>
              </w:rPr>
              <w:t>4000/μl</w:t>
            </w:r>
            <w:r>
              <w:rPr>
                <w:spacing w:val="-15"/>
                <w:sz w:val="21"/>
              </w:rPr>
              <w:t> 或血小板小于 </w:t>
            </w:r>
            <w:r>
              <w:rPr>
                <w:sz w:val="21"/>
              </w:rPr>
              <w:t>100000/μl</w:t>
            </w:r>
            <w:r>
              <w:rPr>
                <w:spacing w:val="-11"/>
                <w:sz w:val="21"/>
              </w:rPr>
              <w:t> 或溶血性贫血</w:t>
            </w:r>
            <w:r>
              <w:rPr>
                <w:spacing w:val="-106"/>
                <w:sz w:val="21"/>
              </w:rPr>
              <w:t>）</w:t>
            </w:r>
            <w:r>
              <w:rPr>
                <w:sz w:val="21"/>
              </w:rPr>
              <w:t>。</w:t>
            </w:r>
            <w:r>
              <w:rPr>
                <w:spacing w:val="-3"/>
                <w:sz w:val="21"/>
              </w:rPr>
              <w:t>检查结果须具备以下至少两项条件：</w:t>
            </w:r>
          </w:p>
          <w:p>
            <w:pPr>
              <w:pStyle w:val="TableParagraph"/>
              <w:spacing w:before="8"/>
              <w:ind w:left="103"/>
              <w:rPr>
                <w:sz w:val="21"/>
              </w:rPr>
            </w:pPr>
            <w:r>
              <w:rPr>
                <w:sz w:val="21"/>
              </w:rPr>
              <w:t>① 抗 dsDNA 抗体阳性；</w:t>
            </w:r>
          </w:p>
          <w:p>
            <w:pPr>
              <w:pStyle w:val="TableParagraph"/>
              <w:spacing w:before="37"/>
              <w:ind w:left="103"/>
              <w:rPr>
                <w:sz w:val="21"/>
              </w:rPr>
            </w:pPr>
            <w:r>
              <w:rPr>
                <w:sz w:val="21"/>
              </w:rPr>
              <w:t>② 抗 Sm 抗体阳性；</w:t>
            </w:r>
          </w:p>
          <w:p>
            <w:pPr>
              <w:pStyle w:val="TableParagraph"/>
              <w:spacing w:before="37"/>
              <w:ind w:left="103"/>
              <w:rPr>
                <w:sz w:val="21"/>
              </w:rPr>
            </w:pPr>
            <w:r>
              <w:rPr>
                <w:sz w:val="21"/>
              </w:rPr>
              <w:t>③ 抗核抗体阳性；</w:t>
            </w:r>
          </w:p>
          <w:p>
            <w:pPr>
              <w:pStyle w:val="TableParagraph"/>
              <w:spacing w:before="36"/>
              <w:ind w:left="103"/>
              <w:rPr>
                <w:sz w:val="21"/>
              </w:rPr>
            </w:pPr>
            <w:r>
              <w:rPr>
                <w:sz w:val="21"/>
              </w:rPr>
              <w:t>④ 皮肤狼疮带试验（非病损部位）或肾活检阳性；</w:t>
            </w:r>
          </w:p>
          <w:p>
            <w:pPr>
              <w:pStyle w:val="TableParagraph"/>
              <w:spacing w:before="36"/>
              <w:ind w:left="103"/>
              <w:rPr>
                <w:sz w:val="21"/>
              </w:rPr>
            </w:pPr>
            <w:r>
              <w:rPr>
                <w:sz w:val="21"/>
              </w:rPr>
              <w:t>⑤ C3 低于正常值。</w:t>
            </w:r>
          </w:p>
          <w:p>
            <w:pPr>
              <w:pStyle w:val="TableParagraph"/>
              <w:spacing w:before="36"/>
              <w:ind w:left="103"/>
              <w:rPr>
                <w:sz w:val="21"/>
              </w:rPr>
            </w:pPr>
            <w:r>
              <w:rPr>
                <w:sz w:val="21"/>
              </w:rPr>
              <w:t>狼疮肾炎致使肾功能减弱，内生肌酐清除率低于每分钟 30ml。</w:t>
            </w:r>
          </w:p>
        </w:tc>
      </w:tr>
      <w:tr>
        <w:trPr>
          <w:trHeight w:val="2002" w:hRule="atLeast"/>
        </w:trPr>
        <w:tc>
          <w:tcPr>
            <w:tcW w:w="1515" w:type="dxa"/>
          </w:tcPr>
          <w:p>
            <w:pPr>
              <w:pStyle w:val="TableParagraph"/>
              <w:spacing w:line="273" w:lineRule="auto" w:before="33"/>
              <w:ind w:left="200" w:right="101"/>
              <w:rPr>
                <w:b/>
                <w:sz w:val="21"/>
              </w:rPr>
            </w:pPr>
            <w:r>
              <w:rPr>
                <w:b/>
                <w:sz w:val="21"/>
              </w:rPr>
              <w:t>35.重症肌无力</w:t>
            </w:r>
          </w:p>
        </w:tc>
        <w:tc>
          <w:tcPr>
            <w:tcW w:w="7939" w:type="dxa"/>
          </w:tcPr>
          <w:p>
            <w:pPr>
              <w:pStyle w:val="TableParagraph"/>
              <w:spacing w:line="273" w:lineRule="auto" w:before="33"/>
              <w:ind w:left="103" w:right="303"/>
              <w:jc w:val="both"/>
              <w:rPr>
                <w:sz w:val="21"/>
              </w:rPr>
            </w:pPr>
            <w:r>
              <w:rPr>
                <w:spacing w:val="-5"/>
                <w:sz w:val="21"/>
              </w:rPr>
              <w:t>指一种神经与肌肉接头部位传递障碍的自身免疫性疾病，临床特征是局部或全身横</w:t>
            </w:r>
            <w:r>
              <w:rPr>
                <w:spacing w:val="-7"/>
                <w:sz w:val="21"/>
              </w:rPr>
              <w:t>纹肌于活动时易于疲劳无力，颅神经眼外肌最易累及，也可涉及呼吸肌、下肢近端</w:t>
            </w:r>
            <w:r>
              <w:rPr>
                <w:spacing w:val="-5"/>
                <w:sz w:val="21"/>
              </w:rPr>
              <w:t>肌群以至全身肌肉。且须满足下列全部条件：</w:t>
            </w:r>
          </w:p>
          <w:p>
            <w:pPr>
              <w:pStyle w:val="TableParagraph"/>
              <w:numPr>
                <w:ilvl w:val="0"/>
                <w:numId w:val="46"/>
              </w:numPr>
              <w:tabs>
                <w:tab w:pos="524" w:val="left" w:leader="none"/>
              </w:tabs>
              <w:spacing w:line="240" w:lineRule="auto" w:before="7" w:after="0"/>
              <w:ind w:left="523" w:right="0" w:hanging="420"/>
              <w:jc w:val="left"/>
              <w:rPr>
                <w:sz w:val="21"/>
              </w:rPr>
            </w:pPr>
            <w:r>
              <w:rPr>
                <w:spacing w:val="-3"/>
                <w:sz w:val="21"/>
              </w:rPr>
              <w:t>经药物、胸腺手术治疗一年以上无法控制病情；</w:t>
            </w:r>
          </w:p>
          <w:p>
            <w:pPr>
              <w:pStyle w:val="TableParagraph"/>
              <w:numPr>
                <w:ilvl w:val="0"/>
                <w:numId w:val="46"/>
              </w:numPr>
              <w:tabs>
                <w:tab w:pos="524" w:val="left" w:leader="none"/>
              </w:tabs>
              <w:spacing w:line="273" w:lineRule="auto" w:before="37" w:after="0"/>
              <w:ind w:left="523" w:right="305" w:hanging="420"/>
              <w:jc w:val="left"/>
              <w:rPr>
                <w:sz w:val="21"/>
              </w:rPr>
            </w:pPr>
            <w:r>
              <w:rPr>
                <w:spacing w:val="-7"/>
                <w:sz w:val="21"/>
              </w:rPr>
              <w:t>自主生活能力完全丧失，无法独立完成六项基本日常生活活动中的三项或三项以上。</w:t>
            </w:r>
          </w:p>
        </w:tc>
      </w:tr>
      <w:tr>
        <w:trPr>
          <w:trHeight w:val="1275" w:hRule="atLeast"/>
        </w:trPr>
        <w:tc>
          <w:tcPr>
            <w:tcW w:w="1515" w:type="dxa"/>
          </w:tcPr>
          <w:p>
            <w:pPr>
              <w:pStyle w:val="TableParagraph"/>
              <w:spacing w:line="273" w:lineRule="auto" w:before="59"/>
              <w:ind w:left="200" w:right="101"/>
              <w:rPr>
                <w:b/>
                <w:sz w:val="21"/>
              </w:rPr>
            </w:pPr>
            <w:r>
              <w:rPr>
                <w:b/>
                <w:sz w:val="21"/>
              </w:rPr>
              <w:t>36.持续植物人状态</w:t>
            </w:r>
          </w:p>
        </w:tc>
        <w:tc>
          <w:tcPr>
            <w:tcW w:w="7939" w:type="dxa"/>
          </w:tcPr>
          <w:p>
            <w:pPr>
              <w:pStyle w:val="TableParagraph"/>
              <w:spacing w:line="273" w:lineRule="auto" w:before="59"/>
              <w:ind w:left="103" w:right="303"/>
              <w:jc w:val="both"/>
              <w:rPr>
                <w:sz w:val="21"/>
              </w:rPr>
            </w:pPr>
            <w:r>
              <w:rPr>
                <w:spacing w:val="-5"/>
                <w:sz w:val="21"/>
              </w:rPr>
              <w:t>指因疾病或意外伤害导致被保险人躯体反射和自主反射全部丧失的深昏迷，但呼吸</w:t>
            </w:r>
            <w:r>
              <w:rPr>
                <w:spacing w:val="-6"/>
                <w:sz w:val="21"/>
              </w:rPr>
              <w:t>和心跳是正常的，此时完全依赖支持疗法</w:t>
            </w:r>
            <w:r>
              <w:rPr>
                <w:sz w:val="21"/>
              </w:rPr>
              <w:t>（</w:t>
            </w:r>
            <w:r>
              <w:rPr>
                <w:spacing w:val="-5"/>
                <w:sz w:val="21"/>
              </w:rPr>
              <w:t>如流质食物、静脉注射营养液等</w:t>
            </w:r>
            <w:r>
              <w:rPr>
                <w:spacing w:val="-10"/>
                <w:sz w:val="21"/>
              </w:rPr>
              <w:t>）</w:t>
            </w:r>
            <w:r>
              <w:rPr>
                <w:sz w:val="21"/>
              </w:rPr>
              <w:t>维持</w:t>
            </w:r>
            <w:r>
              <w:rPr>
                <w:spacing w:val="-3"/>
                <w:sz w:val="21"/>
              </w:rPr>
              <w:t>生命的临床状态。且须满足下列全部条件：</w:t>
            </w:r>
          </w:p>
          <w:p>
            <w:pPr>
              <w:pStyle w:val="TableParagraph"/>
              <w:spacing w:line="261" w:lineRule="exact" w:before="8"/>
              <w:ind w:left="103"/>
              <w:jc w:val="both"/>
              <w:rPr>
                <w:sz w:val="21"/>
              </w:rPr>
            </w:pPr>
            <w:r>
              <w:rPr>
                <w:sz w:val="21"/>
              </w:rPr>
              <w:t>（1）诊断为植物人状态后并继续维持治疗 30 天以上；</w:t>
            </w:r>
          </w:p>
        </w:tc>
      </w:tr>
    </w:tbl>
    <w:p>
      <w:pPr>
        <w:spacing w:after="0" w:line="261" w:lineRule="exact"/>
        <w:jc w:val="both"/>
        <w:rPr>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939"/>
      </w:tblGrid>
      <w:tr>
        <w:trPr>
          <w:trHeight w:val="339" w:hRule="atLeast"/>
        </w:trPr>
        <w:tc>
          <w:tcPr>
            <w:tcW w:w="1515" w:type="dxa"/>
          </w:tcPr>
          <w:p>
            <w:pPr>
              <w:pStyle w:val="TableParagraph"/>
              <w:ind w:left="0"/>
              <w:rPr>
                <w:rFonts w:ascii="Times New Roman"/>
                <w:sz w:val="20"/>
              </w:rPr>
            </w:pPr>
          </w:p>
        </w:tc>
        <w:tc>
          <w:tcPr>
            <w:tcW w:w="7939" w:type="dxa"/>
          </w:tcPr>
          <w:p>
            <w:pPr>
              <w:pStyle w:val="TableParagraph"/>
              <w:spacing w:line="205" w:lineRule="exact"/>
              <w:ind w:left="103"/>
              <w:rPr>
                <w:sz w:val="21"/>
              </w:rPr>
            </w:pPr>
            <w:r>
              <w:rPr>
                <w:sz w:val="21"/>
              </w:rPr>
              <w:t>（2）</w:t>
            </w:r>
            <w:r>
              <w:rPr>
                <w:spacing w:val="-14"/>
                <w:sz w:val="21"/>
              </w:rPr>
              <w:t>治疗 </w:t>
            </w:r>
            <w:r>
              <w:rPr>
                <w:sz w:val="21"/>
              </w:rPr>
              <w:t>30</w:t>
            </w:r>
            <w:r>
              <w:rPr>
                <w:spacing w:val="-7"/>
                <w:sz w:val="21"/>
              </w:rPr>
              <w:t> 天前后的脑电图检查均为等电位</w:t>
            </w:r>
            <w:r>
              <w:rPr>
                <w:sz w:val="21"/>
              </w:rPr>
              <w:t>（</w:t>
            </w:r>
            <w:r>
              <w:rPr>
                <w:spacing w:val="-3"/>
                <w:sz w:val="21"/>
              </w:rPr>
              <w:t>完全平坦</w:t>
            </w:r>
            <w:r>
              <w:rPr>
                <w:spacing w:val="-106"/>
                <w:sz w:val="21"/>
              </w:rPr>
              <w:t>）</w:t>
            </w:r>
            <w:r>
              <w:rPr>
                <w:sz w:val="21"/>
              </w:rPr>
              <w:t>。</w:t>
            </w:r>
          </w:p>
        </w:tc>
      </w:tr>
      <w:tr>
        <w:trPr>
          <w:trHeight w:val="1092" w:hRule="atLeast"/>
        </w:trPr>
        <w:tc>
          <w:tcPr>
            <w:tcW w:w="1515" w:type="dxa"/>
          </w:tcPr>
          <w:p>
            <w:pPr>
              <w:pStyle w:val="TableParagraph"/>
              <w:spacing w:line="273" w:lineRule="auto" w:before="58"/>
              <w:ind w:left="200" w:right="101"/>
              <w:jc w:val="both"/>
              <w:rPr>
                <w:b/>
                <w:sz w:val="21"/>
              </w:rPr>
            </w:pPr>
            <w:r>
              <w:rPr>
                <w:b/>
                <w:sz w:val="21"/>
              </w:rPr>
              <w:t>37.糖尿病导致 的双脚截除</w:t>
            </w:r>
          </w:p>
        </w:tc>
        <w:tc>
          <w:tcPr>
            <w:tcW w:w="7939" w:type="dxa"/>
          </w:tcPr>
          <w:p>
            <w:pPr>
              <w:pStyle w:val="TableParagraph"/>
              <w:spacing w:line="273" w:lineRule="auto" w:before="58"/>
              <w:ind w:left="103" w:right="267"/>
              <w:jc w:val="both"/>
              <w:rPr>
                <w:rFonts w:ascii="黑体" w:eastAsia="黑体" w:hint="eastAsia"/>
                <w:sz w:val="21"/>
              </w:rPr>
            </w:pPr>
            <w:r>
              <w:rPr>
                <w:sz w:val="21"/>
              </w:rPr>
              <w:t>因糖尿病引起的神经及血管病变而经本公司认可的医院的内分泌科专科医生建议， 由足踝或以上位置截除双脚是维持生命的唯一方法。</w:t>
            </w:r>
            <w:r>
              <w:rPr>
                <w:rFonts w:ascii="黑体" w:eastAsia="黑体" w:hint="eastAsia"/>
                <w:sz w:val="21"/>
              </w:rPr>
              <w:t>切除一只或多只脚趾或因任何其他原因引起的截除术并不在保障范围内。</w:t>
            </w:r>
          </w:p>
        </w:tc>
      </w:tr>
      <w:tr>
        <w:trPr>
          <w:trHeight w:val="1083" w:hRule="atLeast"/>
        </w:trPr>
        <w:tc>
          <w:tcPr>
            <w:tcW w:w="1515" w:type="dxa"/>
          </w:tcPr>
          <w:p>
            <w:pPr>
              <w:pStyle w:val="TableParagraph"/>
              <w:spacing w:line="273" w:lineRule="auto" w:before="58"/>
              <w:ind w:left="200" w:right="101"/>
              <w:rPr>
                <w:b/>
                <w:sz w:val="21"/>
              </w:rPr>
            </w:pPr>
            <w:r>
              <w:rPr>
                <w:b/>
                <w:sz w:val="21"/>
              </w:rPr>
              <w:t>38.严重溃疡性结肠炎</w:t>
            </w:r>
          </w:p>
        </w:tc>
        <w:tc>
          <w:tcPr>
            <w:tcW w:w="7939" w:type="dxa"/>
          </w:tcPr>
          <w:p>
            <w:pPr>
              <w:pStyle w:val="TableParagraph"/>
              <w:spacing w:line="273" w:lineRule="auto" w:before="58"/>
              <w:ind w:left="103" w:right="303"/>
              <w:jc w:val="both"/>
              <w:rPr>
                <w:sz w:val="21"/>
              </w:rPr>
            </w:pPr>
            <w:r>
              <w:rPr>
                <w:spacing w:val="-5"/>
                <w:sz w:val="21"/>
              </w:rPr>
              <w:t>指伴有致命性电解质紊乱的急性暴发性溃疡性结肠炎，病变累及全结肠，表现为严</w:t>
            </w:r>
            <w:r>
              <w:rPr>
                <w:spacing w:val="-7"/>
                <w:sz w:val="21"/>
              </w:rPr>
              <w:t>重的血便和系统性症状体征，须根据组织病理学特点诊断，并且被保险人已经接受</w:t>
            </w:r>
            <w:r>
              <w:rPr>
                <w:spacing w:val="-5"/>
                <w:sz w:val="21"/>
              </w:rPr>
              <w:t>了全结肠切除和回肠造瘘术。</w:t>
            </w:r>
          </w:p>
        </w:tc>
      </w:tr>
      <w:tr>
        <w:trPr>
          <w:trHeight w:val="1096" w:hRule="atLeast"/>
        </w:trPr>
        <w:tc>
          <w:tcPr>
            <w:tcW w:w="1515" w:type="dxa"/>
          </w:tcPr>
          <w:p>
            <w:pPr>
              <w:pStyle w:val="TableParagraph"/>
              <w:spacing w:line="273" w:lineRule="auto" w:before="50"/>
              <w:ind w:left="200" w:right="101"/>
              <w:jc w:val="both"/>
              <w:rPr>
                <w:b/>
                <w:sz w:val="21"/>
              </w:rPr>
            </w:pPr>
            <w:r>
              <w:rPr>
                <w:b/>
                <w:sz w:val="21"/>
              </w:rPr>
              <w:t>39.溶血性链球 菌引起的坏疽</w:t>
            </w:r>
          </w:p>
        </w:tc>
        <w:tc>
          <w:tcPr>
            <w:tcW w:w="7939" w:type="dxa"/>
          </w:tcPr>
          <w:p>
            <w:pPr>
              <w:pStyle w:val="TableParagraph"/>
              <w:spacing w:line="273" w:lineRule="auto" w:before="50"/>
              <w:ind w:left="103" w:right="303"/>
              <w:jc w:val="both"/>
              <w:rPr>
                <w:sz w:val="21"/>
              </w:rPr>
            </w:pPr>
            <w:r>
              <w:rPr>
                <w:spacing w:val="-5"/>
                <w:sz w:val="21"/>
              </w:rPr>
              <w:t>指包围肢体或躯干的浅筋膜或深筋膜受到溶血性链球菌的感染，病情在短时间内急</w:t>
            </w:r>
            <w:r>
              <w:rPr>
                <w:spacing w:val="-8"/>
                <w:sz w:val="21"/>
              </w:rPr>
              <w:t>剧恶化，且已经立刻进行了手术及清创术。最后的诊断必须由微生物或病理学专家</w:t>
            </w:r>
            <w:r>
              <w:rPr>
                <w:spacing w:val="-5"/>
                <w:sz w:val="21"/>
              </w:rPr>
              <w:t>进行相关检查后证实。</w:t>
            </w:r>
          </w:p>
        </w:tc>
      </w:tr>
      <w:tr>
        <w:trPr>
          <w:trHeight w:val="1760" w:hRule="atLeast"/>
        </w:trPr>
        <w:tc>
          <w:tcPr>
            <w:tcW w:w="1515" w:type="dxa"/>
          </w:tcPr>
          <w:p>
            <w:pPr>
              <w:pStyle w:val="TableParagraph"/>
              <w:spacing w:line="273" w:lineRule="auto" w:before="70"/>
              <w:ind w:left="200" w:right="101"/>
              <w:rPr>
                <w:b/>
                <w:sz w:val="21"/>
              </w:rPr>
            </w:pPr>
            <w:r>
              <w:rPr>
                <w:b/>
                <w:sz w:val="21"/>
              </w:rPr>
              <w:t>40.坏死性筋膜炎</w:t>
            </w:r>
          </w:p>
        </w:tc>
        <w:tc>
          <w:tcPr>
            <w:tcW w:w="7939" w:type="dxa"/>
          </w:tcPr>
          <w:p>
            <w:pPr>
              <w:pStyle w:val="TableParagraph"/>
              <w:spacing w:before="92"/>
              <w:ind w:left="103"/>
              <w:rPr>
                <w:sz w:val="21"/>
              </w:rPr>
            </w:pPr>
            <w:r>
              <w:rPr>
                <w:sz w:val="21"/>
              </w:rPr>
              <w:t>坏死性筋膜炎的诊断须满足下列全部条件：</w:t>
            </w:r>
          </w:p>
          <w:p>
            <w:pPr>
              <w:pStyle w:val="TableParagraph"/>
              <w:numPr>
                <w:ilvl w:val="0"/>
                <w:numId w:val="47"/>
              </w:numPr>
              <w:tabs>
                <w:tab w:pos="824" w:val="left" w:leader="none"/>
              </w:tabs>
              <w:spacing w:line="240" w:lineRule="auto" w:before="37" w:after="0"/>
              <w:ind w:left="823" w:right="0" w:hanging="720"/>
              <w:jc w:val="left"/>
              <w:rPr>
                <w:sz w:val="21"/>
              </w:rPr>
            </w:pPr>
            <w:r>
              <w:rPr>
                <w:spacing w:val="-3"/>
                <w:sz w:val="21"/>
              </w:rPr>
              <w:t>符合坏死性筋膜炎的一般临床表现；</w:t>
            </w:r>
          </w:p>
          <w:p>
            <w:pPr>
              <w:pStyle w:val="TableParagraph"/>
              <w:numPr>
                <w:ilvl w:val="0"/>
                <w:numId w:val="47"/>
              </w:numPr>
              <w:tabs>
                <w:tab w:pos="824" w:val="left" w:leader="none"/>
              </w:tabs>
              <w:spacing w:line="240" w:lineRule="auto" w:before="37" w:after="0"/>
              <w:ind w:left="823" w:right="0" w:hanging="720"/>
              <w:jc w:val="left"/>
              <w:rPr>
                <w:sz w:val="21"/>
              </w:rPr>
            </w:pPr>
            <w:r>
              <w:rPr>
                <w:spacing w:val="-3"/>
                <w:sz w:val="21"/>
              </w:rPr>
              <w:t>细菌培养检出致病菌；</w:t>
            </w:r>
          </w:p>
          <w:p>
            <w:pPr>
              <w:pStyle w:val="TableParagraph"/>
              <w:numPr>
                <w:ilvl w:val="0"/>
                <w:numId w:val="47"/>
              </w:numPr>
              <w:tabs>
                <w:tab w:pos="824" w:val="left" w:leader="none"/>
              </w:tabs>
              <w:spacing w:line="273" w:lineRule="auto" w:before="37" w:after="0"/>
              <w:ind w:left="823" w:right="312" w:hanging="720"/>
              <w:jc w:val="left"/>
              <w:rPr>
                <w:sz w:val="21"/>
              </w:rPr>
            </w:pPr>
            <w:r>
              <w:rPr>
                <w:sz w:val="21"/>
              </w:rPr>
              <w:t>出现广泛性肌肉及软组织坏死，并导致身体受影响部位功能永久不可逆性丧失。</w:t>
            </w:r>
          </w:p>
        </w:tc>
      </w:tr>
      <w:tr>
        <w:trPr>
          <w:trHeight w:val="2080" w:hRule="atLeast"/>
        </w:trPr>
        <w:tc>
          <w:tcPr>
            <w:tcW w:w="1515" w:type="dxa"/>
          </w:tcPr>
          <w:p>
            <w:pPr>
              <w:pStyle w:val="TableParagraph"/>
              <w:spacing w:line="273" w:lineRule="auto" w:before="69"/>
              <w:ind w:left="200" w:right="101"/>
              <w:rPr>
                <w:b/>
                <w:sz w:val="21"/>
              </w:rPr>
            </w:pPr>
            <w:r>
              <w:rPr>
                <w:b/>
                <w:sz w:val="21"/>
              </w:rPr>
              <w:t>41.系统性硬皮病</w:t>
            </w:r>
          </w:p>
        </w:tc>
        <w:tc>
          <w:tcPr>
            <w:tcW w:w="7939" w:type="dxa"/>
          </w:tcPr>
          <w:p>
            <w:pPr>
              <w:pStyle w:val="TableParagraph"/>
              <w:spacing w:line="273" w:lineRule="auto" w:before="69"/>
              <w:ind w:left="103" w:right="373"/>
              <w:rPr>
                <w:sz w:val="21"/>
              </w:rPr>
            </w:pPr>
            <w:r>
              <w:rPr>
                <w:spacing w:val="-2"/>
                <w:w w:val="100"/>
                <w:sz w:val="21"/>
              </w:rPr>
              <w:t>系统性硬皮病</w:t>
            </w:r>
            <w:r>
              <w:rPr>
                <w:spacing w:val="-3"/>
                <w:w w:val="100"/>
                <w:sz w:val="21"/>
              </w:rPr>
              <w:t>（须累及内脏器官</w:t>
            </w:r>
            <w:r>
              <w:rPr>
                <w:spacing w:val="-106"/>
                <w:w w:val="100"/>
                <w:sz w:val="21"/>
              </w:rPr>
              <w:t>）</w:t>
            </w:r>
            <w:r>
              <w:rPr>
                <w:spacing w:val="-3"/>
                <w:w w:val="100"/>
                <w:sz w:val="21"/>
              </w:rPr>
              <w:t>，指一种以局限性或弥漫性皮肤增厚和皮肤、血</w:t>
            </w:r>
            <w:r>
              <w:rPr>
                <w:spacing w:val="-3"/>
                <w:sz w:val="21"/>
              </w:rPr>
              <w:t>管、内脏器官异常纤维化为特征的结缔组织病。须满足下列至少一项条件：</w:t>
            </w:r>
          </w:p>
          <w:p>
            <w:pPr>
              <w:pStyle w:val="TableParagraph"/>
              <w:numPr>
                <w:ilvl w:val="0"/>
                <w:numId w:val="48"/>
              </w:numPr>
              <w:tabs>
                <w:tab w:pos="824" w:val="left" w:leader="none"/>
              </w:tabs>
              <w:spacing w:line="240" w:lineRule="auto" w:before="7" w:after="0"/>
              <w:ind w:left="823" w:right="0" w:hanging="720"/>
              <w:jc w:val="left"/>
              <w:rPr>
                <w:sz w:val="21"/>
              </w:rPr>
            </w:pPr>
            <w:r>
              <w:rPr>
                <w:spacing w:val="-3"/>
                <w:sz w:val="21"/>
              </w:rPr>
              <w:t>肺脏：肺部病变进而发展为肺间质纤维化和肺动脉高压；</w:t>
            </w:r>
          </w:p>
          <w:p>
            <w:pPr>
              <w:pStyle w:val="TableParagraph"/>
              <w:numPr>
                <w:ilvl w:val="0"/>
                <w:numId w:val="48"/>
              </w:numPr>
              <w:tabs>
                <w:tab w:pos="824" w:val="left" w:leader="none"/>
              </w:tabs>
              <w:spacing w:line="273" w:lineRule="auto" w:before="37" w:after="0"/>
              <w:ind w:left="823" w:right="305" w:hanging="720"/>
              <w:jc w:val="left"/>
              <w:rPr>
                <w:sz w:val="21"/>
              </w:rPr>
            </w:pPr>
            <w:r>
              <w:rPr>
                <w:spacing w:val="-9"/>
                <w:sz w:val="21"/>
              </w:rPr>
              <w:t>心脏：左室腔扩大至少达到正常值上限的 120</w:t>
            </w:r>
            <w:r>
              <w:rPr>
                <w:spacing w:val="-5"/>
                <w:sz w:val="21"/>
              </w:rPr>
              <w:t>％，且左室射血分数持续性低</w:t>
            </w:r>
            <w:r>
              <w:rPr>
                <w:spacing w:val="-29"/>
                <w:sz w:val="21"/>
              </w:rPr>
              <w:t>于 </w:t>
            </w:r>
            <w:r>
              <w:rPr>
                <w:sz w:val="21"/>
              </w:rPr>
              <w:t>40％；</w:t>
            </w:r>
          </w:p>
          <w:p>
            <w:pPr>
              <w:pStyle w:val="TableParagraph"/>
              <w:numPr>
                <w:ilvl w:val="0"/>
                <w:numId w:val="48"/>
              </w:numPr>
              <w:tabs>
                <w:tab w:pos="824" w:val="left" w:leader="none"/>
              </w:tabs>
              <w:spacing w:line="240" w:lineRule="auto" w:before="8" w:after="0"/>
              <w:ind w:left="823" w:right="0" w:hanging="720"/>
              <w:jc w:val="left"/>
              <w:rPr>
                <w:sz w:val="21"/>
              </w:rPr>
            </w:pPr>
            <w:r>
              <w:rPr>
                <w:spacing w:val="-3"/>
                <w:sz w:val="21"/>
              </w:rPr>
              <w:t>肾脏：肾脏受损导致双肾功能慢性不可逆衰竭，达到尿毒症期。</w:t>
            </w:r>
          </w:p>
        </w:tc>
      </w:tr>
      <w:tr>
        <w:trPr>
          <w:trHeight w:val="832" w:hRule="atLeast"/>
        </w:trPr>
        <w:tc>
          <w:tcPr>
            <w:tcW w:w="1515" w:type="dxa"/>
          </w:tcPr>
          <w:p>
            <w:pPr>
              <w:pStyle w:val="TableParagraph"/>
              <w:spacing w:line="273" w:lineRule="auto" w:before="99"/>
              <w:ind w:left="200" w:right="101"/>
              <w:rPr>
                <w:b/>
                <w:sz w:val="21"/>
              </w:rPr>
            </w:pPr>
            <w:r>
              <w:rPr>
                <w:b/>
                <w:sz w:val="21"/>
              </w:rPr>
              <w:t>42.严重克隆病</w:t>
            </w:r>
          </w:p>
        </w:tc>
        <w:tc>
          <w:tcPr>
            <w:tcW w:w="7939" w:type="dxa"/>
          </w:tcPr>
          <w:p>
            <w:pPr>
              <w:pStyle w:val="TableParagraph"/>
              <w:spacing w:line="273" w:lineRule="auto" w:before="99"/>
              <w:ind w:left="103" w:right="303"/>
              <w:rPr>
                <w:sz w:val="21"/>
              </w:rPr>
            </w:pPr>
            <w:r>
              <w:rPr>
                <w:spacing w:val="-6"/>
                <w:sz w:val="21"/>
              </w:rPr>
              <w:t>指一种慢性肉芽肿性肠炎，具有特征性的克隆病病理组织学变化，须由病理学检查</w:t>
            </w:r>
            <w:r>
              <w:rPr>
                <w:spacing w:val="-4"/>
                <w:sz w:val="21"/>
              </w:rPr>
              <w:t>结果证实，且已经造成瘘管形成并伴有肠梗阻或肠穿孔。</w:t>
            </w:r>
          </w:p>
        </w:tc>
      </w:tr>
      <w:tr>
        <w:trPr>
          <w:trHeight w:val="1419" w:hRule="atLeast"/>
        </w:trPr>
        <w:tc>
          <w:tcPr>
            <w:tcW w:w="1515" w:type="dxa"/>
          </w:tcPr>
          <w:p>
            <w:pPr>
              <w:pStyle w:val="TableParagraph"/>
              <w:spacing w:line="273" w:lineRule="auto" w:before="70"/>
              <w:ind w:left="200" w:right="101"/>
              <w:rPr>
                <w:b/>
                <w:sz w:val="21"/>
              </w:rPr>
            </w:pPr>
            <w:r>
              <w:rPr>
                <w:b/>
                <w:sz w:val="21"/>
              </w:rPr>
              <w:t>43.进行性核上性麻痹</w:t>
            </w:r>
          </w:p>
        </w:tc>
        <w:tc>
          <w:tcPr>
            <w:tcW w:w="7939" w:type="dxa"/>
          </w:tcPr>
          <w:p>
            <w:pPr>
              <w:pStyle w:val="TableParagraph"/>
              <w:spacing w:before="70"/>
              <w:ind w:left="103"/>
              <w:rPr>
                <w:sz w:val="21"/>
              </w:rPr>
            </w:pPr>
            <w:r>
              <w:rPr>
                <w:sz w:val="21"/>
              </w:rPr>
              <w:t>指一种隐袭起病、逐渐加重的神经系统变性疾病，且满足如下临床特征：</w:t>
            </w:r>
          </w:p>
          <w:p>
            <w:pPr>
              <w:pStyle w:val="TableParagraph"/>
              <w:numPr>
                <w:ilvl w:val="0"/>
                <w:numId w:val="49"/>
              </w:numPr>
              <w:tabs>
                <w:tab w:pos="824" w:val="left" w:leader="none"/>
              </w:tabs>
              <w:spacing w:line="240" w:lineRule="auto" w:before="36" w:after="0"/>
              <w:ind w:left="823" w:right="0" w:hanging="720"/>
              <w:jc w:val="left"/>
              <w:rPr>
                <w:sz w:val="21"/>
              </w:rPr>
            </w:pPr>
            <w:r>
              <w:rPr>
                <w:spacing w:val="-2"/>
                <w:sz w:val="21"/>
              </w:rPr>
              <w:t>步态共济失调；</w:t>
            </w:r>
          </w:p>
          <w:p>
            <w:pPr>
              <w:pStyle w:val="TableParagraph"/>
              <w:numPr>
                <w:ilvl w:val="0"/>
                <w:numId w:val="49"/>
              </w:numPr>
              <w:tabs>
                <w:tab w:pos="824" w:val="left" w:leader="none"/>
              </w:tabs>
              <w:spacing w:line="240" w:lineRule="auto" w:before="36" w:after="0"/>
              <w:ind w:left="823" w:right="0" w:hanging="720"/>
              <w:jc w:val="left"/>
              <w:rPr>
                <w:sz w:val="21"/>
              </w:rPr>
            </w:pPr>
            <w:r>
              <w:rPr>
                <w:spacing w:val="-3"/>
                <w:sz w:val="21"/>
              </w:rPr>
              <w:t>对称性眼球垂直运动障碍；</w:t>
            </w:r>
          </w:p>
          <w:p>
            <w:pPr>
              <w:pStyle w:val="TableParagraph"/>
              <w:numPr>
                <w:ilvl w:val="0"/>
                <w:numId w:val="49"/>
              </w:numPr>
              <w:tabs>
                <w:tab w:pos="824" w:val="left" w:leader="none"/>
              </w:tabs>
              <w:spacing w:line="240" w:lineRule="auto" w:before="36" w:after="0"/>
              <w:ind w:left="823" w:right="0" w:hanging="720"/>
              <w:jc w:val="left"/>
              <w:rPr>
                <w:sz w:val="21"/>
              </w:rPr>
            </w:pPr>
            <w:r>
              <w:rPr>
                <w:spacing w:val="-2"/>
                <w:sz w:val="21"/>
              </w:rPr>
              <w:t>假性球麻痹</w:t>
            </w:r>
            <w:r>
              <w:rPr>
                <w:sz w:val="21"/>
              </w:rPr>
              <w:t>（</w:t>
            </w:r>
            <w:r>
              <w:rPr>
                <w:spacing w:val="-3"/>
                <w:sz w:val="21"/>
              </w:rPr>
              <w:t>构音障碍和吞咽困难</w:t>
            </w:r>
            <w:r>
              <w:rPr>
                <w:spacing w:val="-108"/>
                <w:sz w:val="21"/>
              </w:rPr>
              <w:t>）</w:t>
            </w:r>
            <w:r>
              <w:rPr>
                <w:sz w:val="21"/>
              </w:rPr>
              <w:t>。</w:t>
            </w:r>
          </w:p>
        </w:tc>
      </w:tr>
      <w:tr>
        <w:trPr>
          <w:trHeight w:val="2009" w:hRule="atLeast"/>
        </w:trPr>
        <w:tc>
          <w:tcPr>
            <w:tcW w:w="1515" w:type="dxa"/>
          </w:tcPr>
          <w:p>
            <w:pPr>
              <w:pStyle w:val="TableParagraph"/>
              <w:spacing w:line="273" w:lineRule="auto" w:before="62"/>
              <w:ind w:left="200" w:right="101"/>
              <w:jc w:val="both"/>
              <w:rPr>
                <w:b/>
                <w:sz w:val="21"/>
              </w:rPr>
            </w:pPr>
            <w:r>
              <w:rPr>
                <w:b/>
                <w:sz w:val="21"/>
              </w:rPr>
              <w:t>44.非阿尔茨海 默病所致严重痴呆</w:t>
            </w:r>
          </w:p>
        </w:tc>
        <w:tc>
          <w:tcPr>
            <w:tcW w:w="7939" w:type="dxa"/>
          </w:tcPr>
          <w:p>
            <w:pPr>
              <w:pStyle w:val="TableParagraph"/>
              <w:spacing w:line="273" w:lineRule="auto" w:before="62"/>
              <w:ind w:left="103" w:right="198"/>
              <w:rPr>
                <w:sz w:val="21"/>
              </w:rPr>
            </w:pPr>
            <w:r>
              <w:rPr>
                <w:spacing w:val="-3"/>
                <w:sz w:val="21"/>
              </w:rPr>
              <w:t>指因阿尔茨海默病以外的脑的器质性疾病造成脑功能衰竭导致永久不可逆性严重  </w:t>
            </w:r>
            <w:r>
              <w:rPr>
                <w:spacing w:val="-7"/>
                <w:sz w:val="21"/>
              </w:rPr>
              <w:t>痴呆，临床表现为明显的认知能力障碍、行为异常和社交能力减退。被保险人自主</w:t>
            </w:r>
            <w:r>
              <w:rPr>
                <w:spacing w:val="-9"/>
                <w:sz w:val="21"/>
              </w:rPr>
              <w:t>生活能力完全丧失，无法独立完成六项基本日常生活活动中的三项或三项以上，日</w:t>
            </w:r>
            <w:r>
              <w:rPr>
                <w:spacing w:val="-13"/>
                <w:sz w:val="21"/>
              </w:rPr>
              <w:t>常生活必须持续受到他人监护。导致痴呆的疾病必须明确诊断，并且由完整的临床、</w:t>
            </w:r>
            <w:r>
              <w:rPr>
                <w:spacing w:val="-6"/>
                <w:sz w:val="21"/>
              </w:rPr>
              <w:t>实验室和影像学检查结果证实。</w:t>
            </w:r>
          </w:p>
          <w:p>
            <w:pPr>
              <w:pStyle w:val="TableParagraph"/>
              <w:spacing w:before="7"/>
              <w:ind w:left="103"/>
              <w:rPr>
                <w:rFonts w:ascii="黑体" w:eastAsia="黑体" w:hint="eastAsia"/>
                <w:sz w:val="21"/>
              </w:rPr>
            </w:pPr>
            <w:r>
              <w:rPr>
                <w:rFonts w:ascii="黑体" w:eastAsia="黑体" w:hint="eastAsia"/>
                <w:sz w:val="21"/>
              </w:rPr>
              <w:t>神经官能症，精神疾病及酒精中毒所致脑损害不在保障范围内。</w:t>
            </w:r>
          </w:p>
        </w:tc>
      </w:tr>
      <w:tr>
        <w:trPr>
          <w:trHeight w:val="1083" w:hRule="atLeast"/>
        </w:trPr>
        <w:tc>
          <w:tcPr>
            <w:tcW w:w="1515" w:type="dxa"/>
          </w:tcPr>
          <w:p>
            <w:pPr>
              <w:pStyle w:val="TableParagraph"/>
              <w:spacing w:line="273" w:lineRule="auto" w:before="36"/>
              <w:ind w:left="200" w:right="101"/>
              <w:rPr>
                <w:b/>
                <w:sz w:val="21"/>
              </w:rPr>
            </w:pPr>
            <w:r>
              <w:rPr>
                <w:b/>
                <w:sz w:val="21"/>
              </w:rPr>
              <w:t>45.肺泡蛋白质沉积症</w:t>
            </w:r>
          </w:p>
        </w:tc>
        <w:tc>
          <w:tcPr>
            <w:tcW w:w="7939" w:type="dxa"/>
          </w:tcPr>
          <w:p>
            <w:pPr>
              <w:pStyle w:val="TableParagraph"/>
              <w:spacing w:line="273" w:lineRule="auto" w:before="36"/>
              <w:ind w:left="103" w:right="197"/>
              <w:rPr>
                <w:sz w:val="21"/>
              </w:rPr>
            </w:pPr>
            <w:r>
              <w:rPr>
                <w:spacing w:val="-7"/>
                <w:sz w:val="21"/>
              </w:rPr>
              <w:t>指肺泡和细支气管腔内充满不可溶性富磷脂蛋白的疾病，胸部 </w:t>
            </w:r>
            <w:r>
              <w:rPr>
                <w:sz w:val="21"/>
              </w:rPr>
              <w:t>X</w:t>
            </w:r>
            <w:r>
              <w:rPr>
                <w:spacing w:val="-8"/>
                <w:sz w:val="21"/>
              </w:rPr>
              <w:t> 线呈双肺弥漫性肺部磨玻璃影，病理学检查肺泡内充满有过碘酸雪夫</w:t>
            </w:r>
            <w:r>
              <w:rPr>
                <w:spacing w:val="-4"/>
                <w:sz w:val="21"/>
              </w:rPr>
              <w:t>（PAS）</w:t>
            </w:r>
            <w:r>
              <w:rPr>
                <w:spacing w:val="-3"/>
                <w:sz w:val="21"/>
              </w:rPr>
              <w:t>染色阳性的蛋白样物质， 并且接受了肺灌洗治疗。</w:t>
            </w:r>
          </w:p>
        </w:tc>
      </w:tr>
      <w:tr>
        <w:trPr>
          <w:trHeight w:val="1290" w:hRule="atLeast"/>
        </w:trPr>
        <w:tc>
          <w:tcPr>
            <w:tcW w:w="1515" w:type="dxa"/>
          </w:tcPr>
          <w:p>
            <w:pPr>
              <w:pStyle w:val="TableParagraph"/>
              <w:spacing w:line="273" w:lineRule="auto" w:before="73"/>
              <w:ind w:left="200" w:right="101"/>
              <w:jc w:val="both"/>
              <w:rPr>
                <w:b/>
                <w:sz w:val="21"/>
              </w:rPr>
            </w:pPr>
            <w:r>
              <w:rPr>
                <w:b/>
                <w:sz w:val="21"/>
              </w:rPr>
              <w:t>46.严重慢性复 发性胰腺炎</w:t>
            </w:r>
          </w:p>
        </w:tc>
        <w:tc>
          <w:tcPr>
            <w:tcW w:w="7939" w:type="dxa"/>
          </w:tcPr>
          <w:p>
            <w:pPr>
              <w:pStyle w:val="TableParagraph"/>
              <w:spacing w:line="273" w:lineRule="auto" w:before="73"/>
              <w:ind w:left="103" w:right="262"/>
              <w:rPr>
                <w:sz w:val="21"/>
              </w:rPr>
            </w:pPr>
            <w:r>
              <w:rPr>
                <w:sz w:val="21"/>
              </w:rPr>
              <w:t>指有腹痛等典型症状的胰腺炎反复发作，导致胰腺进行性破坏，并导致胰腺功能紊乱而导致严重糖尿病以及营养不良、恶液质。CT 检查证实胰腺存在广泛钙化，且</w:t>
            </w:r>
          </w:p>
          <w:p>
            <w:pPr>
              <w:pStyle w:val="TableParagraph"/>
              <w:spacing w:line="312" w:lineRule="exact" w:before="3"/>
              <w:ind w:left="103" w:right="476"/>
              <w:rPr>
                <w:rFonts w:ascii="黑体" w:eastAsia="黑体" w:hint="eastAsia"/>
                <w:sz w:val="21"/>
              </w:rPr>
            </w:pPr>
            <w:r>
              <w:rPr>
                <w:sz w:val="21"/>
              </w:rPr>
              <w:t>必须接受酶替代以及胰岛素替代治疗六个月以上。诊断必须由消化科专科医生确诊。</w:t>
            </w:r>
            <w:r>
              <w:rPr>
                <w:rFonts w:ascii="黑体" w:eastAsia="黑体" w:hint="eastAsia"/>
                <w:sz w:val="21"/>
              </w:rPr>
              <w:t>酒精导致的慢性复发性胰腺炎不在保障范围内。</w:t>
            </w:r>
          </w:p>
        </w:tc>
      </w:tr>
    </w:tbl>
    <w:p>
      <w:pPr>
        <w:spacing w:after="0" w:line="312" w:lineRule="exact"/>
        <w:rPr>
          <w:rFonts w:ascii="黑体" w:eastAsia="黑体" w:hint="eastAsia"/>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833"/>
      </w:tblGrid>
      <w:tr>
        <w:trPr>
          <w:trHeight w:val="3144" w:hRule="atLeast"/>
        </w:trPr>
        <w:tc>
          <w:tcPr>
            <w:tcW w:w="1515" w:type="dxa"/>
          </w:tcPr>
          <w:p>
            <w:pPr>
              <w:pStyle w:val="TableParagraph"/>
              <w:spacing w:line="205" w:lineRule="exact"/>
              <w:ind w:left="200"/>
              <w:rPr>
                <w:b/>
                <w:sz w:val="21"/>
              </w:rPr>
            </w:pPr>
            <w:r>
              <w:rPr>
                <w:b/>
                <w:sz w:val="21"/>
              </w:rPr>
              <w:t>47.因职业关</w:t>
            </w:r>
          </w:p>
          <w:p>
            <w:pPr>
              <w:pStyle w:val="TableParagraph"/>
              <w:spacing w:line="273" w:lineRule="auto" w:before="37"/>
              <w:ind w:left="200" w:right="111"/>
              <w:jc w:val="both"/>
              <w:rPr>
                <w:b/>
                <w:sz w:val="21"/>
              </w:rPr>
            </w:pPr>
            <w:r>
              <w:rPr>
                <w:b/>
                <w:sz w:val="21"/>
              </w:rPr>
              <w:t>系 导致的感染 艾滋病病毒 或者患艾滋病</w:t>
            </w:r>
          </w:p>
        </w:tc>
        <w:tc>
          <w:tcPr>
            <w:tcW w:w="7833" w:type="dxa"/>
          </w:tcPr>
          <w:p>
            <w:pPr>
              <w:pStyle w:val="TableParagraph"/>
              <w:spacing w:line="205" w:lineRule="exact"/>
              <w:ind w:left="103"/>
              <w:rPr>
                <w:sz w:val="21"/>
              </w:rPr>
            </w:pPr>
            <w:r>
              <w:rPr>
                <w:sz w:val="21"/>
              </w:rPr>
              <w:t>被保险人在其常规职业工作过程中遭遇外伤，或职业需要处理血液或其他体液时感</w:t>
            </w:r>
          </w:p>
          <w:p>
            <w:pPr>
              <w:pStyle w:val="TableParagraph"/>
              <w:spacing w:before="37"/>
              <w:ind w:left="103"/>
              <w:rPr>
                <w:sz w:val="21"/>
              </w:rPr>
            </w:pPr>
            <w:r>
              <w:rPr>
                <w:sz w:val="21"/>
              </w:rPr>
              <w:t>染上艾滋病病毒或者患上艾滋病。须满足下列全部条件：</w:t>
            </w:r>
          </w:p>
          <w:p>
            <w:pPr>
              <w:pStyle w:val="TableParagraph"/>
              <w:numPr>
                <w:ilvl w:val="0"/>
                <w:numId w:val="50"/>
              </w:numPr>
              <w:tabs>
                <w:tab w:pos="839" w:val="left" w:leader="none"/>
              </w:tabs>
              <w:spacing w:line="273" w:lineRule="auto" w:before="37" w:after="0"/>
              <w:ind w:left="838" w:right="266" w:hanging="735"/>
              <w:jc w:val="both"/>
              <w:rPr>
                <w:sz w:val="21"/>
              </w:rPr>
            </w:pPr>
            <w:r>
              <w:rPr>
                <w:spacing w:val="-3"/>
                <w:sz w:val="21"/>
              </w:rPr>
              <w:t>感染必须是在被保险人正在从事其职业工作中发生，该职业必须属于下列职业之一；医生和牙科医生、护士、实验室工作人员、医院护工、医生助理和牙医助理、救护车工作人员、助产士。</w:t>
            </w:r>
          </w:p>
          <w:p>
            <w:pPr>
              <w:pStyle w:val="TableParagraph"/>
              <w:spacing w:before="7"/>
              <w:ind w:left="838"/>
              <w:rPr>
                <w:rFonts w:ascii="黑体" w:eastAsia="黑体" w:hint="eastAsia"/>
                <w:sz w:val="21"/>
              </w:rPr>
            </w:pPr>
            <w:r>
              <w:rPr>
                <w:rFonts w:ascii="黑体" w:eastAsia="黑体" w:hint="eastAsia"/>
                <w:sz w:val="21"/>
              </w:rPr>
              <w:t>其他职业不在保障范围内。</w:t>
            </w:r>
          </w:p>
          <w:p>
            <w:pPr>
              <w:pStyle w:val="TableParagraph"/>
              <w:numPr>
                <w:ilvl w:val="0"/>
                <w:numId w:val="50"/>
              </w:numPr>
              <w:tabs>
                <w:tab w:pos="838" w:val="left" w:leader="none"/>
                <w:tab w:pos="839" w:val="left" w:leader="none"/>
              </w:tabs>
              <w:spacing w:line="273" w:lineRule="auto" w:before="36" w:after="0"/>
              <w:ind w:left="838" w:right="199" w:hanging="735"/>
              <w:jc w:val="left"/>
              <w:rPr>
                <w:sz w:val="21"/>
              </w:rPr>
            </w:pPr>
            <w:r>
              <w:rPr>
                <w:spacing w:val="-2"/>
                <w:sz w:val="21"/>
              </w:rPr>
              <w:t>必须提供被保险人在所报事故发生后的 </w:t>
            </w:r>
            <w:r>
              <w:rPr>
                <w:sz w:val="21"/>
              </w:rPr>
              <w:t>5</w:t>
            </w:r>
            <w:r>
              <w:rPr>
                <w:spacing w:val="-6"/>
                <w:sz w:val="21"/>
              </w:rPr>
              <w:t> 天以内进行的检查报告，该报告</w:t>
            </w:r>
            <w:r>
              <w:rPr>
                <w:spacing w:val="-4"/>
                <w:sz w:val="21"/>
              </w:rPr>
              <w:t>必须显示被保险人血液 </w:t>
            </w:r>
            <w:r>
              <w:rPr>
                <w:sz w:val="21"/>
              </w:rPr>
              <w:t>HIV</w:t>
            </w:r>
            <w:r>
              <w:rPr>
                <w:spacing w:val="-2"/>
                <w:sz w:val="21"/>
              </w:rPr>
              <w:t> 病毒阴性和</w:t>
            </w:r>
            <w:r>
              <w:rPr>
                <w:spacing w:val="-3"/>
                <w:sz w:val="21"/>
              </w:rPr>
              <w:t>/</w:t>
            </w:r>
            <w:r>
              <w:rPr>
                <w:spacing w:val="0"/>
                <w:sz w:val="21"/>
              </w:rPr>
              <w:t>或 </w:t>
            </w:r>
            <w:r>
              <w:rPr>
                <w:sz w:val="21"/>
              </w:rPr>
              <w:t>HIV</w:t>
            </w:r>
            <w:r>
              <w:rPr>
                <w:spacing w:val="-1"/>
                <w:sz w:val="21"/>
              </w:rPr>
              <w:t> 抗体阴性；</w:t>
            </w:r>
          </w:p>
          <w:p>
            <w:pPr>
              <w:pStyle w:val="TableParagraph"/>
              <w:numPr>
                <w:ilvl w:val="0"/>
                <w:numId w:val="50"/>
              </w:numPr>
              <w:tabs>
                <w:tab w:pos="838" w:val="left" w:leader="none"/>
                <w:tab w:pos="839" w:val="left" w:leader="none"/>
              </w:tabs>
              <w:spacing w:line="273" w:lineRule="auto" w:before="7" w:after="0"/>
              <w:ind w:left="838" w:right="322" w:hanging="735"/>
              <w:jc w:val="left"/>
              <w:rPr>
                <w:sz w:val="21"/>
              </w:rPr>
            </w:pPr>
            <w:r>
              <w:rPr>
                <w:spacing w:val="-3"/>
                <w:sz w:val="21"/>
              </w:rPr>
              <w:t>必须在事故发生后的 </w:t>
            </w:r>
            <w:r>
              <w:rPr>
                <w:sz w:val="21"/>
              </w:rPr>
              <w:t>6</w:t>
            </w:r>
            <w:r>
              <w:rPr>
                <w:spacing w:val="-3"/>
                <w:sz w:val="21"/>
              </w:rPr>
              <w:t> 个月内证实被保险人体内存在 </w:t>
            </w:r>
            <w:r>
              <w:rPr>
                <w:sz w:val="21"/>
              </w:rPr>
              <w:t>HIV</w:t>
            </w:r>
            <w:r>
              <w:rPr>
                <w:spacing w:val="-10"/>
                <w:sz w:val="21"/>
              </w:rPr>
              <w:t> 病毒或者 </w:t>
            </w:r>
            <w:r>
              <w:rPr>
                <w:sz w:val="21"/>
              </w:rPr>
              <w:t>HIV </w:t>
            </w:r>
            <w:r>
              <w:rPr>
                <w:spacing w:val="-2"/>
                <w:sz w:val="21"/>
              </w:rPr>
              <w:t>抗体，即血液 </w:t>
            </w:r>
            <w:r>
              <w:rPr>
                <w:sz w:val="21"/>
              </w:rPr>
              <w:t>HIV</w:t>
            </w:r>
            <w:r>
              <w:rPr>
                <w:spacing w:val="-2"/>
                <w:sz w:val="21"/>
              </w:rPr>
              <w:t> 病毒阳性和</w:t>
            </w:r>
            <w:r>
              <w:rPr>
                <w:spacing w:val="-3"/>
                <w:sz w:val="21"/>
              </w:rPr>
              <w:t>/</w:t>
            </w:r>
            <w:r>
              <w:rPr>
                <w:spacing w:val="0"/>
                <w:sz w:val="21"/>
              </w:rPr>
              <w:t>或 </w:t>
            </w:r>
            <w:r>
              <w:rPr>
                <w:sz w:val="21"/>
              </w:rPr>
              <w:t>HIV</w:t>
            </w:r>
            <w:r>
              <w:rPr>
                <w:spacing w:val="-1"/>
                <w:sz w:val="21"/>
              </w:rPr>
              <w:t> 抗体阳性。</w:t>
            </w:r>
          </w:p>
        </w:tc>
      </w:tr>
      <w:tr>
        <w:trPr>
          <w:trHeight w:val="2366" w:hRule="atLeast"/>
        </w:trPr>
        <w:tc>
          <w:tcPr>
            <w:tcW w:w="1515" w:type="dxa"/>
          </w:tcPr>
          <w:p>
            <w:pPr>
              <w:pStyle w:val="TableParagraph"/>
              <w:spacing w:line="273" w:lineRule="auto" w:before="55"/>
              <w:ind w:left="200" w:right="101"/>
              <w:rPr>
                <w:b/>
                <w:sz w:val="21"/>
              </w:rPr>
            </w:pPr>
            <w:r>
              <w:rPr>
                <w:b/>
                <w:sz w:val="21"/>
              </w:rPr>
              <w:t>48.原发性硬化性胆管炎</w:t>
            </w:r>
          </w:p>
        </w:tc>
        <w:tc>
          <w:tcPr>
            <w:tcW w:w="7833" w:type="dxa"/>
          </w:tcPr>
          <w:p>
            <w:pPr>
              <w:pStyle w:val="TableParagraph"/>
              <w:spacing w:line="273" w:lineRule="auto" w:before="55"/>
              <w:ind w:left="103" w:right="197"/>
              <w:rPr>
                <w:sz w:val="21"/>
              </w:rPr>
            </w:pPr>
            <w:r>
              <w:rPr>
                <w:spacing w:val="-7"/>
                <w:sz w:val="21"/>
              </w:rPr>
              <w:t>指一种胆汁淤积综合征，其特征是肝内、肝外胆道因纤维化性炎症逐渐狭窄，并最</w:t>
            </w:r>
            <w:r>
              <w:rPr>
                <w:spacing w:val="-5"/>
                <w:sz w:val="21"/>
              </w:rPr>
              <w:t>终导致完全阻塞而发展为肝硬化。本病须经内镜逆行胰胆管造影等影像学检查证 </w:t>
            </w:r>
            <w:r>
              <w:rPr>
                <w:spacing w:val="-4"/>
                <w:sz w:val="21"/>
              </w:rPr>
              <w:t>实，并须满足下列全部条件：</w:t>
            </w:r>
          </w:p>
          <w:p>
            <w:pPr>
              <w:pStyle w:val="TableParagraph"/>
              <w:numPr>
                <w:ilvl w:val="0"/>
                <w:numId w:val="51"/>
              </w:numPr>
              <w:tabs>
                <w:tab w:pos="838" w:val="left" w:leader="none"/>
                <w:tab w:pos="839" w:val="left" w:leader="none"/>
              </w:tabs>
              <w:spacing w:line="240" w:lineRule="auto" w:before="7" w:after="0"/>
              <w:ind w:left="838" w:right="0" w:hanging="735"/>
              <w:jc w:val="left"/>
              <w:rPr>
                <w:sz w:val="21"/>
              </w:rPr>
            </w:pPr>
            <w:r>
              <w:rPr>
                <w:spacing w:val="-5"/>
                <w:sz w:val="21"/>
              </w:rPr>
              <w:t>总胆红素和直接胆红素同时升高，血清 </w:t>
            </w:r>
            <w:r>
              <w:rPr>
                <w:sz w:val="21"/>
              </w:rPr>
              <w:t>ALP&gt;200U/L；</w:t>
            </w:r>
          </w:p>
          <w:p>
            <w:pPr>
              <w:pStyle w:val="TableParagraph"/>
              <w:numPr>
                <w:ilvl w:val="0"/>
                <w:numId w:val="51"/>
              </w:numPr>
              <w:tabs>
                <w:tab w:pos="838" w:val="left" w:leader="none"/>
                <w:tab w:pos="839" w:val="left" w:leader="none"/>
              </w:tabs>
              <w:spacing w:line="240" w:lineRule="auto" w:before="37" w:after="0"/>
              <w:ind w:left="838" w:right="0" w:hanging="735"/>
              <w:jc w:val="left"/>
              <w:rPr>
                <w:sz w:val="21"/>
              </w:rPr>
            </w:pPr>
            <w:r>
              <w:rPr>
                <w:spacing w:val="-3"/>
                <w:sz w:val="21"/>
              </w:rPr>
              <w:t>持续性黄疸病史；</w:t>
            </w:r>
          </w:p>
          <w:p>
            <w:pPr>
              <w:pStyle w:val="TableParagraph"/>
              <w:numPr>
                <w:ilvl w:val="0"/>
                <w:numId w:val="51"/>
              </w:numPr>
              <w:tabs>
                <w:tab w:pos="838" w:val="left" w:leader="none"/>
                <w:tab w:pos="839" w:val="left" w:leader="none"/>
              </w:tabs>
              <w:spacing w:line="240" w:lineRule="auto" w:before="37" w:after="0"/>
              <w:ind w:left="838" w:right="0" w:hanging="735"/>
              <w:jc w:val="left"/>
              <w:rPr>
                <w:sz w:val="21"/>
              </w:rPr>
            </w:pPr>
            <w:r>
              <w:rPr>
                <w:spacing w:val="-3"/>
                <w:sz w:val="21"/>
              </w:rPr>
              <w:t>出现胆汁性肝硬化或门脉高压。</w:t>
            </w:r>
          </w:p>
          <w:p>
            <w:pPr>
              <w:pStyle w:val="TableParagraph"/>
              <w:spacing w:before="37"/>
              <w:ind w:left="103"/>
              <w:rPr>
                <w:rFonts w:ascii="黑体" w:eastAsia="黑体" w:hint="eastAsia"/>
                <w:sz w:val="21"/>
              </w:rPr>
            </w:pPr>
            <w:r>
              <w:rPr>
                <w:rFonts w:ascii="黑体" w:eastAsia="黑体" w:hint="eastAsia"/>
                <w:sz w:val="21"/>
              </w:rPr>
              <w:t>因肿瘤或胆管损伤等继发性的硬化性胆管炎不在保障范围内。</w:t>
            </w:r>
          </w:p>
        </w:tc>
      </w:tr>
      <w:tr>
        <w:trPr>
          <w:trHeight w:val="1736" w:hRule="atLeast"/>
        </w:trPr>
        <w:tc>
          <w:tcPr>
            <w:tcW w:w="1515" w:type="dxa"/>
          </w:tcPr>
          <w:p>
            <w:pPr>
              <w:pStyle w:val="TableParagraph"/>
              <w:spacing w:line="273" w:lineRule="auto" w:before="88"/>
              <w:ind w:left="200" w:right="101"/>
              <w:rPr>
                <w:b/>
                <w:sz w:val="21"/>
              </w:rPr>
            </w:pPr>
            <w:r>
              <w:rPr>
                <w:b/>
                <w:sz w:val="21"/>
              </w:rPr>
              <w:t>49.肺淋巴管肌瘤病</w:t>
            </w:r>
          </w:p>
        </w:tc>
        <w:tc>
          <w:tcPr>
            <w:tcW w:w="7833" w:type="dxa"/>
          </w:tcPr>
          <w:p>
            <w:pPr>
              <w:pStyle w:val="TableParagraph"/>
              <w:spacing w:line="273" w:lineRule="auto" w:before="88"/>
              <w:ind w:left="103" w:right="197"/>
              <w:rPr>
                <w:sz w:val="21"/>
              </w:rPr>
            </w:pPr>
            <w:r>
              <w:rPr>
                <w:spacing w:val="-6"/>
                <w:sz w:val="21"/>
              </w:rPr>
              <w:t>肺淋巴管肌瘤病是一种弥漫性肺部疾病，主要病理改变为肺间质、支气管、血管和</w:t>
            </w:r>
            <w:r>
              <w:rPr>
                <w:spacing w:val="-4"/>
                <w:sz w:val="21"/>
              </w:rPr>
              <w:t>淋巴管内出现未成熟的平滑肌异常增生，同时需满足下列条件：</w:t>
            </w:r>
          </w:p>
          <w:p>
            <w:pPr>
              <w:pStyle w:val="TableParagraph"/>
              <w:numPr>
                <w:ilvl w:val="0"/>
                <w:numId w:val="52"/>
              </w:numPr>
              <w:tabs>
                <w:tab w:pos="838" w:val="left" w:leader="none"/>
                <w:tab w:pos="839" w:val="left" w:leader="none"/>
              </w:tabs>
              <w:spacing w:line="240" w:lineRule="auto" w:before="7" w:after="0"/>
              <w:ind w:left="838" w:right="0" w:hanging="735"/>
              <w:jc w:val="left"/>
              <w:rPr>
                <w:sz w:val="21"/>
              </w:rPr>
            </w:pPr>
            <w:r>
              <w:rPr>
                <w:spacing w:val="-3"/>
                <w:sz w:val="21"/>
              </w:rPr>
              <w:t>经组织病理学诊断；</w:t>
            </w:r>
          </w:p>
          <w:p>
            <w:pPr>
              <w:pStyle w:val="TableParagraph"/>
              <w:numPr>
                <w:ilvl w:val="0"/>
                <w:numId w:val="52"/>
              </w:numPr>
              <w:tabs>
                <w:tab w:pos="838" w:val="left" w:leader="none"/>
                <w:tab w:pos="839" w:val="left" w:leader="none"/>
              </w:tabs>
              <w:spacing w:line="240" w:lineRule="auto" w:before="37" w:after="0"/>
              <w:ind w:left="838" w:right="0" w:hanging="735"/>
              <w:jc w:val="left"/>
              <w:rPr>
                <w:sz w:val="21"/>
              </w:rPr>
            </w:pPr>
            <w:r>
              <w:rPr>
                <w:sz w:val="21"/>
              </w:rPr>
              <w:t>CT</w:t>
            </w:r>
            <w:r>
              <w:rPr>
                <w:spacing w:val="-8"/>
                <w:sz w:val="21"/>
              </w:rPr>
              <w:t> 显示双肺弥漫性囊性改变；</w:t>
            </w:r>
          </w:p>
          <w:p>
            <w:pPr>
              <w:pStyle w:val="TableParagraph"/>
              <w:numPr>
                <w:ilvl w:val="0"/>
                <w:numId w:val="52"/>
              </w:numPr>
              <w:tabs>
                <w:tab w:pos="840" w:val="left" w:leader="none"/>
                <w:tab w:pos="841" w:val="left" w:leader="none"/>
              </w:tabs>
              <w:spacing w:line="240" w:lineRule="auto" w:before="36" w:after="0"/>
              <w:ind w:left="840" w:right="0" w:hanging="737"/>
              <w:jc w:val="left"/>
              <w:rPr>
                <w:sz w:val="21"/>
              </w:rPr>
            </w:pPr>
            <w:r>
              <w:rPr>
                <w:spacing w:val="-3"/>
                <w:sz w:val="21"/>
              </w:rPr>
              <w:t>血气提示低氧血症。</w:t>
            </w:r>
          </w:p>
        </w:tc>
      </w:tr>
      <w:tr>
        <w:trPr>
          <w:trHeight w:val="1099" w:hRule="atLeast"/>
        </w:trPr>
        <w:tc>
          <w:tcPr>
            <w:tcW w:w="1515" w:type="dxa"/>
          </w:tcPr>
          <w:p>
            <w:pPr>
              <w:pStyle w:val="TableParagraph"/>
              <w:spacing w:before="49"/>
              <w:ind w:left="200"/>
              <w:rPr>
                <w:b/>
                <w:sz w:val="21"/>
              </w:rPr>
            </w:pPr>
            <w:r>
              <w:rPr>
                <w:b/>
                <w:sz w:val="21"/>
              </w:rPr>
              <w:t>50.象皮病</w:t>
            </w:r>
          </w:p>
        </w:tc>
        <w:tc>
          <w:tcPr>
            <w:tcW w:w="7833" w:type="dxa"/>
          </w:tcPr>
          <w:p>
            <w:pPr>
              <w:pStyle w:val="TableParagraph"/>
              <w:spacing w:line="273" w:lineRule="auto" w:before="49"/>
              <w:ind w:left="103" w:right="197"/>
              <w:jc w:val="both"/>
              <w:rPr>
                <w:sz w:val="21"/>
              </w:rPr>
            </w:pPr>
            <w:r>
              <w:rPr>
                <w:spacing w:val="-6"/>
                <w:sz w:val="21"/>
              </w:rPr>
              <w:t>指末期丝虫病，按国际淋巴学会分级为三度淋巴液肿，其临床表现为肢体非凹陷性</w:t>
            </w:r>
            <w:r>
              <w:rPr>
                <w:spacing w:val="-8"/>
                <w:sz w:val="21"/>
              </w:rPr>
              <w:t>水肿伴畸形增大、硬皮症和疣状增生。此病症须经相关专科医生根据临床表现和微</w:t>
            </w:r>
            <w:r>
              <w:rPr>
                <w:spacing w:val="-5"/>
                <w:sz w:val="21"/>
              </w:rPr>
              <w:t>丝蚴的化验结果确诊。</w:t>
            </w:r>
          </w:p>
        </w:tc>
      </w:tr>
      <w:tr>
        <w:trPr>
          <w:trHeight w:val="1119" w:hRule="atLeast"/>
        </w:trPr>
        <w:tc>
          <w:tcPr>
            <w:tcW w:w="1515" w:type="dxa"/>
          </w:tcPr>
          <w:p>
            <w:pPr>
              <w:pStyle w:val="TableParagraph"/>
              <w:spacing w:before="75"/>
              <w:ind w:left="200"/>
              <w:rPr>
                <w:b/>
                <w:sz w:val="21"/>
              </w:rPr>
            </w:pPr>
            <w:r>
              <w:rPr>
                <w:b/>
                <w:sz w:val="21"/>
              </w:rPr>
              <w:t>51.胰腺移植</w:t>
            </w:r>
          </w:p>
        </w:tc>
        <w:tc>
          <w:tcPr>
            <w:tcW w:w="7833" w:type="dxa"/>
          </w:tcPr>
          <w:p>
            <w:pPr>
              <w:pStyle w:val="TableParagraph"/>
              <w:spacing w:line="273" w:lineRule="auto" w:before="75"/>
              <w:ind w:left="103" w:right="197"/>
              <w:rPr>
                <w:sz w:val="21"/>
              </w:rPr>
            </w:pPr>
            <w:r>
              <w:rPr>
                <w:spacing w:val="-6"/>
                <w:sz w:val="21"/>
              </w:rPr>
              <w:t>指因胰腺功能衰竭，已经实施了在全身麻醉下进行的胰腺的异体器官移植手术</w:t>
            </w:r>
            <w:r>
              <w:rPr>
                <w:spacing w:val="-3"/>
                <w:sz w:val="21"/>
              </w:rPr>
              <w:t>（</w:t>
            </w:r>
            <w:r>
              <w:rPr>
                <w:sz w:val="21"/>
              </w:rPr>
              <w:t>供</w:t>
            </w:r>
            <w:r>
              <w:rPr>
                <w:spacing w:val="-3"/>
                <w:sz w:val="21"/>
              </w:rPr>
              <w:t>体必须是人体器官</w:t>
            </w:r>
            <w:r>
              <w:rPr>
                <w:spacing w:val="-108"/>
                <w:sz w:val="21"/>
              </w:rPr>
              <w:t>）</w:t>
            </w:r>
            <w:r>
              <w:rPr>
                <w:sz w:val="21"/>
              </w:rPr>
              <w:t>。</w:t>
            </w:r>
          </w:p>
          <w:p>
            <w:pPr>
              <w:pStyle w:val="TableParagraph"/>
              <w:spacing w:before="7"/>
              <w:ind w:left="103"/>
              <w:rPr>
                <w:rFonts w:ascii="黑体" w:eastAsia="黑体" w:hint="eastAsia"/>
                <w:sz w:val="21"/>
              </w:rPr>
            </w:pPr>
            <w:r>
              <w:rPr>
                <w:rFonts w:ascii="黑体" w:eastAsia="黑体" w:hint="eastAsia"/>
                <w:sz w:val="21"/>
              </w:rPr>
              <w:t>单纯胰岛移植、部分胰腺组织或细胞的移植不在保障范围内。</w:t>
            </w:r>
          </w:p>
        </w:tc>
      </w:tr>
      <w:tr>
        <w:trPr>
          <w:trHeight w:val="1717" w:hRule="atLeast"/>
        </w:trPr>
        <w:tc>
          <w:tcPr>
            <w:tcW w:w="1515" w:type="dxa"/>
          </w:tcPr>
          <w:p>
            <w:pPr>
              <w:pStyle w:val="TableParagraph"/>
              <w:spacing w:line="273" w:lineRule="auto" w:before="69"/>
              <w:ind w:left="200" w:right="101"/>
              <w:rPr>
                <w:b/>
                <w:sz w:val="21"/>
              </w:rPr>
            </w:pPr>
            <w:r>
              <w:rPr>
                <w:b/>
                <w:sz w:val="21"/>
              </w:rPr>
              <w:t>52.严重川崎病</w:t>
            </w:r>
          </w:p>
        </w:tc>
        <w:tc>
          <w:tcPr>
            <w:tcW w:w="7833" w:type="dxa"/>
          </w:tcPr>
          <w:p>
            <w:pPr>
              <w:pStyle w:val="TableParagraph"/>
              <w:spacing w:line="273" w:lineRule="auto" w:before="69"/>
              <w:ind w:left="103" w:right="197"/>
              <w:jc w:val="both"/>
              <w:rPr>
                <w:sz w:val="21"/>
              </w:rPr>
            </w:pPr>
            <w:r>
              <w:rPr>
                <w:spacing w:val="-6"/>
                <w:sz w:val="21"/>
              </w:rPr>
              <w:t>是一种血管炎综合征，临床表现为急性发热，皮肤粘膜病损和淋巴结肿大。本病须</w:t>
            </w:r>
            <w:r>
              <w:rPr>
                <w:spacing w:val="-7"/>
                <w:sz w:val="21"/>
              </w:rPr>
              <w:t>经专科医生明确诊断，同时须由血管造影或超声心动图检查证实，满足下列至少一</w:t>
            </w:r>
            <w:r>
              <w:rPr>
                <w:spacing w:val="-5"/>
                <w:sz w:val="21"/>
              </w:rPr>
              <w:t>项条件：</w:t>
            </w:r>
          </w:p>
          <w:p>
            <w:pPr>
              <w:pStyle w:val="TableParagraph"/>
              <w:numPr>
                <w:ilvl w:val="0"/>
                <w:numId w:val="53"/>
              </w:numPr>
              <w:tabs>
                <w:tab w:pos="839" w:val="left" w:leader="none"/>
              </w:tabs>
              <w:spacing w:line="240" w:lineRule="auto" w:before="7" w:after="0"/>
              <w:ind w:left="838" w:right="0" w:hanging="735"/>
              <w:jc w:val="both"/>
              <w:rPr>
                <w:sz w:val="21"/>
              </w:rPr>
            </w:pPr>
            <w:r>
              <w:rPr>
                <w:spacing w:val="-5"/>
                <w:sz w:val="21"/>
              </w:rPr>
              <w:t>伴有冠状动脉瘤，且冠状动脉瘤于最初急性发病后持续至少 </w:t>
            </w:r>
            <w:r>
              <w:rPr>
                <w:sz w:val="21"/>
              </w:rPr>
              <w:t>180</w:t>
            </w:r>
            <w:r>
              <w:rPr>
                <w:spacing w:val="-15"/>
                <w:sz w:val="21"/>
              </w:rPr>
              <w:t> 天；</w:t>
            </w:r>
          </w:p>
          <w:p>
            <w:pPr>
              <w:pStyle w:val="TableParagraph"/>
              <w:numPr>
                <w:ilvl w:val="0"/>
                <w:numId w:val="53"/>
              </w:numPr>
              <w:tabs>
                <w:tab w:pos="841" w:val="left" w:leader="none"/>
              </w:tabs>
              <w:spacing w:line="240" w:lineRule="auto" w:before="37" w:after="0"/>
              <w:ind w:left="840" w:right="0" w:hanging="737"/>
              <w:jc w:val="both"/>
              <w:rPr>
                <w:sz w:val="21"/>
              </w:rPr>
            </w:pPr>
            <w:r>
              <w:rPr>
                <w:spacing w:val="-3"/>
                <w:sz w:val="21"/>
              </w:rPr>
              <w:t>伴有冠状动脉瘤，且实际接受了对冠状动脉瘤进行的手术治疗。</w:t>
            </w:r>
          </w:p>
        </w:tc>
      </w:tr>
      <w:tr>
        <w:trPr>
          <w:trHeight w:val="1696" w:hRule="atLeast"/>
        </w:trPr>
        <w:tc>
          <w:tcPr>
            <w:tcW w:w="1515" w:type="dxa"/>
          </w:tcPr>
          <w:p>
            <w:pPr>
              <w:pStyle w:val="TableParagraph"/>
              <w:spacing w:line="273" w:lineRule="auto" w:before="49"/>
              <w:ind w:left="200" w:right="101"/>
              <w:rPr>
                <w:b/>
                <w:sz w:val="21"/>
              </w:rPr>
            </w:pPr>
            <w:r>
              <w:rPr>
                <w:b/>
                <w:sz w:val="21"/>
              </w:rPr>
              <w:t>53.肾髓质囊性病</w:t>
            </w:r>
          </w:p>
        </w:tc>
        <w:tc>
          <w:tcPr>
            <w:tcW w:w="7833" w:type="dxa"/>
          </w:tcPr>
          <w:p>
            <w:pPr>
              <w:pStyle w:val="TableParagraph"/>
              <w:spacing w:before="49"/>
              <w:ind w:left="103"/>
              <w:rPr>
                <w:sz w:val="21"/>
              </w:rPr>
            </w:pPr>
            <w:r>
              <w:rPr>
                <w:sz w:val="21"/>
              </w:rPr>
              <w:t>肾髓质囊性病的诊断须同时符合下列要求：</w:t>
            </w:r>
          </w:p>
          <w:p>
            <w:pPr>
              <w:pStyle w:val="TableParagraph"/>
              <w:numPr>
                <w:ilvl w:val="0"/>
                <w:numId w:val="54"/>
              </w:numPr>
              <w:tabs>
                <w:tab w:pos="838" w:val="left" w:leader="none"/>
                <w:tab w:pos="839" w:val="left" w:leader="none"/>
              </w:tabs>
              <w:spacing w:line="240" w:lineRule="auto" w:before="37" w:after="0"/>
              <w:ind w:left="838" w:right="0" w:hanging="735"/>
              <w:jc w:val="left"/>
              <w:rPr>
                <w:sz w:val="21"/>
              </w:rPr>
            </w:pPr>
            <w:r>
              <w:rPr>
                <w:spacing w:val="-3"/>
                <w:sz w:val="21"/>
              </w:rPr>
              <w:t>肾髓质有囊肿、肾小管萎缩及间质纤维化等病理改变；</w:t>
            </w:r>
          </w:p>
          <w:p>
            <w:pPr>
              <w:pStyle w:val="TableParagraph"/>
              <w:numPr>
                <w:ilvl w:val="0"/>
                <w:numId w:val="54"/>
              </w:numPr>
              <w:tabs>
                <w:tab w:pos="838" w:val="left" w:leader="none"/>
                <w:tab w:pos="839" w:val="left" w:leader="none"/>
              </w:tabs>
              <w:spacing w:line="240" w:lineRule="auto" w:before="37" w:after="0"/>
              <w:ind w:left="838" w:right="0" w:hanging="735"/>
              <w:jc w:val="left"/>
              <w:rPr>
                <w:sz w:val="21"/>
              </w:rPr>
            </w:pPr>
            <w:r>
              <w:rPr>
                <w:spacing w:val="-3"/>
                <w:sz w:val="21"/>
              </w:rPr>
              <w:t>贫血、多尿及肾功能衰竭等临床表现；</w:t>
            </w:r>
          </w:p>
          <w:p>
            <w:pPr>
              <w:pStyle w:val="TableParagraph"/>
              <w:numPr>
                <w:ilvl w:val="0"/>
                <w:numId w:val="54"/>
              </w:numPr>
              <w:tabs>
                <w:tab w:pos="838" w:val="left" w:leader="none"/>
                <w:tab w:pos="839" w:val="left" w:leader="none"/>
              </w:tabs>
              <w:spacing w:line="240" w:lineRule="auto" w:before="37" w:after="0"/>
              <w:ind w:left="838" w:right="0" w:hanging="735"/>
              <w:jc w:val="left"/>
              <w:rPr>
                <w:sz w:val="21"/>
              </w:rPr>
            </w:pPr>
            <w:r>
              <w:rPr>
                <w:spacing w:val="-3"/>
                <w:sz w:val="21"/>
              </w:rPr>
              <w:t>诊断须由肾组织活检确定。</w:t>
            </w:r>
          </w:p>
          <w:p>
            <w:pPr>
              <w:pStyle w:val="TableParagraph"/>
              <w:spacing w:before="37"/>
              <w:ind w:left="103"/>
              <w:rPr>
                <w:rFonts w:ascii="黑体" w:eastAsia="黑体" w:hint="eastAsia"/>
                <w:sz w:val="21"/>
              </w:rPr>
            </w:pPr>
            <w:r>
              <w:rPr>
                <w:rFonts w:ascii="黑体" w:eastAsia="黑体" w:hint="eastAsia"/>
                <w:sz w:val="21"/>
              </w:rPr>
              <w:t>单独或良性肾囊肿则不在保障范围内。</w:t>
            </w:r>
          </w:p>
        </w:tc>
      </w:tr>
      <w:tr>
        <w:trPr>
          <w:trHeight w:val="954" w:hRule="atLeast"/>
        </w:trPr>
        <w:tc>
          <w:tcPr>
            <w:tcW w:w="1515" w:type="dxa"/>
          </w:tcPr>
          <w:p>
            <w:pPr>
              <w:pStyle w:val="TableParagraph"/>
              <w:spacing w:before="49"/>
              <w:ind w:left="200"/>
              <w:rPr>
                <w:b/>
                <w:sz w:val="21"/>
              </w:rPr>
            </w:pPr>
            <w:r>
              <w:rPr>
                <w:b/>
                <w:sz w:val="21"/>
              </w:rPr>
              <w:t>54.多处臂丛</w:t>
            </w:r>
          </w:p>
          <w:p>
            <w:pPr>
              <w:pStyle w:val="TableParagraph"/>
              <w:spacing w:line="310" w:lineRule="atLeast" w:before="2"/>
              <w:ind w:left="200" w:right="111"/>
              <w:rPr>
                <w:b/>
                <w:sz w:val="21"/>
              </w:rPr>
            </w:pPr>
            <w:r>
              <w:rPr>
                <w:b/>
                <w:sz w:val="21"/>
              </w:rPr>
              <w:t>神 经根性撕脱</w:t>
            </w:r>
          </w:p>
        </w:tc>
        <w:tc>
          <w:tcPr>
            <w:tcW w:w="7833" w:type="dxa"/>
          </w:tcPr>
          <w:p>
            <w:pPr>
              <w:pStyle w:val="TableParagraph"/>
              <w:spacing w:before="49"/>
              <w:ind w:left="103"/>
              <w:rPr>
                <w:sz w:val="21"/>
              </w:rPr>
            </w:pPr>
            <w:r>
              <w:rPr>
                <w:sz w:val="21"/>
              </w:rPr>
              <w:t>由于疾病或意外导致至少两根臂丛神经根性撕脱，所造成的手臂感觉功能与运动功</w:t>
            </w:r>
          </w:p>
          <w:p>
            <w:pPr>
              <w:pStyle w:val="TableParagraph"/>
              <w:spacing w:line="310" w:lineRule="atLeast" w:before="2"/>
              <w:ind w:left="103" w:right="197"/>
              <w:rPr>
                <w:sz w:val="21"/>
              </w:rPr>
            </w:pPr>
            <w:r>
              <w:rPr>
                <w:spacing w:val="-6"/>
                <w:sz w:val="21"/>
              </w:rPr>
              <w:t>能完全永久性丧失。该病必须由本公司认可的医院的专科医生确诊，并且有完整的</w:t>
            </w:r>
            <w:r>
              <w:rPr>
                <w:spacing w:val="-4"/>
                <w:sz w:val="21"/>
              </w:rPr>
              <w:t>电生理检查结果证实。</w:t>
            </w:r>
          </w:p>
        </w:tc>
      </w:tr>
    </w:tbl>
    <w:p>
      <w:pPr>
        <w:spacing w:after="0" w:line="310" w:lineRule="atLeast"/>
        <w:rPr>
          <w:sz w:val="21"/>
        </w:rPr>
        <w:sectPr>
          <w:pgSz w:w="11910" w:h="16840"/>
          <w:pgMar w:header="0" w:footer="377" w:top="1340" w:bottom="560" w:left="1520" w:right="8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834"/>
      </w:tblGrid>
      <w:tr>
        <w:trPr>
          <w:trHeight w:val="985" w:hRule="atLeast"/>
        </w:trPr>
        <w:tc>
          <w:tcPr>
            <w:tcW w:w="1515" w:type="dxa"/>
          </w:tcPr>
          <w:p>
            <w:pPr>
              <w:pStyle w:val="TableParagraph"/>
              <w:spacing w:line="205" w:lineRule="exact"/>
              <w:ind w:left="200"/>
              <w:rPr>
                <w:b/>
                <w:sz w:val="21"/>
              </w:rPr>
            </w:pPr>
            <w:r>
              <w:rPr>
                <w:b/>
                <w:sz w:val="21"/>
              </w:rPr>
              <w:t>55.埃博拉病</w:t>
            </w:r>
          </w:p>
          <w:p>
            <w:pPr>
              <w:pStyle w:val="TableParagraph"/>
              <w:spacing w:before="37"/>
              <w:ind w:left="200"/>
              <w:rPr>
                <w:b/>
                <w:sz w:val="21"/>
              </w:rPr>
            </w:pPr>
            <w:r>
              <w:rPr>
                <w:b/>
                <w:sz w:val="21"/>
              </w:rPr>
              <w:t>毒感染</w:t>
            </w:r>
          </w:p>
        </w:tc>
        <w:tc>
          <w:tcPr>
            <w:tcW w:w="7834" w:type="dxa"/>
          </w:tcPr>
          <w:p>
            <w:pPr>
              <w:pStyle w:val="TableParagraph"/>
              <w:spacing w:line="205" w:lineRule="exact"/>
              <w:ind w:left="103"/>
              <w:rPr>
                <w:sz w:val="21"/>
              </w:rPr>
            </w:pPr>
            <w:r>
              <w:rPr>
                <w:sz w:val="21"/>
              </w:rPr>
              <w:t>指埃博拉病毒感染导致的烈性传染病，并须满足下列全部条件：</w:t>
            </w:r>
          </w:p>
          <w:p>
            <w:pPr>
              <w:pStyle w:val="TableParagraph"/>
              <w:numPr>
                <w:ilvl w:val="0"/>
                <w:numId w:val="55"/>
              </w:numPr>
              <w:tabs>
                <w:tab w:pos="838" w:val="left" w:leader="none"/>
                <w:tab w:pos="839" w:val="left" w:leader="none"/>
              </w:tabs>
              <w:spacing w:line="240" w:lineRule="auto" w:before="37" w:after="0"/>
              <w:ind w:left="838" w:right="0" w:hanging="735"/>
              <w:jc w:val="left"/>
              <w:rPr>
                <w:sz w:val="21"/>
              </w:rPr>
            </w:pPr>
            <w:r>
              <w:rPr>
                <w:spacing w:val="-3"/>
                <w:sz w:val="21"/>
              </w:rPr>
              <w:t>实验室检查证实埃博拉病毒的存在；</w:t>
            </w:r>
          </w:p>
          <w:p>
            <w:pPr>
              <w:pStyle w:val="TableParagraph"/>
              <w:numPr>
                <w:ilvl w:val="0"/>
                <w:numId w:val="55"/>
              </w:numPr>
              <w:tabs>
                <w:tab w:pos="840" w:val="left" w:leader="none"/>
                <w:tab w:pos="841" w:val="left" w:leader="none"/>
              </w:tabs>
              <w:spacing w:line="240" w:lineRule="auto" w:before="37" w:after="0"/>
              <w:ind w:left="840" w:right="0" w:hanging="737"/>
              <w:jc w:val="left"/>
              <w:rPr>
                <w:sz w:val="21"/>
              </w:rPr>
            </w:pPr>
            <w:r>
              <w:rPr>
                <w:spacing w:val="-2"/>
                <w:sz w:val="21"/>
              </w:rPr>
              <w:t>从发病开始有超过 </w:t>
            </w:r>
            <w:r>
              <w:rPr>
                <w:sz w:val="21"/>
              </w:rPr>
              <w:t>30</w:t>
            </w:r>
            <w:r>
              <w:rPr>
                <w:spacing w:val="-3"/>
                <w:sz w:val="21"/>
              </w:rPr>
              <w:t> 天的进行性感染症状。</w:t>
            </w:r>
          </w:p>
        </w:tc>
      </w:tr>
      <w:tr>
        <w:trPr>
          <w:trHeight w:val="2686" w:hRule="atLeast"/>
        </w:trPr>
        <w:tc>
          <w:tcPr>
            <w:tcW w:w="1515" w:type="dxa"/>
          </w:tcPr>
          <w:p>
            <w:pPr>
              <w:pStyle w:val="TableParagraph"/>
              <w:spacing w:line="273" w:lineRule="auto" w:before="80"/>
              <w:ind w:left="200" w:right="101"/>
              <w:rPr>
                <w:b/>
                <w:sz w:val="21"/>
              </w:rPr>
            </w:pPr>
            <w:r>
              <w:rPr>
                <w:b/>
                <w:sz w:val="21"/>
              </w:rPr>
              <w:t>56.失去一肢及一眼</w:t>
            </w:r>
          </w:p>
        </w:tc>
        <w:tc>
          <w:tcPr>
            <w:tcW w:w="7834" w:type="dxa"/>
          </w:tcPr>
          <w:p>
            <w:pPr>
              <w:pStyle w:val="TableParagraph"/>
              <w:spacing w:line="273" w:lineRule="auto" w:before="80"/>
              <w:ind w:left="103" w:right="150"/>
              <w:rPr>
                <w:sz w:val="21"/>
              </w:rPr>
            </w:pPr>
            <w:r>
              <w:rPr>
                <w:sz w:val="21"/>
              </w:rPr>
              <w:t>因疾病或意外伤害导致单眼视力丧失及任何一肢自腕关节或踝关节近端（靠近躯干端）以上完全性断离。</w:t>
            </w:r>
          </w:p>
          <w:p>
            <w:pPr>
              <w:pStyle w:val="TableParagraph"/>
              <w:spacing w:before="7"/>
              <w:ind w:left="103"/>
              <w:rPr>
                <w:sz w:val="21"/>
              </w:rPr>
            </w:pPr>
            <w:r>
              <w:rPr>
                <w:sz w:val="21"/>
              </w:rPr>
              <w:t>单眼视力丧失指单眼视力永久不可逆性丧失，患眼须满足下列至少一项条件：</w:t>
            </w:r>
          </w:p>
          <w:p>
            <w:pPr>
              <w:pStyle w:val="TableParagraph"/>
              <w:numPr>
                <w:ilvl w:val="0"/>
                <w:numId w:val="56"/>
              </w:numPr>
              <w:tabs>
                <w:tab w:pos="838" w:val="left" w:leader="none"/>
                <w:tab w:pos="839" w:val="left" w:leader="none"/>
              </w:tabs>
              <w:spacing w:line="240" w:lineRule="auto" w:before="36" w:after="0"/>
              <w:ind w:left="838" w:right="0" w:hanging="735"/>
              <w:jc w:val="left"/>
              <w:rPr>
                <w:sz w:val="21"/>
              </w:rPr>
            </w:pPr>
            <w:r>
              <w:rPr>
                <w:spacing w:val="-3"/>
                <w:sz w:val="21"/>
              </w:rPr>
              <w:t>眼球缺失或摘除；</w:t>
            </w:r>
          </w:p>
          <w:p>
            <w:pPr>
              <w:pStyle w:val="TableParagraph"/>
              <w:numPr>
                <w:ilvl w:val="0"/>
                <w:numId w:val="56"/>
              </w:numPr>
              <w:tabs>
                <w:tab w:pos="838" w:val="left" w:leader="none"/>
                <w:tab w:pos="839" w:val="left" w:leader="none"/>
              </w:tabs>
              <w:spacing w:line="273" w:lineRule="auto" w:before="36" w:after="0"/>
              <w:ind w:left="838" w:right="217" w:hanging="735"/>
              <w:jc w:val="left"/>
              <w:rPr>
                <w:sz w:val="21"/>
              </w:rPr>
            </w:pPr>
            <w:r>
              <w:rPr>
                <w:spacing w:val="-6"/>
                <w:sz w:val="21"/>
              </w:rPr>
              <w:t>矫正视力低于 </w:t>
            </w:r>
            <w:r>
              <w:rPr>
                <w:sz w:val="21"/>
              </w:rPr>
              <w:t>0.02（</w:t>
            </w:r>
            <w:r>
              <w:rPr>
                <w:spacing w:val="-3"/>
                <w:sz w:val="21"/>
              </w:rPr>
              <w:t>采用国际标准视力表，如果使用其他视力表应进行换</w:t>
            </w:r>
            <w:r>
              <w:rPr>
                <w:spacing w:val="-3"/>
                <w:w w:val="100"/>
                <w:sz w:val="21"/>
              </w:rPr>
              <w:t>算</w:t>
            </w:r>
            <w:r>
              <w:rPr>
                <w:spacing w:val="-106"/>
                <w:w w:val="100"/>
                <w:sz w:val="21"/>
              </w:rPr>
              <w:t>）</w:t>
            </w:r>
            <w:r>
              <w:rPr>
                <w:w w:val="100"/>
                <w:sz w:val="21"/>
              </w:rPr>
              <w:t>；</w:t>
            </w:r>
          </w:p>
          <w:p>
            <w:pPr>
              <w:pStyle w:val="TableParagraph"/>
              <w:numPr>
                <w:ilvl w:val="0"/>
                <w:numId w:val="56"/>
              </w:numPr>
              <w:tabs>
                <w:tab w:pos="838" w:val="left" w:leader="none"/>
                <w:tab w:pos="839" w:val="left" w:leader="none"/>
              </w:tabs>
              <w:spacing w:line="240" w:lineRule="auto" w:before="7" w:after="0"/>
              <w:ind w:left="838" w:right="0" w:hanging="735"/>
              <w:jc w:val="left"/>
              <w:rPr>
                <w:sz w:val="21"/>
              </w:rPr>
            </w:pPr>
            <w:r>
              <w:rPr>
                <w:spacing w:val="-9"/>
                <w:sz w:val="21"/>
              </w:rPr>
              <w:t>视野半径小于 </w:t>
            </w:r>
            <w:r>
              <w:rPr>
                <w:sz w:val="21"/>
              </w:rPr>
              <w:t>5</w:t>
            </w:r>
            <w:r>
              <w:rPr>
                <w:spacing w:val="-1"/>
                <w:sz w:val="21"/>
              </w:rPr>
              <w:t> 度。</w:t>
            </w:r>
          </w:p>
          <w:p>
            <w:pPr>
              <w:pStyle w:val="TableParagraph"/>
              <w:spacing w:before="37"/>
              <w:ind w:left="103"/>
              <w:rPr>
                <w:rFonts w:ascii="黑体" w:eastAsia="黑体" w:hint="eastAsia"/>
                <w:sz w:val="21"/>
              </w:rPr>
            </w:pPr>
            <w:r>
              <w:rPr>
                <w:rFonts w:ascii="黑体" w:eastAsia="黑体" w:hint="eastAsia"/>
                <w:sz w:val="21"/>
              </w:rPr>
              <w:t>被保险人在 3 周岁之前因疾病导致单眼视力丧失不在保障范围内。</w:t>
            </w:r>
          </w:p>
        </w:tc>
      </w:tr>
      <w:tr>
        <w:trPr>
          <w:trHeight w:val="3952" w:hRule="atLeast"/>
        </w:trPr>
        <w:tc>
          <w:tcPr>
            <w:tcW w:w="1515" w:type="dxa"/>
          </w:tcPr>
          <w:p>
            <w:pPr>
              <w:pStyle w:val="TableParagraph"/>
              <w:spacing w:line="273" w:lineRule="auto" w:before="70"/>
              <w:ind w:left="200" w:right="101"/>
              <w:jc w:val="both"/>
              <w:rPr>
                <w:b/>
                <w:sz w:val="21"/>
              </w:rPr>
            </w:pPr>
            <w:r>
              <w:rPr>
                <w:b/>
                <w:sz w:val="21"/>
              </w:rPr>
              <w:t>57.特发性慢性 肾上腺皮质功能减退</w:t>
            </w:r>
          </w:p>
        </w:tc>
        <w:tc>
          <w:tcPr>
            <w:tcW w:w="7834" w:type="dxa"/>
          </w:tcPr>
          <w:p>
            <w:pPr>
              <w:pStyle w:val="TableParagraph"/>
              <w:spacing w:line="273" w:lineRule="auto" w:before="70"/>
              <w:ind w:left="103" w:right="144"/>
              <w:rPr>
                <w:sz w:val="21"/>
              </w:rPr>
            </w:pPr>
            <w:r>
              <w:rPr>
                <w:sz w:val="21"/>
              </w:rPr>
              <w:t>指自身免疫性肾上腺炎（既往称：特发性肾上腺皮质萎缩）导致肾上腺萎缩和慢性肾上腺皮质功能减退。须满足下列全部条件：</w:t>
            </w:r>
          </w:p>
          <w:p>
            <w:pPr>
              <w:pStyle w:val="TableParagraph"/>
              <w:numPr>
                <w:ilvl w:val="0"/>
                <w:numId w:val="57"/>
              </w:numPr>
              <w:tabs>
                <w:tab w:pos="838" w:val="left" w:leader="none"/>
                <w:tab w:pos="839" w:val="left" w:leader="none"/>
              </w:tabs>
              <w:spacing w:line="240" w:lineRule="auto" w:before="7" w:after="0"/>
              <w:ind w:left="838" w:right="0" w:hanging="735"/>
              <w:jc w:val="left"/>
              <w:rPr>
                <w:sz w:val="21"/>
              </w:rPr>
            </w:pPr>
            <w:r>
              <w:rPr>
                <w:spacing w:val="-3"/>
                <w:sz w:val="21"/>
              </w:rPr>
              <w:t>明确诊断，符合所有以下诊断标准；</w:t>
            </w:r>
          </w:p>
          <w:p>
            <w:pPr>
              <w:pStyle w:val="TableParagraph"/>
              <w:spacing w:before="30"/>
              <w:ind w:left="823"/>
              <w:rPr>
                <w:sz w:val="21"/>
              </w:rPr>
            </w:pPr>
            <w:r>
              <w:rPr>
                <w:rFonts w:ascii="宋体" w:hAnsi="宋体" w:eastAsia="宋体" w:hint="eastAsia"/>
                <w:sz w:val="22"/>
              </w:rPr>
              <w:t>① </w:t>
            </w:r>
            <w:r>
              <w:rPr>
                <w:sz w:val="21"/>
              </w:rPr>
              <w:t>血浆促肾上腺皮质激素(ACTH)水平测定大于 100pg/ml；</w:t>
            </w:r>
          </w:p>
          <w:p>
            <w:pPr>
              <w:pStyle w:val="TableParagraph"/>
              <w:spacing w:line="268" w:lineRule="auto" w:before="24"/>
              <w:ind w:left="1183" w:right="198" w:hanging="360"/>
              <w:jc w:val="both"/>
              <w:rPr>
                <w:sz w:val="21"/>
              </w:rPr>
            </w:pPr>
            <w:r>
              <w:rPr>
                <w:rFonts w:ascii="宋体" w:hAnsi="宋体" w:eastAsia="宋体" w:hint="eastAsia"/>
                <w:spacing w:val="17"/>
                <w:sz w:val="22"/>
              </w:rPr>
              <w:t>② </w:t>
            </w:r>
            <w:r>
              <w:rPr>
                <w:spacing w:val="-3"/>
                <w:sz w:val="21"/>
              </w:rPr>
              <w:t>血浆和尿游离皮质醇及尿 </w:t>
            </w:r>
            <w:r>
              <w:rPr>
                <w:sz w:val="21"/>
              </w:rPr>
              <w:t>17</w:t>
            </w:r>
            <w:r>
              <w:rPr>
                <w:spacing w:val="-2"/>
                <w:sz w:val="21"/>
              </w:rPr>
              <w:t> 羟皮质类固醇、</w:t>
            </w:r>
            <w:r>
              <w:rPr>
                <w:sz w:val="21"/>
              </w:rPr>
              <w:t>17</w:t>
            </w:r>
            <w:r>
              <w:rPr>
                <w:spacing w:val="-3"/>
                <w:sz w:val="21"/>
              </w:rPr>
              <w:t> 酮皮质类固醇测定、</w:t>
            </w:r>
            <w:r>
              <w:rPr>
                <w:spacing w:val="-6"/>
                <w:sz w:val="21"/>
              </w:rPr>
              <w:t>血浆肾素活性、血管紧张素 </w:t>
            </w:r>
            <w:r>
              <w:rPr>
                <w:sz w:val="21"/>
              </w:rPr>
              <w:t>II</w:t>
            </w:r>
            <w:r>
              <w:rPr>
                <w:spacing w:val="-6"/>
                <w:sz w:val="21"/>
              </w:rPr>
              <w:t> 和醛固酮测定，显示为原发性肾上腺皮</w:t>
            </w:r>
            <w:r>
              <w:rPr>
                <w:spacing w:val="-4"/>
                <w:sz w:val="21"/>
              </w:rPr>
              <w:t>质功能减退症；</w:t>
            </w:r>
          </w:p>
          <w:p>
            <w:pPr>
              <w:pStyle w:val="TableParagraph"/>
              <w:spacing w:line="266" w:lineRule="auto" w:before="5"/>
              <w:ind w:left="1183" w:right="342" w:hanging="360"/>
              <w:rPr>
                <w:sz w:val="21"/>
              </w:rPr>
            </w:pPr>
            <w:r>
              <w:rPr>
                <w:rFonts w:ascii="宋体" w:hAnsi="宋体" w:eastAsia="宋体" w:hint="eastAsia"/>
                <w:sz w:val="22"/>
              </w:rPr>
              <w:t>③ </w:t>
            </w:r>
            <w:r>
              <w:rPr>
                <w:sz w:val="21"/>
              </w:rPr>
              <w:t>促肾上腺皮质激素(ACTH)刺激试验显示为原发性肾上腺皮质功能减退症。</w:t>
            </w:r>
          </w:p>
          <w:p>
            <w:pPr>
              <w:pStyle w:val="TableParagraph"/>
              <w:numPr>
                <w:ilvl w:val="0"/>
                <w:numId w:val="57"/>
              </w:numPr>
              <w:tabs>
                <w:tab w:pos="838" w:val="left" w:leader="none"/>
                <w:tab w:pos="839" w:val="left" w:leader="none"/>
              </w:tabs>
              <w:spacing w:line="240" w:lineRule="auto" w:before="14" w:after="0"/>
              <w:ind w:left="838" w:right="0" w:hanging="735"/>
              <w:jc w:val="left"/>
              <w:rPr>
                <w:sz w:val="21"/>
              </w:rPr>
            </w:pPr>
            <w:r>
              <w:rPr>
                <w:spacing w:val="-3"/>
                <w:sz w:val="21"/>
              </w:rPr>
              <w:t>已经采用皮质类固醇替代治疗 </w:t>
            </w:r>
            <w:r>
              <w:rPr>
                <w:sz w:val="21"/>
              </w:rPr>
              <w:t>180 天以上。</w:t>
            </w:r>
          </w:p>
          <w:p>
            <w:pPr>
              <w:pStyle w:val="TableParagraph"/>
              <w:spacing w:line="273" w:lineRule="auto" w:before="37"/>
              <w:ind w:left="103" w:right="144"/>
              <w:rPr>
                <w:rFonts w:ascii="黑体" w:eastAsia="黑体" w:hint="eastAsia"/>
                <w:sz w:val="21"/>
              </w:rPr>
            </w:pPr>
            <w:r>
              <w:rPr>
                <w:rFonts w:ascii="黑体" w:eastAsia="黑体" w:hint="eastAsia"/>
                <w:sz w:val="21"/>
              </w:rPr>
              <w:t>肾上腺结核、HIV 感染或艾滋病、感染、肿瘤所致的原发性肾上腺皮质功能减退和继发性肾上腺皮质功能减退不在保障范围内。</w:t>
            </w:r>
          </w:p>
        </w:tc>
      </w:tr>
      <w:tr>
        <w:trPr>
          <w:trHeight w:val="2409" w:hRule="atLeast"/>
        </w:trPr>
        <w:tc>
          <w:tcPr>
            <w:tcW w:w="1515" w:type="dxa"/>
          </w:tcPr>
          <w:p>
            <w:pPr>
              <w:pStyle w:val="TableParagraph"/>
              <w:spacing w:line="273" w:lineRule="auto" w:before="98"/>
              <w:ind w:left="200" w:right="101"/>
              <w:rPr>
                <w:b/>
                <w:sz w:val="21"/>
              </w:rPr>
            </w:pPr>
            <w:r>
              <w:rPr>
                <w:b/>
                <w:sz w:val="21"/>
              </w:rPr>
              <w:t>58.严重传染性心内膜炎</w:t>
            </w:r>
          </w:p>
        </w:tc>
        <w:tc>
          <w:tcPr>
            <w:tcW w:w="7834" w:type="dxa"/>
          </w:tcPr>
          <w:p>
            <w:pPr>
              <w:pStyle w:val="TableParagraph"/>
              <w:spacing w:before="98"/>
              <w:ind w:left="103"/>
              <w:rPr>
                <w:sz w:val="21"/>
              </w:rPr>
            </w:pPr>
            <w:r>
              <w:rPr>
                <w:sz w:val="21"/>
              </w:rPr>
              <w:t>是指由感染性微生物引致的心脏内膜炎症，并须符合下列所有准则：</w:t>
            </w:r>
          </w:p>
          <w:p>
            <w:pPr>
              <w:pStyle w:val="TableParagraph"/>
              <w:numPr>
                <w:ilvl w:val="0"/>
                <w:numId w:val="58"/>
              </w:numPr>
              <w:tabs>
                <w:tab w:pos="838" w:val="left" w:leader="none"/>
                <w:tab w:pos="839" w:val="left" w:leader="none"/>
              </w:tabs>
              <w:spacing w:line="240" w:lineRule="auto" w:before="37" w:after="0"/>
              <w:ind w:left="838" w:right="0" w:hanging="735"/>
              <w:jc w:val="left"/>
              <w:rPr>
                <w:sz w:val="21"/>
              </w:rPr>
            </w:pPr>
            <w:r>
              <w:rPr>
                <w:spacing w:val="-3"/>
                <w:sz w:val="21"/>
              </w:rPr>
              <w:t>血液培植结果呈阳性反应，证明感染性微生物的存在；</w:t>
            </w:r>
          </w:p>
          <w:p>
            <w:pPr>
              <w:pStyle w:val="TableParagraph"/>
              <w:numPr>
                <w:ilvl w:val="0"/>
                <w:numId w:val="58"/>
              </w:numPr>
              <w:tabs>
                <w:tab w:pos="839" w:val="left" w:leader="none"/>
              </w:tabs>
              <w:spacing w:line="266" w:lineRule="auto" w:before="37" w:after="0"/>
              <w:ind w:left="838" w:right="200" w:hanging="735"/>
              <w:jc w:val="both"/>
              <w:rPr>
                <w:sz w:val="21"/>
              </w:rPr>
            </w:pPr>
            <w:r>
              <w:rPr>
                <w:spacing w:val="-3"/>
                <w:sz w:val="21"/>
              </w:rPr>
              <w:t>出现最少中度之心脏瓣膜功能</w:t>
            </w:r>
            <w:r>
              <w:rPr>
                <w:rFonts w:ascii="Arial" w:eastAsia="Arial"/>
                <w:spacing w:val="-3"/>
                <w:w w:val="115"/>
                <w:sz w:val="21"/>
              </w:rPr>
              <w:t>不</w:t>
            </w:r>
            <w:r>
              <w:rPr>
                <w:sz w:val="21"/>
              </w:rPr>
              <w:t>全</w:t>
            </w:r>
            <w:r>
              <w:rPr>
                <w:spacing w:val="-3"/>
                <w:sz w:val="21"/>
              </w:rPr>
              <w:t>（即返流部份达百分之二十或以上）</w:t>
            </w:r>
            <w:r>
              <w:rPr>
                <w:sz w:val="21"/>
              </w:rPr>
              <w:t>或</w:t>
            </w:r>
            <w:r>
              <w:rPr>
                <w:spacing w:val="-5"/>
                <w:w w:val="100"/>
                <w:sz w:val="21"/>
              </w:rPr>
              <w:t>中度之心脏瓣膜狭窄</w:t>
            </w:r>
            <w:r>
              <w:rPr>
                <w:spacing w:val="-3"/>
                <w:w w:val="100"/>
                <w:sz w:val="21"/>
              </w:rPr>
              <w:t>（即心脏瓣面积为正常值的百分之三十或以下</w:t>
            </w:r>
            <w:r>
              <w:rPr>
                <w:spacing w:val="-108"/>
                <w:w w:val="100"/>
                <w:sz w:val="21"/>
              </w:rPr>
              <w:t>）</w:t>
            </w:r>
            <w:r>
              <w:rPr>
                <w:spacing w:val="-7"/>
                <w:w w:val="100"/>
                <w:sz w:val="21"/>
              </w:rPr>
              <w:t>，导致</w:t>
            </w:r>
            <w:r>
              <w:rPr>
                <w:spacing w:val="-5"/>
                <w:sz w:val="21"/>
              </w:rPr>
              <w:t>传染性心内膜炎；</w:t>
            </w:r>
          </w:p>
          <w:p>
            <w:pPr>
              <w:pStyle w:val="TableParagraph"/>
              <w:numPr>
                <w:ilvl w:val="0"/>
                <w:numId w:val="58"/>
              </w:numPr>
              <w:tabs>
                <w:tab w:pos="838" w:val="left" w:leader="none"/>
                <w:tab w:pos="839" w:val="left" w:leader="none"/>
              </w:tabs>
              <w:spacing w:line="273" w:lineRule="auto" w:before="13" w:after="0"/>
              <w:ind w:left="838" w:right="476" w:hanging="735"/>
              <w:jc w:val="left"/>
              <w:rPr>
                <w:sz w:val="21"/>
              </w:rPr>
            </w:pPr>
            <w:r>
              <w:rPr>
                <w:spacing w:val="-3"/>
                <w:sz w:val="21"/>
              </w:rPr>
              <w:t>传染性心内膜炎的诊断及瓣膜受损的严重程度必须由心脏病专科医生确定。</w:t>
            </w:r>
          </w:p>
        </w:tc>
      </w:tr>
      <w:tr>
        <w:trPr>
          <w:trHeight w:val="836" w:hRule="atLeast"/>
        </w:trPr>
        <w:tc>
          <w:tcPr>
            <w:tcW w:w="1515" w:type="dxa"/>
          </w:tcPr>
          <w:p>
            <w:pPr>
              <w:pStyle w:val="TableParagraph"/>
              <w:spacing w:line="273" w:lineRule="auto" w:before="89"/>
              <w:ind w:left="200" w:right="101"/>
              <w:rPr>
                <w:b/>
                <w:sz w:val="21"/>
              </w:rPr>
            </w:pPr>
            <w:r>
              <w:rPr>
                <w:b/>
                <w:sz w:val="21"/>
              </w:rPr>
              <w:t>59.嗜铬细胞瘤</w:t>
            </w:r>
          </w:p>
        </w:tc>
        <w:tc>
          <w:tcPr>
            <w:tcW w:w="7834" w:type="dxa"/>
          </w:tcPr>
          <w:p>
            <w:pPr>
              <w:pStyle w:val="TableParagraph"/>
              <w:spacing w:line="273" w:lineRule="auto" w:before="89"/>
              <w:ind w:left="103" w:right="158"/>
              <w:rPr>
                <w:sz w:val="21"/>
              </w:rPr>
            </w:pPr>
            <w:r>
              <w:rPr>
                <w:sz w:val="21"/>
              </w:rPr>
              <w:t>指肾上腺或嗜铬外组织出现神经内分泌肿瘤，并分泌过多的儿茶酚胺类，需要确实进</w:t>
            </w:r>
            <w:r>
              <w:rPr>
                <w:rFonts w:ascii="Arial" w:eastAsia="Arial"/>
                <w:w w:val="115"/>
                <w:sz w:val="21"/>
              </w:rPr>
              <w:t>行</w:t>
            </w:r>
            <w:r>
              <w:rPr>
                <w:sz w:val="21"/>
              </w:rPr>
              <w:t>手术以切除肿瘤。</w:t>
            </w:r>
          </w:p>
        </w:tc>
      </w:tr>
      <w:tr>
        <w:trPr>
          <w:trHeight w:val="2550" w:hRule="atLeast"/>
        </w:trPr>
        <w:tc>
          <w:tcPr>
            <w:tcW w:w="1515" w:type="dxa"/>
          </w:tcPr>
          <w:p>
            <w:pPr>
              <w:pStyle w:val="TableParagraph"/>
              <w:spacing w:line="273" w:lineRule="auto" w:before="85"/>
              <w:ind w:left="200" w:right="101"/>
              <w:rPr>
                <w:b/>
                <w:sz w:val="21"/>
              </w:rPr>
            </w:pPr>
            <w:r>
              <w:rPr>
                <w:b/>
                <w:sz w:val="21"/>
              </w:rPr>
              <w:t>60.严重自身免疫性肝炎</w:t>
            </w:r>
          </w:p>
        </w:tc>
        <w:tc>
          <w:tcPr>
            <w:tcW w:w="7834" w:type="dxa"/>
          </w:tcPr>
          <w:p>
            <w:pPr>
              <w:pStyle w:val="TableParagraph"/>
              <w:spacing w:line="273" w:lineRule="auto" w:before="85"/>
              <w:ind w:left="103" w:right="198"/>
              <w:jc w:val="both"/>
              <w:rPr>
                <w:sz w:val="21"/>
              </w:rPr>
            </w:pPr>
            <w:r>
              <w:rPr>
                <w:spacing w:val="-5"/>
                <w:sz w:val="21"/>
              </w:rPr>
              <w:t>自身免疫性肝炎是一种原因不明的慢性肝脏的坏死性炎性疾病，机体免疫机制被破</w:t>
            </w:r>
            <w:r>
              <w:rPr>
                <w:spacing w:val="-7"/>
                <w:sz w:val="21"/>
              </w:rPr>
              <w:t>坏，产生针对肝脏自身抗原的抗体导致自身免疫反应，从而破坏肝细胞造成肝脏炎</w:t>
            </w:r>
            <w:r>
              <w:rPr>
                <w:spacing w:val="-5"/>
                <w:sz w:val="21"/>
              </w:rPr>
              <w:t>症坏死。必须满足下列全部条件：</w:t>
            </w:r>
          </w:p>
          <w:p>
            <w:pPr>
              <w:pStyle w:val="TableParagraph"/>
              <w:numPr>
                <w:ilvl w:val="0"/>
                <w:numId w:val="59"/>
              </w:numPr>
              <w:tabs>
                <w:tab w:pos="838" w:val="left" w:leader="none"/>
                <w:tab w:pos="839" w:val="left" w:leader="none"/>
              </w:tabs>
              <w:spacing w:line="240" w:lineRule="auto" w:before="7" w:after="0"/>
              <w:ind w:left="838" w:right="0" w:hanging="735"/>
              <w:jc w:val="left"/>
              <w:rPr>
                <w:sz w:val="21"/>
              </w:rPr>
            </w:pPr>
            <w:r>
              <w:rPr>
                <w:sz w:val="21"/>
              </w:rPr>
              <w:t>高γ</w:t>
            </w:r>
            <w:r>
              <w:rPr>
                <w:spacing w:val="-3"/>
                <w:sz w:val="21"/>
              </w:rPr>
              <w:t>球蛋白血症；</w:t>
            </w:r>
          </w:p>
          <w:p>
            <w:pPr>
              <w:pStyle w:val="TableParagraph"/>
              <w:numPr>
                <w:ilvl w:val="0"/>
                <w:numId w:val="59"/>
              </w:numPr>
              <w:tabs>
                <w:tab w:pos="838" w:val="left" w:leader="none"/>
                <w:tab w:pos="839" w:val="left" w:leader="none"/>
              </w:tabs>
              <w:spacing w:line="273" w:lineRule="auto" w:before="36" w:after="0"/>
              <w:ind w:left="838" w:right="198" w:hanging="735"/>
              <w:jc w:val="left"/>
              <w:rPr>
                <w:sz w:val="21"/>
              </w:rPr>
            </w:pPr>
            <w:r>
              <w:rPr>
                <w:spacing w:val="-6"/>
                <w:sz w:val="21"/>
              </w:rPr>
              <w:t>血液中存在高水平的自身免疫抗体，如 ANA（</w:t>
            </w:r>
            <w:r>
              <w:rPr>
                <w:spacing w:val="-3"/>
                <w:sz w:val="21"/>
              </w:rPr>
              <w:t>抗核抗体</w:t>
            </w:r>
            <w:r>
              <w:rPr>
                <w:spacing w:val="-106"/>
                <w:sz w:val="21"/>
              </w:rPr>
              <w:t>）</w:t>
            </w:r>
            <w:r>
              <w:rPr>
                <w:spacing w:val="-24"/>
                <w:sz w:val="21"/>
              </w:rPr>
              <w:t>、</w:t>
            </w:r>
            <w:r>
              <w:rPr>
                <w:spacing w:val="-6"/>
                <w:sz w:val="21"/>
              </w:rPr>
              <w:t>SMA（</w:t>
            </w:r>
            <w:r>
              <w:rPr>
                <w:spacing w:val="-3"/>
                <w:sz w:val="21"/>
              </w:rPr>
              <w:t>抗平滑肌抗体</w:t>
            </w:r>
            <w:r>
              <w:rPr>
                <w:spacing w:val="-106"/>
                <w:sz w:val="21"/>
              </w:rPr>
              <w:t>）</w:t>
            </w:r>
            <w:r>
              <w:rPr>
                <w:spacing w:val="-18"/>
                <w:sz w:val="21"/>
              </w:rPr>
              <w:t>、抗 </w:t>
            </w:r>
            <w:r>
              <w:rPr>
                <w:sz w:val="21"/>
              </w:rPr>
              <w:t>LKM1</w:t>
            </w:r>
            <w:r>
              <w:rPr>
                <w:spacing w:val="-10"/>
                <w:sz w:val="21"/>
              </w:rPr>
              <w:t> 抗体或抗-</w:t>
            </w:r>
            <w:r>
              <w:rPr>
                <w:sz w:val="21"/>
              </w:rPr>
              <w:t>SLA/LP</w:t>
            </w:r>
            <w:r>
              <w:rPr>
                <w:spacing w:val="-15"/>
                <w:sz w:val="21"/>
              </w:rPr>
              <w:t> 抗体；</w:t>
            </w:r>
          </w:p>
          <w:p>
            <w:pPr>
              <w:pStyle w:val="TableParagraph"/>
              <w:numPr>
                <w:ilvl w:val="0"/>
                <w:numId w:val="59"/>
              </w:numPr>
              <w:tabs>
                <w:tab w:pos="839" w:val="left" w:leader="none"/>
              </w:tabs>
              <w:spacing w:line="240" w:lineRule="auto" w:before="7" w:after="0"/>
              <w:ind w:left="838" w:right="0" w:hanging="735"/>
              <w:jc w:val="both"/>
              <w:rPr>
                <w:sz w:val="21"/>
              </w:rPr>
            </w:pPr>
            <w:r>
              <w:rPr>
                <w:spacing w:val="-3"/>
                <w:sz w:val="21"/>
              </w:rPr>
              <w:t>肝脏活检证实免疫性肝炎；</w:t>
            </w:r>
          </w:p>
          <w:p>
            <w:pPr>
              <w:pStyle w:val="TableParagraph"/>
              <w:numPr>
                <w:ilvl w:val="0"/>
                <w:numId w:val="59"/>
              </w:numPr>
              <w:tabs>
                <w:tab w:pos="839" w:val="left" w:leader="none"/>
              </w:tabs>
              <w:spacing w:line="261" w:lineRule="exact" w:before="37" w:after="0"/>
              <w:ind w:left="838" w:right="0" w:hanging="735"/>
              <w:jc w:val="both"/>
              <w:rPr>
                <w:sz w:val="21"/>
              </w:rPr>
            </w:pPr>
            <w:r>
              <w:rPr>
                <w:spacing w:val="-3"/>
                <w:sz w:val="21"/>
              </w:rPr>
              <w:t>临床已经出现腹水、食道静脉曲张和脾肿大等肝硬化表现。</w:t>
            </w:r>
          </w:p>
        </w:tc>
      </w:tr>
    </w:tbl>
    <w:p>
      <w:pPr>
        <w:spacing w:after="0" w:line="261" w:lineRule="exact"/>
        <w:jc w:val="both"/>
        <w:rPr>
          <w:sz w:val="21"/>
        </w:rPr>
        <w:sectPr>
          <w:pgSz w:w="11910" w:h="16840"/>
          <w:pgMar w:header="0" w:footer="377" w:top="1340" w:bottom="560" w:left="1520" w:right="8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869"/>
      </w:tblGrid>
      <w:tr>
        <w:trPr>
          <w:trHeight w:val="3441" w:hRule="atLeast"/>
        </w:trPr>
        <w:tc>
          <w:tcPr>
            <w:tcW w:w="1515" w:type="dxa"/>
          </w:tcPr>
          <w:p>
            <w:pPr>
              <w:pStyle w:val="TableParagraph"/>
              <w:spacing w:line="205" w:lineRule="exact"/>
              <w:ind w:left="200"/>
              <w:rPr>
                <w:b/>
                <w:sz w:val="21"/>
              </w:rPr>
            </w:pPr>
            <w:r>
              <w:rPr>
                <w:b/>
                <w:sz w:val="21"/>
              </w:rPr>
              <w:t>61.疾病或外</w:t>
            </w:r>
          </w:p>
          <w:p>
            <w:pPr>
              <w:pStyle w:val="TableParagraph"/>
              <w:spacing w:line="273" w:lineRule="auto" w:before="37"/>
              <w:ind w:left="200" w:right="111"/>
              <w:rPr>
                <w:b/>
                <w:sz w:val="21"/>
              </w:rPr>
            </w:pPr>
            <w:r>
              <w:rPr>
                <w:b/>
                <w:sz w:val="21"/>
              </w:rPr>
              <w:t>伤 所致智力障碍</w:t>
            </w:r>
          </w:p>
        </w:tc>
        <w:tc>
          <w:tcPr>
            <w:tcW w:w="7869" w:type="dxa"/>
          </w:tcPr>
          <w:p>
            <w:pPr>
              <w:pStyle w:val="TableParagraph"/>
              <w:spacing w:line="205" w:lineRule="exact"/>
              <w:ind w:left="103"/>
              <w:rPr>
                <w:sz w:val="21"/>
              </w:rPr>
            </w:pPr>
            <w:r>
              <w:rPr>
                <w:spacing w:val="-3"/>
                <w:sz w:val="21"/>
              </w:rPr>
              <w:t>因严重头部创伤或疾病造成被保险人智力低常</w:t>
            </w:r>
            <w:r>
              <w:rPr>
                <w:sz w:val="21"/>
              </w:rPr>
              <w:t>（</w:t>
            </w:r>
            <w:r>
              <w:rPr>
                <w:spacing w:val="-3"/>
                <w:sz w:val="21"/>
              </w:rPr>
              <w:t>智力低于常态</w:t>
            </w:r>
            <w:r>
              <w:rPr>
                <w:spacing w:val="-106"/>
                <w:sz w:val="21"/>
              </w:rPr>
              <w:t>）</w:t>
            </w:r>
            <w:r>
              <w:rPr>
                <w:spacing w:val="-3"/>
                <w:sz w:val="21"/>
              </w:rPr>
              <w:t>。智力低常分为轻</w:t>
            </w:r>
          </w:p>
          <w:p>
            <w:pPr>
              <w:pStyle w:val="TableParagraph"/>
              <w:spacing w:line="273" w:lineRule="auto" w:before="37"/>
              <w:ind w:left="103" w:right="233"/>
              <w:rPr>
                <w:sz w:val="21"/>
              </w:rPr>
            </w:pPr>
            <w:r>
              <w:rPr>
                <w:w w:val="100"/>
                <w:sz w:val="21"/>
              </w:rPr>
              <w:t>度（I</w:t>
            </w:r>
            <w:r>
              <w:rPr>
                <w:spacing w:val="-3"/>
                <w:w w:val="100"/>
                <w:sz w:val="21"/>
              </w:rPr>
              <w:t>Q</w:t>
            </w:r>
            <w:r>
              <w:rPr>
                <w:w w:val="100"/>
                <w:sz w:val="21"/>
              </w:rPr>
              <w:t>50-</w:t>
            </w:r>
            <w:r>
              <w:rPr>
                <w:spacing w:val="-3"/>
                <w:w w:val="100"/>
                <w:sz w:val="21"/>
              </w:rPr>
              <w:t>7</w:t>
            </w:r>
            <w:r>
              <w:rPr>
                <w:w w:val="100"/>
                <w:sz w:val="21"/>
              </w:rPr>
              <w:t>0</w:t>
            </w:r>
            <w:r>
              <w:rPr>
                <w:spacing w:val="-106"/>
                <w:w w:val="100"/>
                <w:sz w:val="21"/>
              </w:rPr>
              <w:t>）</w:t>
            </w:r>
            <w:r>
              <w:rPr>
                <w:spacing w:val="-3"/>
                <w:w w:val="100"/>
                <w:sz w:val="21"/>
              </w:rPr>
              <w:t>、中度</w:t>
            </w:r>
            <w:r>
              <w:rPr>
                <w:spacing w:val="-1"/>
                <w:w w:val="100"/>
                <w:sz w:val="21"/>
              </w:rPr>
              <w:t>（</w:t>
            </w:r>
            <w:r>
              <w:rPr>
                <w:w w:val="100"/>
                <w:sz w:val="21"/>
              </w:rPr>
              <w:t>I</w:t>
            </w:r>
            <w:r>
              <w:rPr>
                <w:spacing w:val="-3"/>
                <w:w w:val="100"/>
                <w:sz w:val="21"/>
              </w:rPr>
              <w:t>Q3</w:t>
            </w:r>
            <w:r>
              <w:rPr>
                <w:spacing w:val="-1"/>
                <w:w w:val="100"/>
                <w:sz w:val="21"/>
              </w:rPr>
              <w:t>5</w:t>
            </w:r>
            <w:r>
              <w:rPr>
                <w:w w:val="100"/>
                <w:sz w:val="21"/>
              </w:rPr>
              <w:t>-50</w:t>
            </w:r>
            <w:r>
              <w:rPr>
                <w:spacing w:val="-108"/>
                <w:w w:val="100"/>
                <w:sz w:val="21"/>
              </w:rPr>
              <w:t>）</w:t>
            </w:r>
            <w:r>
              <w:rPr>
                <w:spacing w:val="-2"/>
                <w:w w:val="100"/>
                <w:sz w:val="21"/>
              </w:rPr>
              <w:t>、重度</w:t>
            </w:r>
            <w:r>
              <w:rPr>
                <w:w w:val="100"/>
                <w:sz w:val="21"/>
              </w:rPr>
              <w:t>（</w:t>
            </w:r>
            <w:r>
              <w:rPr>
                <w:spacing w:val="-3"/>
                <w:w w:val="100"/>
                <w:sz w:val="21"/>
              </w:rPr>
              <w:t>I</w:t>
            </w:r>
            <w:r>
              <w:rPr>
                <w:w w:val="100"/>
                <w:sz w:val="21"/>
              </w:rPr>
              <w:t>Q2</w:t>
            </w:r>
            <w:r>
              <w:rPr>
                <w:spacing w:val="-1"/>
                <w:w w:val="100"/>
                <w:sz w:val="21"/>
              </w:rPr>
              <w:t>0</w:t>
            </w:r>
            <w:r>
              <w:rPr>
                <w:spacing w:val="-3"/>
                <w:w w:val="100"/>
                <w:sz w:val="21"/>
              </w:rPr>
              <w:t>-</w:t>
            </w:r>
            <w:r>
              <w:rPr>
                <w:w w:val="100"/>
                <w:sz w:val="21"/>
              </w:rPr>
              <w:t>35</w:t>
            </w:r>
            <w:r>
              <w:rPr>
                <w:spacing w:val="-3"/>
                <w:w w:val="100"/>
                <w:sz w:val="21"/>
              </w:rPr>
              <w:t>）</w:t>
            </w:r>
            <w:r>
              <w:rPr>
                <w:spacing w:val="-1"/>
                <w:w w:val="100"/>
                <w:sz w:val="21"/>
              </w:rPr>
              <w:t>和极重度</w:t>
            </w:r>
            <w:r>
              <w:rPr>
                <w:spacing w:val="-2"/>
                <w:w w:val="100"/>
                <w:sz w:val="21"/>
              </w:rPr>
              <w:t>（</w:t>
            </w:r>
            <w:r>
              <w:rPr>
                <w:w w:val="100"/>
                <w:sz w:val="21"/>
              </w:rPr>
              <w:t>IQ&lt;</w:t>
            </w:r>
            <w:r>
              <w:rPr>
                <w:spacing w:val="-3"/>
                <w:w w:val="100"/>
                <w:sz w:val="21"/>
              </w:rPr>
              <w:t>2</w:t>
            </w:r>
            <w:r>
              <w:rPr>
                <w:spacing w:val="-1"/>
                <w:w w:val="100"/>
                <w:sz w:val="21"/>
              </w:rPr>
              <w:t>0</w:t>
            </w:r>
            <w:r>
              <w:rPr>
                <w:spacing w:val="-106"/>
                <w:w w:val="100"/>
                <w:sz w:val="21"/>
              </w:rPr>
              <w:t>）</w:t>
            </w:r>
            <w:r>
              <w:rPr>
                <w:spacing w:val="-3"/>
                <w:w w:val="100"/>
                <w:sz w:val="21"/>
              </w:rPr>
              <w:t>。智商的检</w:t>
            </w:r>
            <w:r>
              <w:rPr>
                <w:spacing w:val="-5"/>
                <w:sz w:val="21"/>
              </w:rPr>
              <w:t>测必须由本公司认可的专职心理测验工作者进行，心理测验工作者必须持有由心理</w:t>
            </w:r>
            <w:r>
              <w:rPr>
                <w:spacing w:val="-7"/>
                <w:sz w:val="21"/>
              </w:rPr>
              <w:t>测量专业委员会资格认定书。根据被保险人年龄采用对应的智力量表如韦克斯勒智</w:t>
            </w:r>
            <w:r>
              <w:rPr>
                <w:spacing w:val="-6"/>
                <w:sz w:val="21"/>
              </w:rPr>
              <w:t>力量表</w:t>
            </w:r>
            <w:r>
              <w:rPr>
                <w:sz w:val="21"/>
              </w:rPr>
              <w:t>（</w:t>
            </w:r>
            <w:r>
              <w:rPr>
                <w:spacing w:val="-3"/>
                <w:sz w:val="21"/>
              </w:rPr>
              <w:t>儿童智力量表或成人智力量表</w:t>
            </w:r>
            <w:r>
              <w:rPr>
                <w:spacing w:val="-108"/>
                <w:sz w:val="21"/>
              </w:rPr>
              <w:t>）</w:t>
            </w:r>
            <w:r>
              <w:rPr>
                <w:spacing w:val="-3"/>
                <w:sz w:val="21"/>
              </w:rPr>
              <w:t>。必须满足下列全部条件：</w:t>
            </w:r>
          </w:p>
          <w:p>
            <w:pPr>
              <w:pStyle w:val="TableParagraph"/>
              <w:spacing w:line="273" w:lineRule="auto" w:before="7"/>
              <w:ind w:left="103" w:right="303"/>
              <w:rPr>
                <w:sz w:val="21"/>
              </w:rPr>
            </w:pPr>
            <w:r>
              <w:rPr>
                <w:sz w:val="21"/>
              </w:rPr>
              <w:t>（1）造成被保险人智力低常（智力低于常态）的严重头部创伤或疾病（以入院日期为准）发生在被保险人 6 周岁以后；</w:t>
            </w:r>
          </w:p>
          <w:p>
            <w:pPr>
              <w:pStyle w:val="TableParagraph"/>
              <w:spacing w:before="7"/>
              <w:ind w:left="103"/>
              <w:rPr>
                <w:sz w:val="21"/>
              </w:rPr>
            </w:pPr>
            <w:r>
              <w:rPr>
                <w:sz w:val="21"/>
              </w:rPr>
              <w:t>（2）专科医师确诊被保险人由于严重头部创伤或疾病造成智力低常；</w:t>
            </w:r>
          </w:p>
          <w:p>
            <w:pPr>
              <w:pStyle w:val="TableParagraph"/>
              <w:spacing w:line="273" w:lineRule="auto" w:before="37"/>
              <w:ind w:left="103" w:right="303"/>
              <w:rPr>
                <w:sz w:val="21"/>
              </w:rPr>
            </w:pPr>
            <w:r>
              <w:rPr>
                <w:sz w:val="21"/>
              </w:rPr>
              <w:t>（3）</w:t>
            </w:r>
            <w:r>
              <w:rPr>
                <w:spacing w:val="-3"/>
                <w:sz w:val="21"/>
              </w:rPr>
              <w:t>专职合格心理检测工作者适时做的心理检测证实被保险人智力低常</w:t>
            </w:r>
            <w:r>
              <w:rPr>
                <w:sz w:val="21"/>
              </w:rPr>
              <w:t>（</w:t>
            </w:r>
            <w:r>
              <w:rPr>
                <w:spacing w:val="-2"/>
                <w:sz w:val="21"/>
              </w:rPr>
              <w:t>轻度、</w:t>
            </w:r>
            <w:r>
              <w:rPr>
                <w:spacing w:val="-3"/>
                <w:w w:val="100"/>
                <w:sz w:val="21"/>
              </w:rPr>
              <w:t>中度、重度或极重度</w:t>
            </w:r>
            <w:r>
              <w:rPr>
                <w:spacing w:val="-106"/>
                <w:w w:val="100"/>
                <w:sz w:val="21"/>
              </w:rPr>
              <w:t>）</w:t>
            </w:r>
            <w:r>
              <w:rPr>
                <w:w w:val="100"/>
                <w:sz w:val="21"/>
              </w:rPr>
              <w:t>；</w:t>
            </w:r>
          </w:p>
          <w:p>
            <w:pPr>
              <w:pStyle w:val="TableParagraph"/>
              <w:spacing w:before="7"/>
              <w:ind w:left="103"/>
              <w:rPr>
                <w:sz w:val="21"/>
              </w:rPr>
            </w:pPr>
            <w:r>
              <w:rPr>
                <w:sz w:val="21"/>
              </w:rPr>
              <w:t>（4）被保险人的智力低常自确认日起持续 180 天以上。</w:t>
            </w:r>
          </w:p>
        </w:tc>
      </w:tr>
      <w:tr>
        <w:trPr>
          <w:trHeight w:val="1097" w:hRule="atLeast"/>
        </w:trPr>
        <w:tc>
          <w:tcPr>
            <w:tcW w:w="1515" w:type="dxa"/>
          </w:tcPr>
          <w:p>
            <w:pPr>
              <w:pStyle w:val="TableParagraph"/>
              <w:spacing w:line="273" w:lineRule="auto" w:before="41"/>
              <w:ind w:left="200" w:right="101"/>
              <w:jc w:val="both"/>
              <w:rPr>
                <w:b/>
                <w:sz w:val="21"/>
              </w:rPr>
            </w:pPr>
            <w:r>
              <w:rPr>
                <w:b/>
                <w:sz w:val="21"/>
              </w:rPr>
              <w:t>62.自体造血干 细胞移植术</w:t>
            </w:r>
          </w:p>
        </w:tc>
        <w:tc>
          <w:tcPr>
            <w:tcW w:w="7869" w:type="dxa"/>
          </w:tcPr>
          <w:p>
            <w:pPr>
              <w:pStyle w:val="TableParagraph"/>
              <w:spacing w:line="273" w:lineRule="auto" w:before="41"/>
              <w:ind w:left="103" w:right="233"/>
              <w:jc w:val="both"/>
              <w:rPr>
                <w:sz w:val="21"/>
              </w:rPr>
            </w:pPr>
            <w:r>
              <w:rPr>
                <w:spacing w:val="-5"/>
                <w:sz w:val="21"/>
              </w:rPr>
              <w:t>为治疗造血功能损害或造血系统恶性肿瘤，已经实施了造血干细胞</w:t>
            </w:r>
            <w:r>
              <w:rPr>
                <w:spacing w:val="-3"/>
                <w:sz w:val="21"/>
              </w:rPr>
              <w:t>（包括骨髓造血</w:t>
            </w:r>
            <w:r>
              <w:rPr>
                <w:spacing w:val="-5"/>
                <w:sz w:val="21"/>
              </w:rPr>
              <w:t>干细胞、外周血造血干细胞和脐血造血干细胞</w:t>
            </w:r>
            <w:r>
              <w:rPr>
                <w:spacing w:val="-13"/>
                <w:sz w:val="21"/>
              </w:rPr>
              <w:t>）</w:t>
            </w:r>
            <w:r>
              <w:rPr>
                <w:spacing w:val="-5"/>
                <w:sz w:val="21"/>
              </w:rPr>
              <w:t>的自体移植手术。该治疗须由专科</w:t>
            </w:r>
            <w:r>
              <w:rPr>
                <w:spacing w:val="-4"/>
                <w:sz w:val="21"/>
              </w:rPr>
              <w:t>医生认为在临床上是必需的。</w:t>
            </w:r>
          </w:p>
        </w:tc>
      </w:tr>
      <w:tr>
        <w:trPr>
          <w:trHeight w:val="2095" w:hRule="atLeast"/>
        </w:trPr>
        <w:tc>
          <w:tcPr>
            <w:tcW w:w="1515" w:type="dxa"/>
          </w:tcPr>
          <w:p>
            <w:pPr>
              <w:pStyle w:val="TableParagraph"/>
              <w:spacing w:line="273" w:lineRule="auto" w:before="81"/>
              <w:ind w:left="200" w:right="101"/>
              <w:rPr>
                <w:b/>
                <w:sz w:val="21"/>
              </w:rPr>
            </w:pPr>
            <w:r>
              <w:rPr>
                <w:b/>
                <w:sz w:val="21"/>
              </w:rPr>
              <w:t>63.严重瑞氏综合征</w:t>
            </w:r>
          </w:p>
        </w:tc>
        <w:tc>
          <w:tcPr>
            <w:tcW w:w="7869" w:type="dxa"/>
          </w:tcPr>
          <w:p>
            <w:pPr>
              <w:pStyle w:val="TableParagraph"/>
              <w:spacing w:line="273" w:lineRule="auto" w:before="81"/>
              <w:ind w:left="103" w:right="197"/>
              <w:jc w:val="both"/>
              <w:rPr>
                <w:sz w:val="21"/>
              </w:rPr>
            </w:pPr>
            <w:r>
              <w:rPr>
                <w:spacing w:val="-6"/>
                <w:sz w:val="21"/>
              </w:rPr>
              <w:t>瑞氏综合征是线粒体功能障碍性疾病。导致脂肪代谢障碍，引起短链脂肪酸、血氨</w:t>
            </w:r>
            <w:r>
              <w:rPr>
                <w:spacing w:val="-4"/>
                <w:sz w:val="21"/>
              </w:rPr>
              <w:t>升高，造成脑水肿。主要临床表现为急性发热、反复呕吐、惊厥及意识障碍等等。</w:t>
            </w:r>
            <w:r>
              <w:rPr>
                <w:spacing w:val="-3"/>
                <w:sz w:val="21"/>
              </w:rPr>
              <w:t>瑞氏综合征需由三级医院的专科医生确诊，并须满足下列全部条件：</w:t>
            </w:r>
          </w:p>
          <w:p>
            <w:pPr>
              <w:pStyle w:val="TableParagraph"/>
              <w:numPr>
                <w:ilvl w:val="0"/>
                <w:numId w:val="60"/>
              </w:numPr>
              <w:tabs>
                <w:tab w:pos="839" w:val="left" w:leader="none"/>
              </w:tabs>
              <w:spacing w:line="240" w:lineRule="auto" w:before="7" w:after="0"/>
              <w:ind w:left="838" w:right="0" w:hanging="735"/>
              <w:jc w:val="both"/>
              <w:rPr>
                <w:sz w:val="21"/>
              </w:rPr>
            </w:pPr>
            <w:r>
              <w:rPr>
                <w:spacing w:val="-3"/>
                <w:sz w:val="21"/>
              </w:rPr>
              <w:t>有脑水肿和颅内压升高的脑脊液检查和影像学检查证据；</w:t>
            </w:r>
          </w:p>
          <w:p>
            <w:pPr>
              <w:pStyle w:val="TableParagraph"/>
              <w:numPr>
                <w:ilvl w:val="0"/>
                <w:numId w:val="60"/>
              </w:numPr>
              <w:tabs>
                <w:tab w:pos="839" w:val="left" w:leader="none"/>
              </w:tabs>
              <w:spacing w:line="240" w:lineRule="auto" w:before="37" w:after="0"/>
              <w:ind w:left="838" w:right="0" w:hanging="735"/>
              <w:jc w:val="both"/>
              <w:rPr>
                <w:sz w:val="21"/>
              </w:rPr>
            </w:pPr>
            <w:r>
              <w:rPr>
                <w:spacing w:val="-8"/>
                <w:sz w:val="21"/>
              </w:rPr>
              <w:t>血氨超过正常值的 </w:t>
            </w:r>
            <w:r>
              <w:rPr>
                <w:sz w:val="21"/>
              </w:rPr>
              <w:t>3</w:t>
            </w:r>
            <w:r>
              <w:rPr>
                <w:spacing w:val="-17"/>
                <w:sz w:val="21"/>
              </w:rPr>
              <w:t> 倍；</w:t>
            </w:r>
          </w:p>
          <w:p>
            <w:pPr>
              <w:pStyle w:val="TableParagraph"/>
              <w:numPr>
                <w:ilvl w:val="0"/>
                <w:numId w:val="60"/>
              </w:numPr>
              <w:tabs>
                <w:tab w:pos="839" w:val="left" w:leader="none"/>
              </w:tabs>
              <w:spacing w:line="240" w:lineRule="auto" w:before="37" w:after="0"/>
              <w:ind w:left="838" w:right="0" w:hanging="735"/>
              <w:jc w:val="both"/>
              <w:rPr>
                <w:sz w:val="21"/>
              </w:rPr>
            </w:pPr>
            <w:r>
              <w:rPr>
                <w:spacing w:val="-5"/>
                <w:sz w:val="21"/>
              </w:rPr>
              <w:t>临床出现昏迷，病程至少达到疾病分期第 </w:t>
            </w:r>
            <w:r>
              <w:rPr>
                <w:sz w:val="21"/>
              </w:rPr>
              <w:t>3</w:t>
            </w:r>
            <w:r>
              <w:rPr>
                <w:spacing w:val="-16"/>
                <w:sz w:val="21"/>
              </w:rPr>
              <w:t> 期。</w:t>
            </w:r>
          </w:p>
        </w:tc>
      </w:tr>
      <w:tr>
        <w:trPr>
          <w:trHeight w:val="1459" w:hRule="atLeast"/>
        </w:trPr>
        <w:tc>
          <w:tcPr>
            <w:tcW w:w="1515" w:type="dxa"/>
          </w:tcPr>
          <w:p>
            <w:pPr>
              <w:pStyle w:val="TableParagraph"/>
              <w:spacing w:line="273" w:lineRule="auto" w:before="103"/>
              <w:ind w:left="200" w:right="101"/>
              <w:rPr>
                <w:b/>
                <w:sz w:val="21"/>
              </w:rPr>
            </w:pPr>
            <w:r>
              <w:rPr>
                <w:b/>
                <w:sz w:val="21"/>
              </w:rPr>
              <w:t>64.严重肠道疾病并发症</w:t>
            </w:r>
          </w:p>
        </w:tc>
        <w:tc>
          <w:tcPr>
            <w:tcW w:w="7869" w:type="dxa"/>
          </w:tcPr>
          <w:p>
            <w:pPr>
              <w:pStyle w:val="TableParagraph"/>
              <w:spacing w:before="103"/>
              <w:ind w:left="103"/>
              <w:rPr>
                <w:sz w:val="21"/>
              </w:rPr>
            </w:pPr>
            <w:r>
              <w:rPr>
                <w:sz w:val="21"/>
              </w:rPr>
              <w:t>严重肠道疾病或外伤导致小肠损害并发症，并须满足下列全部条件：</w:t>
            </w:r>
          </w:p>
          <w:p>
            <w:pPr>
              <w:pStyle w:val="TableParagraph"/>
              <w:numPr>
                <w:ilvl w:val="0"/>
                <w:numId w:val="61"/>
              </w:numPr>
              <w:tabs>
                <w:tab w:pos="838" w:val="left" w:leader="none"/>
                <w:tab w:pos="839" w:val="left" w:leader="none"/>
              </w:tabs>
              <w:spacing w:line="240" w:lineRule="auto" w:before="37" w:after="0"/>
              <w:ind w:left="838" w:right="0" w:hanging="735"/>
              <w:jc w:val="left"/>
              <w:rPr>
                <w:sz w:val="21"/>
              </w:rPr>
            </w:pPr>
            <w:r>
              <w:rPr>
                <w:spacing w:val="-3"/>
                <w:sz w:val="21"/>
              </w:rPr>
              <w:t>至少切除了三分之二小肠；</w:t>
            </w:r>
          </w:p>
          <w:p>
            <w:pPr>
              <w:pStyle w:val="TableParagraph"/>
              <w:numPr>
                <w:ilvl w:val="0"/>
                <w:numId w:val="61"/>
              </w:numPr>
              <w:tabs>
                <w:tab w:pos="838" w:val="left" w:leader="none"/>
                <w:tab w:pos="839" w:val="left" w:leader="none"/>
              </w:tabs>
              <w:spacing w:line="240" w:lineRule="auto" w:before="37" w:after="0"/>
              <w:ind w:left="838" w:right="0" w:hanging="735"/>
              <w:jc w:val="left"/>
              <w:rPr>
                <w:sz w:val="21"/>
              </w:rPr>
            </w:pPr>
            <w:r>
              <w:rPr>
                <w:spacing w:val="-3"/>
                <w:sz w:val="21"/>
              </w:rPr>
              <w:t>完全肠外营养支持三个月以上。</w:t>
            </w:r>
          </w:p>
          <w:p>
            <w:pPr>
              <w:pStyle w:val="TableParagraph"/>
              <w:spacing w:before="37"/>
              <w:ind w:left="103"/>
              <w:rPr>
                <w:rFonts w:ascii="黑体" w:eastAsia="黑体" w:hint="eastAsia"/>
                <w:sz w:val="21"/>
              </w:rPr>
            </w:pPr>
            <w:r>
              <w:rPr>
                <w:rFonts w:ascii="黑体" w:eastAsia="黑体" w:hint="eastAsia"/>
                <w:sz w:val="21"/>
              </w:rPr>
              <w:t>本项保险责任仅在被保险人18周岁以前提供保障。</w:t>
            </w:r>
          </w:p>
        </w:tc>
      </w:tr>
      <w:tr>
        <w:trPr>
          <w:trHeight w:val="2975" w:hRule="atLeast"/>
        </w:trPr>
        <w:tc>
          <w:tcPr>
            <w:tcW w:w="1515" w:type="dxa"/>
          </w:tcPr>
          <w:p>
            <w:pPr>
              <w:pStyle w:val="TableParagraph"/>
              <w:spacing w:line="273" w:lineRule="auto" w:before="69"/>
              <w:ind w:left="200" w:right="101"/>
              <w:jc w:val="both"/>
              <w:rPr>
                <w:b/>
                <w:sz w:val="21"/>
              </w:rPr>
            </w:pPr>
            <w:r>
              <w:rPr>
                <w:b/>
                <w:sz w:val="21"/>
              </w:rPr>
              <w:t>65.重症骨髓增 生异常综合征</w:t>
            </w:r>
          </w:p>
        </w:tc>
        <w:tc>
          <w:tcPr>
            <w:tcW w:w="7869" w:type="dxa"/>
          </w:tcPr>
          <w:p>
            <w:pPr>
              <w:pStyle w:val="TableParagraph"/>
              <w:spacing w:line="273" w:lineRule="auto" w:before="69"/>
              <w:ind w:left="103" w:right="199"/>
              <w:rPr>
                <w:sz w:val="21"/>
              </w:rPr>
            </w:pPr>
            <w:r>
              <w:rPr>
                <w:spacing w:val="-3"/>
                <w:sz w:val="21"/>
              </w:rPr>
              <w:t>重症骨髓增生异常综合征</w:t>
            </w:r>
            <w:r>
              <w:rPr>
                <w:sz w:val="21"/>
              </w:rPr>
              <w:t>（Myelodysplastic syndromes</w:t>
            </w:r>
            <w:r>
              <w:rPr>
                <w:spacing w:val="1"/>
                <w:sz w:val="21"/>
              </w:rPr>
              <w:t>, </w:t>
            </w:r>
            <w:r>
              <w:rPr>
                <w:sz w:val="21"/>
              </w:rPr>
              <w:t>MDS</w:t>
            </w:r>
            <w:r>
              <w:rPr>
                <w:spacing w:val="-3"/>
                <w:sz w:val="21"/>
              </w:rPr>
              <w:t>)是起源于造血干细</w:t>
            </w:r>
            <w:r>
              <w:rPr>
                <w:spacing w:val="-6"/>
                <w:sz w:val="21"/>
              </w:rPr>
              <w:t>胞的一组异质性髓系克隆性疾病，特点是髓系细胞发育异常，表现为无效造血、难</w:t>
            </w:r>
            <w:r>
              <w:rPr>
                <w:spacing w:val="-4"/>
                <w:sz w:val="21"/>
              </w:rPr>
              <w:t>治性血细胞减少，本合同所指的严重的骨髓异常增生综合征需满足下列所有条件：</w:t>
            </w:r>
          </w:p>
          <w:p>
            <w:pPr>
              <w:pStyle w:val="TableParagraph"/>
              <w:numPr>
                <w:ilvl w:val="0"/>
                <w:numId w:val="62"/>
              </w:numPr>
              <w:tabs>
                <w:tab w:pos="838" w:val="left" w:leader="none"/>
                <w:tab w:pos="839" w:val="left" w:leader="none"/>
              </w:tabs>
              <w:spacing w:line="273" w:lineRule="auto" w:before="7" w:after="0"/>
              <w:ind w:left="838" w:right="302" w:hanging="735"/>
              <w:jc w:val="left"/>
              <w:rPr>
                <w:sz w:val="21"/>
              </w:rPr>
            </w:pPr>
            <w:r>
              <w:rPr>
                <w:spacing w:val="-3"/>
                <w:sz w:val="21"/>
              </w:rPr>
              <w:t>由设有专门血液病专科的公立三级甲等医院血液病专科的主治级别以上的医师确诊；</w:t>
            </w:r>
          </w:p>
          <w:p>
            <w:pPr>
              <w:pStyle w:val="TableParagraph"/>
              <w:numPr>
                <w:ilvl w:val="0"/>
                <w:numId w:val="62"/>
              </w:numPr>
              <w:tabs>
                <w:tab w:pos="838" w:val="left" w:leader="none"/>
                <w:tab w:pos="839" w:val="left" w:leader="none"/>
              </w:tabs>
              <w:spacing w:line="240" w:lineRule="auto" w:before="8" w:after="0"/>
              <w:ind w:left="838" w:right="0" w:hanging="735"/>
              <w:jc w:val="left"/>
              <w:rPr>
                <w:sz w:val="21"/>
              </w:rPr>
            </w:pPr>
            <w:r>
              <w:rPr>
                <w:spacing w:val="-3"/>
                <w:sz w:val="21"/>
              </w:rPr>
              <w:t>骨髓涂片检查同时符合发育异常细胞比例</w:t>
            </w:r>
            <w:r>
              <w:rPr>
                <w:sz w:val="21"/>
              </w:rPr>
              <w:t>&gt;10</w:t>
            </w:r>
            <w:r>
              <w:rPr>
                <w:spacing w:val="-2"/>
                <w:sz w:val="21"/>
              </w:rPr>
              <w:t>%、原始细胞比例</w:t>
            </w:r>
            <w:r>
              <w:rPr>
                <w:sz w:val="21"/>
              </w:rPr>
              <w:t>&gt;15%；</w:t>
            </w:r>
          </w:p>
          <w:p>
            <w:pPr>
              <w:pStyle w:val="TableParagraph"/>
              <w:numPr>
                <w:ilvl w:val="0"/>
                <w:numId w:val="62"/>
              </w:numPr>
              <w:tabs>
                <w:tab w:pos="838" w:val="left" w:leader="none"/>
                <w:tab w:pos="839" w:val="left" w:leader="none"/>
              </w:tabs>
              <w:spacing w:line="240" w:lineRule="auto" w:before="37" w:after="0"/>
              <w:ind w:left="838" w:right="0" w:hanging="735"/>
              <w:jc w:val="left"/>
              <w:rPr>
                <w:sz w:val="21"/>
              </w:rPr>
            </w:pPr>
            <w:r>
              <w:rPr>
                <w:spacing w:val="-8"/>
                <w:sz w:val="21"/>
              </w:rPr>
              <w:t>已接受至少累计 </w:t>
            </w:r>
            <w:r>
              <w:rPr>
                <w:sz w:val="21"/>
              </w:rPr>
              <w:t>30</w:t>
            </w:r>
            <w:r>
              <w:rPr>
                <w:spacing w:val="-8"/>
                <w:sz w:val="21"/>
              </w:rPr>
              <w:t> 日的化疗或已接受骨髓移植治疗。</w:t>
            </w:r>
          </w:p>
          <w:p>
            <w:pPr>
              <w:pStyle w:val="TableParagraph"/>
              <w:spacing w:before="37"/>
              <w:ind w:left="103"/>
              <w:rPr>
                <w:sz w:val="21"/>
              </w:rPr>
            </w:pPr>
            <w:r>
              <w:rPr>
                <w:sz w:val="21"/>
              </w:rPr>
              <w:t>化疗日数的计算以被保险人实际服用、注射化疗药物的天数为准。</w:t>
            </w:r>
          </w:p>
          <w:p>
            <w:pPr>
              <w:pStyle w:val="TableParagraph"/>
              <w:spacing w:before="37"/>
              <w:ind w:left="103"/>
              <w:rPr>
                <w:rFonts w:ascii="黑体" w:eastAsia="黑体" w:hint="eastAsia"/>
                <w:sz w:val="21"/>
              </w:rPr>
            </w:pPr>
            <w:r>
              <w:rPr>
                <w:rFonts w:ascii="黑体" w:eastAsia="黑体" w:hint="eastAsia"/>
                <w:sz w:val="21"/>
              </w:rPr>
              <w:t>疑似病例不在保障范围之内。</w:t>
            </w:r>
          </w:p>
        </w:tc>
      </w:tr>
      <w:tr>
        <w:trPr>
          <w:trHeight w:val="1418" w:hRule="atLeast"/>
        </w:trPr>
        <w:tc>
          <w:tcPr>
            <w:tcW w:w="1515" w:type="dxa"/>
          </w:tcPr>
          <w:p>
            <w:pPr>
              <w:pStyle w:val="TableParagraph"/>
              <w:spacing w:line="273" w:lineRule="auto" w:before="58"/>
              <w:ind w:left="200" w:right="101"/>
              <w:jc w:val="both"/>
              <w:rPr>
                <w:b/>
                <w:sz w:val="21"/>
              </w:rPr>
            </w:pPr>
            <w:r>
              <w:rPr>
                <w:b/>
                <w:sz w:val="21"/>
              </w:rPr>
              <w:t>66.严重慢性缩 窄型心包炎</w:t>
            </w:r>
          </w:p>
        </w:tc>
        <w:tc>
          <w:tcPr>
            <w:tcW w:w="7869" w:type="dxa"/>
          </w:tcPr>
          <w:p>
            <w:pPr>
              <w:pStyle w:val="TableParagraph"/>
              <w:spacing w:line="273" w:lineRule="auto" w:before="58"/>
              <w:ind w:left="103" w:right="197"/>
              <w:jc w:val="both"/>
              <w:rPr>
                <w:sz w:val="21"/>
              </w:rPr>
            </w:pPr>
            <w:r>
              <w:rPr>
                <w:spacing w:val="-3"/>
                <w:sz w:val="21"/>
              </w:rPr>
              <w:t>由于慢性心包炎症导致心包脏层和壁层广泛瘢痕粘连、增厚和钙化，心包腔闭塞， </w:t>
            </w:r>
            <w:r>
              <w:rPr>
                <w:spacing w:val="-7"/>
                <w:sz w:val="21"/>
              </w:rPr>
              <w:t>形成一个纤维瘢痕外壳，使心脏和大血管根部受压，妨碍心脏的舒张。必需经心脏科专科医生明确诊断为慢性缩窄性心包炎，并且已经造成永久不可逆性的体力活动能力受限，达到美国纽约心脏病学会心功能状态分级 </w:t>
            </w:r>
            <w:r>
              <w:rPr>
                <w:sz w:val="21"/>
              </w:rPr>
              <w:t>IV</w:t>
            </w:r>
            <w:r>
              <w:rPr>
                <w:spacing w:val="-7"/>
                <w:sz w:val="21"/>
              </w:rPr>
              <w:t> 级，并持续 </w:t>
            </w:r>
            <w:r>
              <w:rPr>
                <w:sz w:val="21"/>
              </w:rPr>
              <w:t>180</w:t>
            </w:r>
            <w:r>
              <w:rPr>
                <w:spacing w:val="-11"/>
                <w:sz w:val="21"/>
              </w:rPr>
              <w:t> 天以上。</w:t>
            </w:r>
          </w:p>
        </w:tc>
      </w:tr>
      <w:tr>
        <w:trPr>
          <w:trHeight w:val="1914" w:hRule="atLeast"/>
        </w:trPr>
        <w:tc>
          <w:tcPr>
            <w:tcW w:w="1515" w:type="dxa"/>
          </w:tcPr>
          <w:p>
            <w:pPr>
              <w:pStyle w:val="TableParagraph"/>
              <w:spacing w:line="273" w:lineRule="auto" w:before="73"/>
              <w:ind w:left="200" w:right="101"/>
              <w:rPr>
                <w:b/>
                <w:sz w:val="21"/>
              </w:rPr>
            </w:pPr>
            <w:r>
              <w:rPr>
                <w:b/>
                <w:sz w:val="21"/>
              </w:rPr>
              <w:t>67.重症手足口病</w:t>
            </w:r>
          </w:p>
        </w:tc>
        <w:tc>
          <w:tcPr>
            <w:tcW w:w="7869" w:type="dxa"/>
          </w:tcPr>
          <w:p>
            <w:pPr>
              <w:pStyle w:val="TableParagraph"/>
              <w:spacing w:line="273" w:lineRule="auto" w:before="73"/>
              <w:ind w:left="103" w:right="233"/>
              <w:jc w:val="both"/>
              <w:rPr>
                <w:sz w:val="21"/>
              </w:rPr>
            </w:pPr>
            <w:r>
              <w:rPr>
                <w:spacing w:val="-7"/>
                <w:sz w:val="21"/>
              </w:rPr>
              <w:t>由肠道病毒引起的急性传染病，主要症状表现为手、足、口腔等部位的斑丘疹、疱</w:t>
            </w:r>
            <w:r>
              <w:rPr>
                <w:spacing w:val="-8"/>
                <w:sz w:val="21"/>
              </w:rPr>
              <w:t>疹。经本公司认可的医疗机构的专科医生确诊为患有手足口病，并伴有下列三项中</w:t>
            </w:r>
            <w:r>
              <w:rPr>
                <w:spacing w:val="-3"/>
                <w:sz w:val="21"/>
              </w:rPr>
              <w:t>的任意一项并发症：</w:t>
            </w:r>
          </w:p>
          <w:p>
            <w:pPr>
              <w:pStyle w:val="TableParagraph"/>
              <w:numPr>
                <w:ilvl w:val="0"/>
                <w:numId w:val="63"/>
              </w:numPr>
              <w:tabs>
                <w:tab w:pos="838" w:val="left" w:leader="none"/>
                <w:tab w:pos="839" w:val="left" w:leader="none"/>
              </w:tabs>
              <w:spacing w:line="273" w:lineRule="auto" w:before="7" w:after="0"/>
              <w:ind w:left="838" w:right="302" w:hanging="735"/>
              <w:jc w:val="left"/>
              <w:rPr>
                <w:sz w:val="21"/>
              </w:rPr>
            </w:pPr>
            <w:r>
              <w:rPr>
                <w:spacing w:val="-3"/>
                <w:sz w:val="21"/>
              </w:rPr>
              <w:t>有脑膜炎或脑炎并发症，且导致意识障碍或瘫痪的临床表现及实验室检查证据；</w:t>
            </w:r>
          </w:p>
          <w:p>
            <w:pPr>
              <w:pStyle w:val="TableParagraph"/>
              <w:numPr>
                <w:ilvl w:val="0"/>
                <w:numId w:val="63"/>
              </w:numPr>
              <w:tabs>
                <w:tab w:pos="839" w:val="left" w:leader="none"/>
              </w:tabs>
              <w:spacing w:line="261" w:lineRule="exact" w:before="7" w:after="0"/>
              <w:ind w:left="838" w:right="0" w:hanging="735"/>
              <w:jc w:val="both"/>
              <w:rPr>
                <w:sz w:val="21"/>
              </w:rPr>
            </w:pPr>
            <w:r>
              <w:rPr>
                <w:spacing w:val="-3"/>
                <w:sz w:val="21"/>
              </w:rPr>
              <w:t>有肺炎或肺水肿并发症，且导致呼吸衰竭的临床表现及实验室检查证据；</w:t>
            </w:r>
          </w:p>
        </w:tc>
      </w:tr>
    </w:tbl>
    <w:p>
      <w:pPr>
        <w:spacing w:after="0" w:line="261" w:lineRule="exact"/>
        <w:jc w:val="both"/>
        <w:rPr>
          <w:sz w:val="21"/>
        </w:rPr>
        <w:sectPr>
          <w:pgSz w:w="11910" w:h="16840"/>
          <w:pgMar w:header="0" w:footer="377" w:top="1340" w:bottom="560" w:left="1520" w:right="7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834"/>
      </w:tblGrid>
      <w:tr>
        <w:trPr>
          <w:trHeight w:val="651" w:hRule="atLeast"/>
        </w:trPr>
        <w:tc>
          <w:tcPr>
            <w:tcW w:w="1515" w:type="dxa"/>
          </w:tcPr>
          <w:p>
            <w:pPr>
              <w:pStyle w:val="TableParagraph"/>
              <w:ind w:left="0"/>
              <w:rPr>
                <w:rFonts w:ascii="Times New Roman"/>
                <w:sz w:val="20"/>
              </w:rPr>
            </w:pPr>
          </w:p>
        </w:tc>
        <w:tc>
          <w:tcPr>
            <w:tcW w:w="7834" w:type="dxa"/>
          </w:tcPr>
          <w:p>
            <w:pPr>
              <w:pStyle w:val="TableParagraph"/>
              <w:tabs>
                <w:tab w:pos="838" w:val="left" w:leader="none"/>
              </w:tabs>
              <w:spacing w:line="205" w:lineRule="exact"/>
              <w:ind w:left="103"/>
              <w:rPr>
                <w:sz w:val="21"/>
              </w:rPr>
            </w:pPr>
            <w:r>
              <w:rPr>
                <w:sz w:val="21"/>
              </w:rPr>
              <w:t>（3）</w:t>
              <w:tab/>
            </w:r>
            <w:r>
              <w:rPr>
                <w:spacing w:val="-3"/>
                <w:sz w:val="21"/>
              </w:rPr>
              <w:t>有心肌炎并发症，且导致心脏扩大或心力衰竭的临床表现及实验室检查证</w:t>
            </w:r>
          </w:p>
          <w:p>
            <w:pPr>
              <w:pStyle w:val="TableParagraph"/>
              <w:spacing w:before="37"/>
              <w:ind w:left="840"/>
              <w:rPr>
                <w:sz w:val="21"/>
              </w:rPr>
            </w:pPr>
            <w:r>
              <w:rPr>
                <w:sz w:val="21"/>
              </w:rPr>
              <w:t>据。</w:t>
            </w:r>
          </w:p>
        </w:tc>
      </w:tr>
      <w:tr>
        <w:trPr>
          <w:trHeight w:val="1107" w:hRule="atLeast"/>
        </w:trPr>
        <w:tc>
          <w:tcPr>
            <w:tcW w:w="1515" w:type="dxa"/>
          </w:tcPr>
          <w:p>
            <w:pPr>
              <w:pStyle w:val="TableParagraph"/>
              <w:spacing w:line="273" w:lineRule="auto" w:before="58"/>
              <w:ind w:left="200" w:right="101"/>
              <w:jc w:val="both"/>
              <w:rPr>
                <w:b/>
                <w:sz w:val="21"/>
              </w:rPr>
            </w:pPr>
            <w:r>
              <w:rPr>
                <w:b/>
                <w:sz w:val="21"/>
              </w:rPr>
              <w:t>68.严重幼年型 类风湿性关节炎</w:t>
            </w:r>
          </w:p>
        </w:tc>
        <w:tc>
          <w:tcPr>
            <w:tcW w:w="7834" w:type="dxa"/>
          </w:tcPr>
          <w:p>
            <w:pPr>
              <w:pStyle w:val="TableParagraph"/>
              <w:spacing w:before="58"/>
              <w:ind w:left="103"/>
              <w:rPr>
                <w:sz w:val="21"/>
              </w:rPr>
            </w:pPr>
            <w:r>
              <w:rPr>
                <w:sz w:val="21"/>
              </w:rPr>
              <w:t>指为了治疗幼年型类风湿关节炎，实际实施了膝关节或髋关节置换手术。</w:t>
            </w:r>
          </w:p>
          <w:p>
            <w:pPr>
              <w:pStyle w:val="TableParagraph"/>
              <w:spacing w:line="273" w:lineRule="auto" w:before="36"/>
              <w:ind w:left="103" w:right="157"/>
              <w:rPr>
                <w:sz w:val="21"/>
              </w:rPr>
            </w:pPr>
            <w:r>
              <w:rPr>
                <w:sz w:val="21"/>
              </w:rPr>
              <w:t>幼年型类风湿关节炎是一种儿童期发病的慢性关节炎，其特点为在高热和系统性病征出现数月后发生关节炎。</w:t>
            </w:r>
          </w:p>
        </w:tc>
      </w:tr>
      <w:tr>
        <w:trPr>
          <w:trHeight w:val="1422" w:hRule="atLeast"/>
        </w:trPr>
        <w:tc>
          <w:tcPr>
            <w:tcW w:w="1515" w:type="dxa"/>
          </w:tcPr>
          <w:p>
            <w:pPr>
              <w:pStyle w:val="TableParagraph"/>
              <w:spacing w:line="273" w:lineRule="auto" w:before="74"/>
              <w:ind w:left="200" w:right="101"/>
              <w:jc w:val="both"/>
              <w:rPr>
                <w:b/>
                <w:sz w:val="21"/>
              </w:rPr>
            </w:pPr>
            <w:r>
              <w:rPr>
                <w:b/>
                <w:sz w:val="21"/>
              </w:rPr>
              <w:t>69.破裂脑动脉 瘤夹闭手术</w:t>
            </w:r>
          </w:p>
        </w:tc>
        <w:tc>
          <w:tcPr>
            <w:tcW w:w="7834" w:type="dxa"/>
          </w:tcPr>
          <w:p>
            <w:pPr>
              <w:pStyle w:val="TableParagraph"/>
              <w:spacing w:line="273" w:lineRule="auto" w:before="74"/>
              <w:ind w:left="103" w:right="157"/>
              <w:rPr>
                <w:sz w:val="21"/>
              </w:rPr>
            </w:pPr>
            <w:r>
              <w:rPr>
                <w:sz w:val="21"/>
              </w:rPr>
              <w:t>指因脑动脉瘤破裂造成蛛网膜下腔出血，被保险人已经实施了在全麻下进行的开颅动脉瘤夹闭手术。</w:t>
            </w:r>
          </w:p>
          <w:p>
            <w:pPr>
              <w:pStyle w:val="TableParagraph"/>
              <w:spacing w:line="273" w:lineRule="auto" w:before="7"/>
              <w:ind w:left="103" w:right="163"/>
              <w:rPr>
                <w:rFonts w:ascii="黑体" w:eastAsia="黑体" w:hint="eastAsia"/>
                <w:sz w:val="21"/>
              </w:rPr>
            </w:pPr>
            <w:r>
              <w:rPr>
                <w:rFonts w:ascii="黑体" w:eastAsia="黑体" w:hint="eastAsia"/>
                <w:sz w:val="21"/>
              </w:rPr>
              <w:t>脑动脉瘤（未破裂）预防性手术、颅骨打孔手术、动脉瘤栓塞手术、血管内手术及其他颅脑手术不在本保障范围内。</w:t>
            </w:r>
          </w:p>
        </w:tc>
      </w:tr>
      <w:tr>
        <w:trPr>
          <w:trHeight w:val="2009" w:hRule="atLeast"/>
        </w:trPr>
        <w:tc>
          <w:tcPr>
            <w:tcW w:w="1515" w:type="dxa"/>
          </w:tcPr>
          <w:p>
            <w:pPr>
              <w:pStyle w:val="TableParagraph"/>
              <w:spacing w:line="273" w:lineRule="auto" w:before="61"/>
              <w:ind w:left="200" w:right="101"/>
              <w:rPr>
                <w:b/>
                <w:sz w:val="21"/>
              </w:rPr>
            </w:pPr>
            <w:r>
              <w:rPr>
                <w:b/>
                <w:sz w:val="21"/>
              </w:rPr>
              <w:t>70.慢性呼吸功能衰竭</w:t>
            </w:r>
          </w:p>
        </w:tc>
        <w:tc>
          <w:tcPr>
            <w:tcW w:w="7834" w:type="dxa"/>
          </w:tcPr>
          <w:p>
            <w:pPr>
              <w:pStyle w:val="TableParagraph"/>
              <w:spacing w:line="273" w:lineRule="auto" w:before="61"/>
              <w:ind w:left="103" w:right="157"/>
              <w:rPr>
                <w:sz w:val="21"/>
              </w:rPr>
            </w:pPr>
            <w:r>
              <w:rPr>
                <w:sz w:val="21"/>
              </w:rPr>
              <w:t>慢性肺部疾病导致永久不可逆性的慢性呼吸功能衰竭。慢性呼吸功能衰竭必须明确诊断并满足下列全部条件：</w:t>
            </w:r>
          </w:p>
          <w:p>
            <w:pPr>
              <w:pStyle w:val="TableParagraph"/>
              <w:spacing w:before="7"/>
              <w:ind w:left="103"/>
              <w:rPr>
                <w:sz w:val="21"/>
              </w:rPr>
            </w:pPr>
            <w:r>
              <w:rPr>
                <w:sz w:val="21"/>
              </w:rPr>
              <w:t>（1）休息时出现呼吸困难；</w:t>
            </w:r>
          </w:p>
          <w:p>
            <w:pPr>
              <w:pStyle w:val="TableParagraph"/>
              <w:spacing w:before="37"/>
              <w:ind w:left="103"/>
              <w:rPr>
                <w:sz w:val="21"/>
              </w:rPr>
            </w:pPr>
            <w:r>
              <w:rPr>
                <w:sz w:val="21"/>
              </w:rPr>
              <w:t>（2）动脉血氧分压（</w:t>
            </w:r>
            <w:r>
              <w:rPr>
                <w:sz w:val="20"/>
              </w:rPr>
              <w:t>PaO2</w:t>
            </w:r>
            <w:r>
              <w:rPr>
                <w:sz w:val="21"/>
              </w:rPr>
              <w:t>）&lt; 50mmHg；</w:t>
            </w:r>
          </w:p>
          <w:p>
            <w:pPr>
              <w:pStyle w:val="TableParagraph"/>
              <w:spacing w:before="37"/>
              <w:ind w:left="103"/>
              <w:rPr>
                <w:sz w:val="21"/>
              </w:rPr>
            </w:pPr>
            <w:r>
              <w:rPr>
                <w:sz w:val="21"/>
              </w:rPr>
              <w:t>（3）动脉血氧饱和度（SaO2）&lt; 80%；</w:t>
            </w:r>
          </w:p>
          <w:p>
            <w:pPr>
              <w:pStyle w:val="TableParagraph"/>
              <w:spacing w:before="37"/>
              <w:ind w:left="103"/>
              <w:rPr>
                <w:sz w:val="21"/>
              </w:rPr>
            </w:pPr>
            <w:r>
              <w:rPr>
                <w:sz w:val="21"/>
              </w:rPr>
              <w:t>（4）因缺氧必须接受持续的输氧治疗。</w:t>
            </w:r>
          </w:p>
        </w:tc>
      </w:tr>
      <w:tr>
        <w:trPr>
          <w:trHeight w:val="1681" w:hRule="atLeast"/>
        </w:trPr>
        <w:tc>
          <w:tcPr>
            <w:tcW w:w="1515" w:type="dxa"/>
          </w:tcPr>
          <w:p>
            <w:pPr>
              <w:pStyle w:val="TableParagraph"/>
              <w:spacing w:line="273" w:lineRule="auto" w:before="37"/>
              <w:ind w:left="200" w:right="101"/>
              <w:rPr>
                <w:b/>
                <w:sz w:val="21"/>
              </w:rPr>
            </w:pPr>
            <w:r>
              <w:rPr>
                <w:b/>
                <w:sz w:val="21"/>
              </w:rPr>
              <w:t>71.严重脊髓灰质炎</w:t>
            </w:r>
          </w:p>
        </w:tc>
        <w:tc>
          <w:tcPr>
            <w:tcW w:w="7834" w:type="dxa"/>
          </w:tcPr>
          <w:p>
            <w:pPr>
              <w:pStyle w:val="TableParagraph"/>
              <w:spacing w:line="273" w:lineRule="auto" w:before="37"/>
              <w:ind w:left="103" w:right="157"/>
              <w:rPr>
                <w:sz w:val="21"/>
              </w:rPr>
            </w:pPr>
            <w:r>
              <w:rPr>
                <w:sz w:val="21"/>
              </w:rPr>
              <w:t>脊髓灰质炎是由于脊髓灰质炎病毒感染所致的瘫痪性疾病，临床表现为运动功能损害或呼吸无力。脊髓灰质炎必须明确诊断。</w:t>
            </w:r>
          </w:p>
          <w:p>
            <w:pPr>
              <w:pStyle w:val="TableParagraph"/>
              <w:spacing w:line="273" w:lineRule="auto" w:before="7"/>
              <w:ind w:left="103" w:right="198"/>
              <w:rPr>
                <w:sz w:val="21"/>
              </w:rPr>
            </w:pPr>
            <w:r>
              <w:rPr>
                <w:spacing w:val="-3"/>
                <w:sz w:val="21"/>
              </w:rPr>
              <w:t>本合同仅对脊髓灰质炎造成的神经系统功能损害导致被保险人一肢或一肢以上肢 </w:t>
            </w:r>
            <w:r>
              <w:rPr>
                <w:spacing w:val="-7"/>
                <w:sz w:val="21"/>
              </w:rPr>
              <w:t>体机能永久完全丧失的情况予以赔付。肢体机能永久完全丧失，指疾病确诊 </w:t>
            </w:r>
            <w:r>
              <w:rPr>
                <w:sz w:val="21"/>
              </w:rPr>
              <w:t>180</w:t>
            </w:r>
            <w:r>
              <w:rPr>
                <w:spacing w:val="-18"/>
                <w:sz w:val="21"/>
              </w:rPr>
              <w:t> 天</w:t>
            </w:r>
            <w:r>
              <w:rPr>
                <w:spacing w:val="-7"/>
                <w:sz w:val="21"/>
              </w:rPr>
              <w:t>后，每肢三大关节中的两大关节仍然完全僵硬，或不能随意识活动。</w:t>
            </w:r>
          </w:p>
        </w:tc>
      </w:tr>
      <w:tr>
        <w:trPr>
          <w:trHeight w:val="2630" w:hRule="atLeast"/>
        </w:trPr>
        <w:tc>
          <w:tcPr>
            <w:tcW w:w="1515" w:type="dxa"/>
          </w:tcPr>
          <w:p>
            <w:pPr>
              <w:pStyle w:val="TableParagraph"/>
              <w:spacing w:line="273" w:lineRule="auto" w:before="45"/>
              <w:ind w:left="200" w:right="101"/>
              <w:rPr>
                <w:b/>
                <w:sz w:val="21"/>
              </w:rPr>
            </w:pPr>
            <w:r>
              <w:rPr>
                <w:b/>
                <w:sz w:val="21"/>
              </w:rPr>
              <w:t>72.严重冠心病</w:t>
            </w:r>
          </w:p>
        </w:tc>
        <w:tc>
          <w:tcPr>
            <w:tcW w:w="7834" w:type="dxa"/>
          </w:tcPr>
          <w:p>
            <w:pPr>
              <w:pStyle w:val="TableParagraph"/>
              <w:spacing w:line="273" w:lineRule="auto" w:before="45"/>
              <w:ind w:left="103" w:right="158"/>
              <w:rPr>
                <w:sz w:val="21"/>
              </w:rPr>
            </w:pPr>
            <w:r>
              <w:rPr>
                <w:sz w:val="21"/>
              </w:rPr>
              <w:t>指经冠状动脉造影检查明确诊断为主要血管严重狭窄性病变，须满足下列至少一项条件：</w:t>
            </w:r>
          </w:p>
          <w:p>
            <w:pPr>
              <w:pStyle w:val="TableParagraph"/>
              <w:spacing w:line="273" w:lineRule="auto" w:before="7"/>
              <w:ind w:left="103" w:right="200"/>
              <w:rPr>
                <w:sz w:val="21"/>
              </w:rPr>
            </w:pPr>
            <w:r>
              <w:rPr>
                <w:spacing w:val="-11"/>
                <w:sz w:val="21"/>
              </w:rPr>
              <w:t>（1）</w:t>
            </w:r>
            <w:r>
              <w:rPr>
                <w:spacing w:val="-6"/>
                <w:sz w:val="21"/>
              </w:rPr>
              <w:t>左冠状动脉主干和右冠状动脉中，一支血管管腔堵塞 </w:t>
            </w:r>
            <w:r>
              <w:rPr>
                <w:sz w:val="21"/>
              </w:rPr>
              <w:t>75</w:t>
            </w:r>
            <w:r>
              <w:rPr>
                <w:spacing w:val="-7"/>
                <w:sz w:val="21"/>
              </w:rPr>
              <w:t>%以上，另一支血管管</w:t>
            </w:r>
            <w:r>
              <w:rPr>
                <w:spacing w:val="-15"/>
                <w:sz w:val="21"/>
              </w:rPr>
              <w:t>腔堵塞 </w:t>
            </w:r>
            <w:r>
              <w:rPr>
                <w:sz w:val="21"/>
              </w:rPr>
              <w:t>60</w:t>
            </w:r>
            <w:r>
              <w:rPr>
                <w:spacing w:val="-1"/>
                <w:sz w:val="21"/>
              </w:rPr>
              <w:t>%以上；</w:t>
            </w:r>
          </w:p>
          <w:p>
            <w:pPr>
              <w:pStyle w:val="TableParagraph"/>
              <w:spacing w:line="273" w:lineRule="auto" w:before="7"/>
              <w:ind w:left="103" w:right="200"/>
              <w:rPr>
                <w:sz w:val="21"/>
              </w:rPr>
            </w:pPr>
            <w:r>
              <w:rPr>
                <w:spacing w:val="-9"/>
                <w:sz w:val="21"/>
              </w:rPr>
              <w:t>（2）左前降支、左旋支和右冠状动脉中，至少一支血管管腔堵塞 </w:t>
            </w:r>
            <w:r>
              <w:rPr>
                <w:sz w:val="21"/>
              </w:rPr>
              <w:t>75</w:t>
            </w:r>
            <w:r>
              <w:rPr>
                <w:spacing w:val="-6"/>
                <w:sz w:val="21"/>
              </w:rPr>
              <w:t>%以上，其他两</w:t>
            </w:r>
            <w:r>
              <w:rPr>
                <w:spacing w:val="-9"/>
                <w:sz w:val="21"/>
              </w:rPr>
              <w:t>支血管管腔堵塞 </w:t>
            </w:r>
            <w:r>
              <w:rPr>
                <w:sz w:val="21"/>
              </w:rPr>
              <w:t>60</w:t>
            </w:r>
            <w:r>
              <w:rPr>
                <w:spacing w:val="-1"/>
                <w:sz w:val="21"/>
              </w:rPr>
              <w:t>%以上。</w:t>
            </w:r>
          </w:p>
          <w:p>
            <w:pPr>
              <w:pStyle w:val="TableParagraph"/>
              <w:spacing w:line="273" w:lineRule="auto" w:before="7"/>
              <w:ind w:left="103" w:right="198"/>
              <w:rPr>
                <w:rFonts w:ascii="黑体" w:eastAsia="黑体" w:hint="eastAsia"/>
                <w:sz w:val="21"/>
              </w:rPr>
            </w:pPr>
            <w:r>
              <w:rPr>
                <w:rFonts w:ascii="黑体" w:eastAsia="黑体" w:hint="eastAsia"/>
                <w:spacing w:val="-7"/>
                <w:sz w:val="21"/>
              </w:rPr>
              <w:t>左前降支的分支血管、左旋支的分支血管及右冠状动脉的分支血管的狭窄不作为本</w:t>
            </w:r>
            <w:r>
              <w:rPr>
                <w:rFonts w:ascii="黑体" w:eastAsia="黑体" w:hint="eastAsia"/>
                <w:spacing w:val="-5"/>
                <w:sz w:val="21"/>
              </w:rPr>
              <w:t>保障的衡量指标。</w:t>
            </w:r>
          </w:p>
        </w:tc>
      </w:tr>
      <w:tr>
        <w:trPr>
          <w:trHeight w:val="1100" w:hRule="atLeast"/>
        </w:trPr>
        <w:tc>
          <w:tcPr>
            <w:tcW w:w="1515" w:type="dxa"/>
          </w:tcPr>
          <w:p>
            <w:pPr>
              <w:pStyle w:val="TableParagraph"/>
              <w:spacing w:line="273" w:lineRule="auto" w:before="50"/>
              <w:ind w:left="200" w:right="101"/>
              <w:rPr>
                <w:b/>
                <w:sz w:val="21"/>
              </w:rPr>
            </w:pPr>
            <w:r>
              <w:rPr>
                <w:b/>
                <w:sz w:val="21"/>
              </w:rPr>
              <w:t>73.严重肺源性心脏病</w:t>
            </w:r>
          </w:p>
        </w:tc>
        <w:tc>
          <w:tcPr>
            <w:tcW w:w="7834" w:type="dxa"/>
          </w:tcPr>
          <w:p>
            <w:pPr>
              <w:pStyle w:val="TableParagraph"/>
              <w:spacing w:line="273" w:lineRule="auto" w:before="50"/>
              <w:ind w:left="103" w:right="198"/>
              <w:rPr>
                <w:sz w:val="21"/>
              </w:rPr>
            </w:pPr>
            <w:r>
              <w:rPr>
                <w:spacing w:val="-5"/>
                <w:sz w:val="21"/>
              </w:rPr>
              <w:t>指被保人因慢性肺部疾病导致慢性心功能损害造成永久不可逆性的心功能衰竭。心</w:t>
            </w:r>
            <w:r>
              <w:rPr>
                <w:spacing w:val="-6"/>
                <w:sz w:val="21"/>
              </w:rPr>
              <w:t>功能衰竭程度达到纽约心脏病学会的心功能分级标准之心功能 </w:t>
            </w:r>
            <w:r>
              <w:rPr>
                <w:sz w:val="21"/>
              </w:rPr>
              <w:t>IV</w:t>
            </w:r>
            <w:r>
              <w:rPr>
                <w:spacing w:val="-8"/>
                <w:sz w:val="21"/>
              </w:rPr>
              <w:t> 级。被保险人永</w:t>
            </w:r>
            <w:r>
              <w:rPr>
                <w:spacing w:val="-5"/>
                <w:sz w:val="21"/>
              </w:rPr>
              <w:t>久不可逆性的体力活动能力受限，不能从事任何体力活动。</w:t>
            </w:r>
          </w:p>
        </w:tc>
      </w:tr>
      <w:tr>
        <w:trPr>
          <w:trHeight w:val="1732" w:hRule="atLeast"/>
        </w:trPr>
        <w:tc>
          <w:tcPr>
            <w:tcW w:w="1515" w:type="dxa"/>
          </w:tcPr>
          <w:p>
            <w:pPr>
              <w:pStyle w:val="TableParagraph"/>
              <w:spacing w:line="273" w:lineRule="auto" w:before="75"/>
              <w:ind w:left="200" w:right="101"/>
              <w:rPr>
                <w:b/>
                <w:sz w:val="21"/>
              </w:rPr>
            </w:pPr>
            <w:r>
              <w:rPr>
                <w:b/>
                <w:sz w:val="21"/>
              </w:rPr>
              <w:t>74.艾森门格综合征</w:t>
            </w:r>
          </w:p>
        </w:tc>
        <w:tc>
          <w:tcPr>
            <w:tcW w:w="7834" w:type="dxa"/>
          </w:tcPr>
          <w:p>
            <w:pPr>
              <w:pStyle w:val="TableParagraph"/>
              <w:spacing w:line="273" w:lineRule="auto" w:before="75"/>
              <w:ind w:left="103" w:right="157"/>
              <w:rPr>
                <w:sz w:val="21"/>
              </w:rPr>
            </w:pPr>
            <w:r>
              <w:rPr>
                <w:sz w:val="21"/>
              </w:rPr>
              <w:t>因心脏病导致的严重肺动脉高压及右向左分流。诊断必须由心脏专科医生经超声心动图和心导管检查证实及需符合以下所有标准：</w:t>
            </w:r>
          </w:p>
          <w:p>
            <w:pPr>
              <w:pStyle w:val="TableParagraph"/>
              <w:spacing w:before="7"/>
              <w:ind w:left="103"/>
              <w:rPr>
                <w:sz w:val="21"/>
              </w:rPr>
            </w:pPr>
            <w:r>
              <w:rPr>
                <w:sz w:val="21"/>
              </w:rPr>
              <w:t>1.平均肺动脉压高于 40mmHg；</w:t>
            </w:r>
          </w:p>
          <w:p>
            <w:pPr>
              <w:pStyle w:val="TableParagraph"/>
              <w:spacing w:before="37"/>
              <w:ind w:left="103"/>
              <w:rPr>
                <w:sz w:val="21"/>
              </w:rPr>
            </w:pPr>
            <w:r>
              <w:rPr>
                <w:w w:val="100"/>
                <w:sz w:val="21"/>
              </w:rPr>
              <w:t>2.</w:t>
            </w:r>
            <w:r>
              <w:rPr>
                <w:spacing w:val="-3"/>
                <w:w w:val="100"/>
                <w:sz w:val="21"/>
              </w:rPr>
              <w:t>肺血管阻力高于</w:t>
            </w:r>
            <w:r>
              <w:rPr>
                <w:spacing w:val="-52"/>
                <w:sz w:val="21"/>
              </w:rPr>
              <w:t> </w:t>
            </w:r>
            <w:r>
              <w:rPr>
                <w:spacing w:val="-3"/>
                <w:w w:val="100"/>
                <w:sz w:val="21"/>
              </w:rPr>
              <w:t>3</w:t>
            </w:r>
            <w:r>
              <w:rPr>
                <w:w w:val="100"/>
                <w:sz w:val="21"/>
              </w:rPr>
              <w:t>mm/</w:t>
            </w:r>
            <w:r>
              <w:rPr>
                <w:spacing w:val="-3"/>
                <w:w w:val="100"/>
                <w:sz w:val="21"/>
              </w:rPr>
              <w:t>L/</w:t>
            </w:r>
            <w:r>
              <w:rPr>
                <w:w w:val="100"/>
                <w:sz w:val="21"/>
              </w:rPr>
              <w:t>mi</w:t>
            </w:r>
            <w:r>
              <w:rPr>
                <w:spacing w:val="-1"/>
                <w:w w:val="100"/>
                <w:sz w:val="21"/>
              </w:rPr>
              <w:t>n</w:t>
            </w:r>
            <w:r>
              <w:rPr>
                <w:w w:val="100"/>
                <w:sz w:val="21"/>
              </w:rPr>
              <w:t>（</w:t>
            </w:r>
            <w:r>
              <w:rPr>
                <w:spacing w:val="-3"/>
                <w:w w:val="100"/>
                <w:sz w:val="21"/>
              </w:rPr>
              <w:t>W</w:t>
            </w:r>
            <w:r>
              <w:rPr>
                <w:w w:val="100"/>
                <w:sz w:val="21"/>
              </w:rPr>
              <w:t>ood</w:t>
            </w:r>
            <w:r>
              <w:rPr>
                <w:spacing w:val="-55"/>
                <w:sz w:val="21"/>
              </w:rPr>
              <w:t> </w:t>
            </w:r>
            <w:r>
              <w:rPr>
                <w:spacing w:val="-2"/>
                <w:w w:val="100"/>
                <w:sz w:val="21"/>
              </w:rPr>
              <w:t>单位</w:t>
            </w:r>
            <w:r>
              <w:rPr>
                <w:spacing w:val="-106"/>
                <w:w w:val="100"/>
                <w:sz w:val="21"/>
              </w:rPr>
              <w:t>）</w:t>
            </w:r>
            <w:r>
              <w:rPr>
                <w:w w:val="100"/>
                <w:sz w:val="21"/>
              </w:rPr>
              <w:t>；</w:t>
            </w:r>
          </w:p>
          <w:p>
            <w:pPr>
              <w:pStyle w:val="TableParagraph"/>
              <w:spacing w:before="37"/>
              <w:ind w:left="103"/>
              <w:rPr>
                <w:sz w:val="21"/>
              </w:rPr>
            </w:pPr>
            <w:r>
              <w:rPr>
                <w:sz w:val="21"/>
              </w:rPr>
              <w:t>3.正常肺微血管楔压低于 15mmHg。</w:t>
            </w:r>
          </w:p>
        </w:tc>
      </w:tr>
      <w:tr>
        <w:trPr>
          <w:trHeight w:val="1899" w:hRule="atLeast"/>
        </w:trPr>
        <w:tc>
          <w:tcPr>
            <w:tcW w:w="1515" w:type="dxa"/>
          </w:tcPr>
          <w:p>
            <w:pPr>
              <w:pStyle w:val="TableParagraph"/>
              <w:spacing w:before="58"/>
              <w:ind w:left="200"/>
              <w:rPr>
                <w:b/>
                <w:sz w:val="21"/>
              </w:rPr>
            </w:pPr>
            <w:r>
              <w:rPr>
                <w:b/>
                <w:sz w:val="21"/>
              </w:rPr>
              <w:t>75.严重哮喘</w:t>
            </w:r>
          </w:p>
        </w:tc>
        <w:tc>
          <w:tcPr>
            <w:tcW w:w="7834" w:type="dxa"/>
          </w:tcPr>
          <w:p>
            <w:pPr>
              <w:pStyle w:val="TableParagraph"/>
              <w:spacing w:line="273" w:lineRule="auto" w:before="58"/>
              <w:ind w:left="103" w:right="157"/>
              <w:rPr>
                <w:sz w:val="21"/>
              </w:rPr>
            </w:pPr>
            <w:r>
              <w:rPr>
                <w:sz w:val="21"/>
              </w:rPr>
              <w:t>指一种反复发作的严重支气管阻塞性疾病，经本公司认可的专科医生确诊，且必须同时符合下列标准：</w:t>
            </w:r>
          </w:p>
          <w:p>
            <w:pPr>
              <w:pStyle w:val="TableParagraph"/>
              <w:spacing w:before="7"/>
              <w:ind w:left="103"/>
              <w:rPr>
                <w:sz w:val="21"/>
              </w:rPr>
            </w:pPr>
            <w:r>
              <w:rPr>
                <w:sz w:val="21"/>
              </w:rPr>
              <w:t>（1）过去两年中曾因哮喘持续状态住院治疗，并提供完整住院记录；</w:t>
            </w:r>
          </w:p>
          <w:p>
            <w:pPr>
              <w:pStyle w:val="TableParagraph"/>
              <w:spacing w:before="36"/>
              <w:ind w:left="103"/>
              <w:rPr>
                <w:sz w:val="21"/>
              </w:rPr>
            </w:pPr>
            <w:r>
              <w:rPr>
                <w:sz w:val="21"/>
              </w:rPr>
              <w:t>（2）因慢性过度换气导致胸廓畸形；</w:t>
            </w:r>
          </w:p>
          <w:p>
            <w:pPr>
              <w:pStyle w:val="TableParagraph"/>
              <w:spacing w:before="36"/>
              <w:ind w:left="103"/>
              <w:rPr>
                <w:sz w:val="21"/>
              </w:rPr>
            </w:pPr>
            <w:r>
              <w:rPr>
                <w:sz w:val="21"/>
              </w:rPr>
              <w:t>（3）在家中需要医生处方的氧气治疗法；</w:t>
            </w:r>
          </w:p>
          <w:p>
            <w:pPr>
              <w:pStyle w:val="TableParagraph"/>
              <w:spacing w:line="261" w:lineRule="exact" w:before="36"/>
              <w:ind w:left="103"/>
              <w:rPr>
                <w:sz w:val="21"/>
              </w:rPr>
            </w:pPr>
            <w:r>
              <w:rPr>
                <w:sz w:val="21"/>
              </w:rPr>
              <w:t>（4）持续日常服用口服类固醇激素治疗持续至少六个月。</w:t>
            </w:r>
          </w:p>
        </w:tc>
      </w:tr>
    </w:tbl>
    <w:p>
      <w:pPr>
        <w:spacing w:after="0" w:line="261" w:lineRule="exact"/>
        <w:rPr>
          <w:sz w:val="21"/>
        </w:rPr>
        <w:sectPr>
          <w:pgSz w:w="11910" w:h="16840"/>
          <w:pgMar w:header="0" w:footer="377" w:top="1340" w:bottom="560" w:left="1520" w:right="8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2"/>
        <w:gridCol w:w="7899"/>
      </w:tblGrid>
      <w:tr>
        <w:trPr>
          <w:trHeight w:val="339" w:hRule="atLeast"/>
        </w:trPr>
        <w:tc>
          <w:tcPr>
            <w:tcW w:w="1552" w:type="dxa"/>
          </w:tcPr>
          <w:p>
            <w:pPr>
              <w:pStyle w:val="TableParagraph"/>
              <w:ind w:left="0"/>
              <w:rPr>
                <w:rFonts w:ascii="Times New Roman"/>
                <w:sz w:val="20"/>
              </w:rPr>
            </w:pPr>
          </w:p>
        </w:tc>
        <w:tc>
          <w:tcPr>
            <w:tcW w:w="7899" w:type="dxa"/>
          </w:tcPr>
          <w:p>
            <w:pPr>
              <w:pStyle w:val="TableParagraph"/>
              <w:spacing w:line="205" w:lineRule="exact"/>
              <w:ind w:left="66"/>
              <w:rPr>
                <w:rFonts w:ascii="黑体" w:eastAsia="黑体" w:hint="eastAsia"/>
                <w:sz w:val="21"/>
              </w:rPr>
            </w:pPr>
            <w:r>
              <w:rPr>
                <w:rFonts w:ascii="黑体" w:eastAsia="黑体" w:hint="eastAsia"/>
                <w:sz w:val="21"/>
              </w:rPr>
              <w:t>被保险人申请理赔时年龄必须在年满 25 周岁之前。</w:t>
            </w:r>
          </w:p>
        </w:tc>
      </w:tr>
      <w:tr>
        <w:trPr>
          <w:trHeight w:val="1410" w:hRule="atLeast"/>
        </w:trPr>
        <w:tc>
          <w:tcPr>
            <w:tcW w:w="1552" w:type="dxa"/>
          </w:tcPr>
          <w:p>
            <w:pPr>
              <w:pStyle w:val="TableParagraph"/>
              <w:spacing w:before="58"/>
              <w:ind w:left="200"/>
              <w:rPr>
                <w:b/>
                <w:sz w:val="21"/>
              </w:rPr>
            </w:pPr>
            <w:r>
              <w:rPr>
                <w:b/>
                <w:sz w:val="21"/>
              </w:rPr>
              <w:t>76.疯牛病</w:t>
            </w:r>
          </w:p>
        </w:tc>
        <w:tc>
          <w:tcPr>
            <w:tcW w:w="7899" w:type="dxa"/>
          </w:tcPr>
          <w:p>
            <w:pPr>
              <w:pStyle w:val="TableParagraph"/>
              <w:spacing w:line="273" w:lineRule="auto" w:before="58"/>
              <w:ind w:left="66" w:right="300"/>
              <w:rPr>
                <w:rFonts w:ascii="黑体" w:eastAsia="黑体" w:hint="eastAsia"/>
                <w:sz w:val="21"/>
              </w:rPr>
            </w:pPr>
            <w:r>
              <w:rPr>
                <w:spacing w:val="-6"/>
                <w:sz w:val="21"/>
              </w:rPr>
              <w:t>是一种传染性海绵状脑病，临床表现为快速进行性痴呆、肌阵挛和特征性脑电图变</w:t>
            </w:r>
            <w:r>
              <w:rPr>
                <w:spacing w:val="-8"/>
                <w:sz w:val="21"/>
              </w:rPr>
              <w:t>化。本病须经三级医院的专科医生根据 </w:t>
            </w:r>
            <w:r>
              <w:rPr>
                <w:sz w:val="21"/>
              </w:rPr>
              <w:t>WHO</w:t>
            </w:r>
            <w:r>
              <w:rPr>
                <w:spacing w:val="-10"/>
                <w:sz w:val="21"/>
              </w:rPr>
              <w:t> 诊断标准明确诊断，并且被保险人自主</w:t>
            </w:r>
            <w:r>
              <w:rPr>
                <w:spacing w:val="-5"/>
                <w:sz w:val="21"/>
              </w:rPr>
              <w:t>生活能力完全丧失，无法独立完成六项基本日常生活活动中的三项或三项以上。 </w:t>
            </w:r>
            <w:r>
              <w:rPr>
                <w:rFonts w:ascii="黑体" w:eastAsia="黑体" w:hint="eastAsia"/>
                <w:spacing w:val="-4"/>
                <w:sz w:val="21"/>
              </w:rPr>
              <w:t>疑似病例不在本保障范围内。</w:t>
            </w:r>
          </w:p>
        </w:tc>
      </w:tr>
      <w:tr>
        <w:trPr>
          <w:trHeight w:val="2311" w:hRule="atLeast"/>
        </w:trPr>
        <w:tc>
          <w:tcPr>
            <w:tcW w:w="1552" w:type="dxa"/>
          </w:tcPr>
          <w:p>
            <w:pPr>
              <w:pStyle w:val="TableParagraph"/>
              <w:spacing w:line="273" w:lineRule="auto" w:before="64"/>
              <w:ind w:left="200" w:right="138"/>
              <w:rPr>
                <w:b/>
                <w:sz w:val="21"/>
              </w:rPr>
            </w:pPr>
            <w:r>
              <w:rPr>
                <w:b/>
                <w:sz w:val="21"/>
              </w:rPr>
              <w:t>77.肌营养不良症</w:t>
            </w:r>
          </w:p>
        </w:tc>
        <w:tc>
          <w:tcPr>
            <w:tcW w:w="7899" w:type="dxa"/>
          </w:tcPr>
          <w:p>
            <w:pPr>
              <w:pStyle w:val="TableParagraph"/>
              <w:spacing w:line="273" w:lineRule="auto" w:before="64"/>
              <w:ind w:left="66" w:right="300"/>
              <w:rPr>
                <w:sz w:val="21"/>
              </w:rPr>
            </w:pPr>
            <w:r>
              <w:rPr>
                <w:spacing w:val="-6"/>
                <w:sz w:val="21"/>
              </w:rPr>
              <w:t>指一组遗传性肌肉变性病变，临床特征为与神经系统无关的骨骼肌肉对称地进行性</w:t>
            </w:r>
            <w:r>
              <w:rPr>
                <w:spacing w:val="-4"/>
                <w:sz w:val="21"/>
              </w:rPr>
              <w:t>无力和萎缩。其诊断需满足下列全部条件：</w:t>
            </w:r>
          </w:p>
          <w:p>
            <w:pPr>
              <w:pStyle w:val="TableParagraph"/>
              <w:numPr>
                <w:ilvl w:val="0"/>
                <w:numId w:val="64"/>
              </w:numPr>
              <w:tabs>
                <w:tab w:pos="787" w:val="left" w:leader="none"/>
              </w:tabs>
              <w:spacing w:line="240" w:lineRule="auto" w:before="7" w:after="0"/>
              <w:ind w:left="786" w:right="0" w:hanging="720"/>
              <w:jc w:val="left"/>
              <w:rPr>
                <w:sz w:val="21"/>
              </w:rPr>
            </w:pPr>
            <w:r>
              <w:rPr>
                <w:spacing w:val="-3"/>
                <w:sz w:val="21"/>
              </w:rPr>
              <w:t>肌电图显示典型肌营养不良症的阳性改变；</w:t>
            </w:r>
          </w:p>
          <w:p>
            <w:pPr>
              <w:pStyle w:val="TableParagraph"/>
              <w:numPr>
                <w:ilvl w:val="0"/>
                <w:numId w:val="64"/>
              </w:numPr>
              <w:tabs>
                <w:tab w:pos="787" w:val="left" w:leader="none"/>
              </w:tabs>
              <w:spacing w:line="273" w:lineRule="auto" w:before="37" w:after="0"/>
              <w:ind w:left="786" w:right="489" w:hanging="720"/>
              <w:jc w:val="left"/>
              <w:rPr>
                <w:sz w:val="21"/>
              </w:rPr>
            </w:pPr>
            <w:r>
              <w:rPr>
                <w:spacing w:val="-3"/>
                <w:sz w:val="21"/>
              </w:rPr>
              <w:t>肌肉活检的病理学诊断符合肌营养不良症的肌肉细胞变性</w:t>
            </w:r>
            <w:r>
              <w:rPr>
                <w:sz w:val="21"/>
              </w:rPr>
              <w:t>\</w:t>
            </w:r>
            <w:r>
              <w:rPr>
                <w:spacing w:val="-3"/>
                <w:sz w:val="21"/>
              </w:rPr>
              <w:t>坏死等阳性改变；</w:t>
            </w:r>
          </w:p>
          <w:p>
            <w:pPr>
              <w:pStyle w:val="TableParagraph"/>
              <w:numPr>
                <w:ilvl w:val="0"/>
                <w:numId w:val="64"/>
              </w:numPr>
              <w:tabs>
                <w:tab w:pos="787" w:val="left" w:leader="none"/>
              </w:tabs>
              <w:spacing w:line="273" w:lineRule="auto" w:before="8" w:after="0"/>
              <w:ind w:left="786" w:right="384" w:hanging="720"/>
              <w:jc w:val="left"/>
              <w:rPr>
                <w:sz w:val="21"/>
              </w:rPr>
            </w:pPr>
            <w:r>
              <w:rPr>
                <w:spacing w:val="-3"/>
                <w:sz w:val="21"/>
              </w:rPr>
              <w:t>已导致被保险人持续超过三个月无法独立完成六项基本日常生活活动中的三项或三项以上。</w:t>
            </w:r>
          </w:p>
        </w:tc>
      </w:tr>
      <w:tr>
        <w:trPr>
          <w:trHeight w:val="1966" w:hRule="atLeast"/>
        </w:trPr>
        <w:tc>
          <w:tcPr>
            <w:tcW w:w="1552" w:type="dxa"/>
          </w:tcPr>
          <w:p>
            <w:pPr>
              <w:pStyle w:val="TableParagraph"/>
              <w:spacing w:line="273" w:lineRule="auto" w:before="24"/>
              <w:ind w:left="200" w:right="138"/>
              <w:rPr>
                <w:b/>
                <w:sz w:val="21"/>
              </w:rPr>
            </w:pPr>
            <w:r>
              <w:rPr>
                <w:b/>
                <w:sz w:val="21"/>
              </w:rPr>
              <w:t>78.严重心肌炎</w:t>
            </w:r>
          </w:p>
        </w:tc>
        <w:tc>
          <w:tcPr>
            <w:tcW w:w="7899" w:type="dxa"/>
          </w:tcPr>
          <w:p>
            <w:pPr>
              <w:pStyle w:val="TableParagraph"/>
              <w:spacing w:line="273" w:lineRule="auto" w:before="24"/>
              <w:ind w:left="66" w:right="473"/>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8"/>
              <w:ind w:left="66" w:right="300"/>
              <w:rPr>
                <w:sz w:val="21"/>
              </w:rPr>
            </w:pPr>
            <w:r>
              <w:rPr>
                <w:spacing w:val="-7"/>
                <w:sz w:val="21"/>
              </w:rPr>
              <w:t>（1）</w:t>
            </w:r>
            <w:r>
              <w:rPr>
                <w:spacing w:val="-5"/>
                <w:sz w:val="21"/>
              </w:rPr>
              <w:t>心功能衰竭程度达到纽约心脏病学会的心功能分级标准之心功能 </w:t>
            </w:r>
            <w:r>
              <w:rPr>
                <w:sz w:val="21"/>
              </w:rPr>
              <w:t>IV</w:t>
            </w:r>
            <w:r>
              <w:rPr>
                <w:spacing w:val="-12"/>
                <w:sz w:val="21"/>
              </w:rPr>
              <w:t> 级，或左</w:t>
            </w:r>
            <w:r>
              <w:rPr>
                <w:spacing w:val="-11"/>
                <w:sz w:val="21"/>
              </w:rPr>
              <w:t>室射血分数低于 </w:t>
            </w:r>
            <w:r>
              <w:rPr>
                <w:sz w:val="21"/>
              </w:rPr>
              <w:t>30%；</w:t>
            </w:r>
          </w:p>
          <w:p>
            <w:pPr>
              <w:pStyle w:val="TableParagraph"/>
              <w:spacing w:before="8"/>
              <w:ind w:left="66"/>
              <w:rPr>
                <w:sz w:val="21"/>
              </w:rPr>
            </w:pPr>
            <w:r>
              <w:rPr>
                <w:sz w:val="21"/>
              </w:rPr>
              <w:t>（2）持续不间断 180 天以上；</w:t>
            </w:r>
          </w:p>
          <w:p>
            <w:pPr>
              <w:pStyle w:val="TableParagraph"/>
              <w:spacing w:before="37"/>
              <w:ind w:left="66"/>
              <w:rPr>
                <w:sz w:val="21"/>
              </w:rPr>
            </w:pPr>
            <w:r>
              <w:rPr>
                <w:sz w:val="21"/>
              </w:rPr>
              <w:t>（3）被保险人永久不可逆性的体力活动能力受限，不能从事任何体力活动。</w:t>
            </w:r>
          </w:p>
        </w:tc>
      </w:tr>
      <w:tr>
        <w:trPr>
          <w:trHeight w:val="2002" w:hRule="atLeast"/>
        </w:trPr>
        <w:tc>
          <w:tcPr>
            <w:tcW w:w="1552" w:type="dxa"/>
          </w:tcPr>
          <w:p>
            <w:pPr>
              <w:pStyle w:val="TableParagraph"/>
              <w:spacing w:line="273" w:lineRule="auto" w:before="32"/>
              <w:ind w:left="200" w:right="138"/>
              <w:rPr>
                <w:b/>
                <w:sz w:val="21"/>
              </w:rPr>
            </w:pPr>
            <w:r>
              <w:rPr>
                <w:b/>
                <w:sz w:val="21"/>
              </w:rPr>
              <w:t>79.肝豆状核变性</w:t>
            </w:r>
          </w:p>
        </w:tc>
        <w:tc>
          <w:tcPr>
            <w:tcW w:w="7899" w:type="dxa"/>
          </w:tcPr>
          <w:p>
            <w:pPr>
              <w:pStyle w:val="TableParagraph"/>
              <w:spacing w:line="273" w:lineRule="auto" w:before="32"/>
              <w:ind w:left="66" w:right="259"/>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8"/>
              <w:ind w:left="66"/>
              <w:rPr>
                <w:sz w:val="21"/>
              </w:rPr>
            </w:pPr>
            <w:r>
              <w:rPr>
                <w:sz w:val="21"/>
              </w:rPr>
              <w:t>（1）典型症状；</w:t>
            </w:r>
          </w:p>
          <w:p>
            <w:pPr>
              <w:pStyle w:val="TableParagraph"/>
              <w:spacing w:before="37"/>
              <w:ind w:left="66"/>
              <w:rPr>
                <w:sz w:val="21"/>
              </w:rPr>
            </w:pPr>
            <w:r>
              <w:rPr>
                <w:w w:val="100"/>
                <w:sz w:val="21"/>
              </w:rPr>
              <w:t>（2</w:t>
            </w:r>
            <w:r>
              <w:rPr>
                <w:spacing w:val="-3"/>
                <w:w w:val="100"/>
                <w:sz w:val="21"/>
              </w:rPr>
              <w:t>）角膜色素环</w:t>
            </w:r>
            <w:r>
              <w:rPr>
                <w:w w:val="100"/>
                <w:sz w:val="21"/>
              </w:rPr>
              <w:t>（</w:t>
            </w:r>
            <w:r>
              <w:rPr>
                <w:spacing w:val="-3"/>
                <w:w w:val="100"/>
                <w:sz w:val="21"/>
              </w:rPr>
              <w:t>K</w:t>
            </w:r>
            <w:r>
              <w:rPr>
                <w:w w:val="100"/>
                <w:sz w:val="21"/>
              </w:rPr>
              <w:t>-F</w:t>
            </w:r>
            <w:r>
              <w:rPr>
                <w:spacing w:val="-2"/>
                <w:sz w:val="21"/>
              </w:rPr>
              <w:t> </w:t>
            </w:r>
            <w:r>
              <w:rPr>
                <w:spacing w:val="-3"/>
                <w:w w:val="100"/>
                <w:sz w:val="21"/>
              </w:rPr>
              <w:t>环</w:t>
            </w:r>
            <w:r>
              <w:rPr>
                <w:spacing w:val="-106"/>
                <w:w w:val="100"/>
                <w:sz w:val="21"/>
              </w:rPr>
              <w:t>）</w:t>
            </w:r>
            <w:r>
              <w:rPr>
                <w:w w:val="100"/>
                <w:sz w:val="21"/>
              </w:rPr>
              <w:t>；</w:t>
            </w:r>
          </w:p>
          <w:p>
            <w:pPr>
              <w:pStyle w:val="TableParagraph"/>
              <w:spacing w:before="37"/>
              <w:ind w:left="66"/>
              <w:rPr>
                <w:sz w:val="21"/>
              </w:rPr>
            </w:pPr>
            <w:r>
              <w:rPr>
                <w:sz w:val="21"/>
              </w:rPr>
              <w:t>（3）血清铜和血清铜蓝蛋白降低，尿铜增加；</w:t>
            </w:r>
          </w:p>
          <w:p>
            <w:pPr>
              <w:pStyle w:val="TableParagraph"/>
              <w:spacing w:before="37"/>
              <w:ind w:left="66"/>
              <w:rPr>
                <w:sz w:val="21"/>
              </w:rPr>
            </w:pPr>
            <w:r>
              <w:rPr>
                <w:sz w:val="21"/>
              </w:rPr>
              <w:t>（4）经肝脏活检确诊。</w:t>
            </w:r>
          </w:p>
        </w:tc>
      </w:tr>
      <w:tr>
        <w:trPr>
          <w:trHeight w:val="1704" w:hRule="atLeast"/>
        </w:trPr>
        <w:tc>
          <w:tcPr>
            <w:tcW w:w="1552" w:type="dxa"/>
          </w:tcPr>
          <w:p>
            <w:pPr>
              <w:pStyle w:val="TableParagraph"/>
              <w:spacing w:before="58"/>
              <w:ind w:left="200"/>
              <w:rPr>
                <w:b/>
                <w:sz w:val="21"/>
              </w:rPr>
            </w:pPr>
            <w:r>
              <w:rPr>
                <w:b/>
                <w:sz w:val="21"/>
              </w:rPr>
              <w:t>80. 严重的 </w:t>
            </w:r>
          </w:p>
          <w:p>
            <w:pPr>
              <w:pStyle w:val="TableParagraph"/>
              <w:spacing w:line="273" w:lineRule="auto" w:before="36"/>
              <w:ind w:left="200" w:right="76"/>
              <w:rPr>
                <w:b/>
                <w:sz w:val="21"/>
              </w:rPr>
            </w:pPr>
            <w:r>
              <w:rPr>
                <w:b/>
                <w:sz w:val="21"/>
              </w:rPr>
              <w:t>III 度房室传导阻滞</w:t>
            </w:r>
          </w:p>
        </w:tc>
        <w:tc>
          <w:tcPr>
            <w:tcW w:w="7899" w:type="dxa"/>
          </w:tcPr>
          <w:p>
            <w:pPr>
              <w:pStyle w:val="TableParagraph"/>
              <w:spacing w:line="273" w:lineRule="auto" w:before="58"/>
              <w:ind w:left="66" w:right="300"/>
              <w:rPr>
                <w:sz w:val="21"/>
              </w:rPr>
            </w:pPr>
            <w:r>
              <w:rPr>
                <w:spacing w:val="-6"/>
                <w:sz w:val="21"/>
              </w:rPr>
              <w:t>指心房激动在房室交界区、房室束及其分支内发生阻滞，不能正常地传到心室的心</w:t>
            </w:r>
            <w:r>
              <w:rPr>
                <w:spacing w:val="-4"/>
                <w:sz w:val="21"/>
              </w:rPr>
              <w:t>脏传导性疾病，须满足下列所有条件：</w:t>
            </w:r>
          </w:p>
          <w:p>
            <w:pPr>
              <w:pStyle w:val="TableParagraph"/>
              <w:spacing w:before="7"/>
              <w:ind w:left="66"/>
              <w:rPr>
                <w:sz w:val="21"/>
              </w:rPr>
            </w:pPr>
            <w:r>
              <w:rPr>
                <w:sz w:val="21"/>
              </w:rPr>
              <w:t>（1）心电图显示房室搏动彼此独立，心室率&lt;50 次/分钟；</w:t>
            </w:r>
          </w:p>
          <w:p>
            <w:pPr>
              <w:pStyle w:val="TableParagraph"/>
              <w:spacing w:before="37"/>
              <w:ind w:left="66"/>
              <w:rPr>
                <w:sz w:val="21"/>
              </w:rPr>
            </w:pPr>
            <w:r>
              <w:rPr>
                <w:sz w:val="21"/>
              </w:rPr>
              <w:t>（2）出现阿-斯综合征或心力衰竭的表现；</w:t>
            </w:r>
          </w:p>
          <w:p>
            <w:pPr>
              <w:pStyle w:val="TableParagraph"/>
              <w:spacing w:before="37"/>
              <w:ind w:left="66"/>
              <w:rPr>
                <w:sz w:val="21"/>
              </w:rPr>
            </w:pPr>
            <w:r>
              <w:rPr>
                <w:sz w:val="21"/>
              </w:rPr>
              <w:t>（3）必须持续性依赖心脏起搏器维持心脏正常功能，且已经放置心脏起搏器。</w:t>
            </w:r>
          </w:p>
        </w:tc>
      </w:tr>
      <w:tr>
        <w:trPr>
          <w:trHeight w:val="1691" w:hRule="atLeast"/>
        </w:trPr>
        <w:tc>
          <w:tcPr>
            <w:tcW w:w="1552" w:type="dxa"/>
          </w:tcPr>
          <w:p>
            <w:pPr>
              <w:pStyle w:val="TableParagraph"/>
              <w:spacing w:before="47"/>
              <w:ind w:left="200"/>
              <w:rPr>
                <w:b/>
                <w:sz w:val="21"/>
              </w:rPr>
            </w:pPr>
            <w:r>
              <w:rPr>
                <w:b/>
                <w:sz w:val="21"/>
              </w:rPr>
              <w:t>81.严重癫痫</w:t>
            </w:r>
          </w:p>
        </w:tc>
        <w:tc>
          <w:tcPr>
            <w:tcW w:w="7899" w:type="dxa"/>
          </w:tcPr>
          <w:p>
            <w:pPr>
              <w:pStyle w:val="TableParagraph"/>
              <w:spacing w:line="273" w:lineRule="auto" w:before="47"/>
              <w:ind w:left="66" w:right="300"/>
              <w:jc w:val="both"/>
              <w:rPr>
                <w:sz w:val="21"/>
              </w:rPr>
            </w:pPr>
            <w:r>
              <w:rPr>
                <w:spacing w:val="-4"/>
                <w:sz w:val="21"/>
              </w:rPr>
              <w:t>本病的诊断须由神经科或儿科专科医生根据典型临床症状和脑电图及 </w:t>
            </w:r>
            <w:r>
              <w:rPr>
                <w:sz w:val="21"/>
              </w:rPr>
              <w:t>MRI</w:t>
            </w:r>
            <w:r>
              <w:rPr>
                <w:spacing w:val="-44"/>
                <w:sz w:val="21"/>
              </w:rPr>
              <w:t>、</w:t>
            </w:r>
            <w:r>
              <w:rPr>
                <w:sz w:val="21"/>
              </w:rPr>
              <w:t>PET</w:t>
            </w:r>
            <w:r>
              <w:rPr>
                <w:spacing w:val="-44"/>
                <w:sz w:val="21"/>
              </w:rPr>
              <w:t>、</w:t>
            </w:r>
            <w:r>
              <w:rPr>
                <w:spacing w:val="-3"/>
                <w:sz w:val="21"/>
              </w:rPr>
              <w:t>CT </w:t>
            </w:r>
            <w:r>
              <w:rPr>
                <w:spacing w:val="-9"/>
                <w:sz w:val="21"/>
              </w:rPr>
              <w:t>等影相学检查做出。理赔时必须提供 </w:t>
            </w:r>
            <w:r>
              <w:rPr>
                <w:sz w:val="21"/>
              </w:rPr>
              <w:t>6</w:t>
            </w:r>
            <w:r>
              <w:rPr>
                <w:spacing w:val="-7"/>
                <w:sz w:val="21"/>
              </w:rPr>
              <w:t> 个月以上的相关病历记录证明被保险人存在经抗癫痫药物治疗无效而反复发作的强直阵挛性发作或癫痫大发作，且已行神经外</w:t>
            </w:r>
            <w:r>
              <w:rPr>
                <w:spacing w:val="-5"/>
                <w:sz w:val="21"/>
              </w:rPr>
              <w:t>科手术以治疗反复发作的癫痫。</w:t>
            </w:r>
          </w:p>
          <w:p>
            <w:pPr>
              <w:pStyle w:val="TableParagraph"/>
              <w:spacing w:before="7"/>
              <w:ind w:left="66"/>
              <w:jc w:val="both"/>
              <w:rPr>
                <w:rFonts w:ascii="黑体" w:eastAsia="黑体" w:hint="eastAsia"/>
                <w:sz w:val="21"/>
              </w:rPr>
            </w:pPr>
            <w:r>
              <w:rPr>
                <w:rFonts w:ascii="黑体" w:eastAsia="黑体" w:hint="eastAsia"/>
                <w:sz w:val="21"/>
              </w:rPr>
              <w:t>发热性惊厥以及没有全身性发作的失神发作（癫痫小发作）不在本保障范围内。</w:t>
            </w:r>
          </w:p>
        </w:tc>
      </w:tr>
      <w:tr>
        <w:trPr>
          <w:trHeight w:val="1390" w:hRule="atLeast"/>
        </w:trPr>
        <w:tc>
          <w:tcPr>
            <w:tcW w:w="1552" w:type="dxa"/>
          </w:tcPr>
          <w:p>
            <w:pPr>
              <w:pStyle w:val="TableParagraph"/>
              <w:spacing w:line="273" w:lineRule="auto" w:before="45"/>
              <w:ind w:left="200" w:right="138"/>
              <w:rPr>
                <w:b/>
                <w:sz w:val="21"/>
              </w:rPr>
            </w:pPr>
            <w:r>
              <w:rPr>
                <w:b/>
                <w:sz w:val="21"/>
              </w:rPr>
              <w:t>82.骨生长不全症</w:t>
            </w:r>
          </w:p>
        </w:tc>
        <w:tc>
          <w:tcPr>
            <w:tcW w:w="7899" w:type="dxa"/>
          </w:tcPr>
          <w:p>
            <w:pPr>
              <w:pStyle w:val="TableParagraph"/>
              <w:spacing w:line="273" w:lineRule="auto" w:before="45"/>
              <w:ind w:left="66" w:right="197"/>
              <w:rPr>
                <w:sz w:val="21"/>
              </w:rPr>
            </w:pPr>
            <w:r>
              <w:rPr>
                <w:spacing w:val="-4"/>
                <w:sz w:val="21"/>
              </w:rPr>
              <w:t>指一种胶原病，特征为骨易碎，骨质疏松和易骨折。该病有 </w:t>
            </w:r>
            <w:r>
              <w:rPr>
                <w:sz w:val="21"/>
              </w:rPr>
              <w:t>4</w:t>
            </w:r>
            <w:r>
              <w:rPr>
                <w:spacing w:val="-5"/>
                <w:sz w:val="21"/>
              </w:rPr>
              <w:t> 种类型：</w:t>
            </w:r>
            <w:r>
              <w:rPr>
                <w:sz w:val="21"/>
              </w:rPr>
              <w:t>I</w:t>
            </w:r>
            <w:r>
              <w:rPr>
                <w:spacing w:val="11"/>
                <w:sz w:val="21"/>
              </w:rPr>
              <w:t> 型、</w:t>
            </w:r>
            <w:r>
              <w:rPr>
                <w:sz w:val="21"/>
              </w:rPr>
              <w:t>II </w:t>
            </w:r>
            <w:r>
              <w:rPr>
                <w:spacing w:val="-15"/>
                <w:sz w:val="21"/>
              </w:rPr>
              <w:t>型、</w:t>
            </w:r>
            <w:r>
              <w:rPr>
                <w:sz w:val="21"/>
              </w:rPr>
              <w:t>III</w:t>
            </w:r>
            <w:r>
              <w:rPr>
                <w:spacing w:val="-26"/>
                <w:sz w:val="21"/>
              </w:rPr>
              <w:t> 型、</w:t>
            </w:r>
            <w:r>
              <w:rPr>
                <w:sz w:val="21"/>
              </w:rPr>
              <w:t>IV</w:t>
            </w:r>
            <w:r>
              <w:rPr>
                <w:spacing w:val="-20"/>
                <w:sz w:val="21"/>
              </w:rPr>
              <w:t> 型。只保障 </w:t>
            </w:r>
            <w:r>
              <w:rPr>
                <w:sz w:val="21"/>
              </w:rPr>
              <w:t>III</w:t>
            </w:r>
            <w:r>
              <w:rPr>
                <w:spacing w:val="-12"/>
                <w:sz w:val="21"/>
              </w:rPr>
              <w:t> 型成骨不全的情形。其主要临床特点有：发展迟缓、</w:t>
            </w:r>
            <w:r>
              <w:rPr>
                <w:spacing w:val="-6"/>
                <w:sz w:val="21"/>
              </w:rPr>
              <w:t>多发性骨折、进行性脊柱后侧凸及听力损害。</w:t>
            </w:r>
            <w:r>
              <w:rPr>
                <w:sz w:val="21"/>
              </w:rPr>
              <w:t>III</w:t>
            </w:r>
            <w:r>
              <w:rPr>
                <w:spacing w:val="-8"/>
                <w:sz w:val="21"/>
              </w:rPr>
              <w:t> 型成骨不全的诊断必须根据身体</w:t>
            </w:r>
            <w:r>
              <w:rPr>
                <w:spacing w:val="-5"/>
                <w:sz w:val="21"/>
              </w:rPr>
              <w:t>检查，家族史，</w:t>
            </w:r>
            <w:r>
              <w:rPr>
                <w:sz w:val="21"/>
              </w:rPr>
              <w:t>X</w:t>
            </w:r>
            <w:r>
              <w:rPr>
                <w:spacing w:val="-7"/>
                <w:sz w:val="21"/>
              </w:rPr>
              <w:t> 线检查和皮肤活检报告资料确诊。</w:t>
            </w:r>
          </w:p>
        </w:tc>
      </w:tr>
      <w:tr>
        <w:trPr>
          <w:trHeight w:val="651" w:hRule="atLeast"/>
        </w:trPr>
        <w:tc>
          <w:tcPr>
            <w:tcW w:w="1552" w:type="dxa"/>
          </w:tcPr>
          <w:p>
            <w:pPr>
              <w:pStyle w:val="TableParagraph"/>
              <w:spacing w:before="58"/>
              <w:ind w:left="200"/>
              <w:rPr>
                <w:b/>
                <w:sz w:val="21"/>
              </w:rPr>
            </w:pPr>
            <w:r>
              <w:rPr>
                <w:b/>
                <w:sz w:val="21"/>
              </w:rPr>
              <w:t>83.小肠移植</w:t>
            </w:r>
          </w:p>
        </w:tc>
        <w:tc>
          <w:tcPr>
            <w:tcW w:w="7899" w:type="dxa"/>
          </w:tcPr>
          <w:p>
            <w:pPr>
              <w:pStyle w:val="TableParagraph"/>
              <w:spacing w:line="310" w:lineRule="atLeast" w:before="23"/>
              <w:ind w:left="66" w:right="266"/>
              <w:rPr>
                <w:sz w:val="21"/>
              </w:rPr>
            </w:pPr>
            <w:r>
              <w:rPr>
                <w:sz w:val="21"/>
              </w:rPr>
              <w:t>指因肠道疾病或外伤，已经实施了在全身麻醉下进行的小肠的异体器官移植手术。此手术必须由专科医生认为是医学上必需的情况下进行。</w:t>
            </w:r>
          </w:p>
        </w:tc>
      </w:tr>
    </w:tbl>
    <w:p>
      <w:pPr>
        <w:spacing w:after="0" w:line="310" w:lineRule="atLeast"/>
        <w:rPr>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939"/>
      </w:tblGrid>
      <w:tr>
        <w:trPr>
          <w:trHeight w:val="1276" w:hRule="atLeast"/>
        </w:trPr>
        <w:tc>
          <w:tcPr>
            <w:tcW w:w="1515" w:type="dxa"/>
          </w:tcPr>
          <w:p>
            <w:pPr>
              <w:pStyle w:val="TableParagraph"/>
              <w:spacing w:line="205" w:lineRule="exact"/>
              <w:ind w:left="200"/>
              <w:rPr>
                <w:b/>
                <w:sz w:val="21"/>
              </w:rPr>
            </w:pPr>
            <w:r>
              <w:rPr>
                <w:b/>
                <w:sz w:val="21"/>
              </w:rPr>
              <w:t>84.细菌性脑</w:t>
            </w:r>
          </w:p>
          <w:p>
            <w:pPr>
              <w:pStyle w:val="TableParagraph"/>
              <w:spacing w:before="37"/>
              <w:ind w:left="200"/>
              <w:rPr>
                <w:b/>
                <w:sz w:val="21"/>
              </w:rPr>
            </w:pPr>
            <w:r>
              <w:rPr>
                <w:b/>
                <w:sz w:val="21"/>
              </w:rPr>
              <w:t>脊髓膜炎</w:t>
            </w:r>
          </w:p>
        </w:tc>
        <w:tc>
          <w:tcPr>
            <w:tcW w:w="7939" w:type="dxa"/>
          </w:tcPr>
          <w:p>
            <w:pPr>
              <w:pStyle w:val="TableParagraph"/>
              <w:spacing w:line="205" w:lineRule="exact"/>
              <w:ind w:left="103"/>
              <w:rPr>
                <w:sz w:val="21"/>
              </w:rPr>
            </w:pPr>
            <w:r>
              <w:rPr>
                <w:sz w:val="21"/>
              </w:rPr>
              <w:t>指因脑膜炎双球菌感染引起脑脊髓膜化脓性病变，且导致永久性神经损害，持续 90</w:t>
            </w:r>
          </w:p>
          <w:p>
            <w:pPr>
              <w:pStyle w:val="TableParagraph"/>
              <w:spacing w:before="37"/>
              <w:ind w:left="103"/>
              <w:rPr>
                <w:sz w:val="21"/>
              </w:rPr>
            </w:pPr>
            <w:r>
              <w:rPr>
                <w:sz w:val="21"/>
              </w:rPr>
              <w:t>天以上，并且脑脊液检查显示脑膜炎双球菌阳性。</w:t>
            </w:r>
          </w:p>
          <w:p>
            <w:pPr>
              <w:pStyle w:val="TableParagraph"/>
              <w:spacing w:line="273" w:lineRule="auto" w:before="37"/>
              <w:ind w:left="103" w:right="198"/>
              <w:rPr>
                <w:sz w:val="21"/>
              </w:rPr>
            </w:pPr>
            <w:r>
              <w:rPr>
                <w:spacing w:val="-9"/>
                <w:sz w:val="21"/>
              </w:rPr>
              <w:t>永久性神经损害是指由细菌性脑脊髓膜炎引起的耳聋、失明、动眼神经麻痹、瘫痪、</w:t>
            </w:r>
            <w:r>
              <w:rPr>
                <w:spacing w:val="-7"/>
                <w:sz w:val="21"/>
              </w:rPr>
              <w:t>脑积水、智力或性情中度以上的损害，且上述症状持续 </w:t>
            </w:r>
            <w:r>
              <w:rPr>
                <w:sz w:val="21"/>
              </w:rPr>
              <w:t>90</w:t>
            </w:r>
            <w:r>
              <w:rPr>
                <w:spacing w:val="-1"/>
                <w:sz w:val="21"/>
              </w:rPr>
              <w:t> 天以上仍无改善迹象。</w:t>
            </w:r>
          </w:p>
        </w:tc>
      </w:tr>
      <w:tr>
        <w:trPr>
          <w:trHeight w:val="2653" w:hRule="atLeast"/>
        </w:trPr>
        <w:tc>
          <w:tcPr>
            <w:tcW w:w="1515" w:type="dxa"/>
          </w:tcPr>
          <w:p>
            <w:pPr>
              <w:pStyle w:val="TableParagraph"/>
              <w:spacing w:line="273" w:lineRule="auto" w:before="60"/>
              <w:ind w:left="200" w:right="101"/>
              <w:jc w:val="both"/>
              <w:rPr>
                <w:b/>
                <w:sz w:val="21"/>
              </w:rPr>
            </w:pPr>
            <w:r>
              <w:rPr>
                <w:b/>
                <w:spacing w:val="2"/>
                <w:sz w:val="21"/>
              </w:rPr>
              <w:t>85</w:t>
            </w:r>
            <w:r>
              <w:rPr>
                <w:b/>
                <w:spacing w:val="5"/>
                <w:sz w:val="21"/>
              </w:rPr>
              <w:t>.器官移植</w:t>
            </w:r>
            <w:r>
              <w:rPr>
                <w:b/>
                <w:spacing w:val="-12"/>
                <w:sz w:val="21"/>
              </w:rPr>
              <w:t>导 致 的 </w:t>
            </w:r>
            <w:r>
              <w:rPr>
                <w:b/>
                <w:sz w:val="21"/>
              </w:rPr>
              <w:t>HIV 感染</w:t>
            </w:r>
          </w:p>
        </w:tc>
        <w:tc>
          <w:tcPr>
            <w:tcW w:w="7939" w:type="dxa"/>
          </w:tcPr>
          <w:p>
            <w:pPr>
              <w:pStyle w:val="TableParagraph"/>
              <w:spacing w:before="60"/>
              <w:ind w:left="103"/>
              <w:rPr>
                <w:sz w:val="21"/>
              </w:rPr>
            </w:pPr>
            <w:r>
              <w:rPr>
                <w:spacing w:val="-3"/>
                <w:w w:val="100"/>
                <w:sz w:val="21"/>
              </w:rPr>
              <w:t>指因进行器官移植而感染上人类免疫缺陷病毒</w:t>
            </w:r>
            <w:r>
              <w:rPr>
                <w:w w:val="100"/>
                <w:sz w:val="21"/>
              </w:rPr>
              <w:t>（H</w:t>
            </w:r>
            <w:r>
              <w:rPr>
                <w:spacing w:val="-3"/>
                <w:w w:val="100"/>
                <w:sz w:val="21"/>
              </w:rPr>
              <w:t>IV</w:t>
            </w:r>
            <w:r>
              <w:rPr>
                <w:spacing w:val="-106"/>
                <w:w w:val="100"/>
                <w:sz w:val="21"/>
              </w:rPr>
              <w:t>）</w:t>
            </w:r>
            <w:r>
              <w:rPr>
                <w:spacing w:val="-3"/>
                <w:w w:val="100"/>
                <w:sz w:val="21"/>
              </w:rPr>
              <w:t>，且须满足下列全部条件：</w:t>
            </w:r>
          </w:p>
          <w:p>
            <w:pPr>
              <w:pStyle w:val="TableParagraph"/>
              <w:numPr>
                <w:ilvl w:val="0"/>
                <w:numId w:val="65"/>
              </w:numPr>
              <w:tabs>
                <w:tab w:pos="824" w:val="left" w:leader="none"/>
              </w:tabs>
              <w:spacing w:line="273" w:lineRule="auto" w:before="37" w:after="0"/>
              <w:ind w:left="823" w:right="387" w:hanging="720"/>
              <w:jc w:val="left"/>
              <w:rPr>
                <w:sz w:val="21"/>
              </w:rPr>
            </w:pPr>
            <w:r>
              <w:rPr>
                <w:spacing w:val="-3"/>
                <w:sz w:val="21"/>
              </w:rPr>
              <w:t>在保障起始日或复效日之后，被保险人因治疗必需而实施器官移植，并且因器官移植而感染人类免疫缺陷病毒；</w:t>
            </w:r>
          </w:p>
          <w:p>
            <w:pPr>
              <w:pStyle w:val="TableParagraph"/>
              <w:numPr>
                <w:ilvl w:val="0"/>
                <w:numId w:val="65"/>
              </w:numPr>
              <w:tabs>
                <w:tab w:pos="824" w:val="left" w:leader="none"/>
              </w:tabs>
              <w:spacing w:line="273" w:lineRule="auto" w:before="7" w:after="0"/>
              <w:ind w:left="823" w:right="387" w:hanging="720"/>
              <w:jc w:val="left"/>
              <w:rPr>
                <w:sz w:val="21"/>
              </w:rPr>
            </w:pPr>
            <w:r>
              <w:rPr>
                <w:spacing w:val="-3"/>
                <w:sz w:val="21"/>
              </w:rPr>
              <w:t>提供器官移植治疗的器官移植中心或医院出具该项器官移植感染，属于医疗责任事故的报告，或者法院终审裁定为医疗责任并且不准上诉；</w:t>
            </w:r>
          </w:p>
          <w:p>
            <w:pPr>
              <w:pStyle w:val="TableParagraph"/>
              <w:numPr>
                <w:ilvl w:val="0"/>
                <w:numId w:val="65"/>
              </w:numPr>
              <w:tabs>
                <w:tab w:pos="824" w:val="left" w:leader="none"/>
              </w:tabs>
              <w:spacing w:line="240" w:lineRule="auto" w:before="7" w:after="0"/>
              <w:ind w:left="823" w:right="0" w:hanging="720"/>
              <w:jc w:val="left"/>
              <w:rPr>
                <w:sz w:val="21"/>
              </w:rPr>
            </w:pPr>
            <w:r>
              <w:rPr>
                <w:spacing w:val="-3"/>
                <w:sz w:val="21"/>
              </w:rPr>
              <w:t>提供器官移植治疗的器官移植中心或医院必须拥有合法经营执照；</w:t>
            </w:r>
          </w:p>
          <w:p>
            <w:pPr>
              <w:pStyle w:val="TableParagraph"/>
              <w:spacing w:line="273" w:lineRule="auto" w:before="37"/>
              <w:ind w:left="103" w:right="303"/>
              <w:rPr>
                <w:rFonts w:ascii="黑体" w:eastAsia="黑体" w:hint="eastAsia"/>
                <w:sz w:val="21"/>
              </w:rPr>
            </w:pPr>
            <w:r>
              <w:rPr>
                <w:rFonts w:ascii="黑体" w:eastAsia="黑体" w:hint="eastAsia"/>
                <w:spacing w:val="-5"/>
                <w:sz w:val="21"/>
              </w:rPr>
              <w:t>任何因其他传播方式</w:t>
            </w:r>
            <w:r>
              <w:rPr>
                <w:rFonts w:ascii="黑体" w:eastAsia="黑体" w:hint="eastAsia"/>
                <w:sz w:val="21"/>
              </w:rPr>
              <w:t>（</w:t>
            </w:r>
            <w:r>
              <w:rPr>
                <w:rFonts w:ascii="黑体" w:eastAsia="黑体" w:hint="eastAsia"/>
                <w:spacing w:val="-5"/>
                <w:sz w:val="21"/>
              </w:rPr>
              <w:t>包括：性传播或静脉注射毒品</w:t>
            </w:r>
            <w:r>
              <w:rPr>
                <w:rFonts w:ascii="黑体" w:eastAsia="黑体" w:hint="eastAsia"/>
                <w:spacing w:val="-13"/>
                <w:sz w:val="21"/>
              </w:rPr>
              <w:t>）</w:t>
            </w:r>
            <w:r>
              <w:rPr>
                <w:rFonts w:ascii="黑体" w:eastAsia="黑体" w:hint="eastAsia"/>
                <w:spacing w:val="-10"/>
                <w:sz w:val="21"/>
              </w:rPr>
              <w:t>导致的 </w:t>
            </w:r>
            <w:r>
              <w:rPr>
                <w:rFonts w:ascii="黑体" w:eastAsia="黑体" w:hint="eastAsia"/>
                <w:sz w:val="21"/>
              </w:rPr>
              <w:t>HIV</w:t>
            </w:r>
            <w:r>
              <w:rPr>
                <w:rFonts w:ascii="黑体" w:eastAsia="黑体" w:hint="eastAsia"/>
                <w:spacing w:val="-8"/>
                <w:sz w:val="21"/>
              </w:rPr>
              <w:t> 感染不在保障范围内。</w:t>
            </w:r>
          </w:p>
        </w:tc>
      </w:tr>
      <w:tr>
        <w:trPr>
          <w:trHeight w:val="1399" w:hRule="atLeast"/>
        </w:trPr>
        <w:tc>
          <w:tcPr>
            <w:tcW w:w="1515" w:type="dxa"/>
          </w:tcPr>
          <w:p>
            <w:pPr>
              <w:pStyle w:val="TableParagraph"/>
              <w:spacing w:line="273" w:lineRule="auto" w:before="58"/>
              <w:ind w:left="200" w:right="101"/>
              <w:rPr>
                <w:b/>
                <w:sz w:val="21"/>
              </w:rPr>
            </w:pPr>
            <w:r>
              <w:rPr>
                <w:b/>
                <w:sz w:val="21"/>
              </w:rPr>
              <w:t>86.主动脉夹层瘤</w:t>
            </w:r>
          </w:p>
        </w:tc>
        <w:tc>
          <w:tcPr>
            <w:tcW w:w="7939" w:type="dxa"/>
          </w:tcPr>
          <w:p>
            <w:pPr>
              <w:pStyle w:val="TableParagraph"/>
              <w:spacing w:line="273" w:lineRule="auto" w:before="58"/>
              <w:ind w:left="103" w:right="267"/>
              <w:jc w:val="both"/>
              <w:rPr>
                <w:sz w:val="21"/>
              </w:rPr>
            </w:pPr>
            <w:r>
              <w:rPr>
                <w:spacing w:val="-5"/>
                <w:sz w:val="21"/>
              </w:rPr>
              <w:t>是指主动脉壁在受到某些病理因素的破坏后，高速、高压的主动脉血流将其内膜撕</w:t>
            </w:r>
            <w:r>
              <w:rPr>
                <w:spacing w:val="-4"/>
                <w:sz w:val="21"/>
              </w:rPr>
              <w:t>裂，以致主动脉腔内的血流通过主动脉内膜的破裂口进入主动脉内壁而形成血肿。</w:t>
            </w:r>
            <w:r>
              <w:rPr>
                <w:spacing w:val="-3"/>
                <w:w w:val="100"/>
                <w:sz w:val="21"/>
              </w:rPr>
              <w:t>被保险人需通过断层扫描</w:t>
            </w:r>
            <w:r>
              <w:rPr>
                <w:w w:val="100"/>
                <w:sz w:val="21"/>
              </w:rPr>
              <w:t>（CT</w:t>
            </w:r>
            <w:r>
              <w:rPr>
                <w:spacing w:val="-108"/>
                <w:w w:val="100"/>
                <w:sz w:val="21"/>
              </w:rPr>
              <w:t>）</w:t>
            </w:r>
            <w:r>
              <w:rPr>
                <w:spacing w:val="-3"/>
                <w:w w:val="100"/>
                <w:sz w:val="21"/>
              </w:rPr>
              <w:t>、核磁共振检查</w:t>
            </w:r>
            <w:r>
              <w:rPr>
                <w:w w:val="100"/>
                <w:sz w:val="21"/>
              </w:rPr>
              <w:t>（</w:t>
            </w:r>
            <w:r>
              <w:rPr>
                <w:spacing w:val="-3"/>
                <w:w w:val="100"/>
                <w:sz w:val="21"/>
              </w:rPr>
              <w:t>MR</w:t>
            </w:r>
            <w:r>
              <w:rPr>
                <w:w w:val="100"/>
                <w:sz w:val="21"/>
              </w:rPr>
              <w:t>I</w:t>
            </w:r>
            <w:r>
              <w:rPr>
                <w:spacing w:val="-106"/>
                <w:w w:val="100"/>
                <w:sz w:val="21"/>
              </w:rPr>
              <w:t>）</w:t>
            </w:r>
            <w:r>
              <w:rPr>
                <w:spacing w:val="-3"/>
                <w:w w:val="100"/>
                <w:sz w:val="21"/>
              </w:rPr>
              <w:t>、磁共振血管检验法（M</w:t>
            </w:r>
            <w:r>
              <w:rPr>
                <w:w w:val="100"/>
                <w:sz w:val="21"/>
              </w:rPr>
              <w:t>R</w:t>
            </w:r>
            <w:r>
              <w:rPr>
                <w:spacing w:val="-1"/>
                <w:w w:val="100"/>
                <w:sz w:val="21"/>
              </w:rPr>
              <w:t>A</w:t>
            </w:r>
            <w:r>
              <w:rPr>
                <w:w w:val="100"/>
                <w:sz w:val="21"/>
              </w:rPr>
              <w:t>）</w:t>
            </w:r>
            <w:r>
              <w:rPr>
                <w:spacing w:val="-3"/>
                <w:sz w:val="21"/>
              </w:rPr>
              <w:t>或血管扫描等检查， 并且实施了胸腹切开的直视主动脉手术。</w:t>
            </w:r>
          </w:p>
        </w:tc>
      </w:tr>
      <w:tr>
        <w:trPr>
          <w:trHeight w:val="1106" w:hRule="atLeast"/>
        </w:trPr>
        <w:tc>
          <w:tcPr>
            <w:tcW w:w="1515" w:type="dxa"/>
          </w:tcPr>
          <w:p>
            <w:pPr>
              <w:pStyle w:val="TableParagraph"/>
              <w:spacing w:line="273" w:lineRule="auto" w:before="54"/>
              <w:ind w:left="200" w:right="101"/>
              <w:rPr>
                <w:b/>
                <w:sz w:val="21"/>
              </w:rPr>
            </w:pPr>
            <w:r>
              <w:rPr>
                <w:b/>
                <w:sz w:val="21"/>
              </w:rPr>
              <w:t>87.胆道重建术</w:t>
            </w:r>
          </w:p>
        </w:tc>
        <w:tc>
          <w:tcPr>
            <w:tcW w:w="7939" w:type="dxa"/>
          </w:tcPr>
          <w:p>
            <w:pPr>
              <w:pStyle w:val="TableParagraph"/>
              <w:spacing w:line="273" w:lineRule="auto" w:before="54"/>
              <w:ind w:left="103" w:right="303"/>
              <w:jc w:val="both"/>
              <w:rPr>
                <w:sz w:val="21"/>
              </w:rPr>
            </w:pPr>
            <w:r>
              <w:rPr>
                <w:spacing w:val="-5"/>
                <w:sz w:val="21"/>
              </w:rPr>
              <w:t>因疾病或胆道损伤导致实际接受涉及胆总管小肠吻合术的胆道重建手术。诊断及治疗均须在本公司认可的医院内由专科医生认为是医疗必须的情况下进行。因胆道闭</w:t>
            </w:r>
            <w:r>
              <w:rPr>
                <w:spacing w:val="-3"/>
                <w:sz w:val="21"/>
              </w:rPr>
              <w:t>锁等先天性疾病而导致进行的胆道手术并不在本合同的保障范围內。</w:t>
            </w:r>
          </w:p>
        </w:tc>
      </w:tr>
      <w:tr>
        <w:trPr>
          <w:trHeight w:val="2991" w:hRule="atLeast"/>
        </w:trPr>
        <w:tc>
          <w:tcPr>
            <w:tcW w:w="1515" w:type="dxa"/>
          </w:tcPr>
          <w:p>
            <w:pPr>
              <w:pStyle w:val="TableParagraph"/>
              <w:spacing w:line="273" w:lineRule="auto" w:before="78"/>
              <w:ind w:left="200" w:right="101"/>
              <w:rPr>
                <w:b/>
                <w:sz w:val="21"/>
              </w:rPr>
            </w:pPr>
            <w:r>
              <w:rPr>
                <w:b/>
                <w:sz w:val="21"/>
              </w:rPr>
              <w:t>88.原发性骨髓纤维化</w:t>
            </w:r>
          </w:p>
        </w:tc>
        <w:tc>
          <w:tcPr>
            <w:tcW w:w="7939" w:type="dxa"/>
          </w:tcPr>
          <w:p>
            <w:pPr>
              <w:pStyle w:val="TableParagraph"/>
              <w:spacing w:line="273" w:lineRule="auto" w:before="78"/>
              <w:ind w:left="103" w:right="303"/>
              <w:jc w:val="both"/>
              <w:rPr>
                <w:sz w:val="21"/>
              </w:rPr>
            </w:pPr>
            <w:r>
              <w:rPr>
                <w:spacing w:val="-5"/>
                <w:sz w:val="21"/>
              </w:rPr>
              <w:t>原发性骨髓纤维化为原因不明的骨髓中成纤维细胞增殖，伴有髓外造血，表现为进</w:t>
            </w:r>
            <w:r>
              <w:rPr>
                <w:spacing w:val="-8"/>
                <w:sz w:val="21"/>
              </w:rPr>
              <w:t>行性贫血、脾肿大等症状。本病必须根据骨髓的活组织检查和周围血象检查由血液</w:t>
            </w:r>
            <w:r>
              <w:rPr>
                <w:spacing w:val="-6"/>
                <w:sz w:val="21"/>
              </w:rPr>
              <w:t>科专科医生明确诊断，并至少符合下列条件中的三项，且符合条件的状态持续 </w:t>
            </w:r>
            <w:r>
              <w:rPr>
                <w:sz w:val="21"/>
              </w:rPr>
              <w:t>180 </w:t>
            </w:r>
            <w:r>
              <w:rPr>
                <w:spacing w:val="-3"/>
                <w:sz w:val="21"/>
              </w:rPr>
              <w:t>天及以上，并已经实际接受了针对此症的治疗：</w:t>
            </w:r>
          </w:p>
          <w:p>
            <w:pPr>
              <w:pStyle w:val="TableParagraph"/>
              <w:spacing w:before="7"/>
              <w:ind w:left="103"/>
              <w:jc w:val="both"/>
              <w:rPr>
                <w:sz w:val="21"/>
              </w:rPr>
            </w:pPr>
            <w:r>
              <w:rPr>
                <w:sz w:val="21"/>
              </w:rPr>
              <w:t>（1）血红蛋白＜100g/L；</w:t>
            </w:r>
          </w:p>
          <w:p>
            <w:pPr>
              <w:pStyle w:val="TableParagraph"/>
              <w:spacing w:before="36"/>
              <w:ind w:left="103"/>
              <w:jc w:val="both"/>
              <w:rPr>
                <w:sz w:val="21"/>
              </w:rPr>
            </w:pPr>
            <w:r>
              <w:rPr>
                <w:sz w:val="21"/>
              </w:rPr>
              <w:t>（2）白细胞计数＞25×10</w:t>
            </w:r>
            <w:r>
              <w:rPr>
                <w:position w:val="11"/>
                <w:sz w:val="11"/>
              </w:rPr>
              <w:t>9</w:t>
            </w:r>
            <w:r>
              <w:rPr>
                <w:sz w:val="21"/>
              </w:rPr>
              <w:t>/L；</w:t>
            </w:r>
          </w:p>
          <w:p>
            <w:pPr>
              <w:pStyle w:val="TableParagraph"/>
              <w:spacing w:before="36"/>
              <w:ind w:left="103"/>
              <w:jc w:val="both"/>
              <w:rPr>
                <w:sz w:val="21"/>
              </w:rPr>
            </w:pPr>
            <w:r>
              <w:rPr>
                <w:sz w:val="21"/>
              </w:rPr>
              <w:t>（3）外周血原始细胞≥1%；</w:t>
            </w:r>
          </w:p>
          <w:p>
            <w:pPr>
              <w:pStyle w:val="TableParagraph"/>
              <w:spacing w:before="36"/>
              <w:ind w:left="103"/>
              <w:jc w:val="both"/>
              <w:rPr>
                <w:sz w:val="21"/>
              </w:rPr>
            </w:pPr>
            <w:r>
              <w:rPr>
                <w:sz w:val="21"/>
              </w:rPr>
              <w:t>（4）血小板计数＜100×10</w:t>
            </w:r>
            <w:r>
              <w:rPr>
                <w:position w:val="11"/>
                <w:sz w:val="11"/>
              </w:rPr>
              <w:t>9</w:t>
            </w:r>
            <w:r>
              <w:rPr>
                <w:sz w:val="21"/>
              </w:rPr>
              <w:t>/L。</w:t>
            </w:r>
          </w:p>
          <w:p>
            <w:pPr>
              <w:pStyle w:val="TableParagraph"/>
              <w:spacing w:before="36"/>
              <w:ind w:left="103"/>
              <w:jc w:val="both"/>
              <w:rPr>
                <w:rFonts w:ascii="黑体" w:eastAsia="黑体" w:hint="eastAsia"/>
                <w:sz w:val="21"/>
              </w:rPr>
            </w:pPr>
            <w:r>
              <w:rPr>
                <w:rFonts w:ascii="黑体" w:eastAsia="黑体" w:hint="eastAsia"/>
                <w:sz w:val="21"/>
              </w:rPr>
              <w:t>任何其他病因导致的继发性骨髓纤维化不在保障范围内。</w:t>
            </w:r>
          </w:p>
        </w:tc>
      </w:tr>
      <w:tr>
        <w:trPr>
          <w:trHeight w:val="3468" w:hRule="atLeast"/>
        </w:trPr>
        <w:tc>
          <w:tcPr>
            <w:tcW w:w="1515" w:type="dxa"/>
          </w:tcPr>
          <w:p>
            <w:pPr>
              <w:pStyle w:val="TableParagraph"/>
              <w:spacing w:before="67"/>
              <w:ind w:left="200"/>
              <w:rPr>
                <w:b/>
                <w:sz w:val="21"/>
              </w:rPr>
            </w:pPr>
            <w:r>
              <w:rPr>
                <w:b/>
                <w:sz w:val="21"/>
              </w:rPr>
              <w:t>89.肌萎缩性</w:t>
            </w:r>
          </w:p>
          <w:p>
            <w:pPr>
              <w:pStyle w:val="TableParagraph"/>
              <w:spacing w:line="273" w:lineRule="auto" w:before="37"/>
              <w:ind w:left="200" w:right="108"/>
              <w:rPr>
                <w:b/>
                <w:sz w:val="21"/>
              </w:rPr>
            </w:pPr>
            <w:r>
              <w:rPr>
                <w:b/>
                <w:sz w:val="21"/>
              </w:rPr>
              <w:t>（脊髓</w:t>
            </w:r>
            <w:r>
              <w:rPr>
                <w:b/>
                <w:spacing w:val="-63"/>
                <w:sz w:val="21"/>
              </w:rPr>
              <w:t>）</w:t>
            </w:r>
            <w:r>
              <w:rPr>
                <w:b/>
                <w:sz w:val="21"/>
              </w:rPr>
              <w:t>侧索硬化症</w:t>
            </w:r>
          </w:p>
        </w:tc>
        <w:tc>
          <w:tcPr>
            <w:tcW w:w="7939" w:type="dxa"/>
          </w:tcPr>
          <w:p>
            <w:pPr>
              <w:pStyle w:val="TableParagraph"/>
              <w:spacing w:line="273" w:lineRule="auto" w:before="67"/>
              <w:ind w:left="103" w:right="303"/>
              <w:jc w:val="both"/>
              <w:rPr>
                <w:sz w:val="21"/>
              </w:rPr>
            </w:pPr>
            <w:r>
              <w:rPr>
                <w:spacing w:val="-6"/>
                <w:sz w:val="21"/>
              </w:rPr>
              <w:t>是指持续的神经变性累及脊髓神经及脑干运动神经元，出现肌肉无力、挛缩、肌束</w:t>
            </w:r>
            <w:r>
              <w:rPr>
                <w:spacing w:val="-7"/>
                <w:sz w:val="21"/>
              </w:rPr>
              <w:t>颤动及萎缩症状和体征。须经神经专科医师做出明确诊断，且疾病进行性发展已导</w:t>
            </w:r>
            <w:r>
              <w:rPr>
                <w:spacing w:val="-5"/>
                <w:sz w:val="21"/>
              </w:rPr>
              <w:t>致不可逆转的永久性神经系统功能障碍。</w:t>
            </w:r>
          </w:p>
          <w:p>
            <w:pPr>
              <w:pStyle w:val="TableParagraph"/>
              <w:spacing w:before="7"/>
              <w:ind w:left="103"/>
              <w:jc w:val="both"/>
              <w:rPr>
                <w:sz w:val="21"/>
              </w:rPr>
            </w:pPr>
            <w:r>
              <w:rPr>
                <w:sz w:val="21"/>
              </w:rPr>
              <w:t>永久性神经系统功能障碍是指以下六项条件中的一项或一项以上：</w:t>
            </w:r>
          </w:p>
          <w:p>
            <w:pPr>
              <w:pStyle w:val="TableParagraph"/>
              <w:spacing w:before="36"/>
              <w:ind w:left="103"/>
              <w:jc w:val="both"/>
              <w:rPr>
                <w:sz w:val="21"/>
              </w:rPr>
            </w:pPr>
            <w:r>
              <w:rPr>
                <w:sz w:val="21"/>
              </w:rPr>
              <w:t>（1）一上肢或双上肢手腕以上部分的完全及永久瘫痪；</w:t>
            </w:r>
          </w:p>
          <w:p>
            <w:pPr>
              <w:pStyle w:val="TableParagraph"/>
              <w:spacing w:before="36"/>
              <w:ind w:left="103"/>
              <w:jc w:val="both"/>
              <w:rPr>
                <w:sz w:val="21"/>
              </w:rPr>
            </w:pPr>
            <w:r>
              <w:rPr>
                <w:sz w:val="21"/>
              </w:rPr>
              <w:t>（2）一下肢或双下肢足踝以上部分的完全及永久瘫痪；</w:t>
            </w:r>
          </w:p>
          <w:p>
            <w:pPr>
              <w:pStyle w:val="TableParagraph"/>
              <w:spacing w:before="36"/>
              <w:ind w:left="103"/>
              <w:jc w:val="both"/>
              <w:rPr>
                <w:sz w:val="21"/>
              </w:rPr>
            </w:pPr>
            <w:r>
              <w:rPr>
                <w:sz w:val="21"/>
              </w:rPr>
              <w:t>（3）四肢机能完全及永久丧失；</w:t>
            </w:r>
          </w:p>
          <w:p>
            <w:pPr>
              <w:pStyle w:val="TableParagraph"/>
              <w:spacing w:before="36"/>
              <w:ind w:left="103"/>
              <w:jc w:val="both"/>
              <w:rPr>
                <w:sz w:val="21"/>
              </w:rPr>
            </w:pPr>
            <w:r>
              <w:rPr>
                <w:sz w:val="21"/>
              </w:rPr>
              <w:t>（4）完全及永久丧失语言能力；</w:t>
            </w:r>
          </w:p>
          <w:p>
            <w:pPr>
              <w:pStyle w:val="TableParagraph"/>
              <w:spacing w:before="36"/>
              <w:ind w:left="103"/>
              <w:jc w:val="both"/>
              <w:rPr>
                <w:sz w:val="21"/>
              </w:rPr>
            </w:pPr>
            <w:r>
              <w:rPr>
                <w:w w:val="100"/>
                <w:sz w:val="21"/>
              </w:rPr>
              <w:t>（5</w:t>
            </w:r>
            <w:r>
              <w:rPr>
                <w:spacing w:val="-3"/>
                <w:w w:val="100"/>
                <w:sz w:val="21"/>
              </w:rPr>
              <w:t>）完全及永久丧失吞咽能力（吞咽困难</w:t>
            </w:r>
            <w:r>
              <w:rPr>
                <w:spacing w:val="-106"/>
                <w:w w:val="100"/>
                <w:sz w:val="21"/>
              </w:rPr>
              <w:t>）</w:t>
            </w:r>
            <w:r>
              <w:rPr>
                <w:spacing w:val="-3"/>
                <w:w w:val="100"/>
                <w:sz w:val="21"/>
              </w:rPr>
              <w:t>，必须永久使用喂饲管；</w:t>
            </w:r>
          </w:p>
          <w:p>
            <w:pPr>
              <w:pStyle w:val="TableParagraph"/>
              <w:spacing w:line="310" w:lineRule="atLeast" w:before="1"/>
              <w:ind w:left="103" w:right="372"/>
              <w:rPr>
                <w:sz w:val="21"/>
              </w:rPr>
            </w:pPr>
            <w:r>
              <w:rPr>
                <w:sz w:val="21"/>
              </w:rPr>
              <w:t>（6）无法独立进行六项日常生活活动即穿衣、移动、行动、卫生、进食、洗澡中三项或三项以上，且上述日常生活活动经过三个月的持续治疗后仍无法完成。</w:t>
            </w:r>
          </w:p>
        </w:tc>
      </w:tr>
    </w:tbl>
    <w:p>
      <w:pPr>
        <w:spacing w:after="0" w:line="310" w:lineRule="atLeast"/>
        <w:rPr>
          <w:sz w:val="21"/>
        </w:rPr>
        <w:sectPr>
          <w:pgSz w:w="11910" w:h="16840"/>
          <w:pgMar w:header="0" w:footer="377" w:top="1340" w:bottom="560" w:left="1520" w:right="70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5"/>
        <w:gridCol w:w="7939"/>
      </w:tblGrid>
      <w:tr>
        <w:trPr>
          <w:trHeight w:val="1896" w:hRule="atLeast"/>
        </w:trPr>
        <w:tc>
          <w:tcPr>
            <w:tcW w:w="1515" w:type="dxa"/>
          </w:tcPr>
          <w:p>
            <w:pPr>
              <w:pStyle w:val="TableParagraph"/>
              <w:spacing w:line="205" w:lineRule="exact"/>
              <w:ind w:left="200"/>
              <w:rPr>
                <w:b/>
                <w:sz w:val="21"/>
              </w:rPr>
            </w:pPr>
            <w:r>
              <w:rPr>
                <w:b/>
                <w:sz w:val="21"/>
              </w:rPr>
              <w:t>90.湿性年龄</w:t>
            </w:r>
          </w:p>
          <w:p>
            <w:pPr>
              <w:pStyle w:val="TableParagraph"/>
              <w:spacing w:line="273" w:lineRule="auto" w:before="37"/>
              <w:ind w:left="200" w:right="111"/>
              <w:rPr>
                <w:b/>
                <w:sz w:val="21"/>
              </w:rPr>
            </w:pPr>
            <w:r>
              <w:rPr>
                <w:b/>
                <w:sz w:val="21"/>
              </w:rPr>
              <w:t>相 关性黄斑变性</w:t>
            </w:r>
          </w:p>
        </w:tc>
        <w:tc>
          <w:tcPr>
            <w:tcW w:w="7939" w:type="dxa"/>
          </w:tcPr>
          <w:p>
            <w:pPr>
              <w:pStyle w:val="TableParagraph"/>
              <w:spacing w:line="205" w:lineRule="exact"/>
              <w:ind w:left="103"/>
              <w:rPr>
                <w:sz w:val="21"/>
              </w:rPr>
            </w:pPr>
            <w:r>
              <w:rPr>
                <w:sz w:val="21"/>
              </w:rPr>
              <w:t>又称为新生血管性年龄相关性黄斑变性或“渗出性”年龄相关性黄斑变性，发生脉</w:t>
            </w:r>
          </w:p>
          <w:p>
            <w:pPr>
              <w:pStyle w:val="TableParagraph"/>
              <w:spacing w:line="273" w:lineRule="auto" w:before="37"/>
              <w:ind w:left="103" w:right="197"/>
              <w:rPr>
                <w:sz w:val="21"/>
              </w:rPr>
            </w:pPr>
            <w:r>
              <w:rPr>
                <w:spacing w:val="-2"/>
                <w:sz w:val="21"/>
              </w:rPr>
              <w:t>络膜新生血管</w:t>
            </w:r>
            <w:r>
              <w:rPr>
                <w:sz w:val="21"/>
              </w:rPr>
              <w:t>（CNV）</w:t>
            </w:r>
            <w:r>
              <w:rPr>
                <w:spacing w:val="-3"/>
                <w:sz w:val="21"/>
              </w:rPr>
              <w:t>异常生长穿透玻璃膜进入视网膜，新生血管渗漏，渗出、出 </w:t>
            </w:r>
            <w:r>
              <w:rPr>
                <w:spacing w:val="-7"/>
                <w:sz w:val="21"/>
              </w:rPr>
              <w:t>血及已经出现瘢痕组织。该病必须由荧光素眼底血管造影检查提示黄斑区新生血管</w:t>
            </w:r>
            <w:r>
              <w:rPr>
                <w:spacing w:val="-5"/>
                <w:sz w:val="21"/>
              </w:rPr>
              <w:t>及瘢痕组织形成，并且必须由医院的眼科专科医生确诊为湿性年龄相关性黄斑变  </w:t>
            </w:r>
            <w:r>
              <w:rPr>
                <w:spacing w:val="-10"/>
                <w:sz w:val="21"/>
              </w:rPr>
              <w:t>性。被保险人申请理赔时须提供近</w:t>
            </w:r>
            <w:r>
              <w:rPr>
                <w:sz w:val="21"/>
              </w:rPr>
              <w:t>3</w:t>
            </w:r>
            <w:r>
              <w:rPr>
                <w:spacing w:val="-8"/>
                <w:sz w:val="21"/>
              </w:rPr>
              <w:t> 个月内视力改变显示病情恶化的相关检查报告、</w:t>
            </w:r>
            <w:r>
              <w:rPr>
                <w:spacing w:val="-5"/>
                <w:sz w:val="21"/>
              </w:rPr>
              <w:t>诊断证明及病历报告。</w:t>
            </w:r>
          </w:p>
        </w:tc>
      </w:tr>
      <w:tr>
        <w:trPr>
          <w:trHeight w:val="1095" w:hRule="atLeast"/>
        </w:trPr>
        <w:tc>
          <w:tcPr>
            <w:tcW w:w="1515" w:type="dxa"/>
          </w:tcPr>
          <w:p>
            <w:pPr>
              <w:pStyle w:val="TableParagraph"/>
              <w:spacing w:line="273" w:lineRule="auto" w:before="55"/>
              <w:ind w:left="200" w:right="101"/>
              <w:jc w:val="both"/>
              <w:rPr>
                <w:b/>
                <w:sz w:val="21"/>
              </w:rPr>
            </w:pPr>
            <w:r>
              <w:rPr>
                <w:b/>
                <w:sz w:val="21"/>
              </w:rPr>
              <w:t>91.进行性多灶 性白质脑病</w:t>
            </w:r>
          </w:p>
        </w:tc>
        <w:tc>
          <w:tcPr>
            <w:tcW w:w="7939" w:type="dxa"/>
          </w:tcPr>
          <w:p>
            <w:pPr>
              <w:pStyle w:val="TableParagraph"/>
              <w:spacing w:line="273" w:lineRule="auto" w:before="55"/>
              <w:ind w:left="103" w:right="303"/>
              <w:rPr>
                <w:sz w:val="21"/>
              </w:rPr>
            </w:pPr>
            <w:r>
              <w:rPr>
                <w:spacing w:val="-6"/>
                <w:sz w:val="21"/>
              </w:rPr>
              <w:t>是一种亚急性脱髓鞘性脑病，常常发现于免疫缺陷的病人。必须根据脑组织活检确诊。</w:t>
            </w:r>
          </w:p>
        </w:tc>
      </w:tr>
      <w:tr>
        <w:trPr>
          <w:trHeight w:val="1411" w:hRule="atLeast"/>
        </w:trPr>
        <w:tc>
          <w:tcPr>
            <w:tcW w:w="1515" w:type="dxa"/>
          </w:tcPr>
          <w:p>
            <w:pPr>
              <w:pStyle w:val="TableParagraph"/>
              <w:spacing w:line="273" w:lineRule="auto" w:before="66"/>
              <w:ind w:left="200" w:right="101"/>
              <w:jc w:val="both"/>
              <w:rPr>
                <w:b/>
                <w:sz w:val="21"/>
              </w:rPr>
            </w:pPr>
            <w:r>
              <w:rPr>
                <w:b/>
                <w:spacing w:val="2"/>
                <w:sz w:val="21"/>
              </w:rPr>
              <w:t>92</w:t>
            </w:r>
            <w:r>
              <w:rPr>
                <w:b/>
                <w:spacing w:val="5"/>
                <w:sz w:val="21"/>
              </w:rPr>
              <w:t>.严重登革</w:t>
            </w:r>
            <w:r>
              <w:rPr>
                <w:b/>
                <w:spacing w:val="-63"/>
                <w:sz w:val="21"/>
              </w:rPr>
              <w:t>热</w:t>
            </w:r>
            <w:r>
              <w:rPr>
                <w:b/>
                <w:sz w:val="21"/>
              </w:rPr>
              <w:t>（出血性登革热）</w:t>
            </w:r>
          </w:p>
        </w:tc>
        <w:tc>
          <w:tcPr>
            <w:tcW w:w="7939" w:type="dxa"/>
          </w:tcPr>
          <w:p>
            <w:pPr>
              <w:pStyle w:val="TableParagraph"/>
              <w:spacing w:line="273" w:lineRule="auto" w:before="66"/>
              <w:ind w:left="103" w:right="303"/>
              <w:jc w:val="both"/>
              <w:rPr>
                <w:sz w:val="21"/>
              </w:rPr>
            </w:pPr>
            <w:r>
              <w:rPr>
                <w:spacing w:val="-8"/>
                <w:sz w:val="21"/>
              </w:rPr>
              <w:t>出现全部四种症状，包括发高烧、出血现象、肝肿大和循环衰竭</w:t>
            </w:r>
            <w:r>
              <w:rPr>
                <w:spacing w:val="-3"/>
                <w:sz w:val="21"/>
              </w:rPr>
              <w:t>（登革热休克综合</w:t>
            </w:r>
            <w:r>
              <w:rPr>
                <w:spacing w:val="-12"/>
                <w:sz w:val="21"/>
              </w:rPr>
              <w:t>症即符合 </w:t>
            </w:r>
            <w:r>
              <w:rPr>
                <w:sz w:val="21"/>
              </w:rPr>
              <w:t>WHO</w:t>
            </w:r>
            <w:r>
              <w:rPr>
                <w:spacing w:val="-19"/>
                <w:sz w:val="21"/>
              </w:rPr>
              <w:t> 登革热第 </w:t>
            </w:r>
            <w:r>
              <w:rPr>
                <w:sz w:val="21"/>
              </w:rPr>
              <w:t>III</w:t>
            </w:r>
            <w:r>
              <w:rPr>
                <w:spacing w:val="-21"/>
                <w:sz w:val="21"/>
              </w:rPr>
              <w:t> 级及第 </w:t>
            </w:r>
            <w:r>
              <w:rPr>
                <w:sz w:val="21"/>
              </w:rPr>
              <w:t>IV</w:t>
            </w:r>
            <w:r>
              <w:rPr>
                <w:spacing w:val="-25"/>
                <w:sz w:val="21"/>
              </w:rPr>
              <w:t> 级</w:t>
            </w:r>
            <w:r>
              <w:rPr>
                <w:spacing w:val="-108"/>
                <w:sz w:val="21"/>
              </w:rPr>
              <w:t>）</w:t>
            </w:r>
            <w:r>
              <w:rPr>
                <w:spacing w:val="-8"/>
                <w:sz w:val="21"/>
              </w:rPr>
              <w:t>。出血性登革热的诊断必须由本公司认可</w:t>
            </w:r>
            <w:r>
              <w:rPr>
                <w:spacing w:val="-5"/>
                <w:sz w:val="21"/>
              </w:rPr>
              <w:t>医院的专科医生证实。</w:t>
            </w:r>
          </w:p>
          <w:p>
            <w:pPr>
              <w:pStyle w:val="TableParagraph"/>
              <w:spacing w:before="8"/>
              <w:ind w:left="103"/>
              <w:jc w:val="both"/>
              <w:rPr>
                <w:rFonts w:ascii="黑体" w:eastAsia="黑体" w:hint="eastAsia"/>
                <w:sz w:val="21"/>
              </w:rPr>
            </w:pPr>
            <w:r>
              <w:rPr>
                <w:rFonts w:ascii="黑体" w:eastAsia="黑体" w:hint="eastAsia"/>
                <w:sz w:val="21"/>
              </w:rPr>
              <w:t>非出血性登革热并不在保障范围内。</w:t>
            </w:r>
          </w:p>
        </w:tc>
      </w:tr>
      <w:tr>
        <w:trPr>
          <w:trHeight w:val="2366" w:hRule="atLeast"/>
        </w:trPr>
        <w:tc>
          <w:tcPr>
            <w:tcW w:w="1515" w:type="dxa"/>
          </w:tcPr>
          <w:p>
            <w:pPr>
              <w:pStyle w:val="TableParagraph"/>
              <w:spacing w:line="273" w:lineRule="auto" w:before="58"/>
              <w:ind w:left="200" w:right="101"/>
              <w:rPr>
                <w:b/>
                <w:sz w:val="21"/>
              </w:rPr>
            </w:pPr>
            <w:r>
              <w:rPr>
                <w:b/>
                <w:sz w:val="21"/>
              </w:rPr>
              <w:t>93.范可尼综合征</w:t>
            </w:r>
          </w:p>
        </w:tc>
        <w:tc>
          <w:tcPr>
            <w:tcW w:w="7939" w:type="dxa"/>
          </w:tcPr>
          <w:p>
            <w:pPr>
              <w:pStyle w:val="TableParagraph"/>
              <w:spacing w:line="273" w:lineRule="auto" w:before="58"/>
              <w:ind w:left="103" w:right="303"/>
              <w:rPr>
                <w:sz w:val="21"/>
              </w:rPr>
            </w:pPr>
            <w:r>
              <w:rPr>
                <w:spacing w:val="-12"/>
                <w:sz w:val="21"/>
              </w:rPr>
              <w:t>也称 </w:t>
            </w:r>
            <w:r>
              <w:rPr>
                <w:sz w:val="21"/>
              </w:rPr>
              <w:t>Fanconi</w:t>
            </w:r>
            <w:r>
              <w:rPr>
                <w:spacing w:val="-11"/>
                <w:sz w:val="21"/>
              </w:rPr>
              <w:t> 综合征，指近端肾小管的功能异常引起的一组症候群。须经专科医生</w:t>
            </w:r>
            <w:r>
              <w:rPr>
                <w:spacing w:val="-6"/>
                <w:sz w:val="21"/>
              </w:rPr>
              <w:t>诊断，且须满足下列至少三项条件：</w:t>
            </w:r>
          </w:p>
          <w:p>
            <w:pPr>
              <w:pStyle w:val="TableParagraph"/>
              <w:spacing w:before="7"/>
              <w:ind w:left="103"/>
              <w:rPr>
                <w:sz w:val="21"/>
              </w:rPr>
            </w:pPr>
            <w:r>
              <w:rPr>
                <w:sz w:val="21"/>
              </w:rPr>
              <w:t>(1)尿液检查出现肾性糖尿、全氨基酸糖尿或磷酸盐尿；</w:t>
            </w:r>
          </w:p>
          <w:p>
            <w:pPr>
              <w:pStyle w:val="TableParagraph"/>
              <w:spacing w:before="37"/>
              <w:ind w:left="103"/>
              <w:rPr>
                <w:sz w:val="21"/>
              </w:rPr>
            </w:pPr>
            <w:r>
              <w:rPr>
                <w:sz w:val="21"/>
              </w:rPr>
              <w:t>(2)血液检查出现低磷血症、低尿酸血症或近端肾小管酸中毒；</w:t>
            </w:r>
          </w:p>
          <w:p>
            <w:pPr>
              <w:pStyle w:val="TableParagraph"/>
              <w:spacing w:before="37"/>
              <w:ind w:left="103"/>
              <w:rPr>
                <w:sz w:val="21"/>
              </w:rPr>
            </w:pPr>
            <w:r>
              <w:rPr>
                <w:sz w:val="21"/>
              </w:rPr>
              <w:t>(3)出现骨质疏松、骨骼畸形或尿路结石。</w:t>
            </w:r>
          </w:p>
          <w:p>
            <w:pPr>
              <w:pStyle w:val="TableParagraph"/>
              <w:spacing w:before="37"/>
              <w:ind w:left="103"/>
              <w:rPr>
                <w:sz w:val="21"/>
              </w:rPr>
            </w:pPr>
            <w:r>
              <w:rPr>
                <w:sz w:val="21"/>
              </w:rPr>
              <w:t>(4)通过骨髓片、白细胞、直肠黏膜中的结晶分析或裂隙灯检查角膜有胱氨酸结晶。</w:t>
            </w:r>
          </w:p>
          <w:p>
            <w:pPr>
              <w:pStyle w:val="TableParagraph"/>
              <w:spacing w:before="37"/>
              <w:ind w:left="103"/>
              <w:rPr>
                <w:rFonts w:ascii="黑体" w:eastAsia="黑体" w:hint="eastAsia"/>
                <w:sz w:val="21"/>
              </w:rPr>
            </w:pPr>
            <w:r>
              <w:rPr>
                <w:rFonts w:ascii="黑体" w:eastAsia="黑体" w:hint="eastAsia"/>
                <w:sz w:val="21"/>
              </w:rPr>
              <w:t>保险人在 3 周岁之前罹患该疾病，本公司不承担保险责任。</w:t>
            </w:r>
          </w:p>
        </w:tc>
      </w:tr>
      <w:tr>
        <w:trPr>
          <w:trHeight w:val="1731" w:hRule="atLeast"/>
        </w:trPr>
        <w:tc>
          <w:tcPr>
            <w:tcW w:w="1515" w:type="dxa"/>
          </w:tcPr>
          <w:p>
            <w:pPr>
              <w:pStyle w:val="TableParagraph"/>
              <w:spacing w:line="273" w:lineRule="auto" w:before="85"/>
              <w:ind w:left="200" w:right="101"/>
              <w:jc w:val="both"/>
              <w:rPr>
                <w:b/>
                <w:sz w:val="21"/>
              </w:rPr>
            </w:pPr>
            <w:r>
              <w:rPr>
                <w:b/>
                <w:sz w:val="21"/>
              </w:rPr>
              <w:t>94.肾上腺脑白 质营养不良</w:t>
            </w:r>
          </w:p>
        </w:tc>
        <w:tc>
          <w:tcPr>
            <w:tcW w:w="7939" w:type="dxa"/>
          </w:tcPr>
          <w:p>
            <w:pPr>
              <w:pStyle w:val="TableParagraph"/>
              <w:spacing w:line="273" w:lineRule="auto" w:before="85"/>
              <w:ind w:left="103" w:right="303"/>
              <w:jc w:val="both"/>
              <w:rPr>
                <w:sz w:val="21"/>
              </w:rPr>
            </w:pPr>
            <w:r>
              <w:rPr>
                <w:spacing w:val="-6"/>
                <w:sz w:val="21"/>
              </w:rPr>
              <w:t>指一种最常见的过氧化物酶体病，主要累及肾上腺和脑白质，主要表现为进行性的</w:t>
            </w:r>
            <w:r>
              <w:rPr>
                <w:spacing w:val="-7"/>
                <w:sz w:val="21"/>
              </w:rPr>
              <w:t>精神运动障碍，视力及听力下降和</w:t>
            </w:r>
            <w:r>
              <w:rPr>
                <w:spacing w:val="-3"/>
                <w:sz w:val="21"/>
              </w:rPr>
              <w:t>（</w:t>
            </w:r>
            <w:r>
              <w:rPr>
                <w:sz w:val="21"/>
              </w:rPr>
              <w:t>或</w:t>
            </w:r>
            <w:r>
              <w:rPr>
                <w:spacing w:val="-10"/>
                <w:sz w:val="21"/>
              </w:rPr>
              <w:t>）</w:t>
            </w:r>
            <w:r>
              <w:rPr>
                <w:spacing w:val="-4"/>
                <w:sz w:val="21"/>
              </w:rPr>
              <w:t>肾上腺皮质功能低下等。须经专科医生诊</w:t>
            </w:r>
            <w:r>
              <w:rPr>
                <w:spacing w:val="-7"/>
                <w:sz w:val="21"/>
              </w:rPr>
              <w:t>断，且已经造成自主生活能力完全丧失，无法独立完成六项基本日常生活活动中的</w:t>
            </w:r>
            <w:r>
              <w:rPr>
                <w:spacing w:val="-8"/>
                <w:sz w:val="21"/>
              </w:rPr>
              <w:t>三项或三项以上，持续至少 </w:t>
            </w:r>
            <w:r>
              <w:rPr>
                <w:sz w:val="21"/>
              </w:rPr>
              <w:t>180</w:t>
            </w:r>
            <w:r>
              <w:rPr>
                <w:spacing w:val="-16"/>
                <w:sz w:val="21"/>
              </w:rPr>
              <w:t> 天。</w:t>
            </w:r>
          </w:p>
          <w:p>
            <w:pPr>
              <w:pStyle w:val="TableParagraph"/>
              <w:spacing w:before="7"/>
              <w:ind w:left="103"/>
              <w:jc w:val="both"/>
              <w:rPr>
                <w:rFonts w:ascii="黑体" w:eastAsia="黑体" w:hint="eastAsia"/>
                <w:sz w:val="21"/>
              </w:rPr>
            </w:pPr>
            <w:r>
              <w:rPr>
                <w:rFonts w:ascii="黑体" w:eastAsia="黑体" w:hint="eastAsia"/>
                <w:sz w:val="21"/>
              </w:rPr>
              <w:t>保险人在 3 周岁之前罹患该疾病，本公司不承担保险责任。</w:t>
            </w:r>
          </w:p>
        </w:tc>
      </w:tr>
      <w:tr>
        <w:trPr>
          <w:trHeight w:val="1050" w:hRule="atLeast"/>
        </w:trPr>
        <w:tc>
          <w:tcPr>
            <w:tcW w:w="1515" w:type="dxa"/>
          </w:tcPr>
          <w:p>
            <w:pPr>
              <w:pStyle w:val="TableParagraph"/>
              <w:spacing w:line="273" w:lineRule="auto" w:before="48"/>
              <w:ind w:left="200" w:right="101"/>
              <w:jc w:val="both"/>
              <w:rPr>
                <w:b/>
                <w:sz w:val="21"/>
              </w:rPr>
            </w:pPr>
            <w:r>
              <w:rPr>
                <w:b/>
                <w:sz w:val="21"/>
              </w:rPr>
              <w:t>95.婴儿进行性 脊肌萎缩症</w:t>
            </w:r>
          </w:p>
        </w:tc>
        <w:tc>
          <w:tcPr>
            <w:tcW w:w="7939" w:type="dxa"/>
          </w:tcPr>
          <w:p>
            <w:pPr>
              <w:pStyle w:val="TableParagraph"/>
              <w:spacing w:line="273" w:lineRule="auto" w:before="48"/>
              <w:ind w:left="103" w:right="269"/>
              <w:rPr>
                <w:sz w:val="21"/>
              </w:rPr>
            </w:pPr>
            <w:r>
              <w:rPr>
                <w:sz w:val="21"/>
              </w:rPr>
              <w:t>该病是累及脊髓前角细胞及延髓运动核的神经元退行性变性病。在出生后两年内出现的脊髓和脑干颅神经前角细胞进行性机能障碍，伴随肌肉无力和延髓机能障碍。</w:t>
            </w:r>
          </w:p>
        </w:tc>
      </w:tr>
      <w:tr>
        <w:trPr>
          <w:trHeight w:val="1058" w:hRule="atLeast"/>
        </w:trPr>
        <w:tc>
          <w:tcPr>
            <w:tcW w:w="1515" w:type="dxa"/>
          </w:tcPr>
          <w:p>
            <w:pPr>
              <w:pStyle w:val="TableParagraph"/>
              <w:spacing w:before="27"/>
              <w:ind w:left="200"/>
              <w:rPr>
                <w:b/>
                <w:sz w:val="21"/>
              </w:rPr>
            </w:pPr>
            <w:r>
              <w:rPr>
                <w:b/>
                <w:sz w:val="21"/>
              </w:rPr>
              <w:t>96.脊柱裂</w:t>
            </w:r>
          </w:p>
        </w:tc>
        <w:tc>
          <w:tcPr>
            <w:tcW w:w="7939" w:type="dxa"/>
          </w:tcPr>
          <w:p>
            <w:pPr>
              <w:pStyle w:val="TableParagraph"/>
              <w:spacing w:line="273" w:lineRule="auto" w:before="27"/>
              <w:ind w:left="103" w:right="303"/>
              <w:jc w:val="both"/>
              <w:rPr>
                <w:sz w:val="21"/>
              </w:rPr>
            </w:pPr>
            <w:r>
              <w:rPr>
                <w:spacing w:val="-6"/>
                <w:sz w:val="21"/>
              </w:rPr>
              <w:t>指脊椎或颅骨不完全闭合，导致脊髓脊膜突出，脑</w:t>
            </w:r>
            <w:r>
              <w:rPr>
                <w:sz w:val="21"/>
              </w:rPr>
              <w:t>（脊</w:t>
            </w:r>
            <w:r>
              <w:rPr>
                <w:spacing w:val="-10"/>
                <w:sz w:val="21"/>
              </w:rPr>
              <w:t>）</w:t>
            </w:r>
            <w:r>
              <w:rPr>
                <w:spacing w:val="-4"/>
                <w:sz w:val="21"/>
              </w:rPr>
              <w:t>膜突出或脑膨出，合并大</w:t>
            </w:r>
            <w:r>
              <w:rPr>
                <w:spacing w:val="-12"/>
                <w:sz w:val="21"/>
              </w:rPr>
              <w:t>小便失禁，部分或完全性下肢瘫痪或畸形等神经学上的异常，但不包括由 </w:t>
            </w:r>
            <w:r>
              <w:rPr>
                <w:sz w:val="21"/>
              </w:rPr>
              <w:t>X</w:t>
            </w:r>
            <w:r>
              <w:rPr>
                <w:spacing w:val="5"/>
                <w:sz w:val="21"/>
              </w:rPr>
              <w:t> 线摄片</w:t>
            </w:r>
            <w:r>
              <w:rPr>
                <w:spacing w:val="-3"/>
                <w:sz w:val="21"/>
              </w:rPr>
              <w:t>发现的没有合并脊椎脊膜突出或脑（</w:t>
            </w:r>
            <w:r>
              <w:rPr>
                <w:sz w:val="21"/>
              </w:rPr>
              <w:t>脊</w:t>
            </w:r>
            <w:r>
              <w:rPr>
                <w:spacing w:val="-3"/>
                <w:sz w:val="21"/>
              </w:rPr>
              <w:t>）膜突出的隐形脊椎裂。</w:t>
            </w:r>
          </w:p>
        </w:tc>
      </w:tr>
      <w:tr>
        <w:trPr>
          <w:trHeight w:val="2209" w:hRule="atLeast"/>
        </w:trPr>
        <w:tc>
          <w:tcPr>
            <w:tcW w:w="1515" w:type="dxa"/>
          </w:tcPr>
          <w:p>
            <w:pPr>
              <w:pStyle w:val="TableParagraph"/>
              <w:spacing w:line="273" w:lineRule="auto" w:before="56"/>
              <w:ind w:left="200" w:right="101"/>
              <w:rPr>
                <w:b/>
                <w:sz w:val="21"/>
              </w:rPr>
            </w:pPr>
            <w:r>
              <w:rPr>
                <w:b/>
                <w:sz w:val="21"/>
              </w:rPr>
              <w:t>97.脊髓小脑变性症</w:t>
            </w:r>
          </w:p>
        </w:tc>
        <w:tc>
          <w:tcPr>
            <w:tcW w:w="7939" w:type="dxa"/>
          </w:tcPr>
          <w:p>
            <w:pPr>
              <w:pStyle w:val="TableParagraph"/>
              <w:spacing w:line="273" w:lineRule="auto" w:before="56"/>
              <w:ind w:left="103" w:right="262"/>
              <w:rPr>
                <w:sz w:val="21"/>
              </w:rPr>
            </w:pPr>
            <w:r>
              <w:rPr>
                <w:sz w:val="21"/>
              </w:rPr>
              <w:t>脊髓小脑变性症为一组以小脑萎缩和共济失调为主要临床特点的疾病。必须符合所有以下条件：</w:t>
            </w:r>
          </w:p>
          <w:p>
            <w:pPr>
              <w:pStyle w:val="TableParagraph"/>
              <w:spacing w:before="7"/>
              <w:ind w:left="103"/>
              <w:rPr>
                <w:sz w:val="21"/>
              </w:rPr>
            </w:pPr>
            <w:r>
              <w:rPr>
                <w:sz w:val="21"/>
              </w:rPr>
              <w:t>（1）脊髓小脑变性症必须由三甲医院诊断，并有以下证据支持</w:t>
            </w:r>
          </w:p>
          <w:p>
            <w:pPr>
              <w:pStyle w:val="TableParagraph"/>
              <w:numPr>
                <w:ilvl w:val="0"/>
                <w:numId w:val="66"/>
              </w:numPr>
              <w:tabs>
                <w:tab w:pos="947" w:val="left" w:leader="none"/>
              </w:tabs>
              <w:spacing w:line="240" w:lineRule="auto" w:before="36" w:after="0"/>
              <w:ind w:left="946" w:right="0" w:hanging="317"/>
              <w:jc w:val="left"/>
              <w:rPr>
                <w:sz w:val="21"/>
              </w:rPr>
            </w:pPr>
            <w:r>
              <w:rPr>
                <w:spacing w:val="-3"/>
                <w:sz w:val="21"/>
              </w:rPr>
              <w:t>影像学检查证实存在小脑萎缩；</w:t>
            </w:r>
          </w:p>
          <w:p>
            <w:pPr>
              <w:pStyle w:val="TableParagraph"/>
              <w:numPr>
                <w:ilvl w:val="0"/>
                <w:numId w:val="66"/>
              </w:numPr>
              <w:tabs>
                <w:tab w:pos="947" w:val="left" w:leader="none"/>
              </w:tabs>
              <w:spacing w:line="240" w:lineRule="auto" w:before="36" w:after="0"/>
              <w:ind w:left="946" w:right="0" w:hanging="317"/>
              <w:jc w:val="left"/>
              <w:rPr>
                <w:sz w:val="21"/>
              </w:rPr>
            </w:pPr>
            <w:r>
              <w:rPr>
                <w:spacing w:val="-3"/>
                <w:sz w:val="21"/>
              </w:rPr>
              <w:t>临床表现存在共济失调、语言障碍和肌张力异常；</w:t>
            </w:r>
          </w:p>
          <w:p>
            <w:pPr>
              <w:pStyle w:val="TableParagraph"/>
              <w:spacing w:line="310" w:lineRule="atLeast" w:before="1"/>
              <w:ind w:left="103" w:right="373"/>
              <w:rPr>
                <w:sz w:val="21"/>
              </w:rPr>
            </w:pPr>
            <w:r>
              <w:rPr>
                <w:sz w:val="21"/>
              </w:rPr>
              <w:t>（2）被保险人运动功能严重障碍，自主生活能力完全丧失，无法独立完成六项基本日常生活活动中的三项或三项以上。</w:t>
            </w:r>
          </w:p>
        </w:tc>
      </w:tr>
    </w:tbl>
    <w:p>
      <w:pPr>
        <w:spacing w:after="0" w:line="310" w:lineRule="atLeast"/>
        <w:rPr>
          <w:sz w:val="21"/>
        </w:rPr>
        <w:sectPr>
          <w:pgSz w:w="11910" w:h="16840"/>
          <w:pgMar w:header="0" w:footer="377" w:top="1340" w:bottom="560" w:left="1520" w:right="7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1537"/>
        <w:gridCol w:w="7914"/>
      </w:tblGrid>
      <w:tr>
        <w:trPr>
          <w:trHeight w:val="1879" w:hRule="atLeast"/>
        </w:trPr>
        <w:tc>
          <w:tcPr>
            <w:tcW w:w="715" w:type="dxa"/>
          </w:tcPr>
          <w:p>
            <w:pPr>
              <w:pStyle w:val="TableParagraph"/>
              <w:ind w:left="0"/>
              <w:rPr>
                <w:rFonts w:ascii="Times New Roman"/>
                <w:sz w:val="20"/>
              </w:rPr>
            </w:pPr>
          </w:p>
        </w:tc>
        <w:tc>
          <w:tcPr>
            <w:tcW w:w="1537" w:type="dxa"/>
          </w:tcPr>
          <w:p>
            <w:pPr>
              <w:pStyle w:val="TableParagraph"/>
              <w:spacing w:line="205" w:lineRule="exact"/>
              <w:ind w:left="198"/>
              <w:rPr>
                <w:b/>
                <w:sz w:val="21"/>
              </w:rPr>
            </w:pPr>
            <w:r>
              <w:rPr>
                <w:b/>
                <w:sz w:val="21"/>
              </w:rPr>
              <w:t>98.严重的原</w:t>
            </w:r>
          </w:p>
          <w:p>
            <w:pPr>
              <w:pStyle w:val="TableParagraph"/>
              <w:spacing w:before="37"/>
              <w:ind w:left="198"/>
              <w:rPr>
                <w:b/>
                <w:sz w:val="21"/>
              </w:rPr>
            </w:pPr>
            <w:r>
              <w:rPr>
                <w:b/>
                <w:sz w:val="21"/>
              </w:rPr>
              <w:t>发性心肌病</w:t>
            </w:r>
          </w:p>
        </w:tc>
        <w:tc>
          <w:tcPr>
            <w:tcW w:w="7914" w:type="dxa"/>
          </w:tcPr>
          <w:p>
            <w:pPr>
              <w:pStyle w:val="TableParagraph"/>
              <w:spacing w:line="205" w:lineRule="exact"/>
              <w:ind w:left="79"/>
              <w:rPr>
                <w:sz w:val="21"/>
              </w:rPr>
            </w:pPr>
            <w:r>
              <w:rPr>
                <w:sz w:val="21"/>
              </w:rPr>
              <w:t>指不明原因引起的一类心肌病变，包括原发性扩张型心肌病、原发性肥厚型心肌病</w:t>
            </w:r>
          </w:p>
          <w:p>
            <w:pPr>
              <w:pStyle w:val="TableParagraph"/>
              <w:spacing w:line="273" w:lineRule="auto" w:before="37"/>
              <w:ind w:left="79" w:right="302"/>
              <w:jc w:val="both"/>
              <w:rPr>
                <w:sz w:val="21"/>
              </w:rPr>
            </w:pPr>
            <w:r>
              <w:rPr>
                <w:spacing w:val="-6"/>
                <w:sz w:val="21"/>
              </w:rPr>
              <w:t>及原发性限制型心肌病三种，病变必须已造成事实上心室功能障碍而出现明显的心</w:t>
            </w:r>
            <w:r>
              <w:rPr>
                <w:spacing w:val="-9"/>
                <w:sz w:val="21"/>
              </w:rPr>
              <w:t>功能衰竭</w:t>
            </w:r>
            <w:r>
              <w:rPr>
                <w:sz w:val="21"/>
              </w:rPr>
              <w:t>（</w:t>
            </w:r>
            <w:r>
              <w:rPr>
                <w:spacing w:val="-4"/>
                <w:sz w:val="21"/>
              </w:rPr>
              <w:t>指按照美国纽约心脏病学会提出的新功能状态分级的标准判定，心功能</w:t>
            </w:r>
            <w:r>
              <w:rPr>
                <w:spacing w:val="-12"/>
                <w:sz w:val="21"/>
              </w:rPr>
              <w:t>状态已达 </w:t>
            </w:r>
            <w:r>
              <w:rPr>
                <w:sz w:val="21"/>
              </w:rPr>
              <w:t>IV</w:t>
            </w:r>
            <w:r>
              <w:rPr>
                <w:spacing w:val="-23"/>
                <w:sz w:val="21"/>
              </w:rPr>
              <w:t> 级</w:t>
            </w:r>
            <w:r>
              <w:rPr>
                <w:spacing w:val="-99"/>
                <w:sz w:val="21"/>
              </w:rPr>
              <w:t>）</w:t>
            </w:r>
            <w:r>
              <w:rPr>
                <w:spacing w:val="-16"/>
                <w:sz w:val="21"/>
              </w:rPr>
              <w:t>，且有相关住院医疗记录显示 </w:t>
            </w:r>
            <w:r>
              <w:rPr>
                <w:sz w:val="21"/>
              </w:rPr>
              <w:t>IV</w:t>
            </w:r>
            <w:r>
              <w:rPr>
                <w:spacing w:val="-12"/>
                <w:sz w:val="21"/>
              </w:rPr>
              <w:t> 级心功能衰竭状态已持续至少 </w:t>
            </w:r>
            <w:r>
              <w:rPr>
                <w:sz w:val="21"/>
              </w:rPr>
              <w:t>180 </w:t>
            </w:r>
            <w:r>
              <w:rPr>
                <w:spacing w:val="-3"/>
                <w:sz w:val="21"/>
              </w:rPr>
              <w:t>天。本病须经专科医生明确诊断。</w:t>
            </w:r>
          </w:p>
          <w:p>
            <w:pPr>
              <w:pStyle w:val="TableParagraph"/>
              <w:spacing w:before="7"/>
              <w:ind w:left="79"/>
              <w:jc w:val="both"/>
              <w:rPr>
                <w:rFonts w:ascii="黑体" w:eastAsia="黑体" w:hint="eastAsia"/>
                <w:sz w:val="21"/>
              </w:rPr>
            </w:pPr>
            <w:r>
              <w:rPr>
                <w:rFonts w:ascii="黑体" w:eastAsia="黑体" w:hint="eastAsia"/>
                <w:sz w:val="21"/>
              </w:rPr>
              <w:t>继发于全身性疾病或其他器官系统疾病造成的心肌病变不在保障范围内。</w:t>
            </w:r>
          </w:p>
        </w:tc>
      </w:tr>
      <w:tr>
        <w:trPr>
          <w:trHeight w:val="794" w:hRule="atLeast"/>
        </w:trPr>
        <w:tc>
          <w:tcPr>
            <w:tcW w:w="715" w:type="dxa"/>
          </w:tcPr>
          <w:p>
            <w:pPr>
              <w:pStyle w:val="TableParagraph"/>
              <w:ind w:left="0"/>
              <w:rPr>
                <w:rFonts w:ascii="Times New Roman"/>
                <w:sz w:val="20"/>
              </w:rPr>
            </w:pPr>
          </w:p>
        </w:tc>
        <w:tc>
          <w:tcPr>
            <w:tcW w:w="1537" w:type="dxa"/>
          </w:tcPr>
          <w:p>
            <w:pPr>
              <w:pStyle w:val="TableParagraph"/>
              <w:spacing w:line="273" w:lineRule="auto" w:before="38"/>
              <w:ind w:left="198" w:right="124"/>
              <w:rPr>
                <w:b/>
                <w:sz w:val="21"/>
              </w:rPr>
            </w:pPr>
            <w:r>
              <w:rPr>
                <w:b/>
                <w:sz w:val="21"/>
              </w:rPr>
              <w:t>99.永久性脑脊液分流术</w:t>
            </w:r>
          </w:p>
        </w:tc>
        <w:tc>
          <w:tcPr>
            <w:tcW w:w="7914" w:type="dxa"/>
          </w:tcPr>
          <w:p>
            <w:pPr>
              <w:pStyle w:val="TableParagraph"/>
              <w:spacing w:line="273" w:lineRule="auto" w:before="38"/>
              <w:ind w:left="79" w:right="302"/>
              <w:rPr>
                <w:sz w:val="21"/>
              </w:rPr>
            </w:pPr>
            <w:r>
              <w:rPr>
                <w:spacing w:val="-6"/>
                <w:sz w:val="21"/>
              </w:rPr>
              <w:t>指因先天性脑积水</w:t>
            </w:r>
            <w:r>
              <w:rPr>
                <w:sz w:val="21"/>
              </w:rPr>
              <w:t>（</w:t>
            </w:r>
            <w:r>
              <w:rPr>
                <w:spacing w:val="-4"/>
                <w:sz w:val="21"/>
              </w:rPr>
              <w:t>即先天性的脑脊液循环或吸收功能障碍，使脑脊液大量积滞而</w:t>
            </w:r>
            <w:r>
              <w:rPr>
                <w:spacing w:val="-3"/>
                <w:w w:val="100"/>
                <w:sz w:val="21"/>
              </w:rPr>
              <w:t>导致脑室或蛛网膜下腔扩大</w:t>
            </w:r>
            <w:r>
              <w:rPr>
                <w:spacing w:val="-106"/>
                <w:w w:val="100"/>
                <w:sz w:val="21"/>
              </w:rPr>
              <w:t>）</w:t>
            </w:r>
            <w:r>
              <w:rPr>
                <w:spacing w:val="-3"/>
                <w:w w:val="100"/>
                <w:sz w:val="21"/>
              </w:rPr>
              <w:t>，而接受的永久性脑脊液分流手术。</w:t>
            </w:r>
          </w:p>
        </w:tc>
      </w:tr>
      <w:tr>
        <w:trPr>
          <w:trHeight w:val="774" w:hRule="atLeast"/>
        </w:trPr>
        <w:tc>
          <w:tcPr>
            <w:tcW w:w="715" w:type="dxa"/>
          </w:tcPr>
          <w:p>
            <w:pPr>
              <w:pStyle w:val="TableParagraph"/>
              <w:ind w:left="0"/>
              <w:rPr>
                <w:rFonts w:ascii="Times New Roman"/>
                <w:sz w:val="20"/>
              </w:rPr>
            </w:pPr>
          </w:p>
        </w:tc>
        <w:tc>
          <w:tcPr>
            <w:tcW w:w="1537" w:type="dxa"/>
          </w:tcPr>
          <w:p>
            <w:pPr>
              <w:pStyle w:val="TableParagraph"/>
              <w:spacing w:line="273" w:lineRule="auto" w:before="93"/>
              <w:ind w:left="198" w:right="86"/>
              <w:rPr>
                <w:b/>
                <w:sz w:val="21"/>
              </w:rPr>
            </w:pPr>
            <w:r>
              <w:rPr>
                <w:b/>
                <w:sz w:val="21"/>
              </w:rPr>
              <w:t>100. 严重面部烧伤</w:t>
            </w:r>
          </w:p>
        </w:tc>
        <w:tc>
          <w:tcPr>
            <w:tcW w:w="7914" w:type="dxa"/>
          </w:tcPr>
          <w:p>
            <w:pPr>
              <w:pStyle w:val="TableParagraph"/>
              <w:spacing w:before="93"/>
              <w:ind w:left="79"/>
              <w:rPr>
                <w:sz w:val="21"/>
              </w:rPr>
            </w:pPr>
            <w:r>
              <w:rPr>
                <w:sz w:val="21"/>
              </w:rPr>
              <w:t>指烧伤程度为Ⅲ度，且Ⅲ度烧伤的面积达到面部表面积的 80％或 80％以上。</w:t>
            </w:r>
          </w:p>
        </w:tc>
      </w:tr>
      <w:tr>
        <w:trPr>
          <w:trHeight w:val="8040" w:hRule="atLeast"/>
        </w:trPr>
        <w:tc>
          <w:tcPr>
            <w:tcW w:w="715" w:type="dxa"/>
          </w:tcPr>
          <w:p>
            <w:pPr>
              <w:pStyle w:val="TableParagraph"/>
              <w:ind w:left="0"/>
              <w:rPr>
                <w:rFonts w:ascii="Times New Roman"/>
                <w:sz w:val="20"/>
              </w:rPr>
            </w:pPr>
          </w:p>
        </w:tc>
        <w:tc>
          <w:tcPr>
            <w:tcW w:w="1537" w:type="dxa"/>
          </w:tcPr>
          <w:p>
            <w:pPr>
              <w:pStyle w:val="TableParagraph"/>
              <w:spacing w:line="273" w:lineRule="auto" w:before="40"/>
              <w:ind w:left="198" w:right="69"/>
              <w:rPr>
                <w:b/>
                <w:sz w:val="21"/>
              </w:rPr>
            </w:pPr>
            <w:r>
              <w:rPr>
                <w:b/>
                <w:sz w:val="21"/>
              </w:rPr>
              <w:t>重大疾病定 义中所用到 的术语定义：</w:t>
            </w:r>
          </w:p>
        </w:tc>
        <w:tc>
          <w:tcPr>
            <w:tcW w:w="7914" w:type="dxa"/>
          </w:tcPr>
          <w:p>
            <w:pPr>
              <w:pStyle w:val="TableParagraph"/>
              <w:spacing w:line="273" w:lineRule="exact" w:before="18"/>
              <w:ind w:left="77"/>
              <w:rPr>
                <w:sz w:val="21"/>
              </w:rPr>
            </w:pPr>
            <w:r>
              <w:rPr>
                <w:sz w:val="21"/>
              </w:rPr>
              <w:t>1.六项基本日常生活活动</w:t>
            </w:r>
          </w:p>
          <w:p>
            <w:pPr>
              <w:pStyle w:val="TableParagraph"/>
              <w:spacing w:line="237" w:lineRule="auto"/>
              <w:ind w:left="286" w:right="270"/>
              <w:jc w:val="both"/>
              <w:rPr>
                <w:sz w:val="21"/>
              </w:rPr>
            </w:pPr>
            <w:r>
              <w:rPr>
                <w:spacing w:val="-12"/>
                <w:w w:val="100"/>
                <w:sz w:val="21"/>
              </w:rPr>
              <w:t>六项基本日常生活活动是指：</w:t>
            </w:r>
            <w:r>
              <w:rPr>
                <w:w w:val="100"/>
                <w:sz w:val="21"/>
              </w:rPr>
              <w:t>（</w:t>
            </w:r>
            <w:r>
              <w:rPr>
                <w:spacing w:val="-3"/>
                <w:w w:val="100"/>
                <w:sz w:val="21"/>
              </w:rPr>
              <w:t>1</w:t>
            </w:r>
            <w:r>
              <w:rPr>
                <w:spacing w:val="-5"/>
                <w:w w:val="100"/>
                <w:sz w:val="21"/>
              </w:rPr>
              <w:t>）</w:t>
            </w:r>
            <w:r>
              <w:rPr>
                <w:spacing w:val="-12"/>
                <w:w w:val="100"/>
                <w:sz w:val="21"/>
              </w:rPr>
              <w:t>穿衣：自己能够穿衣及脱衣；</w:t>
            </w:r>
            <w:r>
              <w:rPr>
                <w:spacing w:val="-3"/>
                <w:w w:val="100"/>
                <w:sz w:val="21"/>
              </w:rPr>
              <w:t>（2</w:t>
            </w:r>
            <w:r>
              <w:rPr>
                <w:spacing w:val="-5"/>
                <w:w w:val="100"/>
                <w:sz w:val="21"/>
              </w:rPr>
              <w:t>）</w:t>
            </w:r>
            <w:r>
              <w:rPr>
                <w:spacing w:val="-3"/>
                <w:w w:val="100"/>
                <w:sz w:val="21"/>
              </w:rPr>
              <w:t>移动：自己</w:t>
            </w:r>
            <w:r>
              <w:rPr>
                <w:spacing w:val="-13"/>
                <w:w w:val="100"/>
                <w:sz w:val="21"/>
              </w:rPr>
              <w:t>从一个房间到另一个房间；</w:t>
            </w:r>
            <w:r>
              <w:rPr>
                <w:w w:val="100"/>
                <w:sz w:val="21"/>
              </w:rPr>
              <w:t>（</w:t>
            </w:r>
            <w:r>
              <w:rPr>
                <w:spacing w:val="-3"/>
                <w:w w:val="100"/>
                <w:sz w:val="21"/>
              </w:rPr>
              <w:t>3</w:t>
            </w:r>
            <w:r>
              <w:rPr>
                <w:spacing w:val="-5"/>
                <w:w w:val="100"/>
                <w:sz w:val="21"/>
              </w:rPr>
              <w:t>）</w:t>
            </w:r>
            <w:r>
              <w:rPr>
                <w:spacing w:val="-12"/>
                <w:w w:val="100"/>
                <w:sz w:val="21"/>
              </w:rPr>
              <w:t>行动：自己上下床或上下轮椅；</w:t>
            </w:r>
            <w:r>
              <w:rPr>
                <w:w w:val="100"/>
                <w:sz w:val="21"/>
              </w:rPr>
              <w:t>（</w:t>
            </w:r>
            <w:r>
              <w:rPr>
                <w:spacing w:val="-3"/>
                <w:w w:val="100"/>
                <w:sz w:val="21"/>
              </w:rPr>
              <w:t>4</w:t>
            </w:r>
            <w:r>
              <w:rPr>
                <w:spacing w:val="-8"/>
                <w:w w:val="100"/>
                <w:sz w:val="21"/>
              </w:rPr>
              <w:t>）</w:t>
            </w:r>
            <w:r>
              <w:rPr>
                <w:spacing w:val="-3"/>
                <w:w w:val="100"/>
                <w:sz w:val="21"/>
              </w:rPr>
              <w:t>如厕：自己</w:t>
            </w:r>
            <w:r>
              <w:rPr>
                <w:spacing w:val="-16"/>
                <w:w w:val="100"/>
                <w:sz w:val="21"/>
              </w:rPr>
              <w:t>控制进行大小便；</w:t>
            </w:r>
            <w:r>
              <w:rPr>
                <w:w w:val="100"/>
                <w:sz w:val="21"/>
              </w:rPr>
              <w:t>（</w:t>
            </w:r>
            <w:r>
              <w:rPr>
                <w:spacing w:val="-3"/>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p>
            <w:pPr>
              <w:pStyle w:val="TableParagraph"/>
              <w:spacing w:line="271" w:lineRule="exact"/>
              <w:ind w:left="77"/>
              <w:rPr>
                <w:sz w:val="21"/>
              </w:rPr>
            </w:pPr>
            <w:r>
              <w:rPr>
                <w:sz w:val="21"/>
              </w:rPr>
              <w:t>2.肢体机能完全丧失</w:t>
            </w:r>
          </w:p>
          <w:p>
            <w:pPr>
              <w:pStyle w:val="TableParagraph"/>
              <w:spacing w:line="237" w:lineRule="auto" w:before="3"/>
              <w:ind w:left="286" w:right="302"/>
              <w:jc w:val="both"/>
              <w:rPr>
                <w:sz w:val="21"/>
              </w:rPr>
            </w:pPr>
            <w:r>
              <w:rPr>
                <w:spacing w:val="-5"/>
                <w:sz w:val="21"/>
              </w:rPr>
              <w:t>指肢体的三大关节中的两大关节僵硬，或不能随意识活动。肢体是指包括肩关节</w:t>
            </w:r>
            <w:r>
              <w:rPr>
                <w:spacing w:val="-4"/>
                <w:sz w:val="21"/>
              </w:rPr>
              <w:t>的整个上肢或包括髋关节的整个下肢。</w:t>
            </w:r>
          </w:p>
          <w:p>
            <w:pPr>
              <w:pStyle w:val="TableParagraph"/>
              <w:spacing w:line="272" w:lineRule="exact"/>
              <w:ind w:left="77"/>
              <w:rPr>
                <w:sz w:val="21"/>
              </w:rPr>
            </w:pPr>
            <w:r>
              <w:rPr>
                <w:sz w:val="21"/>
              </w:rPr>
              <w:t>3.语言能力或咀嚼吞咽能力完全丧失</w:t>
            </w:r>
          </w:p>
          <w:p>
            <w:pPr>
              <w:pStyle w:val="TableParagraph"/>
              <w:spacing w:line="237" w:lineRule="auto" w:before="1"/>
              <w:ind w:left="286" w:right="302"/>
              <w:rPr>
                <w:sz w:val="21"/>
              </w:rPr>
            </w:pPr>
            <w:r>
              <w:rPr>
                <w:spacing w:val="-5"/>
                <w:sz w:val="21"/>
              </w:rPr>
              <w:t>语言能力完全丧失，指无法发出四种语音</w:t>
            </w:r>
            <w:r>
              <w:rPr>
                <w:spacing w:val="-3"/>
                <w:sz w:val="21"/>
              </w:rPr>
              <w:t>（</w:t>
            </w:r>
            <w:r>
              <w:rPr>
                <w:spacing w:val="-5"/>
                <w:sz w:val="21"/>
              </w:rPr>
              <w:t>包括口唇音、齿舌音、口盖音和喉头音）</w:t>
            </w:r>
            <w:r>
              <w:rPr>
                <w:spacing w:val="-3"/>
                <w:sz w:val="21"/>
              </w:rPr>
              <w:t>中的任何三种、或声带全部切除，或因大脑语言中枢受伤害而患失语症。 </w:t>
            </w:r>
            <w:r>
              <w:rPr>
                <w:spacing w:val="-6"/>
                <w:sz w:val="21"/>
              </w:rPr>
              <w:t>咀嚼吞咽能力完全丧失，指因牙齿以外的原因导致器质障碍或机能障碍，以致不</w:t>
            </w:r>
            <w:r>
              <w:rPr>
                <w:spacing w:val="-4"/>
                <w:sz w:val="21"/>
              </w:rPr>
              <w:t>能作咀嚼吞咽运动，除流质食物外不能摄取或吞咽的状态。</w:t>
            </w:r>
          </w:p>
          <w:p>
            <w:pPr>
              <w:pStyle w:val="TableParagraph"/>
              <w:spacing w:line="272" w:lineRule="exact"/>
              <w:ind w:left="77"/>
              <w:rPr>
                <w:sz w:val="21"/>
              </w:rPr>
            </w:pPr>
            <w:r>
              <w:rPr>
                <w:sz w:val="21"/>
              </w:rPr>
              <w:t>4.永久不可逆</w:t>
            </w:r>
          </w:p>
          <w:p>
            <w:pPr>
              <w:pStyle w:val="TableParagraph"/>
              <w:ind w:left="286" w:right="302"/>
              <w:jc w:val="both"/>
              <w:rPr>
                <w:sz w:val="21"/>
              </w:rPr>
            </w:pPr>
            <w:r>
              <w:rPr>
                <w:spacing w:val="-6"/>
                <w:sz w:val="21"/>
              </w:rPr>
              <w:t>指自疾病确诊或意外伤害发生之日起，经过积极治疗 </w:t>
            </w:r>
            <w:r>
              <w:rPr>
                <w:sz w:val="21"/>
              </w:rPr>
              <w:t>180</w:t>
            </w:r>
            <w:r>
              <w:rPr>
                <w:spacing w:val="-9"/>
                <w:sz w:val="21"/>
              </w:rPr>
              <w:t> 天后，仍无法通过现有</w:t>
            </w:r>
            <w:r>
              <w:rPr>
                <w:spacing w:val="-5"/>
                <w:sz w:val="21"/>
              </w:rPr>
              <w:t>医疗手段恢复。</w:t>
            </w:r>
          </w:p>
          <w:p>
            <w:pPr>
              <w:pStyle w:val="TableParagraph"/>
              <w:spacing w:line="271" w:lineRule="exact" w:before="2"/>
              <w:ind w:left="77"/>
              <w:rPr>
                <w:sz w:val="21"/>
              </w:rPr>
            </w:pPr>
            <w:r>
              <w:rPr>
                <w:sz w:val="21"/>
              </w:rPr>
              <w:t>5.专科医生</w:t>
            </w:r>
          </w:p>
          <w:p>
            <w:pPr>
              <w:pStyle w:val="TableParagraph"/>
              <w:spacing w:line="237" w:lineRule="auto" w:before="2"/>
              <w:ind w:left="286" w:right="302"/>
              <w:jc w:val="both"/>
              <w:rPr>
                <w:sz w:val="21"/>
              </w:rPr>
            </w:pPr>
            <w:r>
              <w:rPr>
                <w:spacing w:val="-3"/>
                <w:w w:val="100"/>
                <w:sz w:val="21"/>
              </w:rPr>
              <w:t>专科医生应当同时满足以下四项资格条件</w:t>
            </w:r>
            <w:r>
              <w:rPr>
                <w:spacing w:val="-118"/>
                <w:w w:val="100"/>
                <w:sz w:val="21"/>
              </w:rPr>
              <w:t>：</w:t>
            </w:r>
            <w:r>
              <w:rPr>
                <w:w w:val="100"/>
                <w:sz w:val="21"/>
              </w:rPr>
              <w:t>（1</w:t>
            </w:r>
            <w:r>
              <w:rPr>
                <w:spacing w:val="-15"/>
                <w:w w:val="100"/>
                <w:sz w:val="21"/>
              </w:rPr>
              <w:t>）</w:t>
            </w:r>
            <w:r>
              <w:rPr>
                <w:spacing w:val="-4"/>
                <w:w w:val="100"/>
                <w:sz w:val="21"/>
              </w:rPr>
              <w:t>具有有效的中华人民共和国《医</w:t>
            </w:r>
            <w:r>
              <w:rPr>
                <w:spacing w:val="-35"/>
                <w:w w:val="100"/>
                <w:sz w:val="21"/>
              </w:rPr>
              <w:t>师资格证书》；</w:t>
            </w:r>
            <w:r>
              <w:rPr>
                <w:w w:val="100"/>
                <w:sz w:val="21"/>
              </w:rPr>
              <w:t>（</w:t>
            </w:r>
            <w:r>
              <w:rPr>
                <w:spacing w:val="-3"/>
                <w:w w:val="100"/>
                <w:sz w:val="21"/>
              </w:rPr>
              <w:t>2</w:t>
            </w:r>
            <w:r>
              <w:rPr>
                <w:spacing w:val="-10"/>
                <w:w w:val="100"/>
                <w:sz w:val="21"/>
              </w:rPr>
              <w:t>）具有有效的中华人民共和国《医师执业证书》，并按期到相关</w:t>
            </w:r>
            <w:r>
              <w:rPr>
                <w:spacing w:val="-23"/>
                <w:w w:val="100"/>
                <w:sz w:val="21"/>
              </w:rPr>
              <w:t>部门登记注册；</w:t>
            </w:r>
            <w:r>
              <w:rPr>
                <w:w w:val="100"/>
                <w:sz w:val="21"/>
              </w:rPr>
              <w:t>（3</w:t>
            </w:r>
            <w:r>
              <w:rPr>
                <w:spacing w:val="-20"/>
                <w:w w:val="100"/>
                <w:sz w:val="21"/>
              </w:rPr>
              <w:t>）</w:t>
            </w:r>
            <w:r>
              <w:rPr>
                <w:spacing w:val="-3"/>
                <w:w w:val="100"/>
                <w:sz w:val="21"/>
              </w:rPr>
              <w:t>具有有效的中华人民共和国主治医师或主治医师以上职称的</w:t>
            </w:r>
          </w:p>
          <w:p>
            <w:pPr>
              <w:pStyle w:val="TableParagraph"/>
              <w:ind w:left="286" w:right="310"/>
              <w:jc w:val="both"/>
              <w:rPr>
                <w:sz w:val="21"/>
              </w:rPr>
            </w:pPr>
            <w:r>
              <w:rPr>
                <w:spacing w:val="-24"/>
                <w:w w:val="100"/>
                <w:sz w:val="21"/>
              </w:rPr>
              <w:t>《医师职称证书》；</w:t>
            </w:r>
            <w:r>
              <w:rPr>
                <w:spacing w:val="2"/>
                <w:w w:val="100"/>
                <w:sz w:val="21"/>
              </w:rPr>
              <w:t>（</w:t>
            </w:r>
            <w:r>
              <w:rPr>
                <w:w w:val="100"/>
                <w:sz w:val="21"/>
              </w:rPr>
              <w:t>4）在二级或二级以上医院的相应科室从事临床工作三年以</w:t>
            </w:r>
            <w:r>
              <w:rPr>
                <w:sz w:val="21"/>
              </w:rPr>
              <w:t>上。</w:t>
            </w:r>
          </w:p>
          <w:p>
            <w:pPr>
              <w:pStyle w:val="TableParagraph"/>
              <w:spacing w:line="271" w:lineRule="exact" w:before="3"/>
              <w:ind w:left="77"/>
              <w:rPr>
                <w:sz w:val="21"/>
              </w:rPr>
            </w:pPr>
            <w:r>
              <w:rPr>
                <w:sz w:val="21"/>
              </w:rPr>
              <w:t>6.遗传性疾病</w:t>
            </w:r>
          </w:p>
          <w:p>
            <w:pPr>
              <w:pStyle w:val="TableParagraph"/>
              <w:spacing w:line="237" w:lineRule="auto" w:before="1"/>
              <w:ind w:left="286" w:right="197"/>
              <w:rPr>
                <w:sz w:val="21"/>
              </w:rPr>
            </w:pPr>
            <w:r>
              <w:rPr>
                <w:spacing w:val="-8"/>
                <w:sz w:val="21"/>
              </w:rPr>
              <w:t>指生殖细胞或受精卵的遗传物质</w:t>
            </w:r>
            <w:r>
              <w:rPr>
                <w:sz w:val="21"/>
              </w:rPr>
              <w:t>（</w:t>
            </w:r>
            <w:r>
              <w:rPr>
                <w:spacing w:val="-3"/>
                <w:sz w:val="21"/>
              </w:rPr>
              <w:t>染色体和基因</w:t>
            </w:r>
            <w:r>
              <w:rPr>
                <w:spacing w:val="-70"/>
                <w:sz w:val="21"/>
              </w:rPr>
              <w:t>）</w:t>
            </w:r>
            <w:r>
              <w:rPr>
                <w:spacing w:val="-3"/>
                <w:sz w:val="21"/>
              </w:rPr>
              <w:t>发生突变或畸变所引起的疾病， 通常具有由亲代传至后代的垂直传递的特征。</w:t>
            </w:r>
          </w:p>
          <w:p>
            <w:pPr>
              <w:pStyle w:val="TableParagraph"/>
              <w:spacing w:line="272" w:lineRule="exact"/>
              <w:ind w:left="72"/>
              <w:rPr>
                <w:sz w:val="21"/>
              </w:rPr>
            </w:pPr>
            <w:r>
              <w:rPr>
                <w:sz w:val="21"/>
              </w:rPr>
              <w:t>7.先天性畸形、变形和染色体异常</w:t>
            </w:r>
          </w:p>
          <w:p>
            <w:pPr>
              <w:pStyle w:val="TableParagraph"/>
              <w:spacing w:line="237" w:lineRule="auto" w:before="1"/>
              <w:ind w:left="283" w:right="305"/>
              <w:jc w:val="both"/>
              <w:rPr>
                <w:sz w:val="21"/>
              </w:rPr>
            </w:pPr>
            <w:r>
              <w:rPr>
                <w:spacing w:val="-6"/>
                <w:sz w:val="21"/>
              </w:rPr>
              <w:t>指被保险人出生时就具有的畸形、变形或染色体异常。先天性畸形、变形和染色</w:t>
            </w:r>
            <w:r>
              <w:rPr>
                <w:spacing w:val="-10"/>
                <w:sz w:val="21"/>
              </w:rPr>
              <w:t>体异常依照世界卫生组织《疾病和有关健康问题的国际统计分类》</w:t>
            </w:r>
            <w:r>
              <w:rPr>
                <w:sz w:val="21"/>
              </w:rPr>
              <w:t>（ICD-10）确定。</w:t>
            </w:r>
          </w:p>
        </w:tc>
      </w:tr>
      <w:tr>
        <w:trPr>
          <w:trHeight w:val="2832" w:hRule="atLeast"/>
        </w:trPr>
        <w:tc>
          <w:tcPr>
            <w:tcW w:w="715" w:type="dxa"/>
          </w:tcPr>
          <w:p>
            <w:pPr>
              <w:pStyle w:val="TableParagraph"/>
              <w:spacing w:before="55"/>
              <w:ind w:left="200"/>
              <w:rPr>
                <w:b/>
                <w:sz w:val="21"/>
              </w:rPr>
            </w:pPr>
            <w:r>
              <w:rPr>
                <w:b/>
                <w:sz w:val="21"/>
              </w:rPr>
              <w:t>9.9</w:t>
            </w:r>
          </w:p>
        </w:tc>
        <w:tc>
          <w:tcPr>
            <w:tcW w:w="1537" w:type="dxa"/>
          </w:tcPr>
          <w:p>
            <w:pPr>
              <w:pStyle w:val="TableParagraph"/>
              <w:spacing w:before="55"/>
              <w:ind w:left="198"/>
              <w:rPr>
                <w:b/>
                <w:sz w:val="21"/>
              </w:rPr>
            </w:pPr>
            <w:r>
              <w:rPr>
                <w:b/>
                <w:sz w:val="21"/>
              </w:rPr>
              <w:t>全残</w:t>
            </w:r>
          </w:p>
        </w:tc>
        <w:tc>
          <w:tcPr>
            <w:tcW w:w="7914" w:type="dxa"/>
          </w:tcPr>
          <w:p>
            <w:pPr>
              <w:pStyle w:val="TableParagraph"/>
              <w:spacing w:before="55"/>
              <w:ind w:left="79"/>
              <w:rPr>
                <w:sz w:val="21"/>
              </w:rPr>
            </w:pPr>
            <w:r>
              <w:rPr>
                <w:sz w:val="21"/>
              </w:rPr>
              <w:t>本合同所述</w:t>
            </w:r>
            <w:r>
              <w:rPr>
                <w:rFonts w:ascii="Arial" w:hAnsi="Arial" w:eastAsia="Arial"/>
                <w:sz w:val="21"/>
              </w:rPr>
              <w:t>“</w:t>
            </w:r>
            <w:r>
              <w:rPr>
                <w:sz w:val="21"/>
              </w:rPr>
              <w:t>全残</w:t>
            </w:r>
            <w:r>
              <w:rPr>
                <w:rFonts w:ascii="Arial" w:hAnsi="Arial" w:eastAsia="Arial"/>
                <w:sz w:val="21"/>
              </w:rPr>
              <w:t>”</w:t>
            </w:r>
            <w:r>
              <w:rPr>
                <w:sz w:val="21"/>
              </w:rPr>
              <w:t>指下列情形之一：</w:t>
            </w:r>
          </w:p>
          <w:p>
            <w:pPr>
              <w:pStyle w:val="TableParagraph"/>
              <w:spacing w:before="22"/>
              <w:ind w:left="79"/>
              <w:rPr>
                <w:sz w:val="21"/>
              </w:rPr>
            </w:pPr>
            <w:r>
              <w:rPr>
                <w:sz w:val="21"/>
              </w:rPr>
              <w:t>1.双目永久完全失明；</w:t>
            </w:r>
          </w:p>
          <w:p>
            <w:pPr>
              <w:pStyle w:val="TableParagraph"/>
              <w:spacing w:before="37"/>
              <w:ind w:left="79"/>
              <w:rPr>
                <w:sz w:val="21"/>
              </w:rPr>
            </w:pPr>
            <w:r>
              <w:rPr>
                <w:sz w:val="21"/>
              </w:rPr>
              <w:t>2.两上肢腕关节以上或两下肢踝关节以上缺失；</w:t>
            </w:r>
          </w:p>
          <w:p>
            <w:pPr>
              <w:pStyle w:val="TableParagraph"/>
              <w:spacing w:before="37"/>
              <w:ind w:left="79"/>
              <w:rPr>
                <w:sz w:val="21"/>
              </w:rPr>
            </w:pPr>
            <w:r>
              <w:rPr>
                <w:sz w:val="21"/>
              </w:rPr>
              <w:t>3.一上肢腕关节以上及一下肢踝关节以上缺失；</w:t>
            </w:r>
          </w:p>
          <w:p>
            <w:pPr>
              <w:pStyle w:val="TableParagraph"/>
              <w:spacing w:before="37"/>
              <w:ind w:left="79"/>
              <w:rPr>
                <w:sz w:val="21"/>
              </w:rPr>
            </w:pPr>
            <w:r>
              <w:rPr>
                <w:sz w:val="21"/>
              </w:rPr>
              <w:t>4.一目永久完全失明及一上肢腕关节以上缺失；</w:t>
            </w:r>
          </w:p>
          <w:p>
            <w:pPr>
              <w:pStyle w:val="TableParagraph"/>
              <w:spacing w:before="37"/>
              <w:ind w:left="79"/>
              <w:rPr>
                <w:sz w:val="21"/>
              </w:rPr>
            </w:pPr>
            <w:r>
              <w:rPr>
                <w:sz w:val="21"/>
              </w:rPr>
              <w:t>5.一目永久完全失明及一下肢踝关节以上缺失；</w:t>
            </w:r>
          </w:p>
          <w:p>
            <w:pPr>
              <w:pStyle w:val="TableParagraph"/>
              <w:spacing w:before="36"/>
              <w:ind w:left="79"/>
              <w:rPr>
                <w:sz w:val="21"/>
              </w:rPr>
            </w:pPr>
            <w:r>
              <w:rPr>
                <w:sz w:val="21"/>
              </w:rPr>
              <w:t>6.四肢关节机能永久完全丧失；</w:t>
            </w:r>
          </w:p>
          <w:p>
            <w:pPr>
              <w:pStyle w:val="TableParagraph"/>
              <w:spacing w:before="36"/>
              <w:ind w:left="79"/>
              <w:rPr>
                <w:sz w:val="21"/>
              </w:rPr>
            </w:pPr>
            <w:r>
              <w:rPr>
                <w:sz w:val="21"/>
              </w:rPr>
              <w:t>7.咀嚼、吞咽机能永久完全丧失；</w:t>
            </w:r>
          </w:p>
          <w:p>
            <w:pPr>
              <w:pStyle w:val="TableParagraph"/>
              <w:spacing w:line="261" w:lineRule="exact" w:before="36"/>
              <w:ind w:left="79"/>
              <w:rPr>
                <w:sz w:val="21"/>
              </w:rPr>
            </w:pPr>
            <w:r>
              <w:rPr>
                <w:sz w:val="21"/>
              </w:rPr>
              <w:t>8.中枢神经系统机能或胸、腹部脏器机能极度障碍，导致终身不能从事任何工作，</w:t>
            </w:r>
          </w:p>
        </w:tc>
      </w:tr>
    </w:tbl>
    <w:p>
      <w:pPr>
        <w:spacing w:after="0" w:line="261" w:lineRule="exact"/>
        <w:rPr>
          <w:sz w:val="21"/>
        </w:rPr>
        <w:sectPr>
          <w:pgSz w:w="11910" w:h="16840"/>
          <w:pgMar w:header="0" w:footer="377" w:top="1340" w:bottom="560" w:left="820" w:right="700"/>
        </w:sectPr>
      </w:pPr>
    </w:p>
    <w:p>
      <w:pPr>
        <w:pStyle w:val="BodyText"/>
        <w:spacing w:before="10"/>
        <w:ind w:left="2237"/>
      </w:pPr>
      <w:r>
        <w:rPr/>
        <w:t>为维持生命必要的日常生活活动，全需他人扶助的。</w:t>
      </w:r>
    </w:p>
    <w:p>
      <w:pPr>
        <w:pStyle w:val="BodyText"/>
        <w:spacing w:before="9"/>
        <w:rPr>
          <w:sz w:val="14"/>
        </w:rPr>
      </w:pPr>
    </w:p>
    <w:p>
      <w:pPr>
        <w:pStyle w:val="BodyText"/>
        <w:spacing w:line="273" w:lineRule="auto"/>
        <w:ind w:left="2237" w:right="113"/>
        <w:jc w:val="both"/>
      </w:pPr>
      <w:r>
        <w:rPr>
          <w:b/>
        </w:rPr>
        <w:t>失明</w:t>
      </w:r>
      <w:r>
        <w:rPr>
          <w:spacing w:val="-7"/>
        </w:rPr>
        <w:t>：包括眼球缺失或摘除、或不能辨别明暗、或仅能辨别眼前手动者，最佳矫正</w:t>
      </w:r>
      <w:r>
        <w:rPr>
          <w:spacing w:val="-9"/>
        </w:rPr>
        <w:t>视力低于国际标准视力表 </w:t>
      </w:r>
      <w:r>
        <w:rPr>
          <w:spacing w:val="-7"/>
        </w:rPr>
        <w:t>0.02</w:t>
      </w:r>
      <w:r>
        <w:rPr>
          <w:spacing w:val="-9"/>
        </w:rPr>
        <w:t>，或视野半径小于 </w:t>
      </w:r>
      <w:r>
        <w:rPr/>
        <w:t>5</w:t>
      </w:r>
      <w:r>
        <w:rPr>
          <w:spacing w:val="-15"/>
        </w:rPr>
        <w:t> 度，且病程持续超过 </w:t>
      </w:r>
      <w:r>
        <w:rPr/>
        <w:t>180</w:t>
      </w:r>
      <w:r>
        <w:rPr>
          <w:spacing w:val="-40"/>
        </w:rPr>
        <w:t> 天</w:t>
      </w:r>
      <w:r>
        <w:rPr>
          <w:spacing w:val="-3"/>
        </w:rPr>
        <w:t>（</w:t>
      </w:r>
      <w:r>
        <w:rPr/>
        <w:t>眼</w:t>
      </w:r>
      <w:r>
        <w:rPr>
          <w:spacing w:val="-3"/>
        </w:rPr>
        <w:t>球缺失或摘除不在此限</w:t>
      </w:r>
      <w:r>
        <w:rPr>
          <w:spacing w:val="-74"/>
        </w:rPr>
        <w:t>）</w:t>
      </w:r>
      <w:r>
        <w:rPr>
          <w:spacing w:val="-10"/>
        </w:rPr>
        <w:t>，并由本公司确定的有资格的眼科医师出具医疗诊断证明。</w:t>
      </w:r>
    </w:p>
    <w:p>
      <w:pPr>
        <w:spacing w:before="163"/>
        <w:ind w:left="2237" w:right="0" w:firstLine="0"/>
        <w:jc w:val="left"/>
        <w:rPr>
          <w:sz w:val="21"/>
        </w:rPr>
      </w:pPr>
      <w:r>
        <w:rPr>
          <w:b/>
          <w:sz w:val="21"/>
        </w:rPr>
        <w:t>关节机能的丧失</w:t>
      </w:r>
      <w:r>
        <w:rPr>
          <w:sz w:val="21"/>
        </w:rPr>
        <w:t>：指关节永久完全僵硬、或麻痹、或关节不能随意识活动。</w:t>
      </w:r>
    </w:p>
    <w:p>
      <w:pPr>
        <w:pStyle w:val="BodyText"/>
        <w:spacing w:before="9"/>
        <w:rPr>
          <w:sz w:val="14"/>
        </w:rPr>
      </w:pPr>
    </w:p>
    <w:p>
      <w:pPr>
        <w:pStyle w:val="BodyText"/>
        <w:spacing w:line="273" w:lineRule="auto" w:before="1"/>
        <w:ind w:left="2237" w:right="179"/>
      </w:pPr>
      <w:r>
        <w:rPr>
          <w:b/>
        </w:rPr>
        <w:t>咀嚼、吞咽机能的丧失</w:t>
      </w:r>
      <w:r>
        <w:rPr/>
        <w:t>：指由于牙齿以外的原因引起器质障碍或机能障碍，以至不能作咀嚼、吞咽运动，除流质食物外不能摄取或吞咽的状态。</w:t>
      </w:r>
    </w:p>
    <w:p>
      <w:pPr>
        <w:spacing w:line="273" w:lineRule="auto" w:before="164"/>
        <w:ind w:left="2237" w:right="164" w:firstLine="0"/>
        <w:jc w:val="left"/>
        <w:rPr>
          <w:sz w:val="21"/>
        </w:rPr>
      </w:pPr>
      <w:r>
        <w:rPr>
          <w:b/>
          <w:sz w:val="21"/>
        </w:rPr>
        <w:t>为维持生命必要之日常生活活动，全需他人扶助</w:t>
      </w:r>
      <w:r>
        <w:rPr>
          <w:sz w:val="21"/>
        </w:rPr>
        <w:t>：指食物摄取、大小便始末、穿脱衣服、起居、步行、入浴等，皆不能自己为之，需要他人帮助。</w:t>
      </w:r>
    </w:p>
    <w:p>
      <w:pPr>
        <w:pStyle w:val="ListParagraph"/>
        <w:numPr>
          <w:ilvl w:val="1"/>
          <w:numId w:val="67"/>
        </w:numPr>
        <w:tabs>
          <w:tab w:pos="818" w:val="left" w:leader="none"/>
          <w:tab w:pos="819" w:val="left" w:leader="none"/>
          <w:tab w:pos="2237" w:val="left" w:leader="none"/>
        </w:tabs>
        <w:spacing w:line="273" w:lineRule="auto" w:before="164" w:after="0"/>
        <w:ind w:left="2237" w:right="216" w:hanging="2132"/>
        <w:jc w:val="left"/>
        <w:rPr>
          <w:sz w:val="21"/>
        </w:rPr>
      </w:pPr>
      <w:r>
        <w:rPr>
          <w:b/>
          <w:sz w:val="21"/>
        </w:rPr>
        <w:t>疾病终末期</w:t>
        <w:tab/>
      </w:r>
      <w:r>
        <w:rPr>
          <w:sz w:val="21"/>
        </w:rPr>
        <w:t>疾病</w:t>
      </w:r>
      <w:r>
        <w:rPr>
          <w:spacing w:val="-3"/>
          <w:sz w:val="21"/>
        </w:rPr>
        <w:t>终</w:t>
      </w:r>
      <w:r>
        <w:rPr>
          <w:sz w:val="21"/>
        </w:rPr>
        <w:t>末</w:t>
      </w:r>
      <w:r>
        <w:rPr>
          <w:spacing w:val="-3"/>
          <w:sz w:val="21"/>
        </w:rPr>
        <w:t>期</w:t>
      </w:r>
      <w:r>
        <w:rPr>
          <w:sz w:val="21"/>
        </w:rPr>
        <w:t>阶</w:t>
      </w:r>
      <w:r>
        <w:rPr>
          <w:spacing w:val="-3"/>
          <w:sz w:val="21"/>
        </w:rPr>
        <w:t>段</w:t>
      </w:r>
      <w:r>
        <w:rPr>
          <w:sz w:val="21"/>
        </w:rPr>
        <w:t>需</w:t>
      </w:r>
      <w:r>
        <w:rPr>
          <w:spacing w:val="-3"/>
          <w:sz w:val="21"/>
        </w:rPr>
        <w:t>由</w:t>
      </w:r>
      <w:r>
        <w:rPr>
          <w:sz w:val="21"/>
        </w:rPr>
        <w:t>专</w:t>
      </w:r>
      <w:r>
        <w:rPr>
          <w:spacing w:val="-3"/>
          <w:sz w:val="21"/>
        </w:rPr>
        <w:t>科</w:t>
      </w:r>
      <w:r>
        <w:rPr>
          <w:sz w:val="21"/>
        </w:rPr>
        <w:t>医生</w:t>
      </w:r>
      <w:r>
        <w:rPr>
          <w:spacing w:val="-3"/>
          <w:sz w:val="21"/>
        </w:rPr>
        <w:t>出</w:t>
      </w:r>
      <w:r>
        <w:rPr>
          <w:sz w:val="21"/>
        </w:rPr>
        <w:t>具</w:t>
      </w:r>
      <w:r>
        <w:rPr>
          <w:spacing w:val="-3"/>
          <w:sz w:val="21"/>
        </w:rPr>
        <w:t>诊</w:t>
      </w:r>
      <w:r>
        <w:rPr>
          <w:sz w:val="21"/>
        </w:rPr>
        <w:t>断</w:t>
      </w:r>
      <w:r>
        <w:rPr>
          <w:spacing w:val="-3"/>
          <w:sz w:val="21"/>
        </w:rPr>
        <w:t>证</w:t>
      </w:r>
      <w:r>
        <w:rPr>
          <w:sz w:val="21"/>
        </w:rPr>
        <w:t>明</w:t>
      </w:r>
      <w:r>
        <w:rPr>
          <w:spacing w:val="-3"/>
          <w:sz w:val="21"/>
        </w:rPr>
        <w:t>和</w:t>
      </w:r>
      <w:r>
        <w:rPr>
          <w:sz w:val="21"/>
        </w:rPr>
        <w:t>提</w:t>
      </w:r>
      <w:r>
        <w:rPr>
          <w:spacing w:val="-3"/>
          <w:sz w:val="21"/>
        </w:rPr>
        <w:t>交</w:t>
      </w:r>
      <w:r>
        <w:rPr>
          <w:sz w:val="21"/>
        </w:rPr>
        <w:t>临床</w:t>
      </w:r>
      <w:r>
        <w:rPr>
          <w:spacing w:val="-3"/>
          <w:sz w:val="21"/>
        </w:rPr>
        <w:t>检</w:t>
      </w:r>
      <w:r>
        <w:rPr>
          <w:sz w:val="21"/>
        </w:rPr>
        <w:t>查</w:t>
      </w:r>
      <w:r>
        <w:rPr>
          <w:spacing w:val="-3"/>
          <w:sz w:val="21"/>
        </w:rPr>
        <w:t>证</w:t>
      </w:r>
      <w:r>
        <w:rPr>
          <w:sz w:val="21"/>
        </w:rPr>
        <w:t>据</w:t>
      </w:r>
      <w:r>
        <w:rPr>
          <w:spacing w:val="-39"/>
          <w:sz w:val="21"/>
        </w:rPr>
        <w:t>，</w:t>
      </w:r>
      <w:r>
        <w:rPr>
          <w:sz w:val="21"/>
        </w:rPr>
        <w:t>证</w:t>
      </w:r>
      <w:r>
        <w:rPr>
          <w:spacing w:val="-3"/>
          <w:sz w:val="21"/>
        </w:rPr>
        <w:t>明</w:t>
      </w:r>
      <w:r>
        <w:rPr>
          <w:sz w:val="21"/>
        </w:rPr>
        <w:t>被</w:t>
      </w:r>
      <w:r>
        <w:rPr>
          <w:spacing w:val="-3"/>
          <w:sz w:val="21"/>
        </w:rPr>
        <w:t>保</w:t>
      </w:r>
      <w:r>
        <w:rPr>
          <w:sz w:val="21"/>
        </w:rPr>
        <w:t>险</w:t>
      </w:r>
      <w:r>
        <w:rPr>
          <w:spacing w:val="-3"/>
          <w:sz w:val="21"/>
        </w:rPr>
        <w:t>人</w:t>
      </w:r>
      <w:r>
        <w:rPr>
          <w:sz w:val="21"/>
        </w:rPr>
        <w:t>所 患疾</w:t>
      </w:r>
      <w:r>
        <w:rPr>
          <w:spacing w:val="-3"/>
          <w:sz w:val="21"/>
        </w:rPr>
        <w:t>病</w:t>
      </w:r>
      <w:r>
        <w:rPr>
          <w:sz w:val="21"/>
        </w:rPr>
        <w:t>同</w:t>
      </w:r>
      <w:r>
        <w:rPr>
          <w:spacing w:val="-3"/>
          <w:sz w:val="21"/>
        </w:rPr>
        <w:t>时</w:t>
      </w:r>
      <w:r>
        <w:rPr>
          <w:sz w:val="21"/>
        </w:rPr>
        <w:t>满</w:t>
      </w:r>
      <w:r>
        <w:rPr>
          <w:spacing w:val="-3"/>
          <w:sz w:val="21"/>
        </w:rPr>
        <w:t>足</w:t>
      </w:r>
      <w:r>
        <w:rPr>
          <w:sz w:val="21"/>
        </w:rPr>
        <w:t>以</w:t>
      </w:r>
      <w:r>
        <w:rPr>
          <w:spacing w:val="-3"/>
          <w:sz w:val="21"/>
        </w:rPr>
        <w:t>下</w:t>
      </w:r>
      <w:r>
        <w:rPr>
          <w:sz w:val="21"/>
        </w:rPr>
        <w:t>两</w:t>
      </w:r>
      <w:r>
        <w:rPr>
          <w:spacing w:val="-3"/>
          <w:sz w:val="21"/>
        </w:rPr>
        <w:t>个</w:t>
      </w:r>
      <w:r>
        <w:rPr>
          <w:sz w:val="21"/>
        </w:rPr>
        <w:t>条件：</w:t>
      </w:r>
    </w:p>
    <w:p>
      <w:pPr>
        <w:pStyle w:val="BodyText"/>
        <w:spacing w:before="7"/>
        <w:ind w:left="2237"/>
        <w:jc w:val="both"/>
      </w:pPr>
      <w:r>
        <w:rPr/>
        <w:t>1.依现有医疗技术无法缓解；</w:t>
      </w:r>
    </w:p>
    <w:p>
      <w:pPr>
        <w:pStyle w:val="BodyText"/>
        <w:spacing w:before="37"/>
        <w:ind w:left="2237"/>
        <w:jc w:val="both"/>
      </w:pPr>
      <w:r>
        <w:rPr/>
        <w:t>2.根据临床医学经验判断被保险人存活期低于六个月。</w:t>
      </w:r>
    </w:p>
    <w:p>
      <w:pPr>
        <w:pStyle w:val="BodyText"/>
        <w:rPr>
          <w:sz w:val="12"/>
        </w:rPr>
      </w:pPr>
    </w:p>
    <w:p>
      <w:pPr>
        <w:spacing w:after="0"/>
        <w:rPr>
          <w:sz w:val="12"/>
        </w:rPr>
        <w:sectPr>
          <w:pgSz w:w="11910" w:h="16840"/>
          <w:pgMar w:header="0" w:footer="377" w:top="1260" w:bottom="560" w:left="1020" w:right="900"/>
        </w:sectPr>
      </w:pPr>
    </w:p>
    <w:p>
      <w:pPr>
        <w:pStyle w:val="Heading1"/>
        <w:numPr>
          <w:ilvl w:val="1"/>
          <w:numId w:val="67"/>
        </w:numPr>
        <w:tabs>
          <w:tab w:pos="818" w:val="left" w:leader="none"/>
          <w:tab w:pos="819" w:val="left" w:leader="none"/>
        </w:tabs>
        <w:spacing w:line="273" w:lineRule="auto" w:before="36" w:after="0"/>
        <w:ind w:left="818" w:right="0" w:hanging="713"/>
        <w:jc w:val="left"/>
      </w:pPr>
      <w:r>
        <w:rPr/>
        <w:t>累计已交保险费</w:t>
      </w:r>
    </w:p>
    <w:p>
      <w:pPr>
        <w:pStyle w:val="BodyText"/>
        <w:spacing w:line="273" w:lineRule="auto" w:before="36"/>
        <w:ind w:left="105" w:right="180"/>
      </w:pPr>
      <w:r>
        <w:rPr/>
        <w:br w:type="column"/>
      </w:r>
      <w:r>
        <w:rPr/>
        <w:t>指投保人依据本合同已经向公司交纳的保险费；如本合同发生过减保情形，则实际交纳的保险费为扣除每次减保所对应的保险费后的余额。</w:t>
      </w:r>
    </w:p>
    <w:p>
      <w:pPr>
        <w:spacing w:after="0" w:line="273" w:lineRule="auto"/>
        <w:sectPr>
          <w:type w:val="continuous"/>
          <w:pgSz w:w="11910" w:h="16840"/>
          <w:pgMar w:top="620" w:bottom="280" w:left="1020" w:right="900"/>
          <w:cols w:num="2" w:equalWidth="0">
            <w:col w:w="1875" w:space="256"/>
            <w:col w:w="7859"/>
          </w:cols>
        </w:sectPr>
      </w:pPr>
    </w:p>
    <w:p>
      <w:pPr>
        <w:pStyle w:val="BodyText"/>
        <w:spacing w:before="1"/>
        <w:rPr>
          <w:sz w:val="14"/>
        </w:rPr>
      </w:pPr>
    </w:p>
    <w:p>
      <w:pPr>
        <w:spacing w:after="0"/>
        <w:rPr>
          <w:sz w:val="14"/>
        </w:rPr>
        <w:sectPr>
          <w:type w:val="continuous"/>
          <w:pgSz w:w="11910" w:h="16840"/>
          <w:pgMar w:top="620" w:bottom="280" w:left="1020" w:right="900"/>
        </w:sectPr>
      </w:pPr>
    </w:p>
    <w:p>
      <w:pPr>
        <w:pStyle w:val="Heading1"/>
        <w:numPr>
          <w:ilvl w:val="1"/>
          <w:numId w:val="67"/>
        </w:numPr>
        <w:tabs>
          <w:tab w:pos="818" w:val="left" w:leader="none"/>
          <w:tab w:pos="819" w:val="left" w:leader="none"/>
        </w:tabs>
        <w:spacing w:line="273" w:lineRule="auto" w:before="37" w:after="0"/>
        <w:ind w:left="818" w:right="0" w:hanging="713"/>
        <w:jc w:val="left"/>
      </w:pPr>
      <w:r>
        <w:rPr/>
        <w:t>重大疾病分组表</w:t>
      </w:r>
    </w:p>
    <w:p>
      <w:pPr>
        <w:pStyle w:val="BodyText"/>
        <w:rPr>
          <w:b/>
          <w:sz w:val="20"/>
        </w:rPr>
      </w:pPr>
      <w:r>
        <w:rPr/>
        <w:br w:type="column"/>
      </w:r>
      <w:r>
        <w:rPr>
          <w:b/>
          <w:sz w:val="20"/>
        </w:rPr>
      </w:r>
    </w:p>
    <w:p>
      <w:pPr>
        <w:pStyle w:val="BodyText"/>
        <w:rPr>
          <w:b/>
          <w:sz w:val="20"/>
        </w:rPr>
      </w:pPr>
    </w:p>
    <w:p>
      <w:pPr>
        <w:spacing w:before="137"/>
        <w:ind w:left="105" w:right="0" w:firstLine="0"/>
        <w:jc w:val="left"/>
        <w:rPr>
          <w:b/>
          <w:sz w:val="21"/>
        </w:rPr>
      </w:pPr>
      <w:r>
        <w:rPr>
          <w:b/>
          <w:sz w:val="21"/>
        </w:rPr>
        <w:t>重大疾病分组表</w:t>
      </w:r>
    </w:p>
    <w:p>
      <w:pPr>
        <w:spacing w:after="0"/>
        <w:jc w:val="left"/>
        <w:rPr>
          <w:sz w:val="21"/>
        </w:rPr>
        <w:sectPr>
          <w:type w:val="continuous"/>
          <w:pgSz w:w="11910" w:h="16840"/>
          <w:pgMar w:top="620" w:bottom="280" w:left="1020" w:right="900"/>
          <w:cols w:num="2" w:equalWidth="0">
            <w:col w:w="1875" w:space="2570"/>
            <w:col w:w="5545"/>
          </w:cols>
        </w:sectPr>
      </w:pPr>
    </w:p>
    <w:p>
      <w:pPr>
        <w:pStyle w:val="BodyText"/>
        <w:spacing w:before="9"/>
        <w:rPr>
          <w:b/>
          <w:sz w:val="15"/>
        </w:rPr>
      </w:pPr>
    </w:p>
    <w:tbl>
      <w:tblPr>
        <w:tblW w:w="0" w:type="auto"/>
        <w:jc w:val="left"/>
        <w:tblInd w:w="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0"/>
        <w:gridCol w:w="1973"/>
        <w:gridCol w:w="1431"/>
        <w:gridCol w:w="1974"/>
        <w:gridCol w:w="1508"/>
      </w:tblGrid>
      <w:tr>
        <w:trPr>
          <w:trHeight w:val="311" w:hRule="atLeast"/>
        </w:trPr>
        <w:tc>
          <w:tcPr>
            <w:tcW w:w="2050" w:type="dxa"/>
          </w:tcPr>
          <w:p>
            <w:pPr>
              <w:pStyle w:val="TableParagraph"/>
              <w:spacing w:before="8"/>
              <w:rPr>
                <w:sz w:val="18"/>
              </w:rPr>
            </w:pPr>
            <w:r>
              <w:rPr>
                <w:sz w:val="18"/>
              </w:rPr>
              <w:t>A 组 （10 种）</w:t>
            </w:r>
          </w:p>
        </w:tc>
        <w:tc>
          <w:tcPr>
            <w:tcW w:w="1973" w:type="dxa"/>
          </w:tcPr>
          <w:p>
            <w:pPr>
              <w:pStyle w:val="TableParagraph"/>
              <w:spacing w:before="8"/>
              <w:rPr>
                <w:sz w:val="18"/>
              </w:rPr>
            </w:pPr>
            <w:r>
              <w:rPr>
                <w:sz w:val="18"/>
              </w:rPr>
              <w:t>B 组 （26 种）</w:t>
            </w:r>
          </w:p>
        </w:tc>
        <w:tc>
          <w:tcPr>
            <w:tcW w:w="1431" w:type="dxa"/>
          </w:tcPr>
          <w:p>
            <w:pPr>
              <w:pStyle w:val="TableParagraph"/>
              <w:spacing w:before="8"/>
              <w:rPr>
                <w:sz w:val="18"/>
              </w:rPr>
            </w:pPr>
            <w:r>
              <w:rPr>
                <w:sz w:val="18"/>
              </w:rPr>
              <w:t>C 组 （33 种）</w:t>
            </w:r>
          </w:p>
        </w:tc>
        <w:tc>
          <w:tcPr>
            <w:tcW w:w="1974" w:type="dxa"/>
          </w:tcPr>
          <w:p>
            <w:pPr>
              <w:pStyle w:val="TableParagraph"/>
              <w:spacing w:before="8"/>
              <w:rPr>
                <w:sz w:val="18"/>
              </w:rPr>
            </w:pPr>
            <w:r>
              <w:rPr>
                <w:sz w:val="18"/>
              </w:rPr>
              <w:t>D 组 （23 种）</w:t>
            </w:r>
          </w:p>
        </w:tc>
        <w:tc>
          <w:tcPr>
            <w:tcW w:w="1508" w:type="dxa"/>
          </w:tcPr>
          <w:p>
            <w:pPr>
              <w:pStyle w:val="TableParagraph"/>
              <w:spacing w:before="8"/>
              <w:ind w:left="106"/>
              <w:rPr>
                <w:sz w:val="18"/>
              </w:rPr>
            </w:pPr>
            <w:r>
              <w:rPr>
                <w:sz w:val="18"/>
              </w:rPr>
              <w:t>E 组 （8 种）</w:t>
            </w:r>
          </w:p>
        </w:tc>
      </w:tr>
      <w:tr>
        <w:trPr>
          <w:trHeight w:val="623" w:hRule="atLeast"/>
        </w:trPr>
        <w:tc>
          <w:tcPr>
            <w:tcW w:w="2050" w:type="dxa"/>
          </w:tcPr>
          <w:p>
            <w:pPr>
              <w:pStyle w:val="TableParagraph"/>
              <w:spacing w:before="8"/>
              <w:rPr>
                <w:sz w:val="18"/>
              </w:rPr>
            </w:pPr>
            <w:r>
              <w:rPr>
                <w:sz w:val="18"/>
              </w:rPr>
              <w:t>恶性肿瘤</w:t>
            </w:r>
          </w:p>
        </w:tc>
        <w:tc>
          <w:tcPr>
            <w:tcW w:w="1973" w:type="dxa"/>
          </w:tcPr>
          <w:p>
            <w:pPr>
              <w:pStyle w:val="TableParagraph"/>
              <w:spacing w:before="8"/>
              <w:rPr>
                <w:sz w:val="18"/>
              </w:rPr>
            </w:pPr>
            <w:r>
              <w:rPr>
                <w:sz w:val="18"/>
              </w:rPr>
              <w:t>急性心肌梗塞</w:t>
            </w:r>
          </w:p>
        </w:tc>
        <w:tc>
          <w:tcPr>
            <w:tcW w:w="1431" w:type="dxa"/>
          </w:tcPr>
          <w:p>
            <w:pPr>
              <w:pStyle w:val="TableParagraph"/>
              <w:spacing w:before="8"/>
              <w:rPr>
                <w:sz w:val="18"/>
              </w:rPr>
            </w:pPr>
            <w:r>
              <w:rPr>
                <w:sz w:val="18"/>
              </w:rPr>
              <w:t>脑中风后遗症</w:t>
            </w:r>
          </w:p>
        </w:tc>
        <w:tc>
          <w:tcPr>
            <w:tcW w:w="1974" w:type="dxa"/>
          </w:tcPr>
          <w:p>
            <w:pPr>
              <w:pStyle w:val="TableParagraph"/>
              <w:spacing w:before="8"/>
              <w:rPr>
                <w:sz w:val="18"/>
              </w:rPr>
            </w:pPr>
            <w:r>
              <w:rPr>
                <w:sz w:val="18"/>
              </w:rPr>
              <w:t>终末期肾病（或称慢性</w:t>
            </w:r>
          </w:p>
          <w:p>
            <w:pPr>
              <w:pStyle w:val="TableParagraph"/>
              <w:spacing w:before="76"/>
              <w:rPr>
                <w:sz w:val="18"/>
              </w:rPr>
            </w:pPr>
            <w:r>
              <w:rPr>
                <w:sz w:val="18"/>
              </w:rPr>
              <w:t>肾功能衰竭尿毒症期）</w:t>
            </w:r>
          </w:p>
        </w:tc>
        <w:tc>
          <w:tcPr>
            <w:tcW w:w="1508" w:type="dxa"/>
          </w:tcPr>
          <w:p>
            <w:pPr>
              <w:pStyle w:val="TableParagraph"/>
              <w:spacing w:before="8"/>
              <w:ind w:left="106"/>
              <w:rPr>
                <w:sz w:val="18"/>
              </w:rPr>
            </w:pPr>
            <w:r>
              <w:rPr>
                <w:sz w:val="18"/>
              </w:rPr>
              <w:t>双耳失聪</w:t>
            </w:r>
          </w:p>
        </w:tc>
      </w:tr>
      <w:tr>
        <w:trPr>
          <w:trHeight w:val="623" w:hRule="atLeast"/>
        </w:trPr>
        <w:tc>
          <w:tcPr>
            <w:tcW w:w="2050" w:type="dxa"/>
          </w:tcPr>
          <w:p>
            <w:pPr>
              <w:pStyle w:val="TableParagraph"/>
              <w:spacing w:before="8"/>
              <w:rPr>
                <w:sz w:val="18"/>
              </w:rPr>
            </w:pPr>
            <w:r>
              <w:rPr>
                <w:sz w:val="18"/>
              </w:rPr>
              <w:t>重大器官移植术或造血</w:t>
            </w:r>
          </w:p>
          <w:p>
            <w:pPr>
              <w:pStyle w:val="TableParagraph"/>
              <w:spacing w:before="76"/>
              <w:rPr>
                <w:sz w:val="18"/>
              </w:rPr>
            </w:pPr>
            <w:r>
              <w:rPr>
                <w:sz w:val="18"/>
              </w:rPr>
              <w:t>干细胞移植术</w:t>
            </w:r>
          </w:p>
        </w:tc>
        <w:tc>
          <w:tcPr>
            <w:tcW w:w="1973" w:type="dxa"/>
          </w:tcPr>
          <w:p>
            <w:pPr>
              <w:pStyle w:val="TableParagraph"/>
              <w:spacing w:before="8"/>
              <w:rPr>
                <w:sz w:val="18"/>
              </w:rPr>
            </w:pPr>
            <w:r>
              <w:rPr>
                <w:sz w:val="18"/>
              </w:rPr>
              <w:t>冠状动脉搭桥术（或称</w:t>
            </w:r>
          </w:p>
          <w:p>
            <w:pPr>
              <w:pStyle w:val="TableParagraph"/>
              <w:spacing w:before="76"/>
              <w:rPr>
                <w:sz w:val="18"/>
              </w:rPr>
            </w:pPr>
            <w:r>
              <w:rPr>
                <w:sz w:val="18"/>
              </w:rPr>
              <w:t>冠状动脉旁路移植术）</w:t>
            </w:r>
          </w:p>
        </w:tc>
        <w:tc>
          <w:tcPr>
            <w:tcW w:w="1431" w:type="dxa"/>
          </w:tcPr>
          <w:p>
            <w:pPr>
              <w:pStyle w:val="TableParagraph"/>
              <w:spacing w:before="8"/>
              <w:rPr>
                <w:sz w:val="18"/>
              </w:rPr>
            </w:pPr>
            <w:r>
              <w:rPr>
                <w:sz w:val="18"/>
              </w:rPr>
              <w:t>良性脑肿瘤</w:t>
            </w:r>
          </w:p>
        </w:tc>
        <w:tc>
          <w:tcPr>
            <w:tcW w:w="1974" w:type="dxa"/>
          </w:tcPr>
          <w:p>
            <w:pPr>
              <w:pStyle w:val="TableParagraph"/>
              <w:spacing w:before="8"/>
              <w:rPr>
                <w:sz w:val="18"/>
              </w:rPr>
            </w:pPr>
            <w:r>
              <w:rPr>
                <w:sz w:val="18"/>
              </w:rPr>
              <w:t>多个肢体缺失</w:t>
            </w:r>
          </w:p>
        </w:tc>
        <w:tc>
          <w:tcPr>
            <w:tcW w:w="1508" w:type="dxa"/>
          </w:tcPr>
          <w:p>
            <w:pPr>
              <w:pStyle w:val="TableParagraph"/>
              <w:spacing w:before="8"/>
              <w:ind w:left="106"/>
              <w:rPr>
                <w:sz w:val="18"/>
              </w:rPr>
            </w:pPr>
            <w:r>
              <w:rPr>
                <w:sz w:val="18"/>
              </w:rPr>
              <w:t>严重Ⅲ度烧伤</w:t>
            </w:r>
          </w:p>
        </w:tc>
      </w:tr>
      <w:tr>
        <w:trPr>
          <w:trHeight w:val="623" w:hRule="atLeast"/>
        </w:trPr>
        <w:tc>
          <w:tcPr>
            <w:tcW w:w="2050" w:type="dxa"/>
          </w:tcPr>
          <w:p>
            <w:pPr>
              <w:pStyle w:val="TableParagraph"/>
              <w:spacing w:before="8"/>
              <w:rPr>
                <w:sz w:val="18"/>
              </w:rPr>
            </w:pPr>
            <w:r>
              <w:rPr>
                <w:sz w:val="18"/>
              </w:rPr>
              <w:t>重型再生障碍性贫血</w:t>
            </w:r>
          </w:p>
        </w:tc>
        <w:tc>
          <w:tcPr>
            <w:tcW w:w="1973" w:type="dxa"/>
          </w:tcPr>
          <w:p>
            <w:pPr>
              <w:pStyle w:val="TableParagraph"/>
              <w:spacing w:before="8"/>
              <w:rPr>
                <w:sz w:val="18"/>
              </w:rPr>
            </w:pPr>
            <w:r>
              <w:rPr>
                <w:sz w:val="18"/>
              </w:rPr>
              <w:t>心脏瓣膜手术</w:t>
            </w:r>
          </w:p>
        </w:tc>
        <w:tc>
          <w:tcPr>
            <w:tcW w:w="1431" w:type="dxa"/>
          </w:tcPr>
          <w:p>
            <w:pPr>
              <w:pStyle w:val="TableParagraph"/>
              <w:spacing w:before="8"/>
              <w:rPr>
                <w:sz w:val="18"/>
              </w:rPr>
            </w:pPr>
            <w:r>
              <w:rPr>
                <w:sz w:val="18"/>
              </w:rPr>
              <w:t>脑炎后遗症或</w:t>
            </w:r>
          </w:p>
          <w:p>
            <w:pPr>
              <w:pStyle w:val="TableParagraph"/>
              <w:spacing w:before="76"/>
              <w:rPr>
                <w:sz w:val="18"/>
              </w:rPr>
            </w:pPr>
            <w:r>
              <w:rPr>
                <w:sz w:val="18"/>
              </w:rPr>
              <w:t>脑膜炎后遗症</w:t>
            </w:r>
          </w:p>
        </w:tc>
        <w:tc>
          <w:tcPr>
            <w:tcW w:w="1974" w:type="dxa"/>
          </w:tcPr>
          <w:p>
            <w:pPr>
              <w:pStyle w:val="TableParagraph"/>
              <w:spacing w:before="8"/>
              <w:rPr>
                <w:sz w:val="18"/>
              </w:rPr>
            </w:pPr>
            <w:r>
              <w:rPr>
                <w:sz w:val="18"/>
              </w:rPr>
              <w:t>急性或亚急性重症肝</w:t>
            </w:r>
          </w:p>
          <w:p>
            <w:pPr>
              <w:pStyle w:val="TableParagraph"/>
              <w:spacing w:before="76"/>
              <w:rPr>
                <w:sz w:val="18"/>
              </w:rPr>
            </w:pPr>
            <w:r>
              <w:rPr>
                <w:sz w:val="18"/>
              </w:rPr>
              <w:t>炎</w:t>
            </w:r>
          </w:p>
        </w:tc>
        <w:tc>
          <w:tcPr>
            <w:tcW w:w="1508" w:type="dxa"/>
          </w:tcPr>
          <w:p>
            <w:pPr>
              <w:pStyle w:val="TableParagraph"/>
              <w:spacing w:before="8"/>
              <w:ind w:left="106"/>
              <w:rPr>
                <w:sz w:val="18"/>
              </w:rPr>
            </w:pPr>
            <w:r>
              <w:rPr>
                <w:sz w:val="18"/>
              </w:rPr>
              <w:t>象皮病</w:t>
            </w:r>
          </w:p>
        </w:tc>
      </w:tr>
      <w:tr>
        <w:trPr>
          <w:trHeight w:val="626" w:hRule="atLeast"/>
        </w:trPr>
        <w:tc>
          <w:tcPr>
            <w:tcW w:w="2050" w:type="dxa"/>
          </w:tcPr>
          <w:p>
            <w:pPr>
              <w:pStyle w:val="TableParagraph"/>
              <w:spacing w:before="10"/>
              <w:rPr>
                <w:sz w:val="18"/>
              </w:rPr>
            </w:pPr>
            <w:r>
              <w:rPr>
                <w:sz w:val="18"/>
              </w:rPr>
              <w:t>侵蚀性葡萄胎（或称恶</w:t>
            </w:r>
          </w:p>
          <w:p>
            <w:pPr>
              <w:pStyle w:val="TableParagraph"/>
              <w:spacing w:before="76"/>
              <w:rPr>
                <w:sz w:val="18"/>
              </w:rPr>
            </w:pPr>
            <w:r>
              <w:rPr>
                <w:sz w:val="18"/>
              </w:rPr>
              <w:t>性葡萄胎）</w:t>
            </w:r>
          </w:p>
        </w:tc>
        <w:tc>
          <w:tcPr>
            <w:tcW w:w="1973" w:type="dxa"/>
          </w:tcPr>
          <w:p>
            <w:pPr>
              <w:pStyle w:val="TableParagraph"/>
              <w:spacing w:before="10"/>
              <w:rPr>
                <w:sz w:val="18"/>
              </w:rPr>
            </w:pPr>
            <w:r>
              <w:rPr>
                <w:sz w:val="18"/>
              </w:rPr>
              <w:t>严重原发性肺动脉高</w:t>
            </w:r>
          </w:p>
          <w:p>
            <w:pPr>
              <w:pStyle w:val="TableParagraph"/>
              <w:spacing w:before="76"/>
              <w:rPr>
                <w:sz w:val="18"/>
              </w:rPr>
            </w:pPr>
            <w:r>
              <w:rPr>
                <w:sz w:val="18"/>
              </w:rPr>
              <w:t>压</w:t>
            </w:r>
          </w:p>
        </w:tc>
        <w:tc>
          <w:tcPr>
            <w:tcW w:w="1431" w:type="dxa"/>
          </w:tcPr>
          <w:p>
            <w:pPr>
              <w:pStyle w:val="TableParagraph"/>
              <w:spacing w:before="10"/>
              <w:rPr>
                <w:sz w:val="18"/>
              </w:rPr>
            </w:pPr>
            <w:r>
              <w:rPr>
                <w:sz w:val="18"/>
              </w:rPr>
              <w:t>深度昏迷</w:t>
            </w:r>
          </w:p>
        </w:tc>
        <w:tc>
          <w:tcPr>
            <w:tcW w:w="1974" w:type="dxa"/>
          </w:tcPr>
          <w:p>
            <w:pPr>
              <w:pStyle w:val="TableParagraph"/>
              <w:spacing w:before="10"/>
              <w:rPr>
                <w:sz w:val="18"/>
              </w:rPr>
            </w:pPr>
            <w:r>
              <w:rPr>
                <w:sz w:val="18"/>
              </w:rPr>
              <w:t>慢性肝功能衰竭失代</w:t>
            </w:r>
          </w:p>
          <w:p>
            <w:pPr>
              <w:pStyle w:val="TableParagraph"/>
              <w:spacing w:before="76"/>
              <w:rPr>
                <w:sz w:val="18"/>
              </w:rPr>
            </w:pPr>
            <w:r>
              <w:rPr>
                <w:sz w:val="18"/>
              </w:rPr>
              <w:t>偿期</w:t>
            </w:r>
          </w:p>
        </w:tc>
        <w:tc>
          <w:tcPr>
            <w:tcW w:w="1508" w:type="dxa"/>
          </w:tcPr>
          <w:p>
            <w:pPr>
              <w:pStyle w:val="TableParagraph"/>
              <w:spacing w:before="10"/>
              <w:ind w:left="106"/>
              <w:rPr>
                <w:sz w:val="18"/>
              </w:rPr>
            </w:pPr>
            <w:r>
              <w:rPr>
                <w:sz w:val="18"/>
              </w:rPr>
              <w:t>埃博拉病毒感染</w:t>
            </w:r>
          </w:p>
        </w:tc>
      </w:tr>
      <w:tr>
        <w:trPr>
          <w:trHeight w:val="624" w:hRule="atLeast"/>
        </w:trPr>
        <w:tc>
          <w:tcPr>
            <w:tcW w:w="2050" w:type="dxa"/>
          </w:tcPr>
          <w:p>
            <w:pPr>
              <w:pStyle w:val="TableParagraph"/>
              <w:spacing w:before="8"/>
              <w:rPr>
                <w:sz w:val="18"/>
              </w:rPr>
            </w:pPr>
            <w:r>
              <w:rPr>
                <w:sz w:val="18"/>
              </w:rPr>
              <w:t>经输血导致的感染艾滋</w:t>
            </w:r>
          </w:p>
          <w:p>
            <w:pPr>
              <w:pStyle w:val="TableParagraph"/>
              <w:spacing w:before="76"/>
              <w:rPr>
                <w:sz w:val="18"/>
              </w:rPr>
            </w:pPr>
            <w:r>
              <w:rPr>
                <w:sz w:val="18"/>
              </w:rPr>
              <w:t>病病毒或者患艾滋病</w:t>
            </w:r>
          </w:p>
        </w:tc>
        <w:tc>
          <w:tcPr>
            <w:tcW w:w="1973" w:type="dxa"/>
          </w:tcPr>
          <w:p>
            <w:pPr>
              <w:pStyle w:val="TableParagraph"/>
              <w:spacing w:before="8"/>
              <w:rPr>
                <w:sz w:val="18"/>
              </w:rPr>
            </w:pPr>
            <w:r>
              <w:rPr>
                <w:sz w:val="18"/>
              </w:rPr>
              <w:t>主动脉手术</w:t>
            </w:r>
          </w:p>
        </w:tc>
        <w:tc>
          <w:tcPr>
            <w:tcW w:w="1431" w:type="dxa"/>
          </w:tcPr>
          <w:p>
            <w:pPr>
              <w:pStyle w:val="TableParagraph"/>
              <w:spacing w:before="8"/>
              <w:rPr>
                <w:sz w:val="18"/>
              </w:rPr>
            </w:pPr>
            <w:r>
              <w:rPr>
                <w:sz w:val="18"/>
              </w:rPr>
              <w:t>瘫痪</w:t>
            </w:r>
          </w:p>
        </w:tc>
        <w:tc>
          <w:tcPr>
            <w:tcW w:w="1974" w:type="dxa"/>
          </w:tcPr>
          <w:p>
            <w:pPr>
              <w:pStyle w:val="TableParagraph"/>
              <w:spacing w:before="8"/>
              <w:rPr>
                <w:sz w:val="18"/>
              </w:rPr>
            </w:pPr>
            <w:r>
              <w:rPr>
                <w:sz w:val="18"/>
              </w:rPr>
              <w:t>双目失明</w:t>
            </w:r>
          </w:p>
        </w:tc>
        <w:tc>
          <w:tcPr>
            <w:tcW w:w="1508" w:type="dxa"/>
          </w:tcPr>
          <w:p>
            <w:pPr>
              <w:pStyle w:val="TableParagraph"/>
              <w:spacing w:before="8"/>
              <w:ind w:left="106"/>
              <w:rPr>
                <w:sz w:val="18"/>
              </w:rPr>
            </w:pPr>
            <w:r>
              <w:rPr>
                <w:sz w:val="18"/>
              </w:rPr>
              <w:t>特发性慢性肾上</w:t>
            </w:r>
          </w:p>
          <w:p>
            <w:pPr>
              <w:pStyle w:val="TableParagraph"/>
              <w:spacing w:before="76"/>
              <w:ind w:left="106"/>
              <w:rPr>
                <w:sz w:val="18"/>
              </w:rPr>
            </w:pPr>
            <w:r>
              <w:rPr>
                <w:sz w:val="18"/>
              </w:rPr>
              <w:t>腺皮质功能减退</w:t>
            </w:r>
          </w:p>
        </w:tc>
      </w:tr>
      <w:tr>
        <w:trPr>
          <w:trHeight w:val="935" w:hRule="atLeast"/>
        </w:trPr>
        <w:tc>
          <w:tcPr>
            <w:tcW w:w="2050" w:type="dxa"/>
          </w:tcPr>
          <w:p>
            <w:pPr>
              <w:pStyle w:val="TableParagraph"/>
              <w:spacing w:line="316" w:lineRule="auto" w:before="8"/>
              <w:ind w:right="95"/>
              <w:rPr>
                <w:sz w:val="18"/>
              </w:rPr>
            </w:pPr>
            <w:r>
              <w:rPr>
                <w:sz w:val="18"/>
              </w:rPr>
              <w:t>因职业关系导致的感染艾滋病病毒或者患艾滋</w:t>
            </w:r>
          </w:p>
          <w:p>
            <w:pPr>
              <w:pStyle w:val="TableParagraph"/>
              <w:spacing w:before="19"/>
              <w:rPr>
                <w:sz w:val="18"/>
              </w:rPr>
            </w:pPr>
            <w:r>
              <w:rPr>
                <w:sz w:val="18"/>
              </w:rPr>
              <w:t>病</w:t>
            </w:r>
          </w:p>
        </w:tc>
        <w:tc>
          <w:tcPr>
            <w:tcW w:w="1973" w:type="dxa"/>
          </w:tcPr>
          <w:p>
            <w:pPr>
              <w:pStyle w:val="TableParagraph"/>
              <w:spacing w:before="8"/>
              <w:rPr>
                <w:sz w:val="18"/>
              </w:rPr>
            </w:pPr>
            <w:r>
              <w:rPr>
                <w:sz w:val="18"/>
              </w:rPr>
              <w:t>终末期肺病</w:t>
            </w:r>
          </w:p>
        </w:tc>
        <w:tc>
          <w:tcPr>
            <w:tcW w:w="1431" w:type="dxa"/>
          </w:tcPr>
          <w:p>
            <w:pPr>
              <w:pStyle w:val="TableParagraph"/>
              <w:spacing w:line="316" w:lineRule="auto" w:before="8"/>
              <w:ind w:right="72"/>
              <w:rPr>
                <w:sz w:val="18"/>
              </w:rPr>
            </w:pPr>
            <w:r>
              <w:rPr>
                <w:sz w:val="18"/>
              </w:rPr>
              <w:t>严重阿尔茨海默病</w:t>
            </w:r>
          </w:p>
        </w:tc>
        <w:tc>
          <w:tcPr>
            <w:tcW w:w="1974" w:type="dxa"/>
          </w:tcPr>
          <w:p>
            <w:pPr>
              <w:pStyle w:val="TableParagraph"/>
              <w:spacing w:before="8"/>
              <w:rPr>
                <w:sz w:val="18"/>
              </w:rPr>
            </w:pPr>
            <w:r>
              <w:rPr>
                <w:sz w:val="18"/>
              </w:rPr>
              <w:t>严重 I 型糖尿病</w:t>
            </w:r>
          </w:p>
        </w:tc>
        <w:tc>
          <w:tcPr>
            <w:tcW w:w="1508" w:type="dxa"/>
          </w:tcPr>
          <w:p>
            <w:pPr>
              <w:pStyle w:val="TableParagraph"/>
              <w:spacing w:before="8"/>
              <w:ind w:left="106"/>
              <w:rPr>
                <w:sz w:val="18"/>
              </w:rPr>
            </w:pPr>
            <w:r>
              <w:rPr>
                <w:sz w:val="18"/>
              </w:rPr>
              <w:t>疯牛病</w:t>
            </w:r>
          </w:p>
        </w:tc>
      </w:tr>
      <w:tr>
        <w:trPr>
          <w:trHeight w:val="623" w:hRule="atLeast"/>
        </w:trPr>
        <w:tc>
          <w:tcPr>
            <w:tcW w:w="2050" w:type="dxa"/>
          </w:tcPr>
          <w:p>
            <w:pPr>
              <w:pStyle w:val="TableParagraph"/>
              <w:spacing w:before="8"/>
              <w:rPr>
                <w:sz w:val="18"/>
              </w:rPr>
            </w:pPr>
            <w:r>
              <w:rPr>
                <w:sz w:val="18"/>
              </w:rPr>
              <w:t>自体造血干细胞移植术</w:t>
            </w:r>
          </w:p>
        </w:tc>
        <w:tc>
          <w:tcPr>
            <w:tcW w:w="1973" w:type="dxa"/>
          </w:tcPr>
          <w:p>
            <w:pPr>
              <w:pStyle w:val="TableParagraph"/>
              <w:spacing w:before="8"/>
              <w:rPr>
                <w:sz w:val="18"/>
              </w:rPr>
            </w:pPr>
            <w:r>
              <w:rPr>
                <w:sz w:val="18"/>
              </w:rPr>
              <w:t>急性出血坏死性胰腺</w:t>
            </w:r>
          </w:p>
          <w:p>
            <w:pPr>
              <w:pStyle w:val="TableParagraph"/>
              <w:spacing w:before="76"/>
              <w:rPr>
                <w:sz w:val="18"/>
              </w:rPr>
            </w:pPr>
            <w:r>
              <w:rPr>
                <w:sz w:val="18"/>
              </w:rPr>
              <w:t>炎开腹手术</w:t>
            </w:r>
          </w:p>
        </w:tc>
        <w:tc>
          <w:tcPr>
            <w:tcW w:w="1431" w:type="dxa"/>
          </w:tcPr>
          <w:p>
            <w:pPr>
              <w:pStyle w:val="TableParagraph"/>
              <w:spacing w:before="8"/>
              <w:rPr>
                <w:sz w:val="18"/>
              </w:rPr>
            </w:pPr>
            <w:r>
              <w:rPr>
                <w:sz w:val="18"/>
              </w:rPr>
              <w:t>严重脑损伤</w:t>
            </w:r>
          </w:p>
        </w:tc>
        <w:tc>
          <w:tcPr>
            <w:tcW w:w="1974" w:type="dxa"/>
          </w:tcPr>
          <w:p>
            <w:pPr>
              <w:pStyle w:val="TableParagraph"/>
              <w:spacing w:before="8"/>
              <w:rPr>
                <w:sz w:val="18"/>
              </w:rPr>
            </w:pPr>
            <w:r>
              <w:rPr>
                <w:sz w:val="18"/>
              </w:rPr>
              <w:t>严重类风湿性关节炎</w:t>
            </w:r>
          </w:p>
        </w:tc>
        <w:tc>
          <w:tcPr>
            <w:tcW w:w="1508" w:type="dxa"/>
          </w:tcPr>
          <w:p>
            <w:pPr>
              <w:pStyle w:val="TableParagraph"/>
              <w:spacing w:before="8"/>
              <w:ind w:left="106"/>
              <w:rPr>
                <w:sz w:val="18"/>
              </w:rPr>
            </w:pPr>
            <w:r>
              <w:rPr>
                <w:sz w:val="18"/>
              </w:rPr>
              <w:t>严重登革热（出</w:t>
            </w:r>
          </w:p>
          <w:p>
            <w:pPr>
              <w:pStyle w:val="TableParagraph"/>
              <w:spacing w:before="76"/>
              <w:ind w:left="106"/>
              <w:rPr>
                <w:sz w:val="18"/>
              </w:rPr>
            </w:pPr>
            <w:r>
              <w:rPr>
                <w:sz w:val="18"/>
              </w:rPr>
              <w:t>血性登革热）</w:t>
            </w:r>
          </w:p>
        </w:tc>
      </w:tr>
      <w:tr>
        <w:trPr>
          <w:trHeight w:val="623" w:hRule="atLeast"/>
        </w:trPr>
        <w:tc>
          <w:tcPr>
            <w:tcW w:w="2050" w:type="dxa"/>
          </w:tcPr>
          <w:p>
            <w:pPr>
              <w:pStyle w:val="TableParagraph"/>
              <w:spacing w:before="8"/>
              <w:rPr>
                <w:sz w:val="18"/>
              </w:rPr>
            </w:pPr>
            <w:r>
              <w:rPr>
                <w:sz w:val="18"/>
              </w:rPr>
              <w:t>重症骨髓增生异常综合</w:t>
            </w:r>
          </w:p>
          <w:p>
            <w:pPr>
              <w:pStyle w:val="TableParagraph"/>
              <w:spacing w:before="76"/>
              <w:rPr>
                <w:sz w:val="18"/>
              </w:rPr>
            </w:pPr>
            <w:r>
              <w:rPr>
                <w:sz w:val="18"/>
              </w:rPr>
              <w:t>征</w:t>
            </w:r>
          </w:p>
        </w:tc>
        <w:tc>
          <w:tcPr>
            <w:tcW w:w="1973" w:type="dxa"/>
          </w:tcPr>
          <w:p>
            <w:pPr>
              <w:pStyle w:val="TableParagraph"/>
              <w:spacing w:before="8"/>
              <w:rPr>
                <w:sz w:val="18"/>
              </w:rPr>
            </w:pPr>
            <w:r>
              <w:rPr>
                <w:sz w:val="18"/>
              </w:rPr>
              <w:t>系统性硬皮病</w:t>
            </w:r>
          </w:p>
        </w:tc>
        <w:tc>
          <w:tcPr>
            <w:tcW w:w="1431" w:type="dxa"/>
          </w:tcPr>
          <w:p>
            <w:pPr>
              <w:pStyle w:val="TableParagraph"/>
              <w:spacing w:before="8"/>
              <w:rPr>
                <w:sz w:val="18"/>
              </w:rPr>
            </w:pPr>
            <w:r>
              <w:rPr>
                <w:sz w:val="18"/>
              </w:rPr>
              <w:t>严重帕金森病</w:t>
            </w:r>
          </w:p>
        </w:tc>
        <w:tc>
          <w:tcPr>
            <w:tcW w:w="1974" w:type="dxa"/>
          </w:tcPr>
          <w:p>
            <w:pPr>
              <w:pStyle w:val="TableParagraph"/>
              <w:spacing w:before="8"/>
              <w:rPr>
                <w:sz w:val="18"/>
              </w:rPr>
            </w:pPr>
            <w:r>
              <w:rPr>
                <w:sz w:val="18"/>
              </w:rPr>
              <w:t>系统性红斑狼疮并发</w:t>
            </w:r>
          </w:p>
          <w:p>
            <w:pPr>
              <w:pStyle w:val="TableParagraph"/>
              <w:spacing w:before="76"/>
              <w:rPr>
                <w:sz w:val="18"/>
              </w:rPr>
            </w:pPr>
            <w:r>
              <w:rPr>
                <w:sz w:val="18"/>
              </w:rPr>
              <w:t>重度的肾功能损害</w:t>
            </w:r>
          </w:p>
        </w:tc>
        <w:tc>
          <w:tcPr>
            <w:tcW w:w="1508" w:type="dxa"/>
          </w:tcPr>
          <w:p>
            <w:pPr>
              <w:pStyle w:val="TableParagraph"/>
              <w:spacing w:before="8"/>
              <w:ind w:left="106"/>
              <w:rPr>
                <w:sz w:val="18"/>
              </w:rPr>
            </w:pPr>
            <w:r>
              <w:rPr>
                <w:sz w:val="18"/>
              </w:rPr>
              <w:t>严重面部烧伤</w:t>
            </w:r>
          </w:p>
        </w:tc>
      </w:tr>
      <w:tr>
        <w:trPr>
          <w:trHeight w:val="624" w:hRule="atLeast"/>
        </w:trPr>
        <w:tc>
          <w:tcPr>
            <w:tcW w:w="2050" w:type="dxa"/>
          </w:tcPr>
          <w:p>
            <w:pPr>
              <w:pStyle w:val="TableParagraph"/>
              <w:spacing w:before="8"/>
              <w:rPr>
                <w:sz w:val="18"/>
              </w:rPr>
            </w:pPr>
            <w:r>
              <w:rPr>
                <w:sz w:val="18"/>
              </w:rPr>
              <w:t>器官移植导致的 HIV 感</w:t>
            </w:r>
          </w:p>
          <w:p>
            <w:pPr>
              <w:pStyle w:val="TableParagraph"/>
              <w:spacing w:before="76"/>
              <w:rPr>
                <w:sz w:val="18"/>
              </w:rPr>
            </w:pPr>
            <w:r>
              <w:rPr>
                <w:sz w:val="18"/>
              </w:rPr>
              <w:t>染</w:t>
            </w:r>
          </w:p>
        </w:tc>
        <w:tc>
          <w:tcPr>
            <w:tcW w:w="1973" w:type="dxa"/>
          </w:tcPr>
          <w:p>
            <w:pPr>
              <w:pStyle w:val="TableParagraph"/>
              <w:spacing w:before="8"/>
              <w:rPr>
                <w:sz w:val="18"/>
              </w:rPr>
            </w:pPr>
            <w:r>
              <w:rPr>
                <w:sz w:val="18"/>
              </w:rPr>
              <w:t>肺泡蛋白质沉积症</w:t>
            </w:r>
          </w:p>
        </w:tc>
        <w:tc>
          <w:tcPr>
            <w:tcW w:w="1431" w:type="dxa"/>
          </w:tcPr>
          <w:p>
            <w:pPr>
              <w:pStyle w:val="TableParagraph"/>
              <w:spacing w:before="8"/>
              <w:rPr>
                <w:sz w:val="18"/>
              </w:rPr>
            </w:pPr>
            <w:r>
              <w:rPr>
                <w:sz w:val="18"/>
              </w:rPr>
              <w:t>严重运动神经</w:t>
            </w:r>
          </w:p>
          <w:p>
            <w:pPr>
              <w:pStyle w:val="TableParagraph"/>
              <w:spacing w:before="76"/>
              <w:rPr>
                <w:sz w:val="18"/>
              </w:rPr>
            </w:pPr>
            <w:r>
              <w:rPr>
                <w:sz w:val="18"/>
              </w:rPr>
              <w:t>元病</w:t>
            </w:r>
          </w:p>
        </w:tc>
        <w:tc>
          <w:tcPr>
            <w:tcW w:w="1974" w:type="dxa"/>
          </w:tcPr>
          <w:p>
            <w:pPr>
              <w:pStyle w:val="TableParagraph"/>
              <w:spacing w:before="8"/>
              <w:rPr>
                <w:sz w:val="18"/>
              </w:rPr>
            </w:pPr>
            <w:r>
              <w:rPr>
                <w:sz w:val="18"/>
              </w:rPr>
              <w:t>糖尿病导致的双脚截</w:t>
            </w:r>
          </w:p>
          <w:p>
            <w:pPr>
              <w:pStyle w:val="TableParagraph"/>
              <w:spacing w:before="76"/>
              <w:rPr>
                <w:sz w:val="18"/>
              </w:rPr>
            </w:pPr>
            <w:r>
              <w:rPr>
                <w:sz w:val="18"/>
              </w:rPr>
              <w:t>除</w:t>
            </w:r>
          </w:p>
        </w:tc>
        <w:tc>
          <w:tcPr>
            <w:tcW w:w="1508" w:type="dxa"/>
          </w:tcPr>
          <w:p>
            <w:pPr>
              <w:pStyle w:val="TableParagraph"/>
              <w:ind w:left="0"/>
              <w:rPr>
                <w:rFonts w:ascii="Times New Roman"/>
                <w:sz w:val="18"/>
              </w:rPr>
            </w:pPr>
          </w:p>
        </w:tc>
      </w:tr>
      <w:tr>
        <w:trPr>
          <w:trHeight w:val="626" w:hRule="atLeast"/>
        </w:trPr>
        <w:tc>
          <w:tcPr>
            <w:tcW w:w="2050" w:type="dxa"/>
          </w:tcPr>
          <w:p>
            <w:pPr>
              <w:pStyle w:val="TableParagraph"/>
              <w:spacing w:before="10"/>
              <w:rPr>
                <w:sz w:val="18"/>
              </w:rPr>
            </w:pPr>
            <w:r>
              <w:rPr>
                <w:sz w:val="18"/>
              </w:rPr>
              <w:t>原发性骨髓纤维化</w:t>
            </w:r>
          </w:p>
        </w:tc>
        <w:tc>
          <w:tcPr>
            <w:tcW w:w="1973" w:type="dxa"/>
          </w:tcPr>
          <w:p>
            <w:pPr>
              <w:pStyle w:val="TableParagraph"/>
              <w:spacing w:before="10"/>
              <w:rPr>
                <w:sz w:val="18"/>
              </w:rPr>
            </w:pPr>
            <w:r>
              <w:rPr>
                <w:sz w:val="18"/>
              </w:rPr>
              <w:t>严重慢性复发性胰腺</w:t>
            </w:r>
          </w:p>
          <w:p>
            <w:pPr>
              <w:pStyle w:val="TableParagraph"/>
              <w:spacing w:before="76"/>
              <w:rPr>
                <w:sz w:val="18"/>
              </w:rPr>
            </w:pPr>
            <w:r>
              <w:rPr>
                <w:sz w:val="18"/>
              </w:rPr>
              <w:t>炎</w:t>
            </w:r>
          </w:p>
        </w:tc>
        <w:tc>
          <w:tcPr>
            <w:tcW w:w="1431" w:type="dxa"/>
          </w:tcPr>
          <w:p>
            <w:pPr>
              <w:pStyle w:val="TableParagraph"/>
              <w:spacing w:before="10"/>
              <w:rPr>
                <w:sz w:val="18"/>
              </w:rPr>
            </w:pPr>
            <w:r>
              <w:rPr>
                <w:sz w:val="18"/>
              </w:rPr>
              <w:t>语言能力丧失</w:t>
            </w:r>
          </w:p>
        </w:tc>
        <w:tc>
          <w:tcPr>
            <w:tcW w:w="1974" w:type="dxa"/>
          </w:tcPr>
          <w:p>
            <w:pPr>
              <w:pStyle w:val="TableParagraph"/>
              <w:spacing w:before="10"/>
              <w:rPr>
                <w:sz w:val="18"/>
              </w:rPr>
            </w:pPr>
            <w:r>
              <w:rPr>
                <w:sz w:val="18"/>
              </w:rPr>
              <w:t>严重溃疡性结肠炎</w:t>
            </w:r>
          </w:p>
        </w:tc>
        <w:tc>
          <w:tcPr>
            <w:tcW w:w="1508" w:type="dxa"/>
          </w:tcPr>
          <w:p>
            <w:pPr>
              <w:pStyle w:val="TableParagraph"/>
              <w:ind w:left="0"/>
              <w:rPr>
                <w:rFonts w:ascii="Times New Roman"/>
                <w:sz w:val="18"/>
              </w:rPr>
            </w:pPr>
          </w:p>
        </w:tc>
      </w:tr>
      <w:tr>
        <w:trPr>
          <w:trHeight w:val="623" w:hRule="atLeast"/>
        </w:trPr>
        <w:tc>
          <w:tcPr>
            <w:tcW w:w="2050" w:type="dxa"/>
          </w:tcPr>
          <w:p>
            <w:pPr>
              <w:pStyle w:val="TableParagraph"/>
              <w:ind w:left="0"/>
              <w:rPr>
                <w:rFonts w:ascii="Times New Roman"/>
                <w:sz w:val="18"/>
              </w:rPr>
            </w:pPr>
          </w:p>
        </w:tc>
        <w:tc>
          <w:tcPr>
            <w:tcW w:w="1973" w:type="dxa"/>
          </w:tcPr>
          <w:p>
            <w:pPr>
              <w:pStyle w:val="TableParagraph"/>
              <w:spacing w:before="8"/>
              <w:rPr>
                <w:sz w:val="18"/>
              </w:rPr>
            </w:pPr>
            <w:r>
              <w:rPr>
                <w:sz w:val="18"/>
              </w:rPr>
              <w:t>肺淋巴管肌瘤病</w:t>
            </w:r>
          </w:p>
        </w:tc>
        <w:tc>
          <w:tcPr>
            <w:tcW w:w="1431" w:type="dxa"/>
          </w:tcPr>
          <w:p>
            <w:pPr>
              <w:pStyle w:val="TableParagraph"/>
              <w:spacing w:before="8"/>
              <w:rPr>
                <w:sz w:val="18"/>
              </w:rPr>
            </w:pPr>
            <w:r>
              <w:rPr>
                <w:sz w:val="18"/>
              </w:rPr>
              <w:t>严重多发性硬</w:t>
            </w:r>
          </w:p>
          <w:p>
            <w:pPr>
              <w:pStyle w:val="TableParagraph"/>
              <w:spacing w:before="76"/>
              <w:rPr>
                <w:sz w:val="18"/>
              </w:rPr>
            </w:pPr>
            <w:r>
              <w:rPr>
                <w:sz w:val="18"/>
              </w:rPr>
              <w:t>化症</w:t>
            </w:r>
          </w:p>
        </w:tc>
        <w:tc>
          <w:tcPr>
            <w:tcW w:w="1974" w:type="dxa"/>
          </w:tcPr>
          <w:p>
            <w:pPr>
              <w:pStyle w:val="TableParagraph"/>
              <w:spacing w:before="8"/>
              <w:rPr>
                <w:sz w:val="18"/>
              </w:rPr>
            </w:pPr>
            <w:r>
              <w:rPr>
                <w:sz w:val="18"/>
              </w:rPr>
              <w:t>溶血性链球菌引起的</w:t>
            </w:r>
          </w:p>
          <w:p>
            <w:pPr>
              <w:pStyle w:val="TableParagraph"/>
              <w:spacing w:before="76"/>
              <w:rPr>
                <w:sz w:val="18"/>
              </w:rPr>
            </w:pPr>
            <w:r>
              <w:rPr>
                <w:sz w:val="18"/>
              </w:rPr>
              <w:t>坏疽</w:t>
            </w:r>
          </w:p>
        </w:tc>
        <w:tc>
          <w:tcPr>
            <w:tcW w:w="1508" w:type="dxa"/>
          </w:tcPr>
          <w:p>
            <w:pPr>
              <w:pStyle w:val="TableParagraph"/>
              <w:ind w:left="0"/>
              <w:rPr>
                <w:rFonts w:ascii="Times New Roman"/>
                <w:sz w:val="18"/>
              </w:rPr>
            </w:pPr>
          </w:p>
        </w:tc>
      </w:tr>
    </w:tbl>
    <w:p>
      <w:pPr>
        <w:spacing w:after="0"/>
        <w:rPr>
          <w:rFonts w:ascii="Times New Roman"/>
          <w:sz w:val="18"/>
        </w:rPr>
        <w:sectPr>
          <w:type w:val="continuous"/>
          <w:pgSz w:w="11910" w:h="16840"/>
          <w:pgMar w:top="620" w:bottom="280" w:left="1020" w:right="900"/>
        </w:sectPr>
      </w:pPr>
    </w:p>
    <w:tbl>
      <w:tblPr>
        <w:tblW w:w="0" w:type="auto"/>
        <w:jc w:val="left"/>
        <w:tblInd w:w="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0"/>
        <w:gridCol w:w="1973"/>
        <w:gridCol w:w="1431"/>
        <w:gridCol w:w="1974"/>
        <w:gridCol w:w="1508"/>
      </w:tblGrid>
      <w:tr>
        <w:trPr>
          <w:trHeight w:val="312" w:hRule="atLeast"/>
        </w:trPr>
        <w:tc>
          <w:tcPr>
            <w:tcW w:w="2050" w:type="dxa"/>
          </w:tcPr>
          <w:p>
            <w:pPr>
              <w:pStyle w:val="TableParagraph"/>
              <w:ind w:left="0"/>
              <w:rPr>
                <w:rFonts w:ascii="Times New Roman"/>
                <w:sz w:val="18"/>
              </w:rPr>
            </w:pPr>
          </w:p>
        </w:tc>
        <w:tc>
          <w:tcPr>
            <w:tcW w:w="1973" w:type="dxa"/>
          </w:tcPr>
          <w:p>
            <w:pPr>
              <w:pStyle w:val="TableParagraph"/>
              <w:spacing w:before="8"/>
              <w:rPr>
                <w:sz w:val="18"/>
              </w:rPr>
            </w:pPr>
            <w:r>
              <w:rPr>
                <w:sz w:val="18"/>
              </w:rPr>
              <w:t>胰腺移植</w:t>
            </w:r>
          </w:p>
        </w:tc>
        <w:tc>
          <w:tcPr>
            <w:tcW w:w="1431" w:type="dxa"/>
          </w:tcPr>
          <w:p>
            <w:pPr>
              <w:pStyle w:val="TableParagraph"/>
              <w:spacing w:before="8"/>
              <w:rPr>
                <w:sz w:val="18"/>
              </w:rPr>
            </w:pPr>
            <w:r>
              <w:rPr>
                <w:sz w:val="18"/>
              </w:rPr>
              <w:t>颅脑手术</w:t>
            </w:r>
          </w:p>
        </w:tc>
        <w:tc>
          <w:tcPr>
            <w:tcW w:w="1974" w:type="dxa"/>
          </w:tcPr>
          <w:p>
            <w:pPr>
              <w:pStyle w:val="TableParagraph"/>
              <w:spacing w:before="8"/>
              <w:rPr>
                <w:sz w:val="18"/>
              </w:rPr>
            </w:pPr>
            <w:r>
              <w:rPr>
                <w:sz w:val="18"/>
              </w:rPr>
              <w:t>坏死性筋膜炎</w:t>
            </w:r>
          </w:p>
        </w:tc>
        <w:tc>
          <w:tcPr>
            <w:tcW w:w="1508" w:type="dxa"/>
          </w:tcPr>
          <w:p>
            <w:pPr>
              <w:pStyle w:val="TableParagraph"/>
              <w:ind w:left="0"/>
              <w:rPr>
                <w:rFonts w:ascii="Times New Roman"/>
                <w:sz w:val="18"/>
              </w:rPr>
            </w:pPr>
          </w:p>
        </w:tc>
      </w:tr>
      <w:tr>
        <w:trPr>
          <w:trHeight w:val="311" w:hRule="atLeast"/>
        </w:trPr>
        <w:tc>
          <w:tcPr>
            <w:tcW w:w="2050" w:type="dxa"/>
          </w:tcPr>
          <w:p>
            <w:pPr>
              <w:pStyle w:val="TableParagraph"/>
              <w:ind w:left="0"/>
              <w:rPr>
                <w:rFonts w:ascii="Times New Roman"/>
                <w:sz w:val="18"/>
              </w:rPr>
            </w:pPr>
          </w:p>
        </w:tc>
        <w:tc>
          <w:tcPr>
            <w:tcW w:w="1973" w:type="dxa"/>
          </w:tcPr>
          <w:p>
            <w:pPr>
              <w:pStyle w:val="TableParagraph"/>
              <w:spacing w:before="8"/>
              <w:rPr>
                <w:sz w:val="18"/>
              </w:rPr>
            </w:pPr>
            <w:r>
              <w:rPr>
                <w:sz w:val="18"/>
              </w:rPr>
              <w:t>严重川崎病</w:t>
            </w:r>
          </w:p>
        </w:tc>
        <w:tc>
          <w:tcPr>
            <w:tcW w:w="1431" w:type="dxa"/>
          </w:tcPr>
          <w:p>
            <w:pPr>
              <w:pStyle w:val="TableParagraph"/>
              <w:spacing w:before="8"/>
              <w:rPr>
                <w:sz w:val="18"/>
              </w:rPr>
            </w:pPr>
            <w:r>
              <w:rPr>
                <w:sz w:val="18"/>
              </w:rPr>
              <w:t>重症肌无力</w:t>
            </w:r>
          </w:p>
        </w:tc>
        <w:tc>
          <w:tcPr>
            <w:tcW w:w="1974" w:type="dxa"/>
          </w:tcPr>
          <w:p>
            <w:pPr>
              <w:pStyle w:val="TableParagraph"/>
              <w:spacing w:before="8"/>
              <w:rPr>
                <w:sz w:val="18"/>
              </w:rPr>
            </w:pPr>
            <w:r>
              <w:rPr>
                <w:sz w:val="18"/>
              </w:rPr>
              <w:t>严重克隆病</w:t>
            </w:r>
          </w:p>
        </w:tc>
        <w:tc>
          <w:tcPr>
            <w:tcW w:w="1508" w:type="dxa"/>
          </w:tcPr>
          <w:p>
            <w:pPr>
              <w:pStyle w:val="TableParagraph"/>
              <w:ind w:left="0"/>
              <w:rPr>
                <w:rFonts w:ascii="Times New Roman"/>
                <w:sz w:val="18"/>
              </w:rPr>
            </w:pPr>
          </w:p>
        </w:tc>
      </w:tr>
      <w:tr>
        <w:trPr>
          <w:trHeight w:val="623" w:hRule="atLeast"/>
        </w:trPr>
        <w:tc>
          <w:tcPr>
            <w:tcW w:w="2050" w:type="dxa"/>
          </w:tcPr>
          <w:p>
            <w:pPr>
              <w:pStyle w:val="TableParagraph"/>
              <w:ind w:left="0"/>
              <w:rPr>
                <w:rFonts w:ascii="Times New Roman"/>
                <w:sz w:val="18"/>
              </w:rPr>
            </w:pPr>
          </w:p>
        </w:tc>
        <w:tc>
          <w:tcPr>
            <w:tcW w:w="1973" w:type="dxa"/>
          </w:tcPr>
          <w:p>
            <w:pPr>
              <w:pStyle w:val="TableParagraph"/>
              <w:spacing w:before="8"/>
              <w:rPr>
                <w:sz w:val="18"/>
              </w:rPr>
            </w:pPr>
            <w:r>
              <w:rPr>
                <w:sz w:val="18"/>
              </w:rPr>
              <w:t>严重传染性心内膜炎</w:t>
            </w:r>
          </w:p>
        </w:tc>
        <w:tc>
          <w:tcPr>
            <w:tcW w:w="1431" w:type="dxa"/>
          </w:tcPr>
          <w:p>
            <w:pPr>
              <w:pStyle w:val="TableParagraph"/>
              <w:spacing w:before="8"/>
              <w:rPr>
                <w:sz w:val="18"/>
              </w:rPr>
            </w:pPr>
            <w:r>
              <w:rPr>
                <w:sz w:val="18"/>
              </w:rPr>
              <w:t>持续植物人状</w:t>
            </w:r>
          </w:p>
          <w:p>
            <w:pPr>
              <w:pStyle w:val="TableParagraph"/>
              <w:spacing w:before="76"/>
              <w:rPr>
                <w:sz w:val="18"/>
              </w:rPr>
            </w:pPr>
            <w:r>
              <w:rPr>
                <w:sz w:val="18"/>
              </w:rPr>
              <w:t>态</w:t>
            </w:r>
          </w:p>
        </w:tc>
        <w:tc>
          <w:tcPr>
            <w:tcW w:w="1974" w:type="dxa"/>
          </w:tcPr>
          <w:p>
            <w:pPr>
              <w:pStyle w:val="TableParagraph"/>
              <w:spacing w:before="8"/>
              <w:rPr>
                <w:sz w:val="18"/>
              </w:rPr>
            </w:pPr>
            <w:r>
              <w:rPr>
                <w:sz w:val="18"/>
              </w:rPr>
              <w:t>原发性硬化性胆管炎</w:t>
            </w:r>
          </w:p>
        </w:tc>
        <w:tc>
          <w:tcPr>
            <w:tcW w:w="1508" w:type="dxa"/>
          </w:tcPr>
          <w:p>
            <w:pPr>
              <w:pStyle w:val="TableParagraph"/>
              <w:ind w:left="0"/>
              <w:rPr>
                <w:rFonts w:ascii="Times New Roman"/>
                <w:sz w:val="18"/>
              </w:rPr>
            </w:pPr>
          </w:p>
        </w:tc>
      </w:tr>
      <w:tr>
        <w:trPr>
          <w:trHeight w:val="623" w:hRule="atLeast"/>
        </w:trPr>
        <w:tc>
          <w:tcPr>
            <w:tcW w:w="2050" w:type="dxa"/>
          </w:tcPr>
          <w:p>
            <w:pPr>
              <w:pStyle w:val="TableParagraph"/>
              <w:ind w:left="0"/>
              <w:rPr>
                <w:rFonts w:ascii="Times New Roman"/>
                <w:sz w:val="18"/>
              </w:rPr>
            </w:pPr>
          </w:p>
        </w:tc>
        <w:tc>
          <w:tcPr>
            <w:tcW w:w="1973" w:type="dxa"/>
          </w:tcPr>
          <w:p>
            <w:pPr>
              <w:pStyle w:val="TableParagraph"/>
              <w:spacing w:before="8"/>
              <w:rPr>
                <w:sz w:val="18"/>
              </w:rPr>
            </w:pPr>
            <w:r>
              <w:rPr>
                <w:sz w:val="18"/>
              </w:rPr>
              <w:t>嗜铬细胞瘤</w:t>
            </w:r>
          </w:p>
        </w:tc>
        <w:tc>
          <w:tcPr>
            <w:tcW w:w="1431" w:type="dxa"/>
          </w:tcPr>
          <w:p>
            <w:pPr>
              <w:pStyle w:val="TableParagraph"/>
              <w:spacing w:before="8"/>
              <w:rPr>
                <w:sz w:val="18"/>
              </w:rPr>
            </w:pPr>
            <w:r>
              <w:rPr>
                <w:sz w:val="18"/>
              </w:rPr>
              <w:t>进行性核上性</w:t>
            </w:r>
          </w:p>
          <w:p>
            <w:pPr>
              <w:pStyle w:val="TableParagraph"/>
              <w:spacing w:before="76"/>
              <w:rPr>
                <w:sz w:val="18"/>
              </w:rPr>
            </w:pPr>
            <w:r>
              <w:rPr>
                <w:sz w:val="18"/>
              </w:rPr>
              <w:t>麻痹</w:t>
            </w:r>
          </w:p>
        </w:tc>
        <w:tc>
          <w:tcPr>
            <w:tcW w:w="1974" w:type="dxa"/>
          </w:tcPr>
          <w:p>
            <w:pPr>
              <w:pStyle w:val="TableParagraph"/>
              <w:spacing w:before="8"/>
              <w:rPr>
                <w:sz w:val="18"/>
              </w:rPr>
            </w:pPr>
            <w:r>
              <w:rPr>
                <w:sz w:val="18"/>
              </w:rPr>
              <w:t>肾髓质囊性病</w:t>
            </w:r>
          </w:p>
        </w:tc>
        <w:tc>
          <w:tcPr>
            <w:tcW w:w="1508" w:type="dxa"/>
          </w:tcPr>
          <w:p>
            <w:pPr>
              <w:pStyle w:val="TableParagraph"/>
              <w:ind w:left="0"/>
              <w:rPr>
                <w:rFonts w:ascii="Times New Roman"/>
                <w:sz w:val="18"/>
              </w:rPr>
            </w:pPr>
          </w:p>
        </w:tc>
      </w:tr>
      <w:tr>
        <w:trPr>
          <w:trHeight w:val="935" w:hRule="atLeast"/>
        </w:trPr>
        <w:tc>
          <w:tcPr>
            <w:tcW w:w="2050" w:type="dxa"/>
          </w:tcPr>
          <w:p>
            <w:pPr>
              <w:pStyle w:val="TableParagraph"/>
              <w:ind w:left="0"/>
              <w:rPr>
                <w:rFonts w:ascii="Times New Roman"/>
                <w:sz w:val="18"/>
              </w:rPr>
            </w:pPr>
          </w:p>
        </w:tc>
        <w:tc>
          <w:tcPr>
            <w:tcW w:w="1973" w:type="dxa"/>
          </w:tcPr>
          <w:p>
            <w:pPr>
              <w:pStyle w:val="TableParagraph"/>
              <w:spacing w:line="316" w:lineRule="auto" w:before="8"/>
              <w:ind w:right="98"/>
              <w:rPr>
                <w:sz w:val="18"/>
              </w:rPr>
            </w:pPr>
            <w:r>
              <w:rPr>
                <w:sz w:val="18"/>
              </w:rPr>
              <w:t>严重慢性缩窄型心包炎</w:t>
            </w:r>
          </w:p>
        </w:tc>
        <w:tc>
          <w:tcPr>
            <w:tcW w:w="1431" w:type="dxa"/>
          </w:tcPr>
          <w:p>
            <w:pPr>
              <w:pStyle w:val="TableParagraph"/>
              <w:spacing w:line="316" w:lineRule="auto" w:before="8"/>
              <w:ind w:right="72"/>
              <w:rPr>
                <w:sz w:val="18"/>
              </w:rPr>
            </w:pPr>
            <w:r>
              <w:rPr>
                <w:sz w:val="18"/>
              </w:rPr>
              <w:t>非阿尔茨海默病所致严重痴</w:t>
            </w:r>
          </w:p>
          <w:p>
            <w:pPr>
              <w:pStyle w:val="TableParagraph"/>
              <w:spacing w:before="19"/>
              <w:rPr>
                <w:sz w:val="18"/>
              </w:rPr>
            </w:pPr>
            <w:r>
              <w:rPr>
                <w:sz w:val="18"/>
              </w:rPr>
              <w:t>呆</w:t>
            </w:r>
          </w:p>
        </w:tc>
        <w:tc>
          <w:tcPr>
            <w:tcW w:w="1974" w:type="dxa"/>
          </w:tcPr>
          <w:p>
            <w:pPr>
              <w:pStyle w:val="TableParagraph"/>
              <w:spacing w:before="8"/>
              <w:rPr>
                <w:sz w:val="18"/>
              </w:rPr>
            </w:pPr>
            <w:r>
              <w:rPr>
                <w:sz w:val="18"/>
              </w:rPr>
              <w:t>失去一肢及一眼</w:t>
            </w:r>
          </w:p>
        </w:tc>
        <w:tc>
          <w:tcPr>
            <w:tcW w:w="1508" w:type="dxa"/>
          </w:tcPr>
          <w:p>
            <w:pPr>
              <w:pStyle w:val="TableParagraph"/>
              <w:ind w:left="0"/>
              <w:rPr>
                <w:rFonts w:ascii="Times New Roman"/>
                <w:sz w:val="18"/>
              </w:rPr>
            </w:pPr>
          </w:p>
        </w:tc>
      </w:tr>
      <w:tr>
        <w:trPr>
          <w:trHeight w:val="626" w:hRule="atLeast"/>
        </w:trPr>
        <w:tc>
          <w:tcPr>
            <w:tcW w:w="2050" w:type="dxa"/>
          </w:tcPr>
          <w:p>
            <w:pPr>
              <w:pStyle w:val="TableParagraph"/>
              <w:ind w:left="0"/>
              <w:rPr>
                <w:rFonts w:ascii="Times New Roman"/>
                <w:sz w:val="18"/>
              </w:rPr>
            </w:pPr>
          </w:p>
        </w:tc>
        <w:tc>
          <w:tcPr>
            <w:tcW w:w="1973" w:type="dxa"/>
          </w:tcPr>
          <w:p>
            <w:pPr>
              <w:pStyle w:val="TableParagraph"/>
              <w:spacing w:before="10"/>
              <w:rPr>
                <w:sz w:val="18"/>
              </w:rPr>
            </w:pPr>
            <w:r>
              <w:rPr>
                <w:sz w:val="18"/>
              </w:rPr>
              <w:t>重症手足口病</w:t>
            </w:r>
          </w:p>
        </w:tc>
        <w:tc>
          <w:tcPr>
            <w:tcW w:w="1431" w:type="dxa"/>
          </w:tcPr>
          <w:p>
            <w:pPr>
              <w:pStyle w:val="TableParagraph"/>
              <w:spacing w:before="10"/>
              <w:rPr>
                <w:sz w:val="18"/>
              </w:rPr>
            </w:pPr>
            <w:r>
              <w:rPr>
                <w:sz w:val="18"/>
              </w:rPr>
              <w:t>多处臂丛神经</w:t>
            </w:r>
          </w:p>
          <w:p>
            <w:pPr>
              <w:pStyle w:val="TableParagraph"/>
              <w:spacing w:before="76"/>
              <w:rPr>
                <w:sz w:val="18"/>
              </w:rPr>
            </w:pPr>
            <w:r>
              <w:rPr>
                <w:sz w:val="18"/>
              </w:rPr>
              <w:t>根性撕脱</w:t>
            </w:r>
          </w:p>
        </w:tc>
        <w:tc>
          <w:tcPr>
            <w:tcW w:w="1974" w:type="dxa"/>
          </w:tcPr>
          <w:p>
            <w:pPr>
              <w:pStyle w:val="TableParagraph"/>
              <w:spacing w:before="10"/>
              <w:rPr>
                <w:sz w:val="18"/>
              </w:rPr>
            </w:pPr>
            <w:r>
              <w:rPr>
                <w:sz w:val="18"/>
              </w:rPr>
              <w:t>严重自身免疫性肝炎</w:t>
            </w:r>
          </w:p>
        </w:tc>
        <w:tc>
          <w:tcPr>
            <w:tcW w:w="1508" w:type="dxa"/>
          </w:tcPr>
          <w:p>
            <w:pPr>
              <w:pStyle w:val="TableParagraph"/>
              <w:ind w:left="0"/>
              <w:rPr>
                <w:rFonts w:ascii="Times New Roman"/>
                <w:sz w:val="18"/>
              </w:rPr>
            </w:pPr>
          </w:p>
        </w:tc>
      </w:tr>
      <w:tr>
        <w:trPr>
          <w:trHeight w:val="623" w:hRule="atLeast"/>
        </w:trPr>
        <w:tc>
          <w:tcPr>
            <w:tcW w:w="2050" w:type="dxa"/>
          </w:tcPr>
          <w:p>
            <w:pPr>
              <w:pStyle w:val="TableParagraph"/>
              <w:ind w:left="0"/>
              <w:rPr>
                <w:rFonts w:ascii="Times New Roman"/>
                <w:sz w:val="18"/>
              </w:rPr>
            </w:pPr>
          </w:p>
        </w:tc>
        <w:tc>
          <w:tcPr>
            <w:tcW w:w="1973" w:type="dxa"/>
          </w:tcPr>
          <w:p>
            <w:pPr>
              <w:pStyle w:val="TableParagraph"/>
              <w:spacing w:before="8"/>
              <w:rPr>
                <w:sz w:val="18"/>
              </w:rPr>
            </w:pPr>
            <w:r>
              <w:rPr>
                <w:sz w:val="18"/>
              </w:rPr>
              <w:t>慢性呼吸功能衰竭</w:t>
            </w:r>
          </w:p>
        </w:tc>
        <w:tc>
          <w:tcPr>
            <w:tcW w:w="1431" w:type="dxa"/>
          </w:tcPr>
          <w:p>
            <w:pPr>
              <w:pStyle w:val="TableParagraph"/>
              <w:spacing w:before="8"/>
              <w:rPr>
                <w:sz w:val="18"/>
              </w:rPr>
            </w:pPr>
            <w:r>
              <w:rPr>
                <w:sz w:val="18"/>
              </w:rPr>
              <w:t>疾病或外伤所</w:t>
            </w:r>
          </w:p>
          <w:p>
            <w:pPr>
              <w:pStyle w:val="TableParagraph"/>
              <w:spacing w:before="76"/>
              <w:rPr>
                <w:sz w:val="18"/>
              </w:rPr>
            </w:pPr>
            <w:r>
              <w:rPr>
                <w:sz w:val="18"/>
              </w:rPr>
              <w:t>致智力障碍</w:t>
            </w:r>
          </w:p>
        </w:tc>
        <w:tc>
          <w:tcPr>
            <w:tcW w:w="1974" w:type="dxa"/>
          </w:tcPr>
          <w:p>
            <w:pPr>
              <w:pStyle w:val="TableParagraph"/>
              <w:spacing w:before="8"/>
              <w:rPr>
                <w:sz w:val="18"/>
              </w:rPr>
            </w:pPr>
            <w:r>
              <w:rPr>
                <w:sz w:val="18"/>
              </w:rPr>
              <w:t>严重肠道疾病并发症</w:t>
            </w:r>
          </w:p>
        </w:tc>
        <w:tc>
          <w:tcPr>
            <w:tcW w:w="1508" w:type="dxa"/>
          </w:tcPr>
          <w:p>
            <w:pPr>
              <w:pStyle w:val="TableParagraph"/>
              <w:ind w:left="0"/>
              <w:rPr>
                <w:rFonts w:ascii="Times New Roman"/>
                <w:sz w:val="18"/>
              </w:rPr>
            </w:pPr>
          </w:p>
        </w:tc>
      </w:tr>
      <w:tr>
        <w:trPr>
          <w:trHeight w:val="623" w:hRule="atLeast"/>
        </w:trPr>
        <w:tc>
          <w:tcPr>
            <w:tcW w:w="2050" w:type="dxa"/>
          </w:tcPr>
          <w:p>
            <w:pPr>
              <w:pStyle w:val="TableParagraph"/>
              <w:ind w:left="0"/>
              <w:rPr>
                <w:rFonts w:ascii="Times New Roman"/>
                <w:sz w:val="18"/>
              </w:rPr>
            </w:pPr>
          </w:p>
        </w:tc>
        <w:tc>
          <w:tcPr>
            <w:tcW w:w="1973" w:type="dxa"/>
          </w:tcPr>
          <w:p>
            <w:pPr>
              <w:pStyle w:val="TableParagraph"/>
              <w:spacing w:before="8"/>
              <w:rPr>
                <w:sz w:val="18"/>
              </w:rPr>
            </w:pPr>
            <w:r>
              <w:rPr>
                <w:sz w:val="18"/>
              </w:rPr>
              <w:t>严重冠心病</w:t>
            </w:r>
          </w:p>
        </w:tc>
        <w:tc>
          <w:tcPr>
            <w:tcW w:w="1431" w:type="dxa"/>
          </w:tcPr>
          <w:p>
            <w:pPr>
              <w:pStyle w:val="TableParagraph"/>
              <w:spacing w:before="8"/>
              <w:rPr>
                <w:sz w:val="18"/>
              </w:rPr>
            </w:pPr>
            <w:r>
              <w:rPr>
                <w:sz w:val="18"/>
              </w:rPr>
              <w:t>严重瑞氏综合</w:t>
            </w:r>
          </w:p>
          <w:p>
            <w:pPr>
              <w:pStyle w:val="TableParagraph"/>
              <w:spacing w:before="76"/>
              <w:rPr>
                <w:sz w:val="18"/>
              </w:rPr>
            </w:pPr>
            <w:r>
              <w:rPr>
                <w:sz w:val="18"/>
              </w:rPr>
              <w:t>征</w:t>
            </w:r>
          </w:p>
        </w:tc>
        <w:tc>
          <w:tcPr>
            <w:tcW w:w="1974" w:type="dxa"/>
          </w:tcPr>
          <w:p>
            <w:pPr>
              <w:pStyle w:val="TableParagraph"/>
              <w:spacing w:before="8"/>
              <w:rPr>
                <w:sz w:val="18"/>
              </w:rPr>
            </w:pPr>
            <w:r>
              <w:rPr>
                <w:sz w:val="18"/>
              </w:rPr>
              <w:t>严重幼年型类风湿性</w:t>
            </w:r>
          </w:p>
          <w:p>
            <w:pPr>
              <w:pStyle w:val="TableParagraph"/>
              <w:spacing w:before="76"/>
              <w:rPr>
                <w:sz w:val="18"/>
              </w:rPr>
            </w:pPr>
            <w:r>
              <w:rPr>
                <w:sz w:val="18"/>
              </w:rPr>
              <w:t>关节炎</w:t>
            </w:r>
          </w:p>
        </w:tc>
        <w:tc>
          <w:tcPr>
            <w:tcW w:w="1508" w:type="dxa"/>
          </w:tcPr>
          <w:p>
            <w:pPr>
              <w:pStyle w:val="TableParagraph"/>
              <w:ind w:left="0"/>
              <w:rPr>
                <w:rFonts w:ascii="Times New Roman"/>
                <w:sz w:val="18"/>
              </w:rPr>
            </w:pPr>
          </w:p>
        </w:tc>
      </w:tr>
      <w:tr>
        <w:trPr>
          <w:trHeight w:val="623" w:hRule="atLeast"/>
        </w:trPr>
        <w:tc>
          <w:tcPr>
            <w:tcW w:w="2050" w:type="dxa"/>
          </w:tcPr>
          <w:p>
            <w:pPr>
              <w:pStyle w:val="TableParagraph"/>
              <w:ind w:left="0"/>
              <w:rPr>
                <w:rFonts w:ascii="Times New Roman"/>
                <w:sz w:val="18"/>
              </w:rPr>
            </w:pPr>
          </w:p>
        </w:tc>
        <w:tc>
          <w:tcPr>
            <w:tcW w:w="1973" w:type="dxa"/>
          </w:tcPr>
          <w:p>
            <w:pPr>
              <w:pStyle w:val="TableParagraph"/>
              <w:spacing w:before="8"/>
              <w:rPr>
                <w:sz w:val="18"/>
              </w:rPr>
            </w:pPr>
            <w:r>
              <w:rPr>
                <w:sz w:val="18"/>
              </w:rPr>
              <w:t>严重肺源性心脏病</w:t>
            </w:r>
          </w:p>
        </w:tc>
        <w:tc>
          <w:tcPr>
            <w:tcW w:w="1431" w:type="dxa"/>
          </w:tcPr>
          <w:p>
            <w:pPr>
              <w:pStyle w:val="TableParagraph"/>
              <w:spacing w:before="8"/>
              <w:rPr>
                <w:sz w:val="18"/>
              </w:rPr>
            </w:pPr>
            <w:r>
              <w:rPr>
                <w:sz w:val="18"/>
              </w:rPr>
              <w:t>破裂脑动脉瘤</w:t>
            </w:r>
          </w:p>
          <w:p>
            <w:pPr>
              <w:pStyle w:val="TableParagraph"/>
              <w:spacing w:before="76"/>
              <w:rPr>
                <w:sz w:val="18"/>
              </w:rPr>
            </w:pPr>
            <w:r>
              <w:rPr>
                <w:sz w:val="18"/>
              </w:rPr>
              <w:t>夹闭手术</w:t>
            </w:r>
          </w:p>
        </w:tc>
        <w:tc>
          <w:tcPr>
            <w:tcW w:w="1974" w:type="dxa"/>
          </w:tcPr>
          <w:p>
            <w:pPr>
              <w:pStyle w:val="TableParagraph"/>
              <w:spacing w:before="8"/>
              <w:rPr>
                <w:sz w:val="18"/>
              </w:rPr>
            </w:pPr>
            <w:r>
              <w:rPr>
                <w:sz w:val="18"/>
              </w:rPr>
              <w:t>肝豆状核变性</w:t>
            </w:r>
          </w:p>
        </w:tc>
        <w:tc>
          <w:tcPr>
            <w:tcW w:w="1508" w:type="dxa"/>
          </w:tcPr>
          <w:p>
            <w:pPr>
              <w:pStyle w:val="TableParagraph"/>
              <w:ind w:left="0"/>
              <w:rPr>
                <w:rFonts w:ascii="Times New Roman"/>
                <w:sz w:val="18"/>
              </w:rPr>
            </w:pPr>
          </w:p>
        </w:tc>
      </w:tr>
      <w:tr>
        <w:trPr>
          <w:trHeight w:val="623" w:hRule="atLeast"/>
        </w:trPr>
        <w:tc>
          <w:tcPr>
            <w:tcW w:w="2050" w:type="dxa"/>
          </w:tcPr>
          <w:p>
            <w:pPr>
              <w:pStyle w:val="TableParagraph"/>
              <w:ind w:left="0"/>
              <w:rPr>
                <w:rFonts w:ascii="Times New Roman"/>
                <w:sz w:val="18"/>
              </w:rPr>
            </w:pPr>
          </w:p>
        </w:tc>
        <w:tc>
          <w:tcPr>
            <w:tcW w:w="1973" w:type="dxa"/>
          </w:tcPr>
          <w:p>
            <w:pPr>
              <w:pStyle w:val="TableParagraph"/>
              <w:spacing w:before="8"/>
              <w:rPr>
                <w:sz w:val="18"/>
              </w:rPr>
            </w:pPr>
            <w:r>
              <w:rPr>
                <w:sz w:val="18"/>
              </w:rPr>
              <w:t>艾森门格综合征</w:t>
            </w:r>
          </w:p>
        </w:tc>
        <w:tc>
          <w:tcPr>
            <w:tcW w:w="1431" w:type="dxa"/>
          </w:tcPr>
          <w:p>
            <w:pPr>
              <w:pStyle w:val="TableParagraph"/>
              <w:spacing w:before="8"/>
              <w:rPr>
                <w:sz w:val="18"/>
              </w:rPr>
            </w:pPr>
            <w:r>
              <w:rPr>
                <w:sz w:val="18"/>
              </w:rPr>
              <w:t>严重脊髓灰质</w:t>
            </w:r>
          </w:p>
          <w:p>
            <w:pPr>
              <w:pStyle w:val="TableParagraph"/>
              <w:spacing w:before="76"/>
              <w:rPr>
                <w:sz w:val="18"/>
              </w:rPr>
            </w:pPr>
            <w:r>
              <w:rPr>
                <w:sz w:val="18"/>
              </w:rPr>
              <w:t>炎</w:t>
            </w:r>
          </w:p>
        </w:tc>
        <w:tc>
          <w:tcPr>
            <w:tcW w:w="1974" w:type="dxa"/>
          </w:tcPr>
          <w:p>
            <w:pPr>
              <w:pStyle w:val="TableParagraph"/>
              <w:spacing w:before="8"/>
              <w:rPr>
                <w:sz w:val="18"/>
              </w:rPr>
            </w:pPr>
            <w:r>
              <w:rPr>
                <w:sz w:val="18"/>
              </w:rPr>
              <w:t>小肠移植</w:t>
            </w:r>
          </w:p>
        </w:tc>
        <w:tc>
          <w:tcPr>
            <w:tcW w:w="1508" w:type="dxa"/>
          </w:tcPr>
          <w:p>
            <w:pPr>
              <w:pStyle w:val="TableParagraph"/>
              <w:ind w:left="0"/>
              <w:rPr>
                <w:rFonts w:ascii="Times New Roman"/>
                <w:sz w:val="18"/>
              </w:rPr>
            </w:pPr>
          </w:p>
        </w:tc>
      </w:tr>
      <w:tr>
        <w:trPr>
          <w:trHeight w:val="311" w:hRule="atLeast"/>
        </w:trPr>
        <w:tc>
          <w:tcPr>
            <w:tcW w:w="2050" w:type="dxa"/>
          </w:tcPr>
          <w:p>
            <w:pPr>
              <w:pStyle w:val="TableParagraph"/>
              <w:ind w:left="0"/>
              <w:rPr>
                <w:rFonts w:ascii="Times New Roman"/>
                <w:sz w:val="18"/>
              </w:rPr>
            </w:pPr>
          </w:p>
        </w:tc>
        <w:tc>
          <w:tcPr>
            <w:tcW w:w="1973" w:type="dxa"/>
          </w:tcPr>
          <w:p>
            <w:pPr>
              <w:pStyle w:val="TableParagraph"/>
              <w:spacing w:before="8"/>
              <w:rPr>
                <w:sz w:val="18"/>
              </w:rPr>
            </w:pPr>
            <w:r>
              <w:rPr>
                <w:sz w:val="18"/>
              </w:rPr>
              <w:t>严重哮喘</w:t>
            </w:r>
          </w:p>
        </w:tc>
        <w:tc>
          <w:tcPr>
            <w:tcW w:w="1431" w:type="dxa"/>
          </w:tcPr>
          <w:p>
            <w:pPr>
              <w:pStyle w:val="TableParagraph"/>
              <w:spacing w:before="8"/>
              <w:rPr>
                <w:sz w:val="18"/>
              </w:rPr>
            </w:pPr>
            <w:r>
              <w:rPr>
                <w:sz w:val="18"/>
              </w:rPr>
              <w:t>肌营养不良症</w:t>
            </w:r>
          </w:p>
        </w:tc>
        <w:tc>
          <w:tcPr>
            <w:tcW w:w="1974" w:type="dxa"/>
          </w:tcPr>
          <w:p>
            <w:pPr>
              <w:pStyle w:val="TableParagraph"/>
              <w:spacing w:before="8"/>
              <w:rPr>
                <w:sz w:val="18"/>
              </w:rPr>
            </w:pPr>
            <w:r>
              <w:rPr>
                <w:sz w:val="18"/>
              </w:rPr>
              <w:t>胆道重建术</w:t>
            </w:r>
          </w:p>
        </w:tc>
        <w:tc>
          <w:tcPr>
            <w:tcW w:w="1508" w:type="dxa"/>
          </w:tcPr>
          <w:p>
            <w:pPr>
              <w:pStyle w:val="TableParagraph"/>
              <w:ind w:left="0"/>
              <w:rPr>
                <w:rFonts w:ascii="Times New Roman"/>
                <w:sz w:val="18"/>
              </w:rPr>
            </w:pPr>
          </w:p>
        </w:tc>
      </w:tr>
      <w:tr>
        <w:trPr>
          <w:trHeight w:val="313" w:hRule="atLeast"/>
        </w:trPr>
        <w:tc>
          <w:tcPr>
            <w:tcW w:w="2050" w:type="dxa"/>
          </w:tcPr>
          <w:p>
            <w:pPr>
              <w:pStyle w:val="TableParagraph"/>
              <w:ind w:left="0"/>
              <w:rPr>
                <w:rFonts w:ascii="Times New Roman"/>
                <w:sz w:val="18"/>
              </w:rPr>
            </w:pPr>
          </w:p>
        </w:tc>
        <w:tc>
          <w:tcPr>
            <w:tcW w:w="1973" w:type="dxa"/>
          </w:tcPr>
          <w:p>
            <w:pPr>
              <w:pStyle w:val="TableParagraph"/>
              <w:spacing w:before="10"/>
              <w:rPr>
                <w:sz w:val="18"/>
              </w:rPr>
            </w:pPr>
            <w:r>
              <w:rPr>
                <w:sz w:val="18"/>
              </w:rPr>
              <w:t>严重心肌炎</w:t>
            </w:r>
          </w:p>
        </w:tc>
        <w:tc>
          <w:tcPr>
            <w:tcW w:w="1431" w:type="dxa"/>
          </w:tcPr>
          <w:p>
            <w:pPr>
              <w:pStyle w:val="TableParagraph"/>
              <w:spacing w:before="10"/>
              <w:rPr>
                <w:sz w:val="18"/>
              </w:rPr>
            </w:pPr>
            <w:r>
              <w:rPr>
                <w:sz w:val="18"/>
              </w:rPr>
              <w:t>严重癫痫</w:t>
            </w:r>
          </w:p>
        </w:tc>
        <w:tc>
          <w:tcPr>
            <w:tcW w:w="1974" w:type="dxa"/>
          </w:tcPr>
          <w:p>
            <w:pPr>
              <w:pStyle w:val="TableParagraph"/>
              <w:spacing w:before="10"/>
              <w:rPr>
                <w:sz w:val="18"/>
              </w:rPr>
            </w:pPr>
            <w:r>
              <w:rPr>
                <w:sz w:val="18"/>
              </w:rPr>
              <w:t>范可尼综合征</w:t>
            </w:r>
          </w:p>
        </w:tc>
        <w:tc>
          <w:tcPr>
            <w:tcW w:w="1508" w:type="dxa"/>
          </w:tcPr>
          <w:p>
            <w:pPr>
              <w:pStyle w:val="TableParagraph"/>
              <w:ind w:left="0"/>
              <w:rPr>
                <w:rFonts w:ascii="Times New Roman"/>
                <w:sz w:val="18"/>
              </w:rPr>
            </w:pPr>
          </w:p>
        </w:tc>
      </w:tr>
      <w:tr>
        <w:trPr>
          <w:trHeight w:val="623" w:hRule="atLeast"/>
        </w:trPr>
        <w:tc>
          <w:tcPr>
            <w:tcW w:w="2050" w:type="dxa"/>
          </w:tcPr>
          <w:p>
            <w:pPr>
              <w:pStyle w:val="TableParagraph"/>
              <w:ind w:left="0"/>
              <w:rPr>
                <w:rFonts w:ascii="Times New Roman"/>
                <w:sz w:val="18"/>
              </w:rPr>
            </w:pPr>
          </w:p>
        </w:tc>
        <w:tc>
          <w:tcPr>
            <w:tcW w:w="1973" w:type="dxa"/>
          </w:tcPr>
          <w:p>
            <w:pPr>
              <w:pStyle w:val="TableParagraph"/>
              <w:spacing w:before="8"/>
              <w:rPr>
                <w:sz w:val="18"/>
              </w:rPr>
            </w:pPr>
            <w:r>
              <w:rPr>
                <w:sz w:val="18"/>
              </w:rPr>
              <w:t>严重的III 度房室传导</w:t>
            </w:r>
          </w:p>
          <w:p>
            <w:pPr>
              <w:pStyle w:val="TableParagraph"/>
              <w:spacing w:before="76"/>
              <w:rPr>
                <w:sz w:val="18"/>
              </w:rPr>
            </w:pPr>
            <w:r>
              <w:rPr>
                <w:sz w:val="18"/>
              </w:rPr>
              <w:t>阻滞</w:t>
            </w:r>
          </w:p>
        </w:tc>
        <w:tc>
          <w:tcPr>
            <w:tcW w:w="1431" w:type="dxa"/>
          </w:tcPr>
          <w:p>
            <w:pPr>
              <w:pStyle w:val="TableParagraph"/>
              <w:spacing w:before="8"/>
              <w:rPr>
                <w:sz w:val="18"/>
              </w:rPr>
            </w:pPr>
            <w:r>
              <w:rPr>
                <w:sz w:val="18"/>
              </w:rPr>
              <w:t>骨生长不全症</w:t>
            </w:r>
          </w:p>
        </w:tc>
        <w:tc>
          <w:tcPr>
            <w:tcW w:w="1974" w:type="dxa"/>
          </w:tcPr>
          <w:p>
            <w:pPr>
              <w:pStyle w:val="TableParagraph"/>
              <w:ind w:left="0"/>
              <w:rPr>
                <w:rFonts w:ascii="Times New Roman"/>
                <w:sz w:val="18"/>
              </w:rPr>
            </w:pPr>
          </w:p>
        </w:tc>
        <w:tc>
          <w:tcPr>
            <w:tcW w:w="1508" w:type="dxa"/>
          </w:tcPr>
          <w:p>
            <w:pPr>
              <w:pStyle w:val="TableParagraph"/>
              <w:ind w:left="0"/>
              <w:rPr>
                <w:rFonts w:ascii="Times New Roman"/>
                <w:sz w:val="18"/>
              </w:rPr>
            </w:pPr>
          </w:p>
        </w:tc>
      </w:tr>
      <w:tr>
        <w:trPr>
          <w:trHeight w:val="623" w:hRule="atLeast"/>
        </w:trPr>
        <w:tc>
          <w:tcPr>
            <w:tcW w:w="2050" w:type="dxa"/>
          </w:tcPr>
          <w:p>
            <w:pPr>
              <w:pStyle w:val="TableParagraph"/>
              <w:ind w:left="0"/>
              <w:rPr>
                <w:rFonts w:ascii="Times New Roman"/>
                <w:sz w:val="18"/>
              </w:rPr>
            </w:pPr>
          </w:p>
        </w:tc>
        <w:tc>
          <w:tcPr>
            <w:tcW w:w="1973" w:type="dxa"/>
          </w:tcPr>
          <w:p>
            <w:pPr>
              <w:pStyle w:val="TableParagraph"/>
              <w:spacing w:before="8"/>
              <w:rPr>
                <w:sz w:val="18"/>
              </w:rPr>
            </w:pPr>
            <w:r>
              <w:rPr>
                <w:sz w:val="18"/>
              </w:rPr>
              <w:t>主动脉夹层瘤</w:t>
            </w:r>
          </w:p>
        </w:tc>
        <w:tc>
          <w:tcPr>
            <w:tcW w:w="1431" w:type="dxa"/>
          </w:tcPr>
          <w:p>
            <w:pPr>
              <w:pStyle w:val="TableParagraph"/>
              <w:spacing w:before="8"/>
              <w:rPr>
                <w:sz w:val="18"/>
              </w:rPr>
            </w:pPr>
            <w:r>
              <w:rPr>
                <w:sz w:val="18"/>
              </w:rPr>
              <w:t>细菌性脑脊髓</w:t>
            </w:r>
          </w:p>
          <w:p>
            <w:pPr>
              <w:pStyle w:val="TableParagraph"/>
              <w:spacing w:before="76"/>
              <w:rPr>
                <w:sz w:val="18"/>
              </w:rPr>
            </w:pPr>
            <w:r>
              <w:rPr>
                <w:sz w:val="18"/>
              </w:rPr>
              <w:t>膜炎</w:t>
            </w:r>
          </w:p>
        </w:tc>
        <w:tc>
          <w:tcPr>
            <w:tcW w:w="1974" w:type="dxa"/>
          </w:tcPr>
          <w:p>
            <w:pPr>
              <w:pStyle w:val="TableParagraph"/>
              <w:ind w:left="0"/>
              <w:rPr>
                <w:rFonts w:ascii="Times New Roman"/>
                <w:sz w:val="18"/>
              </w:rPr>
            </w:pPr>
          </w:p>
        </w:tc>
        <w:tc>
          <w:tcPr>
            <w:tcW w:w="1508" w:type="dxa"/>
          </w:tcPr>
          <w:p>
            <w:pPr>
              <w:pStyle w:val="TableParagraph"/>
              <w:ind w:left="0"/>
              <w:rPr>
                <w:rFonts w:ascii="Times New Roman"/>
                <w:sz w:val="18"/>
              </w:rPr>
            </w:pPr>
          </w:p>
        </w:tc>
      </w:tr>
      <w:tr>
        <w:trPr>
          <w:trHeight w:val="623" w:hRule="atLeast"/>
        </w:trPr>
        <w:tc>
          <w:tcPr>
            <w:tcW w:w="2050" w:type="dxa"/>
          </w:tcPr>
          <w:p>
            <w:pPr>
              <w:pStyle w:val="TableParagraph"/>
              <w:ind w:left="0"/>
              <w:rPr>
                <w:rFonts w:ascii="Times New Roman"/>
                <w:sz w:val="18"/>
              </w:rPr>
            </w:pPr>
          </w:p>
        </w:tc>
        <w:tc>
          <w:tcPr>
            <w:tcW w:w="1973" w:type="dxa"/>
          </w:tcPr>
          <w:p>
            <w:pPr>
              <w:pStyle w:val="TableParagraph"/>
              <w:spacing w:before="8"/>
              <w:rPr>
                <w:sz w:val="18"/>
              </w:rPr>
            </w:pPr>
            <w:r>
              <w:rPr>
                <w:sz w:val="18"/>
              </w:rPr>
              <w:t>严重的原发性心肌病</w:t>
            </w:r>
          </w:p>
        </w:tc>
        <w:tc>
          <w:tcPr>
            <w:tcW w:w="1431" w:type="dxa"/>
          </w:tcPr>
          <w:p>
            <w:pPr>
              <w:pStyle w:val="TableParagraph"/>
              <w:spacing w:before="8"/>
              <w:rPr>
                <w:sz w:val="18"/>
              </w:rPr>
            </w:pPr>
            <w:r>
              <w:rPr>
                <w:sz w:val="18"/>
              </w:rPr>
              <w:t>肌萎缩性（脊</w:t>
            </w:r>
          </w:p>
          <w:p>
            <w:pPr>
              <w:pStyle w:val="TableParagraph"/>
              <w:spacing w:before="76"/>
              <w:rPr>
                <w:sz w:val="18"/>
              </w:rPr>
            </w:pPr>
            <w:r>
              <w:rPr>
                <w:sz w:val="18"/>
              </w:rPr>
              <w:t>髓）侧索硬化症</w:t>
            </w:r>
          </w:p>
        </w:tc>
        <w:tc>
          <w:tcPr>
            <w:tcW w:w="1974" w:type="dxa"/>
          </w:tcPr>
          <w:p>
            <w:pPr>
              <w:pStyle w:val="TableParagraph"/>
              <w:ind w:left="0"/>
              <w:rPr>
                <w:rFonts w:ascii="Times New Roman"/>
                <w:sz w:val="18"/>
              </w:rPr>
            </w:pPr>
          </w:p>
        </w:tc>
        <w:tc>
          <w:tcPr>
            <w:tcW w:w="1508" w:type="dxa"/>
          </w:tcPr>
          <w:p>
            <w:pPr>
              <w:pStyle w:val="TableParagraph"/>
              <w:ind w:left="0"/>
              <w:rPr>
                <w:rFonts w:ascii="Times New Roman"/>
                <w:sz w:val="18"/>
              </w:rPr>
            </w:pPr>
          </w:p>
        </w:tc>
      </w:tr>
      <w:tr>
        <w:trPr>
          <w:trHeight w:val="623" w:hRule="atLeast"/>
        </w:trPr>
        <w:tc>
          <w:tcPr>
            <w:tcW w:w="2050" w:type="dxa"/>
          </w:tcPr>
          <w:p>
            <w:pPr>
              <w:pStyle w:val="TableParagraph"/>
              <w:ind w:left="0"/>
              <w:rPr>
                <w:rFonts w:ascii="Times New Roman"/>
                <w:sz w:val="18"/>
              </w:rPr>
            </w:pPr>
          </w:p>
        </w:tc>
        <w:tc>
          <w:tcPr>
            <w:tcW w:w="1973" w:type="dxa"/>
          </w:tcPr>
          <w:p>
            <w:pPr>
              <w:pStyle w:val="TableParagraph"/>
              <w:ind w:left="0"/>
              <w:rPr>
                <w:rFonts w:ascii="Times New Roman"/>
                <w:sz w:val="18"/>
              </w:rPr>
            </w:pPr>
          </w:p>
        </w:tc>
        <w:tc>
          <w:tcPr>
            <w:tcW w:w="1431" w:type="dxa"/>
          </w:tcPr>
          <w:p>
            <w:pPr>
              <w:pStyle w:val="TableParagraph"/>
              <w:spacing w:before="8"/>
              <w:rPr>
                <w:sz w:val="18"/>
              </w:rPr>
            </w:pPr>
            <w:r>
              <w:rPr>
                <w:sz w:val="18"/>
              </w:rPr>
              <w:t>湿性年龄相关</w:t>
            </w:r>
          </w:p>
          <w:p>
            <w:pPr>
              <w:pStyle w:val="TableParagraph"/>
              <w:spacing w:before="76"/>
              <w:rPr>
                <w:sz w:val="18"/>
              </w:rPr>
            </w:pPr>
            <w:r>
              <w:rPr>
                <w:sz w:val="18"/>
              </w:rPr>
              <w:t>性黄斑变性</w:t>
            </w:r>
          </w:p>
        </w:tc>
        <w:tc>
          <w:tcPr>
            <w:tcW w:w="1974" w:type="dxa"/>
          </w:tcPr>
          <w:p>
            <w:pPr>
              <w:pStyle w:val="TableParagraph"/>
              <w:ind w:left="0"/>
              <w:rPr>
                <w:rFonts w:ascii="Times New Roman"/>
                <w:sz w:val="18"/>
              </w:rPr>
            </w:pPr>
          </w:p>
        </w:tc>
        <w:tc>
          <w:tcPr>
            <w:tcW w:w="1508" w:type="dxa"/>
          </w:tcPr>
          <w:p>
            <w:pPr>
              <w:pStyle w:val="TableParagraph"/>
              <w:ind w:left="0"/>
              <w:rPr>
                <w:rFonts w:ascii="Times New Roman"/>
                <w:sz w:val="18"/>
              </w:rPr>
            </w:pPr>
          </w:p>
        </w:tc>
      </w:tr>
      <w:tr>
        <w:trPr>
          <w:trHeight w:val="623" w:hRule="atLeast"/>
        </w:trPr>
        <w:tc>
          <w:tcPr>
            <w:tcW w:w="2050" w:type="dxa"/>
          </w:tcPr>
          <w:p>
            <w:pPr>
              <w:pStyle w:val="TableParagraph"/>
              <w:ind w:left="0"/>
              <w:rPr>
                <w:rFonts w:ascii="Times New Roman"/>
                <w:sz w:val="18"/>
              </w:rPr>
            </w:pPr>
          </w:p>
        </w:tc>
        <w:tc>
          <w:tcPr>
            <w:tcW w:w="1973" w:type="dxa"/>
          </w:tcPr>
          <w:p>
            <w:pPr>
              <w:pStyle w:val="TableParagraph"/>
              <w:ind w:left="0"/>
              <w:rPr>
                <w:rFonts w:ascii="Times New Roman"/>
                <w:sz w:val="18"/>
              </w:rPr>
            </w:pPr>
          </w:p>
        </w:tc>
        <w:tc>
          <w:tcPr>
            <w:tcW w:w="1431" w:type="dxa"/>
          </w:tcPr>
          <w:p>
            <w:pPr>
              <w:pStyle w:val="TableParagraph"/>
              <w:spacing w:before="8"/>
              <w:rPr>
                <w:sz w:val="18"/>
              </w:rPr>
            </w:pPr>
            <w:r>
              <w:rPr>
                <w:sz w:val="18"/>
              </w:rPr>
              <w:t>进行性多灶性</w:t>
            </w:r>
          </w:p>
          <w:p>
            <w:pPr>
              <w:pStyle w:val="TableParagraph"/>
              <w:spacing w:before="76"/>
              <w:rPr>
                <w:sz w:val="18"/>
              </w:rPr>
            </w:pPr>
            <w:r>
              <w:rPr>
                <w:sz w:val="18"/>
              </w:rPr>
              <w:t>白质脑病</w:t>
            </w:r>
          </w:p>
        </w:tc>
        <w:tc>
          <w:tcPr>
            <w:tcW w:w="1974" w:type="dxa"/>
          </w:tcPr>
          <w:p>
            <w:pPr>
              <w:pStyle w:val="TableParagraph"/>
              <w:ind w:left="0"/>
              <w:rPr>
                <w:rFonts w:ascii="Times New Roman"/>
                <w:sz w:val="18"/>
              </w:rPr>
            </w:pPr>
          </w:p>
        </w:tc>
        <w:tc>
          <w:tcPr>
            <w:tcW w:w="1508" w:type="dxa"/>
          </w:tcPr>
          <w:p>
            <w:pPr>
              <w:pStyle w:val="TableParagraph"/>
              <w:ind w:left="0"/>
              <w:rPr>
                <w:rFonts w:ascii="Times New Roman"/>
                <w:sz w:val="18"/>
              </w:rPr>
            </w:pPr>
          </w:p>
        </w:tc>
      </w:tr>
      <w:tr>
        <w:trPr>
          <w:trHeight w:val="626" w:hRule="atLeast"/>
        </w:trPr>
        <w:tc>
          <w:tcPr>
            <w:tcW w:w="2050" w:type="dxa"/>
          </w:tcPr>
          <w:p>
            <w:pPr>
              <w:pStyle w:val="TableParagraph"/>
              <w:ind w:left="0"/>
              <w:rPr>
                <w:rFonts w:ascii="Times New Roman"/>
                <w:sz w:val="18"/>
              </w:rPr>
            </w:pPr>
          </w:p>
        </w:tc>
        <w:tc>
          <w:tcPr>
            <w:tcW w:w="1973" w:type="dxa"/>
          </w:tcPr>
          <w:p>
            <w:pPr>
              <w:pStyle w:val="TableParagraph"/>
              <w:ind w:left="0"/>
              <w:rPr>
                <w:rFonts w:ascii="Times New Roman"/>
                <w:sz w:val="18"/>
              </w:rPr>
            </w:pPr>
          </w:p>
        </w:tc>
        <w:tc>
          <w:tcPr>
            <w:tcW w:w="1431" w:type="dxa"/>
          </w:tcPr>
          <w:p>
            <w:pPr>
              <w:pStyle w:val="TableParagraph"/>
              <w:spacing w:before="11"/>
              <w:rPr>
                <w:sz w:val="18"/>
              </w:rPr>
            </w:pPr>
            <w:r>
              <w:rPr>
                <w:sz w:val="18"/>
              </w:rPr>
              <w:t>肾上腺脑白质</w:t>
            </w:r>
          </w:p>
          <w:p>
            <w:pPr>
              <w:pStyle w:val="TableParagraph"/>
              <w:spacing w:before="76"/>
              <w:rPr>
                <w:sz w:val="18"/>
              </w:rPr>
            </w:pPr>
            <w:r>
              <w:rPr>
                <w:sz w:val="18"/>
              </w:rPr>
              <w:t>营养不良</w:t>
            </w:r>
          </w:p>
        </w:tc>
        <w:tc>
          <w:tcPr>
            <w:tcW w:w="1974" w:type="dxa"/>
          </w:tcPr>
          <w:p>
            <w:pPr>
              <w:pStyle w:val="TableParagraph"/>
              <w:ind w:left="0"/>
              <w:rPr>
                <w:rFonts w:ascii="Times New Roman"/>
                <w:sz w:val="18"/>
              </w:rPr>
            </w:pPr>
          </w:p>
        </w:tc>
        <w:tc>
          <w:tcPr>
            <w:tcW w:w="1508" w:type="dxa"/>
          </w:tcPr>
          <w:p>
            <w:pPr>
              <w:pStyle w:val="TableParagraph"/>
              <w:ind w:left="0"/>
              <w:rPr>
                <w:rFonts w:ascii="Times New Roman"/>
                <w:sz w:val="18"/>
              </w:rPr>
            </w:pPr>
          </w:p>
        </w:tc>
      </w:tr>
      <w:tr>
        <w:trPr>
          <w:trHeight w:val="623" w:hRule="atLeast"/>
        </w:trPr>
        <w:tc>
          <w:tcPr>
            <w:tcW w:w="2050" w:type="dxa"/>
          </w:tcPr>
          <w:p>
            <w:pPr>
              <w:pStyle w:val="TableParagraph"/>
              <w:ind w:left="0"/>
              <w:rPr>
                <w:rFonts w:ascii="Times New Roman"/>
                <w:sz w:val="18"/>
              </w:rPr>
            </w:pPr>
          </w:p>
        </w:tc>
        <w:tc>
          <w:tcPr>
            <w:tcW w:w="1973" w:type="dxa"/>
          </w:tcPr>
          <w:p>
            <w:pPr>
              <w:pStyle w:val="TableParagraph"/>
              <w:ind w:left="0"/>
              <w:rPr>
                <w:rFonts w:ascii="Times New Roman"/>
                <w:sz w:val="18"/>
              </w:rPr>
            </w:pPr>
          </w:p>
        </w:tc>
        <w:tc>
          <w:tcPr>
            <w:tcW w:w="1431" w:type="dxa"/>
          </w:tcPr>
          <w:p>
            <w:pPr>
              <w:pStyle w:val="TableParagraph"/>
              <w:spacing w:before="8"/>
              <w:rPr>
                <w:sz w:val="18"/>
              </w:rPr>
            </w:pPr>
            <w:r>
              <w:rPr>
                <w:sz w:val="18"/>
              </w:rPr>
              <w:t>婴儿进行性脊</w:t>
            </w:r>
          </w:p>
          <w:p>
            <w:pPr>
              <w:pStyle w:val="TableParagraph"/>
              <w:spacing w:before="76"/>
              <w:rPr>
                <w:sz w:val="18"/>
              </w:rPr>
            </w:pPr>
            <w:r>
              <w:rPr>
                <w:sz w:val="18"/>
              </w:rPr>
              <w:t>肌萎缩症</w:t>
            </w:r>
          </w:p>
        </w:tc>
        <w:tc>
          <w:tcPr>
            <w:tcW w:w="1974" w:type="dxa"/>
          </w:tcPr>
          <w:p>
            <w:pPr>
              <w:pStyle w:val="TableParagraph"/>
              <w:ind w:left="0"/>
              <w:rPr>
                <w:rFonts w:ascii="Times New Roman"/>
                <w:sz w:val="18"/>
              </w:rPr>
            </w:pPr>
          </w:p>
        </w:tc>
        <w:tc>
          <w:tcPr>
            <w:tcW w:w="1508" w:type="dxa"/>
          </w:tcPr>
          <w:p>
            <w:pPr>
              <w:pStyle w:val="TableParagraph"/>
              <w:ind w:left="0"/>
              <w:rPr>
                <w:rFonts w:ascii="Times New Roman"/>
                <w:sz w:val="18"/>
              </w:rPr>
            </w:pPr>
          </w:p>
        </w:tc>
      </w:tr>
      <w:tr>
        <w:trPr>
          <w:trHeight w:val="311" w:hRule="atLeast"/>
        </w:trPr>
        <w:tc>
          <w:tcPr>
            <w:tcW w:w="2050" w:type="dxa"/>
          </w:tcPr>
          <w:p>
            <w:pPr>
              <w:pStyle w:val="TableParagraph"/>
              <w:ind w:left="0"/>
              <w:rPr>
                <w:rFonts w:ascii="Times New Roman"/>
                <w:sz w:val="18"/>
              </w:rPr>
            </w:pPr>
          </w:p>
        </w:tc>
        <w:tc>
          <w:tcPr>
            <w:tcW w:w="1973" w:type="dxa"/>
          </w:tcPr>
          <w:p>
            <w:pPr>
              <w:pStyle w:val="TableParagraph"/>
              <w:ind w:left="0"/>
              <w:rPr>
                <w:rFonts w:ascii="Times New Roman"/>
                <w:sz w:val="18"/>
              </w:rPr>
            </w:pPr>
          </w:p>
        </w:tc>
        <w:tc>
          <w:tcPr>
            <w:tcW w:w="1431" w:type="dxa"/>
          </w:tcPr>
          <w:p>
            <w:pPr>
              <w:pStyle w:val="TableParagraph"/>
              <w:spacing w:before="8"/>
              <w:rPr>
                <w:sz w:val="18"/>
              </w:rPr>
            </w:pPr>
            <w:r>
              <w:rPr>
                <w:sz w:val="18"/>
              </w:rPr>
              <w:t>脊柱裂</w:t>
            </w:r>
          </w:p>
        </w:tc>
        <w:tc>
          <w:tcPr>
            <w:tcW w:w="1974" w:type="dxa"/>
          </w:tcPr>
          <w:p>
            <w:pPr>
              <w:pStyle w:val="TableParagraph"/>
              <w:ind w:left="0"/>
              <w:rPr>
                <w:rFonts w:ascii="Times New Roman"/>
                <w:sz w:val="18"/>
              </w:rPr>
            </w:pPr>
          </w:p>
        </w:tc>
        <w:tc>
          <w:tcPr>
            <w:tcW w:w="1508" w:type="dxa"/>
          </w:tcPr>
          <w:p>
            <w:pPr>
              <w:pStyle w:val="TableParagraph"/>
              <w:ind w:left="0"/>
              <w:rPr>
                <w:rFonts w:ascii="Times New Roman"/>
                <w:sz w:val="18"/>
              </w:rPr>
            </w:pPr>
          </w:p>
        </w:tc>
      </w:tr>
      <w:tr>
        <w:trPr>
          <w:trHeight w:val="623" w:hRule="atLeast"/>
        </w:trPr>
        <w:tc>
          <w:tcPr>
            <w:tcW w:w="2050" w:type="dxa"/>
          </w:tcPr>
          <w:p>
            <w:pPr>
              <w:pStyle w:val="TableParagraph"/>
              <w:ind w:left="0"/>
              <w:rPr>
                <w:rFonts w:ascii="Times New Roman"/>
                <w:sz w:val="18"/>
              </w:rPr>
            </w:pPr>
          </w:p>
        </w:tc>
        <w:tc>
          <w:tcPr>
            <w:tcW w:w="1973" w:type="dxa"/>
          </w:tcPr>
          <w:p>
            <w:pPr>
              <w:pStyle w:val="TableParagraph"/>
              <w:ind w:left="0"/>
              <w:rPr>
                <w:rFonts w:ascii="Times New Roman"/>
                <w:sz w:val="18"/>
              </w:rPr>
            </w:pPr>
          </w:p>
        </w:tc>
        <w:tc>
          <w:tcPr>
            <w:tcW w:w="1431" w:type="dxa"/>
          </w:tcPr>
          <w:p>
            <w:pPr>
              <w:pStyle w:val="TableParagraph"/>
              <w:spacing w:before="8"/>
              <w:rPr>
                <w:sz w:val="18"/>
              </w:rPr>
            </w:pPr>
            <w:r>
              <w:rPr>
                <w:sz w:val="18"/>
              </w:rPr>
              <w:t>脊髓小脑变性</w:t>
            </w:r>
          </w:p>
          <w:p>
            <w:pPr>
              <w:pStyle w:val="TableParagraph"/>
              <w:spacing w:before="76"/>
              <w:rPr>
                <w:sz w:val="18"/>
              </w:rPr>
            </w:pPr>
            <w:r>
              <w:rPr>
                <w:sz w:val="18"/>
              </w:rPr>
              <w:t>症</w:t>
            </w:r>
          </w:p>
        </w:tc>
        <w:tc>
          <w:tcPr>
            <w:tcW w:w="1974" w:type="dxa"/>
          </w:tcPr>
          <w:p>
            <w:pPr>
              <w:pStyle w:val="TableParagraph"/>
              <w:ind w:left="0"/>
              <w:rPr>
                <w:rFonts w:ascii="Times New Roman"/>
                <w:sz w:val="18"/>
              </w:rPr>
            </w:pPr>
          </w:p>
        </w:tc>
        <w:tc>
          <w:tcPr>
            <w:tcW w:w="1508" w:type="dxa"/>
          </w:tcPr>
          <w:p>
            <w:pPr>
              <w:pStyle w:val="TableParagraph"/>
              <w:ind w:left="0"/>
              <w:rPr>
                <w:rFonts w:ascii="Times New Roman"/>
                <w:sz w:val="18"/>
              </w:rPr>
            </w:pPr>
          </w:p>
        </w:tc>
      </w:tr>
      <w:tr>
        <w:trPr>
          <w:trHeight w:val="623" w:hRule="atLeast"/>
        </w:trPr>
        <w:tc>
          <w:tcPr>
            <w:tcW w:w="2050" w:type="dxa"/>
          </w:tcPr>
          <w:p>
            <w:pPr>
              <w:pStyle w:val="TableParagraph"/>
              <w:ind w:left="0"/>
              <w:rPr>
                <w:rFonts w:ascii="Times New Roman"/>
                <w:sz w:val="18"/>
              </w:rPr>
            </w:pPr>
          </w:p>
        </w:tc>
        <w:tc>
          <w:tcPr>
            <w:tcW w:w="1973" w:type="dxa"/>
          </w:tcPr>
          <w:p>
            <w:pPr>
              <w:pStyle w:val="TableParagraph"/>
              <w:ind w:left="0"/>
              <w:rPr>
                <w:rFonts w:ascii="Times New Roman"/>
                <w:sz w:val="18"/>
              </w:rPr>
            </w:pPr>
          </w:p>
        </w:tc>
        <w:tc>
          <w:tcPr>
            <w:tcW w:w="1431" w:type="dxa"/>
          </w:tcPr>
          <w:p>
            <w:pPr>
              <w:pStyle w:val="TableParagraph"/>
              <w:spacing w:before="8"/>
              <w:rPr>
                <w:sz w:val="18"/>
              </w:rPr>
            </w:pPr>
            <w:r>
              <w:rPr>
                <w:sz w:val="18"/>
              </w:rPr>
              <w:t>永久性脑脊液</w:t>
            </w:r>
          </w:p>
          <w:p>
            <w:pPr>
              <w:pStyle w:val="TableParagraph"/>
              <w:spacing w:before="76"/>
              <w:rPr>
                <w:sz w:val="18"/>
              </w:rPr>
            </w:pPr>
            <w:r>
              <w:rPr>
                <w:sz w:val="18"/>
              </w:rPr>
              <w:t>分流术</w:t>
            </w:r>
          </w:p>
        </w:tc>
        <w:tc>
          <w:tcPr>
            <w:tcW w:w="1974" w:type="dxa"/>
          </w:tcPr>
          <w:p>
            <w:pPr>
              <w:pStyle w:val="TableParagraph"/>
              <w:ind w:left="0"/>
              <w:rPr>
                <w:rFonts w:ascii="Times New Roman"/>
                <w:sz w:val="18"/>
              </w:rPr>
            </w:pPr>
          </w:p>
        </w:tc>
        <w:tc>
          <w:tcPr>
            <w:tcW w:w="1508" w:type="dxa"/>
          </w:tcPr>
          <w:p>
            <w:pPr>
              <w:pStyle w:val="TableParagraph"/>
              <w:ind w:left="0"/>
              <w:rPr>
                <w:rFonts w:ascii="Times New Roman"/>
                <w:sz w:val="18"/>
              </w:rPr>
            </w:pPr>
          </w:p>
        </w:tc>
      </w:tr>
    </w:tbl>
    <w:p>
      <w:pPr>
        <w:pStyle w:val="ListParagraph"/>
        <w:numPr>
          <w:ilvl w:val="1"/>
          <w:numId w:val="67"/>
        </w:numPr>
        <w:tabs>
          <w:tab w:pos="819" w:val="left" w:leader="none"/>
        </w:tabs>
        <w:spacing w:line="264" w:lineRule="auto" w:before="0" w:after="0"/>
        <w:ind w:left="2237" w:right="116" w:hanging="2132"/>
        <w:jc w:val="both"/>
        <w:rPr>
          <w:sz w:val="21"/>
        </w:rPr>
      </w:pPr>
      <w:r>
        <w:rPr>
          <w:b/>
          <w:spacing w:val="7"/>
          <w:position w:val="-2"/>
          <w:sz w:val="21"/>
        </w:rPr>
        <w:t>医院        </w:t>
      </w:r>
      <w:r>
        <w:rPr>
          <w:spacing w:val="-5"/>
          <w:sz w:val="21"/>
        </w:rPr>
        <w:t>指经国家卫生部门审核的二级或二级以上的综合性医院和专科医院，</w:t>
      </w:r>
      <w:r>
        <w:rPr>
          <w:rFonts w:ascii="黑体" w:eastAsia="黑体" w:hint="eastAsia"/>
          <w:spacing w:val="-3"/>
          <w:sz w:val="21"/>
        </w:rPr>
        <w:t>但不包括作为</w:t>
      </w:r>
      <w:r>
        <w:rPr>
          <w:rFonts w:ascii="黑体" w:eastAsia="黑体" w:hint="eastAsia"/>
          <w:spacing w:val="-7"/>
          <w:sz w:val="21"/>
        </w:rPr>
        <w:t>诊所、康复、联合病房、家庭病床、护理、修养或戒酒、戒毒等医疗机构。</w:t>
      </w:r>
      <w:r>
        <w:rPr>
          <w:sz w:val="21"/>
        </w:rPr>
        <w:t>该医院</w:t>
      </w:r>
      <w:r>
        <w:rPr>
          <w:spacing w:val="-3"/>
          <w:sz w:val="21"/>
        </w:rPr>
        <w:t>必须具有系统的、充分的诊断设备，全套外科手术设备并提供 </w:t>
      </w:r>
      <w:r>
        <w:rPr>
          <w:sz w:val="21"/>
        </w:rPr>
        <w:t>24</w:t>
      </w:r>
      <w:r>
        <w:rPr>
          <w:spacing w:val="-3"/>
          <w:sz w:val="21"/>
        </w:rPr>
        <w:t> 小时的医疗与护理服务。</w:t>
      </w:r>
    </w:p>
    <w:p>
      <w:pPr>
        <w:pStyle w:val="BodyText"/>
        <w:spacing w:before="12"/>
        <w:rPr>
          <w:sz w:val="13"/>
        </w:rPr>
      </w:pPr>
    </w:p>
    <w:p>
      <w:pPr>
        <w:pStyle w:val="ListParagraph"/>
        <w:numPr>
          <w:ilvl w:val="1"/>
          <w:numId w:val="67"/>
        </w:numPr>
        <w:tabs>
          <w:tab w:pos="818" w:val="left" w:leader="none"/>
          <w:tab w:pos="819" w:val="left" w:leader="none"/>
          <w:tab w:pos="2237" w:val="left" w:leader="none"/>
        </w:tabs>
        <w:spacing w:line="240" w:lineRule="auto" w:before="0" w:after="0"/>
        <w:ind w:left="2237" w:right="0" w:hanging="2132"/>
        <w:jc w:val="left"/>
        <w:rPr>
          <w:sz w:val="21"/>
        </w:rPr>
      </w:pPr>
      <w:r>
        <w:rPr>
          <w:b/>
          <w:w w:val="100"/>
          <w:sz w:val="21"/>
        </w:rPr>
        <w:t>专科医生</w:t>
      </w:r>
      <w:r>
        <w:rPr>
          <w:b/>
          <w:sz w:val="21"/>
        </w:rPr>
        <w:tab/>
      </w:r>
      <w:r>
        <w:rPr>
          <w:w w:val="100"/>
          <w:sz w:val="21"/>
        </w:rPr>
        <w:t>专科</w:t>
      </w:r>
      <w:r>
        <w:rPr>
          <w:spacing w:val="-3"/>
          <w:w w:val="100"/>
          <w:sz w:val="21"/>
        </w:rPr>
        <w:t>医</w:t>
      </w:r>
      <w:r>
        <w:rPr>
          <w:w w:val="100"/>
          <w:sz w:val="21"/>
        </w:rPr>
        <w:t>生</w:t>
      </w:r>
      <w:r>
        <w:rPr>
          <w:spacing w:val="-3"/>
          <w:w w:val="100"/>
          <w:sz w:val="21"/>
        </w:rPr>
        <w:t>应</w:t>
      </w:r>
      <w:r>
        <w:rPr>
          <w:w w:val="100"/>
          <w:sz w:val="21"/>
        </w:rPr>
        <w:t>当</w:t>
      </w:r>
      <w:r>
        <w:rPr>
          <w:spacing w:val="-3"/>
          <w:w w:val="100"/>
          <w:sz w:val="21"/>
        </w:rPr>
        <w:t>同</w:t>
      </w:r>
      <w:r>
        <w:rPr>
          <w:w w:val="100"/>
          <w:sz w:val="21"/>
        </w:rPr>
        <w:t>时</w:t>
      </w:r>
      <w:r>
        <w:rPr>
          <w:spacing w:val="-3"/>
          <w:w w:val="100"/>
          <w:sz w:val="21"/>
        </w:rPr>
        <w:t>满</w:t>
      </w:r>
      <w:r>
        <w:rPr>
          <w:w w:val="100"/>
          <w:sz w:val="21"/>
        </w:rPr>
        <w:t>足</w:t>
      </w:r>
      <w:r>
        <w:rPr>
          <w:spacing w:val="-3"/>
          <w:w w:val="100"/>
          <w:sz w:val="21"/>
        </w:rPr>
        <w:t>以</w:t>
      </w:r>
      <w:r>
        <w:rPr>
          <w:w w:val="100"/>
          <w:sz w:val="21"/>
        </w:rPr>
        <w:t>下四</w:t>
      </w:r>
      <w:r>
        <w:rPr>
          <w:spacing w:val="-3"/>
          <w:w w:val="100"/>
          <w:sz w:val="21"/>
        </w:rPr>
        <w:t>项</w:t>
      </w:r>
      <w:r>
        <w:rPr>
          <w:w w:val="100"/>
          <w:sz w:val="21"/>
        </w:rPr>
        <w:t>资</w:t>
      </w:r>
      <w:r>
        <w:rPr>
          <w:spacing w:val="-3"/>
          <w:w w:val="100"/>
          <w:sz w:val="21"/>
        </w:rPr>
        <w:t>格</w:t>
      </w:r>
      <w:r>
        <w:rPr>
          <w:w w:val="100"/>
          <w:sz w:val="21"/>
        </w:rPr>
        <w:t>条</w:t>
      </w:r>
      <w:r>
        <w:rPr>
          <w:spacing w:val="-3"/>
          <w:w w:val="100"/>
          <w:sz w:val="21"/>
        </w:rPr>
        <w:t>件</w:t>
      </w:r>
      <w:r>
        <w:rPr>
          <w:spacing w:val="-118"/>
          <w:w w:val="100"/>
          <w:sz w:val="21"/>
        </w:rPr>
        <w:t>：</w:t>
      </w:r>
      <w:r>
        <w:rPr>
          <w:w w:val="100"/>
          <w:sz w:val="21"/>
        </w:rPr>
        <w:t>（</w:t>
      </w:r>
      <w:r>
        <w:rPr>
          <w:spacing w:val="-3"/>
          <w:w w:val="100"/>
          <w:sz w:val="21"/>
        </w:rPr>
        <w:t>1</w:t>
      </w:r>
      <w:r>
        <w:rPr>
          <w:spacing w:val="-13"/>
          <w:w w:val="100"/>
          <w:sz w:val="21"/>
        </w:rPr>
        <w:t>）</w:t>
      </w:r>
      <w:r>
        <w:rPr>
          <w:spacing w:val="-3"/>
          <w:w w:val="100"/>
          <w:sz w:val="21"/>
        </w:rPr>
        <w:t>具</w:t>
      </w:r>
      <w:r>
        <w:rPr>
          <w:w w:val="100"/>
          <w:sz w:val="21"/>
        </w:rPr>
        <w:t>有有</w:t>
      </w:r>
      <w:r>
        <w:rPr>
          <w:spacing w:val="-3"/>
          <w:w w:val="100"/>
          <w:sz w:val="21"/>
        </w:rPr>
        <w:t>效</w:t>
      </w:r>
      <w:r>
        <w:rPr>
          <w:w w:val="100"/>
          <w:sz w:val="21"/>
        </w:rPr>
        <w:t>的</w:t>
      </w:r>
      <w:r>
        <w:rPr>
          <w:spacing w:val="-3"/>
          <w:w w:val="100"/>
          <w:sz w:val="21"/>
        </w:rPr>
        <w:t>中</w:t>
      </w:r>
      <w:r>
        <w:rPr>
          <w:w w:val="100"/>
          <w:sz w:val="21"/>
        </w:rPr>
        <w:t>华</w:t>
      </w:r>
      <w:r>
        <w:rPr>
          <w:spacing w:val="-3"/>
          <w:w w:val="100"/>
          <w:sz w:val="21"/>
        </w:rPr>
        <w:t>人</w:t>
      </w:r>
      <w:r>
        <w:rPr>
          <w:w w:val="100"/>
          <w:sz w:val="21"/>
        </w:rPr>
        <w:t>民</w:t>
      </w:r>
      <w:r>
        <w:rPr>
          <w:spacing w:val="-3"/>
          <w:w w:val="100"/>
          <w:sz w:val="21"/>
        </w:rPr>
        <w:t>共</w:t>
      </w:r>
      <w:r>
        <w:rPr>
          <w:w w:val="100"/>
          <w:sz w:val="21"/>
        </w:rPr>
        <w:t>和</w:t>
      </w:r>
      <w:r>
        <w:rPr>
          <w:spacing w:val="-15"/>
          <w:w w:val="100"/>
          <w:sz w:val="21"/>
        </w:rPr>
        <w:t>国</w:t>
      </w:r>
      <w:r>
        <w:rPr>
          <w:w w:val="100"/>
          <w:sz w:val="21"/>
        </w:rPr>
        <w:t>《</w:t>
      </w:r>
      <w:r>
        <w:rPr>
          <w:spacing w:val="-3"/>
          <w:w w:val="100"/>
          <w:sz w:val="21"/>
        </w:rPr>
        <w:t>医</w:t>
      </w:r>
      <w:r>
        <w:rPr>
          <w:w w:val="100"/>
          <w:sz w:val="21"/>
        </w:rPr>
        <w:t>师</w:t>
      </w:r>
    </w:p>
    <w:p>
      <w:pPr>
        <w:spacing w:after="0" w:line="240" w:lineRule="auto"/>
        <w:jc w:val="left"/>
        <w:rPr>
          <w:sz w:val="21"/>
        </w:rPr>
        <w:sectPr>
          <w:pgSz w:w="11910" w:h="16840"/>
          <w:pgMar w:header="0" w:footer="377" w:top="1280" w:bottom="640" w:left="1020" w:right="1000"/>
        </w:sectPr>
      </w:pPr>
    </w:p>
    <w:p>
      <w:pPr>
        <w:pStyle w:val="BodyText"/>
        <w:spacing w:line="273" w:lineRule="auto" w:before="10"/>
        <w:ind w:left="2237" w:right="116"/>
        <w:jc w:val="both"/>
      </w:pPr>
      <w:r>
        <w:rPr>
          <w:spacing w:val="-38"/>
          <w:w w:val="100"/>
        </w:rPr>
        <w:t>资格证书》；</w:t>
      </w:r>
      <w:r>
        <w:rPr>
          <w:w w:val="100"/>
        </w:rPr>
        <w:t>（2</w:t>
      </w:r>
      <w:r>
        <w:rPr>
          <w:spacing w:val="-13"/>
          <w:w w:val="100"/>
        </w:rPr>
        <w:t>）</w:t>
      </w:r>
      <w:r>
        <w:rPr>
          <w:spacing w:val="-11"/>
          <w:w w:val="100"/>
        </w:rPr>
        <w:t>具有有效的中华人民共和国《医师执业证书》，并按期到相关部门</w:t>
      </w:r>
      <w:r>
        <w:rPr>
          <w:spacing w:val="-30"/>
          <w:w w:val="100"/>
        </w:rPr>
        <w:t>登记注册；</w:t>
      </w:r>
      <w:r>
        <w:rPr>
          <w:w w:val="100"/>
        </w:rPr>
        <w:t>（3</w:t>
      </w:r>
      <w:r>
        <w:rPr>
          <w:spacing w:val="-15"/>
          <w:w w:val="100"/>
        </w:rPr>
        <w:t>）</w:t>
      </w:r>
      <w:r>
        <w:rPr>
          <w:spacing w:val="-4"/>
          <w:w w:val="100"/>
        </w:rPr>
        <w:t>具有有效的中华人民共和国主治医师或主治医师以上职称的《医师</w:t>
      </w:r>
      <w:r>
        <w:rPr>
          <w:spacing w:val="-38"/>
          <w:w w:val="100"/>
        </w:rPr>
        <w:t>职称证书》；</w:t>
      </w:r>
      <w:r>
        <w:rPr>
          <w:w w:val="100"/>
        </w:rPr>
        <w:t>（</w:t>
      </w:r>
      <w:r>
        <w:rPr>
          <w:spacing w:val="-3"/>
          <w:w w:val="100"/>
        </w:rPr>
        <w:t>4</w:t>
      </w:r>
      <w:r>
        <w:rPr>
          <w:w w:val="100"/>
        </w:rPr>
        <w:t>）</w:t>
      </w:r>
      <w:r>
        <w:rPr>
          <w:spacing w:val="-3"/>
          <w:w w:val="100"/>
        </w:rPr>
        <w:t>在二级或二级以上医院的相应科室从事临床工作三年以上。</w:t>
      </w:r>
    </w:p>
    <w:p>
      <w:pPr>
        <w:pStyle w:val="ListParagraph"/>
        <w:numPr>
          <w:ilvl w:val="1"/>
          <w:numId w:val="67"/>
        </w:numPr>
        <w:tabs>
          <w:tab w:pos="819" w:val="left" w:leader="none"/>
        </w:tabs>
        <w:spacing w:line="273" w:lineRule="auto" w:before="163" w:after="0"/>
        <w:ind w:left="2237" w:right="117" w:hanging="2132"/>
        <w:jc w:val="both"/>
        <w:rPr>
          <w:sz w:val="21"/>
        </w:rPr>
      </w:pPr>
      <w:r>
        <w:rPr>
          <w:b/>
          <w:spacing w:val="10"/>
          <w:sz w:val="21"/>
        </w:rPr>
        <w:t>初次罹患    </w:t>
      </w:r>
      <w:r>
        <w:rPr>
          <w:spacing w:val="-5"/>
          <w:sz w:val="21"/>
        </w:rPr>
        <w:t>指被保险人在等待期后初次患有本合同所指的重大疾病，不包括被保险人在本合同生效前所患或出现的疾病（或其并发症</w:t>
      </w:r>
      <w:r>
        <w:rPr>
          <w:spacing w:val="-106"/>
          <w:sz w:val="21"/>
        </w:rPr>
        <w:t>）</w:t>
      </w:r>
      <w:r>
        <w:rPr>
          <w:sz w:val="21"/>
        </w:rPr>
        <w:t>、症状、体征、生理缺陷、残疾，但本公</w:t>
      </w:r>
      <w:r>
        <w:rPr>
          <w:spacing w:val="-3"/>
          <w:sz w:val="21"/>
        </w:rPr>
        <w:t>司在同意承保时或复效时已知晓并书面认可的不在此限。</w:t>
      </w:r>
    </w:p>
    <w:p>
      <w:pPr>
        <w:pStyle w:val="BodyText"/>
        <w:spacing w:before="9"/>
        <w:rPr>
          <w:sz w:val="9"/>
        </w:rPr>
      </w:pPr>
    </w:p>
    <w:p>
      <w:pPr>
        <w:pStyle w:val="Heading1"/>
        <w:numPr>
          <w:ilvl w:val="1"/>
          <w:numId w:val="67"/>
        </w:numPr>
        <w:tabs>
          <w:tab w:pos="818" w:val="left" w:leader="none"/>
          <w:tab w:pos="819" w:val="left" w:leader="none"/>
        </w:tabs>
        <w:spacing w:line="273" w:lineRule="auto" w:before="36" w:after="0"/>
        <w:ind w:left="818" w:right="8009" w:hanging="713"/>
        <w:jc w:val="left"/>
      </w:pPr>
      <w:r>
        <w:rPr/>
        <w:t>轻症疾病分组表</w:t>
      </w:r>
    </w:p>
    <w:p>
      <w:pPr>
        <w:spacing w:before="7"/>
        <w:ind w:left="4534" w:right="3840" w:firstLine="0"/>
        <w:jc w:val="center"/>
        <w:rPr>
          <w:b/>
          <w:sz w:val="21"/>
        </w:rPr>
      </w:pPr>
      <w:r>
        <w:rPr>
          <w:b/>
          <w:sz w:val="21"/>
        </w:rPr>
        <w:t>轻症疾病分组表</w:t>
      </w:r>
    </w:p>
    <w:p>
      <w:pPr>
        <w:pStyle w:val="BodyText"/>
        <w:spacing w:before="9"/>
        <w:rPr>
          <w:b/>
          <w:sz w:val="15"/>
        </w:rPr>
      </w:pPr>
    </w:p>
    <w:tbl>
      <w:tblPr>
        <w:tblW w:w="0" w:type="auto"/>
        <w:jc w:val="left"/>
        <w:tblInd w:w="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9"/>
        <w:gridCol w:w="2041"/>
        <w:gridCol w:w="2139"/>
        <w:gridCol w:w="1455"/>
        <w:gridCol w:w="1651"/>
      </w:tblGrid>
      <w:tr>
        <w:trPr>
          <w:trHeight w:val="312" w:hRule="atLeast"/>
        </w:trPr>
        <w:tc>
          <w:tcPr>
            <w:tcW w:w="1649" w:type="dxa"/>
          </w:tcPr>
          <w:p>
            <w:pPr>
              <w:pStyle w:val="TableParagraph"/>
              <w:spacing w:before="8"/>
              <w:ind w:left="282"/>
              <w:rPr>
                <w:sz w:val="18"/>
              </w:rPr>
            </w:pPr>
            <w:r>
              <w:rPr>
                <w:sz w:val="18"/>
              </w:rPr>
              <w:t>A 组 （3 种）</w:t>
            </w:r>
          </w:p>
        </w:tc>
        <w:tc>
          <w:tcPr>
            <w:tcW w:w="2041" w:type="dxa"/>
          </w:tcPr>
          <w:p>
            <w:pPr>
              <w:pStyle w:val="TableParagraph"/>
              <w:spacing w:before="8"/>
              <w:ind w:left="434"/>
              <w:rPr>
                <w:sz w:val="18"/>
              </w:rPr>
            </w:pPr>
            <w:r>
              <w:rPr>
                <w:sz w:val="18"/>
              </w:rPr>
              <w:t>B 组 （13 种）</w:t>
            </w:r>
          </w:p>
        </w:tc>
        <w:tc>
          <w:tcPr>
            <w:tcW w:w="2139" w:type="dxa"/>
          </w:tcPr>
          <w:p>
            <w:pPr>
              <w:pStyle w:val="TableParagraph"/>
              <w:spacing w:before="8"/>
              <w:ind w:left="481"/>
              <w:rPr>
                <w:sz w:val="18"/>
              </w:rPr>
            </w:pPr>
            <w:r>
              <w:rPr>
                <w:sz w:val="18"/>
              </w:rPr>
              <w:t>C 组 （10 种）</w:t>
            </w:r>
          </w:p>
        </w:tc>
        <w:tc>
          <w:tcPr>
            <w:tcW w:w="1455" w:type="dxa"/>
          </w:tcPr>
          <w:p>
            <w:pPr>
              <w:pStyle w:val="TableParagraph"/>
              <w:spacing w:before="8"/>
              <w:ind w:left="140"/>
              <w:rPr>
                <w:sz w:val="18"/>
              </w:rPr>
            </w:pPr>
            <w:r>
              <w:rPr>
                <w:sz w:val="18"/>
              </w:rPr>
              <w:t>D 组 （16 种）</w:t>
            </w:r>
          </w:p>
        </w:tc>
        <w:tc>
          <w:tcPr>
            <w:tcW w:w="1651" w:type="dxa"/>
          </w:tcPr>
          <w:p>
            <w:pPr>
              <w:pStyle w:val="TableParagraph"/>
              <w:spacing w:before="8"/>
              <w:ind w:left="260"/>
              <w:rPr>
                <w:sz w:val="18"/>
              </w:rPr>
            </w:pPr>
            <w:r>
              <w:rPr>
                <w:sz w:val="18"/>
              </w:rPr>
              <w:t>E 组 （8 种）</w:t>
            </w:r>
          </w:p>
        </w:tc>
      </w:tr>
      <w:tr>
        <w:trPr>
          <w:trHeight w:val="623" w:hRule="atLeast"/>
        </w:trPr>
        <w:tc>
          <w:tcPr>
            <w:tcW w:w="1649" w:type="dxa"/>
          </w:tcPr>
          <w:p>
            <w:pPr>
              <w:pStyle w:val="TableParagraph"/>
              <w:spacing w:before="8"/>
              <w:rPr>
                <w:sz w:val="18"/>
              </w:rPr>
            </w:pPr>
            <w:r>
              <w:rPr>
                <w:color w:val="3D3D3D"/>
                <w:sz w:val="18"/>
              </w:rPr>
              <w:t>极早期恶性肿瘤</w:t>
            </w:r>
          </w:p>
          <w:p>
            <w:pPr>
              <w:pStyle w:val="TableParagraph"/>
              <w:spacing w:before="76"/>
              <w:rPr>
                <w:sz w:val="18"/>
              </w:rPr>
            </w:pPr>
            <w:r>
              <w:rPr>
                <w:color w:val="3D3D3D"/>
                <w:sz w:val="18"/>
              </w:rPr>
              <w:t>或者恶性病变</w:t>
            </w:r>
          </w:p>
        </w:tc>
        <w:tc>
          <w:tcPr>
            <w:tcW w:w="2041" w:type="dxa"/>
          </w:tcPr>
          <w:p>
            <w:pPr>
              <w:pStyle w:val="TableParagraph"/>
              <w:spacing w:before="6"/>
              <w:ind w:left="0"/>
              <w:rPr>
                <w:b/>
                <w:sz w:val="12"/>
              </w:rPr>
            </w:pPr>
          </w:p>
          <w:p>
            <w:pPr>
              <w:pStyle w:val="TableParagraph"/>
              <w:spacing w:before="1"/>
              <w:rPr>
                <w:sz w:val="18"/>
              </w:rPr>
            </w:pPr>
            <w:r>
              <w:rPr>
                <w:color w:val="3D3D3D"/>
                <w:sz w:val="18"/>
              </w:rPr>
              <w:t>不典型的急性心肌梗塞</w:t>
            </w:r>
          </w:p>
        </w:tc>
        <w:tc>
          <w:tcPr>
            <w:tcW w:w="2139" w:type="dxa"/>
          </w:tcPr>
          <w:p>
            <w:pPr>
              <w:pStyle w:val="TableParagraph"/>
              <w:spacing w:before="6"/>
              <w:ind w:left="0"/>
              <w:rPr>
                <w:b/>
                <w:sz w:val="12"/>
              </w:rPr>
            </w:pPr>
          </w:p>
          <w:p>
            <w:pPr>
              <w:pStyle w:val="TableParagraph"/>
              <w:spacing w:before="1"/>
              <w:rPr>
                <w:sz w:val="18"/>
              </w:rPr>
            </w:pPr>
            <w:r>
              <w:rPr>
                <w:color w:val="3D3D3D"/>
                <w:sz w:val="18"/>
              </w:rPr>
              <w:t>轻微脑中风后遗症</w:t>
            </w:r>
          </w:p>
        </w:tc>
        <w:tc>
          <w:tcPr>
            <w:tcW w:w="1455" w:type="dxa"/>
          </w:tcPr>
          <w:p>
            <w:pPr>
              <w:pStyle w:val="TableParagraph"/>
              <w:spacing w:before="8"/>
              <w:ind w:left="106"/>
              <w:rPr>
                <w:sz w:val="18"/>
              </w:rPr>
            </w:pPr>
            <w:r>
              <w:rPr>
                <w:color w:val="3D3D3D"/>
                <w:sz w:val="18"/>
              </w:rPr>
              <w:t>慢 性肾功能衰</w:t>
            </w:r>
          </w:p>
          <w:p>
            <w:pPr>
              <w:pStyle w:val="TableParagraph"/>
              <w:spacing w:before="76"/>
              <w:ind w:left="106"/>
              <w:rPr>
                <w:sz w:val="18"/>
              </w:rPr>
            </w:pPr>
            <w:r>
              <w:rPr>
                <w:color w:val="3D3D3D"/>
                <w:sz w:val="18"/>
              </w:rPr>
              <w:t>竭</w:t>
            </w:r>
          </w:p>
        </w:tc>
        <w:tc>
          <w:tcPr>
            <w:tcW w:w="1651" w:type="dxa"/>
          </w:tcPr>
          <w:p>
            <w:pPr>
              <w:pStyle w:val="TableParagraph"/>
              <w:spacing w:before="6"/>
              <w:ind w:left="0"/>
              <w:rPr>
                <w:b/>
                <w:sz w:val="12"/>
              </w:rPr>
            </w:pPr>
          </w:p>
          <w:p>
            <w:pPr>
              <w:pStyle w:val="TableParagraph"/>
              <w:spacing w:before="1"/>
              <w:ind w:left="106"/>
              <w:rPr>
                <w:sz w:val="18"/>
              </w:rPr>
            </w:pPr>
            <w:r>
              <w:rPr>
                <w:color w:val="3D3D3D"/>
                <w:sz w:val="18"/>
              </w:rPr>
              <w:t>单耳失聪</w:t>
            </w:r>
          </w:p>
        </w:tc>
      </w:tr>
      <w:tr>
        <w:trPr>
          <w:trHeight w:val="623" w:hRule="atLeast"/>
        </w:trPr>
        <w:tc>
          <w:tcPr>
            <w:tcW w:w="1649" w:type="dxa"/>
          </w:tcPr>
          <w:p>
            <w:pPr>
              <w:pStyle w:val="TableParagraph"/>
              <w:spacing w:before="8"/>
              <w:rPr>
                <w:sz w:val="18"/>
              </w:rPr>
            </w:pPr>
            <w:r>
              <w:rPr>
                <w:color w:val="3D3D3D"/>
                <w:sz w:val="18"/>
              </w:rPr>
              <w:t>可逆性再生障碍</w:t>
            </w:r>
          </w:p>
          <w:p>
            <w:pPr>
              <w:pStyle w:val="TableParagraph"/>
              <w:spacing w:before="76"/>
              <w:rPr>
                <w:sz w:val="18"/>
              </w:rPr>
            </w:pPr>
            <w:r>
              <w:rPr>
                <w:color w:val="3D3D3D"/>
                <w:sz w:val="18"/>
              </w:rPr>
              <w:t>性贫血</w:t>
            </w:r>
          </w:p>
        </w:tc>
        <w:tc>
          <w:tcPr>
            <w:tcW w:w="2041" w:type="dxa"/>
          </w:tcPr>
          <w:p>
            <w:pPr>
              <w:pStyle w:val="TableParagraph"/>
              <w:spacing w:before="6"/>
              <w:ind w:left="0"/>
              <w:rPr>
                <w:b/>
                <w:sz w:val="12"/>
              </w:rPr>
            </w:pPr>
          </w:p>
          <w:p>
            <w:pPr>
              <w:pStyle w:val="TableParagraph"/>
              <w:spacing w:before="1"/>
              <w:rPr>
                <w:sz w:val="18"/>
              </w:rPr>
            </w:pPr>
            <w:r>
              <w:rPr>
                <w:color w:val="3D3D3D"/>
                <w:sz w:val="18"/>
              </w:rPr>
              <w:t>微创冠状动脉搭桥术</w:t>
            </w:r>
          </w:p>
        </w:tc>
        <w:tc>
          <w:tcPr>
            <w:tcW w:w="2139" w:type="dxa"/>
          </w:tcPr>
          <w:p>
            <w:pPr>
              <w:pStyle w:val="TableParagraph"/>
              <w:spacing w:before="8"/>
              <w:rPr>
                <w:sz w:val="18"/>
              </w:rPr>
            </w:pPr>
            <w:r>
              <w:rPr>
                <w:color w:val="3D3D3D"/>
                <w:sz w:val="18"/>
              </w:rPr>
              <w:t>脑垂体瘤、脑囊肿、脑动</w:t>
            </w:r>
          </w:p>
          <w:p>
            <w:pPr>
              <w:pStyle w:val="TableParagraph"/>
              <w:spacing w:before="76"/>
              <w:rPr>
                <w:sz w:val="18"/>
              </w:rPr>
            </w:pPr>
            <w:r>
              <w:rPr>
                <w:color w:val="3D3D3D"/>
                <w:sz w:val="18"/>
              </w:rPr>
              <w:t>脉瘤及脑血管瘤</w:t>
            </w:r>
          </w:p>
        </w:tc>
        <w:tc>
          <w:tcPr>
            <w:tcW w:w="1455" w:type="dxa"/>
          </w:tcPr>
          <w:p>
            <w:pPr>
              <w:pStyle w:val="TableParagraph"/>
              <w:spacing w:before="6"/>
              <w:ind w:left="0"/>
              <w:rPr>
                <w:b/>
                <w:sz w:val="12"/>
              </w:rPr>
            </w:pPr>
          </w:p>
          <w:p>
            <w:pPr>
              <w:pStyle w:val="TableParagraph"/>
              <w:spacing w:before="1"/>
              <w:ind w:left="106"/>
              <w:rPr>
                <w:sz w:val="18"/>
              </w:rPr>
            </w:pPr>
            <w:r>
              <w:rPr>
                <w:color w:val="3D3D3D"/>
                <w:sz w:val="18"/>
              </w:rPr>
              <w:t>肾脏切除</w:t>
            </w:r>
          </w:p>
        </w:tc>
        <w:tc>
          <w:tcPr>
            <w:tcW w:w="1651" w:type="dxa"/>
          </w:tcPr>
          <w:p>
            <w:pPr>
              <w:pStyle w:val="TableParagraph"/>
              <w:spacing w:before="6"/>
              <w:ind w:left="0"/>
              <w:rPr>
                <w:b/>
                <w:sz w:val="12"/>
              </w:rPr>
            </w:pPr>
          </w:p>
          <w:p>
            <w:pPr>
              <w:pStyle w:val="TableParagraph"/>
              <w:spacing w:before="1"/>
              <w:ind w:left="106"/>
              <w:rPr>
                <w:sz w:val="18"/>
              </w:rPr>
            </w:pPr>
            <w:r>
              <w:rPr>
                <w:color w:val="3D3D3D"/>
                <w:sz w:val="18"/>
              </w:rPr>
              <w:t>人工耳蜗植入术</w:t>
            </w:r>
          </w:p>
        </w:tc>
      </w:tr>
      <w:tr>
        <w:trPr>
          <w:trHeight w:val="623" w:hRule="atLeast"/>
        </w:trPr>
        <w:tc>
          <w:tcPr>
            <w:tcW w:w="1649" w:type="dxa"/>
          </w:tcPr>
          <w:p>
            <w:pPr>
              <w:pStyle w:val="TableParagraph"/>
              <w:spacing w:before="8"/>
              <w:rPr>
                <w:sz w:val="18"/>
              </w:rPr>
            </w:pPr>
            <w:r>
              <w:rPr>
                <w:color w:val="3D3D3D"/>
                <w:sz w:val="18"/>
              </w:rPr>
              <w:t>早期系统性硬皮</w:t>
            </w:r>
          </w:p>
          <w:p>
            <w:pPr>
              <w:pStyle w:val="TableParagraph"/>
              <w:spacing w:before="76"/>
              <w:rPr>
                <w:sz w:val="18"/>
              </w:rPr>
            </w:pPr>
            <w:r>
              <w:rPr>
                <w:color w:val="3D3D3D"/>
                <w:sz w:val="18"/>
              </w:rPr>
              <w:t>病</w:t>
            </w:r>
          </w:p>
        </w:tc>
        <w:tc>
          <w:tcPr>
            <w:tcW w:w="2041" w:type="dxa"/>
          </w:tcPr>
          <w:p>
            <w:pPr>
              <w:pStyle w:val="TableParagraph"/>
              <w:spacing w:before="8"/>
              <w:rPr>
                <w:sz w:val="18"/>
              </w:rPr>
            </w:pPr>
            <w:r>
              <w:rPr>
                <w:color w:val="3D3D3D"/>
                <w:sz w:val="18"/>
              </w:rPr>
              <w:t>冠状动脉介入手术（非</w:t>
            </w:r>
          </w:p>
          <w:p>
            <w:pPr>
              <w:pStyle w:val="TableParagraph"/>
              <w:spacing w:before="76"/>
              <w:rPr>
                <w:sz w:val="18"/>
              </w:rPr>
            </w:pPr>
            <w:r>
              <w:rPr>
                <w:color w:val="3D3D3D"/>
                <w:sz w:val="18"/>
              </w:rPr>
              <w:t>开胸手术）</w:t>
            </w:r>
          </w:p>
        </w:tc>
        <w:tc>
          <w:tcPr>
            <w:tcW w:w="2139" w:type="dxa"/>
          </w:tcPr>
          <w:p>
            <w:pPr>
              <w:pStyle w:val="TableParagraph"/>
              <w:spacing w:before="6"/>
              <w:ind w:left="0"/>
              <w:rPr>
                <w:b/>
                <w:sz w:val="12"/>
              </w:rPr>
            </w:pPr>
          </w:p>
          <w:p>
            <w:pPr>
              <w:pStyle w:val="TableParagraph"/>
              <w:spacing w:before="1"/>
              <w:rPr>
                <w:sz w:val="18"/>
              </w:rPr>
            </w:pPr>
            <w:r>
              <w:rPr>
                <w:color w:val="3D3D3D"/>
                <w:sz w:val="18"/>
              </w:rPr>
              <w:t>中度瘫痪</w:t>
            </w:r>
          </w:p>
        </w:tc>
        <w:tc>
          <w:tcPr>
            <w:tcW w:w="1455" w:type="dxa"/>
          </w:tcPr>
          <w:p>
            <w:pPr>
              <w:pStyle w:val="TableParagraph"/>
              <w:spacing w:before="6"/>
              <w:ind w:left="0"/>
              <w:rPr>
                <w:b/>
                <w:sz w:val="12"/>
              </w:rPr>
            </w:pPr>
          </w:p>
          <w:p>
            <w:pPr>
              <w:pStyle w:val="TableParagraph"/>
              <w:spacing w:before="1"/>
              <w:ind w:left="106"/>
              <w:rPr>
                <w:sz w:val="18"/>
              </w:rPr>
            </w:pPr>
            <w:r>
              <w:rPr>
                <w:color w:val="3D3D3D"/>
                <w:sz w:val="18"/>
              </w:rPr>
              <w:t>单个肢体缺失</w:t>
            </w:r>
          </w:p>
        </w:tc>
        <w:tc>
          <w:tcPr>
            <w:tcW w:w="1651" w:type="dxa"/>
          </w:tcPr>
          <w:p>
            <w:pPr>
              <w:pStyle w:val="TableParagraph"/>
              <w:spacing w:before="6"/>
              <w:ind w:left="0"/>
              <w:rPr>
                <w:b/>
                <w:sz w:val="12"/>
              </w:rPr>
            </w:pPr>
          </w:p>
          <w:p>
            <w:pPr>
              <w:pStyle w:val="TableParagraph"/>
              <w:spacing w:before="1"/>
              <w:ind w:left="106"/>
              <w:rPr>
                <w:sz w:val="18"/>
              </w:rPr>
            </w:pPr>
            <w:r>
              <w:rPr>
                <w:color w:val="3D3D3D"/>
                <w:sz w:val="18"/>
              </w:rPr>
              <w:t>听力严重受损</w:t>
            </w:r>
          </w:p>
        </w:tc>
      </w:tr>
      <w:tr>
        <w:trPr>
          <w:trHeight w:val="623" w:hRule="atLeast"/>
        </w:trPr>
        <w:tc>
          <w:tcPr>
            <w:tcW w:w="1649" w:type="dxa"/>
          </w:tcPr>
          <w:p>
            <w:pPr>
              <w:pStyle w:val="TableParagraph"/>
              <w:ind w:left="0"/>
              <w:rPr>
                <w:rFonts w:ascii="Times New Roman"/>
                <w:sz w:val="18"/>
              </w:rPr>
            </w:pPr>
          </w:p>
        </w:tc>
        <w:tc>
          <w:tcPr>
            <w:tcW w:w="2041" w:type="dxa"/>
          </w:tcPr>
          <w:p>
            <w:pPr>
              <w:pStyle w:val="TableParagraph"/>
              <w:spacing w:before="6"/>
              <w:ind w:left="0"/>
              <w:rPr>
                <w:b/>
                <w:sz w:val="12"/>
              </w:rPr>
            </w:pPr>
          </w:p>
          <w:p>
            <w:pPr>
              <w:pStyle w:val="TableParagraph"/>
              <w:spacing w:before="1"/>
              <w:rPr>
                <w:sz w:val="18"/>
              </w:rPr>
            </w:pPr>
            <w:r>
              <w:rPr>
                <w:color w:val="3D3D3D"/>
                <w:sz w:val="18"/>
              </w:rPr>
              <w:t>激光心肌血运重建术</w:t>
            </w:r>
          </w:p>
        </w:tc>
        <w:tc>
          <w:tcPr>
            <w:tcW w:w="2139" w:type="dxa"/>
          </w:tcPr>
          <w:p>
            <w:pPr>
              <w:pStyle w:val="TableParagraph"/>
              <w:spacing w:before="6"/>
              <w:ind w:left="0"/>
              <w:rPr>
                <w:b/>
                <w:sz w:val="12"/>
              </w:rPr>
            </w:pPr>
          </w:p>
          <w:p>
            <w:pPr>
              <w:pStyle w:val="TableParagraph"/>
              <w:spacing w:before="1"/>
              <w:rPr>
                <w:sz w:val="18"/>
              </w:rPr>
            </w:pPr>
            <w:r>
              <w:rPr>
                <w:color w:val="3D3D3D"/>
                <w:sz w:val="18"/>
              </w:rPr>
              <w:t>中度阿尔茨海默病</w:t>
            </w:r>
          </w:p>
        </w:tc>
        <w:tc>
          <w:tcPr>
            <w:tcW w:w="1455" w:type="dxa"/>
          </w:tcPr>
          <w:p>
            <w:pPr>
              <w:pStyle w:val="TableParagraph"/>
              <w:spacing w:before="8"/>
              <w:ind w:left="106"/>
              <w:rPr>
                <w:sz w:val="18"/>
              </w:rPr>
            </w:pPr>
            <w:r>
              <w:rPr>
                <w:color w:val="3D3D3D"/>
                <w:sz w:val="18"/>
              </w:rPr>
              <w:t>病 毒性肝炎导</w:t>
            </w:r>
          </w:p>
          <w:p>
            <w:pPr>
              <w:pStyle w:val="TableParagraph"/>
              <w:spacing w:before="76"/>
              <w:ind w:left="106"/>
              <w:rPr>
                <w:sz w:val="18"/>
              </w:rPr>
            </w:pPr>
            <w:r>
              <w:rPr>
                <w:color w:val="3D3D3D"/>
                <w:sz w:val="18"/>
              </w:rPr>
              <w:t>致的肝硬化</w:t>
            </w:r>
          </w:p>
        </w:tc>
        <w:tc>
          <w:tcPr>
            <w:tcW w:w="1651" w:type="dxa"/>
          </w:tcPr>
          <w:p>
            <w:pPr>
              <w:pStyle w:val="TableParagraph"/>
              <w:spacing w:before="8"/>
              <w:ind w:left="106"/>
              <w:rPr>
                <w:sz w:val="18"/>
              </w:rPr>
            </w:pPr>
            <w:r>
              <w:rPr>
                <w:color w:val="3D3D3D"/>
                <w:sz w:val="18"/>
              </w:rPr>
              <w:t>全身较小面积Ⅲ</w:t>
            </w:r>
          </w:p>
          <w:p>
            <w:pPr>
              <w:pStyle w:val="TableParagraph"/>
              <w:spacing w:before="76"/>
              <w:ind w:left="106"/>
              <w:rPr>
                <w:sz w:val="18"/>
              </w:rPr>
            </w:pPr>
            <w:r>
              <w:rPr>
                <w:color w:val="3D3D3D"/>
                <w:sz w:val="18"/>
              </w:rPr>
              <w:t>度烧伤</w:t>
            </w:r>
          </w:p>
        </w:tc>
      </w:tr>
      <w:tr>
        <w:trPr>
          <w:trHeight w:val="626" w:hRule="atLeast"/>
        </w:trPr>
        <w:tc>
          <w:tcPr>
            <w:tcW w:w="1649" w:type="dxa"/>
          </w:tcPr>
          <w:p>
            <w:pPr>
              <w:pStyle w:val="TableParagraph"/>
              <w:ind w:left="0"/>
              <w:rPr>
                <w:rFonts w:ascii="Times New Roman"/>
                <w:sz w:val="18"/>
              </w:rPr>
            </w:pPr>
          </w:p>
        </w:tc>
        <w:tc>
          <w:tcPr>
            <w:tcW w:w="2041" w:type="dxa"/>
          </w:tcPr>
          <w:p>
            <w:pPr>
              <w:pStyle w:val="TableParagraph"/>
              <w:spacing w:before="10"/>
              <w:rPr>
                <w:sz w:val="18"/>
              </w:rPr>
            </w:pPr>
            <w:r>
              <w:rPr>
                <w:color w:val="3D3D3D"/>
                <w:sz w:val="18"/>
              </w:rPr>
              <w:t>心脏瓣膜介入手术（非</w:t>
            </w:r>
          </w:p>
          <w:p>
            <w:pPr>
              <w:pStyle w:val="TableParagraph"/>
              <w:spacing w:before="76"/>
              <w:rPr>
                <w:sz w:val="18"/>
              </w:rPr>
            </w:pPr>
            <w:r>
              <w:rPr>
                <w:color w:val="3D3D3D"/>
                <w:sz w:val="18"/>
              </w:rPr>
              <w:t>开胸手术）</w:t>
            </w:r>
          </w:p>
        </w:tc>
        <w:tc>
          <w:tcPr>
            <w:tcW w:w="2139" w:type="dxa"/>
          </w:tcPr>
          <w:p>
            <w:pPr>
              <w:pStyle w:val="TableParagraph"/>
              <w:spacing w:before="9"/>
              <w:ind w:left="0"/>
              <w:rPr>
                <w:b/>
                <w:sz w:val="12"/>
              </w:rPr>
            </w:pPr>
          </w:p>
          <w:p>
            <w:pPr>
              <w:pStyle w:val="TableParagraph"/>
              <w:rPr>
                <w:sz w:val="18"/>
              </w:rPr>
            </w:pPr>
            <w:r>
              <w:rPr>
                <w:color w:val="3D3D3D"/>
                <w:sz w:val="18"/>
              </w:rPr>
              <w:t>脑损伤</w:t>
            </w:r>
          </w:p>
        </w:tc>
        <w:tc>
          <w:tcPr>
            <w:tcW w:w="1455" w:type="dxa"/>
          </w:tcPr>
          <w:p>
            <w:pPr>
              <w:pStyle w:val="TableParagraph"/>
              <w:spacing w:before="10"/>
              <w:ind w:left="106"/>
              <w:rPr>
                <w:sz w:val="18"/>
              </w:rPr>
            </w:pPr>
            <w:r>
              <w:rPr>
                <w:color w:val="3D3D3D"/>
                <w:sz w:val="18"/>
              </w:rPr>
              <w:t>慢 性肝功能衰</w:t>
            </w:r>
          </w:p>
          <w:p>
            <w:pPr>
              <w:pStyle w:val="TableParagraph"/>
              <w:spacing w:before="76"/>
              <w:ind w:left="106"/>
              <w:rPr>
                <w:sz w:val="18"/>
              </w:rPr>
            </w:pPr>
            <w:r>
              <w:rPr>
                <w:color w:val="3D3D3D"/>
                <w:sz w:val="18"/>
              </w:rPr>
              <w:t>竭</w:t>
            </w:r>
          </w:p>
        </w:tc>
        <w:tc>
          <w:tcPr>
            <w:tcW w:w="1651" w:type="dxa"/>
          </w:tcPr>
          <w:p>
            <w:pPr>
              <w:pStyle w:val="TableParagraph"/>
              <w:spacing w:before="9"/>
              <w:ind w:left="0"/>
              <w:rPr>
                <w:b/>
                <w:sz w:val="12"/>
              </w:rPr>
            </w:pPr>
          </w:p>
          <w:p>
            <w:pPr>
              <w:pStyle w:val="TableParagraph"/>
              <w:ind w:left="106"/>
              <w:rPr>
                <w:sz w:val="18"/>
              </w:rPr>
            </w:pPr>
            <w:r>
              <w:rPr>
                <w:color w:val="3D3D3D"/>
                <w:sz w:val="18"/>
              </w:rPr>
              <w:t>早期象皮病</w:t>
            </w:r>
          </w:p>
        </w:tc>
      </w:tr>
      <w:tr>
        <w:trPr>
          <w:trHeight w:val="311" w:hRule="atLeast"/>
        </w:trPr>
        <w:tc>
          <w:tcPr>
            <w:tcW w:w="1649" w:type="dxa"/>
          </w:tcPr>
          <w:p>
            <w:pPr>
              <w:pStyle w:val="TableParagraph"/>
              <w:ind w:left="0"/>
              <w:rPr>
                <w:rFonts w:ascii="Times New Roman"/>
                <w:sz w:val="18"/>
              </w:rPr>
            </w:pPr>
          </w:p>
        </w:tc>
        <w:tc>
          <w:tcPr>
            <w:tcW w:w="2041" w:type="dxa"/>
          </w:tcPr>
          <w:p>
            <w:pPr>
              <w:pStyle w:val="TableParagraph"/>
              <w:spacing w:before="8"/>
              <w:rPr>
                <w:sz w:val="18"/>
              </w:rPr>
            </w:pPr>
            <w:r>
              <w:rPr>
                <w:color w:val="3D3D3D"/>
                <w:sz w:val="18"/>
              </w:rPr>
              <w:t>原发性肺动脉高压</w:t>
            </w:r>
          </w:p>
        </w:tc>
        <w:tc>
          <w:tcPr>
            <w:tcW w:w="2139" w:type="dxa"/>
          </w:tcPr>
          <w:p>
            <w:pPr>
              <w:pStyle w:val="TableParagraph"/>
              <w:spacing w:before="8"/>
              <w:rPr>
                <w:sz w:val="18"/>
              </w:rPr>
            </w:pPr>
            <w:r>
              <w:rPr>
                <w:color w:val="3D3D3D"/>
                <w:sz w:val="18"/>
              </w:rPr>
              <w:t>中度帕金森氏病</w:t>
            </w:r>
          </w:p>
        </w:tc>
        <w:tc>
          <w:tcPr>
            <w:tcW w:w="1455" w:type="dxa"/>
          </w:tcPr>
          <w:p>
            <w:pPr>
              <w:pStyle w:val="TableParagraph"/>
              <w:spacing w:before="8"/>
              <w:ind w:left="106"/>
              <w:rPr>
                <w:sz w:val="18"/>
              </w:rPr>
            </w:pPr>
            <w:r>
              <w:rPr>
                <w:color w:val="3D3D3D"/>
                <w:sz w:val="18"/>
              </w:rPr>
              <w:t>视力严重受损</w:t>
            </w:r>
          </w:p>
        </w:tc>
        <w:tc>
          <w:tcPr>
            <w:tcW w:w="1651" w:type="dxa"/>
          </w:tcPr>
          <w:p>
            <w:pPr>
              <w:pStyle w:val="TableParagraph"/>
              <w:spacing w:before="8"/>
              <w:ind w:left="106"/>
              <w:rPr>
                <w:sz w:val="18"/>
              </w:rPr>
            </w:pPr>
            <w:r>
              <w:rPr>
                <w:color w:val="3D3D3D"/>
                <w:sz w:val="18"/>
              </w:rPr>
              <w:t>轻度面部烧伤</w:t>
            </w:r>
          </w:p>
        </w:tc>
      </w:tr>
      <w:tr>
        <w:trPr>
          <w:trHeight w:val="623" w:hRule="atLeast"/>
        </w:trPr>
        <w:tc>
          <w:tcPr>
            <w:tcW w:w="1649" w:type="dxa"/>
          </w:tcPr>
          <w:p>
            <w:pPr>
              <w:pStyle w:val="TableParagraph"/>
              <w:ind w:left="0"/>
              <w:rPr>
                <w:rFonts w:ascii="Times New Roman"/>
                <w:sz w:val="18"/>
              </w:rPr>
            </w:pPr>
          </w:p>
        </w:tc>
        <w:tc>
          <w:tcPr>
            <w:tcW w:w="2041" w:type="dxa"/>
          </w:tcPr>
          <w:p>
            <w:pPr>
              <w:pStyle w:val="TableParagraph"/>
              <w:spacing w:before="8"/>
              <w:rPr>
                <w:sz w:val="18"/>
              </w:rPr>
            </w:pPr>
            <w:r>
              <w:rPr>
                <w:color w:val="3D3D3D"/>
                <w:sz w:val="18"/>
              </w:rPr>
              <w:t>主动脉内手术（非开胸</w:t>
            </w:r>
          </w:p>
          <w:p>
            <w:pPr>
              <w:pStyle w:val="TableParagraph"/>
              <w:spacing w:before="76"/>
              <w:rPr>
                <w:sz w:val="18"/>
              </w:rPr>
            </w:pPr>
            <w:r>
              <w:rPr>
                <w:color w:val="3D3D3D"/>
                <w:sz w:val="18"/>
              </w:rPr>
              <w:t>手术）</w:t>
            </w:r>
          </w:p>
        </w:tc>
        <w:tc>
          <w:tcPr>
            <w:tcW w:w="2139" w:type="dxa"/>
          </w:tcPr>
          <w:p>
            <w:pPr>
              <w:pStyle w:val="TableParagraph"/>
              <w:spacing w:before="6"/>
              <w:ind w:left="0"/>
              <w:rPr>
                <w:b/>
                <w:sz w:val="12"/>
              </w:rPr>
            </w:pPr>
          </w:p>
          <w:p>
            <w:pPr>
              <w:pStyle w:val="TableParagraph"/>
              <w:spacing w:before="1"/>
              <w:rPr>
                <w:sz w:val="18"/>
              </w:rPr>
            </w:pPr>
            <w:r>
              <w:rPr>
                <w:color w:val="3D3D3D"/>
                <w:sz w:val="18"/>
              </w:rPr>
              <w:t>早期运动神经元病</w:t>
            </w:r>
          </w:p>
        </w:tc>
        <w:tc>
          <w:tcPr>
            <w:tcW w:w="1455" w:type="dxa"/>
          </w:tcPr>
          <w:p>
            <w:pPr>
              <w:pStyle w:val="TableParagraph"/>
              <w:spacing w:before="6"/>
              <w:ind w:left="0"/>
              <w:rPr>
                <w:b/>
                <w:sz w:val="12"/>
              </w:rPr>
            </w:pPr>
          </w:p>
          <w:p>
            <w:pPr>
              <w:pStyle w:val="TableParagraph"/>
              <w:spacing w:before="1"/>
              <w:ind w:left="106"/>
              <w:rPr>
                <w:sz w:val="18"/>
              </w:rPr>
            </w:pPr>
            <w:r>
              <w:rPr>
                <w:color w:val="3D3D3D"/>
                <w:sz w:val="18"/>
              </w:rPr>
              <w:t>角膜移植</w:t>
            </w:r>
          </w:p>
        </w:tc>
        <w:tc>
          <w:tcPr>
            <w:tcW w:w="1651" w:type="dxa"/>
          </w:tcPr>
          <w:p>
            <w:pPr>
              <w:pStyle w:val="TableParagraph"/>
              <w:spacing w:before="6"/>
              <w:ind w:left="0"/>
              <w:rPr>
                <w:b/>
                <w:sz w:val="12"/>
              </w:rPr>
            </w:pPr>
          </w:p>
          <w:p>
            <w:pPr>
              <w:pStyle w:val="TableParagraph"/>
              <w:spacing w:before="1"/>
              <w:ind w:left="106"/>
              <w:rPr>
                <w:sz w:val="18"/>
              </w:rPr>
            </w:pPr>
            <w:r>
              <w:rPr>
                <w:color w:val="3D3D3D"/>
                <w:sz w:val="18"/>
              </w:rPr>
              <w:t>面部重建手术</w:t>
            </w:r>
          </w:p>
        </w:tc>
      </w:tr>
      <w:tr>
        <w:trPr>
          <w:trHeight w:val="623" w:hRule="atLeast"/>
        </w:trPr>
        <w:tc>
          <w:tcPr>
            <w:tcW w:w="1649" w:type="dxa"/>
          </w:tcPr>
          <w:p>
            <w:pPr>
              <w:pStyle w:val="TableParagraph"/>
              <w:ind w:left="0"/>
              <w:rPr>
                <w:rFonts w:ascii="Times New Roman"/>
                <w:sz w:val="18"/>
              </w:rPr>
            </w:pPr>
          </w:p>
        </w:tc>
        <w:tc>
          <w:tcPr>
            <w:tcW w:w="2041" w:type="dxa"/>
          </w:tcPr>
          <w:p>
            <w:pPr>
              <w:pStyle w:val="TableParagraph"/>
              <w:spacing w:before="6"/>
              <w:ind w:left="0"/>
              <w:rPr>
                <w:b/>
                <w:sz w:val="12"/>
              </w:rPr>
            </w:pPr>
          </w:p>
          <w:p>
            <w:pPr>
              <w:pStyle w:val="TableParagraph"/>
              <w:spacing w:before="1"/>
              <w:rPr>
                <w:sz w:val="18"/>
              </w:rPr>
            </w:pPr>
            <w:r>
              <w:rPr>
                <w:color w:val="3D3D3D"/>
                <w:sz w:val="18"/>
              </w:rPr>
              <w:t>心包膜切除术</w:t>
            </w:r>
          </w:p>
        </w:tc>
        <w:tc>
          <w:tcPr>
            <w:tcW w:w="2139" w:type="dxa"/>
          </w:tcPr>
          <w:p>
            <w:pPr>
              <w:pStyle w:val="TableParagraph"/>
              <w:spacing w:before="6"/>
              <w:ind w:left="0"/>
              <w:rPr>
                <w:b/>
                <w:sz w:val="12"/>
              </w:rPr>
            </w:pPr>
          </w:p>
          <w:p>
            <w:pPr>
              <w:pStyle w:val="TableParagraph"/>
              <w:spacing w:before="1"/>
              <w:rPr>
                <w:sz w:val="18"/>
              </w:rPr>
            </w:pPr>
            <w:r>
              <w:rPr>
                <w:color w:val="3D3D3D"/>
                <w:sz w:val="18"/>
              </w:rPr>
              <w:t>微创颅脑手术</w:t>
            </w:r>
          </w:p>
        </w:tc>
        <w:tc>
          <w:tcPr>
            <w:tcW w:w="1455" w:type="dxa"/>
          </w:tcPr>
          <w:p>
            <w:pPr>
              <w:pStyle w:val="TableParagraph"/>
              <w:spacing w:before="6"/>
              <w:ind w:left="0"/>
              <w:rPr>
                <w:b/>
                <w:sz w:val="12"/>
              </w:rPr>
            </w:pPr>
          </w:p>
          <w:p>
            <w:pPr>
              <w:pStyle w:val="TableParagraph"/>
              <w:spacing w:before="1"/>
              <w:ind w:left="106"/>
              <w:rPr>
                <w:sz w:val="18"/>
              </w:rPr>
            </w:pPr>
            <w:r>
              <w:rPr>
                <w:color w:val="3D3D3D"/>
                <w:sz w:val="18"/>
              </w:rPr>
              <w:t>单目失明</w:t>
            </w:r>
          </w:p>
        </w:tc>
        <w:tc>
          <w:tcPr>
            <w:tcW w:w="1651" w:type="dxa"/>
          </w:tcPr>
          <w:p>
            <w:pPr>
              <w:pStyle w:val="TableParagraph"/>
              <w:spacing w:before="8"/>
              <w:ind w:left="106"/>
              <w:rPr>
                <w:sz w:val="18"/>
              </w:rPr>
            </w:pPr>
            <w:r>
              <w:rPr>
                <w:color w:val="3D3D3D"/>
                <w:sz w:val="18"/>
              </w:rPr>
              <w:t>因肾上腺皮质腺</w:t>
            </w:r>
          </w:p>
          <w:p>
            <w:pPr>
              <w:pStyle w:val="TableParagraph"/>
              <w:spacing w:before="76"/>
              <w:ind w:left="106"/>
              <w:rPr>
                <w:sz w:val="18"/>
              </w:rPr>
            </w:pPr>
            <w:r>
              <w:rPr>
                <w:color w:val="3D3D3D"/>
                <w:sz w:val="18"/>
              </w:rPr>
              <w:t>瘤切除肾上腺</w:t>
            </w:r>
          </w:p>
        </w:tc>
      </w:tr>
      <w:tr>
        <w:trPr>
          <w:trHeight w:val="623" w:hRule="atLeast"/>
        </w:trPr>
        <w:tc>
          <w:tcPr>
            <w:tcW w:w="1649" w:type="dxa"/>
          </w:tcPr>
          <w:p>
            <w:pPr>
              <w:pStyle w:val="TableParagraph"/>
              <w:ind w:left="0"/>
              <w:rPr>
                <w:rFonts w:ascii="Times New Roman"/>
                <w:sz w:val="18"/>
              </w:rPr>
            </w:pPr>
          </w:p>
        </w:tc>
        <w:tc>
          <w:tcPr>
            <w:tcW w:w="2041" w:type="dxa"/>
          </w:tcPr>
          <w:p>
            <w:pPr>
              <w:pStyle w:val="TableParagraph"/>
              <w:spacing w:before="6"/>
              <w:ind w:left="0"/>
              <w:rPr>
                <w:b/>
                <w:sz w:val="12"/>
              </w:rPr>
            </w:pPr>
          </w:p>
          <w:p>
            <w:pPr>
              <w:pStyle w:val="TableParagraph"/>
              <w:spacing w:before="1"/>
              <w:rPr>
                <w:sz w:val="18"/>
              </w:rPr>
            </w:pPr>
            <w:r>
              <w:rPr>
                <w:color w:val="3D3D3D"/>
                <w:sz w:val="18"/>
              </w:rPr>
              <w:t>植入心脏起搏器</w:t>
            </w:r>
          </w:p>
        </w:tc>
        <w:tc>
          <w:tcPr>
            <w:tcW w:w="2139" w:type="dxa"/>
          </w:tcPr>
          <w:p>
            <w:pPr>
              <w:pStyle w:val="TableParagraph"/>
              <w:spacing w:before="6"/>
              <w:ind w:left="0"/>
              <w:rPr>
                <w:b/>
                <w:sz w:val="12"/>
              </w:rPr>
            </w:pPr>
          </w:p>
          <w:p>
            <w:pPr>
              <w:pStyle w:val="TableParagraph"/>
              <w:spacing w:before="1"/>
              <w:rPr>
                <w:sz w:val="18"/>
              </w:rPr>
            </w:pPr>
            <w:r>
              <w:rPr>
                <w:color w:val="3D3D3D"/>
                <w:sz w:val="18"/>
              </w:rPr>
              <w:t>中度重症肌无力</w:t>
            </w:r>
          </w:p>
        </w:tc>
        <w:tc>
          <w:tcPr>
            <w:tcW w:w="1455" w:type="dxa"/>
          </w:tcPr>
          <w:p>
            <w:pPr>
              <w:pStyle w:val="TableParagraph"/>
              <w:spacing w:before="8"/>
              <w:ind w:left="106"/>
              <w:rPr>
                <w:sz w:val="18"/>
              </w:rPr>
            </w:pPr>
            <w:r>
              <w:rPr>
                <w:color w:val="3D3D3D"/>
                <w:sz w:val="18"/>
              </w:rPr>
              <w:t>糖 尿病导致单</w:t>
            </w:r>
          </w:p>
          <w:p>
            <w:pPr>
              <w:pStyle w:val="TableParagraph"/>
              <w:spacing w:before="76"/>
              <w:ind w:left="106"/>
              <w:rPr>
                <w:sz w:val="18"/>
              </w:rPr>
            </w:pPr>
            <w:r>
              <w:rPr>
                <w:color w:val="3D3D3D"/>
                <w:sz w:val="18"/>
              </w:rPr>
              <w:t>足截除</w:t>
            </w:r>
          </w:p>
        </w:tc>
        <w:tc>
          <w:tcPr>
            <w:tcW w:w="1651" w:type="dxa"/>
          </w:tcPr>
          <w:p>
            <w:pPr>
              <w:pStyle w:val="TableParagraph"/>
              <w:ind w:left="0"/>
              <w:rPr>
                <w:rFonts w:ascii="Times New Roman"/>
                <w:sz w:val="18"/>
              </w:rPr>
            </w:pPr>
          </w:p>
        </w:tc>
      </w:tr>
      <w:tr>
        <w:trPr>
          <w:trHeight w:val="623" w:hRule="atLeast"/>
        </w:trPr>
        <w:tc>
          <w:tcPr>
            <w:tcW w:w="1649" w:type="dxa"/>
          </w:tcPr>
          <w:p>
            <w:pPr>
              <w:pStyle w:val="TableParagraph"/>
              <w:ind w:left="0"/>
              <w:rPr>
                <w:rFonts w:ascii="Times New Roman"/>
                <w:sz w:val="18"/>
              </w:rPr>
            </w:pPr>
          </w:p>
        </w:tc>
        <w:tc>
          <w:tcPr>
            <w:tcW w:w="2041" w:type="dxa"/>
          </w:tcPr>
          <w:p>
            <w:pPr>
              <w:pStyle w:val="TableParagraph"/>
              <w:spacing w:before="6"/>
              <w:ind w:left="0"/>
              <w:rPr>
                <w:b/>
                <w:sz w:val="12"/>
              </w:rPr>
            </w:pPr>
          </w:p>
          <w:p>
            <w:pPr>
              <w:pStyle w:val="TableParagraph"/>
              <w:spacing w:before="1"/>
              <w:rPr>
                <w:sz w:val="18"/>
              </w:rPr>
            </w:pPr>
            <w:r>
              <w:rPr>
                <w:color w:val="3D3D3D"/>
                <w:sz w:val="18"/>
              </w:rPr>
              <w:t>早期原发性心脏病</w:t>
            </w:r>
          </w:p>
        </w:tc>
        <w:tc>
          <w:tcPr>
            <w:tcW w:w="2139" w:type="dxa"/>
          </w:tcPr>
          <w:p>
            <w:pPr>
              <w:pStyle w:val="TableParagraph"/>
              <w:spacing w:before="6"/>
              <w:ind w:left="0"/>
              <w:rPr>
                <w:b/>
                <w:sz w:val="12"/>
              </w:rPr>
            </w:pPr>
          </w:p>
          <w:p>
            <w:pPr>
              <w:pStyle w:val="TableParagraph"/>
              <w:spacing w:before="1"/>
              <w:rPr>
                <w:sz w:val="18"/>
              </w:rPr>
            </w:pPr>
            <w:r>
              <w:rPr>
                <w:color w:val="3D3D3D"/>
                <w:sz w:val="18"/>
              </w:rPr>
              <w:t>硬脑膜下血肿手术</w:t>
            </w:r>
          </w:p>
        </w:tc>
        <w:tc>
          <w:tcPr>
            <w:tcW w:w="1455" w:type="dxa"/>
          </w:tcPr>
          <w:p>
            <w:pPr>
              <w:pStyle w:val="TableParagraph"/>
              <w:spacing w:before="8"/>
              <w:ind w:left="106"/>
              <w:rPr>
                <w:sz w:val="18"/>
              </w:rPr>
            </w:pPr>
            <w:r>
              <w:rPr>
                <w:color w:val="3D3D3D"/>
                <w:sz w:val="18"/>
              </w:rPr>
              <w:t>中 度类风湿性</w:t>
            </w:r>
          </w:p>
          <w:p>
            <w:pPr>
              <w:pStyle w:val="TableParagraph"/>
              <w:spacing w:before="76"/>
              <w:ind w:left="106"/>
              <w:rPr>
                <w:sz w:val="18"/>
              </w:rPr>
            </w:pPr>
            <w:r>
              <w:rPr>
                <w:color w:val="3D3D3D"/>
                <w:sz w:val="18"/>
              </w:rPr>
              <w:t>关节炎</w:t>
            </w:r>
          </w:p>
        </w:tc>
        <w:tc>
          <w:tcPr>
            <w:tcW w:w="1651" w:type="dxa"/>
          </w:tcPr>
          <w:p>
            <w:pPr>
              <w:pStyle w:val="TableParagraph"/>
              <w:ind w:left="0"/>
              <w:rPr>
                <w:rFonts w:ascii="Times New Roman"/>
                <w:sz w:val="18"/>
              </w:rPr>
            </w:pPr>
          </w:p>
        </w:tc>
      </w:tr>
      <w:tr>
        <w:trPr>
          <w:trHeight w:val="626" w:hRule="atLeast"/>
        </w:trPr>
        <w:tc>
          <w:tcPr>
            <w:tcW w:w="1649" w:type="dxa"/>
          </w:tcPr>
          <w:p>
            <w:pPr>
              <w:pStyle w:val="TableParagraph"/>
              <w:ind w:left="0"/>
              <w:rPr>
                <w:rFonts w:ascii="Times New Roman"/>
                <w:sz w:val="18"/>
              </w:rPr>
            </w:pPr>
          </w:p>
        </w:tc>
        <w:tc>
          <w:tcPr>
            <w:tcW w:w="2041" w:type="dxa"/>
          </w:tcPr>
          <w:p>
            <w:pPr>
              <w:pStyle w:val="TableParagraph"/>
              <w:spacing w:before="10"/>
              <w:rPr>
                <w:sz w:val="18"/>
              </w:rPr>
            </w:pPr>
            <w:r>
              <w:rPr>
                <w:color w:val="3D3D3D"/>
                <w:sz w:val="18"/>
              </w:rPr>
              <w:t>特定周围动脉疾病的血</w:t>
            </w:r>
          </w:p>
          <w:p>
            <w:pPr>
              <w:pStyle w:val="TableParagraph"/>
              <w:spacing w:before="76"/>
              <w:rPr>
                <w:sz w:val="18"/>
              </w:rPr>
            </w:pPr>
            <w:r>
              <w:rPr>
                <w:color w:val="3D3D3D"/>
                <w:sz w:val="18"/>
              </w:rPr>
              <w:t>管介入治疗</w:t>
            </w:r>
          </w:p>
        </w:tc>
        <w:tc>
          <w:tcPr>
            <w:tcW w:w="2139" w:type="dxa"/>
          </w:tcPr>
          <w:p>
            <w:pPr>
              <w:pStyle w:val="TableParagraph"/>
              <w:ind w:left="0"/>
              <w:rPr>
                <w:rFonts w:ascii="Times New Roman"/>
                <w:sz w:val="18"/>
              </w:rPr>
            </w:pPr>
          </w:p>
        </w:tc>
        <w:tc>
          <w:tcPr>
            <w:tcW w:w="1455" w:type="dxa"/>
          </w:tcPr>
          <w:p>
            <w:pPr>
              <w:pStyle w:val="TableParagraph"/>
              <w:spacing w:before="10"/>
              <w:ind w:left="106"/>
              <w:rPr>
                <w:sz w:val="18"/>
              </w:rPr>
            </w:pPr>
            <w:r>
              <w:rPr>
                <w:color w:val="3D3D3D"/>
                <w:sz w:val="18"/>
              </w:rPr>
              <w:t>中 度溃疡性结</w:t>
            </w:r>
          </w:p>
          <w:p>
            <w:pPr>
              <w:pStyle w:val="TableParagraph"/>
              <w:spacing w:before="76"/>
              <w:ind w:left="106"/>
              <w:rPr>
                <w:sz w:val="18"/>
              </w:rPr>
            </w:pPr>
            <w:r>
              <w:rPr>
                <w:color w:val="3D3D3D"/>
                <w:sz w:val="18"/>
              </w:rPr>
              <w:t>肠炎</w:t>
            </w:r>
          </w:p>
        </w:tc>
        <w:tc>
          <w:tcPr>
            <w:tcW w:w="1651" w:type="dxa"/>
          </w:tcPr>
          <w:p>
            <w:pPr>
              <w:pStyle w:val="TableParagraph"/>
              <w:ind w:left="0"/>
              <w:rPr>
                <w:rFonts w:ascii="Times New Roman"/>
                <w:sz w:val="18"/>
              </w:rPr>
            </w:pPr>
          </w:p>
        </w:tc>
      </w:tr>
      <w:tr>
        <w:trPr>
          <w:trHeight w:val="623" w:hRule="atLeast"/>
        </w:trPr>
        <w:tc>
          <w:tcPr>
            <w:tcW w:w="1649" w:type="dxa"/>
          </w:tcPr>
          <w:p>
            <w:pPr>
              <w:pStyle w:val="TableParagraph"/>
              <w:ind w:left="0"/>
              <w:rPr>
                <w:rFonts w:ascii="Times New Roman"/>
                <w:sz w:val="18"/>
              </w:rPr>
            </w:pPr>
          </w:p>
        </w:tc>
        <w:tc>
          <w:tcPr>
            <w:tcW w:w="2041" w:type="dxa"/>
          </w:tcPr>
          <w:p>
            <w:pPr>
              <w:pStyle w:val="TableParagraph"/>
              <w:spacing w:before="8"/>
              <w:rPr>
                <w:sz w:val="18"/>
              </w:rPr>
            </w:pPr>
            <w:r>
              <w:rPr>
                <w:color w:val="3D3D3D"/>
                <w:sz w:val="18"/>
              </w:rPr>
              <w:t>于颈动脉进行血管成形</w:t>
            </w:r>
          </w:p>
          <w:p>
            <w:pPr>
              <w:pStyle w:val="TableParagraph"/>
              <w:spacing w:before="76"/>
              <w:rPr>
                <w:sz w:val="18"/>
              </w:rPr>
            </w:pPr>
            <w:r>
              <w:rPr>
                <w:color w:val="3D3D3D"/>
                <w:sz w:val="18"/>
              </w:rPr>
              <w:t>术或内膜切除术</w:t>
            </w:r>
          </w:p>
        </w:tc>
        <w:tc>
          <w:tcPr>
            <w:tcW w:w="2139" w:type="dxa"/>
          </w:tcPr>
          <w:p>
            <w:pPr>
              <w:pStyle w:val="TableParagraph"/>
              <w:ind w:left="0"/>
              <w:rPr>
                <w:rFonts w:ascii="Times New Roman"/>
                <w:sz w:val="18"/>
              </w:rPr>
            </w:pPr>
          </w:p>
        </w:tc>
        <w:tc>
          <w:tcPr>
            <w:tcW w:w="1455" w:type="dxa"/>
          </w:tcPr>
          <w:p>
            <w:pPr>
              <w:pStyle w:val="TableParagraph"/>
              <w:spacing w:before="6"/>
              <w:ind w:left="0"/>
              <w:rPr>
                <w:b/>
                <w:sz w:val="12"/>
              </w:rPr>
            </w:pPr>
          </w:p>
          <w:p>
            <w:pPr>
              <w:pStyle w:val="TableParagraph"/>
              <w:spacing w:before="1"/>
              <w:ind w:left="106"/>
              <w:rPr>
                <w:sz w:val="18"/>
              </w:rPr>
            </w:pPr>
            <w:r>
              <w:rPr>
                <w:color w:val="3D3D3D"/>
                <w:sz w:val="18"/>
              </w:rPr>
              <w:t>肺功能衰竭</w:t>
            </w:r>
          </w:p>
        </w:tc>
        <w:tc>
          <w:tcPr>
            <w:tcW w:w="1651" w:type="dxa"/>
          </w:tcPr>
          <w:p>
            <w:pPr>
              <w:pStyle w:val="TableParagraph"/>
              <w:ind w:left="0"/>
              <w:rPr>
                <w:rFonts w:ascii="Times New Roman"/>
                <w:sz w:val="18"/>
              </w:rPr>
            </w:pPr>
          </w:p>
        </w:tc>
      </w:tr>
      <w:tr>
        <w:trPr>
          <w:trHeight w:val="311" w:hRule="atLeast"/>
        </w:trPr>
        <w:tc>
          <w:tcPr>
            <w:tcW w:w="1649" w:type="dxa"/>
          </w:tcPr>
          <w:p>
            <w:pPr>
              <w:pStyle w:val="TableParagraph"/>
              <w:ind w:left="0"/>
              <w:rPr>
                <w:rFonts w:ascii="Times New Roman"/>
                <w:sz w:val="18"/>
              </w:rPr>
            </w:pPr>
          </w:p>
        </w:tc>
        <w:tc>
          <w:tcPr>
            <w:tcW w:w="2041" w:type="dxa"/>
          </w:tcPr>
          <w:p>
            <w:pPr>
              <w:pStyle w:val="TableParagraph"/>
              <w:spacing w:before="8"/>
              <w:rPr>
                <w:sz w:val="18"/>
              </w:rPr>
            </w:pPr>
            <w:r>
              <w:rPr>
                <w:color w:val="3D3D3D"/>
                <w:sz w:val="18"/>
              </w:rPr>
              <w:t>腔静脉过滤器植入术</w:t>
            </w:r>
          </w:p>
        </w:tc>
        <w:tc>
          <w:tcPr>
            <w:tcW w:w="2139" w:type="dxa"/>
          </w:tcPr>
          <w:p>
            <w:pPr>
              <w:pStyle w:val="TableParagraph"/>
              <w:ind w:left="0"/>
              <w:rPr>
                <w:rFonts w:ascii="Times New Roman"/>
                <w:sz w:val="18"/>
              </w:rPr>
            </w:pPr>
          </w:p>
        </w:tc>
        <w:tc>
          <w:tcPr>
            <w:tcW w:w="1455" w:type="dxa"/>
          </w:tcPr>
          <w:p>
            <w:pPr>
              <w:pStyle w:val="TableParagraph"/>
              <w:spacing w:before="8"/>
              <w:ind w:left="106"/>
              <w:rPr>
                <w:sz w:val="18"/>
              </w:rPr>
            </w:pPr>
            <w:r>
              <w:rPr>
                <w:color w:val="3D3D3D"/>
                <w:sz w:val="18"/>
              </w:rPr>
              <w:t>肝叶切除</w:t>
            </w:r>
          </w:p>
        </w:tc>
        <w:tc>
          <w:tcPr>
            <w:tcW w:w="1651" w:type="dxa"/>
          </w:tcPr>
          <w:p>
            <w:pPr>
              <w:pStyle w:val="TableParagraph"/>
              <w:ind w:left="0"/>
              <w:rPr>
                <w:rFonts w:ascii="Times New Roman"/>
                <w:sz w:val="18"/>
              </w:rPr>
            </w:pPr>
          </w:p>
        </w:tc>
      </w:tr>
      <w:tr>
        <w:trPr>
          <w:trHeight w:val="311" w:hRule="atLeast"/>
        </w:trPr>
        <w:tc>
          <w:tcPr>
            <w:tcW w:w="1649" w:type="dxa"/>
          </w:tcPr>
          <w:p>
            <w:pPr>
              <w:pStyle w:val="TableParagraph"/>
              <w:ind w:left="0"/>
              <w:rPr>
                <w:rFonts w:ascii="Times New Roman"/>
                <w:sz w:val="18"/>
              </w:rPr>
            </w:pPr>
          </w:p>
        </w:tc>
        <w:tc>
          <w:tcPr>
            <w:tcW w:w="2041" w:type="dxa"/>
          </w:tcPr>
          <w:p>
            <w:pPr>
              <w:pStyle w:val="TableParagraph"/>
              <w:ind w:left="0"/>
              <w:rPr>
                <w:rFonts w:ascii="Times New Roman"/>
                <w:sz w:val="18"/>
              </w:rPr>
            </w:pPr>
          </w:p>
        </w:tc>
        <w:tc>
          <w:tcPr>
            <w:tcW w:w="2139" w:type="dxa"/>
          </w:tcPr>
          <w:p>
            <w:pPr>
              <w:pStyle w:val="TableParagraph"/>
              <w:ind w:left="0"/>
              <w:rPr>
                <w:rFonts w:ascii="Times New Roman"/>
                <w:sz w:val="18"/>
              </w:rPr>
            </w:pPr>
          </w:p>
        </w:tc>
        <w:tc>
          <w:tcPr>
            <w:tcW w:w="1455" w:type="dxa"/>
          </w:tcPr>
          <w:p>
            <w:pPr>
              <w:pStyle w:val="TableParagraph"/>
              <w:spacing w:before="8"/>
              <w:ind w:left="106"/>
              <w:rPr>
                <w:sz w:val="18"/>
              </w:rPr>
            </w:pPr>
            <w:r>
              <w:rPr>
                <w:color w:val="3D3D3D"/>
                <w:sz w:val="18"/>
              </w:rPr>
              <w:t>单侧肺脏切除</w:t>
            </w:r>
          </w:p>
        </w:tc>
        <w:tc>
          <w:tcPr>
            <w:tcW w:w="1651" w:type="dxa"/>
          </w:tcPr>
          <w:p>
            <w:pPr>
              <w:pStyle w:val="TableParagraph"/>
              <w:ind w:left="0"/>
              <w:rPr>
                <w:rFonts w:ascii="Times New Roman"/>
                <w:sz w:val="18"/>
              </w:rPr>
            </w:pPr>
          </w:p>
        </w:tc>
      </w:tr>
      <w:tr>
        <w:trPr>
          <w:trHeight w:val="623" w:hRule="atLeast"/>
        </w:trPr>
        <w:tc>
          <w:tcPr>
            <w:tcW w:w="1649" w:type="dxa"/>
          </w:tcPr>
          <w:p>
            <w:pPr>
              <w:pStyle w:val="TableParagraph"/>
              <w:ind w:left="0"/>
              <w:rPr>
                <w:rFonts w:ascii="Times New Roman"/>
                <w:sz w:val="18"/>
              </w:rPr>
            </w:pPr>
          </w:p>
        </w:tc>
        <w:tc>
          <w:tcPr>
            <w:tcW w:w="2041" w:type="dxa"/>
          </w:tcPr>
          <w:p>
            <w:pPr>
              <w:pStyle w:val="TableParagraph"/>
              <w:ind w:left="0"/>
              <w:rPr>
                <w:rFonts w:ascii="Times New Roman"/>
                <w:sz w:val="18"/>
              </w:rPr>
            </w:pPr>
          </w:p>
        </w:tc>
        <w:tc>
          <w:tcPr>
            <w:tcW w:w="2139" w:type="dxa"/>
          </w:tcPr>
          <w:p>
            <w:pPr>
              <w:pStyle w:val="TableParagraph"/>
              <w:ind w:left="0"/>
              <w:rPr>
                <w:rFonts w:ascii="Times New Roman"/>
                <w:sz w:val="18"/>
              </w:rPr>
            </w:pPr>
          </w:p>
        </w:tc>
        <w:tc>
          <w:tcPr>
            <w:tcW w:w="1455" w:type="dxa"/>
          </w:tcPr>
          <w:p>
            <w:pPr>
              <w:pStyle w:val="TableParagraph"/>
              <w:spacing w:before="8"/>
              <w:ind w:left="106"/>
              <w:rPr>
                <w:sz w:val="18"/>
              </w:rPr>
            </w:pPr>
            <w:r>
              <w:rPr>
                <w:color w:val="3D3D3D"/>
                <w:sz w:val="18"/>
              </w:rPr>
              <w:t>双 侧卵巢或睾</w:t>
            </w:r>
          </w:p>
          <w:p>
            <w:pPr>
              <w:pStyle w:val="TableParagraph"/>
              <w:spacing w:before="76"/>
              <w:ind w:left="106"/>
              <w:rPr>
                <w:sz w:val="18"/>
              </w:rPr>
            </w:pPr>
            <w:r>
              <w:rPr>
                <w:color w:val="3D3D3D"/>
                <w:sz w:val="18"/>
              </w:rPr>
              <w:t>丸切除术</w:t>
            </w:r>
          </w:p>
        </w:tc>
        <w:tc>
          <w:tcPr>
            <w:tcW w:w="1651" w:type="dxa"/>
          </w:tcPr>
          <w:p>
            <w:pPr>
              <w:pStyle w:val="TableParagraph"/>
              <w:ind w:left="0"/>
              <w:rPr>
                <w:rFonts w:ascii="Times New Roman"/>
                <w:sz w:val="18"/>
              </w:rPr>
            </w:pPr>
          </w:p>
        </w:tc>
      </w:tr>
      <w:tr>
        <w:trPr>
          <w:trHeight w:val="625" w:hRule="atLeast"/>
        </w:trPr>
        <w:tc>
          <w:tcPr>
            <w:tcW w:w="1649" w:type="dxa"/>
          </w:tcPr>
          <w:p>
            <w:pPr>
              <w:pStyle w:val="TableParagraph"/>
              <w:ind w:left="0"/>
              <w:rPr>
                <w:rFonts w:ascii="Times New Roman"/>
                <w:sz w:val="18"/>
              </w:rPr>
            </w:pPr>
          </w:p>
        </w:tc>
        <w:tc>
          <w:tcPr>
            <w:tcW w:w="2041" w:type="dxa"/>
          </w:tcPr>
          <w:p>
            <w:pPr>
              <w:pStyle w:val="TableParagraph"/>
              <w:ind w:left="0"/>
              <w:rPr>
                <w:rFonts w:ascii="Times New Roman"/>
                <w:sz w:val="18"/>
              </w:rPr>
            </w:pPr>
          </w:p>
        </w:tc>
        <w:tc>
          <w:tcPr>
            <w:tcW w:w="2139" w:type="dxa"/>
          </w:tcPr>
          <w:p>
            <w:pPr>
              <w:pStyle w:val="TableParagraph"/>
              <w:ind w:left="0"/>
              <w:rPr>
                <w:rFonts w:ascii="Times New Roman"/>
                <w:sz w:val="18"/>
              </w:rPr>
            </w:pPr>
          </w:p>
        </w:tc>
        <w:tc>
          <w:tcPr>
            <w:tcW w:w="1455" w:type="dxa"/>
          </w:tcPr>
          <w:p>
            <w:pPr>
              <w:pStyle w:val="TableParagraph"/>
              <w:spacing w:before="8"/>
              <w:ind w:left="106"/>
              <w:rPr>
                <w:sz w:val="18"/>
              </w:rPr>
            </w:pPr>
            <w:r>
              <w:rPr>
                <w:color w:val="3D3D3D"/>
                <w:sz w:val="18"/>
              </w:rPr>
              <w:t>严 重阻塞性睡</w:t>
            </w:r>
          </w:p>
          <w:p>
            <w:pPr>
              <w:pStyle w:val="TableParagraph"/>
              <w:spacing w:before="76"/>
              <w:ind w:left="106"/>
              <w:rPr>
                <w:sz w:val="18"/>
              </w:rPr>
            </w:pPr>
            <w:r>
              <w:rPr>
                <w:color w:val="3D3D3D"/>
                <w:sz w:val="18"/>
              </w:rPr>
              <w:t>眠窒息症</w:t>
            </w:r>
          </w:p>
        </w:tc>
        <w:tc>
          <w:tcPr>
            <w:tcW w:w="1651" w:type="dxa"/>
          </w:tcPr>
          <w:p>
            <w:pPr>
              <w:pStyle w:val="TableParagraph"/>
              <w:ind w:left="0"/>
              <w:rPr>
                <w:rFonts w:ascii="Times New Roman"/>
                <w:sz w:val="18"/>
              </w:rPr>
            </w:pPr>
          </w:p>
        </w:tc>
      </w:tr>
    </w:tbl>
    <w:p>
      <w:pPr>
        <w:pStyle w:val="ListParagraph"/>
        <w:numPr>
          <w:ilvl w:val="1"/>
          <w:numId w:val="67"/>
        </w:numPr>
        <w:tabs>
          <w:tab w:pos="818" w:val="left" w:leader="none"/>
          <w:tab w:pos="819" w:val="left" w:leader="none"/>
          <w:tab w:pos="2237" w:val="left" w:leader="none"/>
        </w:tabs>
        <w:spacing w:line="262" w:lineRule="exact" w:before="0" w:after="0"/>
        <w:ind w:left="2237" w:right="0" w:hanging="2132"/>
        <w:jc w:val="left"/>
        <w:rPr>
          <w:sz w:val="21"/>
        </w:rPr>
      </w:pPr>
      <w:r>
        <w:rPr>
          <w:b/>
          <w:sz w:val="21"/>
        </w:rPr>
        <w:t>保险事故</w:t>
        <w:tab/>
      </w:r>
      <w:r>
        <w:rPr>
          <w:sz w:val="21"/>
        </w:rPr>
        <w:t>指本</w:t>
      </w:r>
      <w:r>
        <w:rPr>
          <w:spacing w:val="-3"/>
          <w:sz w:val="21"/>
        </w:rPr>
        <w:t>合</w:t>
      </w:r>
      <w:r>
        <w:rPr>
          <w:sz w:val="21"/>
        </w:rPr>
        <w:t>同</w:t>
      </w:r>
      <w:r>
        <w:rPr>
          <w:spacing w:val="-3"/>
          <w:sz w:val="21"/>
        </w:rPr>
        <w:t>约</w:t>
      </w:r>
      <w:r>
        <w:rPr>
          <w:sz w:val="21"/>
        </w:rPr>
        <w:t>定</w:t>
      </w:r>
      <w:r>
        <w:rPr>
          <w:spacing w:val="-3"/>
          <w:sz w:val="21"/>
        </w:rPr>
        <w:t>的</w:t>
      </w:r>
      <w:r>
        <w:rPr>
          <w:sz w:val="21"/>
        </w:rPr>
        <w:t>保</w:t>
      </w:r>
      <w:r>
        <w:rPr>
          <w:spacing w:val="-3"/>
          <w:sz w:val="21"/>
        </w:rPr>
        <w:t>险</w:t>
      </w:r>
      <w:r>
        <w:rPr>
          <w:sz w:val="21"/>
        </w:rPr>
        <w:t>责</w:t>
      </w:r>
      <w:r>
        <w:rPr>
          <w:spacing w:val="-3"/>
          <w:sz w:val="21"/>
        </w:rPr>
        <w:t>任</w:t>
      </w:r>
      <w:r>
        <w:rPr>
          <w:sz w:val="21"/>
        </w:rPr>
        <w:t>范围</w:t>
      </w:r>
      <w:r>
        <w:rPr>
          <w:spacing w:val="-3"/>
          <w:sz w:val="21"/>
        </w:rPr>
        <w:t>内</w:t>
      </w:r>
      <w:r>
        <w:rPr>
          <w:sz w:val="21"/>
        </w:rPr>
        <w:t>的</w:t>
      </w:r>
      <w:r>
        <w:rPr>
          <w:spacing w:val="-3"/>
          <w:sz w:val="21"/>
        </w:rPr>
        <w:t>事</w:t>
      </w:r>
      <w:r>
        <w:rPr>
          <w:sz w:val="21"/>
        </w:rPr>
        <w:t>故。</w:t>
      </w:r>
    </w:p>
    <w:p>
      <w:pPr>
        <w:pStyle w:val="BodyText"/>
        <w:spacing w:before="10"/>
        <w:rPr>
          <w:sz w:val="14"/>
        </w:rPr>
      </w:pPr>
    </w:p>
    <w:p>
      <w:pPr>
        <w:pStyle w:val="ListParagraph"/>
        <w:numPr>
          <w:ilvl w:val="1"/>
          <w:numId w:val="67"/>
        </w:numPr>
        <w:tabs>
          <w:tab w:pos="818" w:val="left" w:leader="none"/>
          <w:tab w:pos="819" w:val="left" w:leader="none"/>
          <w:tab w:pos="2237" w:val="left" w:leader="none"/>
        </w:tabs>
        <w:spacing w:line="273" w:lineRule="auto" w:before="0" w:after="0"/>
        <w:ind w:left="2237" w:right="121" w:hanging="2132"/>
        <w:jc w:val="left"/>
        <w:rPr>
          <w:sz w:val="21"/>
        </w:rPr>
      </w:pPr>
      <w:r>
        <w:rPr>
          <w:b/>
          <w:sz w:val="21"/>
        </w:rPr>
        <w:t>毒品</w:t>
        <w:tab/>
      </w:r>
      <w:r>
        <w:rPr>
          <w:sz w:val="21"/>
        </w:rPr>
        <w:t>指鸦片、海洛因、甲基苯丙胺（冰毒</w:t>
      </w:r>
      <w:r>
        <w:rPr>
          <w:spacing w:val="-104"/>
          <w:sz w:val="21"/>
        </w:rPr>
        <w:t>）</w:t>
      </w:r>
      <w:r>
        <w:rPr>
          <w:sz w:val="21"/>
        </w:rPr>
        <w:t>、吗啡、大麻、可卡因以及索赔当时政府规 定管</w:t>
      </w:r>
      <w:r>
        <w:rPr>
          <w:spacing w:val="-3"/>
          <w:sz w:val="21"/>
        </w:rPr>
        <w:t>制</w:t>
      </w:r>
      <w:r>
        <w:rPr>
          <w:sz w:val="21"/>
        </w:rPr>
        <w:t>的</w:t>
      </w:r>
      <w:r>
        <w:rPr>
          <w:spacing w:val="-3"/>
          <w:sz w:val="21"/>
        </w:rPr>
        <w:t>其</w:t>
      </w:r>
      <w:r>
        <w:rPr>
          <w:sz w:val="21"/>
        </w:rPr>
        <w:t>他</w:t>
      </w:r>
      <w:r>
        <w:rPr>
          <w:spacing w:val="-3"/>
          <w:sz w:val="21"/>
        </w:rPr>
        <w:t>能</w:t>
      </w:r>
      <w:r>
        <w:rPr>
          <w:sz w:val="21"/>
        </w:rPr>
        <w:t>够</w:t>
      </w:r>
      <w:r>
        <w:rPr>
          <w:spacing w:val="-3"/>
          <w:sz w:val="21"/>
        </w:rPr>
        <w:t>使</w:t>
      </w:r>
      <w:r>
        <w:rPr>
          <w:sz w:val="21"/>
        </w:rPr>
        <w:t>人</w:t>
      </w:r>
      <w:r>
        <w:rPr>
          <w:spacing w:val="-3"/>
          <w:sz w:val="21"/>
        </w:rPr>
        <w:t>形</w:t>
      </w:r>
      <w:r>
        <w:rPr>
          <w:sz w:val="21"/>
        </w:rPr>
        <w:t>成瘾</w:t>
      </w:r>
      <w:r>
        <w:rPr>
          <w:spacing w:val="-3"/>
          <w:sz w:val="21"/>
        </w:rPr>
        <w:t>癖</w:t>
      </w:r>
      <w:r>
        <w:rPr>
          <w:sz w:val="21"/>
        </w:rPr>
        <w:t>的</w:t>
      </w:r>
      <w:r>
        <w:rPr>
          <w:spacing w:val="-3"/>
          <w:sz w:val="21"/>
        </w:rPr>
        <w:t>麻</w:t>
      </w:r>
      <w:r>
        <w:rPr>
          <w:sz w:val="21"/>
        </w:rPr>
        <w:t>醉</w:t>
      </w:r>
      <w:r>
        <w:rPr>
          <w:spacing w:val="-3"/>
          <w:sz w:val="21"/>
        </w:rPr>
        <w:t>药</w:t>
      </w:r>
      <w:r>
        <w:rPr>
          <w:sz w:val="21"/>
        </w:rPr>
        <w:t>品</w:t>
      </w:r>
      <w:r>
        <w:rPr>
          <w:spacing w:val="-3"/>
          <w:sz w:val="21"/>
        </w:rPr>
        <w:t>和</w:t>
      </w:r>
      <w:r>
        <w:rPr>
          <w:sz w:val="21"/>
        </w:rPr>
        <w:t>精</w:t>
      </w:r>
      <w:r>
        <w:rPr>
          <w:spacing w:val="-3"/>
          <w:sz w:val="21"/>
        </w:rPr>
        <w:t>神</w:t>
      </w:r>
      <w:r>
        <w:rPr>
          <w:sz w:val="21"/>
        </w:rPr>
        <w:t>药品。</w:t>
      </w:r>
    </w:p>
    <w:p>
      <w:pPr>
        <w:pStyle w:val="ListParagraph"/>
        <w:numPr>
          <w:ilvl w:val="1"/>
          <w:numId w:val="67"/>
        </w:numPr>
        <w:tabs>
          <w:tab w:pos="818" w:val="left" w:leader="none"/>
          <w:tab w:pos="819" w:val="left" w:leader="none"/>
          <w:tab w:pos="2237" w:val="left" w:leader="none"/>
        </w:tabs>
        <w:spacing w:line="240" w:lineRule="auto" w:before="163" w:after="0"/>
        <w:ind w:left="2237" w:right="0" w:hanging="2132"/>
        <w:jc w:val="left"/>
        <w:rPr>
          <w:sz w:val="21"/>
        </w:rPr>
      </w:pPr>
      <w:r>
        <w:rPr>
          <w:b/>
          <w:sz w:val="21"/>
        </w:rPr>
        <w:t>酒后驾驶</w:t>
        <w:tab/>
      </w:r>
      <w:r>
        <w:rPr>
          <w:sz w:val="21"/>
        </w:rPr>
        <w:t>指经</w:t>
      </w:r>
      <w:r>
        <w:rPr>
          <w:spacing w:val="-3"/>
          <w:sz w:val="21"/>
        </w:rPr>
        <w:t>检</w:t>
      </w:r>
      <w:r>
        <w:rPr>
          <w:sz w:val="21"/>
        </w:rPr>
        <w:t>测</w:t>
      </w:r>
      <w:r>
        <w:rPr>
          <w:spacing w:val="-3"/>
          <w:sz w:val="21"/>
        </w:rPr>
        <w:t>或</w:t>
      </w:r>
      <w:r>
        <w:rPr>
          <w:sz w:val="21"/>
        </w:rPr>
        <w:t>鉴</w:t>
      </w:r>
      <w:r>
        <w:rPr>
          <w:spacing w:val="-3"/>
          <w:sz w:val="21"/>
        </w:rPr>
        <w:t>定</w:t>
      </w:r>
      <w:r>
        <w:rPr>
          <w:spacing w:val="-36"/>
          <w:sz w:val="21"/>
        </w:rPr>
        <w:t>，</w:t>
      </w:r>
      <w:r>
        <w:rPr>
          <w:spacing w:val="-3"/>
          <w:sz w:val="21"/>
        </w:rPr>
        <w:t>发</w:t>
      </w:r>
      <w:r>
        <w:rPr>
          <w:sz w:val="21"/>
        </w:rPr>
        <w:t>生</w:t>
      </w:r>
      <w:r>
        <w:rPr>
          <w:spacing w:val="-3"/>
          <w:sz w:val="21"/>
        </w:rPr>
        <w:t>事</w:t>
      </w:r>
      <w:r>
        <w:rPr>
          <w:sz w:val="21"/>
        </w:rPr>
        <w:t>故时</w:t>
      </w:r>
      <w:r>
        <w:rPr>
          <w:spacing w:val="-3"/>
          <w:sz w:val="21"/>
        </w:rPr>
        <w:t>车</w:t>
      </w:r>
      <w:r>
        <w:rPr>
          <w:sz w:val="21"/>
        </w:rPr>
        <w:t>辆</w:t>
      </w:r>
      <w:r>
        <w:rPr>
          <w:spacing w:val="-3"/>
          <w:sz w:val="21"/>
        </w:rPr>
        <w:t>驾</w:t>
      </w:r>
      <w:r>
        <w:rPr>
          <w:sz w:val="21"/>
        </w:rPr>
        <w:t>驶</w:t>
      </w:r>
      <w:r>
        <w:rPr>
          <w:spacing w:val="-3"/>
          <w:sz w:val="21"/>
        </w:rPr>
        <w:t>人</w:t>
      </w:r>
      <w:r>
        <w:rPr>
          <w:sz w:val="21"/>
        </w:rPr>
        <w:t>员</w:t>
      </w:r>
      <w:r>
        <w:rPr>
          <w:spacing w:val="-3"/>
          <w:sz w:val="21"/>
        </w:rPr>
        <w:t>每</w:t>
      </w:r>
      <w:r>
        <w:rPr>
          <w:sz w:val="21"/>
        </w:rPr>
        <w:t>百</w:t>
      </w:r>
      <w:r>
        <w:rPr>
          <w:spacing w:val="-3"/>
          <w:sz w:val="21"/>
        </w:rPr>
        <w:t>毫</w:t>
      </w:r>
      <w:r>
        <w:rPr>
          <w:sz w:val="21"/>
        </w:rPr>
        <w:t>升血</w:t>
      </w:r>
      <w:r>
        <w:rPr>
          <w:spacing w:val="-3"/>
          <w:sz w:val="21"/>
        </w:rPr>
        <w:t>液</w:t>
      </w:r>
      <w:r>
        <w:rPr>
          <w:sz w:val="21"/>
        </w:rPr>
        <w:t>中</w:t>
      </w:r>
      <w:r>
        <w:rPr>
          <w:spacing w:val="-3"/>
          <w:sz w:val="21"/>
        </w:rPr>
        <w:t>的</w:t>
      </w:r>
      <w:r>
        <w:rPr>
          <w:sz w:val="21"/>
        </w:rPr>
        <w:t>酒</w:t>
      </w:r>
      <w:r>
        <w:rPr>
          <w:spacing w:val="-3"/>
          <w:sz w:val="21"/>
        </w:rPr>
        <w:t>精</w:t>
      </w:r>
      <w:r>
        <w:rPr>
          <w:sz w:val="21"/>
        </w:rPr>
        <w:t>含</w:t>
      </w:r>
      <w:r>
        <w:rPr>
          <w:spacing w:val="-3"/>
          <w:sz w:val="21"/>
        </w:rPr>
        <w:t>量</w:t>
      </w:r>
      <w:r>
        <w:rPr>
          <w:sz w:val="21"/>
        </w:rPr>
        <w:t>达</w:t>
      </w:r>
      <w:r>
        <w:rPr>
          <w:spacing w:val="-3"/>
          <w:sz w:val="21"/>
        </w:rPr>
        <w:t>到</w:t>
      </w:r>
      <w:r>
        <w:rPr>
          <w:sz w:val="21"/>
        </w:rPr>
        <w:t>或</w:t>
      </w:r>
      <w:r>
        <w:rPr>
          <w:spacing w:val="-3"/>
          <w:sz w:val="21"/>
        </w:rPr>
        <w:t>超</w:t>
      </w:r>
      <w:r>
        <w:rPr>
          <w:sz w:val="21"/>
        </w:rPr>
        <w:t>过</w:t>
      </w:r>
    </w:p>
    <w:p>
      <w:pPr>
        <w:spacing w:after="0" w:line="240" w:lineRule="auto"/>
        <w:jc w:val="left"/>
        <w:rPr>
          <w:sz w:val="21"/>
        </w:rPr>
        <w:sectPr>
          <w:pgSz w:w="11910" w:h="16840"/>
          <w:pgMar w:header="0" w:footer="377" w:top="1260" w:bottom="640" w:left="1020" w:right="100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488"/>
        <w:gridCol w:w="7806"/>
      </w:tblGrid>
      <w:tr>
        <w:trPr>
          <w:trHeight w:val="652" w:hRule="atLeast"/>
        </w:trPr>
        <w:tc>
          <w:tcPr>
            <w:tcW w:w="768" w:type="dxa"/>
          </w:tcPr>
          <w:p>
            <w:pPr>
              <w:pStyle w:val="TableParagraph"/>
              <w:ind w:left="0"/>
              <w:rPr>
                <w:rFonts w:ascii="Times New Roman"/>
                <w:sz w:val="20"/>
              </w:rPr>
            </w:pPr>
          </w:p>
        </w:tc>
        <w:tc>
          <w:tcPr>
            <w:tcW w:w="1488" w:type="dxa"/>
          </w:tcPr>
          <w:p>
            <w:pPr>
              <w:pStyle w:val="TableParagraph"/>
              <w:ind w:left="0"/>
              <w:rPr>
                <w:rFonts w:ascii="Times New Roman"/>
                <w:sz w:val="20"/>
              </w:rPr>
            </w:pPr>
          </w:p>
        </w:tc>
        <w:tc>
          <w:tcPr>
            <w:tcW w:w="7806" w:type="dxa"/>
          </w:tcPr>
          <w:p>
            <w:pPr>
              <w:pStyle w:val="TableParagraph"/>
              <w:spacing w:line="205" w:lineRule="exact"/>
              <w:ind w:left="75"/>
              <w:rPr>
                <w:sz w:val="21"/>
              </w:rPr>
            </w:pPr>
            <w:r>
              <w:rPr>
                <w:sz w:val="21"/>
              </w:rPr>
              <w:t>一定的标准，公安机关交通管理部门依据《中华人民共和国道路交通安全法》的规</w:t>
            </w:r>
          </w:p>
          <w:p>
            <w:pPr>
              <w:pStyle w:val="TableParagraph"/>
              <w:spacing w:before="37"/>
              <w:ind w:left="75"/>
              <w:rPr>
                <w:sz w:val="21"/>
              </w:rPr>
            </w:pPr>
            <w:r>
              <w:rPr>
                <w:sz w:val="21"/>
              </w:rPr>
              <w:t>定认定为饮酒后驾驶或醉酒后驾驶。</w:t>
            </w:r>
          </w:p>
        </w:tc>
      </w:tr>
      <w:tr>
        <w:trPr>
          <w:trHeight w:val="2663" w:hRule="atLeast"/>
        </w:trPr>
        <w:tc>
          <w:tcPr>
            <w:tcW w:w="768" w:type="dxa"/>
          </w:tcPr>
          <w:p>
            <w:pPr>
              <w:pStyle w:val="TableParagraph"/>
              <w:spacing w:before="60"/>
              <w:ind w:left="179" w:right="125"/>
              <w:jc w:val="center"/>
              <w:rPr>
                <w:b/>
                <w:sz w:val="21"/>
              </w:rPr>
            </w:pPr>
            <w:r>
              <w:rPr>
                <w:b/>
                <w:sz w:val="21"/>
              </w:rPr>
              <w:t>9.20</w:t>
            </w:r>
          </w:p>
        </w:tc>
        <w:tc>
          <w:tcPr>
            <w:tcW w:w="1488" w:type="dxa"/>
          </w:tcPr>
          <w:p>
            <w:pPr>
              <w:pStyle w:val="TableParagraph"/>
              <w:spacing w:line="273" w:lineRule="auto" w:before="60"/>
              <w:ind w:left="145" w:right="284"/>
              <w:rPr>
                <w:b/>
                <w:sz w:val="21"/>
              </w:rPr>
            </w:pPr>
            <w:r>
              <w:rPr>
                <w:b/>
                <w:sz w:val="21"/>
              </w:rPr>
              <w:t>无合法有效驾驶证驾驶</w:t>
            </w:r>
          </w:p>
        </w:tc>
        <w:tc>
          <w:tcPr>
            <w:tcW w:w="7806" w:type="dxa"/>
          </w:tcPr>
          <w:p>
            <w:pPr>
              <w:pStyle w:val="TableParagraph"/>
              <w:spacing w:before="60"/>
              <w:ind w:left="75"/>
              <w:rPr>
                <w:sz w:val="21"/>
              </w:rPr>
            </w:pPr>
            <w:r>
              <w:rPr>
                <w:sz w:val="21"/>
              </w:rPr>
              <w:t>指下列情形之一：</w:t>
            </w:r>
          </w:p>
          <w:p>
            <w:pPr>
              <w:pStyle w:val="TableParagraph"/>
              <w:numPr>
                <w:ilvl w:val="0"/>
                <w:numId w:val="68"/>
              </w:numPr>
              <w:tabs>
                <w:tab w:pos="643" w:val="left" w:leader="none"/>
              </w:tabs>
              <w:spacing w:line="240" w:lineRule="auto" w:before="37" w:after="0"/>
              <w:ind w:left="642" w:right="0" w:hanging="567"/>
              <w:jc w:val="left"/>
              <w:rPr>
                <w:sz w:val="21"/>
              </w:rPr>
            </w:pPr>
            <w:r>
              <w:rPr>
                <w:spacing w:val="-3"/>
                <w:sz w:val="21"/>
              </w:rPr>
              <w:t>没有驾驶证驾驶；</w:t>
            </w:r>
          </w:p>
          <w:p>
            <w:pPr>
              <w:pStyle w:val="TableParagraph"/>
              <w:numPr>
                <w:ilvl w:val="0"/>
                <w:numId w:val="68"/>
              </w:numPr>
              <w:tabs>
                <w:tab w:pos="643" w:val="left" w:leader="none"/>
              </w:tabs>
              <w:spacing w:line="240" w:lineRule="auto" w:before="22" w:after="0"/>
              <w:ind w:left="642" w:right="0" w:hanging="567"/>
              <w:jc w:val="left"/>
              <w:rPr>
                <w:sz w:val="21"/>
              </w:rPr>
            </w:pPr>
            <w:r>
              <w:rPr>
                <w:spacing w:val="-3"/>
                <w:sz w:val="21"/>
              </w:rPr>
              <w:t>驾驶与驾驶证准驾车型不相符合的车辆；</w:t>
            </w:r>
          </w:p>
          <w:p>
            <w:pPr>
              <w:pStyle w:val="TableParagraph"/>
              <w:numPr>
                <w:ilvl w:val="0"/>
                <w:numId w:val="68"/>
              </w:numPr>
              <w:tabs>
                <w:tab w:pos="643" w:val="left" w:leader="none"/>
              </w:tabs>
              <w:spacing w:line="240" w:lineRule="auto" w:before="22" w:after="0"/>
              <w:ind w:left="642" w:right="0" w:hanging="567"/>
              <w:jc w:val="left"/>
              <w:rPr>
                <w:sz w:val="21"/>
              </w:rPr>
            </w:pPr>
            <w:r>
              <w:rPr>
                <w:spacing w:val="-3"/>
                <w:sz w:val="21"/>
              </w:rPr>
              <w:t>驾驶员持审验不合格的驾驶证驾驶；</w:t>
            </w:r>
          </w:p>
          <w:p>
            <w:pPr>
              <w:pStyle w:val="TableParagraph"/>
              <w:numPr>
                <w:ilvl w:val="0"/>
                <w:numId w:val="68"/>
              </w:numPr>
              <w:tabs>
                <w:tab w:pos="643" w:val="left" w:leader="none"/>
              </w:tabs>
              <w:spacing w:line="240" w:lineRule="auto" w:before="22" w:after="0"/>
              <w:ind w:left="642" w:right="0" w:hanging="567"/>
              <w:jc w:val="left"/>
              <w:rPr>
                <w:sz w:val="21"/>
              </w:rPr>
            </w:pPr>
            <w:r>
              <w:rPr>
                <w:spacing w:val="-3"/>
                <w:sz w:val="21"/>
              </w:rPr>
              <w:t>未经公安交通管理部门同意，持未审验的驾驶证驾驶；</w:t>
            </w:r>
          </w:p>
          <w:p>
            <w:pPr>
              <w:pStyle w:val="TableParagraph"/>
              <w:numPr>
                <w:ilvl w:val="0"/>
                <w:numId w:val="68"/>
              </w:numPr>
              <w:tabs>
                <w:tab w:pos="643" w:val="left" w:leader="none"/>
              </w:tabs>
              <w:spacing w:line="259" w:lineRule="auto" w:before="22" w:after="0"/>
              <w:ind w:left="642" w:right="203" w:hanging="567"/>
              <w:jc w:val="left"/>
              <w:rPr>
                <w:sz w:val="21"/>
              </w:rPr>
            </w:pPr>
            <w:r>
              <w:rPr>
                <w:spacing w:val="-3"/>
                <w:sz w:val="21"/>
              </w:rPr>
              <w:t>持学习驾驶证学习驾车时，无教练员随车指导，或不按指定时间、路线学习驾车；</w:t>
            </w:r>
          </w:p>
          <w:p>
            <w:pPr>
              <w:pStyle w:val="TableParagraph"/>
              <w:numPr>
                <w:ilvl w:val="0"/>
                <w:numId w:val="68"/>
              </w:numPr>
              <w:tabs>
                <w:tab w:pos="643" w:val="left" w:leader="none"/>
              </w:tabs>
              <w:spacing w:line="240" w:lineRule="auto" w:before="20" w:after="0"/>
              <w:ind w:left="642" w:right="0" w:hanging="567"/>
              <w:jc w:val="left"/>
              <w:rPr>
                <w:sz w:val="21"/>
              </w:rPr>
            </w:pPr>
            <w:r>
              <w:rPr>
                <w:spacing w:val="-3"/>
                <w:sz w:val="21"/>
              </w:rPr>
              <w:t>公安交通管理部门规定的其他无有效驾驶证驾驶的情况。</w:t>
            </w:r>
          </w:p>
        </w:tc>
      </w:tr>
      <w:tr>
        <w:trPr>
          <w:trHeight w:val="1094" w:hRule="atLeast"/>
        </w:trPr>
        <w:tc>
          <w:tcPr>
            <w:tcW w:w="768" w:type="dxa"/>
          </w:tcPr>
          <w:p>
            <w:pPr>
              <w:pStyle w:val="TableParagraph"/>
              <w:spacing w:before="54"/>
              <w:ind w:left="179" w:right="125"/>
              <w:jc w:val="center"/>
              <w:rPr>
                <w:b/>
                <w:sz w:val="21"/>
              </w:rPr>
            </w:pPr>
            <w:r>
              <w:rPr>
                <w:b/>
                <w:sz w:val="21"/>
              </w:rPr>
              <w:t>9.21</w:t>
            </w:r>
          </w:p>
        </w:tc>
        <w:tc>
          <w:tcPr>
            <w:tcW w:w="1488" w:type="dxa"/>
          </w:tcPr>
          <w:p>
            <w:pPr>
              <w:pStyle w:val="TableParagraph"/>
              <w:spacing w:line="273" w:lineRule="auto" w:before="54"/>
              <w:ind w:left="145" w:right="284"/>
              <w:rPr>
                <w:b/>
                <w:sz w:val="21"/>
              </w:rPr>
            </w:pPr>
            <w:r>
              <w:rPr>
                <w:b/>
                <w:sz w:val="21"/>
              </w:rPr>
              <w:t>无有效行驶证</w:t>
            </w:r>
          </w:p>
        </w:tc>
        <w:tc>
          <w:tcPr>
            <w:tcW w:w="7806" w:type="dxa"/>
          </w:tcPr>
          <w:p>
            <w:pPr>
              <w:pStyle w:val="TableParagraph"/>
              <w:spacing w:before="54"/>
              <w:ind w:left="75"/>
              <w:rPr>
                <w:sz w:val="21"/>
              </w:rPr>
            </w:pPr>
            <w:r>
              <w:rPr>
                <w:sz w:val="21"/>
              </w:rPr>
              <w:t>指下列情形之一：</w:t>
            </w:r>
          </w:p>
          <w:p>
            <w:pPr>
              <w:pStyle w:val="TableParagraph"/>
              <w:numPr>
                <w:ilvl w:val="0"/>
                <w:numId w:val="69"/>
              </w:numPr>
              <w:tabs>
                <w:tab w:pos="643" w:val="left" w:leader="none"/>
              </w:tabs>
              <w:spacing w:line="240" w:lineRule="auto" w:before="37" w:after="0"/>
              <w:ind w:left="642" w:right="0" w:hanging="567"/>
              <w:jc w:val="left"/>
              <w:rPr>
                <w:sz w:val="21"/>
              </w:rPr>
            </w:pPr>
            <w:r>
              <w:rPr>
                <w:spacing w:val="-3"/>
                <w:sz w:val="21"/>
              </w:rPr>
              <w:t>没有机动车行驶证；</w:t>
            </w:r>
          </w:p>
          <w:p>
            <w:pPr>
              <w:pStyle w:val="TableParagraph"/>
              <w:numPr>
                <w:ilvl w:val="0"/>
                <w:numId w:val="69"/>
              </w:numPr>
              <w:tabs>
                <w:tab w:pos="643" w:val="left" w:leader="none"/>
              </w:tabs>
              <w:spacing w:line="240" w:lineRule="auto" w:before="22" w:after="0"/>
              <w:ind w:left="642" w:right="0" w:hanging="567"/>
              <w:jc w:val="left"/>
              <w:rPr>
                <w:sz w:val="21"/>
              </w:rPr>
            </w:pPr>
            <w:r>
              <w:rPr>
                <w:spacing w:val="-3"/>
                <w:sz w:val="21"/>
              </w:rPr>
              <w:t>未在法律规定期限内按时进行或通过安全技术检验。</w:t>
            </w:r>
          </w:p>
        </w:tc>
      </w:tr>
      <w:tr>
        <w:trPr>
          <w:trHeight w:val="774" w:hRule="atLeast"/>
        </w:trPr>
        <w:tc>
          <w:tcPr>
            <w:tcW w:w="768" w:type="dxa"/>
          </w:tcPr>
          <w:p>
            <w:pPr>
              <w:pStyle w:val="TableParagraph"/>
              <w:spacing w:before="51"/>
              <w:ind w:left="179" w:right="125"/>
              <w:jc w:val="center"/>
              <w:rPr>
                <w:b/>
                <w:sz w:val="21"/>
              </w:rPr>
            </w:pPr>
            <w:r>
              <w:rPr>
                <w:b/>
                <w:sz w:val="21"/>
              </w:rPr>
              <w:t>9.22</w:t>
            </w:r>
          </w:p>
        </w:tc>
        <w:tc>
          <w:tcPr>
            <w:tcW w:w="1488" w:type="dxa"/>
          </w:tcPr>
          <w:p>
            <w:pPr>
              <w:pStyle w:val="TableParagraph"/>
              <w:spacing w:before="51"/>
              <w:ind w:left="145"/>
              <w:rPr>
                <w:b/>
                <w:sz w:val="21"/>
              </w:rPr>
            </w:pPr>
            <w:r>
              <w:rPr>
                <w:b/>
                <w:sz w:val="21"/>
              </w:rPr>
              <w:t>机动车</w:t>
            </w:r>
          </w:p>
        </w:tc>
        <w:tc>
          <w:tcPr>
            <w:tcW w:w="7806" w:type="dxa"/>
          </w:tcPr>
          <w:p>
            <w:pPr>
              <w:pStyle w:val="TableParagraph"/>
              <w:spacing w:line="273" w:lineRule="auto" w:before="51"/>
              <w:ind w:left="75" w:right="198"/>
              <w:rPr>
                <w:sz w:val="21"/>
              </w:rPr>
            </w:pPr>
            <w:r>
              <w:rPr>
                <w:spacing w:val="-6"/>
                <w:sz w:val="21"/>
              </w:rPr>
              <w:t>指以动力装置驱动或者牵引，上道路行驶的供人员乘用或用于运送物品以及进行工</w:t>
            </w:r>
            <w:r>
              <w:rPr>
                <w:spacing w:val="-4"/>
                <w:sz w:val="21"/>
              </w:rPr>
              <w:t>程专项作业的轮式车辆。</w:t>
            </w:r>
          </w:p>
        </w:tc>
      </w:tr>
      <w:tr>
        <w:trPr>
          <w:trHeight w:val="1406" w:hRule="atLeast"/>
        </w:trPr>
        <w:tc>
          <w:tcPr>
            <w:tcW w:w="768" w:type="dxa"/>
          </w:tcPr>
          <w:p>
            <w:pPr>
              <w:pStyle w:val="TableParagraph"/>
              <w:spacing w:before="61"/>
              <w:ind w:left="179" w:right="125"/>
              <w:jc w:val="center"/>
              <w:rPr>
                <w:b/>
                <w:sz w:val="21"/>
              </w:rPr>
            </w:pPr>
            <w:r>
              <w:rPr>
                <w:b/>
                <w:sz w:val="21"/>
              </w:rPr>
              <w:t>9.23</w:t>
            </w:r>
          </w:p>
        </w:tc>
        <w:tc>
          <w:tcPr>
            <w:tcW w:w="1488" w:type="dxa"/>
          </w:tcPr>
          <w:p>
            <w:pPr>
              <w:pStyle w:val="TableParagraph"/>
              <w:spacing w:line="273" w:lineRule="auto" w:before="61"/>
              <w:ind w:left="145" w:right="284"/>
              <w:jc w:val="both"/>
              <w:rPr>
                <w:b/>
                <w:sz w:val="21"/>
              </w:rPr>
            </w:pPr>
            <w:r>
              <w:rPr>
                <w:b/>
                <w:sz w:val="21"/>
              </w:rPr>
              <w:t>感染艾滋病病毒或患艾滋病</w:t>
            </w:r>
          </w:p>
        </w:tc>
        <w:tc>
          <w:tcPr>
            <w:tcW w:w="7806" w:type="dxa"/>
          </w:tcPr>
          <w:p>
            <w:pPr>
              <w:pStyle w:val="TableParagraph"/>
              <w:spacing w:line="273" w:lineRule="auto" w:before="61"/>
              <w:ind w:left="75" w:right="198"/>
              <w:jc w:val="both"/>
              <w:rPr>
                <w:sz w:val="21"/>
              </w:rPr>
            </w:pPr>
            <w:r>
              <w:rPr>
                <w:spacing w:val="-4"/>
                <w:sz w:val="21"/>
              </w:rPr>
              <w:t>艾滋病病毒指人类免疫缺陷病毒，英文缩写为 </w:t>
            </w:r>
            <w:r>
              <w:rPr>
                <w:sz w:val="21"/>
              </w:rPr>
              <w:t>HIV</w:t>
            </w:r>
            <w:r>
              <w:rPr>
                <w:spacing w:val="-3"/>
                <w:sz w:val="21"/>
              </w:rPr>
              <w:t>。艾滋病指人类免疫缺陷病毒引</w:t>
            </w:r>
            <w:r>
              <w:rPr>
                <w:spacing w:val="-8"/>
                <w:sz w:val="21"/>
              </w:rPr>
              <w:t>起的获得性免疫缺陷综合征，英文缩写为 </w:t>
            </w:r>
            <w:r>
              <w:rPr>
                <w:sz w:val="21"/>
              </w:rPr>
              <w:t>AIDS</w:t>
            </w:r>
            <w:r>
              <w:rPr>
                <w:spacing w:val="-8"/>
                <w:sz w:val="21"/>
              </w:rPr>
              <w:t>。在人体血液或其他样本中检测到艾滋病病毒或其抗体呈阳性，没有出现临床症状或体征的，为感染艾滋病病毒；如果</w:t>
            </w:r>
            <w:r>
              <w:rPr>
                <w:spacing w:val="-5"/>
                <w:sz w:val="21"/>
              </w:rPr>
              <w:t>同时出现了明显临床症状或体征的，为患艾滋病。</w:t>
            </w:r>
          </w:p>
        </w:tc>
      </w:tr>
      <w:tr>
        <w:trPr>
          <w:trHeight w:val="780" w:hRule="atLeast"/>
        </w:trPr>
        <w:tc>
          <w:tcPr>
            <w:tcW w:w="768" w:type="dxa"/>
          </w:tcPr>
          <w:p>
            <w:pPr>
              <w:pStyle w:val="TableParagraph"/>
              <w:spacing w:before="59"/>
              <w:ind w:left="179" w:right="125"/>
              <w:jc w:val="center"/>
              <w:rPr>
                <w:b/>
                <w:sz w:val="21"/>
              </w:rPr>
            </w:pPr>
            <w:r>
              <w:rPr>
                <w:b/>
                <w:sz w:val="21"/>
              </w:rPr>
              <w:t>9.24</w:t>
            </w:r>
          </w:p>
        </w:tc>
        <w:tc>
          <w:tcPr>
            <w:tcW w:w="1488" w:type="dxa"/>
          </w:tcPr>
          <w:p>
            <w:pPr>
              <w:pStyle w:val="TableParagraph"/>
              <w:spacing w:before="59"/>
              <w:ind w:left="145"/>
              <w:rPr>
                <w:b/>
                <w:sz w:val="21"/>
              </w:rPr>
            </w:pPr>
            <w:r>
              <w:rPr>
                <w:b/>
                <w:sz w:val="21"/>
              </w:rPr>
              <w:t>遗传性疾病</w:t>
            </w:r>
          </w:p>
        </w:tc>
        <w:tc>
          <w:tcPr>
            <w:tcW w:w="7806" w:type="dxa"/>
          </w:tcPr>
          <w:p>
            <w:pPr>
              <w:pStyle w:val="TableParagraph"/>
              <w:spacing w:line="273" w:lineRule="auto" w:before="59"/>
              <w:ind w:left="75" w:right="144"/>
              <w:rPr>
                <w:sz w:val="21"/>
              </w:rPr>
            </w:pPr>
            <w:r>
              <w:rPr>
                <w:sz w:val="21"/>
              </w:rPr>
              <w:t>指生殖细胞或受精卵的遗传物质（染色体和基因）发生突变（或畸变）所引起的疾病，通常具有由亲代传至后代的垂直传递的特征。</w:t>
            </w:r>
          </w:p>
        </w:tc>
      </w:tr>
      <w:tr>
        <w:trPr>
          <w:trHeight w:val="1088" w:hRule="atLeast"/>
        </w:trPr>
        <w:tc>
          <w:tcPr>
            <w:tcW w:w="768" w:type="dxa"/>
          </w:tcPr>
          <w:p>
            <w:pPr>
              <w:pStyle w:val="TableParagraph"/>
              <w:spacing w:before="58"/>
              <w:ind w:left="179" w:right="125"/>
              <w:jc w:val="center"/>
              <w:rPr>
                <w:b/>
                <w:sz w:val="21"/>
              </w:rPr>
            </w:pPr>
            <w:r>
              <w:rPr>
                <w:b/>
                <w:sz w:val="21"/>
              </w:rPr>
              <w:t>9.25</w:t>
            </w:r>
          </w:p>
        </w:tc>
        <w:tc>
          <w:tcPr>
            <w:tcW w:w="1488" w:type="dxa"/>
          </w:tcPr>
          <w:p>
            <w:pPr>
              <w:pStyle w:val="TableParagraph"/>
              <w:spacing w:line="273" w:lineRule="auto" w:before="58"/>
              <w:ind w:left="145" w:right="73"/>
              <w:rPr>
                <w:b/>
                <w:sz w:val="21"/>
              </w:rPr>
            </w:pPr>
            <w:r>
              <w:rPr>
                <w:b/>
                <w:sz w:val="21"/>
              </w:rPr>
              <w:t>先天性畸形、变形或染色 体异常</w:t>
            </w:r>
          </w:p>
        </w:tc>
        <w:tc>
          <w:tcPr>
            <w:tcW w:w="7806" w:type="dxa"/>
          </w:tcPr>
          <w:p>
            <w:pPr>
              <w:pStyle w:val="TableParagraph"/>
              <w:spacing w:line="273" w:lineRule="auto" w:before="58"/>
              <w:ind w:left="75" w:right="198"/>
              <w:rPr>
                <w:sz w:val="21"/>
              </w:rPr>
            </w:pPr>
            <w:r>
              <w:rPr>
                <w:spacing w:val="-6"/>
                <w:sz w:val="21"/>
              </w:rPr>
              <w:t>指被保险人出生时就具有的畸形、变形或染色体异常。先天性畸形、变形和染色体</w:t>
            </w:r>
            <w:r>
              <w:rPr>
                <w:spacing w:val="-7"/>
                <w:sz w:val="21"/>
              </w:rPr>
              <w:t>异常依照世界卫生组织《疾病和有关健康问题的国际统计分类》</w:t>
            </w:r>
            <w:r>
              <w:rPr>
                <w:sz w:val="21"/>
              </w:rPr>
              <w:t>（ICD-10）</w:t>
            </w:r>
            <w:r>
              <w:rPr>
                <w:spacing w:val="-2"/>
                <w:sz w:val="21"/>
              </w:rPr>
              <w:t>确定。</w:t>
            </w:r>
          </w:p>
        </w:tc>
      </w:tr>
      <w:tr>
        <w:trPr>
          <w:trHeight w:val="464" w:hRule="atLeast"/>
        </w:trPr>
        <w:tc>
          <w:tcPr>
            <w:tcW w:w="768" w:type="dxa"/>
          </w:tcPr>
          <w:p>
            <w:pPr>
              <w:pStyle w:val="TableParagraph"/>
              <w:spacing w:before="55"/>
              <w:ind w:left="179" w:right="125"/>
              <w:jc w:val="center"/>
              <w:rPr>
                <w:b/>
                <w:sz w:val="21"/>
              </w:rPr>
            </w:pPr>
            <w:r>
              <w:rPr>
                <w:b/>
                <w:sz w:val="21"/>
              </w:rPr>
              <w:t>9.26</w:t>
            </w:r>
          </w:p>
        </w:tc>
        <w:tc>
          <w:tcPr>
            <w:tcW w:w="1488" w:type="dxa"/>
          </w:tcPr>
          <w:p>
            <w:pPr>
              <w:pStyle w:val="TableParagraph"/>
              <w:spacing w:before="55"/>
              <w:ind w:left="145"/>
              <w:rPr>
                <w:b/>
                <w:sz w:val="21"/>
              </w:rPr>
            </w:pPr>
            <w:r>
              <w:rPr>
                <w:b/>
                <w:sz w:val="21"/>
              </w:rPr>
              <w:t>其他权利人</w:t>
            </w:r>
          </w:p>
        </w:tc>
        <w:tc>
          <w:tcPr>
            <w:tcW w:w="7806" w:type="dxa"/>
          </w:tcPr>
          <w:p>
            <w:pPr>
              <w:pStyle w:val="TableParagraph"/>
              <w:spacing w:before="55"/>
              <w:ind w:left="75"/>
              <w:rPr>
                <w:sz w:val="21"/>
              </w:rPr>
            </w:pPr>
            <w:r>
              <w:rPr>
                <w:sz w:val="21"/>
              </w:rPr>
              <w:t>其他权利人按照被保险人、被保险人继承人的顺序确定。</w:t>
            </w:r>
          </w:p>
        </w:tc>
      </w:tr>
      <w:tr>
        <w:trPr>
          <w:trHeight w:val="467" w:hRule="atLeast"/>
        </w:trPr>
        <w:tc>
          <w:tcPr>
            <w:tcW w:w="768" w:type="dxa"/>
          </w:tcPr>
          <w:p>
            <w:pPr>
              <w:pStyle w:val="TableParagraph"/>
              <w:spacing w:before="58"/>
              <w:ind w:left="179" w:right="125"/>
              <w:jc w:val="center"/>
              <w:rPr>
                <w:b/>
                <w:sz w:val="21"/>
              </w:rPr>
            </w:pPr>
            <w:r>
              <w:rPr>
                <w:b/>
                <w:sz w:val="21"/>
              </w:rPr>
              <w:t>9.27</w:t>
            </w:r>
          </w:p>
        </w:tc>
        <w:tc>
          <w:tcPr>
            <w:tcW w:w="1488" w:type="dxa"/>
          </w:tcPr>
          <w:p>
            <w:pPr>
              <w:pStyle w:val="TableParagraph"/>
              <w:spacing w:before="58"/>
              <w:ind w:left="145"/>
              <w:rPr>
                <w:b/>
                <w:sz w:val="21"/>
              </w:rPr>
            </w:pPr>
            <w:r>
              <w:rPr>
                <w:b/>
                <w:sz w:val="21"/>
              </w:rPr>
              <w:t>不可抗力</w:t>
            </w:r>
          </w:p>
        </w:tc>
        <w:tc>
          <w:tcPr>
            <w:tcW w:w="7806" w:type="dxa"/>
          </w:tcPr>
          <w:p>
            <w:pPr>
              <w:pStyle w:val="TableParagraph"/>
              <w:spacing w:before="58"/>
              <w:ind w:left="75"/>
              <w:rPr>
                <w:sz w:val="21"/>
              </w:rPr>
            </w:pPr>
            <w:r>
              <w:rPr>
                <w:sz w:val="21"/>
              </w:rPr>
              <w:t>指不能预见、不能避免、不能克服的客观情况。</w:t>
            </w:r>
          </w:p>
        </w:tc>
      </w:tr>
      <w:tr>
        <w:trPr>
          <w:trHeight w:val="802" w:hRule="atLeast"/>
        </w:trPr>
        <w:tc>
          <w:tcPr>
            <w:tcW w:w="768" w:type="dxa"/>
          </w:tcPr>
          <w:p>
            <w:pPr>
              <w:pStyle w:val="TableParagraph"/>
              <w:spacing w:before="58"/>
              <w:ind w:left="179" w:right="125"/>
              <w:jc w:val="center"/>
              <w:rPr>
                <w:b/>
                <w:sz w:val="21"/>
              </w:rPr>
            </w:pPr>
            <w:r>
              <w:rPr>
                <w:b/>
                <w:sz w:val="21"/>
              </w:rPr>
              <w:t>9.28</w:t>
            </w:r>
          </w:p>
        </w:tc>
        <w:tc>
          <w:tcPr>
            <w:tcW w:w="1488" w:type="dxa"/>
          </w:tcPr>
          <w:p>
            <w:pPr>
              <w:pStyle w:val="TableParagraph"/>
              <w:spacing w:line="273" w:lineRule="auto" w:before="58"/>
              <w:ind w:left="145" w:right="284"/>
              <w:rPr>
                <w:b/>
                <w:sz w:val="21"/>
              </w:rPr>
            </w:pPr>
            <w:r>
              <w:rPr>
                <w:b/>
                <w:sz w:val="21"/>
              </w:rPr>
              <w:t>法定身份证明</w:t>
            </w:r>
          </w:p>
        </w:tc>
        <w:tc>
          <w:tcPr>
            <w:tcW w:w="7806" w:type="dxa"/>
          </w:tcPr>
          <w:p>
            <w:pPr>
              <w:pStyle w:val="TableParagraph"/>
              <w:spacing w:line="273" w:lineRule="auto" w:before="58"/>
              <w:ind w:left="75" w:right="198"/>
              <w:rPr>
                <w:sz w:val="21"/>
              </w:rPr>
            </w:pPr>
            <w:r>
              <w:rPr>
                <w:spacing w:val="-7"/>
                <w:sz w:val="21"/>
              </w:rPr>
              <w:t>指依据法律规定，由有权机构制作颁发的证明身份的证件、文件等，如：居民身份</w:t>
            </w:r>
            <w:r>
              <w:rPr>
                <w:spacing w:val="-5"/>
                <w:sz w:val="21"/>
              </w:rPr>
              <w:t>证、户口簿、护照、军人证等。</w:t>
            </w:r>
          </w:p>
        </w:tc>
      </w:tr>
      <w:tr>
        <w:trPr>
          <w:trHeight w:val="673" w:hRule="atLeast"/>
        </w:trPr>
        <w:tc>
          <w:tcPr>
            <w:tcW w:w="768" w:type="dxa"/>
          </w:tcPr>
          <w:p>
            <w:pPr>
              <w:pStyle w:val="TableParagraph"/>
              <w:spacing w:before="80"/>
              <w:ind w:left="179" w:right="125"/>
              <w:jc w:val="center"/>
              <w:rPr>
                <w:b/>
                <w:sz w:val="21"/>
              </w:rPr>
            </w:pPr>
            <w:r>
              <w:rPr>
                <w:b/>
                <w:sz w:val="21"/>
              </w:rPr>
              <w:t>9.29</w:t>
            </w:r>
          </w:p>
        </w:tc>
        <w:tc>
          <w:tcPr>
            <w:tcW w:w="1488" w:type="dxa"/>
          </w:tcPr>
          <w:p>
            <w:pPr>
              <w:pStyle w:val="TableParagraph"/>
              <w:spacing w:line="310" w:lineRule="atLeast" w:before="45"/>
              <w:ind w:left="145" w:right="284"/>
              <w:rPr>
                <w:b/>
                <w:sz w:val="21"/>
              </w:rPr>
            </w:pPr>
            <w:r>
              <w:rPr>
                <w:b/>
                <w:sz w:val="21"/>
              </w:rPr>
              <w:t>现金价值净额</w:t>
            </w:r>
          </w:p>
        </w:tc>
        <w:tc>
          <w:tcPr>
            <w:tcW w:w="7806" w:type="dxa"/>
          </w:tcPr>
          <w:p>
            <w:pPr>
              <w:pStyle w:val="TableParagraph"/>
              <w:spacing w:line="310" w:lineRule="atLeast" w:before="45"/>
              <w:ind w:left="75" w:right="157"/>
              <w:rPr>
                <w:sz w:val="21"/>
              </w:rPr>
            </w:pPr>
            <w:r>
              <w:rPr>
                <w:sz w:val="21"/>
              </w:rPr>
              <w:t>指现金价值在扣除尚未偿还的保单贷款、欠交的保险费、累积利息和其他未还款项后的余额。</w:t>
            </w:r>
          </w:p>
        </w:tc>
      </w:tr>
    </w:tbl>
    <w:sectPr>
      <w:pgSz w:w="11910" w:h="16840"/>
      <w:pgMar w:header="0" w:footer="377" w:top="1340" w:bottom="560" w:left="8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 style="position:absolute;margin-left:291.089996pt;margin-top:808.059937pt;width:13.15pt;height:12pt;mso-position-horizontal-relative:page;mso-position-vertical-relative:page;z-index:-810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8">
    <w:multiLevelType w:val="hybridMultilevel"/>
    <w:lvl w:ilvl="0">
      <w:start w:val="1"/>
      <w:numFmt w:val="decimal"/>
      <w:lvlText w:val="（%1）"/>
      <w:lvlJc w:val="left"/>
      <w:pPr>
        <w:ind w:left="642" w:hanging="567"/>
        <w:jc w:val="left"/>
      </w:pPr>
      <w:rPr>
        <w:rFonts w:hint="default" w:ascii="仿宋" w:hAnsi="仿宋" w:eastAsia="仿宋" w:cs="仿宋"/>
        <w:w w:val="100"/>
        <w:sz w:val="21"/>
        <w:szCs w:val="21"/>
      </w:rPr>
    </w:lvl>
    <w:lvl w:ilvl="1">
      <w:start w:val="0"/>
      <w:numFmt w:val="bullet"/>
      <w:lvlText w:val="•"/>
      <w:lvlJc w:val="left"/>
      <w:pPr>
        <w:ind w:left="1356" w:hanging="567"/>
      </w:pPr>
      <w:rPr>
        <w:rFonts w:hint="default"/>
      </w:rPr>
    </w:lvl>
    <w:lvl w:ilvl="2">
      <w:start w:val="0"/>
      <w:numFmt w:val="bullet"/>
      <w:lvlText w:val="•"/>
      <w:lvlJc w:val="left"/>
      <w:pPr>
        <w:ind w:left="2073" w:hanging="567"/>
      </w:pPr>
      <w:rPr>
        <w:rFonts w:hint="default"/>
      </w:rPr>
    </w:lvl>
    <w:lvl w:ilvl="3">
      <w:start w:val="0"/>
      <w:numFmt w:val="bullet"/>
      <w:lvlText w:val="•"/>
      <w:lvlJc w:val="left"/>
      <w:pPr>
        <w:ind w:left="2789" w:hanging="567"/>
      </w:pPr>
      <w:rPr>
        <w:rFonts w:hint="default"/>
      </w:rPr>
    </w:lvl>
    <w:lvl w:ilvl="4">
      <w:start w:val="0"/>
      <w:numFmt w:val="bullet"/>
      <w:lvlText w:val="•"/>
      <w:lvlJc w:val="left"/>
      <w:pPr>
        <w:ind w:left="3506" w:hanging="567"/>
      </w:pPr>
      <w:rPr>
        <w:rFonts w:hint="default"/>
      </w:rPr>
    </w:lvl>
    <w:lvl w:ilvl="5">
      <w:start w:val="0"/>
      <w:numFmt w:val="bullet"/>
      <w:lvlText w:val="•"/>
      <w:lvlJc w:val="left"/>
      <w:pPr>
        <w:ind w:left="4223" w:hanging="567"/>
      </w:pPr>
      <w:rPr>
        <w:rFonts w:hint="default"/>
      </w:rPr>
    </w:lvl>
    <w:lvl w:ilvl="6">
      <w:start w:val="0"/>
      <w:numFmt w:val="bullet"/>
      <w:lvlText w:val="•"/>
      <w:lvlJc w:val="left"/>
      <w:pPr>
        <w:ind w:left="4939" w:hanging="567"/>
      </w:pPr>
      <w:rPr>
        <w:rFonts w:hint="default"/>
      </w:rPr>
    </w:lvl>
    <w:lvl w:ilvl="7">
      <w:start w:val="0"/>
      <w:numFmt w:val="bullet"/>
      <w:lvlText w:val="•"/>
      <w:lvlJc w:val="left"/>
      <w:pPr>
        <w:ind w:left="5656" w:hanging="567"/>
      </w:pPr>
      <w:rPr>
        <w:rFonts w:hint="default"/>
      </w:rPr>
    </w:lvl>
    <w:lvl w:ilvl="8">
      <w:start w:val="0"/>
      <w:numFmt w:val="bullet"/>
      <w:lvlText w:val="•"/>
      <w:lvlJc w:val="left"/>
      <w:pPr>
        <w:ind w:left="6372" w:hanging="567"/>
      </w:pPr>
      <w:rPr>
        <w:rFonts w:hint="default"/>
      </w:rPr>
    </w:lvl>
  </w:abstractNum>
  <w:abstractNum w:abstractNumId="67">
    <w:multiLevelType w:val="hybridMultilevel"/>
    <w:lvl w:ilvl="0">
      <w:start w:val="1"/>
      <w:numFmt w:val="decimal"/>
      <w:lvlText w:val="（%1）"/>
      <w:lvlJc w:val="left"/>
      <w:pPr>
        <w:ind w:left="642" w:hanging="567"/>
        <w:jc w:val="left"/>
      </w:pPr>
      <w:rPr>
        <w:rFonts w:hint="default" w:ascii="仿宋" w:hAnsi="仿宋" w:eastAsia="仿宋" w:cs="仿宋"/>
        <w:w w:val="100"/>
        <w:sz w:val="21"/>
        <w:szCs w:val="21"/>
      </w:rPr>
    </w:lvl>
    <w:lvl w:ilvl="1">
      <w:start w:val="0"/>
      <w:numFmt w:val="bullet"/>
      <w:lvlText w:val="•"/>
      <w:lvlJc w:val="left"/>
      <w:pPr>
        <w:ind w:left="1356" w:hanging="567"/>
      </w:pPr>
      <w:rPr>
        <w:rFonts w:hint="default"/>
      </w:rPr>
    </w:lvl>
    <w:lvl w:ilvl="2">
      <w:start w:val="0"/>
      <w:numFmt w:val="bullet"/>
      <w:lvlText w:val="•"/>
      <w:lvlJc w:val="left"/>
      <w:pPr>
        <w:ind w:left="2073" w:hanging="567"/>
      </w:pPr>
      <w:rPr>
        <w:rFonts w:hint="default"/>
      </w:rPr>
    </w:lvl>
    <w:lvl w:ilvl="3">
      <w:start w:val="0"/>
      <w:numFmt w:val="bullet"/>
      <w:lvlText w:val="•"/>
      <w:lvlJc w:val="left"/>
      <w:pPr>
        <w:ind w:left="2789" w:hanging="567"/>
      </w:pPr>
      <w:rPr>
        <w:rFonts w:hint="default"/>
      </w:rPr>
    </w:lvl>
    <w:lvl w:ilvl="4">
      <w:start w:val="0"/>
      <w:numFmt w:val="bullet"/>
      <w:lvlText w:val="•"/>
      <w:lvlJc w:val="left"/>
      <w:pPr>
        <w:ind w:left="3506" w:hanging="567"/>
      </w:pPr>
      <w:rPr>
        <w:rFonts w:hint="default"/>
      </w:rPr>
    </w:lvl>
    <w:lvl w:ilvl="5">
      <w:start w:val="0"/>
      <w:numFmt w:val="bullet"/>
      <w:lvlText w:val="•"/>
      <w:lvlJc w:val="left"/>
      <w:pPr>
        <w:ind w:left="4223" w:hanging="567"/>
      </w:pPr>
      <w:rPr>
        <w:rFonts w:hint="default"/>
      </w:rPr>
    </w:lvl>
    <w:lvl w:ilvl="6">
      <w:start w:val="0"/>
      <w:numFmt w:val="bullet"/>
      <w:lvlText w:val="•"/>
      <w:lvlJc w:val="left"/>
      <w:pPr>
        <w:ind w:left="4939" w:hanging="567"/>
      </w:pPr>
      <w:rPr>
        <w:rFonts w:hint="default"/>
      </w:rPr>
    </w:lvl>
    <w:lvl w:ilvl="7">
      <w:start w:val="0"/>
      <w:numFmt w:val="bullet"/>
      <w:lvlText w:val="•"/>
      <w:lvlJc w:val="left"/>
      <w:pPr>
        <w:ind w:left="5656" w:hanging="567"/>
      </w:pPr>
      <w:rPr>
        <w:rFonts w:hint="default"/>
      </w:rPr>
    </w:lvl>
    <w:lvl w:ilvl="8">
      <w:start w:val="0"/>
      <w:numFmt w:val="bullet"/>
      <w:lvlText w:val="•"/>
      <w:lvlJc w:val="left"/>
      <w:pPr>
        <w:ind w:left="6372" w:hanging="567"/>
      </w:pPr>
      <w:rPr>
        <w:rFonts w:hint="default"/>
      </w:rPr>
    </w:lvl>
  </w:abstractNum>
  <w:abstractNum w:abstractNumId="66">
    <w:multiLevelType w:val="hybridMultilevel"/>
    <w:lvl w:ilvl="0">
      <w:start w:val="9"/>
      <w:numFmt w:val="decimal"/>
      <w:lvlText w:val="%1"/>
      <w:lvlJc w:val="left"/>
      <w:pPr>
        <w:ind w:left="2237" w:hanging="714"/>
        <w:jc w:val="left"/>
      </w:pPr>
      <w:rPr>
        <w:rFonts w:hint="default"/>
      </w:rPr>
    </w:lvl>
    <w:lvl w:ilvl="1">
      <w:start w:val="10"/>
      <w:numFmt w:val="decimal"/>
      <w:lvlText w:val="%1.%2"/>
      <w:lvlJc w:val="left"/>
      <w:pPr>
        <w:ind w:left="2237" w:hanging="714"/>
        <w:jc w:val="left"/>
      </w:pPr>
      <w:rPr>
        <w:rFonts w:hint="default" w:ascii="仿宋" w:hAnsi="仿宋" w:eastAsia="仿宋" w:cs="仿宋"/>
        <w:b/>
        <w:bCs/>
        <w:w w:val="99"/>
        <w:sz w:val="21"/>
        <w:szCs w:val="21"/>
      </w:rPr>
    </w:lvl>
    <w:lvl w:ilvl="2">
      <w:start w:val="0"/>
      <w:numFmt w:val="bullet"/>
      <w:lvlText w:val="•"/>
      <w:lvlJc w:val="left"/>
      <w:pPr>
        <w:ind w:left="3789" w:hanging="714"/>
      </w:pPr>
      <w:rPr>
        <w:rFonts w:hint="default"/>
      </w:rPr>
    </w:lvl>
    <w:lvl w:ilvl="3">
      <w:start w:val="0"/>
      <w:numFmt w:val="bullet"/>
      <w:lvlText w:val="•"/>
      <w:lvlJc w:val="left"/>
      <w:pPr>
        <w:ind w:left="4563" w:hanging="714"/>
      </w:pPr>
      <w:rPr>
        <w:rFonts w:hint="default"/>
      </w:rPr>
    </w:lvl>
    <w:lvl w:ilvl="4">
      <w:start w:val="0"/>
      <w:numFmt w:val="bullet"/>
      <w:lvlText w:val="•"/>
      <w:lvlJc w:val="left"/>
      <w:pPr>
        <w:ind w:left="5338" w:hanging="714"/>
      </w:pPr>
      <w:rPr>
        <w:rFonts w:hint="default"/>
      </w:rPr>
    </w:lvl>
    <w:lvl w:ilvl="5">
      <w:start w:val="0"/>
      <w:numFmt w:val="bullet"/>
      <w:lvlText w:val="•"/>
      <w:lvlJc w:val="left"/>
      <w:pPr>
        <w:ind w:left="6113" w:hanging="714"/>
      </w:pPr>
      <w:rPr>
        <w:rFonts w:hint="default"/>
      </w:rPr>
    </w:lvl>
    <w:lvl w:ilvl="6">
      <w:start w:val="0"/>
      <w:numFmt w:val="bullet"/>
      <w:lvlText w:val="•"/>
      <w:lvlJc w:val="left"/>
      <w:pPr>
        <w:ind w:left="6887" w:hanging="714"/>
      </w:pPr>
      <w:rPr>
        <w:rFonts w:hint="default"/>
      </w:rPr>
    </w:lvl>
    <w:lvl w:ilvl="7">
      <w:start w:val="0"/>
      <w:numFmt w:val="bullet"/>
      <w:lvlText w:val="•"/>
      <w:lvlJc w:val="left"/>
      <w:pPr>
        <w:ind w:left="7662" w:hanging="714"/>
      </w:pPr>
      <w:rPr>
        <w:rFonts w:hint="default"/>
      </w:rPr>
    </w:lvl>
    <w:lvl w:ilvl="8">
      <w:start w:val="0"/>
      <w:numFmt w:val="bullet"/>
      <w:lvlText w:val="•"/>
      <w:lvlJc w:val="left"/>
      <w:pPr>
        <w:ind w:left="8437" w:hanging="714"/>
      </w:pPr>
      <w:rPr>
        <w:rFonts w:hint="default"/>
      </w:rPr>
    </w:lvl>
  </w:abstractNum>
  <w:abstractNum w:abstractNumId="65">
    <w:multiLevelType w:val="hybridMultilevel"/>
    <w:lvl w:ilvl="0">
      <w:start w:val="1"/>
      <w:numFmt w:val="lowerLetter"/>
      <w:lvlText w:val="%1."/>
      <w:lvlJc w:val="left"/>
      <w:pPr>
        <w:ind w:left="946" w:hanging="317"/>
        <w:jc w:val="left"/>
      </w:pPr>
      <w:rPr>
        <w:rFonts w:hint="default" w:ascii="仿宋" w:hAnsi="仿宋" w:eastAsia="仿宋" w:cs="仿宋"/>
        <w:w w:val="100"/>
        <w:sz w:val="21"/>
        <w:szCs w:val="21"/>
      </w:rPr>
    </w:lvl>
    <w:lvl w:ilvl="1">
      <w:start w:val="0"/>
      <w:numFmt w:val="bullet"/>
      <w:lvlText w:val="•"/>
      <w:lvlJc w:val="left"/>
      <w:pPr>
        <w:ind w:left="1639" w:hanging="317"/>
      </w:pPr>
      <w:rPr>
        <w:rFonts w:hint="default"/>
      </w:rPr>
    </w:lvl>
    <w:lvl w:ilvl="2">
      <w:start w:val="0"/>
      <w:numFmt w:val="bullet"/>
      <w:lvlText w:val="•"/>
      <w:lvlJc w:val="left"/>
      <w:pPr>
        <w:ind w:left="2339" w:hanging="317"/>
      </w:pPr>
      <w:rPr>
        <w:rFonts w:hint="default"/>
      </w:rPr>
    </w:lvl>
    <w:lvl w:ilvl="3">
      <w:start w:val="0"/>
      <w:numFmt w:val="bullet"/>
      <w:lvlText w:val="•"/>
      <w:lvlJc w:val="left"/>
      <w:pPr>
        <w:ind w:left="3039" w:hanging="317"/>
      </w:pPr>
      <w:rPr>
        <w:rFonts w:hint="default"/>
      </w:rPr>
    </w:lvl>
    <w:lvl w:ilvl="4">
      <w:start w:val="0"/>
      <w:numFmt w:val="bullet"/>
      <w:lvlText w:val="•"/>
      <w:lvlJc w:val="left"/>
      <w:pPr>
        <w:ind w:left="3739" w:hanging="317"/>
      </w:pPr>
      <w:rPr>
        <w:rFonts w:hint="default"/>
      </w:rPr>
    </w:lvl>
    <w:lvl w:ilvl="5">
      <w:start w:val="0"/>
      <w:numFmt w:val="bullet"/>
      <w:lvlText w:val="•"/>
      <w:lvlJc w:val="left"/>
      <w:pPr>
        <w:ind w:left="4439" w:hanging="317"/>
      </w:pPr>
      <w:rPr>
        <w:rFonts w:hint="default"/>
      </w:rPr>
    </w:lvl>
    <w:lvl w:ilvl="6">
      <w:start w:val="0"/>
      <w:numFmt w:val="bullet"/>
      <w:lvlText w:val="•"/>
      <w:lvlJc w:val="left"/>
      <w:pPr>
        <w:ind w:left="5139" w:hanging="317"/>
      </w:pPr>
      <w:rPr>
        <w:rFonts w:hint="default"/>
      </w:rPr>
    </w:lvl>
    <w:lvl w:ilvl="7">
      <w:start w:val="0"/>
      <w:numFmt w:val="bullet"/>
      <w:lvlText w:val="•"/>
      <w:lvlJc w:val="left"/>
      <w:pPr>
        <w:ind w:left="5839" w:hanging="317"/>
      </w:pPr>
      <w:rPr>
        <w:rFonts w:hint="default"/>
      </w:rPr>
    </w:lvl>
    <w:lvl w:ilvl="8">
      <w:start w:val="0"/>
      <w:numFmt w:val="bullet"/>
      <w:lvlText w:val="•"/>
      <w:lvlJc w:val="left"/>
      <w:pPr>
        <w:ind w:left="6539" w:hanging="317"/>
      </w:pPr>
      <w:rPr>
        <w:rFonts w:hint="default"/>
      </w:rPr>
    </w:lvl>
  </w:abstractNum>
  <w:abstractNum w:abstractNumId="64">
    <w:multiLevelType w:val="hybridMultilevel"/>
    <w:lvl w:ilvl="0">
      <w:start w:val="1"/>
      <w:numFmt w:val="decimal"/>
      <w:lvlText w:val="（%1）"/>
      <w:lvlJc w:val="left"/>
      <w:pPr>
        <w:ind w:left="823" w:hanging="721"/>
        <w:jc w:val="left"/>
      </w:pPr>
      <w:rPr>
        <w:rFonts w:hint="default" w:ascii="仿宋" w:hAnsi="仿宋" w:eastAsia="仿宋" w:cs="仿宋"/>
        <w:w w:val="100"/>
        <w:sz w:val="21"/>
        <w:szCs w:val="21"/>
      </w:rPr>
    </w:lvl>
    <w:lvl w:ilvl="1">
      <w:start w:val="0"/>
      <w:numFmt w:val="bullet"/>
      <w:lvlText w:val="•"/>
      <w:lvlJc w:val="left"/>
      <w:pPr>
        <w:ind w:left="1531" w:hanging="721"/>
      </w:pPr>
      <w:rPr>
        <w:rFonts w:hint="default"/>
      </w:rPr>
    </w:lvl>
    <w:lvl w:ilvl="2">
      <w:start w:val="0"/>
      <w:numFmt w:val="bullet"/>
      <w:lvlText w:val="•"/>
      <w:lvlJc w:val="left"/>
      <w:pPr>
        <w:ind w:left="2243" w:hanging="721"/>
      </w:pPr>
      <w:rPr>
        <w:rFonts w:hint="default"/>
      </w:rPr>
    </w:lvl>
    <w:lvl w:ilvl="3">
      <w:start w:val="0"/>
      <w:numFmt w:val="bullet"/>
      <w:lvlText w:val="•"/>
      <w:lvlJc w:val="left"/>
      <w:pPr>
        <w:ind w:left="2955" w:hanging="721"/>
      </w:pPr>
      <w:rPr>
        <w:rFonts w:hint="default"/>
      </w:rPr>
    </w:lvl>
    <w:lvl w:ilvl="4">
      <w:start w:val="0"/>
      <w:numFmt w:val="bullet"/>
      <w:lvlText w:val="•"/>
      <w:lvlJc w:val="left"/>
      <w:pPr>
        <w:ind w:left="3667" w:hanging="721"/>
      </w:pPr>
      <w:rPr>
        <w:rFonts w:hint="default"/>
      </w:rPr>
    </w:lvl>
    <w:lvl w:ilvl="5">
      <w:start w:val="0"/>
      <w:numFmt w:val="bullet"/>
      <w:lvlText w:val="•"/>
      <w:lvlJc w:val="left"/>
      <w:pPr>
        <w:ind w:left="4379" w:hanging="721"/>
      </w:pPr>
      <w:rPr>
        <w:rFonts w:hint="default"/>
      </w:rPr>
    </w:lvl>
    <w:lvl w:ilvl="6">
      <w:start w:val="0"/>
      <w:numFmt w:val="bullet"/>
      <w:lvlText w:val="•"/>
      <w:lvlJc w:val="left"/>
      <w:pPr>
        <w:ind w:left="5091" w:hanging="721"/>
      </w:pPr>
      <w:rPr>
        <w:rFonts w:hint="default"/>
      </w:rPr>
    </w:lvl>
    <w:lvl w:ilvl="7">
      <w:start w:val="0"/>
      <w:numFmt w:val="bullet"/>
      <w:lvlText w:val="•"/>
      <w:lvlJc w:val="left"/>
      <w:pPr>
        <w:ind w:left="5803" w:hanging="721"/>
      </w:pPr>
      <w:rPr>
        <w:rFonts w:hint="default"/>
      </w:rPr>
    </w:lvl>
    <w:lvl w:ilvl="8">
      <w:start w:val="0"/>
      <w:numFmt w:val="bullet"/>
      <w:lvlText w:val="•"/>
      <w:lvlJc w:val="left"/>
      <w:pPr>
        <w:ind w:left="6515" w:hanging="721"/>
      </w:pPr>
      <w:rPr>
        <w:rFonts w:hint="default"/>
      </w:rPr>
    </w:lvl>
  </w:abstractNum>
  <w:abstractNum w:abstractNumId="63">
    <w:multiLevelType w:val="hybridMultilevel"/>
    <w:lvl w:ilvl="0">
      <w:start w:val="1"/>
      <w:numFmt w:val="decimal"/>
      <w:lvlText w:val="（%1）"/>
      <w:lvlJc w:val="left"/>
      <w:pPr>
        <w:ind w:left="786" w:hanging="721"/>
        <w:jc w:val="left"/>
      </w:pPr>
      <w:rPr>
        <w:rFonts w:hint="default" w:ascii="仿宋" w:hAnsi="仿宋" w:eastAsia="仿宋" w:cs="仿宋"/>
        <w:w w:val="100"/>
        <w:sz w:val="21"/>
        <w:szCs w:val="21"/>
      </w:rPr>
    </w:lvl>
    <w:lvl w:ilvl="1">
      <w:start w:val="0"/>
      <w:numFmt w:val="bullet"/>
      <w:lvlText w:val="•"/>
      <w:lvlJc w:val="left"/>
      <w:pPr>
        <w:ind w:left="1491" w:hanging="721"/>
      </w:pPr>
      <w:rPr>
        <w:rFonts w:hint="default"/>
      </w:rPr>
    </w:lvl>
    <w:lvl w:ilvl="2">
      <w:start w:val="0"/>
      <w:numFmt w:val="bullet"/>
      <w:lvlText w:val="•"/>
      <w:lvlJc w:val="left"/>
      <w:pPr>
        <w:ind w:left="2203" w:hanging="721"/>
      </w:pPr>
      <w:rPr>
        <w:rFonts w:hint="default"/>
      </w:rPr>
    </w:lvl>
    <w:lvl w:ilvl="3">
      <w:start w:val="0"/>
      <w:numFmt w:val="bullet"/>
      <w:lvlText w:val="•"/>
      <w:lvlJc w:val="left"/>
      <w:pPr>
        <w:ind w:left="2915" w:hanging="721"/>
      </w:pPr>
      <w:rPr>
        <w:rFonts w:hint="default"/>
      </w:rPr>
    </w:lvl>
    <w:lvl w:ilvl="4">
      <w:start w:val="0"/>
      <w:numFmt w:val="bullet"/>
      <w:lvlText w:val="•"/>
      <w:lvlJc w:val="left"/>
      <w:pPr>
        <w:ind w:left="3627" w:hanging="721"/>
      </w:pPr>
      <w:rPr>
        <w:rFonts w:hint="default"/>
      </w:rPr>
    </w:lvl>
    <w:lvl w:ilvl="5">
      <w:start w:val="0"/>
      <w:numFmt w:val="bullet"/>
      <w:lvlText w:val="•"/>
      <w:lvlJc w:val="left"/>
      <w:pPr>
        <w:ind w:left="4339" w:hanging="721"/>
      </w:pPr>
      <w:rPr>
        <w:rFonts w:hint="default"/>
      </w:rPr>
    </w:lvl>
    <w:lvl w:ilvl="6">
      <w:start w:val="0"/>
      <w:numFmt w:val="bullet"/>
      <w:lvlText w:val="•"/>
      <w:lvlJc w:val="left"/>
      <w:pPr>
        <w:ind w:left="5051" w:hanging="721"/>
      </w:pPr>
      <w:rPr>
        <w:rFonts w:hint="default"/>
      </w:rPr>
    </w:lvl>
    <w:lvl w:ilvl="7">
      <w:start w:val="0"/>
      <w:numFmt w:val="bullet"/>
      <w:lvlText w:val="•"/>
      <w:lvlJc w:val="left"/>
      <w:pPr>
        <w:ind w:left="5763" w:hanging="721"/>
      </w:pPr>
      <w:rPr>
        <w:rFonts w:hint="default"/>
      </w:rPr>
    </w:lvl>
    <w:lvl w:ilvl="8">
      <w:start w:val="0"/>
      <w:numFmt w:val="bullet"/>
      <w:lvlText w:val="•"/>
      <w:lvlJc w:val="left"/>
      <w:pPr>
        <w:ind w:left="6475" w:hanging="721"/>
      </w:pPr>
      <w:rPr>
        <w:rFonts w:hint="default"/>
      </w:rPr>
    </w:lvl>
  </w:abstractNum>
  <w:abstractNum w:abstractNumId="62">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42" w:hanging="735"/>
      </w:pPr>
      <w:rPr>
        <w:rFonts w:hint="default"/>
      </w:rPr>
    </w:lvl>
    <w:lvl w:ilvl="2">
      <w:start w:val="0"/>
      <w:numFmt w:val="bullet"/>
      <w:lvlText w:val="•"/>
      <w:lvlJc w:val="left"/>
      <w:pPr>
        <w:ind w:left="2245"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51" w:hanging="735"/>
      </w:pPr>
      <w:rPr>
        <w:rFonts w:hint="default"/>
      </w:rPr>
    </w:lvl>
    <w:lvl w:ilvl="5">
      <w:start w:val="0"/>
      <w:numFmt w:val="bullet"/>
      <w:lvlText w:val="•"/>
      <w:lvlJc w:val="left"/>
      <w:pPr>
        <w:ind w:left="4354" w:hanging="735"/>
      </w:pPr>
      <w:rPr>
        <w:rFonts w:hint="default"/>
      </w:rPr>
    </w:lvl>
    <w:lvl w:ilvl="6">
      <w:start w:val="0"/>
      <w:numFmt w:val="bullet"/>
      <w:lvlText w:val="•"/>
      <w:lvlJc w:val="left"/>
      <w:pPr>
        <w:ind w:left="5057" w:hanging="735"/>
      </w:pPr>
      <w:rPr>
        <w:rFonts w:hint="default"/>
      </w:rPr>
    </w:lvl>
    <w:lvl w:ilvl="7">
      <w:start w:val="0"/>
      <w:numFmt w:val="bullet"/>
      <w:lvlText w:val="•"/>
      <w:lvlJc w:val="left"/>
      <w:pPr>
        <w:ind w:left="5760" w:hanging="735"/>
      </w:pPr>
      <w:rPr>
        <w:rFonts w:hint="default"/>
      </w:rPr>
    </w:lvl>
    <w:lvl w:ilvl="8">
      <w:start w:val="0"/>
      <w:numFmt w:val="bullet"/>
      <w:lvlText w:val="•"/>
      <w:lvlJc w:val="left"/>
      <w:pPr>
        <w:ind w:left="6463" w:hanging="735"/>
      </w:pPr>
      <w:rPr>
        <w:rFonts w:hint="default"/>
      </w:rPr>
    </w:lvl>
  </w:abstractNum>
  <w:abstractNum w:abstractNumId="61">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42" w:hanging="735"/>
      </w:pPr>
      <w:rPr>
        <w:rFonts w:hint="default"/>
      </w:rPr>
    </w:lvl>
    <w:lvl w:ilvl="2">
      <w:start w:val="0"/>
      <w:numFmt w:val="bullet"/>
      <w:lvlText w:val="•"/>
      <w:lvlJc w:val="left"/>
      <w:pPr>
        <w:ind w:left="2245"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51" w:hanging="735"/>
      </w:pPr>
      <w:rPr>
        <w:rFonts w:hint="default"/>
      </w:rPr>
    </w:lvl>
    <w:lvl w:ilvl="5">
      <w:start w:val="0"/>
      <w:numFmt w:val="bullet"/>
      <w:lvlText w:val="•"/>
      <w:lvlJc w:val="left"/>
      <w:pPr>
        <w:ind w:left="4354" w:hanging="735"/>
      </w:pPr>
      <w:rPr>
        <w:rFonts w:hint="default"/>
      </w:rPr>
    </w:lvl>
    <w:lvl w:ilvl="6">
      <w:start w:val="0"/>
      <w:numFmt w:val="bullet"/>
      <w:lvlText w:val="•"/>
      <w:lvlJc w:val="left"/>
      <w:pPr>
        <w:ind w:left="5057" w:hanging="735"/>
      </w:pPr>
      <w:rPr>
        <w:rFonts w:hint="default"/>
      </w:rPr>
    </w:lvl>
    <w:lvl w:ilvl="7">
      <w:start w:val="0"/>
      <w:numFmt w:val="bullet"/>
      <w:lvlText w:val="•"/>
      <w:lvlJc w:val="left"/>
      <w:pPr>
        <w:ind w:left="5760" w:hanging="735"/>
      </w:pPr>
      <w:rPr>
        <w:rFonts w:hint="default"/>
      </w:rPr>
    </w:lvl>
    <w:lvl w:ilvl="8">
      <w:start w:val="0"/>
      <w:numFmt w:val="bullet"/>
      <w:lvlText w:val="•"/>
      <w:lvlJc w:val="left"/>
      <w:pPr>
        <w:ind w:left="6463" w:hanging="735"/>
      </w:pPr>
      <w:rPr>
        <w:rFonts w:hint="default"/>
      </w:rPr>
    </w:lvl>
  </w:abstractNum>
  <w:abstractNum w:abstractNumId="60">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42" w:hanging="735"/>
      </w:pPr>
      <w:rPr>
        <w:rFonts w:hint="default"/>
      </w:rPr>
    </w:lvl>
    <w:lvl w:ilvl="2">
      <w:start w:val="0"/>
      <w:numFmt w:val="bullet"/>
      <w:lvlText w:val="•"/>
      <w:lvlJc w:val="left"/>
      <w:pPr>
        <w:ind w:left="2245"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51" w:hanging="735"/>
      </w:pPr>
      <w:rPr>
        <w:rFonts w:hint="default"/>
      </w:rPr>
    </w:lvl>
    <w:lvl w:ilvl="5">
      <w:start w:val="0"/>
      <w:numFmt w:val="bullet"/>
      <w:lvlText w:val="•"/>
      <w:lvlJc w:val="left"/>
      <w:pPr>
        <w:ind w:left="4354" w:hanging="735"/>
      </w:pPr>
      <w:rPr>
        <w:rFonts w:hint="default"/>
      </w:rPr>
    </w:lvl>
    <w:lvl w:ilvl="6">
      <w:start w:val="0"/>
      <w:numFmt w:val="bullet"/>
      <w:lvlText w:val="•"/>
      <w:lvlJc w:val="left"/>
      <w:pPr>
        <w:ind w:left="5057" w:hanging="735"/>
      </w:pPr>
      <w:rPr>
        <w:rFonts w:hint="default"/>
      </w:rPr>
    </w:lvl>
    <w:lvl w:ilvl="7">
      <w:start w:val="0"/>
      <w:numFmt w:val="bullet"/>
      <w:lvlText w:val="•"/>
      <w:lvlJc w:val="left"/>
      <w:pPr>
        <w:ind w:left="5760" w:hanging="735"/>
      </w:pPr>
      <w:rPr>
        <w:rFonts w:hint="default"/>
      </w:rPr>
    </w:lvl>
    <w:lvl w:ilvl="8">
      <w:start w:val="0"/>
      <w:numFmt w:val="bullet"/>
      <w:lvlText w:val="•"/>
      <w:lvlJc w:val="left"/>
      <w:pPr>
        <w:ind w:left="6463" w:hanging="735"/>
      </w:pPr>
      <w:rPr>
        <w:rFonts w:hint="default"/>
      </w:rPr>
    </w:lvl>
  </w:abstractNum>
  <w:abstractNum w:abstractNumId="59">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42" w:hanging="735"/>
      </w:pPr>
      <w:rPr>
        <w:rFonts w:hint="default"/>
      </w:rPr>
    </w:lvl>
    <w:lvl w:ilvl="2">
      <w:start w:val="0"/>
      <w:numFmt w:val="bullet"/>
      <w:lvlText w:val="•"/>
      <w:lvlJc w:val="left"/>
      <w:pPr>
        <w:ind w:left="2245" w:hanging="735"/>
      </w:pPr>
      <w:rPr>
        <w:rFonts w:hint="default"/>
      </w:rPr>
    </w:lvl>
    <w:lvl w:ilvl="3">
      <w:start w:val="0"/>
      <w:numFmt w:val="bullet"/>
      <w:lvlText w:val="•"/>
      <w:lvlJc w:val="left"/>
      <w:pPr>
        <w:ind w:left="2948" w:hanging="735"/>
      </w:pPr>
      <w:rPr>
        <w:rFonts w:hint="default"/>
      </w:rPr>
    </w:lvl>
    <w:lvl w:ilvl="4">
      <w:start w:val="0"/>
      <w:numFmt w:val="bullet"/>
      <w:lvlText w:val="•"/>
      <w:lvlJc w:val="left"/>
      <w:pPr>
        <w:ind w:left="3651" w:hanging="735"/>
      </w:pPr>
      <w:rPr>
        <w:rFonts w:hint="default"/>
      </w:rPr>
    </w:lvl>
    <w:lvl w:ilvl="5">
      <w:start w:val="0"/>
      <w:numFmt w:val="bullet"/>
      <w:lvlText w:val="•"/>
      <w:lvlJc w:val="left"/>
      <w:pPr>
        <w:ind w:left="4354" w:hanging="735"/>
      </w:pPr>
      <w:rPr>
        <w:rFonts w:hint="default"/>
      </w:rPr>
    </w:lvl>
    <w:lvl w:ilvl="6">
      <w:start w:val="0"/>
      <w:numFmt w:val="bullet"/>
      <w:lvlText w:val="•"/>
      <w:lvlJc w:val="left"/>
      <w:pPr>
        <w:ind w:left="5057" w:hanging="735"/>
      </w:pPr>
      <w:rPr>
        <w:rFonts w:hint="default"/>
      </w:rPr>
    </w:lvl>
    <w:lvl w:ilvl="7">
      <w:start w:val="0"/>
      <w:numFmt w:val="bullet"/>
      <w:lvlText w:val="•"/>
      <w:lvlJc w:val="left"/>
      <w:pPr>
        <w:ind w:left="5760" w:hanging="735"/>
      </w:pPr>
      <w:rPr>
        <w:rFonts w:hint="default"/>
      </w:rPr>
    </w:lvl>
    <w:lvl w:ilvl="8">
      <w:start w:val="0"/>
      <w:numFmt w:val="bullet"/>
      <w:lvlText w:val="•"/>
      <w:lvlJc w:val="left"/>
      <w:pPr>
        <w:ind w:left="6463" w:hanging="735"/>
      </w:pPr>
      <w:rPr>
        <w:rFonts w:hint="default"/>
      </w:rPr>
    </w:lvl>
  </w:abstractNum>
  <w:abstractNum w:abstractNumId="58">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39" w:hanging="735"/>
      </w:pPr>
      <w:rPr>
        <w:rFonts w:hint="default"/>
      </w:rPr>
    </w:lvl>
    <w:lvl w:ilvl="2">
      <w:start w:val="0"/>
      <w:numFmt w:val="bullet"/>
      <w:lvlText w:val="•"/>
      <w:lvlJc w:val="left"/>
      <w:pPr>
        <w:ind w:left="2238" w:hanging="735"/>
      </w:pPr>
      <w:rPr>
        <w:rFonts w:hint="default"/>
      </w:rPr>
    </w:lvl>
    <w:lvl w:ilvl="3">
      <w:start w:val="0"/>
      <w:numFmt w:val="bullet"/>
      <w:lvlText w:val="•"/>
      <w:lvlJc w:val="left"/>
      <w:pPr>
        <w:ind w:left="2938" w:hanging="735"/>
      </w:pPr>
      <w:rPr>
        <w:rFonts w:hint="default"/>
      </w:rPr>
    </w:lvl>
    <w:lvl w:ilvl="4">
      <w:start w:val="0"/>
      <w:numFmt w:val="bullet"/>
      <w:lvlText w:val="•"/>
      <w:lvlJc w:val="left"/>
      <w:pPr>
        <w:ind w:left="3637" w:hanging="735"/>
      </w:pPr>
      <w:rPr>
        <w:rFonts w:hint="default"/>
      </w:rPr>
    </w:lvl>
    <w:lvl w:ilvl="5">
      <w:start w:val="0"/>
      <w:numFmt w:val="bullet"/>
      <w:lvlText w:val="•"/>
      <w:lvlJc w:val="left"/>
      <w:pPr>
        <w:ind w:left="4337" w:hanging="735"/>
      </w:pPr>
      <w:rPr>
        <w:rFonts w:hint="default"/>
      </w:rPr>
    </w:lvl>
    <w:lvl w:ilvl="6">
      <w:start w:val="0"/>
      <w:numFmt w:val="bullet"/>
      <w:lvlText w:val="•"/>
      <w:lvlJc w:val="left"/>
      <w:pPr>
        <w:ind w:left="5036"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5" w:hanging="735"/>
      </w:pPr>
      <w:rPr>
        <w:rFonts w:hint="default"/>
      </w:rPr>
    </w:lvl>
  </w:abstractNum>
  <w:abstractNum w:abstractNumId="57">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39" w:hanging="735"/>
      </w:pPr>
      <w:rPr>
        <w:rFonts w:hint="default"/>
      </w:rPr>
    </w:lvl>
    <w:lvl w:ilvl="2">
      <w:start w:val="0"/>
      <w:numFmt w:val="bullet"/>
      <w:lvlText w:val="•"/>
      <w:lvlJc w:val="left"/>
      <w:pPr>
        <w:ind w:left="2238" w:hanging="735"/>
      </w:pPr>
      <w:rPr>
        <w:rFonts w:hint="default"/>
      </w:rPr>
    </w:lvl>
    <w:lvl w:ilvl="3">
      <w:start w:val="0"/>
      <w:numFmt w:val="bullet"/>
      <w:lvlText w:val="•"/>
      <w:lvlJc w:val="left"/>
      <w:pPr>
        <w:ind w:left="2938" w:hanging="735"/>
      </w:pPr>
      <w:rPr>
        <w:rFonts w:hint="default"/>
      </w:rPr>
    </w:lvl>
    <w:lvl w:ilvl="4">
      <w:start w:val="0"/>
      <w:numFmt w:val="bullet"/>
      <w:lvlText w:val="•"/>
      <w:lvlJc w:val="left"/>
      <w:pPr>
        <w:ind w:left="3637" w:hanging="735"/>
      </w:pPr>
      <w:rPr>
        <w:rFonts w:hint="default"/>
      </w:rPr>
    </w:lvl>
    <w:lvl w:ilvl="5">
      <w:start w:val="0"/>
      <w:numFmt w:val="bullet"/>
      <w:lvlText w:val="•"/>
      <w:lvlJc w:val="left"/>
      <w:pPr>
        <w:ind w:left="4337" w:hanging="735"/>
      </w:pPr>
      <w:rPr>
        <w:rFonts w:hint="default"/>
      </w:rPr>
    </w:lvl>
    <w:lvl w:ilvl="6">
      <w:start w:val="0"/>
      <w:numFmt w:val="bullet"/>
      <w:lvlText w:val="•"/>
      <w:lvlJc w:val="left"/>
      <w:pPr>
        <w:ind w:left="5036"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5" w:hanging="735"/>
      </w:pPr>
      <w:rPr>
        <w:rFonts w:hint="default"/>
      </w:rPr>
    </w:lvl>
  </w:abstractNum>
  <w:abstractNum w:abstractNumId="56">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39" w:hanging="735"/>
      </w:pPr>
      <w:rPr>
        <w:rFonts w:hint="default"/>
      </w:rPr>
    </w:lvl>
    <w:lvl w:ilvl="2">
      <w:start w:val="0"/>
      <w:numFmt w:val="bullet"/>
      <w:lvlText w:val="•"/>
      <w:lvlJc w:val="left"/>
      <w:pPr>
        <w:ind w:left="2238" w:hanging="735"/>
      </w:pPr>
      <w:rPr>
        <w:rFonts w:hint="default"/>
      </w:rPr>
    </w:lvl>
    <w:lvl w:ilvl="3">
      <w:start w:val="0"/>
      <w:numFmt w:val="bullet"/>
      <w:lvlText w:val="•"/>
      <w:lvlJc w:val="left"/>
      <w:pPr>
        <w:ind w:left="2938" w:hanging="735"/>
      </w:pPr>
      <w:rPr>
        <w:rFonts w:hint="default"/>
      </w:rPr>
    </w:lvl>
    <w:lvl w:ilvl="4">
      <w:start w:val="0"/>
      <w:numFmt w:val="bullet"/>
      <w:lvlText w:val="•"/>
      <w:lvlJc w:val="left"/>
      <w:pPr>
        <w:ind w:left="3637" w:hanging="735"/>
      </w:pPr>
      <w:rPr>
        <w:rFonts w:hint="default"/>
      </w:rPr>
    </w:lvl>
    <w:lvl w:ilvl="5">
      <w:start w:val="0"/>
      <w:numFmt w:val="bullet"/>
      <w:lvlText w:val="•"/>
      <w:lvlJc w:val="left"/>
      <w:pPr>
        <w:ind w:left="4337" w:hanging="735"/>
      </w:pPr>
      <w:rPr>
        <w:rFonts w:hint="default"/>
      </w:rPr>
    </w:lvl>
    <w:lvl w:ilvl="6">
      <w:start w:val="0"/>
      <w:numFmt w:val="bullet"/>
      <w:lvlText w:val="•"/>
      <w:lvlJc w:val="left"/>
      <w:pPr>
        <w:ind w:left="5036"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5" w:hanging="735"/>
      </w:pPr>
      <w:rPr>
        <w:rFonts w:hint="default"/>
      </w:rPr>
    </w:lvl>
  </w:abstractNum>
  <w:abstractNum w:abstractNumId="55">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39" w:hanging="735"/>
      </w:pPr>
      <w:rPr>
        <w:rFonts w:hint="default"/>
      </w:rPr>
    </w:lvl>
    <w:lvl w:ilvl="2">
      <w:start w:val="0"/>
      <w:numFmt w:val="bullet"/>
      <w:lvlText w:val="•"/>
      <w:lvlJc w:val="left"/>
      <w:pPr>
        <w:ind w:left="2238" w:hanging="735"/>
      </w:pPr>
      <w:rPr>
        <w:rFonts w:hint="default"/>
      </w:rPr>
    </w:lvl>
    <w:lvl w:ilvl="3">
      <w:start w:val="0"/>
      <w:numFmt w:val="bullet"/>
      <w:lvlText w:val="•"/>
      <w:lvlJc w:val="left"/>
      <w:pPr>
        <w:ind w:left="2938" w:hanging="735"/>
      </w:pPr>
      <w:rPr>
        <w:rFonts w:hint="default"/>
      </w:rPr>
    </w:lvl>
    <w:lvl w:ilvl="4">
      <w:start w:val="0"/>
      <w:numFmt w:val="bullet"/>
      <w:lvlText w:val="•"/>
      <w:lvlJc w:val="left"/>
      <w:pPr>
        <w:ind w:left="3637" w:hanging="735"/>
      </w:pPr>
      <w:rPr>
        <w:rFonts w:hint="default"/>
      </w:rPr>
    </w:lvl>
    <w:lvl w:ilvl="5">
      <w:start w:val="0"/>
      <w:numFmt w:val="bullet"/>
      <w:lvlText w:val="•"/>
      <w:lvlJc w:val="left"/>
      <w:pPr>
        <w:ind w:left="4337" w:hanging="735"/>
      </w:pPr>
      <w:rPr>
        <w:rFonts w:hint="default"/>
      </w:rPr>
    </w:lvl>
    <w:lvl w:ilvl="6">
      <w:start w:val="0"/>
      <w:numFmt w:val="bullet"/>
      <w:lvlText w:val="•"/>
      <w:lvlJc w:val="left"/>
      <w:pPr>
        <w:ind w:left="5036"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5" w:hanging="735"/>
      </w:pPr>
      <w:rPr>
        <w:rFonts w:hint="default"/>
      </w:rPr>
    </w:lvl>
  </w:abstractNum>
  <w:abstractNum w:abstractNumId="54">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39" w:hanging="735"/>
      </w:pPr>
      <w:rPr>
        <w:rFonts w:hint="default"/>
      </w:rPr>
    </w:lvl>
    <w:lvl w:ilvl="2">
      <w:start w:val="0"/>
      <w:numFmt w:val="bullet"/>
      <w:lvlText w:val="•"/>
      <w:lvlJc w:val="left"/>
      <w:pPr>
        <w:ind w:left="2238" w:hanging="735"/>
      </w:pPr>
      <w:rPr>
        <w:rFonts w:hint="default"/>
      </w:rPr>
    </w:lvl>
    <w:lvl w:ilvl="3">
      <w:start w:val="0"/>
      <w:numFmt w:val="bullet"/>
      <w:lvlText w:val="•"/>
      <w:lvlJc w:val="left"/>
      <w:pPr>
        <w:ind w:left="2938" w:hanging="735"/>
      </w:pPr>
      <w:rPr>
        <w:rFonts w:hint="default"/>
      </w:rPr>
    </w:lvl>
    <w:lvl w:ilvl="4">
      <w:start w:val="0"/>
      <w:numFmt w:val="bullet"/>
      <w:lvlText w:val="•"/>
      <w:lvlJc w:val="left"/>
      <w:pPr>
        <w:ind w:left="3637" w:hanging="735"/>
      </w:pPr>
      <w:rPr>
        <w:rFonts w:hint="default"/>
      </w:rPr>
    </w:lvl>
    <w:lvl w:ilvl="5">
      <w:start w:val="0"/>
      <w:numFmt w:val="bullet"/>
      <w:lvlText w:val="•"/>
      <w:lvlJc w:val="left"/>
      <w:pPr>
        <w:ind w:left="4337" w:hanging="735"/>
      </w:pPr>
      <w:rPr>
        <w:rFonts w:hint="default"/>
      </w:rPr>
    </w:lvl>
    <w:lvl w:ilvl="6">
      <w:start w:val="0"/>
      <w:numFmt w:val="bullet"/>
      <w:lvlText w:val="•"/>
      <w:lvlJc w:val="left"/>
      <w:pPr>
        <w:ind w:left="5036"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5" w:hanging="735"/>
      </w:pPr>
      <w:rPr>
        <w:rFonts w:hint="default"/>
      </w:rPr>
    </w:lvl>
  </w:abstractNum>
  <w:abstractNum w:abstractNumId="53">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39" w:hanging="735"/>
      </w:pPr>
      <w:rPr>
        <w:rFonts w:hint="default"/>
      </w:rPr>
    </w:lvl>
    <w:lvl w:ilvl="2">
      <w:start w:val="0"/>
      <w:numFmt w:val="bullet"/>
      <w:lvlText w:val="•"/>
      <w:lvlJc w:val="left"/>
      <w:pPr>
        <w:ind w:left="2238" w:hanging="735"/>
      </w:pPr>
      <w:rPr>
        <w:rFonts w:hint="default"/>
      </w:rPr>
    </w:lvl>
    <w:lvl w:ilvl="3">
      <w:start w:val="0"/>
      <w:numFmt w:val="bullet"/>
      <w:lvlText w:val="•"/>
      <w:lvlJc w:val="left"/>
      <w:pPr>
        <w:ind w:left="2937" w:hanging="735"/>
      </w:pPr>
      <w:rPr>
        <w:rFonts w:hint="default"/>
      </w:rPr>
    </w:lvl>
    <w:lvl w:ilvl="4">
      <w:start w:val="0"/>
      <w:numFmt w:val="bullet"/>
      <w:lvlText w:val="•"/>
      <w:lvlJc w:val="left"/>
      <w:pPr>
        <w:ind w:left="3637" w:hanging="735"/>
      </w:pPr>
      <w:rPr>
        <w:rFonts w:hint="default"/>
      </w:rPr>
    </w:lvl>
    <w:lvl w:ilvl="5">
      <w:start w:val="0"/>
      <w:numFmt w:val="bullet"/>
      <w:lvlText w:val="•"/>
      <w:lvlJc w:val="left"/>
      <w:pPr>
        <w:ind w:left="4336" w:hanging="735"/>
      </w:pPr>
      <w:rPr>
        <w:rFonts w:hint="default"/>
      </w:rPr>
    </w:lvl>
    <w:lvl w:ilvl="6">
      <w:start w:val="0"/>
      <w:numFmt w:val="bullet"/>
      <w:lvlText w:val="•"/>
      <w:lvlJc w:val="left"/>
      <w:pPr>
        <w:ind w:left="5035"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4" w:hanging="735"/>
      </w:pPr>
      <w:rPr>
        <w:rFonts w:hint="default"/>
      </w:rPr>
    </w:lvl>
  </w:abstractNum>
  <w:abstractNum w:abstractNumId="52">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39" w:hanging="735"/>
      </w:pPr>
      <w:rPr>
        <w:rFonts w:hint="default"/>
      </w:rPr>
    </w:lvl>
    <w:lvl w:ilvl="2">
      <w:start w:val="0"/>
      <w:numFmt w:val="bullet"/>
      <w:lvlText w:val="•"/>
      <w:lvlJc w:val="left"/>
      <w:pPr>
        <w:ind w:left="2238" w:hanging="735"/>
      </w:pPr>
      <w:rPr>
        <w:rFonts w:hint="default"/>
      </w:rPr>
    </w:lvl>
    <w:lvl w:ilvl="3">
      <w:start w:val="0"/>
      <w:numFmt w:val="bullet"/>
      <w:lvlText w:val="•"/>
      <w:lvlJc w:val="left"/>
      <w:pPr>
        <w:ind w:left="2937" w:hanging="735"/>
      </w:pPr>
      <w:rPr>
        <w:rFonts w:hint="default"/>
      </w:rPr>
    </w:lvl>
    <w:lvl w:ilvl="4">
      <w:start w:val="0"/>
      <w:numFmt w:val="bullet"/>
      <w:lvlText w:val="•"/>
      <w:lvlJc w:val="left"/>
      <w:pPr>
        <w:ind w:left="3637" w:hanging="735"/>
      </w:pPr>
      <w:rPr>
        <w:rFonts w:hint="default"/>
      </w:rPr>
    </w:lvl>
    <w:lvl w:ilvl="5">
      <w:start w:val="0"/>
      <w:numFmt w:val="bullet"/>
      <w:lvlText w:val="•"/>
      <w:lvlJc w:val="left"/>
      <w:pPr>
        <w:ind w:left="4336" w:hanging="735"/>
      </w:pPr>
      <w:rPr>
        <w:rFonts w:hint="default"/>
      </w:rPr>
    </w:lvl>
    <w:lvl w:ilvl="6">
      <w:start w:val="0"/>
      <w:numFmt w:val="bullet"/>
      <w:lvlText w:val="•"/>
      <w:lvlJc w:val="left"/>
      <w:pPr>
        <w:ind w:left="5035"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4" w:hanging="735"/>
      </w:pPr>
      <w:rPr>
        <w:rFonts w:hint="default"/>
      </w:rPr>
    </w:lvl>
  </w:abstractNum>
  <w:abstractNum w:abstractNumId="51">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39" w:hanging="735"/>
      </w:pPr>
      <w:rPr>
        <w:rFonts w:hint="default"/>
      </w:rPr>
    </w:lvl>
    <w:lvl w:ilvl="2">
      <w:start w:val="0"/>
      <w:numFmt w:val="bullet"/>
      <w:lvlText w:val="•"/>
      <w:lvlJc w:val="left"/>
      <w:pPr>
        <w:ind w:left="2238" w:hanging="735"/>
      </w:pPr>
      <w:rPr>
        <w:rFonts w:hint="default"/>
      </w:rPr>
    </w:lvl>
    <w:lvl w:ilvl="3">
      <w:start w:val="0"/>
      <w:numFmt w:val="bullet"/>
      <w:lvlText w:val="•"/>
      <w:lvlJc w:val="left"/>
      <w:pPr>
        <w:ind w:left="2937" w:hanging="735"/>
      </w:pPr>
      <w:rPr>
        <w:rFonts w:hint="default"/>
      </w:rPr>
    </w:lvl>
    <w:lvl w:ilvl="4">
      <w:start w:val="0"/>
      <w:numFmt w:val="bullet"/>
      <w:lvlText w:val="•"/>
      <w:lvlJc w:val="left"/>
      <w:pPr>
        <w:ind w:left="3637" w:hanging="735"/>
      </w:pPr>
      <w:rPr>
        <w:rFonts w:hint="default"/>
      </w:rPr>
    </w:lvl>
    <w:lvl w:ilvl="5">
      <w:start w:val="0"/>
      <w:numFmt w:val="bullet"/>
      <w:lvlText w:val="•"/>
      <w:lvlJc w:val="left"/>
      <w:pPr>
        <w:ind w:left="4336" w:hanging="735"/>
      </w:pPr>
      <w:rPr>
        <w:rFonts w:hint="default"/>
      </w:rPr>
    </w:lvl>
    <w:lvl w:ilvl="6">
      <w:start w:val="0"/>
      <w:numFmt w:val="bullet"/>
      <w:lvlText w:val="•"/>
      <w:lvlJc w:val="left"/>
      <w:pPr>
        <w:ind w:left="5035"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4" w:hanging="735"/>
      </w:pPr>
      <w:rPr>
        <w:rFonts w:hint="default"/>
      </w:rPr>
    </w:lvl>
  </w:abstractNum>
  <w:abstractNum w:abstractNumId="50">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39" w:hanging="735"/>
      </w:pPr>
      <w:rPr>
        <w:rFonts w:hint="default"/>
      </w:rPr>
    </w:lvl>
    <w:lvl w:ilvl="2">
      <w:start w:val="0"/>
      <w:numFmt w:val="bullet"/>
      <w:lvlText w:val="•"/>
      <w:lvlJc w:val="left"/>
      <w:pPr>
        <w:ind w:left="2238" w:hanging="735"/>
      </w:pPr>
      <w:rPr>
        <w:rFonts w:hint="default"/>
      </w:rPr>
    </w:lvl>
    <w:lvl w:ilvl="3">
      <w:start w:val="0"/>
      <w:numFmt w:val="bullet"/>
      <w:lvlText w:val="•"/>
      <w:lvlJc w:val="left"/>
      <w:pPr>
        <w:ind w:left="2937" w:hanging="735"/>
      </w:pPr>
      <w:rPr>
        <w:rFonts w:hint="default"/>
      </w:rPr>
    </w:lvl>
    <w:lvl w:ilvl="4">
      <w:start w:val="0"/>
      <w:numFmt w:val="bullet"/>
      <w:lvlText w:val="•"/>
      <w:lvlJc w:val="left"/>
      <w:pPr>
        <w:ind w:left="3637" w:hanging="735"/>
      </w:pPr>
      <w:rPr>
        <w:rFonts w:hint="default"/>
      </w:rPr>
    </w:lvl>
    <w:lvl w:ilvl="5">
      <w:start w:val="0"/>
      <w:numFmt w:val="bullet"/>
      <w:lvlText w:val="•"/>
      <w:lvlJc w:val="left"/>
      <w:pPr>
        <w:ind w:left="4336" w:hanging="735"/>
      </w:pPr>
      <w:rPr>
        <w:rFonts w:hint="default"/>
      </w:rPr>
    </w:lvl>
    <w:lvl w:ilvl="6">
      <w:start w:val="0"/>
      <w:numFmt w:val="bullet"/>
      <w:lvlText w:val="•"/>
      <w:lvlJc w:val="left"/>
      <w:pPr>
        <w:ind w:left="5035"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4" w:hanging="735"/>
      </w:pPr>
      <w:rPr>
        <w:rFonts w:hint="default"/>
      </w:rPr>
    </w:lvl>
  </w:abstractNum>
  <w:abstractNum w:abstractNumId="49">
    <w:multiLevelType w:val="hybridMultilevel"/>
    <w:lvl w:ilvl="0">
      <w:start w:val="1"/>
      <w:numFmt w:val="decimal"/>
      <w:lvlText w:val="（%1）"/>
      <w:lvlJc w:val="left"/>
      <w:pPr>
        <w:ind w:left="838" w:hanging="735"/>
        <w:jc w:val="left"/>
      </w:pPr>
      <w:rPr>
        <w:rFonts w:hint="default" w:ascii="仿宋" w:hAnsi="仿宋" w:eastAsia="仿宋" w:cs="仿宋"/>
        <w:w w:val="100"/>
        <w:sz w:val="21"/>
        <w:szCs w:val="21"/>
      </w:rPr>
    </w:lvl>
    <w:lvl w:ilvl="1">
      <w:start w:val="0"/>
      <w:numFmt w:val="bullet"/>
      <w:lvlText w:val="•"/>
      <w:lvlJc w:val="left"/>
      <w:pPr>
        <w:ind w:left="1539" w:hanging="735"/>
      </w:pPr>
      <w:rPr>
        <w:rFonts w:hint="default"/>
      </w:rPr>
    </w:lvl>
    <w:lvl w:ilvl="2">
      <w:start w:val="0"/>
      <w:numFmt w:val="bullet"/>
      <w:lvlText w:val="•"/>
      <w:lvlJc w:val="left"/>
      <w:pPr>
        <w:ind w:left="2238" w:hanging="735"/>
      </w:pPr>
      <w:rPr>
        <w:rFonts w:hint="default"/>
      </w:rPr>
    </w:lvl>
    <w:lvl w:ilvl="3">
      <w:start w:val="0"/>
      <w:numFmt w:val="bullet"/>
      <w:lvlText w:val="•"/>
      <w:lvlJc w:val="left"/>
      <w:pPr>
        <w:ind w:left="2937" w:hanging="735"/>
      </w:pPr>
      <w:rPr>
        <w:rFonts w:hint="default"/>
      </w:rPr>
    </w:lvl>
    <w:lvl w:ilvl="4">
      <w:start w:val="0"/>
      <w:numFmt w:val="bullet"/>
      <w:lvlText w:val="•"/>
      <w:lvlJc w:val="left"/>
      <w:pPr>
        <w:ind w:left="3637" w:hanging="735"/>
      </w:pPr>
      <w:rPr>
        <w:rFonts w:hint="default"/>
      </w:rPr>
    </w:lvl>
    <w:lvl w:ilvl="5">
      <w:start w:val="0"/>
      <w:numFmt w:val="bullet"/>
      <w:lvlText w:val="•"/>
      <w:lvlJc w:val="left"/>
      <w:pPr>
        <w:ind w:left="4336" w:hanging="735"/>
      </w:pPr>
      <w:rPr>
        <w:rFonts w:hint="default"/>
      </w:rPr>
    </w:lvl>
    <w:lvl w:ilvl="6">
      <w:start w:val="0"/>
      <w:numFmt w:val="bullet"/>
      <w:lvlText w:val="•"/>
      <w:lvlJc w:val="left"/>
      <w:pPr>
        <w:ind w:left="5035" w:hanging="735"/>
      </w:pPr>
      <w:rPr>
        <w:rFonts w:hint="default"/>
      </w:rPr>
    </w:lvl>
    <w:lvl w:ilvl="7">
      <w:start w:val="0"/>
      <w:numFmt w:val="bullet"/>
      <w:lvlText w:val="•"/>
      <w:lvlJc w:val="left"/>
      <w:pPr>
        <w:ind w:left="5735" w:hanging="735"/>
      </w:pPr>
      <w:rPr>
        <w:rFonts w:hint="default"/>
      </w:rPr>
    </w:lvl>
    <w:lvl w:ilvl="8">
      <w:start w:val="0"/>
      <w:numFmt w:val="bullet"/>
      <w:lvlText w:val="•"/>
      <w:lvlJc w:val="left"/>
      <w:pPr>
        <w:ind w:left="6434" w:hanging="735"/>
      </w:pPr>
      <w:rPr>
        <w:rFonts w:hint="default"/>
      </w:rPr>
    </w:lvl>
  </w:abstractNum>
  <w:abstractNum w:abstractNumId="48">
    <w:multiLevelType w:val="hybridMultilevel"/>
    <w:lvl w:ilvl="0">
      <w:start w:val="1"/>
      <w:numFmt w:val="decimal"/>
      <w:lvlText w:val="（%1）"/>
      <w:lvlJc w:val="left"/>
      <w:pPr>
        <w:ind w:left="823" w:hanging="721"/>
        <w:jc w:val="left"/>
      </w:pPr>
      <w:rPr>
        <w:rFonts w:hint="default" w:ascii="仿宋" w:hAnsi="仿宋" w:eastAsia="仿宋" w:cs="仿宋"/>
        <w:w w:val="100"/>
        <w:sz w:val="21"/>
        <w:szCs w:val="21"/>
      </w:rPr>
    </w:lvl>
    <w:lvl w:ilvl="1">
      <w:start w:val="0"/>
      <w:numFmt w:val="bullet"/>
      <w:lvlText w:val="•"/>
      <w:lvlJc w:val="left"/>
      <w:pPr>
        <w:ind w:left="1531" w:hanging="721"/>
      </w:pPr>
      <w:rPr>
        <w:rFonts w:hint="default"/>
      </w:rPr>
    </w:lvl>
    <w:lvl w:ilvl="2">
      <w:start w:val="0"/>
      <w:numFmt w:val="bullet"/>
      <w:lvlText w:val="•"/>
      <w:lvlJc w:val="left"/>
      <w:pPr>
        <w:ind w:left="2243" w:hanging="721"/>
      </w:pPr>
      <w:rPr>
        <w:rFonts w:hint="default"/>
      </w:rPr>
    </w:lvl>
    <w:lvl w:ilvl="3">
      <w:start w:val="0"/>
      <w:numFmt w:val="bullet"/>
      <w:lvlText w:val="•"/>
      <w:lvlJc w:val="left"/>
      <w:pPr>
        <w:ind w:left="2955" w:hanging="721"/>
      </w:pPr>
      <w:rPr>
        <w:rFonts w:hint="default"/>
      </w:rPr>
    </w:lvl>
    <w:lvl w:ilvl="4">
      <w:start w:val="0"/>
      <w:numFmt w:val="bullet"/>
      <w:lvlText w:val="•"/>
      <w:lvlJc w:val="left"/>
      <w:pPr>
        <w:ind w:left="3667" w:hanging="721"/>
      </w:pPr>
      <w:rPr>
        <w:rFonts w:hint="default"/>
      </w:rPr>
    </w:lvl>
    <w:lvl w:ilvl="5">
      <w:start w:val="0"/>
      <w:numFmt w:val="bullet"/>
      <w:lvlText w:val="•"/>
      <w:lvlJc w:val="left"/>
      <w:pPr>
        <w:ind w:left="4379" w:hanging="721"/>
      </w:pPr>
      <w:rPr>
        <w:rFonts w:hint="default"/>
      </w:rPr>
    </w:lvl>
    <w:lvl w:ilvl="6">
      <w:start w:val="0"/>
      <w:numFmt w:val="bullet"/>
      <w:lvlText w:val="•"/>
      <w:lvlJc w:val="left"/>
      <w:pPr>
        <w:ind w:left="5091" w:hanging="721"/>
      </w:pPr>
      <w:rPr>
        <w:rFonts w:hint="default"/>
      </w:rPr>
    </w:lvl>
    <w:lvl w:ilvl="7">
      <w:start w:val="0"/>
      <w:numFmt w:val="bullet"/>
      <w:lvlText w:val="•"/>
      <w:lvlJc w:val="left"/>
      <w:pPr>
        <w:ind w:left="5803" w:hanging="721"/>
      </w:pPr>
      <w:rPr>
        <w:rFonts w:hint="default"/>
      </w:rPr>
    </w:lvl>
    <w:lvl w:ilvl="8">
      <w:start w:val="0"/>
      <w:numFmt w:val="bullet"/>
      <w:lvlText w:val="•"/>
      <w:lvlJc w:val="left"/>
      <w:pPr>
        <w:ind w:left="6515" w:hanging="721"/>
      </w:pPr>
      <w:rPr>
        <w:rFonts w:hint="default"/>
      </w:rPr>
    </w:lvl>
  </w:abstractNum>
  <w:abstractNum w:abstractNumId="47">
    <w:multiLevelType w:val="hybridMultilevel"/>
    <w:lvl w:ilvl="0">
      <w:start w:val="1"/>
      <w:numFmt w:val="decimal"/>
      <w:lvlText w:val="（%1）"/>
      <w:lvlJc w:val="left"/>
      <w:pPr>
        <w:ind w:left="823" w:hanging="721"/>
        <w:jc w:val="left"/>
      </w:pPr>
      <w:rPr>
        <w:rFonts w:hint="default" w:ascii="仿宋" w:hAnsi="仿宋" w:eastAsia="仿宋" w:cs="仿宋"/>
        <w:w w:val="100"/>
        <w:sz w:val="21"/>
        <w:szCs w:val="21"/>
      </w:rPr>
    </w:lvl>
    <w:lvl w:ilvl="1">
      <w:start w:val="0"/>
      <w:numFmt w:val="bullet"/>
      <w:lvlText w:val="•"/>
      <w:lvlJc w:val="left"/>
      <w:pPr>
        <w:ind w:left="1531" w:hanging="721"/>
      </w:pPr>
      <w:rPr>
        <w:rFonts w:hint="default"/>
      </w:rPr>
    </w:lvl>
    <w:lvl w:ilvl="2">
      <w:start w:val="0"/>
      <w:numFmt w:val="bullet"/>
      <w:lvlText w:val="•"/>
      <w:lvlJc w:val="left"/>
      <w:pPr>
        <w:ind w:left="2243" w:hanging="721"/>
      </w:pPr>
      <w:rPr>
        <w:rFonts w:hint="default"/>
      </w:rPr>
    </w:lvl>
    <w:lvl w:ilvl="3">
      <w:start w:val="0"/>
      <w:numFmt w:val="bullet"/>
      <w:lvlText w:val="•"/>
      <w:lvlJc w:val="left"/>
      <w:pPr>
        <w:ind w:left="2955" w:hanging="721"/>
      </w:pPr>
      <w:rPr>
        <w:rFonts w:hint="default"/>
      </w:rPr>
    </w:lvl>
    <w:lvl w:ilvl="4">
      <w:start w:val="0"/>
      <w:numFmt w:val="bullet"/>
      <w:lvlText w:val="•"/>
      <w:lvlJc w:val="left"/>
      <w:pPr>
        <w:ind w:left="3667" w:hanging="721"/>
      </w:pPr>
      <w:rPr>
        <w:rFonts w:hint="default"/>
      </w:rPr>
    </w:lvl>
    <w:lvl w:ilvl="5">
      <w:start w:val="0"/>
      <w:numFmt w:val="bullet"/>
      <w:lvlText w:val="•"/>
      <w:lvlJc w:val="left"/>
      <w:pPr>
        <w:ind w:left="4379" w:hanging="721"/>
      </w:pPr>
      <w:rPr>
        <w:rFonts w:hint="default"/>
      </w:rPr>
    </w:lvl>
    <w:lvl w:ilvl="6">
      <w:start w:val="0"/>
      <w:numFmt w:val="bullet"/>
      <w:lvlText w:val="•"/>
      <w:lvlJc w:val="left"/>
      <w:pPr>
        <w:ind w:left="5091" w:hanging="721"/>
      </w:pPr>
      <w:rPr>
        <w:rFonts w:hint="default"/>
      </w:rPr>
    </w:lvl>
    <w:lvl w:ilvl="7">
      <w:start w:val="0"/>
      <w:numFmt w:val="bullet"/>
      <w:lvlText w:val="•"/>
      <w:lvlJc w:val="left"/>
      <w:pPr>
        <w:ind w:left="5803" w:hanging="721"/>
      </w:pPr>
      <w:rPr>
        <w:rFonts w:hint="default"/>
      </w:rPr>
    </w:lvl>
    <w:lvl w:ilvl="8">
      <w:start w:val="0"/>
      <w:numFmt w:val="bullet"/>
      <w:lvlText w:val="•"/>
      <w:lvlJc w:val="left"/>
      <w:pPr>
        <w:ind w:left="6515" w:hanging="721"/>
      </w:pPr>
      <w:rPr>
        <w:rFonts w:hint="default"/>
      </w:rPr>
    </w:lvl>
  </w:abstractNum>
  <w:abstractNum w:abstractNumId="46">
    <w:multiLevelType w:val="hybridMultilevel"/>
    <w:lvl w:ilvl="0">
      <w:start w:val="1"/>
      <w:numFmt w:val="decimal"/>
      <w:lvlText w:val="（%1）"/>
      <w:lvlJc w:val="left"/>
      <w:pPr>
        <w:ind w:left="823" w:hanging="721"/>
        <w:jc w:val="left"/>
      </w:pPr>
      <w:rPr>
        <w:rFonts w:hint="default" w:ascii="仿宋" w:hAnsi="仿宋" w:eastAsia="仿宋" w:cs="仿宋"/>
        <w:w w:val="100"/>
        <w:sz w:val="21"/>
        <w:szCs w:val="21"/>
      </w:rPr>
    </w:lvl>
    <w:lvl w:ilvl="1">
      <w:start w:val="0"/>
      <w:numFmt w:val="bullet"/>
      <w:lvlText w:val="•"/>
      <w:lvlJc w:val="left"/>
      <w:pPr>
        <w:ind w:left="1531" w:hanging="721"/>
      </w:pPr>
      <w:rPr>
        <w:rFonts w:hint="default"/>
      </w:rPr>
    </w:lvl>
    <w:lvl w:ilvl="2">
      <w:start w:val="0"/>
      <w:numFmt w:val="bullet"/>
      <w:lvlText w:val="•"/>
      <w:lvlJc w:val="left"/>
      <w:pPr>
        <w:ind w:left="2243" w:hanging="721"/>
      </w:pPr>
      <w:rPr>
        <w:rFonts w:hint="default"/>
      </w:rPr>
    </w:lvl>
    <w:lvl w:ilvl="3">
      <w:start w:val="0"/>
      <w:numFmt w:val="bullet"/>
      <w:lvlText w:val="•"/>
      <w:lvlJc w:val="left"/>
      <w:pPr>
        <w:ind w:left="2955" w:hanging="721"/>
      </w:pPr>
      <w:rPr>
        <w:rFonts w:hint="default"/>
      </w:rPr>
    </w:lvl>
    <w:lvl w:ilvl="4">
      <w:start w:val="0"/>
      <w:numFmt w:val="bullet"/>
      <w:lvlText w:val="•"/>
      <w:lvlJc w:val="left"/>
      <w:pPr>
        <w:ind w:left="3667" w:hanging="721"/>
      </w:pPr>
      <w:rPr>
        <w:rFonts w:hint="default"/>
      </w:rPr>
    </w:lvl>
    <w:lvl w:ilvl="5">
      <w:start w:val="0"/>
      <w:numFmt w:val="bullet"/>
      <w:lvlText w:val="•"/>
      <w:lvlJc w:val="left"/>
      <w:pPr>
        <w:ind w:left="4379" w:hanging="721"/>
      </w:pPr>
      <w:rPr>
        <w:rFonts w:hint="default"/>
      </w:rPr>
    </w:lvl>
    <w:lvl w:ilvl="6">
      <w:start w:val="0"/>
      <w:numFmt w:val="bullet"/>
      <w:lvlText w:val="•"/>
      <w:lvlJc w:val="left"/>
      <w:pPr>
        <w:ind w:left="5091" w:hanging="721"/>
      </w:pPr>
      <w:rPr>
        <w:rFonts w:hint="default"/>
      </w:rPr>
    </w:lvl>
    <w:lvl w:ilvl="7">
      <w:start w:val="0"/>
      <w:numFmt w:val="bullet"/>
      <w:lvlText w:val="•"/>
      <w:lvlJc w:val="left"/>
      <w:pPr>
        <w:ind w:left="5803" w:hanging="721"/>
      </w:pPr>
      <w:rPr>
        <w:rFonts w:hint="default"/>
      </w:rPr>
    </w:lvl>
    <w:lvl w:ilvl="8">
      <w:start w:val="0"/>
      <w:numFmt w:val="bullet"/>
      <w:lvlText w:val="•"/>
      <w:lvlJc w:val="left"/>
      <w:pPr>
        <w:ind w:left="6515" w:hanging="721"/>
      </w:pPr>
      <w:rPr>
        <w:rFonts w:hint="default"/>
      </w:rPr>
    </w:lvl>
  </w:abstractNum>
  <w:abstractNum w:abstractNumId="45">
    <w:multiLevelType w:val="hybridMultilevel"/>
    <w:lvl w:ilvl="0">
      <w:start w:val="1"/>
      <w:numFmt w:val="decimal"/>
      <w:lvlText w:val="(%1)"/>
      <w:lvlJc w:val="left"/>
      <w:pPr>
        <w:ind w:left="523" w:hanging="420"/>
        <w:jc w:val="left"/>
      </w:pPr>
      <w:rPr>
        <w:rFonts w:hint="default" w:ascii="仿宋" w:hAnsi="仿宋" w:eastAsia="仿宋" w:cs="仿宋"/>
        <w:w w:val="100"/>
        <w:sz w:val="21"/>
        <w:szCs w:val="21"/>
      </w:rPr>
    </w:lvl>
    <w:lvl w:ilvl="1">
      <w:start w:val="0"/>
      <w:numFmt w:val="bullet"/>
      <w:lvlText w:val="•"/>
      <w:lvlJc w:val="left"/>
      <w:pPr>
        <w:ind w:left="1261" w:hanging="420"/>
      </w:pPr>
      <w:rPr>
        <w:rFonts w:hint="default"/>
      </w:rPr>
    </w:lvl>
    <w:lvl w:ilvl="2">
      <w:start w:val="0"/>
      <w:numFmt w:val="bullet"/>
      <w:lvlText w:val="•"/>
      <w:lvlJc w:val="left"/>
      <w:pPr>
        <w:ind w:left="2003" w:hanging="420"/>
      </w:pPr>
      <w:rPr>
        <w:rFonts w:hint="default"/>
      </w:rPr>
    </w:lvl>
    <w:lvl w:ilvl="3">
      <w:start w:val="0"/>
      <w:numFmt w:val="bullet"/>
      <w:lvlText w:val="•"/>
      <w:lvlJc w:val="left"/>
      <w:pPr>
        <w:ind w:left="2745" w:hanging="420"/>
      </w:pPr>
      <w:rPr>
        <w:rFonts w:hint="default"/>
      </w:rPr>
    </w:lvl>
    <w:lvl w:ilvl="4">
      <w:start w:val="0"/>
      <w:numFmt w:val="bullet"/>
      <w:lvlText w:val="•"/>
      <w:lvlJc w:val="left"/>
      <w:pPr>
        <w:ind w:left="3487" w:hanging="420"/>
      </w:pPr>
      <w:rPr>
        <w:rFonts w:hint="default"/>
      </w:rPr>
    </w:lvl>
    <w:lvl w:ilvl="5">
      <w:start w:val="0"/>
      <w:numFmt w:val="bullet"/>
      <w:lvlText w:val="•"/>
      <w:lvlJc w:val="left"/>
      <w:pPr>
        <w:ind w:left="4229" w:hanging="420"/>
      </w:pPr>
      <w:rPr>
        <w:rFonts w:hint="default"/>
      </w:rPr>
    </w:lvl>
    <w:lvl w:ilvl="6">
      <w:start w:val="0"/>
      <w:numFmt w:val="bullet"/>
      <w:lvlText w:val="•"/>
      <w:lvlJc w:val="left"/>
      <w:pPr>
        <w:ind w:left="4971" w:hanging="420"/>
      </w:pPr>
      <w:rPr>
        <w:rFonts w:hint="default"/>
      </w:rPr>
    </w:lvl>
    <w:lvl w:ilvl="7">
      <w:start w:val="0"/>
      <w:numFmt w:val="bullet"/>
      <w:lvlText w:val="•"/>
      <w:lvlJc w:val="left"/>
      <w:pPr>
        <w:ind w:left="5713" w:hanging="420"/>
      </w:pPr>
      <w:rPr>
        <w:rFonts w:hint="default"/>
      </w:rPr>
    </w:lvl>
    <w:lvl w:ilvl="8">
      <w:start w:val="0"/>
      <w:numFmt w:val="bullet"/>
      <w:lvlText w:val="•"/>
      <w:lvlJc w:val="left"/>
      <w:pPr>
        <w:ind w:left="6455" w:hanging="420"/>
      </w:pPr>
      <w:rPr>
        <w:rFonts w:hint="default"/>
      </w:rPr>
    </w:lvl>
  </w:abstractNum>
  <w:abstractNum w:abstractNumId="44">
    <w:multiLevelType w:val="hybridMultilevel"/>
    <w:lvl w:ilvl="0">
      <w:start w:val="1"/>
      <w:numFmt w:val="decimal"/>
      <w:lvlText w:val="(%1)"/>
      <w:lvlJc w:val="left"/>
      <w:pPr>
        <w:ind w:left="523" w:hanging="420"/>
        <w:jc w:val="left"/>
      </w:pPr>
      <w:rPr>
        <w:rFonts w:hint="default" w:ascii="仿宋" w:hAnsi="仿宋" w:eastAsia="仿宋" w:cs="仿宋"/>
        <w:w w:val="100"/>
        <w:sz w:val="21"/>
        <w:szCs w:val="21"/>
      </w:rPr>
    </w:lvl>
    <w:lvl w:ilvl="1">
      <w:start w:val="0"/>
      <w:numFmt w:val="bullet"/>
      <w:lvlText w:val="•"/>
      <w:lvlJc w:val="left"/>
      <w:pPr>
        <w:ind w:left="1261" w:hanging="420"/>
      </w:pPr>
      <w:rPr>
        <w:rFonts w:hint="default"/>
      </w:rPr>
    </w:lvl>
    <w:lvl w:ilvl="2">
      <w:start w:val="0"/>
      <w:numFmt w:val="bullet"/>
      <w:lvlText w:val="•"/>
      <w:lvlJc w:val="left"/>
      <w:pPr>
        <w:ind w:left="2003" w:hanging="420"/>
      </w:pPr>
      <w:rPr>
        <w:rFonts w:hint="default"/>
      </w:rPr>
    </w:lvl>
    <w:lvl w:ilvl="3">
      <w:start w:val="0"/>
      <w:numFmt w:val="bullet"/>
      <w:lvlText w:val="•"/>
      <w:lvlJc w:val="left"/>
      <w:pPr>
        <w:ind w:left="2744" w:hanging="420"/>
      </w:pPr>
      <w:rPr>
        <w:rFonts w:hint="default"/>
      </w:rPr>
    </w:lvl>
    <w:lvl w:ilvl="4">
      <w:start w:val="0"/>
      <w:numFmt w:val="bullet"/>
      <w:lvlText w:val="•"/>
      <w:lvlJc w:val="left"/>
      <w:pPr>
        <w:ind w:left="3486" w:hanging="420"/>
      </w:pPr>
      <w:rPr>
        <w:rFonts w:hint="default"/>
      </w:rPr>
    </w:lvl>
    <w:lvl w:ilvl="5">
      <w:start w:val="0"/>
      <w:numFmt w:val="bullet"/>
      <w:lvlText w:val="•"/>
      <w:lvlJc w:val="left"/>
      <w:pPr>
        <w:ind w:left="4228" w:hanging="420"/>
      </w:pPr>
      <w:rPr>
        <w:rFonts w:hint="default"/>
      </w:rPr>
    </w:lvl>
    <w:lvl w:ilvl="6">
      <w:start w:val="0"/>
      <w:numFmt w:val="bullet"/>
      <w:lvlText w:val="•"/>
      <w:lvlJc w:val="left"/>
      <w:pPr>
        <w:ind w:left="4969" w:hanging="420"/>
      </w:pPr>
      <w:rPr>
        <w:rFonts w:hint="default"/>
      </w:rPr>
    </w:lvl>
    <w:lvl w:ilvl="7">
      <w:start w:val="0"/>
      <w:numFmt w:val="bullet"/>
      <w:lvlText w:val="•"/>
      <w:lvlJc w:val="left"/>
      <w:pPr>
        <w:ind w:left="5711" w:hanging="420"/>
      </w:pPr>
      <w:rPr>
        <w:rFonts w:hint="default"/>
      </w:rPr>
    </w:lvl>
    <w:lvl w:ilvl="8">
      <w:start w:val="0"/>
      <w:numFmt w:val="bullet"/>
      <w:lvlText w:val="•"/>
      <w:lvlJc w:val="left"/>
      <w:pPr>
        <w:ind w:left="6452" w:hanging="420"/>
      </w:pPr>
      <w:rPr>
        <w:rFonts w:hint="default"/>
      </w:rPr>
    </w:lvl>
  </w:abstractNum>
  <w:abstractNum w:abstractNumId="43">
    <w:multiLevelType w:val="hybridMultilevel"/>
    <w:lvl w:ilvl="0">
      <w:start w:val="1"/>
      <w:numFmt w:val="decimal"/>
      <w:lvlText w:val="（%1）"/>
      <w:lvlJc w:val="left"/>
      <w:pPr>
        <w:ind w:left="840" w:hanging="738"/>
        <w:jc w:val="left"/>
      </w:pPr>
      <w:rPr>
        <w:rFonts w:hint="default" w:ascii="仿宋" w:hAnsi="仿宋" w:eastAsia="仿宋" w:cs="仿宋"/>
        <w:w w:val="100"/>
        <w:sz w:val="21"/>
        <w:szCs w:val="21"/>
      </w:rPr>
    </w:lvl>
    <w:lvl w:ilvl="1">
      <w:start w:val="0"/>
      <w:numFmt w:val="bullet"/>
      <w:lvlText w:val="•"/>
      <w:lvlJc w:val="left"/>
      <w:pPr>
        <w:ind w:left="1549" w:hanging="738"/>
      </w:pPr>
      <w:rPr>
        <w:rFonts w:hint="default"/>
      </w:rPr>
    </w:lvl>
    <w:lvl w:ilvl="2">
      <w:start w:val="0"/>
      <w:numFmt w:val="bullet"/>
      <w:lvlText w:val="•"/>
      <w:lvlJc w:val="left"/>
      <w:pPr>
        <w:ind w:left="2259" w:hanging="738"/>
      </w:pPr>
      <w:rPr>
        <w:rFonts w:hint="default"/>
      </w:rPr>
    </w:lvl>
    <w:lvl w:ilvl="3">
      <w:start w:val="0"/>
      <w:numFmt w:val="bullet"/>
      <w:lvlText w:val="•"/>
      <w:lvlJc w:val="left"/>
      <w:pPr>
        <w:ind w:left="2968" w:hanging="738"/>
      </w:pPr>
      <w:rPr>
        <w:rFonts w:hint="default"/>
      </w:rPr>
    </w:lvl>
    <w:lvl w:ilvl="4">
      <w:start w:val="0"/>
      <w:numFmt w:val="bullet"/>
      <w:lvlText w:val="•"/>
      <w:lvlJc w:val="left"/>
      <w:pPr>
        <w:ind w:left="3678" w:hanging="738"/>
      </w:pPr>
      <w:rPr>
        <w:rFonts w:hint="default"/>
      </w:rPr>
    </w:lvl>
    <w:lvl w:ilvl="5">
      <w:start w:val="0"/>
      <w:numFmt w:val="bullet"/>
      <w:lvlText w:val="•"/>
      <w:lvlJc w:val="left"/>
      <w:pPr>
        <w:ind w:left="4388" w:hanging="738"/>
      </w:pPr>
      <w:rPr>
        <w:rFonts w:hint="default"/>
      </w:rPr>
    </w:lvl>
    <w:lvl w:ilvl="6">
      <w:start w:val="0"/>
      <w:numFmt w:val="bullet"/>
      <w:lvlText w:val="•"/>
      <w:lvlJc w:val="left"/>
      <w:pPr>
        <w:ind w:left="5097" w:hanging="738"/>
      </w:pPr>
      <w:rPr>
        <w:rFonts w:hint="default"/>
      </w:rPr>
    </w:lvl>
    <w:lvl w:ilvl="7">
      <w:start w:val="0"/>
      <w:numFmt w:val="bullet"/>
      <w:lvlText w:val="•"/>
      <w:lvlJc w:val="left"/>
      <w:pPr>
        <w:ind w:left="5807" w:hanging="738"/>
      </w:pPr>
      <w:rPr>
        <w:rFonts w:hint="default"/>
      </w:rPr>
    </w:lvl>
    <w:lvl w:ilvl="8">
      <w:start w:val="0"/>
      <w:numFmt w:val="bullet"/>
      <w:lvlText w:val="•"/>
      <w:lvlJc w:val="left"/>
      <w:pPr>
        <w:ind w:left="6516" w:hanging="738"/>
      </w:pPr>
      <w:rPr>
        <w:rFonts w:hint="default"/>
      </w:rPr>
    </w:lvl>
  </w:abstractNum>
  <w:abstractNum w:abstractNumId="42">
    <w:multiLevelType w:val="hybridMultilevel"/>
    <w:lvl w:ilvl="0">
      <w:start w:val="1"/>
      <w:numFmt w:val="decimal"/>
      <w:lvlText w:val="（%1）"/>
      <w:lvlJc w:val="left"/>
      <w:pPr>
        <w:ind w:left="823" w:hanging="721"/>
        <w:jc w:val="left"/>
      </w:pPr>
      <w:rPr>
        <w:rFonts w:hint="default" w:ascii="仿宋" w:hAnsi="仿宋" w:eastAsia="仿宋" w:cs="仿宋"/>
        <w:w w:val="100"/>
        <w:sz w:val="21"/>
        <w:szCs w:val="21"/>
      </w:rPr>
    </w:lvl>
    <w:lvl w:ilvl="1">
      <w:start w:val="0"/>
      <w:numFmt w:val="bullet"/>
      <w:lvlText w:val="•"/>
      <w:lvlJc w:val="left"/>
      <w:pPr>
        <w:ind w:left="1531" w:hanging="721"/>
      </w:pPr>
      <w:rPr>
        <w:rFonts w:hint="default"/>
      </w:rPr>
    </w:lvl>
    <w:lvl w:ilvl="2">
      <w:start w:val="0"/>
      <w:numFmt w:val="bullet"/>
      <w:lvlText w:val="•"/>
      <w:lvlJc w:val="left"/>
      <w:pPr>
        <w:ind w:left="2243" w:hanging="721"/>
      </w:pPr>
      <w:rPr>
        <w:rFonts w:hint="default"/>
      </w:rPr>
    </w:lvl>
    <w:lvl w:ilvl="3">
      <w:start w:val="0"/>
      <w:numFmt w:val="bullet"/>
      <w:lvlText w:val="•"/>
      <w:lvlJc w:val="left"/>
      <w:pPr>
        <w:ind w:left="2954" w:hanging="721"/>
      </w:pPr>
      <w:rPr>
        <w:rFonts w:hint="default"/>
      </w:rPr>
    </w:lvl>
    <w:lvl w:ilvl="4">
      <w:start w:val="0"/>
      <w:numFmt w:val="bullet"/>
      <w:lvlText w:val="•"/>
      <w:lvlJc w:val="left"/>
      <w:pPr>
        <w:ind w:left="3666" w:hanging="721"/>
      </w:pPr>
      <w:rPr>
        <w:rFonts w:hint="default"/>
      </w:rPr>
    </w:lvl>
    <w:lvl w:ilvl="5">
      <w:start w:val="0"/>
      <w:numFmt w:val="bullet"/>
      <w:lvlText w:val="•"/>
      <w:lvlJc w:val="left"/>
      <w:pPr>
        <w:ind w:left="4378" w:hanging="721"/>
      </w:pPr>
      <w:rPr>
        <w:rFonts w:hint="default"/>
      </w:rPr>
    </w:lvl>
    <w:lvl w:ilvl="6">
      <w:start w:val="0"/>
      <w:numFmt w:val="bullet"/>
      <w:lvlText w:val="•"/>
      <w:lvlJc w:val="left"/>
      <w:pPr>
        <w:ind w:left="5089" w:hanging="721"/>
      </w:pPr>
      <w:rPr>
        <w:rFonts w:hint="default"/>
      </w:rPr>
    </w:lvl>
    <w:lvl w:ilvl="7">
      <w:start w:val="0"/>
      <w:numFmt w:val="bullet"/>
      <w:lvlText w:val="•"/>
      <w:lvlJc w:val="left"/>
      <w:pPr>
        <w:ind w:left="5801" w:hanging="721"/>
      </w:pPr>
      <w:rPr>
        <w:rFonts w:hint="default"/>
      </w:rPr>
    </w:lvl>
    <w:lvl w:ilvl="8">
      <w:start w:val="0"/>
      <w:numFmt w:val="bullet"/>
      <w:lvlText w:val="•"/>
      <w:lvlJc w:val="left"/>
      <w:pPr>
        <w:ind w:left="6512" w:hanging="721"/>
      </w:pPr>
      <w:rPr>
        <w:rFonts w:hint="default"/>
      </w:rPr>
    </w:lvl>
  </w:abstractNum>
  <w:abstractNum w:abstractNumId="41">
    <w:multiLevelType w:val="hybridMultilevel"/>
    <w:lvl w:ilvl="0">
      <w:start w:val="1"/>
      <w:numFmt w:val="decimal"/>
      <w:lvlText w:val="（%1）"/>
      <w:lvlJc w:val="left"/>
      <w:pPr>
        <w:ind w:left="848" w:hanging="721"/>
        <w:jc w:val="left"/>
      </w:pPr>
      <w:rPr>
        <w:rFonts w:hint="default" w:ascii="仿宋" w:hAnsi="仿宋" w:eastAsia="仿宋" w:cs="仿宋"/>
        <w:w w:val="100"/>
        <w:sz w:val="21"/>
        <w:szCs w:val="21"/>
      </w:rPr>
    </w:lvl>
    <w:lvl w:ilvl="1">
      <w:start w:val="0"/>
      <w:numFmt w:val="bullet"/>
      <w:lvlText w:val="•"/>
      <w:lvlJc w:val="left"/>
      <w:pPr>
        <w:ind w:left="1552" w:hanging="721"/>
      </w:pPr>
      <w:rPr>
        <w:rFonts w:hint="default"/>
      </w:rPr>
    </w:lvl>
    <w:lvl w:ilvl="2">
      <w:start w:val="0"/>
      <w:numFmt w:val="bullet"/>
      <w:lvlText w:val="•"/>
      <w:lvlJc w:val="left"/>
      <w:pPr>
        <w:ind w:left="2264" w:hanging="721"/>
      </w:pPr>
      <w:rPr>
        <w:rFonts w:hint="default"/>
      </w:rPr>
    </w:lvl>
    <w:lvl w:ilvl="3">
      <w:start w:val="0"/>
      <w:numFmt w:val="bullet"/>
      <w:lvlText w:val="•"/>
      <w:lvlJc w:val="left"/>
      <w:pPr>
        <w:ind w:left="2977" w:hanging="721"/>
      </w:pPr>
      <w:rPr>
        <w:rFonts w:hint="default"/>
      </w:rPr>
    </w:lvl>
    <w:lvl w:ilvl="4">
      <w:start w:val="0"/>
      <w:numFmt w:val="bullet"/>
      <w:lvlText w:val="•"/>
      <w:lvlJc w:val="left"/>
      <w:pPr>
        <w:ind w:left="3689" w:hanging="721"/>
      </w:pPr>
      <w:rPr>
        <w:rFonts w:hint="default"/>
      </w:rPr>
    </w:lvl>
    <w:lvl w:ilvl="5">
      <w:start w:val="0"/>
      <w:numFmt w:val="bullet"/>
      <w:lvlText w:val="•"/>
      <w:lvlJc w:val="left"/>
      <w:pPr>
        <w:ind w:left="4402" w:hanging="721"/>
      </w:pPr>
      <w:rPr>
        <w:rFonts w:hint="default"/>
      </w:rPr>
    </w:lvl>
    <w:lvl w:ilvl="6">
      <w:start w:val="0"/>
      <w:numFmt w:val="bullet"/>
      <w:lvlText w:val="•"/>
      <w:lvlJc w:val="left"/>
      <w:pPr>
        <w:ind w:left="5114" w:hanging="721"/>
      </w:pPr>
      <w:rPr>
        <w:rFonts w:hint="default"/>
      </w:rPr>
    </w:lvl>
    <w:lvl w:ilvl="7">
      <w:start w:val="0"/>
      <w:numFmt w:val="bullet"/>
      <w:lvlText w:val="•"/>
      <w:lvlJc w:val="left"/>
      <w:pPr>
        <w:ind w:left="5826" w:hanging="721"/>
      </w:pPr>
      <w:rPr>
        <w:rFonts w:hint="default"/>
      </w:rPr>
    </w:lvl>
    <w:lvl w:ilvl="8">
      <w:start w:val="0"/>
      <w:numFmt w:val="bullet"/>
      <w:lvlText w:val="•"/>
      <w:lvlJc w:val="left"/>
      <w:pPr>
        <w:ind w:left="6539" w:hanging="721"/>
      </w:pPr>
      <w:rPr>
        <w:rFonts w:hint="default"/>
      </w:rPr>
    </w:lvl>
  </w:abstractNum>
  <w:abstractNum w:abstractNumId="40">
    <w:multiLevelType w:val="hybridMultilevel"/>
    <w:lvl w:ilvl="0">
      <w:start w:val="1"/>
      <w:numFmt w:val="decimal"/>
      <w:lvlText w:val="（%1）"/>
      <w:lvlJc w:val="left"/>
      <w:pPr>
        <w:ind w:left="848" w:hanging="721"/>
        <w:jc w:val="left"/>
      </w:pPr>
      <w:rPr>
        <w:rFonts w:hint="default" w:ascii="仿宋" w:hAnsi="仿宋" w:eastAsia="仿宋" w:cs="仿宋"/>
        <w:w w:val="100"/>
        <w:sz w:val="21"/>
        <w:szCs w:val="21"/>
      </w:rPr>
    </w:lvl>
    <w:lvl w:ilvl="1">
      <w:start w:val="0"/>
      <w:numFmt w:val="bullet"/>
      <w:lvlText w:val="•"/>
      <w:lvlJc w:val="left"/>
      <w:pPr>
        <w:ind w:left="1552" w:hanging="721"/>
      </w:pPr>
      <w:rPr>
        <w:rFonts w:hint="default"/>
      </w:rPr>
    </w:lvl>
    <w:lvl w:ilvl="2">
      <w:start w:val="0"/>
      <w:numFmt w:val="bullet"/>
      <w:lvlText w:val="•"/>
      <w:lvlJc w:val="left"/>
      <w:pPr>
        <w:ind w:left="2264" w:hanging="721"/>
      </w:pPr>
      <w:rPr>
        <w:rFonts w:hint="default"/>
      </w:rPr>
    </w:lvl>
    <w:lvl w:ilvl="3">
      <w:start w:val="0"/>
      <w:numFmt w:val="bullet"/>
      <w:lvlText w:val="•"/>
      <w:lvlJc w:val="left"/>
      <w:pPr>
        <w:ind w:left="2977" w:hanging="721"/>
      </w:pPr>
      <w:rPr>
        <w:rFonts w:hint="default"/>
      </w:rPr>
    </w:lvl>
    <w:lvl w:ilvl="4">
      <w:start w:val="0"/>
      <w:numFmt w:val="bullet"/>
      <w:lvlText w:val="•"/>
      <w:lvlJc w:val="left"/>
      <w:pPr>
        <w:ind w:left="3689" w:hanging="721"/>
      </w:pPr>
      <w:rPr>
        <w:rFonts w:hint="default"/>
      </w:rPr>
    </w:lvl>
    <w:lvl w:ilvl="5">
      <w:start w:val="0"/>
      <w:numFmt w:val="bullet"/>
      <w:lvlText w:val="•"/>
      <w:lvlJc w:val="left"/>
      <w:pPr>
        <w:ind w:left="4402" w:hanging="721"/>
      </w:pPr>
      <w:rPr>
        <w:rFonts w:hint="default"/>
      </w:rPr>
    </w:lvl>
    <w:lvl w:ilvl="6">
      <w:start w:val="0"/>
      <w:numFmt w:val="bullet"/>
      <w:lvlText w:val="•"/>
      <w:lvlJc w:val="left"/>
      <w:pPr>
        <w:ind w:left="5114" w:hanging="721"/>
      </w:pPr>
      <w:rPr>
        <w:rFonts w:hint="default"/>
      </w:rPr>
    </w:lvl>
    <w:lvl w:ilvl="7">
      <w:start w:val="0"/>
      <w:numFmt w:val="bullet"/>
      <w:lvlText w:val="•"/>
      <w:lvlJc w:val="left"/>
      <w:pPr>
        <w:ind w:left="5826" w:hanging="721"/>
      </w:pPr>
      <w:rPr>
        <w:rFonts w:hint="default"/>
      </w:rPr>
    </w:lvl>
    <w:lvl w:ilvl="8">
      <w:start w:val="0"/>
      <w:numFmt w:val="bullet"/>
      <w:lvlText w:val="•"/>
      <w:lvlJc w:val="left"/>
      <w:pPr>
        <w:ind w:left="6539" w:hanging="721"/>
      </w:pPr>
      <w:rPr>
        <w:rFonts w:hint="default"/>
      </w:rPr>
    </w:lvl>
  </w:abstractNum>
  <w:abstractNum w:abstractNumId="39">
    <w:multiLevelType w:val="hybridMultilevel"/>
    <w:lvl w:ilvl="0">
      <w:start w:val="1"/>
      <w:numFmt w:val="decimal"/>
      <w:lvlText w:val="（%1）"/>
      <w:lvlJc w:val="left"/>
      <w:pPr>
        <w:ind w:left="848" w:hanging="721"/>
        <w:jc w:val="left"/>
      </w:pPr>
      <w:rPr>
        <w:rFonts w:hint="default" w:ascii="仿宋" w:hAnsi="仿宋" w:eastAsia="仿宋" w:cs="仿宋"/>
        <w:w w:val="100"/>
        <w:sz w:val="21"/>
        <w:szCs w:val="21"/>
      </w:rPr>
    </w:lvl>
    <w:lvl w:ilvl="1">
      <w:start w:val="0"/>
      <w:numFmt w:val="bullet"/>
      <w:lvlText w:val="•"/>
      <w:lvlJc w:val="left"/>
      <w:pPr>
        <w:ind w:left="1552" w:hanging="721"/>
      </w:pPr>
      <w:rPr>
        <w:rFonts w:hint="default"/>
      </w:rPr>
    </w:lvl>
    <w:lvl w:ilvl="2">
      <w:start w:val="0"/>
      <w:numFmt w:val="bullet"/>
      <w:lvlText w:val="•"/>
      <w:lvlJc w:val="left"/>
      <w:pPr>
        <w:ind w:left="2264" w:hanging="721"/>
      </w:pPr>
      <w:rPr>
        <w:rFonts w:hint="default"/>
      </w:rPr>
    </w:lvl>
    <w:lvl w:ilvl="3">
      <w:start w:val="0"/>
      <w:numFmt w:val="bullet"/>
      <w:lvlText w:val="•"/>
      <w:lvlJc w:val="left"/>
      <w:pPr>
        <w:ind w:left="2977" w:hanging="721"/>
      </w:pPr>
      <w:rPr>
        <w:rFonts w:hint="default"/>
      </w:rPr>
    </w:lvl>
    <w:lvl w:ilvl="4">
      <w:start w:val="0"/>
      <w:numFmt w:val="bullet"/>
      <w:lvlText w:val="•"/>
      <w:lvlJc w:val="left"/>
      <w:pPr>
        <w:ind w:left="3689" w:hanging="721"/>
      </w:pPr>
      <w:rPr>
        <w:rFonts w:hint="default"/>
      </w:rPr>
    </w:lvl>
    <w:lvl w:ilvl="5">
      <w:start w:val="0"/>
      <w:numFmt w:val="bullet"/>
      <w:lvlText w:val="•"/>
      <w:lvlJc w:val="left"/>
      <w:pPr>
        <w:ind w:left="4402" w:hanging="721"/>
      </w:pPr>
      <w:rPr>
        <w:rFonts w:hint="default"/>
      </w:rPr>
    </w:lvl>
    <w:lvl w:ilvl="6">
      <w:start w:val="0"/>
      <w:numFmt w:val="bullet"/>
      <w:lvlText w:val="•"/>
      <w:lvlJc w:val="left"/>
      <w:pPr>
        <w:ind w:left="5114" w:hanging="721"/>
      </w:pPr>
      <w:rPr>
        <w:rFonts w:hint="default"/>
      </w:rPr>
    </w:lvl>
    <w:lvl w:ilvl="7">
      <w:start w:val="0"/>
      <w:numFmt w:val="bullet"/>
      <w:lvlText w:val="•"/>
      <w:lvlJc w:val="left"/>
      <w:pPr>
        <w:ind w:left="5826" w:hanging="721"/>
      </w:pPr>
      <w:rPr>
        <w:rFonts w:hint="default"/>
      </w:rPr>
    </w:lvl>
    <w:lvl w:ilvl="8">
      <w:start w:val="0"/>
      <w:numFmt w:val="bullet"/>
      <w:lvlText w:val="•"/>
      <w:lvlJc w:val="left"/>
      <w:pPr>
        <w:ind w:left="6539" w:hanging="721"/>
      </w:pPr>
      <w:rPr>
        <w:rFonts w:hint="default"/>
      </w:rPr>
    </w:lvl>
  </w:abstractNum>
  <w:abstractNum w:abstractNumId="38">
    <w:multiLevelType w:val="hybridMultilevel"/>
    <w:lvl w:ilvl="0">
      <w:start w:val="1"/>
      <w:numFmt w:val="decimal"/>
      <w:lvlText w:val="（%1）"/>
      <w:lvlJc w:val="left"/>
      <w:pPr>
        <w:ind w:left="826" w:hanging="721"/>
        <w:jc w:val="left"/>
      </w:pPr>
      <w:rPr>
        <w:rFonts w:hint="default" w:ascii="仿宋" w:hAnsi="仿宋" w:eastAsia="仿宋" w:cs="仿宋"/>
        <w:w w:val="100"/>
        <w:sz w:val="21"/>
        <w:szCs w:val="21"/>
      </w:rPr>
    </w:lvl>
    <w:lvl w:ilvl="1">
      <w:start w:val="0"/>
      <w:numFmt w:val="bullet"/>
      <w:lvlText w:val="•"/>
      <w:lvlJc w:val="left"/>
      <w:pPr>
        <w:ind w:left="1532" w:hanging="721"/>
      </w:pPr>
      <w:rPr>
        <w:rFonts w:hint="default"/>
      </w:rPr>
    </w:lvl>
    <w:lvl w:ilvl="2">
      <w:start w:val="0"/>
      <w:numFmt w:val="bullet"/>
      <w:lvlText w:val="•"/>
      <w:lvlJc w:val="left"/>
      <w:pPr>
        <w:ind w:left="2244" w:hanging="721"/>
      </w:pPr>
      <w:rPr>
        <w:rFonts w:hint="default"/>
      </w:rPr>
    </w:lvl>
    <w:lvl w:ilvl="3">
      <w:start w:val="0"/>
      <w:numFmt w:val="bullet"/>
      <w:lvlText w:val="•"/>
      <w:lvlJc w:val="left"/>
      <w:pPr>
        <w:ind w:left="2956" w:hanging="721"/>
      </w:pPr>
      <w:rPr>
        <w:rFonts w:hint="default"/>
      </w:rPr>
    </w:lvl>
    <w:lvl w:ilvl="4">
      <w:start w:val="0"/>
      <w:numFmt w:val="bullet"/>
      <w:lvlText w:val="•"/>
      <w:lvlJc w:val="left"/>
      <w:pPr>
        <w:ind w:left="3669" w:hanging="721"/>
      </w:pPr>
      <w:rPr>
        <w:rFonts w:hint="default"/>
      </w:rPr>
    </w:lvl>
    <w:lvl w:ilvl="5">
      <w:start w:val="0"/>
      <w:numFmt w:val="bullet"/>
      <w:lvlText w:val="•"/>
      <w:lvlJc w:val="left"/>
      <w:pPr>
        <w:ind w:left="4381" w:hanging="721"/>
      </w:pPr>
      <w:rPr>
        <w:rFonts w:hint="default"/>
      </w:rPr>
    </w:lvl>
    <w:lvl w:ilvl="6">
      <w:start w:val="0"/>
      <w:numFmt w:val="bullet"/>
      <w:lvlText w:val="•"/>
      <w:lvlJc w:val="left"/>
      <w:pPr>
        <w:ind w:left="5093" w:hanging="721"/>
      </w:pPr>
      <w:rPr>
        <w:rFonts w:hint="default"/>
      </w:rPr>
    </w:lvl>
    <w:lvl w:ilvl="7">
      <w:start w:val="0"/>
      <w:numFmt w:val="bullet"/>
      <w:lvlText w:val="•"/>
      <w:lvlJc w:val="left"/>
      <w:pPr>
        <w:ind w:left="5806" w:hanging="721"/>
      </w:pPr>
      <w:rPr>
        <w:rFonts w:hint="default"/>
      </w:rPr>
    </w:lvl>
    <w:lvl w:ilvl="8">
      <w:start w:val="0"/>
      <w:numFmt w:val="bullet"/>
      <w:lvlText w:val="•"/>
      <w:lvlJc w:val="left"/>
      <w:pPr>
        <w:ind w:left="6518" w:hanging="721"/>
      </w:pPr>
      <w:rPr>
        <w:rFonts w:hint="default"/>
      </w:rPr>
    </w:lvl>
  </w:abstractNum>
  <w:abstractNum w:abstractNumId="37">
    <w:multiLevelType w:val="hybridMultilevel"/>
    <w:lvl w:ilvl="0">
      <w:start w:val="1"/>
      <w:numFmt w:val="decimal"/>
      <w:lvlText w:val="（%1）"/>
      <w:lvlJc w:val="left"/>
      <w:pPr>
        <w:ind w:left="826" w:hanging="721"/>
        <w:jc w:val="left"/>
      </w:pPr>
      <w:rPr>
        <w:rFonts w:hint="default" w:ascii="仿宋" w:hAnsi="仿宋" w:eastAsia="仿宋" w:cs="仿宋"/>
        <w:w w:val="100"/>
        <w:sz w:val="21"/>
        <w:szCs w:val="21"/>
      </w:rPr>
    </w:lvl>
    <w:lvl w:ilvl="1">
      <w:start w:val="0"/>
      <w:numFmt w:val="bullet"/>
      <w:lvlText w:val="•"/>
      <w:lvlJc w:val="left"/>
      <w:pPr>
        <w:ind w:left="1532" w:hanging="721"/>
      </w:pPr>
      <w:rPr>
        <w:rFonts w:hint="default"/>
      </w:rPr>
    </w:lvl>
    <w:lvl w:ilvl="2">
      <w:start w:val="0"/>
      <w:numFmt w:val="bullet"/>
      <w:lvlText w:val="•"/>
      <w:lvlJc w:val="left"/>
      <w:pPr>
        <w:ind w:left="2244" w:hanging="721"/>
      </w:pPr>
      <w:rPr>
        <w:rFonts w:hint="default"/>
      </w:rPr>
    </w:lvl>
    <w:lvl w:ilvl="3">
      <w:start w:val="0"/>
      <w:numFmt w:val="bullet"/>
      <w:lvlText w:val="•"/>
      <w:lvlJc w:val="left"/>
      <w:pPr>
        <w:ind w:left="2956" w:hanging="721"/>
      </w:pPr>
      <w:rPr>
        <w:rFonts w:hint="default"/>
      </w:rPr>
    </w:lvl>
    <w:lvl w:ilvl="4">
      <w:start w:val="0"/>
      <w:numFmt w:val="bullet"/>
      <w:lvlText w:val="•"/>
      <w:lvlJc w:val="left"/>
      <w:pPr>
        <w:ind w:left="3669" w:hanging="721"/>
      </w:pPr>
      <w:rPr>
        <w:rFonts w:hint="default"/>
      </w:rPr>
    </w:lvl>
    <w:lvl w:ilvl="5">
      <w:start w:val="0"/>
      <w:numFmt w:val="bullet"/>
      <w:lvlText w:val="•"/>
      <w:lvlJc w:val="left"/>
      <w:pPr>
        <w:ind w:left="4381" w:hanging="721"/>
      </w:pPr>
      <w:rPr>
        <w:rFonts w:hint="default"/>
      </w:rPr>
    </w:lvl>
    <w:lvl w:ilvl="6">
      <w:start w:val="0"/>
      <w:numFmt w:val="bullet"/>
      <w:lvlText w:val="•"/>
      <w:lvlJc w:val="left"/>
      <w:pPr>
        <w:ind w:left="5093" w:hanging="721"/>
      </w:pPr>
      <w:rPr>
        <w:rFonts w:hint="default"/>
      </w:rPr>
    </w:lvl>
    <w:lvl w:ilvl="7">
      <w:start w:val="0"/>
      <w:numFmt w:val="bullet"/>
      <w:lvlText w:val="•"/>
      <w:lvlJc w:val="left"/>
      <w:pPr>
        <w:ind w:left="5806" w:hanging="721"/>
      </w:pPr>
      <w:rPr>
        <w:rFonts w:hint="default"/>
      </w:rPr>
    </w:lvl>
    <w:lvl w:ilvl="8">
      <w:start w:val="0"/>
      <w:numFmt w:val="bullet"/>
      <w:lvlText w:val="•"/>
      <w:lvlJc w:val="left"/>
      <w:pPr>
        <w:ind w:left="6518" w:hanging="721"/>
      </w:pPr>
      <w:rPr>
        <w:rFonts w:hint="default"/>
      </w:rPr>
    </w:lvl>
  </w:abstractNum>
  <w:abstractNum w:abstractNumId="36">
    <w:multiLevelType w:val="hybridMultilevel"/>
    <w:lvl w:ilvl="0">
      <w:start w:val="1"/>
      <w:numFmt w:val="decimal"/>
      <w:lvlText w:val="（%1）"/>
      <w:lvlJc w:val="left"/>
      <w:pPr>
        <w:ind w:left="826" w:hanging="721"/>
        <w:jc w:val="left"/>
      </w:pPr>
      <w:rPr>
        <w:rFonts w:hint="default" w:ascii="仿宋" w:hAnsi="仿宋" w:eastAsia="仿宋" w:cs="仿宋"/>
        <w:w w:val="100"/>
        <w:sz w:val="21"/>
        <w:szCs w:val="21"/>
      </w:rPr>
    </w:lvl>
    <w:lvl w:ilvl="1">
      <w:start w:val="0"/>
      <w:numFmt w:val="bullet"/>
      <w:lvlText w:val="•"/>
      <w:lvlJc w:val="left"/>
      <w:pPr>
        <w:ind w:left="1532" w:hanging="721"/>
      </w:pPr>
      <w:rPr>
        <w:rFonts w:hint="default"/>
      </w:rPr>
    </w:lvl>
    <w:lvl w:ilvl="2">
      <w:start w:val="0"/>
      <w:numFmt w:val="bullet"/>
      <w:lvlText w:val="•"/>
      <w:lvlJc w:val="left"/>
      <w:pPr>
        <w:ind w:left="2244" w:hanging="721"/>
      </w:pPr>
      <w:rPr>
        <w:rFonts w:hint="default"/>
      </w:rPr>
    </w:lvl>
    <w:lvl w:ilvl="3">
      <w:start w:val="0"/>
      <w:numFmt w:val="bullet"/>
      <w:lvlText w:val="•"/>
      <w:lvlJc w:val="left"/>
      <w:pPr>
        <w:ind w:left="2956" w:hanging="721"/>
      </w:pPr>
      <w:rPr>
        <w:rFonts w:hint="default"/>
      </w:rPr>
    </w:lvl>
    <w:lvl w:ilvl="4">
      <w:start w:val="0"/>
      <w:numFmt w:val="bullet"/>
      <w:lvlText w:val="•"/>
      <w:lvlJc w:val="left"/>
      <w:pPr>
        <w:ind w:left="3669" w:hanging="721"/>
      </w:pPr>
      <w:rPr>
        <w:rFonts w:hint="default"/>
      </w:rPr>
    </w:lvl>
    <w:lvl w:ilvl="5">
      <w:start w:val="0"/>
      <w:numFmt w:val="bullet"/>
      <w:lvlText w:val="•"/>
      <w:lvlJc w:val="left"/>
      <w:pPr>
        <w:ind w:left="4381" w:hanging="721"/>
      </w:pPr>
      <w:rPr>
        <w:rFonts w:hint="default"/>
      </w:rPr>
    </w:lvl>
    <w:lvl w:ilvl="6">
      <w:start w:val="0"/>
      <w:numFmt w:val="bullet"/>
      <w:lvlText w:val="•"/>
      <w:lvlJc w:val="left"/>
      <w:pPr>
        <w:ind w:left="5093" w:hanging="721"/>
      </w:pPr>
      <w:rPr>
        <w:rFonts w:hint="default"/>
      </w:rPr>
    </w:lvl>
    <w:lvl w:ilvl="7">
      <w:start w:val="0"/>
      <w:numFmt w:val="bullet"/>
      <w:lvlText w:val="•"/>
      <w:lvlJc w:val="left"/>
      <w:pPr>
        <w:ind w:left="5806" w:hanging="721"/>
      </w:pPr>
      <w:rPr>
        <w:rFonts w:hint="default"/>
      </w:rPr>
    </w:lvl>
    <w:lvl w:ilvl="8">
      <w:start w:val="0"/>
      <w:numFmt w:val="bullet"/>
      <w:lvlText w:val="•"/>
      <w:lvlJc w:val="left"/>
      <w:pPr>
        <w:ind w:left="6518" w:hanging="721"/>
      </w:pPr>
      <w:rPr>
        <w:rFonts w:hint="default"/>
      </w:rPr>
    </w:lvl>
  </w:abstractNum>
  <w:abstractNum w:abstractNumId="35">
    <w:multiLevelType w:val="hybridMultilevel"/>
    <w:lvl w:ilvl="0">
      <w:start w:val="1"/>
      <w:numFmt w:val="decimal"/>
      <w:lvlText w:val="（%1）"/>
      <w:lvlJc w:val="left"/>
      <w:pPr>
        <w:ind w:left="826" w:hanging="721"/>
        <w:jc w:val="left"/>
      </w:pPr>
      <w:rPr>
        <w:rFonts w:hint="default" w:ascii="仿宋" w:hAnsi="仿宋" w:eastAsia="仿宋" w:cs="仿宋"/>
        <w:w w:val="100"/>
        <w:sz w:val="21"/>
        <w:szCs w:val="21"/>
      </w:rPr>
    </w:lvl>
    <w:lvl w:ilvl="1">
      <w:start w:val="0"/>
      <w:numFmt w:val="bullet"/>
      <w:lvlText w:val="•"/>
      <w:lvlJc w:val="left"/>
      <w:pPr>
        <w:ind w:left="1532" w:hanging="721"/>
      </w:pPr>
      <w:rPr>
        <w:rFonts w:hint="default"/>
      </w:rPr>
    </w:lvl>
    <w:lvl w:ilvl="2">
      <w:start w:val="0"/>
      <w:numFmt w:val="bullet"/>
      <w:lvlText w:val="•"/>
      <w:lvlJc w:val="left"/>
      <w:pPr>
        <w:ind w:left="2244" w:hanging="721"/>
      </w:pPr>
      <w:rPr>
        <w:rFonts w:hint="default"/>
      </w:rPr>
    </w:lvl>
    <w:lvl w:ilvl="3">
      <w:start w:val="0"/>
      <w:numFmt w:val="bullet"/>
      <w:lvlText w:val="•"/>
      <w:lvlJc w:val="left"/>
      <w:pPr>
        <w:ind w:left="2956" w:hanging="721"/>
      </w:pPr>
      <w:rPr>
        <w:rFonts w:hint="default"/>
      </w:rPr>
    </w:lvl>
    <w:lvl w:ilvl="4">
      <w:start w:val="0"/>
      <w:numFmt w:val="bullet"/>
      <w:lvlText w:val="•"/>
      <w:lvlJc w:val="left"/>
      <w:pPr>
        <w:ind w:left="3669" w:hanging="721"/>
      </w:pPr>
      <w:rPr>
        <w:rFonts w:hint="default"/>
      </w:rPr>
    </w:lvl>
    <w:lvl w:ilvl="5">
      <w:start w:val="0"/>
      <w:numFmt w:val="bullet"/>
      <w:lvlText w:val="•"/>
      <w:lvlJc w:val="left"/>
      <w:pPr>
        <w:ind w:left="4381" w:hanging="721"/>
      </w:pPr>
      <w:rPr>
        <w:rFonts w:hint="default"/>
      </w:rPr>
    </w:lvl>
    <w:lvl w:ilvl="6">
      <w:start w:val="0"/>
      <w:numFmt w:val="bullet"/>
      <w:lvlText w:val="•"/>
      <w:lvlJc w:val="left"/>
      <w:pPr>
        <w:ind w:left="5093" w:hanging="721"/>
      </w:pPr>
      <w:rPr>
        <w:rFonts w:hint="default"/>
      </w:rPr>
    </w:lvl>
    <w:lvl w:ilvl="7">
      <w:start w:val="0"/>
      <w:numFmt w:val="bullet"/>
      <w:lvlText w:val="•"/>
      <w:lvlJc w:val="left"/>
      <w:pPr>
        <w:ind w:left="5806" w:hanging="721"/>
      </w:pPr>
      <w:rPr>
        <w:rFonts w:hint="default"/>
      </w:rPr>
    </w:lvl>
    <w:lvl w:ilvl="8">
      <w:start w:val="0"/>
      <w:numFmt w:val="bullet"/>
      <w:lvlText w:val="•"/>
      <w:lvlJc w:val="left"/>
      <w:pPr>
        <w:ind w:left="6518" w:hanging="721"/>
      </w:pPr>
      <w:rPr>
        <w:rFonts w:hint="default"/>
      </w:rPr>
    </w:lvl>
  </w:abstractNum>
  <w:abstractNum w:abstractNumId="34">
    <w:multiLevelType w:val="hybridMultilevel"/>
    <w:lvl w:ilvl="0">
      <w:start w:val="1"/>
      <w:numFmt w:val="decimal"/>
      <w:lvlText w:val="(%1)"/>
      <w:lvlJc w:val="left"/>
      <w:pPr>
        <w:ind w:left="548" w:hanging="420"/>
        <w:jc w:val="left"/>
      </w:pPr>
      <w:rPr>
        <w:rFonts w:hint="default" w:ascii="黑体" w:hAnsi="黑体" w:eastAsia="黑体" w:cs="黑体"/>
        <w:w w:val="100"/>
        <w:sz w:val="21"/>
        <w:szCs w:val="21"/>
      </w:rPr>
    </w:lvl>
    <w:lvl w:ilvl="1">
      <w:start w:val="0"/>
      <w:numFmt w:val="bullet"/>
      <w:lvlText w:val="•"/>
      <w:lvlJc w:val="left"/>
      <w:pPr>
        <w:ind w:left="1282" w:hanging="420"/>
      </w:pPr>
      <w:rPr>
        <w:rFonts w:hint="default"/>
      </w:rPr>
    </w:lvl>
    <w:lvl w:ilvl="2">
      <w:start w:val="0"/>
      <w:numFmt w:val="bullet"/>
      <w:lvlText w:val="•"/>
      <w:lvlJc w:val="left"/>
      <w:pPr>
        <w:ind w:left="2024" w:hanging="420"/>
      </w:pPr>
      <w:rPr>
        <w:rFonts w:hint="default"/>
      </w:rPr>
    </w:lvl>
    <w:lvl w:ilvl="3">
      <w:start w:val="0"/>
      <w:numFmt w:val="bullet"/>
      <w:lvlText w:val="•"/>
      <w:lvlJc w:val="left"/>
      <w:pPr>
        <w:ind w:left="2767" w:hanging="420"/>
      </w:pPr>
      <w:rPr>
        <w:rFonts w:hint="default"/>
      </w:rPr>
    </w:lvl>
    <w:lvl w:ilvl="4">
      <w:start w:val="0"/>
      <w:numFmt w:val="bullet"/>
      <w:lvlText w:val="•"/>
      <w:lvlJc w:val="left"/>
      <w:pPr>
        <w:ind w:left="3509" w:hanging="420"/>
      </w:pPr>
      <w:rPr>
        <w:rFonts w:hint="default"/>
      </w:rPr>
    </w:lvl>
    <w:lvl w:ilvl="5">
      <w:start w:val="0"/>
      <w:numFmt w:val="bullet"/>
      <w:lvlText w:val="•"/>
      <w:lvlJc w:val="left"/>
      <w:pPr>
        <w:ind w:left="4252" w:hanging="420"/>
      </w:pPr>
      <w:rPr>
        <w:rFonts w:hint="default"/>
      </w:rPr>
    </w:lvl>
    <w:lvl w:ilvl="6">
      <w:start w:val="0"/>
      <w:numFmt w:val="bullet"/>
      <w:lvlText w:val="•"/>
      <w:lvlJc w:val="left"/>
      <w:pPr>
        <w:ind w:left="4994" w:hanging="420"/>
      </w:pPr>
      <w:rPr>
        <w:rFonts w:hint="default"/>
      </w:rPr>
    </w:lvl>
    <w:lvl w:ilvl="7">
      <w:start w:val="0"/>
      <w:numFmt w:val="bullet"/>
      <w:lvlText w:val="•"/>
      <w:lvlJc w:val="left"/>
      <w:pPr>
        <w:ind w:left="5736" w:hanging="420"/>
      </w:pPr>
      <w:rPr>
        <w:rFonts w:hint="default"/>
      </w:rPr>
    </w:lvl>
    <w:lvl w:ilvl="8">
      <w:start w:val="0"/>
      <w:numFmt w:val="bullet"/>
      <w:lvlText w:val="•"/>
      <w:lvlJc w:val="left"/>
      <w:pPr>
        <w:ind w:left="6479" w:hanging="420"/>
      </w:pPr>
      <w:rPr>
        <w:rFonts w:hint="default"/>
      </w:rPr>
    </w:lvl>
  </w:abstractNum>
  <w:abstractNum w:abstractNumId="33">
    <w:multiLevelType w:val="hybridMultilevel"/>
    <w:lvl w:ilvl="0">
      <w:start w:val="1"/>
      <w:numFmt w:val="decimal"/>
      <w:lvlText w:val="（%1）"/>
      <w:lvlJc w:val="left"/>
      <w:pPr>
        <w:ind w:left="762" w:hanging="632"/>
        <w:jc w:val="left"/>
      </w:pPr>
      <w:rPr>
        <w:rFonts w:hint="default" w:ascii="仿宋" w:hAnsi="仿宋" w:eastAsia="仿宋" w:cs="仿宋"/>
        <w:w w:val="100"/>
        <w:sz w:val="21"/>
        <w:szCs w:val="21"/>
      </w:rPr>
    </w:lvl>
    <w:lvl w:ilvl="1">
      <w:start w:val="0"/>
      <w:numFmt w:val="bullet"/>
      <w:lvlText w:val="•"/>
      <w:lvlJc w:val="left"/>
      <w:pPr>
        <w:ind w:left="1480" w:hanging="632"/>
      </w:pPr>
      <w:rPr>
        <w:rFonts w:hint="default"/>
      </w:rPr>
    </w:lvl>
    <w:lvl w:ilvl="2">
      <w:start w:val="0"/>
      <w:numFmt w:val="bullet"/>
      <w:lvlText w:val="•"/>
      <w:lvlJc w:val="left"/>
      <w:pPr>
        <w:ind w:left="2200" w:hanging="632"/>
      </w:pPr>
      <w:rPr>
        <w:rFonts w:hint="default"/>
      </w:rPr>
    </w:lvl>
    <w:lvl w:ilvl="3">
      <w:start w:val="0"/>
      <w:numFmt w:val="bullet"/>
      <w:lvlText w:val="•"/>
      <w:lvlJc w:val="left"/>
      <w:pPr>
        <w:ind w:left="2921" w:hanging="632"/>
      </w:pPr>
      <w:rPr>
        <w:rFonts w:hint="default"/>
      </w:rPr>
    </w:lvl>
    <w:lvl w:ilvl="4">
      <w:start w:val="0"/>
      <w:numFmt w:val="bullet"/>
      <w:lvlText w:val="•"/>
      <w:lvlJc w:val="left"/>
      <w:pPr>
        <w:ind w:left="3641" w:hanging="632"/>
      </w:pPr>
      <w:rPr>
        <w:rFonts w:hint="default"/>
      </w:rPr>
    </w:lvl>
    <w:lvl w:ilvl="5">
      <w:start w:val="0"/>
      <w:numFmt w:val="bullet"/>
      <w:lvlText w:val="•"/>
      <w:lvlJc w:val="left"/>
      <w:pPr>
        <w:ind w:left="4362" w:hanging="632"/>
      </w:pPr>
      <w:rPr>
        <w:rFonts w:hint="default"/>
      </w:rPr>
    </w:lvl>
    <w:lvl w:ilvl="6">
      <w:start w:val="0"/>
      <w:numFmt w:val="bullet"/>
      <w:lvlText w:val="•"/>
      <w:lvlJc w:val="left"/>
      <w:pPr>
        <w:ind w:left="5082" w:hanging="632"/>
      </w:pPr>
      <w:rPr>
        <w:rFonts w:hint="default"/>
      </w:rPr>
    </w:lvl>
    <w:lvl w:ilvl="7">
      <w:start w:val="0"/>
      <w:numFmt w:val="bullet"/>
      <w:lvlText w:val="•"/>
      <w:lvlJc w:val="left"/>
      <w:pPr>
        <w:ind w:left="5802" w:hanging="632"/>
      </w:pPr>
      <w:rPr>
        <w:rFonts w:hint="default"/>
      </w:rPr>
    </w:lvl>
    <w:lvl w:ilvl="8">
      <w:start w:val="0"/>
      <w:numFmt w:val="bullet"/>
      <w:lvlText w:val="•"/>
      <w:lvlJc w:val="left"/>
      <w:pPr>
        <w:ind w:left="6523" w:hanging="632"/>
      </w:pPr>
      <w:rPr>
        <w:rFonts w:hint="default"/>
      </w:rPr>
    </w:lvl>
  </w:abstractNum>
  <w:abstractNum w:abstractNumId="32">
    <w:multiLevelType w:val="hybridMultilevel"/>
    <w:lvl w:ilvl="0">
      <w:start w:val="1"/>
      <w:numFmt w:val="decimal"/>
      <w:lvlText w:val="（%1）"/>
      <w:lvlJc w:val="left"/>
      <w:pPr>
        <w:ind w:left="128" w:hanging="632"/>
        <w:jc w:val="left"/>
      </w:pPr>
      <w:rPr>
        <w:rFonts w:hint="default" w:ascii="仿宋" w:hAnsi="仿宋" w:eastAsia="仿宋" w:cs="仿宋"/>
        <w:w w:val="100"/>
        <w:sz w:val="21"/>
        <w:szCs w:val="21"/>
      </w:rPr>
    </w:lvl>
    <w:lvl w:ilvl="1">
      <w:start w:val="0"/>
      <w:numFmt w:val="bullet"/>
      <w:lvlText w:val="•"/>
      <w:lvlJc w:val="left"/>
      <w:pPr>
        <w:ind w:left="893" w:hanging="632"/>
      </w:pPr>
      <w:rPr>
        <w:rFonts w:hint="default"/>
      </w:rPr>
    </w:lvl>
    <w:lvl w:ilvl="2">
      <w:start w:val="0"/>
      <w:numFmt w:val="bullet"/>
      <w:lvlText w:val="•"/>
      <w:lvlJc w:val="left"/>
      <w:pPr>
        <w:ind w:left="1667" w:hanging="632"/>
      </w:pPr>
      <w:rPr>
        <w:rFonts w:hint="default"/>
      </w:rPr>
    </w:lvl>
    <w:lvl w:ilvl="3">
      <w:start w:val="0"/>
      <w:numFmt w:val="bullet"/>
      <w:lvlText w:val="•"/>
      <w:lvlJc w:val="left"/>
      <w:pPr>
        <w:ind w:left="2441" w:hanging="632"/>
      </w:pPr>
      <w:rPr>
        <w:rFonts w:hint="default"/>
      </w:rPr>
    </w:lvl>
    <w:lvl w:ilvl="4">
      <w:start w:val="0"/>
      <w:numFmt w:val="bullet"/>
      <w:lvlText w:val="•"/>
      <w:lvlJc w:val="left"/>
      <w:pPr>
        <w:ind w:left="3215" w:hanging="632"/>
      </w:pPr>
      <w:rPr>
        <w:rFonts w:hint="default"/>
      </w:rPr>
    </w:lvl>
    <w:lvl w:ilvl="5">
      <w:start w:val="0"/>
      <w:numFmt w:val="bullet"/>
      <w:lvlText w:val="•"/>
      <w:lvlJc w:val="left"/>
      <w:pPr>
        <w:ind w:left="3989" w:hanging="632"/>
      </w:pPr>
      <w:rPr>
        <w:rFonts w:hint="default"/>
      </w:rPr>
    </w:lvl>
    <w:lvl w:ilvl="6">
      <w:start w:val="0"/>
      <w:numFmt w:val="bullet"/>
      <w:lvlText w:val="•"/>
      <w:lvlJc w:val="left"/>
      <w:pPr>
        <w:ind w:left="4763" w:hanging="632"/>
      </w:pPr>
      <w:rPr>
        <w:rFonts w:hint="default"/>
      </w:rPr>
    </w:lvl>
    <w:lvl w:ilvl="7">
      <w:start w:val="0"/>
      <w:numFmt w:val="bullet"/>
      <w:lvlText w:val="•"/>
      <w:lvlJc w:val="left"/>
      <w:pPr>
        <w:ind w:left="5537" w:hanging="632"/>
      </w:pPr>
      <w:rPr>
        <w:rFonts w:hint="default"/>
      </w:rPr>
    </w:lvl>
    <w:lvl w:ilvl="8">
      <w:start w:val="0"/>
      <w:numFmt w:val="bullet"/>
      <w:lvlText w:val="•"/>
      <w:lvlJc w:val="left"/>
      <w:pPr>
        <w:ind w:left="6311" w:hanging="632"/>
      </w:pPr>
      <w:rPr>
        <w:rFonts w:hint="default"/>
      </w:rPr>
    </w:lvl>
  </w:abstractNum>
  <w:abstractNum w:abstractNumId="31">
    <w:multiLevelType w:val="hybridMultilevel"/>
    <w:lvl w:ilvl="0">
      <w:start w:val="1"/>
      <w:numFmt w:val="decimal"/>
      <w:lvlText w:val="（%1）"/>
      <w:lvlJc w:val="left"/>
      <w:pPr>
        <w:ind w:left="128" w:hanging="632"/>
        <w:jc w:val="left"/>
      </w:pPr>
      <w:rPr>
        <w:rFonts w:hint="default" w:ascii="仿宋" w:hAnsi="仿宋" w:eastAsia="仿宋" w:cs="仿宋"/>
        <w:w w:val="100"/>
        <w:sz w:val="21"/>
        <w:szCs w:val="21"/>
      </w:rPr>
    </w:lvl>
    <w:lvl w:ilvl="1">
      <w:start w:val="0"/>
      <w:numFmt w:val="bullet"/>
      <w:lvlText w:val="•"/>
      <w:lvlJc w:val="left"/>
      <w:pPr>
        <w:ind w:left="893" w:hanging="632"/>
      </w:pPr>
      <w:rPr>
        <w:rFonts w:hint="default"/>
      </w:rPr>
    </w:lvl>
    <w:lvl w:ilvl="2">
      <w:start w:val="0"/>
      <w:numFmt w:val="bullet"/>
      <w:lvlText w:val="•"/>
      <w:lvlJc w:val="left"/>
      <w:pPr>
        <w:ind w:left="1667" w:hanging="632"/>
      </w:pPr>
      <w:rPr>
        <w:rFonts w:hint="default"/>
      </w:rPr>
    </w:lvl>
    <w:lvl w:ilvl="3">
      <w:start w:val="0"/>
      <w:numFmt w:val="bullet"/>
      <w:lvlText w:val="•"/>
      <w:lvlJc w:val="left"/>
      <w:pPr>
        <w:ind w:left="2441" w:hanging="632"/>
      </w:pPr>
      <w:rPr>
        <w:rFonts w:hint="default"/>
      </w:rPr>
    </w:lvl>
    <w:lvl w:ilvl="4">
      <w:start w:val="0"/>
      <w:numFmt w:val="bullet"/>
      <w:lvlText w:val="•"/>
      <w:lvlJc w:val="left"/>
      <w:pPr>
        <w:ind w:left="3215" w:hanging="632"/>
      </w:pPr>
      <w:rPr>
        <w:rFonts w:hint="default"/>
      </w:rPr>
    </w:lvl>
    <w:lvl w:ilvl="5">
      <w:start w:val="0"/>
      <w:numFmt w:val="bullet"/>
      <w:lvlText w:val="•"/>
      <w:lvlJc w:val="left"/>
      <w:pPr>
        <w:ind w:left="3989" w:hanging="632"/>
      </w:pPr>
      <w:rPr>
        <w:rFonts w:hint="default"/>
      </w:rPr>
    </w:lvl>
    <w:lvl w:ilvl="6">
      <w:start w:val="0"/>
      <w:numFmt w:val="bullet"/>
      <w:lvlText w:val="•"/>
      <w:lvlJc w:val="left"/>
      <w:pPr>
        <w:ind w:left="4763" w:hanging="632"/>
      </w:pPr>
      <w:rPr>
        <w:rFonts w:hint="default"/>
      </w:rPr>
    </w:lvl>
    <w:lvl w:ilvl="7">
      <w:start w:val="0"/>
      <w:numFmt w:val="bullet"/>
      <w:lvlText w:val="•"/>
      <w:lvlJc w:val="left"/>
      <w:pPr>
        <w:ind w:left="5537" w:hanging="632"/>
      </w:pPr>
      <w:rPr>
        <w:rFonts w:hint="default"/>
      </w:rPr>
    </w:lvl>
    <w:lvl w:ilvl="8">
      <w:start w:val="0"/>
      <w:numFmt w:val="bullet"/>
      <w:lvlText w:val="•"/>
      <w:lvlJc w:val="left"/>
      <w:pPr>
        <w:ind w:left="6311" w:hanging="632"/>
      </w:pPr>
      <w:rPr>
        <w:rFonts w:hint="default"/>
      </w:rPr>
    </w:lvl>
  </w:abstractNum>
  <w:abstractNum w:abstractNumId="30">
    <w:multiLevelType w:val="hybridMultilevel"/>
    <w:lvl w:ilvl="0">
      <w:start w:val="1"/>
      <w:numFmt w:val="decimal"/>
      <w:lvlText w:val="（%1）"/>
      <w:lvlJc w:val="left"/>
      <w:pPr>
        <w:ind w:left="128" w:hanging="615"/>
        <w:jc w:val="left"/>
      </w:pPr>
      <w:rPr>
        <w:rFonts w:hint="default" w:ascii="仿宋" w:hAnsi="仿宋" w:eastAsia="仿宋" w:cs="仿宋"/>
        <w:w w:val="100"/>
        <w:sz w:val="21"/>
        <w:szCs w:val="21"/>
      </w:rPr>
    </w:lvl>
    <w:lvl w:ilvl="1">
      <w:start w:val="0"/>
      <w:numFmt w:val="bullet"/>
      <w:lvlText w:val="•"/>
      <w:lvlJc w:val="left"/>
      <w:pPr>
        <w:ind w:left="893" w:hanging="615"/>
      </w:pPr>
      <w:rPr>
        <w:rFonts w:hint="default"/>
      </w:rPr>
    </w:lvl>
    <w:lvl w:ilvl="2">
      <w:start w:val="0"/>
      <w:numFmt w:val="bullet"/>
      <w:lvlText w:val="•"/>
      <w:lvlJc w:val="left"/>
      <w:pPr>
        <w:ind w:left="1667" w:hanging="615"/>
      </w:pPr>
      <w:rPr>
        <w:rFonts w:hint="default"/>
      </w:rPr>
    </w:lvl>
    <w:lvl w:ilvl="3">
      <w:start w:val="0"/>
      <w:numFmt w:val="bullet"/>
      <w:lvlText w:val="•"/>
      <w:lvlJc w:val="left"/>
      <w:pPr>
        <w:ind w:left="2441" w:hanging="615"/>
      </w:pPr>
      <w:rPr>
        <w:rFonts w:hint="default"/>
      </w:rPr>
    </w:lvl>
    <w:lvl w:ilvl="4">
      <w:start w:val="0"/>
      <w:numFmt w:val="bullet"/>
      <w:lvlText w:val="•"/>
      <w:lvlJc w:val="left"/>
      <w:pPr>
        <w:ind w:left="3215" w:hanging="615"/>
      </w:pPr>
      <w:rPr>
        <w:rFonts w:hint="default"/>
      </w:rPr>
    </w:lvl>
    <w:lvl w:ilvl="5">
      <w:start w:val="0"/>
      <w:numFmt w:val="bullet"/>
      <w:lvlText w:val="•"/>
      <w:lvlJc w:val="left"/>
      <w:pPr>
        <w:ind w:left="3989" w:hanging="615"/>
      </w:pPr>
      <w:rPr>
        <w:rFonts w:hint="default"/>
      </w:rPr>
    </w:lvl>
    <w:lvl w:ilvl="6">
      <w:start w:val="0"/>
      <w:numFmt w:val="bullet"/>
      <w:lvlText w:val="•"/>
      <w:lvlJc w:val="left"/>
      <w:pPr>
        <w:ind w:left="4763" w:hanging="615"/>
      </w:pPr>
      <w:rPr>
        <w:rFonts w:hint="default"/>
      </w:rPr>
    </w:lvl>
    <w:lvl w:ilvl="7">
      <w:start w:val="0"/>
      <w:numFmt w:val="bullet"/>
      <w:lvlText w:val="•"/>
      <w:lvlJc w:val="left"/>
      <w:pPr>
        <w:ind w:left="5537" w:hanging="615"/>
      </w:pPr>
      <w:rPr>
        <w:rFonts w:hint="default"/>
      </w:rPr>
    </w:lvl>
    <w:lvl w:ilvl="8">
      <w:start w:val="0"/>
      <w:numFmt w:val="bullet"/>
      <w:lvlText w:val="•"/>
      <w:lvlJc w:val="left"/>
      <w:pPr>
        <w:ind w:left="6311" w:hanging="615"/>
      </w:pPr>
      <w:rPr>
        <w:rFonts w:hint="default"/>
      </w:rPr>
    </w:lvl>
  </w:abstractNum>
  <w:abstractNum w:abstractNumId="29">
    <w:multiLevelType w:val="hybridMultilevel"/>
    <w:lvl w:ilvl="0">
      <w:start w:val="1"/>
      <w:numFmt w:val="decimal"/>
      <w:lvlText w:val="（%1）"/>
      <w:lvlJc w:val="left"/>
      <w:pPr>
        <w:ind w:left="760" w:hanging="632"/>
        <w:jc w:val="left"/>
      </w:pPr>
      <w:rPr>
        <w:rFonts w:hint="default" w:ascii="仿宋" w:hAnsi="仿宋" w:eastAsia="仿宋" w:cs="仿宋"/>
        <w:w w:val="100"/>
        <w:sz w:val="21"/>
        <w:szCs w:val="21"/>
      </w:rPr>
    </w:lvl>
    <w:lvl w:ilvl="1">
      <w:start w:val="0"/>
      <w:numFmt w:val="bullet"/>
      <w:lvlText w:val="•"/>
      <w:lvlJc w:val="left"/>
      <w:pPr>
        <w:ind w:left="1480" w:hanging="632"/>
      </w:pPr>
      <w:rPr>
        <w:rFonts w:hint="default"/>
      </w:rPr>
    </w:lvl>
    <w:lvl w:ilvl="2">
      <w:start w:val="0"/>
      <w:numFmt w:val="bullet"/>
      <w:lvlText w:val="•"/>
      <w:lvlJc w:val="left"/>
      <w:pPr>
        <w:ind w:left="2200" w:hanging="632"/>
      </w:pPr>
      <w:rPr>
        <w:rFonts w:hint="default"/>
      </w:rPr>
    </w:lvl>
    <w:lvl w:ilvl="3">
      <w:start w:val="0"/>
      <w:numFmt w:val="bullet"/>
      <w:lvlText w:val="•"/>
      <w:lvlJc w:val="left"/>
      <w:pPr>
        <w:ind w:left="2921" w:hanging="632"/>
      </w:pPr>
      <w:rPr>
        <w:rFonts w:hint="default"/>
      </w:rPr>
    </w:lvl>
    <w:lvl w:ilvl="4">
      <w:start w:val="0"/>
      <w:numFmt w:val="bullet"/>
      <w:lvlText w:val="•"/>
      <w:lvlJc w:val="left"/>
      <w:pPr>
        <w:ind w:left="3641" w:hanging="632"/>
      </w:pPr>
      <w:rPr>
        <w:rFonts w:hint="default"/>
      </w:rPr>
    </w:lvl>
    <w:lvl w:ilvl="5">
      <w:start w:val="0"/>
      <w:numFmt w:val="bullet"/>
      <w:lvlText w:val="•"/>
      <w:lvlJc w:val="left"/>
      <w:pPr>
        <w:ind w:left="4362" w:hanging="632"/>
      </w:pPr>
      <w:rPr>
        <w:rFonts w:hint="default"/>
      </w:rPr>
    </w:lvl>
    <w:lvl w:ilvl="6">
      <w:start w:val="0"/>
      <w:numFmt w:val="bullet"/>
      <w:lvlText w:val="•"/>
      <w:lvlJc w:val="left"/>
      <w:pPr>
        <w:ind w:left="5082" w:hanging="632"/>
      </w:pPr>
      <w:rPr>
        <w:rFonts w:hint="default"/>
      </w:rPr>
    </w:lvl>
    <w:lvl w:ilvl="7">
      <w:start w:val="0"/>
      <w:numFmt w:val="bullet"/>
      <w:lvlText w:val="•"/>
      <w:lvlJc w:val="left"/>
      <w:pPr>
        <w:ind w:left="5802" w:hanging="632"/>
      </w:pPr>
      <w:rPr>
        <w:rFonts w:hint="default"/>
      </w:rPr>
    </w:lvl>
    <w:lvl w:ilvl="8">
      <w:start w:val="0"/>
      <w:numFmt w:val="bullet"/>
      <w:lvlText w:val="•"/>
      <w:lvlJc w:val="left"/>
      <w:pPr>
        <w:ind w:left="6523" w:hanging="632"/>
      </w:pPr>
      <w:rPr>
        <w:rFonts w:hint="default"/>
      </w:rPr>
    </w:lvl>
  </w:abstractNum>
  <w:abstractNum w:abstractNumId="28">
    <w:multiLevelType w:val="hybridMultilevel"/>
    <w:lvl w:ilvl="0">
      <w:start w:val="1"/>
      <w:numFmt w:val="decimal"/>
      <w:lvlText w:val="（%1）"/>
      <w:lvlJc w:val="left"/>
      <w:pPr>
        <w:ind w:left="760" w:hanging="632"/>
        <w:jc w:val="left"/>
      </w:pPr>
      <w:rPr>
        <w:rFonts w:hint="default" w:ascii="黑体" w:hAnsi="黑体" w:eastAsia="黑体" w:cs="黑体"/>
        <w:w w:val="100"/>
        <w:sz w:val="21"/>
        <w:szCs w:val="21"/>
      </w:rPr>
    </w:lvl>
    <w:lvl w:ilvl="1">
      <w:start w:val="0"/>
      <w:numFmt w:val="bullet"/>
      <w:lvlText w:val="•"/>
      <w:lvlJc w:val="left"/>
      <w:pPr>
        <w:ind w:left="1480" w:hanging="632"/>
      </w:pPr>
      <w:rPr>
        <w:rFonts w:hint="default"/>
      </w:rPr>
    </w:lvl>
    <w:lvl w:ilvl="2">
      <w:start w:val="0"/>
      <w:numFmt w:val="bullet"/>
      <w:lvlText w:val="•"/>
      <w:lvlJc w:val="left"/>
      <w:pPr>
        <w:ind w:left="2200" w:hanging="632"/>
      </w:pPr>
      <w:rPr>
        <w:rFonts w:hint="default"/>
      </w:rPr>
    </w:lvl>
    <w:lvl w:ilvl="3">
      <w:start w:val="0"/>
      <w:numFmt w:val="bullet"/>
      <w:lvlText w:val="•"/>
      <w:lvlJc w:val="left"/>
      <w:pPr>
        <w:ind w:left="2921" w:hanging="632"/>
      </w:pPr>
      <w:rPr>
        <w:rFonts w:hint="default"/>
      </w:rPr>
    </w:lvl>
    <w:lvl w:ilvl="4">
      <w:start w:val="0"/>
      <w:numFmt w:val="bullet"/>
      <w:lvlText w:val="•"/>
      <w:lvlJc w:val="left"/>
      <w:pPr>
        <w:ind w:left="3641" w:hanging="632"/>
      </w:pPr>
      <w:rPr>
        <w:rFonts w:hint="default"/>
      </w:rPr>
    </w:lvl>
    <w:lvl w:ilvl="5">
      <w:start w:val="0"/>
      <w:numFmt w:val="bullet"/>
      <w:lvlText w:val="•"/>
      <w:lvlJc w:val="left"/>
      <w:pPr>
        <w:ind w:left="4362" w:hanging="632"/>
      </w:pPr>
      <w:rPr>
        <w:rFonts w:hint="default"/>
      </w:rPr>
    </w:lvl>
    <w:lvl w:ilvl="6">
      <w:start w:val="0"/>
      <w:numFmt w:val="bullet"/>
      <w:lvlText w:val="•"/>
      <w:lvlJc w:val="left"/>
      <w:pPr>
        <w:ind w:left="5082" w:hanging="632"/>
      </w:pPr>
      <w:rPr>
        <w:rFonts w:hint="default"/>
      </w:rPr>
    </w:lvl>
    <w:lvl w:ilvl="7">
      <w:start w:val="0"/>
      <w:numFmt w:val="bullet"/>
      <w:lvlText w:val="•"/>
      <w:lvlJc w:val="left"/>
      <w:pPr>
        <w:ind w:left="5802" w:hanging="632"/>
      </w:pPr>
      <w:rPr>
        <w:rFonts w:hint="default"/>
      </w:rPr>
    </w:lvl>
    <w:lvl w:ilvl="8">
      <w:start w:val="0"/>
      <w:numFmt w:val="bullet"/>
      <w:lvlText w:val="•"/>
      <w:lvlJc w:val="left"/>
      <w:pPr>
        <w:ind w:left="6523" w:hanging="632"/>
      </w:pPr>
      <w:rPr>
        <w:rFonts w:hint="default"/>
      </w:rPr>
    </w:lvl>
  </w:abstractNum>
  <w:abstractNum w:abstractNumId="27">
    <w:multiLevelType w:val="hybridMultilevel"/>
    <w:lvl w:ilvl="0">
      <w:start w:val="1"/>
      <w:numFmt w:val="decimal"/>
      <w:lvlText w:val="（%1）"/>
      <w:lvlJc w:val="left"/>
      <w:pPr>
        <w:ind w:left="128" w:hanging="639"/>
        <w:jc w:val="left"/>
      </w:pPr>
      <w:rPr>
        <w:rFonts w:hint="default" w:ascii="仿宋" w:hAnsi="仿宋" w:eastAsia="仿宋" w:cs="仿宋"/>
        <w:spacing w:val="0"/>
        <w:w w:val="100"/>
        <w:sz w:val="21"/>
        <w:szCs w:val="21"/>
      </w:rPr>
    </w:lvl>
    <w:lvl w:ilvl="1">
      <w:start w:val="0"/>
      <w:numFmt w:val="bullet"/>
      <w:lvlText w:val="•"/>
      <w:lvlJc w:val="left"/>
      <w:pPr>
        <w:ind w:left="904" w:hanging="639"/>
      </w:pPr>
      <w:rPr>
        <w:rFonts w:hint="default"/>
      </w:rPr>
    </w:lvl>
    <w:lvl w:ilvl="2">
      <w:start w:val="0"/>
      <w:numFmt w:val="bullet"/>
      <w:lvlText w:val="•"/>
      <w:lvlJc w:val="left"/>
      <w:pPr>
        <w:ind w:left="1688" w:hanging="639"/>
      </w:pPr>
      <w:rPr>
        <w:rFonts w:hint="default"/>
      </w:rPr>
    </w:lvl>
    <w:lvl w:ilvl="3">
      <w:start w:val="0"/>
      <w:numFmt w:val="bullet"/>
      <w:lvlText w:val="•"/>
      <w:lvlJc w:val="left"/>
      <w:pPr>
        <w:ind w:left="2473" w:hanging="639"/>
      </w:pPr>
      <w:rPr>
        <w:rFonts w:hint="default"/>
      </w:rPr>
    </w:lvl>
    <w:lvl w:ilvl="4">
      <w:start w:val="0"/>
      <w:numFmt w:val="bullet"/>
      <w:lvlText w:val="•"/>
      <w:lvlJc w:val="left"/>
      <w:pPr>
        <w:ind w:left="3257" w:hanging="639"/>
      </w:pPr>
      <w:rPr>
        <w:rFonts w:hint="default"/>
      </w:rPr>
    </w:lvl>
    <w:lvl w:ilvl="5">
      <w:start w:val="0"/>
      <w:numFmt w:val="bullet"/>
      <w:lvlText w:val="•"/>
      <w:lvlJc w:val="left"/>
      <w:pPr>
        <w:ind w:left="4042" w:hanging="639"/>
      </w:pPr>
      <w:rPr>
        <w:rFonts w:hint="default"/>
      </w:rPr>
    </w:lvl>
    <w:lvl w:ilvl="6">
      <w:start w:val="0"/>
      <w:numFmt w:val="bullet"/>
      <w:lvlText w:val="•"/>
      <w:lvlJc w:val="left"/>
      <w:pPr>
        <w:ind w:left="4826" w:hanging="639"/>
      </w:pPr>
      <w:rPr>
        <w:rFonts w:hint="default"/>
      </w:rPr>
    </w:lvl>
    <w:lvl w:ilvl="7">
      <w:start w:val="0"/>
      <w:numFmt w:val="bullet"/>
      <w:lvlText w:val="•"/>
      <w:lvlJc w:val="left"/>
      <w:pPr>
        <w:ind w:left="5610" w:hanging="639"/>
      </w:pPr>
      <w:rPr>
        <w:rFonts w:hint="default"/>
      </w:rPr>
    </w:lvl>
    <w:lvl w:ilvl="8">
      <w:start w:val="0"/>
      <w:numFmt w:val="bullet"/>
      <w:lvlText w:val="•"/>
      <w:lvlJc w:val="left"/>
      <w:pPr>
        <w:ind w:left="6395" w:hanging="639"/>
      </w:pPr>
      <w:rPr>
        <w:rFonts w:hint="default"/>
      </w:rPr>
    </w:lvl>
  </w:abstractNum>
  <w:abstractNum w:abstractNumId="26">
    <w:multiLevelType w:val="hybridMultilevel"/>
    <w:lvl w:ilvl="0">
      <w:start w:val="1"/>
      <w:numFmt w:val="decimal"/>
      <w:lvlText w:val="（%1）"/>
      <w:lvlJc w:val="left"/>
      <w:pPr>
        <w:ind w:left="760" w:hanging="632"/>
        <w:jc w:val="left"/>
      </w:pPr>
      <w:rPr>
        <w:rFonts w:hint="default" w:ascii="仿宋" w:hAnsi="仿宋" w:eastAsia="仿宋" w:cs="仿宋"/>
        <w:w w:val="100"/>
        <w:sz w:val="21"/>
        <w:szCs w:val="21"/>
      </w:rPr>
    </w:lvl>
    <w:lvl w:ilvl="1">
      <w:start w:val="0"/>
      <w:numFmt w:val="bullet"/>
      <w:lvlText w:val="•"/>
      <w:lvlJc w:val="left"/>
      <w:pPr>
        <w:ind w:left="1480" w:hanging="632"/>
      </w:pPr>
      <w:rPr>
        <w:rFonts w:hint="default"/>
      </w:rPr>
    </w:lvl>
    <w:lvl w:ilvl="2">
      <w:start w:val="0"/>
      <w:numFmt w:val="bullet"/>
      <w:lvlText w:val="•"/>
      <w:lvlJc w:val="left"/>
      <w:pPr>
        <w:ind w:left="2200" w:hanging="632"/>
      </w:pPr>
      <w:rPr>
        <w:rFonts w:hint="default"/>
      </w:rPr>
    </w:lvl>
    <w:lvl w:ilvl="3">
      <w:start w:val="0"/>
      <w:numFmt w:val="bullet"/>
      <w:lvlText w:val="•"/>
      <w:lvlJc w:val="left"/>
      <w:pPr>
        <w:ind w:left="2921" w:hanging="632"/>
      </w:pPr>
      <w:rPr>
        <w:rFonts w:hint="default"/>
      </w:rPr>
    </w:lvl>
    <w:lvl w:ilvl="4">
      <w:start w:val="0"/>
      <w:numFmt w:val="bullet"/>
      <w:lvlText w:val="•"/>
      <w:lvlJc w:val="left"/>
      <w:pPr>
        <w:ind w:left="3641" w:hanging="632"/>
      </w:pPr>
      <w:rPr>
        <w:rFonts w:hint="default"/>
      </w:rPr>
    </w:lvl>
    <w:lvl w:ilvl="5">
      <w:start w:val="0"/>
      <w:numFmt w:val="bullet"/>
      <w:lvlText w:val="•"/>
      <w:lvlJc w:val="left"/>
      <w:pPr>
        <w:ind w:left="4362" w:hanging="632"/>
      </w:pPr>
      <w:rPr>
        <w:rFonts w:hint="default"/>
      </w:rPr>
    </w:lvl>
    <w:lvl w:ilvl="6">
      <w:start w:val="0"/>
      <w:numFmt w:val="bullet"/>
      <w:lvlText w:val="•"/>
      <w:lvlJc w:val="left"/>
      <w:pPr>
        <w:ind w:left="5082" w:hanging="632"/>
      </w:pPr>
      <w:rPr>
        <w:rFonts w:hint="default"/>
      </w:rPr>
    </w:lvl>
    <w:lvl w:ilvl="7">
      <w:start w:val="0"/>
      <w:numFmt w:val="bullet"/>
      <w:lvlText w:val="•"/>
      <w:lvlJc w:val="left"/>
      <w:pPr>
        <w:ind w:left="5802" w:hanging="632"/>
      </w:pPr>
      <w:rPr>
        <w:rFonts w:hint="default"/>
      </w:rPr>
    </w:lvl>
    <w:lvl w:ilvl="8">
      <w:start w:val="0"/>
      <w:numFmt w:val="bullet"/>
      <w:lvlText w:val="•"/>
      <w:lvlJc w:val="left"/>
      <w:pPr>
        <w:ind w:left="6523" w:hanging="632"/>
      </w:pPr>
      <w:rPr>
        <w:rFonts w:hint="default"/>
      </w:rPr>
    </w:lvl>
  </w:abstractNum>
  <w:abstractNum w:abstractNumId="25">
    <w:multiLevelType w:val="hybridMultilevel"/>
    <w:lvl w:ilvl="0">
      <w:start w:val="1"/>
      <w:numFmt w:val="decimal"/>
      <w:lvlText w:val="（%1）"/>
      <w:lvlJc w:val="left"/>
      <w:pPr>
        <w:ind w:left="128" w:hanging="632"/>
        <w:jc w:val="left"/>
      </w:pPr>
      <w:rPr>
        <w:rFonts w:hint="default" w:ascii="仿宋" w:hAnsi="仿宋" w:eastAsia="仿宋" w:cs="仿宋"/>
        <w:w w:val="100"/>
        <w:sz w:val="21"/>
        <w:szCs w:val="21"/>
      </w:rPr>
    </w:lvl>
    <w:lvl w:ilvl="1">
      <w:start w:val="0"/>
      <w:numFmt w:val="bullet"/>
      <w:lvlText w:val="•"/>
      <w:lvlJc w:val="left"/>
      <w:pPr>
        <w:ind w:left="904" w:hanging="632"/>
      </w:pPr>
      <w:rPr>
        <w:rFonts w:hint="default"/>
      </w:rPr>
    </w:lvl>
    <w:lvl w:ilvl="2">
      <w:start w:val="0"/>
      <w:numFmt w:val="bullet"/>
      <w:lvlText w:val="•"/>
      <w:lvlJc w:val="left"/>
      <w:pPr>
        <w:ind w:left="1688" w:hanging="632"/>
      </w:pPr>
      <w:rPr>
        <w:rFonts w:hint="default"/>
      </w:rPr>
    </w:lvl>
    <w:lvl w:ilvl="3">
      <w:start w:val="0"/>
      <w:numFmt w:val="bullet"/>
      <w:lvlText w:val="•"/>
      <w:lvlJc w:val="left"/>
      <w:pPr>
        <w:ind w:left="2473" w:hanging="632"/>
      </w:pPr>
      <w:rPr>
        <w:rFonts w:hint="default"/>
      </w:rPr>
    </w:lvl>
    <w:lvl w:ilvl="4">
      <w:start w:val="0"/>
      <w:numFmt w:val="bullet"/>
      <w:lvlText w:val="•"/>
      <w:lvlJc w:val="left"/>
      <w:pPr>
        <w:ind w:left="3257" w:hanging="632"/>
      </w:pPr>
      <w:rPr>
        <w:rFonts w:hint="default"/>
      </w:rPr>
    </w:lvl>
    <w:lvl w:ilvl="5">
      <w:start w:val="0"/>
      <w:numFmt w:val="bullet"/>
      <w:lvlText w:val="•"/>
      <w:lvlJc w:val="left"/>
      <w:pPr>
        <w:ind w:left="4042" w:hanging="632"/>
      </w:pPr>
      <w:rPr>
        <w:rFonts w:hint="default"/>
      </w:rPr>
    </w:lvl>
    <w:lvl w:ilvl="6">
      <w:start w:val="0"/>
      <w:numFmt w:val="bullet"/>
      <w:lvlText w:val="•"/>
      <w:lvlJc w:val="left"/>
      <w:pPr>
        <w:ind w:left="4826" w:hanging="632"/>
      </w:pPr>
      <w:rPr>
        <w:rFonts w:hint="default"/>
      </w:rPr>
    </w:lvl>
    <w:lvl w:ilvl="7">
      <w:start w:val="0"/>
      <w:numFmt w:val="bullet"/>
      <w:lvlText w:val="•"/>
      <w:lvlJc w:val="left"/>
      <w:pPr>
        <w:ind w:left="5610" w:hanging="632"/>
      </w:pPr>
      <w:rPr>
        <w:rFonts w:hint="default"/>
      </w:rPr>
    </w:lvl>
    <w:lvl w:ilvl="8">
      <w:start w:val="0"/>
      <w:numFmt w:val="bullet"/>
      <w:lvlText w:val="•"/>
      <w:lvlJc w:val="left"/>
      <w:pPr>
        <w:ind w:left="6395" w:hanging="632"/>
      </w:pPr>
      <w:rPr>
        <w:rFonts w:hint="default"/>
      </w:rPr>
    </w:lvl>
  </w:abstractNum>
  <w:abstractNum w:abstractNumId="24">
    <w:multiLevelType w:val="hybridMultilevel"/>
    <w:lvl w:ilvl="0">
      <w:start w:val="1"/>
      <w:numFmt w:val="decimal"/>
      <w:lvlText w:val="（%1）"/>
      <w:lvlJc w:val="left"/>
      <w:pPr>
        <w:ind w:left="707" w:hanging="632"/>
        <w:jc w:val="left"/>
      </w:pPr>
      <w:rPr>
        <w:rFonts w:hint="default" w:ascii="仿宋" w:hAnsi="仿宋" w:eastAsia="仿宋" w:cs="仿宋"/>
        <w:w w:val="100"/>
        <w:sz w:val="21"/>
        <w:szCs w:val="21"/>
      </w:rPr>
    </w:lvl>
    <w:lvl w:ilvl="1">
      <w:start w:val="0"/>
      <w:numFmt w:val="bullet"/>
      <w:lvlText w:val="•"/>
      <w:lvlJc w:val="left"/>
      <w:pPr>
        <w:ind w:left="1414" w:hanging="632"/>
      </w:pPr>
      <w:rPr>
        <w:rFonts w:hint="default"/>
      </w:rPr>
    </w:lvl>
    <w:lvl w:ilvl="2">
      <w:start w:val="0"/>
      <w:numFmt w:val="bullet"/>
      <w:lvlText w:val="•"/>
      <w:lvlJc w:val="left"/>
      <w:pPr>
        <w:ind w:left="2128" w:hanging="632"/>
      </w:pPr>
      <w:rPr>
        <w:rFonts w:hint="default"/>
      </w:rPr>
    </w:lvl>
    <w:lvl w:ilvl="3">
      <w:start w:val="0"/>
      <w:numFmt w:val="bullet"/>
      <w:lvlText w:val="•"/>
      <w:lvlJc w:val="left"/>
      <w:pPr>
        <w:ind w:left="2842" w:hanging="632"/>
      </w:pPr>
      <w:rPr>
        <w:rFonts w:hint="default"/>
      </w:rPr>
    </w:lvl>
    <w:lvl w:ilvl="4">
      <w:start w:val="0"/>
      <w:numFmt w:val="bullet"/>
      <w:lvlText w:val="•"/>
      <w:lvlJc w:val="left"/>
      <w:pPr>
        <w:ind w:left="3556" w:hanging="632"/>
      </w:pPr>
      <w:rPr>
        <w:rFonts w:hint="default"/>
      </w:rPr>
    </w:lvl>
    <w:lvl w:ilvl="5">
      <w:start w:val="0"/>
      <w:numFmt w:val="bullet"/>
      <w:lvlText w:val="•"/>
      <w:lvlJc w:val="left"/>
      <w:pPr>
        <w:ind w:left="4271" w:hanging="632"/>
      </w:pPr>
      <w:rPr>
        <w:rFonts w:hint="default"/>
      </w:rPr>
    </w:lvl>
    <w:lvl w:ilvl="6">
      <w:start w:val="0"/>
      <w:numFmt w:val="bullet"/>
      <w:lvlText w:val="•"/>
      <w:lvlJc w:val="left"/>
      <w:pPr>
        <w:ind w:left="4985" w:hanging="632"/>
      </w:pPr>
      <w:rPr>
        <w:rFonts w:hint="default"/>
      </w:rPr>
    </w:lvl>
    <w:lvl w:ilvl="7">
      <w:start w:val="0"/>
      <w:numFmt w:val="bullet"/>
      <w:lvlText w:val="•"/>
      <w:lvlJc w:val="left"/>
      <w:pPr>
        <w:ind w:left="5699" w:hanging="632"/>
      </w:pPr>
      <w:rPr>
        <w:rFonts w:hint="default"/>
      </w:rPr>
    </w:lvl>
    <w:lvl w:ilvl="8">
      <w:start w:val="0"/>
      <w:numFmt w:val="bullet"/>
      <w:lvlText w:val="•"/>
      <w:lvlJc w:val="left"/>
      <w:pPr>
        <w:ind w:left="6413" w:hanging="632"/>
      </w:pPr>
      <w:rPr>
        <w:rFonts w:hint="default"/>
      </w:rPr>
    </w:lvl>
  </w:abstractNum>
  <w:abstractNum w:abstractNumId="23">
    <w:multiLevelType w:val="hybridMultilevel"/>
    <w:lvl w:ilvl="0">
      <w:start w:val="1"/>
      <w:numFmt w:val="decimal"/>
      <w:lvlText w:val="（%1）"/>
      <w:lvlJc w:val="left"/>
      <w:pPr>
        <w:ind w:left="707" w:hanging="632"/>
        <w:jc w:val="left"/>
      </w:pPr>
      <w:rPr>
        <w:rFonts w:hint="default" w:ascii="仿宋" w:hAnsi="仿宋" w:eastAsia="仿宋" w:cs="仿宋"/>
        <w:w w:val="100"/>
        <w:sz w:val="21"/>
        <w:szCs w:val="21"/>
      </w:rPr>
    </w:lvl>
    <w:lvl w:ilvl="1">
      <w:start w:val="0"/>
      <w:numFmt w:val="bullet"/>
      <w:lvlText w:val="•"/>
      <w:lvlJc w:val="left"/>
      <w:pPr>
        <w:ind w:left="1414" w:hanging="632"/>
      </w:pPr>
      <w:rPr>
        <w:rFonts w:hint="default"/>
      </w:rPr>
    </w:lvl>
    <w:lvl w:ilvl="2">
      <w:start w:val="0"/>
      <w:numFmt w:val="bullet"/>
      <w:lvlText w:val="•"/>
      <w:lvlJc w:val="left"/>
      <w:pPr>
        <w:ind w:left="2128" w:hanging="632"/>
      </w:pPr>
      <w:rPr>
        <w:rFonts w:hint="default"/>
      </w:rPr>
    </w:lvl>
    <w:lvl w:ilvl="3">
      <w:start w:val="0"/>
      <w:numFmt w:val="bullet"/>
      <w:lvlText w:val="•"/>
      <w:lvlJc w:val="left"/>
      <w:pPr>
        <w:ind w:left="2842" w:hanging="632"/>
      </w:pPr>
      <w:rPr>
        <w:rFonts w:hint="default"/>
      </w:rPr>
    </w:lvl>
    <w:lvl w:ilvl="4">
      <w:start w:val="0"/>
      <w:numFmt w:val="bullet"/>
      <w:lvlText w:val="•"/>
      <w:lvlJc w:val="left"/>
      <w:pPr>
        <w:ind w:left="3556" w:hanging="632"/>
      </w:pPr>
      <w:rPr>
        <w:rFonts w:hint="default"/>
      </w:rPr>
    </w:lvl>
    <w:lvl w:ilvl="5">
      <w:start w:val="0"/>
      <w:numFmt w:val="bullet"/>
      <w:lvlText w:val="•"/>
      <w:lvlJc w:val="left"/>
      <w:pPr>
        <w:ind w:left="4271" w:hanging="632"/>
      </w:pPr>
      <w:rPr>
        <w:rFonts w:hint="default"/>
      </w:rPr>
    </w:lvl>
    <w:lvl w:ilvl="6">
      <w:start w:val="0"/>
      <w:numFmt w:val="bullet"/>
      <w:lvlText w:val="•"/>
      <w:lvlJc w:val="left"/>
      <w:pPr>
        <w:ind w:left="4985" w:hanging="632"/>
      </w:pPr>
      <w:rPr>
        <w:rFonts w:hint="default"/>
      </w:rPr>
    </w:lvl>
    <w:lvl w:ilvl="7">
      <w:start w:val="0"/>
      <w:numFmt w:val="bullet"/>
      <w:lvlText w:val="•"/>
      <w:lvlJc w:val="left"/>
      <w:pPr>
        <w:ind w:left="5699" w:hanging="632"/>
      </w:pPr>
      <w:rPr>
        <w:rFonts w:hint="default"/>
      </w:rPr>
    </w:lvl>
    <w:lvl w:ilvl="8">
      <w:start w:val="0"/>
      <w:numFmt w:val="bullet"/>
      <w:lvlText w:val="•"/>
      <w:lvlJc w:val="left"/>
      <w:pPr>
        <w:ind w:left="6413" w:hanging="632"/>
      </w:pPr>
      <w:rPr>
        <w:rFonts w:hint="default"/>
      </w:rPr>
    </w:lvl>
  </w:abstractNum>
  <w:abstractNum w:abstractNumId="22">
    <w:multiLevelType w:val="hybridMultilevel"/>
    <w:lvl w:ilvl="0">
      <w:start w:val="1"/>
      <w:numFmt w:val="decimal"/>
      <w:lvlText w:val="（%1）"/>
      <w:lvlJc w:val="left"/>
      <w:pPr>
        <w:ind w:left="75" w:hanging="632"/>
        <w:jc w:val="left"/>
      </w:pPr>
      <w:rPr>
        <w:rFonts w:hint="default" w:ascii="仿宋" w:hAnsi="仿宋" w:eastAsia="仿宋" w:cs="仿宋"/>
        <w:w w:val="100"/>
        <w:sz w:val="21"/>
        <w:szCs w:val="21"/>
      </w:rPr>
    </w:lvl>
    <w:lvl w:ilvl="1">
      <w:start w:val="0"/>
      <w:numFmt w:val="bullet"/>
      <w:lvlText w:val="•"/>
      <w:lvlJc w:val="left"/>
      <w:pPr>
        <w:ind w:left="856" w:hanging="632"/>
      </w:pPr>
      <w:rPr>
        <w:rFonts w:hint="default"/>
      </w:rPr>
    </w:lvl>
    <w:lvl w:ilvl="2">
      <w:start w:val="0"/>
      <w:numFmt w:val="bullet"/>
      <w:lvlText w:val="•"/>
      <w:lvlJc w:val="left"/>
      <w:pPr>
        <w:ind w:left="1632" w:hanging="632"/>
      </w:pPr>
      <w:rPr>
        <w:rFonts w:hint="default"/>
      </w:rPr>
    </w:lvl>
    <w:lvl w:ilvl="3">
      <w:start w:val="0"/>
      <w:numFmt w:val="bullet"/>
      <w:lvlText w:val="•"/>
      <w:lvlJc w:val="left"/>
      <w:pPr>
        <w:ind w:left="2408" w:hanging="632"/>
      </w:pPr>
      <w:rPr>
        <w:rFonts w:hint="default"/>
      </w:rPr>
    </w:lvl>
    <w:lvl w:ilvl="4">
      <w:start w:val="0"/>
      <w:numFmt w:val="bullet"/>
      <w:lvlText w:val="•"/>
      <w:lvlJc w:val="left"/>
      <w:pPr>
        <w:ind w:left="3184" w:hanging="632"/>
      </w:pPr>
      <w:rPr>
        <w:rFonts w:hint="default"/>
      </w:rPr>
    </w:lvl>
    <w:lvl w:ilvl="5">
      <w:start w:val="0"/>
      <w:numFmt w:val="bullet"/>
      <w:lvlText w:val="•"/>
      <w:lvlJc w:val="left"/>
      <w:pPr>
        <w:ind w:left="3961" w:hanging="632"/>
      </w:pPr>
      <w:rPr>
        <w:rFonts w:hint="default"/>
      </w:rPr>
    </w:lvl>
    <w:lvl w:ilvl="6">
      <w:start w:val="0"/>
      <w:numFmt w:val="bullet"/>
      <w:lvlText w:val="•"/>
      <w:lvlJc w:val="left"/>
      <w:pPr>
        <w:ind w:left="4737" w:hanging="632"/>
      </w:pPr>
      <w:rPr>
        <w:rFonts w:hint="default"/>
      </w:rPr>
    </w:lvl>
    <w:lvl w:ilvl="7">
      <w:start w:val="0"/>
      <w:numFmt w:val="bullet"/>
      <w:lvlText w:val="•"/>
      <w:lvlJc w:val="left"/>
      <w:pPr>
        <w:ind w:left="5513" w:hanging="632"/>
      </w:pPr>
      <w:rPr>
        <w:rFonts w:hint="default"/>
      </w:rPr>
    </w:lvl>
    <w:lvl w:ilvl="8">
      <w:start w:val="0"/>
      <w:numFmt w:val="bullet"/>
      <w:lvlText w:val="•"/>
      <w:lvlJc w:val="left"/>
      <w:pPr>
        <w:ind w:left="6289" w:hanging="632"/>
      </w:pPr>
      <w:rPr>
        <w:rFonts w:hint="default"/>
      </w:rPr>
    </w:lvl>
  </w:abstractNum>
  <w:abstractNum w:abstractNumId="21">
    <w:multiLevelType w:val="hybridMultilevel"/>
    <w:lvl w:ilvl="0">
      <w:start w:val="2"/>
      <w:numFmt w:val="decimal"/>
      <w:lvlText w:val="（%1）"/>
      <w:lvlJc w:val="left"/>
      <w:pPr>
        <w:ind w:left="707" w:hanging="632"/>
        <w:jc w:val="left"/>
      </w:pPr>
      <w:rPr>
        <w:rFonts w:hint="default" w:ascii="仿宋" w:hAnsi="仿宋" w:eastAsia="仿宋" w:cs="仿宋"/>
        <w:w w:val="100"/>
        <w:sz w:val="21"/>
        <w:szCs w:val="21"/>
      </w:rPr>
    </w:lvl>
    <w:lvl w:ilvl="1">
      <w:start w:val="0"/>
      <w:numFmt w:val="bullet"/>
      <w:lvlText w:val="•"/>
      <w:lvlJc w:val="left"/>
      <w:pPr>
        <w:ind w:left="1414" w:hanging="632"/>
      </w:pPr>
      <w:rPr>
        <w:rFonts w:hint="default"/>
      </w:rPr>
    </w:lvl>
    <w:lvl w:ilvl="2">
      <w:start w:val="0"/>
      <w:numFmt w:val="bullet"/>
      <w:lvlText w:val="•"/>
      <w:lvlJc w:val="left"/>
      <w:pPr>
        <w:ind w:left="2128" w:hanging="632"/>
      </w:pPr>
      <w:rPr>
        <w:rFonts w:hint="default"/>
      </w:rPr>
    </w:lvl>
    <w:lvl w:ilvl="3">
      <w:start w:val="0"/>
      <w:numFmt w:val="bullet"/>
      <w:lvlText w:val="•"/>
      <w:lvlJc w:val="left"/>
      <w:pPr>
        <w:ind w:left="2842" w:hanging="632"/>
      </w:pPr>
      <w:rPr>
        <w:rFonts w:hint="default"/>
      </w:rPr>
    </w:lvl>
    <w:lvl w:ilvl="4">
      <w:start w:val="0"/>
      <w:numFmt w:val="bullet"/>
      <w:lvlText w:val="•"/>
      <w:lvlJc w:val="left"/>
      <w:pPr>
        <w:ind w:left="3556" w:hanging="632"/>
      </w:pPr>
      <w:rPr>
        <w:rFonts w:hint="default"/>
      </w:rPr>
    </w:lvl>
    <w:lvl w:ilvl="5">
      <w:start w:val="0"/>
      <w:numFmt w:val="bullet"/>
      <w:lvlText w:val="•"/>
      <w:lvlJc w:val="left"/>
      <w:pPr>
        <w:ind w:left="4271" w:hanging="632"/>
      </w:pPr>
      <w:rPr>
        <w:rFonts w:hint="default"/>
      </w:rPr>
    </w:lvl>
    <w:lvl w:ilvl="6">
      <w:start w:val="0"/>
      <w:numFmt w:val="bullet"/>
      <w:lvlText w:val="•"/>
      <w:lvlJc w:val="left"/>
      <w:pPr>
        <w:ind w:left="4985" w:hanging="632"/>
      </w:pPr>
      <w:rPr>
        <w:rFonts w:hint="default"/>
      </w:rPr>
    </w:lvl>
    <w:lvl w:ilvl="7">
      <w:start w:val="0"/>
      <w:numFmt w:val="bullet"/>
      <w:lvlText w:val="•"/>
      <w:lvlJc w:val="left"/>
      <w:pPr>
        <w:ind w:left="5699" w:hanging="632"/>
      </w:pPr>
      <w:rPr>
        <w:rFonts w:hint="default"/>
      </w:rPr>
    </w:lvl>
    <w:lvl w:ilvl="8">
      <w:start w:val="0"/>
      <w:numFmt w:val="bullet"/>
      <w:lvlText w:val="•"/>
      <w:lvlJc w:val="left"/>
      <w:pPr>
        <w:ind w:left="6413" w:hanging="632"/>
      </w:pPr>
      <w:rPr>
        <w:rFonts w:hint="default"/>
      </w:rPr>
    </w:lvl>
  </w:abstractNum>
  <w:abstractNum w:abstractNumId="20">
    <w:multiLevelType w:val="hybridMultilevel"/>
    <w:lvl w:ilvl="0">
      <w:start w:val="1"/>
      <w:numFmt w:val="decimal"/>
      <w:lvlText w:val="（%1）"/>
      <w:lvlJc w:val="left"/>
      <w:pPr>
        <w:ind w:left="107" w:hanging="632"/>
        <w:jc w:val="left"/>
      </w:pPr>
      <w:rPr>
        <w:rFonts w:hint="default" w:ascii="仿宋" w:hAnsi="仿宋" w:eastAsia="仿宋" w:cs="仿宋"/>
        <w:w w:val="100"/>
        <w:sz w:val="21"/>
        <w:szCs w:val="21"/>
      </w:rPr>
    </w:lvl>
    <w:lvl w:ilvl="1">
      <w:start w:val="0"/>
      <w:numFmt w:val="bullet"/>
      <w:lvlText w:val="•"/>
      <w:lvlJc w:val="left"/>
      <w:pPr>
        <w:ind w:left="884" w:hanging="632"/>
      </w:pPr>
      <w:rPr>
        <w:rFonts w:hint="default"/>
      </w:rPr>
    </w:lvl>
    <w:lvl w:ilvl="2">
      <w:start w:val="0"/>
      <w:numFmt w:val="bullet"/>
      <w:lvlText w:val="•"/>
      <w:lvlJc w:val="left"/>
      <w:pPr>
        <w:ind w:left="1668" w:hanging="632"/>
      </w:pPr>
      <w:rPr>
        <w:rFonts w:hint="default"/>
      </w:rPr>
    </w:lvl>
    <w:lvl w:ilvl="3">
      <w:start w:val="0"/>
      <w:numFmt w:val="bullet"/>
      <w:lvlText w:val="•"/>
      <w:lvlJc w:val="left"/>
      <w:pPr>
        <w:ind w:left="2452" w:hanging="632"/>
      </w:pPr>
      <w:rPr>
        <w:rFonts w:hint="default"/>
      </w:rPr>
    </w:lvl>
    <w:lvl w:ilvl="4">
      <w:start w:val="0"/>
      <w:numFmt w:val="bullet"/>
      <w:lvlText w:val="•"/>
      <w:lvlJc w:val="left"/>
      <w:pPr>
        <w:ind w:left="3236" w:hanging="632"/>
      </w:pPr>
      <w:rPr>
        <w:rFonts w:hint="default"/>
      </w:rPr>
    </w:lvl>
    <w:lvl w:ilvl="5">
      <w:start w:val="0"/>
      <w:numFmt w:val="bullet"/>
      <w:lvlText w:val="•"/>
      <w:lvlJc w:val="left"/>
      <w:pPr>
        <w:ind w:left="4021" w:hanging="632"/>
      </w:pPr>
      <w:rPr>
        <w:rFonts w:hint="default"/>
      </w:rPr>
    </w:lvl>
    <w:lvl w:ilvl="6">
      <w:start w:val="0"/>
      <w:numFmt w:val="bullet"/>
      <w:lvlText w:val="•"/>
      <w:lvlJc w:val="left"/>
      <w:pPr>
        <w:ind w:left="4805" w:hanging="632"/>
      </w:pPr>
      <w:rPr>
        <w:rFonts w:hint="default"/>
      </w:rPr>
    </w:lvl>
    <w:lvl w:ilvl="7">
      <w:start w:val="0"/>
      <w:numFmt w:val="bullet"/>
      <w:lvlText w:val="•"/>
      <w:lvlJc w:val="left"/>
      <w:pPr>
        <w:ind w:left="5589" w:hanging="632"/>
      </w:pPr>
      <w:rPr>
        <w:rFonts w:hint="default"/>
      </w:rPr>
    </w:lvl>
    <w:lvl w:ilvl="8">
      <w:start w:val="0"/>
      <w:numFmt w:val="bullet"/>
      <w:lvlText w:val="•"/>
      <w:lvlJc w:val="left"/>
      <w:pPr>
        <w:ind w:left="6373" w:hanging="632"/>
      </w:pPr>
      <w:rPr>
        <w:rFonts w:hint="default"/>
      </w:rPr>
    </w:lvl>
  </w:abstractNum>
  <w:abstractNum w:abstractNumId="19">
    <w:multiLevelType w:val="hybridMultilevel"/>
    <w:lvl w:ilvl="0">
      <w:start w:val="1"/>
      <w:numFmt w:val="decimal"/>
      <w:lvlText w:val="（%1）"/>
      <w:lvlJc w:val="left"/>
      <w:pPr>
        <w:ind w:left="828" w:hanging="721"/>
        <w:jc w:val="left"/>
      </w:pPr>
      <w:rPr>
        <w:rFonts w:hint="default" w:ascii="仿宋" w:hAnsi="仿宋" w:eastAsia="仿宋" w:cs="仿宋"/>
        <w:w w:val="100"/>
        <w:sz w:val="21"/>
        <w:szCs w:val="21"/>
      </w:rPr>
    </w:lvl>
    <w:lvl w:ilvl="1">
      <w:start w:val="0"/>
      <w:numFmt w:val="bullet"/>
      <w:lvlText w:val="•"/>
      <w:lvlJc w:val="left"/>
      <w:pPr>
        <w:ind w:left="1532" w:hanging="721"/>
      </w:pPr>
      <w:rPr>
        <w:rFonts w:hint="default"/>
      </w:rPr>
    </w:lvl>
    <w:lvl w:ilvl="2">
      <w:start w:val="0"/>
      <w:numFmt w:val="bullet"/>
      <w:lvlText w:val="•"/>
      <w:lvlJc w:val="left"/>
      <w:pPr>
        <w:ind w:left="2244" w:hanging="721"/>
      </w:pPr>
      <w:rPr>
        <w:rFonts w:hint="default"/>
      </w:rPr>
    </w:lvl>
    <w:lvl w:ilvl="3">
      <w:start w:val="0"/>
      <w:numFmt w:val="bullet"/>
      <w:lvlText w:val="•"/>
      <w:lvlJc w:val="left"/>
      <w:pPr>
        <w:ind w:left="2956" w:hanging="721"/>
      </w:pPr>
      <w:rPr>
        <w:rFonts w:hint="default"/>
      </w:rPr>
    </w:lvl>
    <w:lvl w:ilvl="4">
      <w:start w:val="0"/>
      <w:numFmt w:val="bullet"/>
      <w:lvlText w:val="•"/>
      <w:lvlJc w:val="left"/>
      <w:pPr>
        <w:ind w:left="3668" w:hanging="721"/>
      </w:pPr>
      <w:rPr>
        <w:rFonts w:hint="default"/>
      </w:rPr>
    </w:lvl>
    <w:lvl w:ilvl="5">
      <w:start w:val="0"/>
      <w:numFmt w:val="bullet"/>
      <w:lvlText w:val="•"/>
      <w:lvlJc w:val="left"/>
      <w:pPr>
        <w:ind w:left="4381" w:hanging="721"/>
      </w:pPr>
      <w:rPr>
        <w:rFonts w:hint="default"/>
      </w:rPr>
    </w:lvl>
    <w:lvl w:ilvl="6">
      <w:start w:val="0"/>
      <w:numFmt w:val="bullet"/>
      <w:lvlText w:val="•"/>
      <w:lvlJc w:val="left"/>
      <w:pPr>
        <w:ind w:left="5093" w:hanging="721"/>
      </w:pPr>
      <w:rPr>
        <w:rFonts w:hint="default"/>
      </w:rPr>
    </w:lvl>
    <w:lvl w:ilvl="7">
      <w:start w:val="0"/>
      <w:numFmt w:val="bullet"/>
      <w:lvlText w:val="•"/>
      <w:lvlJc w:val="left"/>
      <w:pPr>
        <w:ind w:left="5805" w:hanging="721"/>
      </w:pPr>
      <w:rPr>
        <w:rFonts w:hint="default"/>
      </w:rPr>
    </w:lvl>
    <w:lvl w:ilvl="8">
      <w:start w:val="0"/>
      <w:numFmt w:val="bullet"/>
      <w:lvlText w:val="•"/>
      <w:lvlJc w:val="left"/>
      <w:pPr>
        <w:ind w:left="6517" w:hanging="721"/>
      </w:pPr>
      <w:rPr>
        <w:rFonts w:hint="default"/>
      </w:rPr>
    </w:lvl>
  </w:abstractNum>
  <w:abstractNum w:abstractNumId="18">
    <w:multiLevelType w:val="hybridMultilevel"/>
    <w:lvl w:ilvl="0">
      <w:start w:val="1"/>
      <w:numFmt w:val="decimal"/>
      <w:lvlText w:val="（%1）"/>
      <w:lvlJc w:val="left"/>
      <w:pPr>
        <w:ind w:left="828" w:hanging="721"/>
        <w:jc w:val="left"/>
      </w:pPr>
      <w:rPr>
        <w:rFonts w:hint="default" w:ascii="仿宋" w:hAnsi="仿宋" w:eastAsia="仿宋" w:cs="仿宋"/>
        <w:w w:val="100"/>
        <w:sz w:val="21"/>
        <w:szCs w:val="21"/>
      </w:rPr>
    </w:lvl>
    <w:lvl w:ilvl="1">
      <w:start w:val="0"/>
      <w:numFmt w:val="bullet"/>
      <w:lvlText w:val="•"/>
      <w:lvlJc w:val="left"/>
      <w:pPr>
        <w:ind w:left="1532" w:hanging="721"/>
      </w:pPr>
      <w:rPr>
        <w:rFonts w:hint="default"/>
      </w:rPr>
    </w:lvl>
    <w:lvl w:ilvl="2">
      <w:start w:val="0"/>
      <w:numFmt w:val="bullet"/>
      <w:lvlText w:val="•"/>
      <w:lvlJc w:val="left"/>
      <w:pPr>
        <w:ind w:left="2244" w:hanging="721"/>
      </w:pPr>
      <w:rPr>
        <w:rFonts w:hint="default"/>
      </w:rPr>
    </w:lvl>
    <w:lvl w:ilvl="3">
      <w:start w:val="0"/>
      <w:numFmt w:val="bullet"/>
      <w:lvlText w:val="•"/>
      <w:lvlJc w:val="left"/>
      <w:pPr>
        <w:ind w:left="2956" w:hanging="721"/>
      </w:pPr>
      <w:rPr>
        <w:rFonts w:hint="default"/>
      </w:rPr>
    </w:lvl>
    <w:lvl w:ilvl="4">
      <w:start w:val="0"/>
      <w:numFmt w:val="bullet"/>
      <w:lvlText w:val="•"/>
      <w:lvlJc w:val="left"/>
      <w:pPr>
        <w:ind w:left="3668" w:hanging="721"/>
      </w:pPr>
      <w:rPr>
        <w:rFonts w:hint="default"/>
      </w:rPr>
    </w:lvl>
    <w:lvl w:ilvl="5">
      <w:start w:val="0"/>
      <w:numFmt w:val="bullet"/>
      <w:lvlText w:val="•"/>
      <w:lvlJc w:val="left"/>
      <w:pPr>
        <w:ind w:left="4381" w:hanging="721"/>
      </w:pPr>
      <w:rPr>
        <w:rFonts w:hint="default"/>
      </w:rPr>
    </w:lvl>
    <w:lvl w:ilvl="6">
      <w:start w:val="0"/>
      <w:numFmt w:val="bullet"/>
      <w:lvlText w:val="•"/>
      <w:lvlJc w:val="left"/>
      <w:pPr>
        <w:ind w:left="5093" w:hanging="721"/>
      </w:pPr>
      <w:rPr>
        <w:rFonts w:hint="default"/>
      </w:rPr>
    </w:lvl>
    <w:lvl w:ilvl="7">
      <w:start w:val="0"/>
      <w:numFmt w:val="bullet"/>
      <w:lvlText w:val="•"/>
      <w:lvlJc w:val="left"/>
      <w:pPr>
        <w:ind w:left="5805" w:hanging="721"/>
      </w:pPr>
      <w:rPr>
        <w:rFonts w:hint="default"/>
      </w:rPr>
    </w:lvl>
    <w:lvl w:ilvl="8">
      <w:start w:val="0"/>
      <w:numFmt w:val="bullet"/>
      <w:lvlText w:val="•"/>
      <w:lvlJc w:val="left"/>
      <w:pPr>
        <w:ind w:left="6517" w:hanging="721"/>
      </w:pPr>
      <w:rPr>
        <w:rFonts w:hint="default"/>
      </w:rPr>
    </w:lvl>
  </w:abstractNum>
  <w:abstractNum w:abstractNumId="17">
    <w:multiLevelType w:val="hybridMultilevel"/>
    <w:lvl w:ilvl="0">
      <w:start w:val="1"/>
      <w:numFmt w:val="decimal"/>
      <w:lvlText w:val="（%1）"/>
      <w:lvlJc w:val="left"/>
      <w:pPr>
        <w:ind w:left="901" w:hanging="721"/>
        <w:jc w:val="left"/>
      </w:pPr>
      <w:rPr>
        <w:rFonts w:hint="default" w:ascii="仿宋" w:hAnsi="仿宋" w:eastAsia="仿宋" w:cs="仿宋"/>
        <w:w w:val="100"/>
        <w:sz w:val="21"/>
        <w:szCs w:val="21"/>
      </w:rPr>
    </w:lvl>
    <w:lvl w:ilvl="1">
      <w:start w:val="0"/>
      <w:numFmt w:val="bullet"/>
      <w:lvlText w:val="•"/>
      <w:lvlJc w:val="left"/>
      <w:pPr>
        <w:ind w:left="1591" w:hanging="721"/>
      </w:pPr>
      <w:rPr>
        <w:rFonts w:hint="default"/>
      </w:rPr>
    </w:lvl>
    <w:lvl w:ilvl="2">
      <w:start w:val="0"/>
      <w:numFmt w:val="bullet"/>
      <w:lvlText w:val="•"/>
      <w:lvlJc w:val="left"/>
      <w:pPr>
        <w:ind w:left="2282" w:hanging="721"/>
      </w:pPr>
      <w:rPr>
        <w:rFonts w:hint="default"/>
      </w:rPr>
    </w:lvl>
    <w:lvl w:ilvl="3">
      <w:start w:val="0"/>
      <w:numFmt w:val="bullet"/>
      <w:lvlText w:val="•"/>
      <w:lvlJc w:val="left"/>
      <w:pPr>
        <w:ind w:left="2973" w:hanging="721"/>
      </w:pPr>
      <w:rPr>
        <w:rFonts w:hint="default"/>
      </w:rPr>
    </w:lvl>
    <w:lvl w:ilvl="4">
      <w:start w:val="0"/>
      <w:numFmt w:val="bullet"/>
      <w:lvlText w:val="•"/>
      <w:lvlJc w:val="left"/>
      <w:pPr>
        <w:ind w:left="3664" w:hanging="721"/>
      </w:pPr>
      <w:rPr>
        <w:rFonts w:hint="default"/>
      </w:rPr>
    </w:lvl>
    <w:lvl w:ilvl="5">
      <w:start w:val="0"/>
      <w:numFmt w:val="bullet"/>
      <w:lvlText w:val="•"/>
      <w:lvlJc w:val="left"/>
      <w:pPr>
        <w:ind w:left="4356" w:hanging="721"/>
      </w:pPr>
      <w:rPr>
        <w:rFonts w:hint="default"/>
      </w:rPr>
    </w:lvl>
    <w:lvl w:ilvl="6">
      <w:start w:val="0"/>
      <w:numFmt w:val="bullet"/>
      <w:lvlText w:val="•"/>
      <w:lvlJc w:val="left"/>
      <w:pPr>
        <w:ind w:left="5047" w:hanging="721"/>
      </w:pPr>
      <w:rPr>
        <w:rFonts w:hint="default"/>
      </w:rPr>
    </w:lvl>
    <w:lvl w:ilvl="7">
      <w:start w:val="0"/>
      <w:numFmt w:val="bullet"/>
      <w:lvlText w:val="•"/>
      <w:lvlJc w:val="left"/>
      <w:pPr>
        <w:ind w:left="5738" w:hanging="721"/>
      </w:pPr>
      <w:rPr>
        <w:rFonts w:hint="default"/>
      </w:rPr>
    </w:lvl>
    <w:lvl w:ilvl="8">
      <w:start w:val="0"/>
      <w:numFmt w:val="bullet"/>
      <w:lvlText w:val="•"/>
      <w:lvlJc w:val="left"/>
      <w:pPr>
        <w:ind w:left="6429" w:hanging="721"/>
      </w:pPr>
      <w:rPr>
        <w:rFonts w:hint="default"/>
      </w:rPr>
    </w:lvl>
  </w:abstractNum>
  <w:abstractNum w:abstractNumId="16">
    <w:multiLevelType w:val="hybridMultilevel"/>
    <w:lvl w:ilvl="0">
      <w:start w:val="1"/>
      <w:numFmt w:val="decimal"/>
      <w:lvlText w:val="（%1）"/>
      <w:lvlJc w:val="left"/>
      <w:pPr>
        <w:ind w:left="805" w:hanging="625"/>
        <w:jc w:val="left"/>
      </w:pPr>
      <w:rPr>
        <w:rFonts w:hint="default" w:ascii="仿宋" w:hAnsi="仿宋" w:eastAsia="仿宋" w:cs="仿宋"/>
        <w:w w:val="100"/>
        <w:sz w:val="21"/>
        <w:szCs w:val="21"/>
      </w:rPr>
    </w:lvl>
    <w:lvl w:ilvl="1">
      <w:start w:val="0"/>
      <w:numFmt w:val="bullet"/>
      <w:lvlText w:val="•"/>
      <w:lvlJc w:val="left"/>
      <w:pPr>
        <w:ind w:left="1501" w:hanging="625"/>
      </w:pPr>
      <w:rPr>
        <w:rFonts w:hint="default"/>
      </w:rPr>
    </w:lvl>
    <w:lvl w:ilvl="2">
      <w:start w:val="0"/>
      <w:numFmt w:val="bullet"/>
      <w:lvlText w:val="•"/>
      <w:lvlJc w:val="left"/>
      <w:pPr>
        <w:ind w:left="2202" w:hanging="625"/>
      </w:pPr>
      <w:rPr>
        <w:rFonts w:hint="default"/>
      </w:rPr>
    </w:lvl>
    <w:lvl w:ilvl="3">
      <w:start w:val="0"/>
      <w:numFmt w:val="bullet"/>
      <w:lvlText w:val="•"/>
      <w:lvlJc w:val="left"/>
      <w:pPr>
        <w:ind w:left="2903" w:hanging="625"/>
      </w:pPr>
      <w:rPr>
        <w:rFonts w:hint="default"/>
      </w:rPr>
    </w:lvl>
    <w:lvl w:ilvl="4">
      <w:start w:val="0"/>
      <w:numFmt w:val="bullet"/>
      <w:lvlText w:val="•"/>
      <w:lvlJc w:val="left"/>
      <w:pPr>
        <w:ind w:left="3604" w:hanging="625"/>
      </w:pPr>
      <w:rPr>
        <w:rFonts w:hint="default"/>
      </w:rPr>
    </w:lvl>
    <w:lvl w:ilvl="5">
      <w:start w:val="0"/>
      <w:numFmt w:val="bullet"/>
      <w:lvlText w:val="•"/>
      <w:lvlJc w:val="left"/>
      <w:pPr>
        <w:ind w:left="4306" w:hanging="625"/>
      </w:pPr>
      <w:rPr>
        <w:rFonts w:hint="default"/>
      </w:rPr>
    </w:lvl>
    <w:lvl w:ilvl="6">
      <w:start w:val="0"/>
      <w:numFmt w:val="bullet"/>
      <w:lvlText w:val="•"/>
      <w:lvlJc w:val="left"/>
      <w:pPr>
        <w:ind w:left="5007" w:hanging="625"/>
      </w:pPr>
      <w:rPr>
        <w:rFonts w:hint="default"/>
      </w:rPr>
    </w:lvl>
    <w:lvl w:ilvl="7">
      <w:start w:val="0"/>
      <w:numFmt w:val="bullet"/>
      <w:lvlText w:val="•"/>
      <w:lvlJc w:val="left"/>
      <w:pPr>
        <w:ind w:left="5708" w:hanging="625"/>
      </w:pPr>
      <w:rPr>
        <w:rFonts w:hint="default"/>
      </w:rPr>
    </w:lvl>
    <w:lvl w:ilvl="8">
      <w:start w:val="0"/>
      <w:numFmt w:val="bullet"/>
      <w:lvlText w:val="•"/>
      <w:lvlJc w:val="left"/>
      <w:pPr>
        <w:ind w:left="6409" w:hanging="625"/>
      </w:pPr>
      <w:rPr>
        <w:rFonts w:hint="default"/>
      </w:rPr>
    </w:lvl>
  </w:abstractNum>
  <w:abstractNum w:abstractNumId="15">
    <w:multiLevelType w:val="hybridMultilevel"/>
    <w:lvl w:ilvl="0">
      <w:start w:val="1"/>
      <w:numFmt w:val="decimal"/>
      <w:lvlText w:val="（%1）"/>
      <w:lvlJc w:val="left"/>
      <w:pPr>
        <w:ind w:left="757" w:hanging="577"/>
        <w:jc w:val="left"/>
      </w:pPr>
      <w:rPr>
        <w:rFonts w:hint="default" w:ascii="仿宋" w:hAnsi="仿宋" w:eastAsia="仿宋" w:cs="仿宋"/>
        <w:w w:val="100"/>
        <w:sz w:val="21"/>
        <w:szCs w:val="21"/>
      </w:rPr>
    </w:lvl>
    <w:lvl w:ilvl="1">
      <w:start w:val="0"/>
      <w:numFmt w:val="bullet"/>
      <w:lvlText w:val="•"/>
      <w:lvlJc w:val="left"/>
      <w:pPr>
        <w:ind w:left="1465" w:hanging="577"/>
      </w:pPr>
      <w:rPr>
        <w:rFonts w:hint="default"/>
      </w:rPr>
    </w:lvl>
    <w:lvl w:ilvl="2">
      <w:start w:val="0"/>
      <w:numFmt w:val="bullet"/>
      <w:lvlText w:val="•"/>
      <w:lvlJc w:val="left"/>
      <w:pPr>
        <w:ind w:left="2170" w:hanging="577"/>
      </w:pPr>
      <w:rPr>
        <w:rFonts w:hint="default"/>
      </w:rPr>
    </w:lvl>
    <w:lvl w:ilvl="3">
      <w:start w:val="0"/>
      <w:numFmt w:val="bullet"/>
      <w:lvlText w:val="•"/>
      <w:lvlJc w:val="left"/>
      <w:pPr>
        <w:ind w:left="2875" w:hanging="577"/>
      </w:pPr>
      <w:rPr>
        <w:rFonts w:hint="default"/>
      </w:rPr>
    </w:lvl>
    <w:lvl w:ilvl="4">
      <w:start w:val="0"/>
      <w:numFmt w:val="bullet"/>
      <w:lvlText w:val="•"/>
      <w:lvlJc w:val="left"/>
      <w:pPr>
        <w:ind w:left="3580" w:hanging="577"/>
      </w:pPr>
      <w:rPr>
        <w:rFonts w:hint="default"/>
      </w:rPr>
    </w:lvl>
    <w:lvl w:ilvl="5">
      <w:start w:val="0"/>
      <w:numFmt w:val="bullet"/>
      <w:lvlText w:val="•"/>
      <w:lvlJc w:val="left"/>
      <w:pPr>
        <w:ind w:left="4286" w:hanging="577"/>
      </w:pPr>
      <w:rPr>
        <w:rFonts w:hint="default"/>
      </w:rPr>
    </w:lvl>
    <w:lvl w:ilvl="6">
      <w:start w:val="0"/>
      <w:numFmt w:val="bullet"/>
      <w:lvlText w:val="•"/>
      <w:lvlJc w:val="left"/>
      <w:pPr>
        <w:ind w:left="4991" w:hanging="577"/>
      </w:pPr>
      <w:rPr>
        <w:rFonts w:hint="default"/>
      </w:rPr>
    </w:lvl>
    <w:lvl w:ilvl="7">
      <w:start w:val="0"/>
      <w:numFmt w:val="bullet"/>
      <w:lvlText w:val="•"/>
      <w:lvlJc w:val="left"/>
      <w:pPr>
        <w:ind w:left="5696" w:hanging="577"/>
      </w:pPr>
      <w:rPr>
        <w:rFonts w:hint="default"/>
      </w:rPr>
    </w:lvl>
    <w:lvl w:ilvl="8">
      <w:start w:val="0"/>
      <w:numFmt w:val="bullet"/>
      <w:lvlText w:val="•"/>
      <w:lvlJc w:val="left"/>
      <w:pPr>
        <w:ind w:left="6401" w:hanging="577"/>
      </w:pPr>
      <w:rPr>
        <w:rFonts w:hint="default"/>
      </w:rPr>
    </w:lvl>
  </w:abstractNum>
  <w:abstractNum w:abstractNumId="14">
    <w:multiLevelType w:val="hybridMultilevel"/>
    <w:lvl w:ilvl="0">
      <w:start w:val="1"/>
      <w:numFmt w:val="decimal"/>
      <w:lvlText w:val="（%1）"/>
      <w:lvlJc w:val="left"/>
      <w:pPr>
        <w:ind w:left="826" w:hanging="721"/>
        <w:jc w:val="left"/>
      </w:pPr>
      <w:rPr>
        <w:rFonts w:hint="default" w:ascii="仿宋" w:hAnsi="仿宋" w:eastAsia="仿宋" w:cs="仿宋"/>
        <w:w w:val="100"/>
        <w:sz w:val="21"/>
        <w:szCs w:val="21"/>
      </w:rPr>
    </w:lvl>
    <w:lvl w:ilvl="1">
      <w:start w:val="0"/>
      <w:numFmt w:val="bullet"/>
      <w:lvlText w:val="•"/>
      <w:lvlJc w:val="left"/>
      <w:pPr>
        <w:ind w:left="1521" w:hanging="721"/>
      </w:pPr>
      <w:rPr>
        <w:rFonts w:hint="default"/>
      </w:rPr>
    </w:lvl>
    <w:lvl w:ilvl="2">
      <w:start w:val="0"/>
      <w:numFmt w:val="bullet"/>
      <w:lvlText w:val="•"/>
      <w:lvlJc w:val="left"/>
      <w:pPr>
        <w:ind w:left="2223" w:hanging="721"/>
      </w:pPr>
      <w:rPr>
        <w:rFonts w:hint="default"/>
      </w:rPr>
    </w:lvl>
    <w:lvl w:ilvl="3">
      <w:start w:val="0"/>
      <w:numFmt w:val="bullet"/>
      <w:lvlText w:val="•"/>
      <w:lvlJc w:val="left"/>
      <w:pPr>
        <w:ind w:left="2925" w:hanging="721"/>
      </w:pPr>
      <w:rPr>
        <w:rFonts w:hint="default"/>
      </w:rPr>
    </w:lvl>
    <w:lvl w:ilvl="4">
      <w:start w:val="0"/>
      <w:numFmt w:val="bullet"/>
      <w:lvlText w:val="•"/>
      <w:lvlJc w:val="left"/>
      <w:pPr>
        <w:ind w:left="3626" w:hanging="721"/>
      </w:pPr>
      <w:rPr>
        <w:rFonts w:hint="default"/>
      </w:rPr>
    </w:lvl>
    <w:lvl w:ilvl="5">
      <w:start w:val="0"/>
      <w:numFmt w:val="bullet"/>
      <w:lvlText w:val="•"/>
      <w:lvlJc w:val="left"/>
      <w:pPr>
        <w:ind w:left="4328" w:hanging="721"/>
      </w:pPr>
      <w:rPr>
        <w:rFonts w:hint="default"/>
      </w:rPr>
    </w:lvl>
    <w:lvl w:ilvl="6">
      <w:start w:val="0"/>
      <w:numFmt w:val="bullet"/>
      <w:lvlText w:val="•"/>
      <w:lvlJc w:val="left"/>
      <w:pPr>
        <w:ind w:left="5030" w:hanging="721"/>
      </w:pPr>
      <w:rPr>
        <w:rFonts w:hint="default"/>
      </w:rPr>
    </w:lvl>
    <w:lvl w:ilvl="7">
      <w:start w:val="0"/>
      <w:numFmt w:val="bullet"/>
      <w:lvlText w:val="•"/>
      <w:lvlJc w:val="left"/>
      <w:pPr>
        <w:ind w:left="5731" w:hanging="721"/>
      </w:pPr>
      <w:rPr>
        <w:rFonts w:hint="default"/>
      </w:rPr>
    </w:lvl>
    <w:lvl w:ilvl="8">
      <w:start w:val="0"/>
      <w:numFmt w:val="bullet"/>
      <w:lvlText w:val="•"/>
      <w:lvlJc w:val="left"/>
      <w:pPr>
        <w:ind w:left="6433" w:hanging="721"/>
      </w:pPr>
      <w:rPr>
        <w:rFonts w:hint="default"/>
      </w:rPr>
    </w:lvl>
  </w:abstractNum>
  <w:abstractNum w:abstractNumId="13">
    <w:multiLevelType w:val="hybridMultilevel"/>
    <w:lvl w:ilvl="0">
      <w:start w:val="1"/>
      <w:numFmt w:val="decimal"/>
      <w:lvlText w:val="（%1）"/>
      <w:lvlJc w:val="left"/>
      <w:pPr>
        <w:ind w:left="826" w:hanging="721"/>
        <w:jc w:val="left"/>
      </w:pPr>
      <w:rPr>
        <w:rFonts w:hint="default" w:ascii="仿宋" w:hAnsi="仿宋" w:eastAsia="仿宋" w:cs="仿宋"/>
        <w:w w:val="100"/>
        <w:sz w:val="21"/>
        <w:szCs w:val="21"/>
      </w:rPr>
    </w:lvl>
    <w:lvl w:ilvl="1">
      <w:start w:val="0"/>
      <w:numFmt w:val="bullet"/>
      <w:lvlText w:val="•"/>
      <w:lvlJc w:val="left"/>
      <w:pPr>
        <w:ind w:left="1521" w:hanging="721"/>
      </w:pPr>
      <w:rPr>
        <w:rFonts w:hint="default"/>
      </w:rPr>
    </w:lvl>
    <w:lvl w:ilvl="2">
      <w:start w:val="0"/>
      <w:numFmt w:val="bullet"/>
      <w:lvlText w:val="•"/>
      <w:lvlJc w:val="left"/>
      <w:pPr>
        <w:ind w:left="2223" w:hanging="721"/>
      </w:pPr>
      <w:rPr>
        <w:rFonts w:hint="default"/>
      </w:rPr>
    </w:lvl>
    <w:lvl w:ilvl="3">
      <w:start w:val="0"/>
      <w:numFmt w:val="bullet"/>
      <w:lvlText w:val="•"/>
      <w:lvlJc w:val="left"/>
      <w:pPr>
        <w:ind w:left="2925" w:hanging="721"/>
      </w:pPr>
      <w:rPr>
        <w:rFonts w:hint="default"/>
      </w:rPr>
    </w:lvl>
    <w:lvl w:ilvl="4">
      <w:start w:val="0"/>
      <w:numFmt w:val="bullet"/>
      <w:lvlText w:val="•"/>
      <w:lvlJc w:val="left"/>
      <w:pPr>
        <w:ind w:left="3626" w:hanging="721"/>
      </w:pPr>
      <w:rPr>
        <w:rFonts w:hint="default"/>
      </w:rPr>
    </w:lvl>
    <w:lvl w:ilvl="5">
      <w:start w:val="0"/>
      <w:numFmt w:val="bullet"/>
      <w:lvlText w:val="•"/>
      <w:lvlJc w:val="left"/>
      <w:pPr>
        <w:ind w:left="4328" w:hanging="721"/>
      </w:pPr>
      <w:rPr>
        <w:rFonts w:hint="default"/>
      </w:rPr>
    </w:lvl>
    <w:lvl w:ilvl="6">
      <w:start w:val="0"/>
      <w:numFmt w:val="bullet"/>
      <w:lvlText w:val="•"/>
      <w:lvlJc w:val="left"/>
      <w:pPr>
        <w:ind w:left="5030" w:hanging="721"/>
      </w:pPr>
      <w:rPr>
        <w:rFonts w:hint="default"/>
      </w:rPr>
    </w:lvl>
    <w:lvl w:ilvl="7">
      <w:start w:val="0"/>
      <w:numFmt w:val="bullet"/>
      <w:lvlText w:val="•"/>
      <w:lvlJc w:val="left"/>
      <w:pPr>
        <w:ind w:left="5731" w:hanging="721"/>
      </w:pPr>
      <w:rPr>
        <w:rFonts w:hint="default"/>
      </w:rPr>
    </w:lvl>
    <w:lvl w:ilvl="8">
      <w:start w:val="0"/>
      <w:numFmt w:val="bullet"/>
      <w:lvlText w:val="•"/>
      <w:lvlJc w:val="left"/>
      <w:pPr>
        <w:ind w:left="6433" w:hanging="721"/>
      </w:pPr>
      <w:rPr>
        <w:rFonts w:hint="default"/>
      </w:rPr>
    </w:lvl>
  </w:abstractNum>
  <w:abstractNum w:abstractNumId="12">
    <w:multiLevelType w:val="hybridMultilevel"/>
    <w:lvl w:ilvl="0">
      <w:start w:val="1"/>
      <w:numFmt w:val="decimal"/>
      <w:lvlText w:val="（%1）"/>
      <w:lvlJc w:val="left"/>
      <w:pPr>
        <w:ind w:left="826" w:hanging="721"/>
        <w:jc w:val="left"/>
      </w:pPr>
      <w:rPr>
        <w:rFonts w:hint="default" w:ascii="仿宋" w:hAnsi="仿宋" w:eastAsia="仿宋" w:cs="仿宋"/>
        <w:w w:val="100"/>
        <w:sz w:val="21"/>
        <w:szCs w:val="21"/>
      </w:rPr>
    </w:lvl>
    <w:lvl w:ilvl="1">
      <w:start w:val="0"/>
      <w:numFmt w:val="bullet"/>
      <w:lvlText w:val="•"/>
      <w:lvlJc w:val="left"/>
      <w:pPr>
        <w:ind w:left="1521" w:hanging="721"/>
      </w:pPr>
      <w:rPr>
        <w:rFonts w:hint="default"/>
      </w:rPr>
    </w:lvl>
    <w:lvl w:ilvl="2">
      <w:start w:val="0"/>
      <w:numFmt w:val="bullet"/>
      <w:lvlText w:val="•"/>
      <w:lvlJc w:val="left"/>
      <w:pPr>
        <w:ind w:left="2223" w:hanging="721"/>
      </w:pPr>
      <w:rPr>
        <w:rFonts w:hint="default"/>
      </w:rPr>
    </w:lvl>
    <w:lvl w:ilvl="3">
      <w:start w:val="0"/>
      <w:numFmt w:val="bullet"/>
      <w:lvlText w:val="•"/>
      <w:lvlJc w:val="left"/>
      <w:pPr>
        <w:ind w:left="2925" w:hanging="721"/>
      </w:pPr>
      <w:rPr>
        <w:rFonts w:hint="default"/>
      </w:rPr>
    </w:lvl>
    <w:lvl w:ilvl="4">
      <w:start w:val="0"/>
      <w:numFmt w:val="bullet"/>
      <w:lvlText w:val="•"/>
      <w:lvlJc w:val="left"/>
      <w:pPr>
        <w:ind w:left="3626" w:hanging="721"/>
      </w:pPr>
      <w:rPr>
        <w:rFonts w:hint="default"/>
      </w:rPr>
    </w:lvl>
    <w:lvl w:ilvl="5">
      <w:start w:val="0"/>
      <w:numFmt w:val="bullet"/>
      <w:lvlText w:val="•"/>
      <w:lvlJc w:val="left"/>
      <w:pPr>
        <w:ind w:left="4328" w:hanging="721"/>
      </w:pPr>
      <w:rPr>
        <w:rFonts w:hint="default"/>
      </w:rPr>
    </w:lvl>
    <w:lvl w:ilvl="6">
      <w:start w:val="0"/>
      <w:numFmt w:val="bullet"/>
      <w:lvlText w:val="•"/>
      <w:lvlJc w:val="left"/>
      <w:pPr>
        <w:ind w:left="5030" w:hanging="721"/>
      </w:pPr>
      <w:rPr>
        <w:rFonts w:hint="default"/>
      </w:rPr>
    </w:lvl>
    <w:lvl w:ilvl="7">
      <w:start w:val="0"/>
      <w:numFmt w:val="bullet"/>
      <w:lvlText w:val="•"/>
      <w:lvlJc w:val="left"/>
      <w:pPr>
        <w:ind w:left="5731" w:hanging="721"/>
      </w:pPr>
      <w:rPr>
        <w:rFonts w:hint="default"/>
      </w:rPr>
    </w:lvl>
    <w:lvl w:ilvl="8">
      <w:start w:val="0"/>
      <w:numFmt w:val="bullet"/>
      <w:lvlText w:val="•"/>
      <w:lvlJc w:val="left"/>
      <w:pPr>
        <w:ind w:left="6433" w:hanging="721"/>
      </w:pPr>
      <w:rPr>
        <w:rFonts w:hint="default"/>
      </w:rPr>
    </w:lvl>
  </w:abstractNum>
  <w:abstractNum w:abstractNumId="11">
    <w:multiLevelType w:val="hybridMultilevel"/>
    <w:lvl w:ilvl="0">
      <w:start w:val="1"/>
      <w:numFmt w:val="decimal"/>
      <w:lvlText w:val="（%1）"/>
      <w:lvlJc w:val="left"/>
      <w:pPr>
        <w:ind w:left="826" w:hanging="721"/>
        <w:jc w:val="left"/>
      </w:pPr>
      <w:rPr>
        <w:rFonts w:hint="default" w:ascii="仿宋" w:hAnsi="仿宋" w:eastAsia="仿宋" w:cs="仿宋"/>
        <w:w w:val="100"/>
        <w:sz w:val="21"/>
        <w:szCs w:val="21"/>
      </w:rPr>
    </w:lvl>
    <w:lvl w:ilvl="1">
      <w:start w:val="0"/>
      <w:numFmt w:val="bullet"/>
      <w:lvlText w:val="•"/>
      <w:lvlJc w:val="left"/>
      <w:pPr>
        <w:ind w:left="1521" w:hanging="721"/>
      </w:pPr>
      <w:rPr>
        <w:rFonts w:hint="default"/>
      </w:rPr>
    </w:lvl>
    <w:lvl w:ilvl="2">
      <w:start w:val="0"/>
      <w:numFmt w:val="bullet"/>
      <w:lvlText w:val="•"/>
      <w:lvlJc w:val="left"/>
      <w:pPr>
        <w:ind w:left="2223" w:hanging="721"/>
      </w:pPr>
      <w:rPr>
        <w:rFonts w:hint="default"/>
      </w:rPr>
    </w:lvl>
    <w:lvl w:ilvl="3">
      <w:start w:val="0"/>
      <w:numFmt w:val="bullet"/>
      <w:lvlText w:val="•"/>
      <w:lvlJc w:val="left"/>
      <w:pPr>
        <w:ind w:left="2925" w:hanging="721"/>
      </w:pPr>
      <w:rPr>
        <w:rFonts w:hint="default"/>
      </w:rPr>
    </w:lvl>
    <w:lvl w:ilvl="4">
      <w:start w:val="0"/>
      <w:numFmt w:val="bullet"/>
      <w:lvlText w:val="•"/>
      <w:lvlJc w:val="left"/>
      <w:pPr>
        <w:ind w:left="3626" w:hanging="721"/>
      </w:pPr>
      <w:rPr>
        <w:rFonts w:hint="default"/>
      </w:rPr>
    </w:lvl>
    <w:lvl w:ilvl="5">
      <w:start w:val="0"/>
      <w:numFmt w:val="bullet"/>
      <w:lvlText w:val="•"/>
      <w:lvlJc w:val="left"/>
      <w:pPr>
        <w:ind w:left="4328" w:hanging="721"/>
      </w:pPr>
      <w:rPr>
        <w:rFonts w:hint="default"/>
      </w:rPr>
    </w:lvl>
    <w:lvl w:ilvl="6">
      <w:start w:val="0"/>
      <w:numFmt w:val="bullet"/>
      <w:lvlText w:val="•"/>
      <w:lvlJc w:val="left"/>
      <w:pPr>
        <w:ind w:left="5030" w:hanging="721"/>
      </w:pPr>
      <w:rPr>
        <w:rFonts w:hint="default"/>
      </w:rPr>
    </w:lvl>
    <w:lvl w:ilvl="7">
      <w:start w:val="0"/>
      <w:numFmt w:val="bullet"/>
      <w:lvlText w:val="•"/>
      <w:lvlJc w:val="left"/>
      <w:pPr>
        <w:ind w:left="5731" w:hanging="721"/>
      </w:pPr>
      <w:rPr>
        <w:rFonts w:hint="default"/>
      </w:rPr>
    </w:lvl>
    <w:lvl w:ilvl="8">
      <w:start w:val="0"/>
      <w:numFmt w:val="bullet"/>
      <w:lvlText w:val="•"/>
      <w:lvlJc w:val="left"/>
      <w:pPr>
        <w:ind w:left="6433" w:hanging="721"/>
      </w:pPr>
      <w:rPr>
        <w:rFonts w:hint="default"/>
      </w:rPr>
    </w:lvl>
  </w:abstractNum>
  <w:abstractNum w:abstractNumId="10">
    <w:multiLevelType w:val="hybridMultilevel"/>
    <w:lvl w:ilvl="0">
      <w:start w:val="1"/>
      <w:numFmt w:val="decimal"/>
      <w:lvlText w:val="（%1）"/>
      <w:lvlJc w:val="left"/>
      <w:pPr>
        <w:ind w:left="813" w:hanging="632"/>
        <w:jc w:val="left"/>
      </w:pPr>
      <w:rPr>
        <w:rFonts w:hint="default" w:ascii="仿宋" w:hAnsi="仿宋" w:eastAsia="仿宋" w:cs="仿宋"/>
        <w:w w:val="100"/>
        <w:sz w:val="21"/>
        <w:szCs w:val="21"/>
      </w:rPr>
    </w:lvl>
    <w:lvl w:ilvl="1">
      <w:start w:val="0"/>
      <w:numFmt w:val="bullet"/>
      <w:lvlText w:val="•"/>
      <w:lvlJc w:val="left"/>
      <w:pPr>
        <w:ind w:left="1519" w:hanging="632"/>
      </w:pPr>
      <w:rPr>
        <w:rFonts w:hint="default"/>
      </w:rPr>
    </w:lvl>
    <w:lvl w:ilvl="2">
      <w:start w:val="0"/>
      <w:numFmt w:val="bullet"/>
      <w:lvlText w:val="•"/>
      <w:lvlJc w:val="left"/>
      <w:pPr>
        <w:ind w:left="2218" w:hanging="632"/>
      </w:pPr>
      <w:rPr>
        <w:rFonts w:hint="default"/>
      </w:rPr>
    </w:lvl>
    <w:lvl w:ilvl="3">
      <w:start w:val="0"/>
      <w:numFmt w:val="bullet"/>
      <w:lvlText w:val="•"/>
      <w:lvlJc w:val="left"/>
      <w:pPr>
        <w:ind w:left="2917" w:hanging="632"/>
      </w:pPr>
      <w:rPr>
        <w:rFonts w:hint="default"/>
      </w:rPr>
    </w:lvl>
    <w:lvl w:ilvl="4">
      <w:start w:val="0"/>
      <w:numFmt w:val="bullet"/>
      <w:lvlText w:val="•"/>
      <w:lvlJc w:val="left"/>
      <w:pPr>
        <w:ind w:left="3616" w:hanging="632"/>
      </w:pPr>
      <w:rPr>
        <w:rFonts w:hint="default"/>
      </w:rPr>
    </w:lvl>
    <w:lvl w:ilvl="5">
      <w:start w:val="0"/>
      <w:numFmt w:val="bullet"/>
      <w:lvlText w:val="•"/>
      <w:lvlJc w:val="left"/>
      <w:pPr>
        <w:ind w:left="4316" w:hanging="632"/>
      </w:pPr>
      <w:rPr>
        <w:rFonts w:hint="default"/>
      </w:rPr>
    </w:lvl>
    <w:lvl w:ilvl="6">
      <w:start w:val="0"/>
      <w:numFmt w:val="bullet"/>
      <w:lvlText w:val="•"/>
      <w:lvlJc w:val="left"/>
      <w:pPr>
        <w:ind w:left="5015" w:hanging="632"/>
      </w:pPr>
      <w:rPr>
        <w:rFonts w:hint="default"/>
      </w:rPr>
    </w:lvl>
    <w:lvl w:ilvl="7">
      <w:start w:val="0"/>
      <w:numFmt w:val="bullet"/>
      <w:lvlText w:val="•"/>
      <w:lvlJc w:val="left"/>
      <w:pPr>
        <w:ind w:left="5714" w:hanging="632"/>
      </w:pPr>
      <w:rPr>
        <w:rFonts w:hint="default"/>
      </w:rPr>
    </w:lvl>
    <w:lvl w:ilvl="8">
      <w:start w:val="0"/>
      <w:numFmt w:val="bullet"/>
      <w:lvlText w:val="•"/>
      <w:lvlJc w:val="left"/>
      <w:pPr>
        <w:ind w:left="6413" w:hanging="632"/>
      </w:pPr>
      <w:rPr>
        <w:rFonts w:hint="default"/>
      </w:rPr>
    </w:lvl>
  </w:abstractNum>
  <w:abstractNum w:abstractNumId="9">
    <w:multiLevelType w:val="hybridMultilevel"/>
    <w:lvl w:ilvl="0">
      <w:start w:val="1"/>
      <w:numFmt w:val="decimal"/>
      <w:lvlText w:val="%1"/>
      <w:lvlJc w:val="left"/>
      <w:pPr>
        <w:ind w:left="938" w:hanging="675"/>
        <w:jc w:val="left"/>
      </w:pPr>
      <w:rPr>
        <w:rFonts w:hint="default" w:ascii="仿宋" w:hAnsi="仿宋" w:eastAsia="仿宋" w:cs="仿宋"/>
        <w:b/>
        <w:bCs/>
        <w:w w:val="98"/>
        <w:position w:val="-2"/>
        <w:sz w:val="32"/>
        <w:szCs w:val="32"/>
      </w:rPr>
    </w:lvl>
    <w:lvl w:ilvl="1">
      <w:start w:val="1"/>
      <w:numFmt w:val="decimal"/>
      <w:lvlText w:val="%1.%2"/>
      <w:lvlJc w:val="left"/>
      <w:pPr>
        <w:ind w:left="2357" w:hanging="714"/>
        <w:jc w:val="left"/>
      </w:pPr>
      <w:rPr>
        <w:rFonts w:hint="default" w:ascii="仿宋" w:hAnsi="仿宋" w:eastAsia="仿宋" w:cs="仿宋"/>
        <w:b/>
        <w:bCs/>
        <w:w w:val="99"/>
        <w:sz w:val="21"/>
        <w:szCs w:val="21"/>
      </w:rPr>
    </w:lvl>
    <w:lvl w:ilvl="2">
      <w:start w:val="0"/>
      <w:numFmt w:val="bullet"/>
      <w:lvlText w:val="•"/>
      <w:lvlJc w:val="left"/>
      <w:pPr>
        <w:ind w:left="3220" w:hanging="714"/>
      </w:pPr>
      <w:rPr>
        <w:rFonts w:hint="default"/>
      </w:rPr>
    </w:lvl>
    <w:lvl w:ilvl="3">
      <w:start w:val="0"/>
      <w:numFmt w:val="bullet"/>
      <w:lvlText w:val="•"/>
      <w:lvlJc w:val="left"/>
      <w:pPr>
        <w:ind w:left="4081" w:hanging="714"/>
      </w:pPr>
      <w:rPr>
        <w:rFonts w:hint="default"/>
      </w:rPr>
    </w:lvl>
    <w:lvl w:ilvl="4">
      <w:start w:val="0"/>
      <w:numFmt w:val="bullet"/>
      <w:lvlText w:val="•"/>
      <w:lvlJc w:val="left"/>
      <w:pPr>
        <w:ind w:left="4942" w:hanging="714"/>
      </w:pPr>
      <w:rPr>
        <w:rFonts w:hint="default"/>
      </w:rPr>
    </w:lvl>
    <w:lvl w:ilvl="5">
      <w:start w:val="0"/>
      <w:numFmt w:val="bullet"/>
      <w:lvlText w:val="•"/>
      <w:lvlJc w:val="left"/>
      <w:pPr>
        <w:ind w:left="5802" w:hanging="714"/>
      </w:pPr>
      <w:rPr>
        <w:rFonts w:hint="default"/>
      </w:rPr>
    </w:lvl>
    <w:lvl w:ilvl="6">
      <w:start w:val="0"/>
      <w:numFmt w:val="bullet"/>
      <w:lvlText w:val="•"/>
      <w:lvlJc w:val="left"/>
      <w:pPr>
        <w:ind w:left="6663" w:hanging="714"/>
      </w:pPr>
      <w:rPr>
        <w:rFonts w:hint="default"/>
      </w:rPr>
    </w:lvl>
    <w:lvl w:ilvl="7">
      <w:start w:val="0"/>
      <w:numFmt w:val="bullet"/>
      <w:lvlText w:val="•"/>
      <w:lvlJc w:val="left"/>
      <w:pPr>
        <w:ind w:left="7524" w:hanging="714"/>
      </w:pPr>
      <w:rPr>
        <w:rFonts w:hint="default"/>
      </w:rPr>
    </w:lvl>
    <w:lvl w:ilvl="8">
      <w:start w:val="0"/>
      <w:numFmt w:val="bullet"/>
      <w:lvlText w:val="•"/>
      <w:lvlJc w:val="left"/>
      <w:pPr>
        <w:ind w:left="8384" w:hanging="714"/>
      </w:pPr>
      <w:rPr>
        <w:rFonts w:hint="default"/>
      </w:rPr>
    </w:lvl>
  </w:abstractNum>
  <w:abstractNum w:abstractNumId="3">
    <w:multiLevelType w:val="hybridMultilevel"/>
    <w:lvl w:ilvl="0">
      <w:start w:val="9"/>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仿宋" w:hAnsi="仿宋" w:eastAsia="仿宋" w:cs="仿宋"/>
        <w:w w:val="100"/>
        <w:sz w:val="21"/>
        <w:szCs w:val="21"/>
      </w:rPr>
    </w:lvl>
    <w:lvl w:ilvl="2">
      <w:start w:val="0"/>
      <w:numFmt w:val="bullet"/>
      <w:lvlText w:val="•"/>
      <w:lvlJc w:val="left"/>
      <w:pPr>
        <w:ind w:left="894" w:hanging="423"/>
      </w:pPr>
      <w:rPr>
        <w:rFonts w:hint="default"/>
      </w:rPr>
    </w:lvl>
    <w:lvl w:ilvl="3">
      <w:start w:val="0"/>
      <w:numFmt w:val="bullet"/>
      <w:lvlText w:val="•"/>
      <w:lvlJc w:val="left"/>
      <w:pPr>
        <w:ind w:left="1022" w:hanging="423"/>
      </w:pPr>
      <w:rPr>
        <w:rFonts w:hint="default"/>
      </w:rPr>
    </w:lvl>
    <w:lvl w:ilvl="4">
      <w:start w:val="0"/>
      <w:numFmt w:val="bullet"/>
      <w:lvlText w:val="•"/>
      <w:lvlJc w:val="left"/>
      <w:pPr>
        <w:ind w:left="1149" w:hanging="423"/>
      </w:pPr>
      <w:rPr>
        <w:rFonts w:hint="default"/>
      </w:rPr>
    </w:lvl>
    <w:lvl w:ilvl="5">
      <w:start w:val="0"/>
      <w:numFmt w:val="bullet"/>
      <w:lvlText w:val="•"/>
      <w:lvlJc w:val="left"/>
      <w:pPr>
        <w:ind w:left="1276" w:hanging="423"/>
      </w:pPr>
      <w:rPr>
        <w:rFonts w:hint="default"/>
      </w:rPr>
    </w:lvl>
    <w:lvl w:ilvl="6">
      <w:start w:val="0"/>
      <w:numFmt w:val="bullet"/>
      <w:lvlText w:val="•"/>
      <w:lvlJc w:val="left"/>
      <w:pPr>
        <w:ind w:left="1404" w:hanging="423"/>
      </w:pPr>
      <w:rPr>
        <w:rFonts w:hint="default"/>
      </w:rPr>
    </w:lvl>
    <w:lvl w:ilvl="7">
      <w:start w:val="0"/>
      <w:numFmt w:val="bullet"/>
      <w:lvlText w:val="•"/>
      <w:lvlJc w:val="left"/>
      <w:pPr>
        <w:ind w:left="1531" w:hanging="423"/>
      </w:pPr>
      <w:rPr>
        <w:rFonts w:hint="default"/>
      </w:rPr>
    </w:lvl>
    <w:lvl w:ilvl="8">
      <w:start w:val="0"/>
      <w:numFmt w:val="bullet"/>
      <w:lvlText w:val="•"/>
      <w:lvlJc w:val="left"/>
      <w:pPr>
        <w:ind w:left="1659" w:hanging="423"/>
      </w:pPr>
      <w:rPr>
        <w:rFonts w:hint="default"/>
      </w:rPr>
    </w:lvl>
  </w:abstractNum>
  <w:abstractNum w:abstractNumId="8">
    <w:multiLevelType w:val="hybridMultilevel"/>
    <w:lvl w:ilvl="0">
      <w:start w:val="9"/>
      <w:numFmt w:val="decimal"/>
      <w:lvlText w:val="%1"/>
      <w:lvlJc w:val="left"/>
      <w:pPr>
        <w:ind w:left="526" w:hanging="527"/>
        <w:jc w:val="left"/>
      </w:pPr>
      <w:rPr>
        <w:rFonts w:hint="default"/>
      </w:rPr>
    </w:lvl>
    <w:lvl w:ilvl="1">
      <w:start w:val="11"/>
      <w:numFmt w:val="decimal"/>
      <w:lvlText w:val="%1.%2"/>
      <w:lvlJc w:val="left"/>
      <w:pPr>
        <w:ind w:left="523" w:hanging="527"/>
        <w:jc w:val="left"/>
      </w:pPr>
      <w:rPr>
        <w:rFonts w:hint="default" w:ascii="仿宋" w:hAnsi="仿宋" w:eastAsia="仿宋" w:cs="仿宋"/>
        <w:w w:val="100"/>
        <w:sz w:val="21"/>
        <w:szCs w:val="21"/>
      </w:rPr>
    </w:lvl>
    <w:lvl w:ilvl="2">
      <w:start w:val="0"/>
      <w:numFmt w:val="bullet"/>
      <w:lvlText w:val="•"/>
      <w:lvlJc w:val="left"/>
      <w:pPr>
        <w:ind w:left="888" w:hanging="527"/>
      </w:pPr>
      <w:rPr>
        <w:rFonts w:hint="default"/>
      </w:rPr>
    </w:lvl>
    <w:lvl w:ilvl="3">
      <w:start w:val="0"/>
      <w:numFmt w:val="bullet"/>
      <w:lvlText w:val="•"/>
      <w:lvlJc w:val="left"/>
      <w:pPr>
        <w:ind w:left="1073" w:hanging="527"/>
      </w:pPr>
      <w:rPr>
        <w:rFonts w:hint="default"/>
      </w:rPr>
    </w:lvl>
    <w:lvl w:ilvl="4">
      <w:start w:val="0"/>
      <w:numFmt w:val="bullet"/>
      <w:lvlText w:val="•"/>
      <w:lvlJc w:val="left"/>
      <w:pPr>
        <w:ind w:left="1257" w:hanging="527"/>
      </w:pPr>
      <w:rPr>
        <w:rFonts w:hint="default"/>
      </w:rPr>
    </w:lvl>
    <w:lvl w:ilvl="5">
      <w:start w:val="0"/>
      <w:numFmt w:val="bullet"/>
      <w:lvlText w:val="•"/>
      <w:lvlJc w:val="left"/>
      <w:pPr>
        <w:ind w:left="1442" w:hanging="527"/>
      </w:pPr>
      <w:rPr>
        <w:rFonts w:hint="default"/>
      </w:rPr>
    </w:lvl>
    <w:lvl w:ilvl="6">
      <w:start w:val="0"/>
      <w:numFmt w:val="bullet"/>
      <w:lvlText w:val="•"/>
      <w:lvlJc w:val="left"/>
      <w:pPr>
        <w:ind w:left="1626" w:hanging="527"/>
      </w:pPr>
      <w:rPr>
        <w:rFonts w:hint="default"/>
      </w:rPr>
    </w:lvl>
    <w:lvl w:ilvl="7">
      <w:start w:val="0"/>
      <w:numFmt w:val="bullet"/>
      <w:lvlText w:val="•"/>
      <w:lvlJc w:val="left"/>
      <w:pPr>
        <w:ind w:left="1811" w:hanging="527"/>
      </w:pPr>
      <w:rPr>
        <w:rFonts w:hint="default"/>
      </w:rPr>
    </w:lvl>
    <w:lvl w:ilvl="8">
      <w:start w:val="0"/>
      <w:numFmt w:val="bullet"/>
      <w:lvlText w:val="•"/>
      <w:lvlJc w:val="left"/>
      <w:pPr>
        <w:ind w:left="1995" w:hanging="527"/>
      </w:pPr>
      <w:rPr>
        <w:rFonts w:hint="default"/>
      </w:rPr>
    </w:lvl>
  </w:abstractNum>
  <w:abstractNum w:abstractNumId="2">
    <w:multiLevelType w:val="hybridMultilevel"/>
    <w:lvl w:ilvl="0">
      <w:start w:val="4"/>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仿宋" w:hAnsi="仿宋" w:eastAsia="仿宋" w:cs="仿宋"/>
        <w:w w:val="100"/>
        <w:sz w:val="21"/>
        <w:szCs w:val="21"/>
      </w:rPr>
    </w:lvl>
    <w:lvl w:ilvl="2">
      <w:start w:val="0"/>
      <w:numFmt w:val="bullet"/>
      <w:lvlText w:val="•"/>
      <w:lvlJc w:val="left"/>
      <w:pPr>
        <w:ind w:left="894" w:hanging="423"/>
      </w:pPr>
      <w:rPr>
        <w:rFonts w:hint="default"/>
      </w:rPr>
    </w:lvl>
    <w:lvl w:ilvl="3">
      <w:start w:val="0"/>
      <w:numFmt w:val="bullet"/>
      <w:lvlText w:val="•"/>
      <w:lvlJc w:val="left"/>
      <w:pPr>
        <w:ind w:left="1022" w:hanging="423"/>
      </w:pPr>
      <w:rPr>
        <w:rFonts w:hint="default"/>
      </w:rPr>
    </w:lvl>
    <w:lvl w:ilvl="4">
      <w:start w:val="0"/>
      <w:numFmt w:val="bullet"/>
      <w:lvlText w:val="•"/>
      <w:lvlJc w:val="left"/>
      <w:pPr>
        <w:ind w:left="1149" w:hanging="423"/>
      </w:pPr>
      <w:rPr>
        <w:rFonts w:hint="default"/>
      </w:rPr>
    </w:lvl>
    <w:lvl w:ilvl="5">
      <w:start w:val="0"/>
      <w:numFmt w:val="bullet"/>
      <w:lvlText w:val="•"/>
      <w:lvlJc w:val="left"/>
      <w:pPr>
        <w:ind w:left="1276" w:hanging="423"/>
      </w:pPr>
      <w:rPr>
        <w:rFonts w:hint="default"/>
      </w:rPr>
    </w:lvl>
    <w:lvl w:ilvl="6">
      <w:start w:val="0"/>
      <w:numFmt w:val="bullet"/>
      <w:lvlText w:val="•"/>
      <w:lvlJc w:val="left"/>
      <w:pPr>
        <w:ind w:left="1404" w:hanging="423"/>
      </w:pPr>
      <w:rPr>
        <w:rFonts w:hint="default"/>
      </w:rPr>
    </w:lvl>
    <w:lvl w:ilvl="7">
      <w:start w:val="0"/>
      <w:numFmt w:val="bullet"/>
      <w:lvlText w:val="•"/>
      <w:lvlJc w:val="left"/>
      <w:pPr>
        <w:ind w:left="1531" w:hanging="423"/>
      </w:pPr>
      <w:rPr>
        <w:rFonts w:hint="default"/>
      </w:rPr>
    </w:lvl>
    <w:lvl w:ilvl="8">
      <w:start w:val="0"/>
      <w:numFmt w:val="bullet"/>
      <w:lvlText w:val="•"/>
      <w:lvlJc w:val="left"/>
      <w:pPr>
        <w:ind w:left="1658" w:hanging="423"/>
      </w:pPr>
      <w:rPr>
        <w:rFonts w:hint="default"/>
      </w:rPr>
    </w:lvl>
  </w:abstractNum>
  <w:abstractNum w:abstractNumId="1">
    <w:multiLevelType w:val="hybridMultilevel"/>
    <w:lvl w:ilvl="0">
      <w:start w:val="8"/>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仿宋" w:hAnsi="仿宋" w:eastAsia="仿宋" w:cs="仿宋"/>
        <w:w w:val="100"/>
        <w:sz w:val="21"/>
        <w:szCs w:val="21"/>
      </w:rPr>
    </w:lvl>
    <w:lvl w:ilvl="2">
      <w:start w:val="0"/>
      <w:numFmt w:val="bullet"/>
      <w:lvlText w:val="•"/>
      <w:lvlJc w:val="left"/>
      <w:pPr>
        <w:ind w:left="1021" w:hanging="423"/>
      </w:pPr>
      <w:rPr>
        <w:rFonts w:hint="default"/>
      </w:rPr>
    </w:lvl>
    <w:lvl w:ilvl="3">
      <w:start w:val="0"/>
      <w:numFmt w:val="bullet"/>
      <w:lvlText w:val="•"/>
      <w:lvlJc w:val="left"/>
      <w:pPr>
        <w:ind w:left="1211" w:hanging="423"/>
      </w:pPr>
      <w:rPr>
        <w:rFonts w:hint="default"/>
      </w:rPr>
    </w:lvl>
    <w:lvl w:ilvl="4">
      <w:start w:val="0"/>
      <w:numFmt w:val="bullet"/>
      <w:lvlText w:val="•"/>
      <w:lvlJc w:val="left"/>
      <w:pPr>
        <w:ind w:left="1402" w:hanging="423"/>
      </w:pPr>
      <w:rPr>
        <w:rFonts w:hint="default"/>
      </w:rPr>
    </w:lvl>
    <w:lvl w:ilvl="5">
      <w:start w:val="0"/>
      <w:numFmt w:val="bullet"/>
      <w:lvlText w:val="•"/>
      <w:lvlJc w:val="left"/>
      <w:pPr>
        <w:ind w:left="1592" w:hanging="423"/>
      </w:pPr>
      <w:rPr>
        <w:rFonts w:hint="default"/>
      </w:rPr>
    </w:lvl>
    <w:lvl w:ilvl="6">
      <w:start w:val="0"/>
      <w:numFmt w:val="bullet"/>
      <w:lvlText w:val="•"/>
      <w:lvlJc w:val="left"/>
      <w:pPr>
        <w:ind w:left="1783" w:hanging="423"/>
      </w:pPr>
      <w:rPr>
        <w:rFonts w:hint="default"/>
      </w:rPr>
    </w:lvl>
    <w:lvl w:ilvl="7">
      <w:start w:val="0"/>
      <w:numFmt w:val="bullet"/>
      <w:lvlText w:val="•"/>
      <w:lvlJc w:val="left"/>
      <w:pPr>
        <w:ind w:left="1973" w:hanging="423"/>
      </w:pPr>
      <w:rPr>
        <w:rFonts w:hint="default"/>
      </w:rPr>
    </w:lvl>
    <w:lvl w:ilvl="8">
      <w:start w:val="0"/>
      <w:numFmt w:val="bullet"/>
      <w:lvlText w:val="•"/>
      <w:lvlJc w:val="left"/>
      <w:pPr>
        <w:ind w:left="2164" w:hanging="423"/>
      </w:pPr>
      <w:rPr>
        <w:rFonts w:hint="default"/>
      </w:rPr>
    </w:lvl>
  </w:abstractNum>
  <w:abstractNum w:abstractNumId="0">
    <w:multiLevelType w:val="hybridMultilevel"/>
    <w:lvl w:ilvl="0">
      <w:start w:val="3"/>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仿宋" w:hAnsi="仿宋" w:eastAsia="仿宋" w:cs="仿宋"/>
        <w:w w:val="100"/>
        <w:sz w:val="21"/>
        <w:szCs w:val="21"/>
      </w:rPr>
    </w:lvl>
    <w:lvl w:ilvl="2">
      <w:start w:val="0"/>
      <w:numFmt w:val="bullet"/>
      <w:lvlText w:val="•"/>
      <w:lvlJc w:val="left"/>
      <w:pPr>
        <w:ind w:left="959" w:hanging="423"/>
      </w:pPr>
      <w:rPr>
        <w:rFonts w:hint="default"/>
      </w:rPr>
    </w:lvl>
    <w:lvl w:ilvl="3">
      <w:start w:val="0"/>
      <w:numFmt w:val="bullet"/>
      <w:lvlText w:val="•"/>
      <w:lvlJc w:val="left"/>
      <w:pPr>
        <w:ind w:left="1119" w:hanging="423"/>
      </w:pPr>
      <w:rPr>
        <w:rFonts w:hint="default"/>
      </w:rPr>
    </w:lvl>
    <w:lvl w:ilvl="4">
      <w:start w:val="0"/>
      <w:numFmt w:val="bullet"/>
      <w:lvlText w:val="•"/>
      <w:lvlJc w:val="left"/>
      <w:pPr>
        <w:ind w:left="1279" w:hanging="423"/>
      </w:pPr>
      <w:rPr>
        <w:rFonts w:hint="default"/>
      </w:rPr>
    </w:lvl>
    <w:lvl w:ilvl="5">
      <w:start w:val="0"/>
      <w:numFmt w:val="bullet"/>
      <w:lvlText w:val="•"/>
      <w:lvlJc w:val="left"/>
      <w:pPr>
        <w:ind w:left="1438" w:hanging="423"/>
      </w:pPr>
      <w:rPr>
        <w:rFonts w:hint="default"/>
      </w:rPr>
    </w:lvl>
    <w:lvl w:ilvl="6">
      <w:start w:val="0"/>
      <w:numFmt w:val="bullet"/>
      <w:lvlText w:val="•"/>
      <w:lvlJc w:val="left"/>
      <w:pPr>
        <w:ind w:left="1598" w:hanging="423"/>
      </w:pPr>
      <w:rPr>
        <w:rFonts w:hint="default"/>
      </w:rPr>
    </w:lvl>
    <w:lvl w:ilvl="7">
      <w:start w:val="0"/>
      <w:numFmt w:val="bullet"/>
      <w:lvlText w:val="•"/>
      <w:lvlJc w:val="left"/>
      <w:pPr>
        <w:ind w:left="1758" w:hanging="423"/>
      </w:pPr>
      <w:rPr>
        <w:rFonts w:hint="default"/>
      </w:rPr>
    </w:lvl>
    <w:lvl w:ilvl="8">
      <w:start w:val="0"/>
      <w:numFmt w:val="bullet"/>
      <w:lvlText w:val="•"/>
      <w:lvlJc w:val="left"/>
      <w:pPr>
        <w:ind w:left="1918" w:hanging="423"/>
      </w:pPr>
      <w:rPr>
        <w:rFonts w:hint="default"/>
      </w:rPr>
    </w:lvl>
  </w:abstractNum>
  <w:abstractNum w:abstractNumId="7">
    <w:multiLevelType w:val="hybridMultilevel"/>
    <w:lvl w:ilvl="0">
      <w:start w:val="2"/>
      <w:numFmt w:val="decimal"/>
      <w:lvlText w:val="%1"/>
      <w:lvlJc w:val="left"/>
      <w:pPr>
        <w:ind w:left="633" w:hanging="423"/>
        <w:jc w:val="left"/>
      </w:pPr>
      <w:rPr>
        <w:rFonts w:hint="default"/>
      </w:rPr>
    </w:lvl>
    <w:lvl w:ilvl="1">
      <w:start w:val="1"/>
      <w:numFmt w:val="decimal"/>
      <w:lvlText w:val="%1.%2"/>
      <w:lvlJc w:val="left"/>
      <w:pPr>
        <w:ind w:left="631" w:hanging="423"/>
        <w:jc w:val="left"/>
      </w:pPr>
      <w:rPr>
        <w:rFonts w:hint="default" w:ascii="仿宋" w:hAnsi="仿宋" w:eastAsia="仿宋" w:cs="仿宋"/>
        <w:w w:val="100"/>
        <w:sz w:val="21"/>
        <w:szCs w:val="21"/>
      </w:rPr>
    </w:lvl>
    <w:lvl w:ilvl="2">
      <w:start w:val="0"/>
      <w:numFmt w:val="bullet"/>
      <w:lvlText w:val="•"/>
      <w:lvlJc w:val="left"/>
      <w:pPr>
        <w:ind w:left="1021" w:hanging="423"/>
      </w:pPr>
      <w:rPr>
        <w:rFonts w:hint="default"/>
      </w:rPr>
    </w:lvl>
    <w:lvl w:ilvl="3">
      <w:start w:val="0"/>
      <w:numFmt w:val="bullet"/>
      <w:lvlText w:val="•"/>
      <w:lvlJc w:val="left"/>
      <w:pPr>
        <w:ind w:left="1211" w:hanging="423"/>
      </w:pPr>
      <w:rPr>
        <w:rFonts w:hint="default"/>
      </w:rPr>
    </w:lvl>
    <w:lvl w:ilvl="4">
      <w:start w:val="0"/>
      <w:numFmt w:val="bullet"/>
      <w:lvlText w:val="•"/>
      <w:lvlJc w:val="left"/>
      <w:pPr>
        <w:ind w:left="1402" w:hanging="423"/>
      </w:pPr>
      <w:rPr>
        <w:rFonts w:hint="default"/>
      </w:rPr>
    </w:lvl>
    <w:lvl w:ilvl="5">
      <w:start w:val="0"/>
      <w:numFmt w:val="bullet"/>
      <w:lvlText w:val="•"/>
      <w:lvlJc w:val="left"/>
      <w:pPr>
        <w:ind w:left="1592" w:hanging="423"/>
      </w:pPr>
      <w:rPr>
        <w:rFonts w:hint="default"/>
      </w:rPr>
    </w:lvl>
    <w:lvl w:ilvl="6">
      <w:start w:val="0"/>
      <w:numFmt w:val="bullet"/>
      <w:lvlText w:val="•"/>
      <w:lvlJc w:val="left"/>
      <w:pPr>
        <w:ind w:left="1783" w:hanging="423"/>
      </w:pPr>
      <w:rPr>
        <w:rFonts w:hint="default"/>
      </w:rPr>
    </w:lvl>
    <w:lvl w:ilvl="7">
      <w:start w:val="0"/>
      <w:numFmt w:val="bullet"/>
      <w:lvlText w:val="•"/>
      <w:lvlJc w:val="left"/>
      <w:pPr>
        <w:ind w:left="1973" w:hanging="423"/>
      </w:pPr>
      <w:rPr>
        <w:rFonts w:hint="default"/>
      </w:rPr>
    </w:lvl>
    <w:lvl w:ilvl="8">
      <w:start w:val="0"/>
      <w:numFmt w:val="bullet"/>
      <w:lvlText w:val="•"/>
      <w:lvlJc w:val="left"/>
      <w:pPr>
        <w:ind w:left="2164" w:hanging="423"/>
      </w:pPr>
      <w:rPr>
        <w:rFonts w:hint="default"/>
      </w:rPr>
    </w:lvl>
  </w:abstractNum>
  <w:abstractNum w:abstractNumId="6">
    <w:multiLevelType w:val="hybridMultilevel"/>
    <w:lvl w:ilvl="0">
      <w:start w:val="6"/>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仿宋" w:hAnsi="仿宋" w:eastAsia="仿宋" w:cs="仿宋"/>
        <w:w w:val="100"/>
        <w:sz w:val="21"/>
        <w:szCs w:val="21"/>
      </w:rPr>
    </w:lvl>
    <w:lvl w:ilvl="2">
      <w:start w:val="0"/>
      <w:numFmt w:val="bullet"/>
      <w:lvlText w:val="•"/>
      <w:lvlJc w:val="left"/>
      <w:pPr>
        <w:ind w:left="1001" w:hanging="423"/>
      </w:pPr>
      <w:rPr>
        <w:rFonts w:hint="default"/>
      </w:rPr>
    </w:lvl>
    <w:lvl w:ilvl="3">
      <w:start w:val="0"/>
      <w:numFmt w:val="bullet"/>
      <w:lvlText w:val="•"/>
      <w:lvlJc w:val="left"/>
      <w:pPr>
        <w:ind w:left="1181" w:hanging="423"/>
      </w:pPr>
      <w:rPr>
        <w:rFonts w:hint="default"/>
      </w:rPr>
    </w:lvl>
    <w:lvl w:ilvl="4">
      <w:start w:val="0"/>
      <w:numFmt w:val="bullet"/>
      <w:lvlText w:val="•"/>
      <w:lvlJc w:val="left"/>
      <w:pPr>
        <w:ind w:left="1362" w:hanging="423"/>
      </w:pPr>
      <w:rPr>
        <w:rFonts w:hint="default"/>
      </w:rPr>
    </w:lvl>
    <w:lvl w:ilvl="5">
      <w:start w:val="0"/>
      <w:numFmt w:val="bullet"/>
      <w:lvlText w:val="•"/>
      <w:lvlJc w:val="left"/>
      <w:pPr>
        <w:ind w:left="1543" w:hanging="423"/>
      </w:pPr>
      <w:rPr>
        <w:rFonts w:hint="default"/>
      </w:rPr>
    </w:lvl>
    <w:lvl w:ilvl="6">
      <w:start w:val="0"/>
      <w:numFmt w:val="bullet"/>
      <w:lvlText w:val="•"/>
      <w:lvlJc w:val="left"/>
      <w:pPr>
        <w:ind w:left="1723" w:hanging="423"/>
      </w:pPr>
      <w:rPr>
        <w:rFonts w:hint="default"/>
      </w:rPr>
    </w:lvl>
    <w:lvl w:ilvl="7">
      <w:start w:val="0"/>
      <w:numFmt w:val="bullet"/>
      <w:lvlText w:val="•"/>
      <w:lvlJc w:val="left"/>
      <w:pPr>
        <w:ind w:left="1904" w:hanging="423"/>
      </w:pPr>
      <w:rPr>
        <w:rFonts w:hint="default"/>
      </w:rPr>
    </w:lvl>
    <w:lvl w:ilvl="8">
      <w:start w:val="0"/>
      <w:numFmt w:val="bullet"/>
      <w:lvlText w:val="•"/>
      <w:lvlJc w:val="left"/>
      <w:pPr>
        <w:ind w:left="2085" w:hanging="423"/>
      </w:pPr>
      <w:rPr>
        <w:rFonts w:hint="default"/>
      </w:rPr>
    </w:lvl>
  </w:abstractNum>
  <w:abstractNum w:abstractNumId="5">
    <w:multiLevelType w:val="hybridMultilevel"/>
    <w:lvl w:ilvl="0">
      <w:start w:val="1"/>
      <w:numFmt w:val="decimal"/>
      <w:lvlText w:val="%1"/>
      <w:lvlJc w:val="left"/>
      <w:pPr>
        <w:ind w:left="633" w:hanging="423"/>
        <w:jc w:val="left"/>
      </w:pPr>
      <w:rPr>
        <w:rFonts w:hint="default"/>
      </w:rPr>
    </w:lvl>
    <w:lvl w:ilvl="1">
      <w:start w:val="1"/>
      <w:numFmt w:val="decimal"/>
      <w:lvlText w:val="%1.%2"/>
      <w:lvlJc w:val="left"/>
      <w:pPr>
        <w:ind w:left="633" w:hanging="423"/>
        <w:jc w:val="left"/>
      </w:pPr>
      <w:rPr>
        <w:rFonts w:hint="default" w:ascii="仿宋" w:hAnsi="仿宋" w:eastAsia="仿宋" w:cs="仿宋"/>
        <w:w w:val="100"/>
        <w:sz w:val="21"/>
        <w:szCs w:val="21"/>
      </w:rPr>
    </w:lvl>
    <w:lvl w:ilvl="2">
      <w:start w:val="0"/>
      <w:numFmt w:val="bullet"/>
      <w:lvlText w:val="•"/>
      <w:lvlJc w:val="left"/>
      <w:pPr>
        <w:ind w:left="1001" w:hanging="423"/>
      </w:pPr>
      <w:rPr>
        <w:rFonts w:hint="default"/>
      </w:rPr>
    </w:lvl>
    <w:lvl w:ilvl="3">
      <w:start w:val="0"/>
      <w:numFmt w:val="bullet"/>
      <w:lvlText w:val="•"/>
      <w:lvlJc w:val="left"/>
      <w:pPr>
        <w:ind w:left="1181" w:hanging="423"/>
      </w:pPr>
      <w:rPr>
        <w:rFonts w:hint="default"/>
      </w:rPr>
    </w:lvl>
    <w:lvl w:ilvl="4">
      <w:start w:val="0"/>
      <w:numFmt w:val="bullet"/>
      <w:lvlText w:val="•"/>
      <w:lvlJc w:val="left"/>
      <w:pPr>
        <w:ind w:left="1362" w:hanging="423"/>
      </w:pPr>
      <w:rPr>
        <w:rFonts w:hint="default"/>
      </w:rPr>
    </w:lvl>
    <w:lvl w:ilvl="5">
      <w:start w:val="0"/>
      <w:numFmt w:val="bullet"/>
      <w:lvlText w:val="•"/>
      <w:lvlJc w:val="left"/>
      <w:pPr>
        <w:ind w:left="1543" w:hanging="423"/>
      </w:pPr>
      <w:rPr>
        <w:rFonts w:hint="default"/>
      </w:rPr>
    </w:lvl>
    <w:lvl w:ilvl="6">
      <w:start w:val="0"/>
      <w:numFmt w:val="bullet"/>
      <w:lvlText w:val="•"/>
      <w:lvlJc w:val="left"/>
      <w:pPr>
        <w:ind w:left="1723" w:hanging="423"/>
      </w:pPr>
      <w:rPr>
        <w:rFonts w:hint="default"/>
      </w:rPr>
    </w:lvl>
    <w:lvl w:ilvl="7">
      <w:start w:val="0"/>
      <w:numFmt w:val="bullet"/>
      <w:lvlText w:val="•"/>
      <w:lvlJc w:val="left"/>
      <w:pPr>
        <w:ind w:left="1904" w:hanging="423"/>
      </w:pPr>
      <w:rPr>
        <w:rFonts w:hint="default"/>
      </w:rPr>
    </w:lvl>
    <w:lvl w:ilvl="8">
      <w:start w:val="0"/>
      <w:numFmt w:val="bullet"/>
      <w:lvlText w:val="•"/>
      <w:lvlJc w:val="left"/>
      <w:pPr>
        <w:ind w:left="2085" w:hanging="423"/>
      </w:pPr>
      <w:rPr>
        <w:rFonts w:hint="default"/>
      </w:rPr>
    </w:lvl>
  </w:abstractNum>
  <w:abstractNum w:abstractNumId="4">
    <w:multiLevelType w:val="hybridMultilevel"/>
    <w:lvl w:ilvl="0">
      <w:start w:val="0"/>
      <w:numFmt w:val="bullet"/>
      <w:lvlText w:val=""/>
      <w:lvlJc w:val="left"/>
      <w:pPr>
        <w:ind w:left="1632" w:hanging="420"/>
      </w:pPr>
      <w:rPr>
        <w:rFonts w:hint="default" w:ascii="Wingdings" w:hAnsi="Wingdings" w:eastAsia="Wingdings" w:cs="Wingdings"/>
        <w:w w:val="100"/>
        <w:sz w:val="21"/>
        <w:szCs w:val="21"/>
      </w:rPr>
    </w:lvl>
    <w:lvl w:ilvl="1">
      <w:start w:val="0"/>
      <w:numFmt w:val="bullet"/>
      <w:lvlText w:val="•"/>
      <w:lvlJc w:val="left"/>
      <w:pPr>
        <w:ind w:left="2522" w:hanging="420"/>
      </w:pPr>
      <w:rPr>
        <w:rFonts w:hint="default"/>
      </w:rPr>
    </w:lvl>
    <w:lvl w:ilvl="2">
      <w:start w:val="0"/>
      <w:numFmt w:val="bullet"/>
      <w:lvlText w:val="•"/>
      <w:lvlJc w:val="left"/>
      <w:pPr>
        <w:ind w:left="3405" w:hanging="420"/>
      </w:pPr>
      <w:rPr>
        <w:rFonts w:hint="default"/>
      </w:rPr>
    </w:lvl>
    <w:lvl w:ilvl="3">
      <w:start w:val="0"/>
      <w:numFmt w:val="bullet"/>
      <w:lvlText w:val="•"/>
      <w:lvlJc w:val="left"/>
      <w:pPr>
        <w:ind w:left="4287" w:hanging="420"/>
      </w:pPr>
      <w:rPr>
        <w:rFonts w:hint="default"/>
      </w:rPr>
    </w:lvl>
    <w:lvl w:ilvl="4">
      <w:start w:val="0"/>
      <w:numFmt w:val="bullet"/>
      <w:lvlText w:val="•"/>
      <w:lvlJc w:val="left"/>
      <w:pPr>
        <w:ind w:left="5170" w:hanging="420"/>
      </w:pPr>
      <w:rPr>
        <w:rFonts w:hint="default"/>
      </w:rPr>
    </w:lvl>
    <w:lvl w:ilvl="5">
      <w:start w:val="0"/>
      <w:numFmt w:val="bullet"/>
      <w:lvlText w:val="•"/>
      <w:lvlJc w:val="left"/>
      <w:pPr>
        <w:ind w:left="6053" w:hanging="420"/>
      </w:pPr>
      <w:rPr>
        <w:rFonts w:hint="default"/>
      </w:rPr>
    </w:lvl>
    <w:lvl w:ilvl="6">
      <w:start w:val="0"/>
      <w:numFmt w:val="bullet"/>
      <w:lvlText w:val="•"/>
      <w:lvlJc w:val="left"/>
      <w:pPr>
        <w:ind w:left="6935" w:hanging="420"/>
      </w:pPr>
      <w:rPr>
        <w:rFonts w:hint="default"/>
      </w:rPr>
    </w:lvl>
    <w:lvl w:ilvl="7">
      <w:start w:val="0"/>
      <w:numFmt w:val="bullet"/>
      <w:lvlText w:val="•"/>
      <w:lvlJc w:val="left"/>
      <w:pPr>
        <w:ind w:left="7818" w:hanging="420"/>
      </w:pPr>
      <w:rPr>
        <w:rFonts w:hint="default"/>
      </w:rPr>
    </w:lvl>
    <w:lvl w:ilvl="8">
      <w:start w:val="0"/>
      <w:numFmt w:val="bullet"/>
      <w:lvlText w:val="•"/>
      <w:lvlJc w:val="left"/>
      <w:pPr>
        <w:ind w:left="8701" w:hanging="420"/>
      </w:pPr>
      <w:rPr>
        <w:rFonts w:hint="default"/>
      </w:rPr>
    </w:lvl>
  </w:abstract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4">
    <w:abstractNumId w:val="3"/>
  </w:num>
  <w:num w:numId="9">
    <w:abstractNumId w:val="8"/>
  </w:num>
  <w:num w:numId="3">
    <w:abstractNumId w:val="2"/>
  </w:num>
  <w:num w:numId="2">
    <w:abstractNumId w:val="1"/>
  </w:num>
  <w:num w:numId="1">
    <w:abstractNumId w:val="0"/>
  </w:num>
  <w:num w:numId="8">
    <w:abstractNumId w:val="7"/>
  </w:num>
  <w:num w:numId="7">
    <w:abstractNumId w:val="6"/>
  </w:num>
  <w:num w:numId="6">
    <w:abstractNumId w:val="5"/>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仿宋" w:hAnsi="仿宋" w:eastAsia="仿宋" w:cs="仿宋"/>
    </w:rPr>
  </w:style>
  <w:style w:styleId="BodyText" w:type="paragraph">
    <w:name w:val="Body Text"/>
    <w:basedOn w:val="Normal"/>
    <w:uiPriority w:val="1"/>
    <w:qFormat/>
    <w:pPr/>
    <w:rPr>
      <w:rFonts w:ascii="仿宋" w:hAnsi="仿宋" w:eastAsia="仿宋" w:cs="仿宋"/>
      <w:sz w:val="21"/>
      <w:szCs w:val="21"/>
    </w:rPr>
  </w:style>
  <w:style w:styleId="Heading1" w:type="paragraph">
    <w:name w:val="Heading 1"/>
    <w:basedOn w:val="Normal"/>
    <w:uiPriority w:val="1"/>
    <w:qFormat/>
    <w:pPr>
      <w:outlineLvl w:val="1"/>
    </w:pPr>
    <w:rPr>
      <w:rFonts w:ascii="仿宋" w:hAnsi="仿宋" w:eastAsia="仿宋" w:cs="仿宋"/>
      <w:b/>
      <w:bCs/>
      <w:sz w:val="21"/>
      <w:szCs w:val="21"/>
    </w:rPr>
  </w:style>
  <w:style w:styleId="ListParagraph" w:type="paragraph">
    <w:name w:val="List Paragraph"/>
    <w:basedOn w:val="Normal"/>
    <w:uiPriority w:val="1"/>
    <w:qFormat/>
    <w:pPr>
      <w:spacing w:before="22"/>
      <w:ind w:left="1632" w:hanging="2132"/>
    </w:pPr>
    <w:rPr>
      <w:rFonts w:ascii="仿宋" w:hAnsi="仿宋" w:eastAsia="仿宋" w:cs="仿宋"/>
    </w:rPr>
  </w:style>
  <w:style w:styleId="TableParagraph" w:type="paragraph">
    <w:name w:val="Table Paragraph"/>
    <w:basedOn w:val="Normal"/>
    <w:uiPriority w:val="1"/>
    <w:qFormat/>
    <w:pPr>
      <w:ind w:left="107"/>
    </w:pPr>
    <w:rPr>
      <w:rFonts w:ascii="仿宋" w:hAnsi="仿宋" w:eastAsia="仿宋" w:cs="仿宋"/>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zangsr</dc:creator>
  <dc:title>正德人寿保险股份有限公司条款</dc:title>
  <dcterms:created xsi:type="dcterms:W3CDTF">2018-10-19T21:36:05Z</dcterms:created>
  <dcterms:modified xsi:type="dcterms:W3CDTF">2018-10-19T21:36:05Z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2017-05-26T00:00:00Z</vt:filetime>
  </property>
  <property fmtid="{D5CDD505-2E9C-101B-9397-08002B2CF9AE}" pid="3" name="Creator">
    <vt:lpwstr>Microsoft® Word 2010</vt:lpwstr>
  </property>
  <property fmtid="{D5CDD505-2E9C-101B-9397-08002B2CF9AE}" pid="4" name="LastSaved">
    <vt:filetime>2018-10-19T00:00:00Z</vt:filetime>
  </property>
</Properties>
</file>