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ind w:left="4116" w:right="4476"/>
        <w:jc w:val="center"/>
      </w:pPr>
      <w:r>
        <w:rPr/>
        <w:pict>
          <v:group style="position:absolute;margin-left:404.819977pt;margin-top:-57.223656pt;width:156.4pt;height:87.85pt;mso-position-horizontal-relative:page;mso-position-vertical-relative:paragraph;z-index:1096" coordorigin="8096,-1144" coordsize="3128,1757">
            <v:shape style="position:absolute;left:8106;top:-1145;width:3118;height:312" type="#_x0000_t75" stroked="false">
              <v:imagedata r:id="rId5" o:title=""/>
            </v:shape>
            <v:shape style="position:absolute;left:8096;top:300;width:3118;height:312" type="#_x0000_t75" stroked="false">
              <v:imagedata r:id="rId5" o:title=""/>
            </v:shape>
            <v:shape style="position:absolute;left:9110;top:-864;width:1140;height:1140" type="#_x0000_t75" stroked="false">
              <v:imagedata r:id="rId6" o:title=""/>
            </v:shape>
            <v:shapetype id="_x0000_t202" o:spt="202" coordsize="21600,21600" path="m,l,21600r21600,l21600,xe">
              <v:stroke joinstyle="miter"/>
              <v:path gradientshapeok="t" o:connecttype="rect"/>
            </v:shapetype>
            <v:shape style="position:absolute;left:8544;top:-1071;width:2262;height:161" type="#_x0000_t202" filled="false" stroked="false">
              <v:textbox inset="0,0,0,0">
                <w:txbxContent>
                  <w:p>
                    <w:pPr>
                      <w:spacing w:line="161" w:lineRule="exact" w:before="0"/>
                      <w:ind w:left="0" w:right="0" w:firstLine="0"/>
                      <w:jc w:val="left"/>
                      <w:rPr>
                        <w:sz w:val="16"/>
                      </w:rPr>
                    </w:pPr>
                    <w:r>
                      <w:rPr>
                        <w:sz w:val="16"/>
                      </w:rPr>
                      <w:t>平安人寿[2017</w:t>
                    </w:r>
                    <w:r>
                      <w:rPr>
                        <w:spacing w:val="-8"/>
                        <w:sz w:val="16"/>
                      </w:rPr>
                      <w:t>]疾病保险 </w:t>
                    </w:r>
                    <w:r>
                      <w:rPr>
                        <w:sz w:val="16"/>
                      </w:rPr>
                      <w:t>065</w:t>
                    </w:r>
                    <w:r>
                      <w:rPr>
                        <w:spacing w:val="-22"/>
                        <w:sz w:val="16"/>
                      </w:rPr>
                      <w:t> 号</w:t>
                    </w:r>
                  </w:p>
                </w:txbxContent>
              </v:textbox>
              <w10:wrap type="none"/>
            </v:shape>
            <v:shape style="position:absolute;left:8851;top:372;width:1624;height:161" type="#_x0000_t202" filled="false" stroked="false">
              <v:textbox inset="0,0,0,0">
                <w:txbxContent>
                  <w:p>
                    <w:pPr>
                      <w:spacing w:line="161" w:lineRule="exact" w:before="0"/>
                      <w:ind w:left="0" w:right="0" w:firstLine="0"/>
                      <w:jc w:val="left"/>
                      <w:rPr>
                        <w:sz w:val="16"/>
                      </w:rPr>
                    </w:pPr>
                    <w:r>
                      <w:rPr>
                        <w:sz w:val="16"/>
                      </w:rPr>
                      <w:t>请扫描以查询验证条款</w:t>
                    </w:r>
                  </w:p>
                </w:txbxContent>
              </v:textbox>
              <w10:wrap type="none"/>
            </v:shape>
            <w10:wrap type="none"/>
          </v:group>
        </w:pict>
      </w:r>
      <w:r>
        <w:rPr/>
        <w:t>阅  读  指 引</w:t>
      </w:r>
    </w:p>
    <w:p>
      <w:pPr>
        <w:pStyle w:val="Heading3"/>
        <w:spacing w:line="499" w:lineRule="exact" w:before="131"/>
      </w:pPr>
      <w:r>
        <w:rPr/>
        <w:pict>
          <v:group style="position:absolute;margin-left:52.32pt;margin-top:5.977696pt;width:505.65pt;height:675.8pt;mso-position-horizontal-relative:page;mso-position-vertical-relative:paragraph;z-index:-47536" coordorigin="1046,120" coordsize="10113,13516">
            <v:shape style="position:absolute;left:1046;top:119;width:9975;height:12850" type="#_x0000_t75" stroked="false">
              <v:imagedata r:id="rId7" o:title=""/>
            </v:shape>
            <v:shape style="position:absolute;left:1728;top:8582;width:8790;height:3849" type="#_x0000_t75" stroked="false">
              <v:imagedata r:id="rId8" o:title=""/>
            </v:shape>
            <v:shape style="position:absolute;left:7813;top:8731;width:2705;height:3557" type="#_x0000_t75" stroked="false">
              <v:imagedata r:id="rId9" o:title=""/>
            </v:shape>
            <v:shape style="position:absolute;left:4844;top:8763;width:2708;height:3740" type="#_x0000_t75" stroked="false">
              <v:imagedata r:id="rId10" o:title=""/>
            </v:shape>
            <v:shape style="position:absolute;left:1981;top:8743;width:2556;height:3456" type="#_x0000_t75" stroked="false">
              <v:imagedata r:id="rId11" o:title=""/>
            </v:shape>
            <v:shape style="position:absolute;left:9061;top:12972;width:2098;height:663" type="#_x0000_t75" stroked="false">
              <v:imagedata r:id="rId12" o:title=""/>
            </v:shape>
            <w10:wrap type="none"/>
          </v:group>
        </w:pict>
      </w:r>
      <w:r>
        <w:rPr>
          <w:rFonts w:ascii="Arial" w:hAnsi="Arial" w:eastAsia="Arial"/>
          <w:position w:val="-11"/>
          <w:sz w:val="52"/>
        </w:rPr>
        <w:t></w:t>
      </w:r>
      <w:r>
        <w:rPr/>
        <w:t>平安附加安鑫保提前给付重大疾病保险产品提供重疾保障</w:t>
      </w:r>
    </w:p>
    <w:p>
      <w:pPr>
        <w:spacing w:line="429" w:lineRule="exact" w:before="0"/>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为了帮助您更好地了解产品，我们先介绍几个保险条款中常用的术语</w:t>
      </w:r>
    </w:p>
    <w:p>
      <w:pPr>
        <w:pStyle w:val="ListParagraph"/>
        <w:numPr>
          <w:ilvl w:val="0"/>
          <w:numId w:val="1"/>
        </w:numPr>
        <w:tabs>
          <w:tab w:pos="1191" w:val="left" w:leader="none"/>
          <w:tab w:pos="1192" w:val="left" w:leader="none"/>
        </w:tabs>
        <w:spacing w:line="295" w:lineRule="exact" w:before="0" w:after="0"/>
        <w:ind w:left="1191" w:right="0" w:hanging="420"/>
        <w:jc w:val="left"/>
        <w:rPr>
          <w:sz w:val="21"/>
        </w:rPr>
      </w:pPr>
      <w:r>
        <w:rPr>
          <w:rFonts w:ascii="Microsoft JhengHei" w:eastAsia="Microsoft JhengHei" w:hint="eastAsia"/>
          <w:b/>
          <w:sz w:val="21"/>
        </w:rPr>
        <w:t>被保险人</w:t>
      </w:r>
      <w:r>
        <w:rPr>
          <w:spacing w:val="-3"/>
          <w:sz w:val="21"/>
        </w:rPr>
        <w:t>就是受保险合同保障的人。</w:t>
      </w:r>
    </w:p>
    <w:p>
      <w:pPr>
        <w:pStyle w:val="ListParagraph"/>
        <w:numPr>
          <w:ilvl w:val="0"/>
          <w:numId w:val="1"/>
        </w:numPr>
        <w:tabs>
          <w:tab w:pos="1191" w:val="left" w:leader="none"/>
          <w:tab w:pos="1192" w:val="left" w:leader="none"/>
        </w:tabs>
        <w:spacing w:line="240" w:lineRule="auto" w:before="32" w:after="0"/>
        <w:ind w:left="1191" w:right="0" w:hanging="420"/>
        <w:jc w:val="left"/>
        <w:rPr>
          <w:sz w:val="21"/>
        </w:rPr>
      </w:pPr>
      <w:r>
        <w:rPr>
          <w:rFonts w:ascii="Microsoft JhengHei" w:eastAsia="Microsoft JhengHei" w:hint="eastAsia"/>
          <w:b/>
          <w:sz w:val="21"/>
        </w:rPr>
        <w:t>投保人</w:t>
      </w:r>
      <w:r>
        <w:rPr>
          <w:spacing w:val="-3"/>
          <w:sz w:val="21"/>
        </w:rPr>
        <w:t>就是购买保险并交纳保险费的人。</w:t>
      </w:r>
    </w:p>
    <w:p>
      <w:pPr>
        <w:pStyle w:val="ListParagraph"/>
        <w:numPr>
          <w:ilvl w:val="0"/>
          <w:numId w:val="1"/>
        </w:numPr>
        <w:tabs>
          <w:tab w:pos="1191" w:val="left" w:leader="none"/>
          <w:tab w:pos="1192" w:val="left" w:leader="none"/>
        </w:tabs>
        <w:spacing w:line="240" w:lineRule="auto" w:before="34" w:after="0"/>
        <w:ind w:left="1191" w:right="0" w:hanging="420"/>
        <w:jc w:val="left"/>
        <w:rPr>
          <w:sz w:val="21"/>
        </w:rPr>
      </w:pPr>
      <w:r>
        <w:rPr>
          <w:rFonts w:ascii="Microsoft JhengHei" w:eastAsia="Microsoft JhengHei" w:hint="eastAsia"/>
          <w:b/>
          <w:sz w:val="21"/>
        </w:rPr>
        <w:t>受益人</w:t>
      </w:r>
      <w:r>
        <w:rPr>
          <w:spacing w:val="-3"/>
          <w:sz w:val="21"/>
        </w:rPr>
        <w:t>就是发生保险事故后领取保险金的人。</w:t>
      </w:r>
    </w:p>
    <w:p>
      <w:pPr>
        <w:pStyle w:val="ListParagraph"/>
        <w:numPr>
          <w:ilvl w:val="0"/>
          <w:numId w:val="1"/>
        </w:numPr>
        <w:tabs>
          <w:tab w:pos="1191" w:val="left" w:leader="none"/>
          <w:tab w:pos="1192" w:val="left" w:leader="none"/>
        </w:tabs>
        <w:spacing w:line="364" w:lineRule="exact" w:before="34" w:after="0"/>
        <w:ind w:left="1191" w:right="0" w:hanging="420"/>
        <w:jc w:val="left"/>
        <w:rPr>
          <w:sz w:val="21"/>
        </w:rPr>
      </w:pPr>
      <w:r>
        <w:rPr>
          <w:rFonts w:ascii="Microsoft JhengHei" w:eastAsia="Microsoft JhengHei" w:hint="eastAsia"/>
          <w:b/>
          <w:sz w:val="21"/>
        </w:rPr>
        <w:t>保险人</w:t>
      </w:r>
      <w:r>
        <w:rPr>
          <w:spacing w:val="-3"/>
          <w:sz w:val="21"/>
        </w:rPr>
        <w:t>就是保险公司。</w:t>
      </w:r>
    </w:p>
    <w:p>
      <w:pPr>
        <w:pStyle w:val="Heading3"/>
        <w:spacing w:line="539" w:lineRule="exact"/>
      </w:pPr>
      <w:r>
        <w:rPr>
          <w:rFonts w:ascii="Wingdings" w:hAnsi="Wingdings" w:eastAsia="Wingdings"/>
          <w:b w:val="0"/>
          <w:position w:val="-11"/>
          <w:sz w:val="52"/>
        </w:rPr>
        <w:t></w:t>
      </w:r>
      <w:r>
        <w:rPr/>
        <w:t>下面我们举例说明本产品提供哪些保障</w:t>
      </w:r>
    </w:p>
    <w:p>
      <w:pPr>
        <w:pStyle w:val="BodyText"/>
        <w:spacing w:line="238" w:lineRule="exact"/>
        <w:ind w:left="771"/>
      </w:pPr>
      <w:r>
        <w:rPr/>
        <w:t>例子：王先生为妻子李女士（30 周岁）投保平安附加安鑫保提前给付重大疾病保险（简称安鑫</w:t>
      </w:r>
    </w:p>
    <w:p>
      <w:pPr>
        <w:pStyle w:val="BodyText"/>
        <w:spacing w:line="348" w:lineRule="auto" w:before="125"/>
        <w:ind w:left="771" w:right="960"/>
      </w:pPr>
      <w:r>
        <w:rPr>
          <w:w w:val="100"/>
        </w:rPr>
        <w:t>保重疾</w:t>
      </w:r>
      <w:r>
        <w:rPr>
          <w:spacing w:val="-104"/>
          <w:w w:val="100"/>
        </w:rPr>
        <w:t>）</w:t>
      </w:r>
      <w:r>
        <w:rPr>
          <w:spacing w:val="-3"/>
          <w:w w:val="100"/>
        </w:rPr>
        <w:t>，受益人为李女士。同时还投保平安安鑫保两全保险</w:t>
      </w:r>
      <w:r>
        <w:rPr>
          <w:w w:val="100"/>
        </w:rPr>
        <w:t>（</w:t>
      </w:r>
      <w:r>
        <w:rPr>
          <w:spacing w:val="-1"/>
          <w:w w:val="100"/>
        </w:rPr>
        <w:t>简称安鑫保</w:t>
      </w:r>
      <w:r>
        <w:rPr>
          <w:spacing w:val="-104"/>
          <w:w w:val="100"/>
        </w:rPr>
        <w:t>）</w:t>
      </w:r>
      <w:r>
        <w:rPr>
          <w:spacing w:val="-2"/>
          <w:w w:val="100"/>
        </w:rPr>
        <w:t>，主附险基本保险</w:t>
      </w:r>
      <w:r>
        <w:rPr>
          <w:spacing w:val="-12"/>
        </w:rPr>
        <w:t>金额均为 </w:t>
      </w:r>
      <w:r>
        <w:rPr/>
        <w:t>20</w:t>
      </w:r>
      <w:r>
        <w:rPr>
          <w:spacing w:val="-13"/>
        </w:rPr>
        <w:t> 万元，保险期间均为至李女士 </w:t>
      </w:r>
      <w:r>
        <w:rPr/>
        <w:t>70</w:t>
      </w:r>
      <w:r>
        <w:rPr>
          <w:spacing w:val="-13"/>
        </w:rPr>
        <w:t> 周岁的保单周年日，交费期均为 </w:t>
      </w:r>
      <w:r>
        <w:rPr/>
        <w:t>20</w:t>
      </w:r>
      <w:r>
        <w:rPr>
          <w:spacing w:val="-12"/>
        </w:rPr>
        <w:t> 年，年交保险</w:t>
      </w:r>
    </w:p>
    <w:p>
      <w:pPr>
        <w:pStyle w:val="BodyText"/>
        <w:spacing w:before="31"/>
        <w:ind w:left="771"/>
      </w:pPr>
      <w:r>
        <w:rPr/>
        <w:t>费共 4740 元。</w:t>
      </w:r>
    </w:p>
    <w:p>
      <w:pPr>
        <w:pStyle w:val="BodyText"/>
        <w:spacing w:before="126" w:after="50"/>
        <w:ind w:left="771"/>
      </w:pPr>
      <w:r>
        <w:rPr/>
        <w:t>本例中王先生为投保人，李女士为被保险人及受益人，平安人寿为保险人。</w:t>
      </w:r>
    </w:p>
    <w:tbl>
      <w:tblPr>
        <w:tblW w:w="0" w:type="auto"/>
        <w:jc w:val="left"/>
        <w:tblInd w:w="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2"/>
        <w:gridCol w:w="1276"/>
        <w:gridCol w:w="1845"/>
        <w:gridCol w:w="3460"/>
      </w:tblGrid>
      <w:tr>
        <w:trPr>
          <w:trHeight w:val="426" w:hRule="atLeast"/>
        </w:trPr>
        <w:tc>
          <w:tcPr>
            <w:tcW w:w="2222" w:type="dxa"/>
          </w:tcPr>
          <w:p>
            <w:pPr>
              <w:pStyle w:val="TableParagraph"/>
              <w:spacing w:line="344" w:lineRule="exact"/>
              <w:ind w:left="356" w:right="346"/>
              <w:jc w:val="center"/>
              <w:rPr>
                <w:rFonts w:ascii="Microsoft JhengHei" w:eastAsia="Microsoft JhengHei" w:hint="eastAsia"/>
                <w:b/>
                <w:sz w:val="21"/>
              </w:rPr>
            </w:pPr>
            <w:r>
              <w:rPr>
                <w:rFonts w:ascii="Microsoft JhengHei" w:eastAsia="Microsoft JhengHei" w:hint="eastAsia"/>
                <w:b/>
                <w:sz w:val="21"/>
              </w:rPr>
              <w:t>保险金</w:t>
            </w:r>
          </w:p>
        </w:tc>
        <w:tc>
          <w:tcPr>
            <w:tcW w:w="1276" w:type="dxa"/>
          </w:tcPr>
          <w:p>
            <w:pPr>
              <w:pStyle w:val="TableParagraph"/>
              <w:spacing w:line="344" w:lineRule="exact"/>
              <w:ind w:left="303" w:right="292"/>
              <w:jc w:val="center"/>
              <w:rPr>
                <w:rFonts w:ascii="Microsoft JhengHei" w:eastAsia="Microsoft JhengHei" w:hint="eastAsia"/>
                <w:b/>
                <w:sz w:val="21"/>
              </w:rPr>
            </w:pPr>
            <w:r>
              <w:rPr>
                <w:rFonts w:ascii="Microsoft JhengHei" w:eastAsia="Microsoft JhengHei" w:hint="eastAsia"/>
                <w:b/>
                <w:sz w:val="21"/>
              </w:rPr>
              <w:t>领取人</w:t>
            </w:r>
          </w:p>
        </w:tc>
        <w:tc>
          <w:tcPr>
            <w:tcW w:w="1845" w:type="dxa"/>
          </w:tcPr>
          <w:p>
            <w:pPr>
              <w:pStyle w:val="TableParagraph"/>
              <w:spacing w:line="344" w:lineRule="exact"/>
              <w:ind w:left="482" w:right="472"/>
              <w:jc w:val="center"/>
              <w:rPr>
                <w:rFonts w:ascii="Microsoft JhengHei" w:eastAsia="Microsoft JhengHei" w:hint="eastAsia"/>
                <w:b/>
                <w:sz w:val="21"/>
              </w:rPr>
            </w:pPr>
            <w:r>
              <w:rPr>
                <w:rFonts w:ascii="Microsoft JhengHei" w:eastAsia="Microsoft JhengHei" w:hint="eastAsia"/>
                <w:b/>
                <w:sz w:val="21"/>
              </w:rPr>
              <w:t>给付金额</w:t>
            </w:r>
          </w:p>
        </w:tc>
        <w:tc>
          <w:tcPr>
            <w:tcW w:w="3460" w:type="dxa"/>
          </w:tcPr>
          <w:p>
            <w:pPr>
              <w:pStyle w:val="TableParagraph"/>
              <w:spacing w:line="344" w:lineRule="exact"/>
              <w:ind w:left="1294" w:right="1276"/>
              <w:jc w:val="center"/>
              <w:rPr>
                <w:rFonts w:ascii="Microsoft JhengHei" w:eastAsia="Microsoft JhengHei" w:hint="eastAsia"/>
                <w:b/>
                <w:sz w:val="21"/>
              </w:rPr>
            </w:pPr>
            <w:r>
              <w:rPr>
                <w:rFonts w:ascii="Microsoft JhengHei" w:eastAsia="Microsoft JhengHei" w:hint="eastAsia"/>
                <w:b/>
                <w:sz w:val="21"/>
              </w:rPr>
              <w:t>领取条件</w:t>
            </w:r>
          </w:p>
        </w:tc>
      </w:tr>
      <w:tr>
        <w:trPr>
          <w:trHeight w:val="1600" w:hRule="atLeast"/>
        </w:trPr>
        <w:tc>
          <w:tcPr>
            <w:tcW w:w="2222" w:type="dxa"/>
          </w:tcPr>
          <w:p>
            <w:pPr>
              <w:pStyle w:val="TableParagraph"/>
              <w:rPr>
                <w:sz w:val="20"/>
              </w:rPr>
            </w:pPr>
          </w:p>
          <w:p>
            <w:pPr>
              <w:pStyle w:val="TableParagraph"/>
              <w:spacing w:before="4"/>
              <w:rPr>
                <w:sz w:val="28"/>
              </w:rPr>
            </w:pPr>
          </w:p>
          <w:p>
            <w:pPr>
              <w:pStyle w:val="TableParagraph"/>
              <w:spacing w:before="1"/>
              <w:ind w:left="356" w:right="346"/>
              <w:jc w:val="center"/>
              <w:rPr>
                <w:sz w:val="21"/>
              </w:rPr>
            </w:pPr>
            <w:r>
              <w:rPr>
                <w:sz w:val="21"/>
              </w:rPr>
              <w:t>重大疾病保险金</w:t>
            </w:r>
          </w:p>
        </w:tc>
        <w:tc>
          <w:tcPr>
            <w:tcW w:w="1276" w:type="dxa"/>
          </w:tcPr>
          <w:p>
            <w:pPr>
              <w:pStyle w:val="TableParagraph"/>
              <w:rPr>
                <w:sz w:val="20"/>
              </w:rPr>
            </w:pPr>
          </w:p>
          <w:p>
            <w:pPr>
              <w:pStyle w:val="TableParagraph"/>
              <w:spacing w:before="4"/>
              <w:rPr>
                <w:sz w:val="28"/>
              </w:rPr>
            </w:pPr>
          </w:p>
          <w:p>
            <w:pPr>
              <w:pStyle w:val="TableParagraph"/>
              <w:spacing w:before="1"/>
              <w:ind w:left="303" w:right="292"/>
              <w:jc w:val="center"/>
              <w:rPr>
                <w:sz w:val="21"/>
              </w:rPr>
            </w:pPr>
            <w:r>
              <w:rPr>
                <w:sz w:val="21"/>
              </w:rPr>
              <w:t>李女士</w:t>
            </w:r>
          </w:p>
        </w:tc>
        <w:tc>
          <w:tcPr>
            <w:tcW w:w="1845" w:type="dxa"/>
          </w:tcPr>
          <w:p>
            <w:pPr>
              <w:pStyle w:val="TableParagraph"/>
              <w:rPr>
                <w:sz w:val="20"/>
              </w:rPr>
            </w:pPr>
          </w:p>
          <w:p>
            <w:pPr>
              <w:pStyle w:val="TableParagraph"/>
              <w:spacing w:before="4"/>
              <w:rPr>
                <w:sz w:val="28"/>
              </w:rPr>
            </w:pPr>
          </w:p>
          <w:p>
            <w:pPr>
              <w:pStyle w:val="TableParagraph"/>
              <w:spacing w:before="1"/>
              <w:ind w:left="482" w:right="470"/>
              <w:jc w:val="center"/>
              <w:rPr>
                <w:sz w:val="21"/>
              </w:rPr>
            </w:pPr>
            <w:r>
              <w:rPr>
                <w:sz w:val="21"/>
              </w:rPr>
              <w:t>20 万元</w:t>
            </w:r>
          </w:p>
        </w:tc>
        <w:tc>
          <w:tcPr>
            <w:tcW w:w="3460" w:type="dxa"/>
          </w:tcPr>
          <w:p>
            <w:pPr>
              <w:pStyle w:val="TableParagraph"/>
              <w:spacing w:line="350" w:lineRule="auto" w:before="73"/>
              <w:ind w:left="109" w:right="88"/>
              <w:rPr>
                <w:sz w:val="21"/>
              </w:rPr>
            </w:pPr>
            <w:r>
              <w:rPr>
                <w:sz w:val="21"/>
              </w:rPr>
              <w:t>等待期后李女士经医院确诊初次发生受保障的重大疾病</w:t>
            </w:r>
          </w:p>
          <w:p>
            <w:pPr>
              <w:pStyle w:val="TableParagraph"/>
              <w:spacing w:before="28"/>
              <w:ind w:left="109"/>
              <w:rPr>
                <w:sz w:val="21"/>
              </w:rPr>
            </w:pPr>
            <w:r>
              <w:rPr>
                <w:sz w:val="21"/>
              </w:rPr>
              <w:t>我们提供保障的重大疾病包括恶性</w:t>
            </w:r>
          </w:p>
          <w:p>
            <w:pPr>
              <w:pStyle w:val="TableParagraph"/>
              <w:spacing w:before="122"/>
              <w:ind w:left="109"/>
              <w:rPr>
                <w:sz w:val="21"/>
              </w:rPr>
            </w:pPr>
            <w:r>
              <w:rPr>
                <w:sz w:val="21"/>
              </w:rPr>
              <w:t>肿瘤、急性心肌梗塞等共 45 种</w:t>
            </w:r>
          </w:p>
        </w:tc>
      </w:tr>
      <w:tr>
        <w:trPr>
          <w:trHeight w:val="592" w:hRule="atLeast"/>
        </w:trPr>
        <w:tc>
          <w:tcPr>
            <w:tcW w:w="8803" w:type="dxa"/>
            <w:gridSpan w:val="4"/>
          </w:tcPr>
          <w:p>
            <w:pPr>
              <w:pStyle w:val="TableParagraph"/>
              <w:spacing w:before="169"/>
              <w:ind w:left="107"/>
              <w:rPr>
                <w:sz w:val="21"/>
              </w:rPr>
            </w:pPr>
            <w:r>
              <w:rPr>
                <w:sz w:val="21"/>
              </w:rPr>
              <w:t>重大疾病保险金给付后，本附加险合同终止，主险合同同时终止。</w:t>
            </w:r>
          </w:p>
        </w:tc>
      </w:tr>
    </w:tbl>
    <w:p>
      <w:pPr>
        <w:pStyle w:val="Heading3"/>
        <w:spacing w:line="354" w:lineRule="exact" w:before="76"/>
        <w:ind w:left="771"/>
      </w:pPr>
      <w:r>
        <w:rPr/>
        <w:t>以上举例仅供您更好地理解产品之用，您所购买产品的具体保险利益以保险合同中载明的为准。</w:t>
      </w:r>
    </w:p>
    <w:p>
      <w:pPr>
        <w:spacing w:line="587" w:lineRule="exact" w:before="0"/>
        <w:ind w:left="245" w:right="0" w:firstLine="0"/>
        <w:jc w:val="left"/>
        <w:rPr>
          <w:rFonts w:ascii="Microsoft JhengHei" w:hAnsi="Microsoft JhengHei" w:eastAsia="Microsoft JhengHei" w:hint="eastAsia"/>
          <w:b/>
          <w:sz w:val="21"/>
        </w:rPr>
      </w:pPr>
      <w:r>
        <w:rPr>
          <w:rFonts w:ascii="Arial" w:hAnsi="Arial" w:eastAsia="Arial"/>
          <w:b/>
          <w:w w:val="110"/>
          <w:position w:val="-11"/>
          <w:sz w:val="52"/>
        </w:rPr>
        <w:t></w:t>
      </w:r>
      <w:r>
        <w:rPr>
          <w:rFonts w:ascii="Microsoft JhengHei" w:hAnsi="Microsoft JhengHei" w:eastAsia="Microsoft JhengHei" w:hint="eastAsia"/>
          <w:b/>
          <w:w w:val="110"/>
          <w:sz w:val="21"/>
        </w:rPr>
        <w:t>条款目录</w:t>
      </w:r>
    </w:p>
    <w:p>
      <w:pPr>
        <w:spacing w:after="0" w:line="587" w:lineRule="exact"/>
        <w:jc w:val="left"/>
        <w:rPr>
          <w:rFonts w:ascii="Microsoft JhengHei" w:hAnsi="Microsoft JhengHei" w:eastAsia="Microsoft JhengHei" w:hint="eastAsia"/>
          <w:sz w:val="21"/>
        </w:rPr>
        <w:sectPr>
          <w:type w:val="continuous"/>
          <w:pgSz w:w="11910" w:h="16840"/>
          <w:pgMar w:top="440" w:bottom="280" w:left="940" w:right="580"/>
        </w:sectPr>
      </w:pPr>
    </w:p>
    <w:p>
      <w:pPr>
        <w:spacing w:before="46"/>
        <w:ind w:left="1184" w:right="0" w:firstLine="0"/>
        <w:jc w:val="lef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p>
      <w:pPr>
        <w:pStyle w:val="ListParagraph"/>
        <w:numPr>
          <w:ilvl w:val="1"/>
          <w:numId w:val="2"/>
        </w:numPr>
        <w:tabs>
          <w:tab w:pos="1818" w:val="left" w:leader="none"/>
        </w:tabs>
        <w:spacing w:line="240" w:lineRule="auto" w:before="39" w:after="0"/>
        <w:ind w:left="1817" w:right="0" w:hanging="422"/>
        <w:jc w:val="left"/>
        <w:rPr>
          <w:sz w:val="21"/>
        </w:rPr>
      </w:pPr>
      <w:r>
        <w:rPr>
          <w:spacing w:val="-3"/>
          <w:sz w:val="21"/>
        </w:rPr>
        <w:t>保险责任</w:t>
      </w:r>
    </w:p>
    <w:p>
      <w:pPr>
        <w:pStyle w:val="ListParagraph"/>
        <w:numPr>
          <w:ilvl w:val="1"/>
          <w:numId w:val="2"/>
        </w:numPr>
        <w:tabs>
          <w:tab w:pos="1816" w:val="left" w:leader="none"/>
        </w:tabs>
        <w:spacing w:line="274" w:lineRule="exact" w:before="65" w:after="0"/>
        <w:ind w:left="1815" w:right="0" w:hanging="420"/>
        <w:jc w:val="left"/>
        <w:rPr>
          <w:sz w:val="21"/>
        </w:rPr>
      </w:pPr>
      <w:r>
        <w:rPr>
          <w:spacing w:val="-2"/>
          <w:sz w:val="21"/>
        </w:rPr>
        <w:t>保险期间</w:t>
      </w:r>
    </w:p>
    <w:p>
      <w:pPr>
        <w:pStyle w:val="Heading3"/>
        <w:spacing w:line="365" w:lineRule="exact"/>
        <w:ind w:left="1184"/>
      </w:pPr>
      <w:r>
        <w:rPr>
          <w:rFonts w:ascii="宋体" w:eastAsia="宋体" w:hint="eastAsia"/>
        </w:rPr>
        <w:t>2.</w:t>
      </w:r>
      <w:r>
        <w:rPr/>
        <w:t>我们不保什么</w:t>
      </w:r>
    </w:p>
    <w:p>
      <w:pPr>
        <w:spacing w:before="65"/>
        <w:ind w:left="711" w:right="0" w:firstLine="0"/>
        <w:jc w:val="left"/>
        <w:rPr>
          <w:rFonts w:ascii="Microsoft JhengHei" w:eastAsia="Microsoft JhengHei" w:hint="eastAsia"/>
          <w:b/>
          <w:sz w:val="21"/>
        </w:rPr>
      </w:pPr>
      <w:r>
        <w:rPr/>
        <w:br w:type="column"/>
      </w:r>
      <w:r>
        <w:rPr>
          <w:b/>
          <w:sz w:val="21"/>
        </w:rPr>
        <w:t>4.</w:t>
      </w:r>
      <w:r>
        <w:rPr>
          <w:rFonts w:ascii="Microsoft JhengHei" w:eastAsia="Microsoft JhengHei" w:hint="eastAsia"/>
          <w:b/>
          <w:sz w:val="21"/>
        </w:rPr>
        <w:t>如何领取保险金</w:t>
      </w:r>
    </w:p>
    <w:p>
      <w:pPr>
        <w:pStyle w:val="ListParagraph"/>
        <w:numPr>
          <w:ilvl w:val="1"/>
          <w:numId w:val="3"/>
        </w:numPr>
        <w:tabs>
          <w:tab w:pos="1345" w:val="left" w:leader="none"/>
        </w:tabs>
        <w:spacing w:line="240" w:lineRule="auto" w:before="41" w:after="0"/>
        <w:ind w:left="1344" w:right="0" w:hanging="422"/>
        <w:jc w:val="left"/>
        <w:rPr>
          <w:sz w:val="21"/>
        </w:rPr>
      </w:pPr>
      <w:r>
        <w:rPr>
          <w:spacing w:val="-2"/>
          <w:sz w:val="21"/>
        </w:rPr>
        <w:t>受益人</w:t>
      </w:r>
    </w:p>
    <w:p>
      <w:pPr>
        <w:pStyle w:val="ListParagraph"/>
        <w:numPr>
          <w:ilvl w:val="1"/>
          <w:numId w:val="3"/>
        </w:numPr>
        <w:tabs>
          <w:tab w:pos="1345" w:val="left" w:leader="none"/>
        </w:tabs>
        <w:spacing w:line="240" w:lineRule="auto" w:before="63" w:after="0"/>
        <w:ind w:left="1344" w:right="0" w:hanging="422"/>
        <w:jc w:val="left"/>
        <w:rPr>
          <w:sz w:val="21"/>
        </w:rPr>
      </w:pPr>
      <w:r>
        <w:rPr>
          <w:spacing w:val="-3"/>
          <w:sz w:val="21"/>
        </w:rPr>
        <w:t>保险金申请</w:t>
      </w:r>
    </w:p>
    <w:p>
      <w:pPr>
        <w:pStyle w:val="ListParagraph"/>
        <w:numPr>
          <w:ilvl w:val="1"/>
          <w:numId w:val="3"/>
        </w:numPr>
        <w:tabs>
          <w:tab w:pos="1345" w:val="left" w:leader="none"/>
        </w:tabs>
        <w:spacing w:line="240" w:lineRule="auto" w:before="66" w:after="0"/>
        <w:ind w:left="1344" w:right="0" w:hanging="422"/>
        <w:jc w:val="left"/>
        <w:rPr>
          <w:sz w:val="21"/>
        </w:rPr>
      </w:pPr>
      <w:r>
        <w:rPr>
          <w:spacing w:val="-3"/>
          <w:sz w:val="21"/>
        </w:rPr>
        <w:t>保险金的给付</w:t>
      </w:r>
    </w:p>
    <w:p>
      <w:pPr>
        <w:pStyle w:val="BodyText"/>
        <w:spacing w:line="274" w:lineRule="exact" w:before="101"/>
        <w:ind w:left="1248"/>
      </w:pPr>
      <w:r>
        <w:rPr/>
        <w:br w:type="column"/>
      </w:r>
      <w:r>
        <w:rPr/>
        <w:t>6.2 减额交清</w:t>
      </w:r>
    </w:p>
    <w:p>
      <w:pPr>
        <w:pStyle w:val="Heading3"/>
        <w:spacing w:line="353" w:lineRule="exact"/>
        <w:ind w:left="1037"/>
      </w:pPr>
      <w:r>
        <w:rPr>
          <w:rFonts w:ascii="宋体" w:eastAsia="宋体" w:hint="eastAsia"/>
        </w:rPr>
        <w:t>7.</w:t>
      </w:r>
      <w:r>
        <w:rPr/>
        <w:t>重大疾病释义</w:t>
      </w:r>
    </w:p>
    <w:p>
      <w:pPr>
        <w:spacing w:line="353" w:lineRule="exact" w:before="0"/>
        <w:ind w:left="1037" w:right="0" w:firstLine="0"/>
        <w:jc w:val="left"/>
        <w:rPr>
          <w:rFonts w:ascii="Microsoft JhengHei" w:eastAsia="Microsoft JhengHei" w:hint="eastAsia"/>
          <w:b/>
          <w:sz w:val="21"/>
        </w:rPr>
      </w:pPr>
      <w:r>
        <w:rPr>
          <w:b/>
          <w:sz w:val="21"/>
        </w:rPr>
        <w:t>8.</w:t>
      </w:r>
      <w:r>
        <w:rPr>
          <w:rFonts w:ascii="Microsoft JhengHei" w:eastAsia="Microsoft JhengHei" w:hint="eastAsia"/>
          <w:b/>
          <w:sz w:val="21"/>
        </w:rPr>
        <w:t>需关注的其他内容</w:t>
      </w:r>
    </w:p>
    <w:p>
      <w:pPr>
        <w:pStyle w:val="BodyText"/>
        <w:spacing w:before="39"/>
        <w:ind w:left="1248"/>
      </w:pPr>
      <w:r>
        <w:rPr/>
        <w:t>8.1 合同订立</w:t>
      </w:r>
    </w:p>
    <w:p>
      <w:pPr>
        <w:spacing w:after="0"/>
        <w:sectPr>
          <w:type w:val="continuous"/>
          <w:pgSz w:w="11910" w:h="16840"/>
          <w:pgMar w:top="440" w:bottom="280" w:left="940" w:right="580"/>
          <w:cols w:num="3" w:equalWidth="0">
            <w:col w:w="3297" w:space="40"/>
            <w:col w:w="2603" w:space="39"/>
            <w:col w:w="4411"/>
          </w:cols>
        </w:sectPr>
      </w:pPr>
    </w:p>
    <w:p>
      <w:pPr>
        <w:pStyle w:val="BodyText"/>
        <w:spacing w:before="3"/>
        <w:rPr>
          <w:sz w:val="7"/>
        </w:rPr>
      </w:pPr>
    </w:p>
    <w:tbl>
      <w:tblPr>
        <w:tblW w:w="0" w:type="auto"/>
        <w:jc w:val="left"/>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2"/>
        <w:gridCol w:w="3184"/>
        <w:gridCol w:w="747"/>
        <w:gridCol w:w="1783"/>
      </w:tblGrid>
      <w:tr>
        <w:trPr>
          <w:trHeight w:val="291" w:hRule="atLeast"/>
        </w:trPr>
        <w:tc>
          <w:tcPr>
            <w:tcW w:w="2532" w:type="dxa"/>
          </w:tcPr>
          <w:p>
            <w:pPr>
              <w:pStyle w:val="TableParagraph"/>
              <w:spacing w:line="221" w:lineRule="exact"/>
              <w:ind w:left="261"/>
              <w:rPr>
                <w:sz w:val="21"/>
              </w:rPr>
            </w:pPr>
            <w:r>
              <w:rPr>
                <w:sz w:val="21"/>
              </w:rPr>
              <w:t>2.1 责任免除</w:t>
            </w:r>
          </w:p>
        </w:tc>
        <w:tc>
          <w:tcPr>
            <w:tcW w:w="3184" w:type="dxa"/>
          </w:tcPr>
          <w:p>
            <w:pPr>
              <w:pStyle w:val="TableParagraph"/>
              <w:spacing w:line="266" w:lineRule="exact"/>
              <w:ind w:left="381"/>
              <w:rPr>
                <w:rFonts w:ascii="Microsoft JhengHei" w:eastAsia="Microsoft JhengHei" w:hint="eastAsia"/>
                <w:b/>
                <w:sz w:val="21"/>
              </w:rPr>
            </w:pPr>
            <w:r>
              <w:rPr>
                <w:b/>
                <w:sz w:val="21"/>
              </w:rPr>
              <w:t>5.</w:t>
            </w:r>
            <w:r>
              <w:rPr>
                <w:rFonts w:ascii="Microsoft JhengHei" w:eastAsia="Microsoft JhengHei" w:hint="eastAsia"/>
                <w:b/>
                <w:sz w:val="21"/>
              </w:rPr>
              <w:t>如何退保</w:t>
            </w:r>
          </w:p>
        </w:tc>
        <w:tc>
          <w:tcPr>
            <w:tcW w:w="747" w:type="dxa"/>
          </w:tcPr>
          <w:p>
            <w:pPr>
              <w:pStyle w:val="TableParagraph"/>
              <w:spacing w:line="211" w:lineRule="exact"/>
              <w:ind w:right="52"/>
              <w:jc w:val="right"/>
              <w:rPr>
                <w:sz w:val="21"/>
              </w:rPr>
            </w:pPr>
            <w:r>
              <w:rPr>
                <w:sz w:val="21"/>
              </w:rPr>
              <w:t>8.2</w:t>
            </w:r>
          </w:p>
        </w:tc>
        <w:tc>
          <w:tcPr>
            <w:tcW w:w="1783" w:type="dxa"/>
          </w:tcPr>
          <w:p>
            <w:pPr>
              <w:pStyle w:val="TableParagraph"/>
              <w:spacing w:line="211" w:lineRule="exact"/>
              <w:ind w:left="50"/>
              <w:rPr>
                <w:sz w:val="21"/>
              </w:rPr>
            </w:pPr>
            <w:r>
              <w:rPr>
                <w:sz w:val="21"/>
              </w:rPr>
              <w:t>合同生效</w:t>
            </w:r>
          </w:p>
        </w:tc>
      </w:tr>
      <w:tr>
        <w:trPr>
          <w:trHeight w:val="338" w:hRule="atLeast"/>
        </w:trPr>
        <w:tc>
          <w:tcPr>
            <w:tcW w:w="2532" w:type="dxa"/>
          </w:tcPr>
          <w:p>
            <w:pPr>
              <w:pStyle w:val="TableParagraph"/>
              <w:spacing w:line="270" w:lineRule="exact"/>
              <w:ind w:right="588"/>
              <w:jc w:val="right"/>
              <w:rPr>
                <w:sz w:val="21"/>
              </w:rPr>
            </w:pPr>
            <w:r>
              <w:rPr>
                <w:sz w:val="21"/>
              </w:rPr>
              <w:t>2.2 其他免责条款</w:t>
            </w:r>
          </w:p>
        </w:tc>
        <w:tc>
          <w:tcPr>
            <w:tcW w:w="3184" w:type="dxa"/>
          </w:tcPr>
          <w:p>
            <w:pPr>
              <w:pStyle w:val="TableParagraph"/>
              <w:spacing w:before="14"/>
              <w:ind w:left="592"/>
              <w:rPr>
                <w:sz w:val="21"/>
              </w:rPr>
            </w:pPr>
            <w:r>
              <w:rPr>
                <w:sz w:val="21"/>
              </w:rPr>
              <w:t>5.1 犹豫期</w:t>
            </w:r>
          </w:p>
        </w:tc>
        <w:tc>
          <w:tcPr>
            <w:tcW w:w="747" w:type="dxa"/>
          </w:tcPr>
          <w:p>
            <w:pPr>
              <w:pStyle w:val="TableParagraph"/>
              <w:spacing w:line="260" w:lineRule="exact"/>
              <w:ind w:right="52"/>
              <w:jc w:val="right"/>
              <w:rPr>
                <w:sz w:val="21"/>
              </w:rPr>
            </w:pPr>
            <w:r>
              <w:rPr>
                <w:sz w:val="21"/>
              </w:rPr>
              <w:t>8.3</w:t>
            </w:r>
          </w:p>
        </w:tc>
        <w:tc>
          <w:tcPr>
            <w:tcW w:w="1783" w:type="dxa"/>
          </w:tcPr>
          <w:p>
            <w:pPr>
              <w:pStyle w:val="TableParagraph"/>
              <w:spacing w:line="260" w:lineRule="exact"/>
              <w:ind w:left="52"/>
              <w:rPr>
                <w:sz w:val="21"/>
              </w:rPr>
            </w:pPr>
            <w:r>
              <w:rPr>
                <w:sz w:val="21"/>
              </w:rPr>
              <w:t>投保年龄</w:t>
            </w:r>
          </w:p>
        </w:tc>
      </w:tr>
      <w:tr>
        <w:trPr>
          <w:trHeight w:val="340" w:hRule="atLeast"/>
        </w:trPr>
        <w:tc>
          <w:tcPr>
            <w:tcW w:w="2532" w:type="dxa"/>
          </w:tcPr>
          <w:p>
            <w:pPr>
              <w:pStyle w:val="TableParagraph"/>
              <w:spacing w:line="296" w:lineRule="exact"/>
              <w:ind w:left="50"/>
              <w:rPr>
                <w:rFonts w:ascii="Microsoft JhengHei" w:eastAsia="Microsoft JhengHei" w:hint="eastAsia"/>
                <w:b/>
                <w:sz w:val="21"/>
              </w:rPr>
            </w:pPr>
            <w:r>
              <w:rPr>
                <w:b/>
                <w:sz w:val="21"/>
              </w:rPr>
              <w:t>3.</w:t>
            </w:r>
            <w:r>
              <w:rPr>
                <w:rFonts w:ascii="Microsoft JhengHei" w:eastAsia="Microsoft JhengHei" w:hint="eastAsia"/>
                <w:b/>
                <w:sz w:val="21"/>
              </w:rPr>
              <w:t>如何支付保险费</w:t>
            </w:r>
          </w:p>
        </w:tc>
        <w:tc>
          <w:tcPr>
            <w:tcW w:w="3184" w:type="dxa"/>
          </w:tcPr>
          <w:p>
            <w:pPr>
              <w:pStyle w:val="TableParagraph"/>
              <w:spacing w:before="16"/>
              <w:ind w:left="592"/>
              <w:rPr>
                <w:sz w:val="21"/>
              </w:rPr>
            </w:pPr>
            <w:r>
              <w:rPr>
                <w:sz w:val="21"/>
              </w:rPr>
              <w:t>5.2 您解除合同的手续</w:t>
            </w:r>
          </w:p>
        </w:tc>
        <w:tc>
          <w:tcPr>
            <w:tcW w:w="747" w:type="dxa"/>
          </w:tcPr>
          <w:p>
            <w:pPr>
              <w:pStyle w:val="TableParagraph"/>
              <w:spacing w:line="260" w:lineRule="exact"/>
              <w:ind w:right="52"/>
              <w:jc w:val="right"/>
              <w:rPr>
                <w:sz w:val="21"/>
              </w:rPr>
            </w:pPr>
            <w:r>
              <w:rPr>
                <w:sz w:val="21"/>
              </w:rPr>
              <w:t>8.4</w:t>
            </w:r>
          </w:p>
        </w:tc>
        <w:tc>
          <w:tcPr>
            <w:tcW w:w="1783" w:type="dxa"/>
          </w:tcPr>
          <w:p>
            <w:pPr>
              <w:pStyle w:val="TableParagraph"/>
              <w:spacing w:line="260" w:lineRule="exact"/>
              <w:ind w:left="50"/>
              <w:rPr>
                <w:sz w:val="21"/>
              </w:rPr>
            </w:pPr>
            <w:r>
              <w:rPr>
                <w:sz w:val="21"/>
              </w:rPr>
              <w:t>年龄错误</w:t>
            </w:r>
          </w:p>
        </w:tc>
      </w:tr>
      <w:tr>
        <w:trPr>
          <w:trHeight w:val="340" w:hRule="atLeast"/>
        </w:trPr>
        <w:tc>
          <w:tcPr>
            <w:tcW w:w="2532" w:type="dxa"/>
          </w:tcPr>
          <w:p>
            <w:pPr>
              <w:pStyle w:val="TableParagraph"/>
              <w:spacing w:line="270" w:lineRule="exact"/>
              <w:ind w:right="588"/>
              <w:jc w:val="right"/>
              <w:rPr>
                <w:sz w:val="21"/>
              </w:rPr>
            </w:pPr>
            <w:r>
              <w:rPr>
                <w:sz w:val="21"/>
              </w:rPr>
              <w:t>3.1 保险费的支付</w:t>
            </w:r>
          </w:p>
        </w:tc>
        <w:tc>
          <w:tcPr>
            <w:tcW w:w="3184" w:type="dxa"/>
          </w:tcPr>
          <w:p>
            <w:pPr>
              <w:pStyle w:val="TableParagraph"/>
              <w:spacing w:before="16"/>
              <w:ind w:left="1012"/>
              <w:rPr>
                <w:sz w:val="21"/>
              </w:rPr>
            </w:pPr>
            <w:r>
              <w:rPr>
                <w:sz w:val="21"/>
              </w:rPr>
              <w:t>及风险</w:t>
            </w:r>
          </w:p>
        </w:tc>
        <w:tc>
          <w:tcPr>
            <w:tcW w:w="747" w:type="dxa"/>
          </w:tcPr>
          <w:p>
            <w:pPr>
              <w:pStyle w:val="TableParagraph"/>
              <w:spacing w:line="260" w:lineRule="exact"/>
              <w:ind w:right="52"/>
              <w:jc w:val="right"/>
              <w:rPr>
                <w:sz w:val="21"/>
              </w:rPr>
            </w:pPr>
            <w:r>
              <w:rPr>
                <w:sz w:val="21"/>
              </w:rPr>
              <w:t>8.5</w:t>
            </w:r>
          </w:p>
        </w:tc>
        <w:tc>
          <w:tcPr>
            <w:tcW w:w="1783" w:type="dxa"/>
          </w:tcPr>
          <w:p>
            <w:pPr>
              <w:pStyle w:val="TableParagraph"/>
              <w:spacing w:line="260" w:lineRule="exact"/>
              <w:ind w:left="52"/>
              <w:rPr>
                <w:sz w:val="21"/>
              </w:rPr>
            </w:pPr>
            <w:r>
              <w:rPr>
                <w:sz w:val="21"/>
              </w:rPr>
              <w:t>效力终止</w:t>
            </w:r>
          </w:p>
        </w:tc>
      </w:tr>
      <w:tr>
        <w:trPr>
          <w:trHeight w:val="629" w:hRule="atLeast"/>
        </w:trPr>
        <w:tc>
          <w:tcPr>
            <w:tcW w:w="2532" w:type="dxa"/>
          </w:tcPr>
          <w:p>
            <w:pPr>
              <w:pStyle w:val="TableParagraph"/>
              <w:numPr>
                <w:ilvl w:val="1"/>
                <w:numId w:val="4"/>
              </w:numPr>
              <w:tabs>
                <w:tab w:pos="684" w:val="left" w:leader="none"/>
              </w:tabs>
              <w:spacing w:line="270" w:lineRule="exact" w:before="0" w:after="0"/>
              <w:ind w:left="683" w:right="0" w:hanging="422"/>
              <w:jc w:val="left"/>
              <w:rPr>
                <w:sz w:val="21"/>
              </w:rPr>
            </w:pPr>
            <w:r>
              <w:rPr>
                <w:spacing w:val="-2"/>
                <w:sz w:val="21"/>
              </w:rPr>
              <w:t>宽限期</w:t>
            </w:r>
          </w:p>
          <w:p>
            <w:pPr>
              <w:pStyle w:val="TableParagraph"/>
              <w:numPr>
                <w:ilvl w:val="1"/>
                <w:numId w:val="4"/>
              </w:numPr>
              <w:tabs>
                <w:tab w:pos="682" w:val="left" w:leader="none"/>
              </w:tabs>
              <w:spacing w:line="272" w:lineRule="exact" w:before="68" w:after="0"/>
              <w:ind w:left="681" w:right="0" w:hanging="420"/>
              <w:jc w:val="left"/>
              <w:rPr>
                <w:sz w:val="21"/>
              </w:rPr>
            </w:pPr>
            <w:r>
              <w:rPr>
                <w:spacing w:val="-3"/>
                <w:sz w:val="21"/>
              </w:rPr>
              <w:t>效力中止与恢复</w:t>
            </w:r>
          </w:p>
        </w:tc>
        <w:tc>
          <w:tcPr>
            <w:tcW w:w="3184" w:type="dxa"/>
          </w:tcPr>
          <w:p>
            <w:pPr>
              <w:pStyle w:val="TableParagraph"/>
              <w:spacing w:line="313" w:lineRule="exact"/>
              <w:ind w:left="381"/>
              <w:rPr>
                <w:rFonts w:ascii="Microsoft JhengHei" w:eastAsia="Microsoft JhengHei" w:hint="eastAsia"/>
                <w:b/>
                <w:sz w:val="21"/>
              </w:rPr>
            </w:pPr>
            <w:r>
              <w:rPr>
                <w:b/>
                <w:sz w:val="21"/>
              </w:rPr>
              <w:t>6.</w:t>
            </w:r>
            <w:r>
              <w:rPr>
                <w:rFonts w:ascii="Microsoft JhengHei" w:eastAsia="Microsoft JhengHei" w:hint="eastAsia"/>
                <w:b/>
                <w:sz w:val="21"/>
              </w:rPr>
              <w:t>其他权益</w:t>
            </w:r>
          </w:p>
          <w:p>
            <w:pPr>
              <w:pStyle w:val="TableParagraph"/>
              <w:spacing w:line="255" w:lineRule="exact" w:before="42"/>
              <w:ind w:left="592"/>
              <w:rPr>
                <w:sz w:val="21"/>
              </w:rPr>
            </w:pPr>
            <w:r>
              <w:rPr>
                <w:sz w:val="21"/>
              </w:rPr>
              <w:t>6.1 现金价值</w:t>
            </w:r>
          </w:p>
        </w:tc>
        <w:tc>
          <w:tcPr>
            <w:tcW w:w="747" w:type="dxa"/>
          </w:tcPr>
          <w:p>
            <w:pPr>
              <w:pStyle w:val="TableParagraph"/>
              <w:spacing w:line="260" w:lineRule="exact"/>
              <w:ind w:right="52"/>
              <w:jc w:val="right"/>
              <w:rPr>
                <w:sz w:val="21"/>
              </w:rPr>
            </w:pPr>
            <w:r>
              <w:rPr>
                <w:sz w:val="21"/>
              </w:rPr>
              <w:t>8.6</w:t>
            </w:r>
          </w:p>
        </w:tc>
        <w:tc>
          <w:tcPr>
            <w:tcW w:w="1783" w:type="dxa"/>
          </w:tcPr>
          <w:p>
            <w:pPr>
              <w:pStyle w:val="TableParagraph"/>
              <w:spacing w:line="260" w:lineRule="exact"/>
              <w:ind w:left="52"/>
              <w:rPr>
                <w:sz w:val="21"/>
              </w:rPr>
            </w:pPr>
            <w:r>
              <w:rPr>
                <w:sz w:val="21"/>
              </w:rPr>
              <w:t>适用主险合同条款</w:t>
            </w:r>
          </w:p>
        </w:tc>
      </w:tr>
    </w:tbl>
    <w:p>
      <w:pPr>
        <w:pStyle w:val="BodyText"/>
        <w:rPr>
          <w:sz w:val="20"/>
        </w:rPr>
      </w:pPr>
    </w:p>
    <w:p>
      <w:pPr>
        <w:pStyle w:val="BodyText"/>
        <w:rPr>
          <w:sz w:val="20"/>
        </w:rPr>
      </w:pPr>
    </w:p>
    <w:p>
      <w:pPr>
        <w:pStyle w:val="BodyText"/>
        <w:spacing w:before="1"/>
        <w:rPr>
          <w:sz w:val="22"/>
        </w:rPr>
      </w:pPr>
    </w:p>
    <w:p>
      <w:pPr>
        <w:spacing w:line="316" w:lineRule="auto" w:before="44"/>
        <w:ind w:left="8264" w:right="320" w:firstLine="0"/>
        <w:jc w:val="left"/>
        <w:rPr>
          <w:sz w:val="18"/>
        </w:rPr>
      </w:pPr>
      <w:r>
        <w:rPr>
          <w:sz w:val="18"/>
        </w:rPr>
        <w:t>险种简称：安鑫保重疾险种代码：1230</w:t>
      </w:r>
    </w:p>
    <w:p>
      <w:pPr>
        <w:spacing w:after="0" w:line="316" w:lineRule="auto"/>
        <w:jc w:val="left"/>
        <w:rPr>
          <w:sz w:val="18"/>
        </w:rPr>
        <w:sectPr>
          <w:type w:val="continuous"/>
          <w:pgSz w:w="11910" w:h="16840"/>
          <w:pgMar w:top="440" w:bottom="280" w:left="940" w:right="580"/>
        </w:sectPr>
      </w:pPr>
    </w:p>
    <w:p>
      <w:pPr>
        <w:pStyle w:val="BodyText"/>
        <w:ind w:left="236"/>
        <w:rPr>
          <w:sz w:val="20"/>
        </w:rPr>
      </w:pPr>
      <w:r>
        <w:rPr>
          <w:sz w:val="20"/>
        </w:rPr>
        <w:drawing>
          <wp:inline distT="0" distB="0" distL="0" distR="0">
            <wp:extent cx="2052294" cy="342042"/>
            <wp:effectExtent l="0" t="0" r="0" b="0"/>
            <wp:docPr id="1" name="image9.png" descr="新LOGO-K"/>
            <wp:cNvGraphicFramePr>
              <a:graphicFrameLocks noChangeAspect="1"/>
            </wp:cNvGraphicFramePr>
            <a:graphic>
              <a:graphicData uri="http://schemas.openxmlformats.org/drawingml/2006/picture">
                <pic:pic>
                  <pic:nvPicPr>
                    <pic:cNvPr id="2" name="image9.png"/>
                    <pic:cNvPicPr/>
                  </pic:nvPicPr>
                  <pic:blipFill>
                    <a:blip r:embed="rId13" cstate="print"/>
                    <a:stretch>
                      <a:fillRect/>
                    </a:stretch>
                  </pic:blipFill>
                  <pic:spPr>
                    <a:xfrm>
                      <a:off x="0" y="0"/>
                      <a:ext cx="2052294" cy="342042"/>
                    </a:xfrm>
                    <a:prstGeom prst="rect">
                      <a:avLst/>
                    </a:prstGeom>
                  </pic:spPr>
                </pic:pic>
              </a:graphicData>
            </a:graphic>
          </wp:inline>
        </w:drawing>
      </w:r>
      <w:r>
        <w:rPr>
          <w:sz w:val="20"/>
        </w:rPr>
      </w:r>
    </w:p>
    <w:p>
      <w:pPr>
        <w:pStyle w:val="BodyText"/>
        <w:spacing w:before="2"/>
        <w:rPr>
          <w:sz w:val="10"/>
        </w:rPr>
      </w:pPr>
      <w:r>
        <w:rPr/>
        <w:drawing>
          <wp:anchor distT="0" distB="0" distL="0" distR="0" allowOverlap="1" layoutInCell="1" locked="0" behindDoc="0" simplePos="0" relativeHeight="1120">
            <wp:simplePos x="0" y="0"/>
            <wp:positionH relativeFrom="page">
              <wp:posOffset>1447342</wp:posOffset>
            </wp:positionH>
            <wp:positionV relativeFrom="paragraph">
              <wp:posOffset>109756</wp:posOffset>
            </wp:positionV>
            <wp:extent cx="4646089" cy="225266"/>
            <wp:effectExtent l="0" t="0" r="0" b="0"/>
            <wp:wrapTopAndBottom/>
            <wp:docPr id="3" name="image10.png" descr="抬头"/>
            <wp:cNvGraphicFramePr>
              <a:graphicFrameLocks noChangeAspect="1"/>
            </wp:cNvGraphicFramePr>
            <a:graphic>
              <a:graphicData uri="http://schemas.openxmlformats.org/drawingml/2006/picture">
                <pic:pic>
                  <pic:nvPicPr>
                    <pic:cNvPr id="4" name="image10.png"/>
                    <pic:cNvPicPr/>
                  </pic:nvPicPr>
                  <pic:blipFill>
                    <a:blip r:embed="rId14" cstate="print"/>
                    <a:stretch>
                      <a:fillRect/>
                    </a:stretch>
                  </pic:blipFill>
                  <pic:spPr>
                    <a:xfrm>
                      <a:off x="0" y="0"/>
                      <a:ext cx="4646089" cy="225266"/>
                    </a:xfrm>
                    <a:prstGeom prst="rect">
                      <a:avLst/>
                    </a:prstGeom>
                  </pic:spPr>
                </pic:pic>
              </a:graphicData>
            </a:graphic>
          </wp:anchor>
        </w:drawing>
      </w:r>
    </w:p>
    <w:p>
      <w:pPr>
        <w:pStyle w:val="BodyText"/>
        <w:rPr>
          <w:sz w:val="20"/>
        </w:rPr>
      </w:pPr>
    </w:p>
    <w:p>
      <w:pPr>
        <w:pStyle w:val="Heading1"/>
        <w:spacing w:before="108"/>
      </w:pPr>
      <w:r>
        <w:rPr>
          <w:w w:val="95"/>
        </w:rPr>
        <w:t>平安附加安鑫保提前给付重大疾病保险条款</w:t>
      </w:r>
    </w:p>
    <w:p>
      <w:pPr>
        <w:pStyle w:val="BodyText"/>
        <w:spacing w:before="10"/>
        <w:rPr>
          <w:rFonts w:ascii="微软雅黑"/>
          <w:b/>
          <w:sz w:val="32"/>
        </w:rPr>
      </w:pPr>
    </w:p>
    <w:p>
      <w:pPr>
        <w:pStyle w:val="BodyText"/>
        <w:spacing w:before="1"/>
        <w:ind w:left="220"/>
      </w:pPr>
      <w:r>
        <w:rPr/>
        <w:t>在本条款中，“您”指投保人，“我们”、“本公司”均指中国平安人寿保险股份有限公司。</w:t>
      </w:r>
    </w:p>
    <w:p>
      <w:pPr>
        <w:pStyle w:val="BodyText"/>
        <w:spacing w:before="11"/>
        <w:rPr>
          <w:sz w:val="26"/>
        </w:rPr>
      </w:pPr>
    </w:p>
    <w:p>
      <w:pPr>
        <w:pStyle w:val="Heading2"/>
        <w:tabs>
          <w:tab w:pos="1146" w:val="left" w:leader="none"/>
        </w:tabs>
        <w:spacing w:line="240" w:lineRule="auto"/>
        <w:ind w:left="395"/>
        <w:rPr>
          <w:rFonts w:ascii="宋体" w:hAnsi="宋体" w:eastAsia="宋体" w:hint="eastAsia"/>
        </w:rPr>
      </w:pPr>
      <w:r>
        <w:rPr>
          <w:rFonts w:ascii="Arial" w:hAnsi="Arial" w:eastAsia="Arial"/>
          <w:sz w:val="40"/>
        </w:rPr>
        <w:t></w:t>
        <w:tab/>
      </w:r>
      <w:r>
        <w:rPr>
          <w:rFonts w:ascii="宋体" w:hAnsi="宋体" w:eastAsia="宋体" w:hint="eastAsia"/>
          <w:w w:val="95"/>
          <w:position w:val="2"/>
        </w:rPr>
        <w:t>我们保什么、保多久</w:t>
      </w:r>
    </w:p>
    <w:p>
      <w:pPr>
        <w:spacing w:before="19"/>
        <w:ind w:left="1146" w:right="0" w:firstLine="0"/>
        <w:jc w:val="left"/>
        <w:rPr>
          <w:sz w:val="24"/>
        </w:rPr>
      </w:pPr>
      <w:r>
        <w:rPr/>
        <w:pict>
          <v:group style="position:absolute;margin-left:45.599998pt;margin-top:18.925640pt;width:504pt;height:1pt;mso-position-horizontal-relative:page;mso-position-vertical-relative:paragraph;z-index:1144;mso-wrap-distance-left:0;mso-wrap-distance-right:0" coordorigin="912,379" coordsize="10080,20">
            <v:line style="position:absolute" from="912,388" to="1836,388" stroked="true" strokeweight=".96pt" strokecolor="#000000">
              <v:stroke dashstyle="solid"/>
            </v:line>
            <v:rect style="position:absolute;left:1836;top:378;width:20;height:20" filled="true" fillcolor="#000000" stroked="false">
              <v:fill type="solid"/>
            </v:rect>
            <v:line style="position:absolute" from="1855,388" to="4082,388" stroked="true" strokeweight=".96pt" strokecolor="#000000">
              <v:stroke dashstyle="solid"/>
            </v:line>
            <v:rect style="position:absolute;left:4082;top:378;width:20;height:20" filled="true" fillcolor="#000000" stroked="false">
              <v:fill type="solid"/>
            </v:rect>
            <v:line style="position:absolute" from="4102,388" to="10992,388" stroked="true" strokeweight=".96pt" strokecolor="#000000">
              <v:stroke dashstyle="solid"/>
            </v:line>
            <w10:wrap type="topAndBottom"/>
          </v:group>
        </w:pict>
      </w:r>
      <w:r>
        <w:rPr>
          <w:sz w:val="24"/>
        </w:rPr>
        <w:t>这部分讲的是我们提供的保障以及我们提供保障的期间。</w:t>
      </w:r>
    </w:p>
    <w:p>
      <w:pPr>
        <w:pStyle w:val="BodyText"/>
        <w:spacing w:before="7"/>
        <w:rPr>
          <w:sz w:val="18"/>
        </w:rPr>
      </w:pPr>
    </w:p>
    <w:p>
      <w:pPr>
        <w:tabs>
          <w:tab w:pos="1146" w:val="left" w:leader="none"/>
          <w:tab w:pos="3392" w:val="left" w:leader="none"/>
        </w:tabs>
        <w:spacing w:before="37"/>
        <w:ind w:left="414" w:right="0" w:firstLine="0"/>
        <w:jc w:val="left"/>
        <w:rPr>
          <w:sz w:val="21"/>
        </w:rPr>
      </w:pPr>
      <w:r>
        <w:rPr>
          <w:b/>
          <w:sz w:val="21"/>
        </w:rPr>
        <w:t>1.1</w:t>
        <w:tab/>
        <w:t>保险责任</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保</w:t>
      </w:r>
      <w:r>
        <w:rPr>
          <w:spacing w:val="-3"/>
          <w:sz w:val="21"/>
        </w:rPr>
        <w:t>险</w:t>
      </w:r>
      <w:r>
        <w:rPr>
          <w:sz w:val="21"/>
        </w:rPr>
        <w:t>期</w:t>
      </w:r>
      <w:r>
        <w:rPr>
          <w:spacing w:val="-3"/>
          <w:sz w:val="21"/>
        </w:rPr>
        <w:t>间</w:t>
      </w:r>
      <w:r>
        <w:rPr>
          <w:sz w:val="21"/>
        </w:rPr>
        <w:t>内，</w:t>
      </w:r>
      <w:r>
        <w:rPr>
          <w:spacing w:val="-3"/>
          <w:sz w:val="21"/>
        </w:rPr>
        <w:t>我</w:t>
      </w:r>
      <w:r>
        <w:rPr>
          <w:sz w:val="21"/>
        </w:rPr>
        <w:t>们</w:t>
      </w:r>
      <w:r>
        <w:rPr>
          <w:spacing w:val="-3"/>
          <w:sz w:val="21"/>
        </w:rPr>
        <w:t>承</w:t>
      </w:r>
      <w:r>
        <w:rPr>
          <w:sz w:val="21"/>
        </w:rPr>
        <w:t>担</w:t>
      </w:r>
      <w:r>
        <w:rPr>
          <w:spacing w:val="-3"/>
          <w:sz w:val="21"/>
        </w:rPr>
        <w:t>如</w:t>
      </w:r>
      <w:r>
        <w:rPr>
          <w:sz w:val="21"/>
        </w:rPr>
        <w:t>下</w:t>
      </w:r>
      <w:r>
        <w:rPr>
          <w:spacing w:val="-3"/>
          <w:sz w:val="21"/>
        </w:rPr>
        <w:t>保</w:t>
      </w:r>
      <w:r>
        <w:rPr>
          <w:sz w:val="21"/>
        </w:rPr>
        <w:t>险</w:t>
      </w:r>
      <w:r>
        <w:rPr>
          <w:spacing w:val="-3"/>
          <w:sz w:val="21"/>
        </w:rPr>
        <w:t>责</w:t>
      </w:r>
      <w:r>
        <w:rPr>
          <w:sz w:val="21"/>
        </w:rPr>
        <w:t>任：</w:t>
      </w:r>
    </w:p>
    <w:p>
      <w:pPr>
        <w:pStyle w:val="BodyText"/>
        <w:spacing w:before="1"/>
        <w:rPr>
          <w:sz w:val="26"/>
        </w:rPr>
      </w:pPr>
    </w:p>
    <w:p>
      <w:pPr>
        <w:pStyle w:val="Heading2"/>
        <w:spacing w:line="240" w:lineRule="auto"/>
        <w:ind w:left="1146"/>
      </w:pPr>
      <w:r>
        <w:rPr/>
        <w:pict>
          <v:shape style="position:absolute;margin-left:209.639999pt;margin-top:3.379357pt;width:334.7pt;height:60.5pt;mso-position-horizontal-relative:page;mso-position-vertical-relative:paragraph;z-index:1192" type="#_x0000_t202" filled="false" stroked="false">
            <v:textbox inset="0,0,0,0">
              <w:txbxContent>
                <w:tbl>
                  <w:tblPr>
                    <w:tblCellSpacing w:w="19" w:type="dxa"/>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94"/>
                  </w:tblGrid>
                  <w:tr>
                    <w:trPr>
                      <w:trHeight w:val="232" w:hRule="atLeast"/>
                    </w:trPr>
                    <w:tc>
                      <w:tcPr>
                        <w:tcW w:w="6694" w:type="dxa"/>
                        <w:tcBorders>
                          <w:bottom w:val="nil"/>
                        </w:tcBorders>
                        <w:shd w:val="clear" w:color="auto" w:fill="DADADA"/>
                      </w:tcPr>
                      <w:p>
                        <w:pPr>
                          <w:pStyle w:val="TableParagraph"/>
                          <w:spacing w:line="243" w:lineRule="exact"/>
                          <w:ind w:left="16" w:right="1"/>
                          <w:jc w:val="center"/>
                          <w:rPr>
                            <w:sz w:val="21"/>
                          </w:rPr>
                        </w:pPr>
                        <w:r>
                          <w:rPr>
                            <w:spacing w:val="-3"/>
                            <w:sz w:val="21"/>
                          </w:rPr>
                          <w:t>从本附加险合同生效</w:t>
                        </w:r>
                        <w:r>
                          <w:rPr>
                            <w:sz w:val="21"/>
                          </w:rPr>
                          <w:t>（</w:t>
                        </w:r>
                        <w:r>
                          <w:rPr>
                            <w:spacing w:val="-3"/>
                            <w:sz w:val="21"/>
                          </w:rPr>
                          <w:t>或最后复效）</w:t>
                        </w:r>
                        <w:r>
                          <w:rPr>
                            <w:spacing w:val="-1"/>
                            <w:sz w:val="21"/>
                          </w:rPr>
                          <w:t>之日起 </w:t>
                        </w:r>
                        <w:r>
                          <w:rPr>
                            <w:sz w:val="21"/>
                          </w:rPr>
                          <w:t>90</w:t>
                        </w:r>
                        <w:r>
                          <w:rPr>
                            <w:spacing w:val="-3"/>
                            <w:sz w:val="21"/>
                          </w:rPr>
                          <w:t> 日内，被保险人首次发病</w:t>
                        </w:r>
                      </w:p>
                    </w:tc>
                  </w:tr>
                  <w:tr>
                    <w:trPr>
                      <w:trHeight w:val="229" w:hRule="atLeast"/>
                    </w:trPr>
                    <w:tc>
                      <w:tcPr>
                        <w:tcW w:w="6694" w:type="dxa"/>
                        <w:tcBorders>
                          <w:top w:val="nil"/>
                          <w:bottom w:val="nil"/>
                        </w:tcBorders>
                        <w:shd w:val="clear" w:color="auto" w:fill="DADADA"/>
                      </w:tcPr>
                      <w:p>
                        <w:pPr>
                          <w:pStyle w:val="TableParagraph"/>
                          <w:spacing w:line="240" w:lineRule="exact"/>
                          <w:ind w:right="-15"/>
                          <w:jc w:val="center"/>
                          <w:rPr>
                            <w:sz w:val="21"/>
                          </w:rPr>
                        </w:pPr>
                        <w:r>
                          <w:rPr>
                            <w:spacing w:val="-2"/>
                            <w:sz w:val="21"/>
                          </w:rPr>
                          <w:t>并经</w:t>
                        </w:r>
                        <w:r>
                          <w:rPr>
                            <w:rFonts w:ascii="黑体" w:hAnsi="黑体" w:eastAsia="黑体" w:hint="eastAsia"/>
                            <w:b/>
                            <w:spacing w:val="-3"/>
                            <w:sz w:val="21"/>
                          </w:rPr>
                          <w:t>医院 </w:t>
                        </w:r>
                        <w:hyperlink w:history="true" w:anchor="_bookmark0">
                          <w:r>
                            <w:rPr>
                              <w:rFonts w:ascii="黑体" w:hAnsi="黑体" w:eastAsia="黑体" w:hint="eastAsia"/>
                              <w:b/>
                              <w:position w:val="11"/>
                              <w:sz w:val="11"/>
                            </w:rPr>
                            <w:t>1</w:t>
                          </w:r>
                        </w:hyperlink>
                        <w:r>
                          <w:rPr>
                            <w:spacing w:val="-4"/>
                            <w:sz w:val="21"/>
                          </w:rPr>
                          <w:t>确诊为本附加险合同约定的</w:t>
                        </w:r>
                        <w:r>
                          <w:rPr>
                            <w:rFonts w:ascii="黑体" w:hAnsi="黑体" w:eastAsia="黑体" w:hint="eastAsia"/>
                            <w:b/>
                            <w:spacing w:val="-1"/>
                            <w:sz w:val="21"/>
                          </w:rPr>
                          <w:t>“重大疾病”</w:t>
                        </w:r>
                        <w:hyperlink w:history="true" w:anchor="_bookmark1">
                          <w:r>
                            <w:rPr>
                              <w:rFonts w:ascii="黑体" w:hAnsi="黑体" w:eastAsia="黑体" w:hint="eastAsia"/>
                              <w:b/>
                              <w:position w:val="11"/>
                              <w:sz w:val="11"/>
                            </w:rPr>
                            <w:t>2</w:t>
                          </w:r>
                        </w:hyperlink>
                        <w:r>
                          <w:rPr>
                            <w:spacing w:val="-3"/>
                            <w:sz w:val="21"/>
                          </w:rPr>
                          <w:t>，我们不承担保险责</w:t>
                        </w:r>
                      </w:p>
                    </w:tc>
                  </w:tr>
                  <w:tr>
                    <w:trPr>
                      <w:trHeight w:val="228" w:hRule="atLeast"/>
                    </w:trPr>
                    <w:tc>
                      <w:tcPr>
                        <w:tcW w:w="6694" w:type="dxa"/>
                        <w:tcBorders>
                          <w:top w:val="nil"/>
                          <w:bottom w:val="nil"/>
                        </w:tcBorders>
                        <w:shd w:val="clear" w:color="auto" w:fill="DADADA"/>
                      </w:tcPr>
                      <w:p>
                        <w:pPr>
                          <w:pStyle w:val="TableParagraph"/>
                          <w:spacing w:line="240" w:lineRule="exact"/>
                          <w:ind w:left="1" w:right="1"/>
                          <w:jc w:val="center"/>
                          <w:rPr>
                            <w:sz w:val="21"/>
                          </w:rPr>
                        </w:pPr>
                        <w:r>
                          <w:rPr>
                            <w:spacing w:val="-6"/>
                            <w:sz w:val="21"/>
                          </w:rPr>
                          <w:t>任，退还本附加险合同的现金价值，本附加险合同终止；主险合同同时终</w:t>
                        </w:r>
                      </w:p>
                    </w:tc>
                  </w:tr>
                  <w:tr>
                    <w:trPr>
                      <w:trHeight w:val="232" w:hRule="atLeast"/>
                    </w:trPr>
                    <w:tc>
                      <w:tcPr>
                        <w:tcW w:w="6694" w:type="dxa"/>
                        <w:tcBorders>
                          <w:top w:val="nil"/>
                        </w:tcBorders>
                        <w:shd w:val="clear" w:color="auto" w:fill="DADADA"/>
                      </w:tcPr>
                      <w:p>
                        <w:pPr>
                          <w:pStyle w:val="TableParagraph"/>
                          <w:spacing w:line="240" w:lineRule="exact"/>
                          <w:ind w:left="1" w:right="1"/>
                          <w:jc w:val="center"/>
                          <w:rPr>
                            <w:sz w:val="21"/>
                          </w:rPr>
                        </w:pPr>
                        <w:r>
                          <w:rPr>
                            <w:spacing w:val="-3"/>
                            <w:sz w:val="21"/>
                          </w:rPr>
                          <w:t>止，我们退还主险合同的现金价值。这 </w:t>
                        </w:r>
                        <w:r>
                          <w:rPr>
                            <w:sz w:val="21"/>
                          </w:rPr>
                          <w:t>90</w:t>
                        </w:r>
                        <w:r>
                          <w:rPr>
                            <w:spacing w:val="-3"/>
                            <w:sz w:val="21"/>
                          </w:rPr>
                          <w:t> 日的时间称为等待期；被保险</w:t>
                        </w:r>
                      </w:p>
                    </w:tc>
                  </w:tr>
                </w:tbl>
                <w:p>
                  <w:pPr>
                    <w:pStyle w:val="BodyText"/>
                  </w:pPr>
                </w:p>
              </w:txbxContent>
            </v:textbox>
            <w10:wrap type="none"/>
          </v:shape>
        </w:pict>
      </w:r>
      <w:r>
        <w:rPr/>
        <w:t>等待期</w:t>
      </w:r>
    </w:p>
    <w:p>
      <w:pPr>
        <w:pStyle w:val="BodyText"/>
        <w:rPr>
          <w:rFonts w:ascii="等线"/>
          <w:b/>
          <w:sz w:val="24"/>
        </w:rPr>
      </w:pPr>
    </w:p>
    <w:p>
      <w:pPr>
        <w:pStyle w:val="BodyText"/>
        <w:rPr>
          <w:rFonts w:ascii="等线"/>
          <w:b/>
          <w:sz w:val="24"/>
        </w:rPr>
      </w:pPr>
    </w:p>
    <w:p>
      <w:pPr>
        <w:pStyle w:val="BodyText"/>
        <w:spacing w:before="1"/>
        <w:rPr>
          <w:rFonts w:ascii="等线"/>
          <w:b/>
          <w:sz w:val="22"/>
        </w:rPr>
      </w:pPr>
    </w:p>
    <w:p>
      <w:pPr>
        <w:spacing w:before="0"/>
        <w:ind w:left="3392" w:right="0" w:firstLine="0"/>
        <w:jc w:val="left"/>
        <w:rPr>
          <w:sz w:val="21"/>
        </w:rPr>
      </w:pPr>
      <w:r>
        <w:rPr>
          <w:sz w:val="21"/>
        </w:rPr>
        <w:t>人因</w:t>
      </w:r>
      <w:r>
        <w:rPr>
          <w:rFonts w:ascii="黑体" w:eastAsia="黑体" w:hint="eastAsia"/>
          <w:b/>
          <w:sz w:val="21"/>
        </w:rPr>
        <w:t>意外伤害 </w:t>
      </w:r>
      <w:hyperlink w:history="true" w:anchor="_bookmark2">
        <w:r>
          <w:rPr>
            <w:rFonts w:ascii="黑体" w:eastAsia="黑体" w:hint="eastAsia"/>
            <w:b/>
            <w:position w:val="11"/>
            <w:sz w:val="11"/>
          </w:rPr>
          <w:t>3</w:t>
        </w:r>
      </w:hyperlink>
      <w:r>
        <w:rPr>
          <w:sz w:val="21"/>
        </w:rPr>
        <w:t>发生上述情形的，无等待期。</w:t>
      </w:r>
    </w:p>
    <w:p>
      <w:pPr>
        <w:pStyle w:val="BodyText"/>
        <w:spacing w:before="36"/>
        <w:ind w:left="3392"/>
      </w:pPr>
      <w:r>
        <w:rPr/>
        <w:t>如果在等待期后发生保险事故，我们按照下列方式给付保险金：</w:t>
      </w:r>
    </w:p>
    <w:p>
      <w:pPr>
        <w:pStyle w:val="BodyText"/>
        <w:spacing w:before="11"/>
        <w:rPr>
          <w:sz w:val="25"/>
        </w:rPr>
      </w:pPr>
    </w:p>
    <w:p>
      <w:pPr>
        <w:spacing w:line="264" w:lineRule="auto" w:before="0"/>
        <w:ind w:left="3392" w:right="213" w:hanging="2247"/>
        <w:jc w:val="both"/>
        <w:rPr>
          <w:sz w:val="21"/>
        </w:rPr>
      </w:pPr>
      <w:r>
        <w:rPr>
          <w:rFonts w:ascii="等线" w:hAnsi="等线" w:eastAsia="等线" w:hint="eastAsia"/>
          <w:b/>
          <w:spacing w:val="-2"/>
          <w:position w:val="1"/>
          <w:sz w:val="24"/>
        </w:rPr>
        <w:t>重大疾病保险金         </w:t>
      </w:r>
      <w:r>
        <w:rPr>
          <w:spacing w:val="-4"/>
          <w:w w:val="100"/>
          <w:sz w:val="21"/>
        </w:rPr>
        <w:t>被保险人经医院确诊初次发生本附加险合同约定的“重大疾病”，我们按</w:t>
      </w:r>
      <w:r>
        <w:rPr>
          <w:spacing w:val="-3"/>
          <w:sz w:val="21"/>
        </w:rPr>
        <w:t>照本附加险合同的</w:t>
      </w:r>
      <w:r>
        <w:rPr>
          <w:rFonts w:ascii="黑体" w:hAnsi="黑体" w:eastAsia="黑体" w:hint="eastAsia"/>
          <w:b/>
          <w:spacing w:val="5"/>
          <w:sz w:val="21"/>
        </w:rPr>
        <w:t>基本保险金额 </w:t>
      </w:r>
      <w:hyperlink w:history="true" w:anchor="_bookmark3">
        <w:r>
          <w:rPr>
            <w:rFonts w:ascii="黑体" w:hAnsi="黑体" w:eastAsia="黑体" w:hint="eastAsia"/>
            <w:b/>
            <w:position w:val="11"/>
            <w:sz w:val="11"/>
          </w:rPr>
          <w:t>4</w:t>
        </w:r>
      </w:hyperlink>
      <w:r>
        <w:rPr>
          <w:spacing w:val="-3"/>
          <w:sz w:val="21"/>
        </w:rPr>
        <w:t>给付重大疾病保险金。我们给付重大疾病保险金后，本附加险合同终止，主险合同同时终止。</w:t>
      </w:r>
    </w:p>
    <w:p>
      <w:pPr>
        <w:pStyle w:val="BodyText"/>
        <w:spacing w:before="3"/>
        <w:rPr>
          <w:sz w:val="27"/>
        </w:rPr>
      </w:pPr>
    </w:p>
    <w:p>
      <w:pPr>
        <w:pStyle w:val="BodyText"/>
        <w:ind w:left="3392"/>
      </w:pPr>
      <w:r>
        <w:rPr/>
        <w:t>重大疾病保险金给付以一次为限。</w:t>
      </w:r>
    </w:p>
    <w:p>
      <w:pPr>
        <w:pStyle w:val="BodyText"/>
        <w:spacing w:before="7"/>
        <w:rPr>
          <w:sz w:val="24"/>
        </w:rPr>
      </w:pPr>
    </w:p>
    <w:p>
      <w:pPr>
        <w:spacing w:after="0"/>
        <w:rPr>
          <w:sz w:val="24"/>
        </w:rPr>
        <w:sectPr>
          <w:pgSz w:w="11910" w:h="16840"/>
          <w:pgMar w:top="860" w:bottom="280" w:left="800" w:right="800"/>
        </w:sectPr>
      </w:pPr>
    </w:p>
    <w:p>
      <w:pPr>
        <w:pStyle w:val="Heading2"/>
        <w:spacing w:line="232" w:lineRule="auto" w:before="30"/>
        <w:ind w:left="1146"/>
      </w:pPr>
      <w:r>
        <w:rPr/>
        <w:t>我们所保障的重大疾病</w:t>
      </w:r>
    </w:p>
    <w:p>
      <w:pPr>
        <w:pStyle w:val="BodyText"/>
        <w:spacing w:line="273" w:lineRule="auto" w:before="56"/>
        <w:ind w:left="176" w:right="217"/>
      </w:pPr>
      <w:r>
        <w:rPr/>
        <w:br w:type="column"/>
      </w:r>
      <w:r>
        <w:rPr>
          <w:spacing w:val="-6"/>
        </w:rPr>
        <w:t>我们提供保障的重大疾病共有 </w:t>
      </w:r>
      <w:r>
        <w:rPr/>
        <w:t>45</w:t>
      </w:r>
      <w:r>
        <w:rPr>
          <w:spacing w:val="-14"/>
        </w:rPr>
        <w:t> 种，名称如下，具体释义见</w:t>
      </w:r>
      <w:r>
        <w:rPr/>
        <w:t>“7</w:t>
      </w:r>
      <w:r>
        <w:rPr>
          <w:spacing w:val="-11"/>
        </w:rPr>
        <w:t> 重大疾病</w:t>
      </w:r>
      <w:r>
        <w:rPr>
          <w:spacing w:val="-27"/>
        </w:rPr>
        <w:t>释义”。</w:t>
      </w:r>
    </w:p>
    <w:p>
      <w:pPr>
        <w:spacing w:after="0" w:line="273" w:lineRule="auto"/>
        <w:sectPr>
          <w:type w:val="continuous"/>
          <w:pgSz w:w="11910" w:h="16840"/>
          <w:pgMar w:top="440" w:bottom="280" w:left="800" w:right="800"/>
          <w:cols w:num="2" w:equalWidth="0">
            <w:col w:w="3177" w:space="40"/>
            <w:col w:w="7093"/>
          </w:cols>
        </w:sectPr>
      </w:pPr>
    </w:p>
    <w:tbl>
      <w:tblPr>
        <w:tblW w:w="0" w:type="auto"/>
        <w:jc w:val="left"/>
        <w:tblInd w:w="3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84"/>
      </w:tblGrid>
      <w:tr>
        <w:trPr>
          <w:trHeight w:val="328" w:hRule="atLeast"/>
        </w:trPr>
        <w:tc>
          <w:tcPr>
            <w:tcW w:w="6684" w:type="dxa"/>
          </w:tcPr>
          <w:p>
            <w:pPr>
              <w:pStyle w:val="TableParagraph"/>
              <w:spacing w:line="272" w:lineRule="exact"/>
              <w:ind w:left="107"/>
              <w:rPr>
                <w:b/>
                <w:sz w:val="21"/>
              </w:rPr>
            </w:pPr>
            <w:r>
              <w:rPr>
                <w:b/>
                <w:sz w:val="21"/>
              </w:rPr>
              <w:t>第 1 类：与恶性肿瘤相关的疾病</w:t>
            </w:r>
          </w:p>
        </w:tc>
      </w:tr>
      <w:tr>
        <w:trPr>
          <w:trHeight w:val="467" w:hRule="atLeast"/>
        </w:trPr>
        <w:tc>
          <w:tcPr>
            <w:tcW w:w="6684" w:type="dxa"/>
          </w:tcPr>
          <w:p>
            <w:pPr>
              <w:pStyle w:val="TableParagraph"/>
              <w:tabs>
                <w:tab w:pos="2819" w:val="left" w:leader="none"/>
              </w:tabs>
              <w:spacing w:before="64"/>
              <w:ind w:left="107"/>
              <w:rPr>
                <w:sz w:val="21"/>
              </w:rPr>
            </w:pPr>
            <w:r>
              <w:rPr>
                <w:sz w:val="21"/>
              </w:rPr>
              <w:t>1、</w:t>
            </w:r>
            <w:r>
              <w:rPr>
                <w:spacing w:val="-3"/>
                <w:sz w:val="21"/>
              </w:rPr>
              <w:t>恶</w:t>
            </w:r>
            <w:r>
              <w:rPr>
                <w:sz w:val="21"/>
              </w:rPr>
              <w:t>性</w:t>
            </w:r>
            <w:r>
              <w:rPr>
                <w:spacing w:val="-3"/>
                <w:sz w:val="21"/>
              </w:rPr>
              <w:t>肿</w:t>
            </w:r>
            <w:r>
              <w:rPr>
                <w:sz w:val="21"/>
              </w:rPr>
              <w:t>瘤</w:t>
              <w:tab/>
              <w:t>2、</w:t>
            </w:r>
            <w:r>
              <w:rPr>
                <w:spacing w:val="-3"/>
                <w:sz w:val="21"/>
              </w:rPr>
              <w:t>侵</w:t>
            </w:r>
            <w:r>
              <w:rPr>
                <w:sz w:val="21"/>
              </w:rPr>
              <w:t>蚀</w:t>
            </w:r>
            <w:r>
              <w:rPr>
                <w:spacing w:val="-3"/>
                <w:sz w:val="21"/>
              </w:rPr>
              <w:t>性</w:t>
            </w:r>
            <w:r>
              <w:rPr>
                <w:sz w:val="21"/>
              </w:rPr>
              <w:t>葡</w:t>
            </w:r>
            <w:r>
              <w:rPr>
                <w:spacing w:val="-3"/>
                <w:sz w:val="21"/>
              </w:rPr>
              <w:t>萄</w:t>
            </w:r>
            <w:r>
              <w:rPr>
                <w:sz w:val="21"/>
              </w:rPr>
              <w:t>胎</w:t>
            </w:r>
            <w:r>
              <w:rPr>
                <w:spacing w:val="-3"/>
                <w:sz w:val="21"/>
              </w:rPr>
              <w:t>（</w:t>
            </w:r>
            <w:r>
              <w:rPr>
                <w:sz w:val="21"/>
              </w:rPr>
              <w:t>或</w:t>
            </w:r>
            <w:r>
              <w:rPr>
                <w:spacing w:val="-3"/>
                <w:sz w:val="21"/>
              </w:rPr>
              <w:t>称恶</w:t>
            </w:r>
            <w:r>
              <w:rPr>
                <w:sz w:val="21"/>
              </w:rPr>
              <w:t>性葡</w:t>
            </w:r>
            <w:r>
              <w:rPr>
                <w:spacing w:val="-3"/>
                <w:sz w:val="21"/>
              </w:rPr>
              <w:t>萄</w:t>
            </w:r>
            <w:r>
              <w:rPr>
                <w:sz w:val="21"/>
              </w:rPr>
              <w:t>胎）</w:t>
            </w:r>
          </w:p>
        </w:tc>
      </w:tr>
      <w:tr>
        <w:trPr>
          <w:trHeight w:val="330" w:hRule="atLeast"/>
        </w:trPr>
        <w:tc>
          <w:tcPr>
            <w:tcW w:w="6684" w:type="dxa"/>
          </w:tcPr>
          <w:p>
            <w:pPr>
              <w:pStyle w:val="TableParagraph"/>
              <w:spacing w:line="272" w:lineRule="exact"/>
              <w:ind w:left="107"/>
              <w:rPr>
                <w:b/>
                <w:sz w:val="21"/>
              </w:rPr>
            </w:pPr>
            <w:r>
              <w:rPr>
                <w:b/>
                <w:sz w:val="21"/>
              </w:rPr>
              <w:t>第 2 类：与心脏或脑血管相关的疾病</w:t>
            </w:r>
          </w:p>
        </w:tc>
      </w:tr>
      <w:tr>
        <w:trPr>
          <w:trHeight w:val="613" w:hRule="atLeast"/>
        </w:trPr>
        <w:tc>
          <w:tcPr>
            <w:tcW w:w="6684" w:type="dxa"/>
          </w:tcPr>
          <w:p>
            <w:pPr>
              <w:pStyle w:val="TableParagraph"/>
              <w:tabs>
                <w:tab w:pos="2819" w:val="left" w:leader="none"/>
              </w:tabs>
              <w:spacing w:line="262" w:lineRule="exact"/>
              <w:ind w:left="107"/>
              <w:rPr>
                <w:sz w:val="21"/>
              </w:rPr>
            </w:pPr>
            <w:r>
              <w:rPr>
                <w:sz w:val="21"/>
              </w:rPr>
              <w:t>3、</w:t>
            </w:r>
            <w:r>
              <w:rPr>
                <w:spacing w:val="-3"/>
                <w:sz w:val="21"/>
              </w:rPr>
              <w:t>急</w:t>
            </w:r>
            <w:r>
              <w:rPr>
                <w:sz w:val="21"/>
              </w:rPr>
              <w:t>性</w:t>
            </w:r>
            <w:r>
              <w:rPr>
                <w:spacing w:val="-3"/>
                <w:sz w:val="21"/>
              </w:rPr>
              <w:t>心</w:t>
            </w:r>
            <w:r>
              <w:rPr>
                <w:sz w:val="21"/>
              </w:rPr>
              <w:t>肌</w:t>
            </w:r>
            <w:r>
              <w:rPr>
                <w:spacing w:val="-3"/>
                <w:sz w:val="21"/>
              </w:rPr>
              <w:t>梗</w:t>
            </w:r>
            <w:r>
              <w:rPr>
                <w:sz w:val="21"/>
              </w:rPr>
              <w:t>塞</w:t>
              <w:tab/>
              <w:t>4、</w:t>
            </w:r>
            <w:r>
              <w:rPr>
                <w:spacing w:val="-3"/>
                <w:sz w:val="21"/>
              </w:rPr>
              <w:t>严</w:t>
            </w:r>
            <w:r>
              <w:rPr>
                <w:sz w:val="21"/>
              </w:rPr>
              <w:t>重</w:t>
            </w:r>
            <w:r>
              <w:rPr>
                <w:spacing w:val="-3"/>
                <w:sz w:val="21"/>
              </w:rPr>
              <w:t>原</w:t>
            </w:r>
            <w:r>
              <w:rPr>
                <w:sz w:val="21"/>
              </w:rPr>
              <w:t>发</w:t>
            </w:r>
            <w:r>
              <w:rPr>
                <w:spacing w:val="-3"/>
                <w:sz w:val="21"/>
              </w:rPr>
              <w:t>性</w:t>
            </w:r>
            <w:r>
              <w:rPr>
                <w:sz w:val="21"/>
              </w:rPr>
              <w:t>肺</w:t>
            </w:r>
            <w:r>
              <w:rPr>
                <w:spacing w:val="-3"/>
                <w:sz w:val="21"/>
              </w:rPr>
              <w:t>动</w:t>
            </w:r>
            <w:r>
              <w:rPr>
                <w:sz w:val="21"/>
              </w:rPr>
              <w:t>脉</w:t>
            </w:r>
            <w:r>
              <w:rPr>
                <w:spacing w:val="-3"/>
                <w:sz w:val="21"/>
              </w:rPr>
              <w:t>高压</w:t>
            </w:r>
          </w:p>
          <w:p>
            <w:pPr>
              <w:pStyle w:val="TableParagraph"/>
              <w:tabs>
                <w:tab w:pos="2819" w:val="left" w:leader="none"/>
              </w:tabs>
              <w:spacing w:before="37"/>
              <w:ind w:left="107"/>
              <w:rPr>
                <w:sz w:val="21"/>
              </w:rPr>
            </w:pPr>
            <w:r>
              <w:rPr>
                <w:sz w:val="21"/>
              </w:rPr>
              <w:t>5、</w:t>
            </w:r>
            <w:r>
              <w:rPr>
                <w:spacing w:val="-3"/>
                <w:sz w:val="21"/>
              </w:rPr>
              <w:t>心</w:t>
            </w:r>
            <w:r>
              <w:rPr>
                <w:sz w:val="21"/>
              </w:rPr>
              <w:t>脏</w:t>
            </w:r>
            <w:r>
              <w:rPr>
                <w:spacing w:val="-3"/>
                <w:sz w:val="21"/>
              </w:rPr>
              <w:t>瓣</w:t>
            </w:r>
            <w:r>
              <w:rPr>
                <w:sz w:val="21"/>
              </w:rPr>
              <w:t>膜</w:t>
            </w:r>
            <w:r>
              <w:rPr>
                <w:spacing w:val="-3"/>
                <w:sz w:val="21"/>
              </w:rPr>
              <w:t>手</w:t>
            </w:r>
            <w:r>
              <w:rPr>
                <w:sz w:val="21"/>
              </w:rPr>
              <w:t>术</w:t>
              <w:tab/>
              <w:t>6、</w:t>
            </w:r>
            <w:r>
              <w:rPr>
                <w:spacing w:val="-3"/>
                <w:sz w:val="21"/>
              </w:rPr>
              <w:t>严</w:t>
            </w:r>
            <w:r>
              <w:rPr>
                <w:sz w:val="21"/>
              </w:rPr>
              <w:t>重</w:t>
            </w:r>
            <w:r>
              <w:rPr>
                <w:spacing w:val="-3"/>
                <w:sz w:val="21"/>
              </w:rPr>
              <w:t>的</w:t>
            </w:r>
            <w:r>
              <w:rPr>
                <w:sz w:val="21"/>
              </w:rPr>
              <w:t>原</w:t>
            </w:r>
            <w:r>
              <w:rPr>
                <w:spacing w:val="-3"/>
                <w:sz w:val="21"/>
              </w:rPr>
              <w:t>发</w:t>
            </w:r>
            <w:r>
              <w:rPr>
                <w:sz w:val="21"/>
              </w:rPr>
              <w:t>性</w:t>
            </w:r>
            <w:r>
              <w:rPr>
                <w:spacing w:val="-3"/>
                <w:sz w:val="21"/>
              </w:rPr>
              <w:t>心</w:t>
            </w:r>
            <w:r>
              <w:rPr>
                <w:sz w:val="21"/>
              </w:rPr>
              <w:t>肌病</w:t>
            </w:r>
          </w:p>
        </w:tc>
      </w:tr>
    </w:tbl>
    <w:p>
      <w:pPr>
        <w:pStyle w:val="BodyText"/>
        <w:spacing w:before="3"/>
        <w:rPr>
          <w:sz w:val="23"/>
        </w:rPr>
      </w:pPr>
      <w:r>
        <w:rPr/>
        <w:pict>
          <v:line style="position:absolute;mso-position-horizontal-relative:page;mso-position-vertical-relative:paragraph;z-index:1168;mso-wrap-distance-left:0;mso-wrap-distance-right:0" from="51pt,17.429432pt" to="195pt,17.429432pt" stroked="true" strokeweight=".48pt" strokecolor="#000000">
            <v:stroke dashstyle="solid"/>
            <w10:wrap type="topAndBottom"/>
          </v:line>
        </w:pict>
      </w:r>
    </w:p>
    <w:p>
      <w:pPr>
        <w:spacing w:line="268" w:lineRule="auto" w:before="25"/>
        <w:ind w:left="364" w:right="83" w:hanging="144"/>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但不包括精神病院及专供康复、休养、戒毒、戒酒、护理、养老等非以直接诊治病人为目的的医疗机构。</w:t>
      </w:r>
      <w:r>
        <w:rPr>
          <w:sz w:val="18"/>
        </w:rPr>
        <w:t>该医院必须具有符合国家有关医院管理规则设置标准的医疗设备， 且全天二十四小时有合格医师及护士驻院提供医疗及护理服务。</w:t>
      </w:r>
    </w:p>
    <w:p>
      <w:pPr>
        <w:spacing w:line="278" w:lineRule="exact" w:before="11"/>
        <w:ind w:left="400" w:right="217" w:hanging="181"/>
        <w:jc w:val="left"/>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pacing w:val="-3"/>
          <w:sz w:val="18"/>
        </w:rPr>
        <w:t>指被保险人初次发生符合“</w:t>
      </w:r>
      <w:r>
        <w:rPr>
          <w:sz w:val="18"/>
        </w:rPr>
        <w:t>7</w:t>
      </w:r>
      <w:r>
        <w:rPr>
          <w:spacing w:val="-10"/>
          <w:sz w:val="18"/>
        </w:rPr>
        <w:t> 重大疾病释义”定义的疾病，或初次接受符合</w:t>
      </w:r>
      <w:r>
        <w:rPr>
          <w:sz w:val="18"/>
        </w:rPr>
        <w:t>“7</w:t>
      </w:r>
      <w:r>
        <w:rPr>
          <w:spacing w:val="-9"/>
          <w:sz w:val="18"/>
        </w:rPr>
        <w:t> 重大疾病释义”定义的手术。该疾病</w:t>
      </w:r>
      <w:r>
        <w:rPr>
          <w:spacing w:val="-13"/>
          <w:sz w:val="18"/>
        </w:rPr>
        <w:t>或手术应当由专科医生明确诊断。专科医生应当同时满足以下四项资格条件：</w:t>
      </w:r>
      <w:r>
        <w:rPr>
          <w:sz w:val="18"/>
        </w:rPr>
        <w:t>（</w:t>
      </w:r>
      <w:r>
        <w:rPr>
          <w:spacing w:val="-2"/>
          <w:sz w:val="18"/>
        </w:rPr>
        <w:t>1</w:t>
      </w:r>
      <w:r>
        <w:rPr>
          <w:spacing w:val="-10"/>
          <w:sz w:val="18"/>
        </w:rPr>
        <w:t>）</w:t>
      </w:r>
      <w:r>
        <w:rPr>
          <w:spacing w:val="-1"/>
          <w:sz w:val="18"/>
        </w:rPr>
        <w:t>具有有效的中华人民共和国《医师资格证</w:t>
      </w:r>
    </w:p>
    <w:p>
      <w:pPr>
        <w:spacing w:line="285" w:lineRule="auto" w:before="14"/>
        <w:ind w:left="400" w:right="222" w:firstLine="0"/>
        <w:jc w:val="left"/>
        <w:rPr>
          <w:sz w:val="18"/>
        </w:rPr>
      </w:pPr>
      <w:r>
        <w:rPr>
          <w:spacing w:val="-63"/>
          <w:sz w:val="18"/>
        </w:rPr>
        <w:t>书》；</w:t>
      </w:r>
      <w:r>
        <w:rPr>
          <w:spacing w:val="1"/>
          <w:sz w:val="18"/>
        </w:rPr>
        <w:t>（</w:t>
      </w:r>
      <w:r>
        <w:rPr>
          <w:spacing w:val="-2"/>
          <w:sz w:val="18"/>
        </w:rPr>
        <w:t>2</w:t>
      </w:r>
      <w:r>
        <w:rPr>
          <w:spacing w:val="-8"/>
          <w:sz w:val="18"/>
        </w:rPr>
        <w:t>）</w:t>
      </w:r>
      <w:r>
        <w:rPr>
          <w:spacing w:val="-10"/>
          <w:sz w:val="18"/>
        </w:rPr>
        <w:t>具有有效的中华人民共和国《医师执业证书》，并按期到相关部门登记注册；</w:t>
      </w:r>
      <w:r>
        <w:rPr>
          <w:spacing w:val="1"/>
          <w:sz w:val="18"/>
        </w:rPr>
        <w:t>（</w:t>
      </w:r>
      <w:r>
        <w:rPr>
          <w:spacing w:val="-2"/>
          <w:sz w:val="18"/>
        </w:rPr>
        <w:t>3</w:t>
      </w:r>
      <w:r>
        <w:rPr>
          <w:spacing w:val="-8"/>
          <w:sz w:val="18"/>
        </w:rPr>
        <w:t>）</w:t>
      </w:r>
      <w:r>
        <w:rPr>
          <w:sz w:val="18"/>
        </w:rPr>
        <w:t>具有有效的中华人民共和国主治</w:t>
      </w:r>
      <w:r>
        <w:rPr>
          <w:spacing w:val="-10"/>
          <w:sz w:val="18"/>
        </w:rPr>
        <w:t>医师或主治医师以上职称的《医师职称证书》；</w:t>
      </w:r>
      <w:r>
        <w:rPr>
          <w:spacing w:val="1"/>
          <w:sz w:val="18"/>
        </w:rPr>
        <w:t>（</w:t>
      </w:r>
      <w:r>
        <w:rPr>
          <w:spacing w:val="-2"/>
          <w:sz w:val="18"/>
        </w:rPr>
        <w:t>4</w:t>
      </w:r>
      <w:r>
        <w:rPr>
          <w:sz w:val="18"/>
        </w:rPr>
        <w:t>）在二级或二级以上医院的相应科室从事临床工作三年以上。</w:t>
      </w:r>
    </w:p>
    <w:p>
      <w:pPr>
        <w:spacing w:line="248" w:lineRule="exact" w:before="0"/>
        <w:ind w:left="220" w:right="0" w:firstLine="0"/>
        <w:jc w:val="left"/>
        <w:rPr>
          <w:sz w:val="18"/>
        </w:rPr>
      </w:pPr>
      <w:bookmarkStart w:name="_bookmark2" w:id="3"/>
      <w:bookmarkEnd w:id="3"/>
      <w:r>
        <w:rPr/>
      </w:r>
      <w:r>
        <w:rPr>
          <w:rFonts w:ascii="Microsoft JhengHei" w:eastAsia="Microsoft JhengHei" w:hint="eastAsia"/>
          <w:b/>
          <w:position w:val="9"/>
          <w:sz w:val="9"/>
        </w:rPr>
        <w:t>3 </w:t>
      </w:r>
      <w:r>
        <w:rPr>
          <w:rFonts w:ascii="Microsoft JhengHei" w:eastAsia="Microsoft JhengHei" w:hint="eastAsia"/>
          <w:b/>
          <w:sz w:val="18"/>
        </w:rPr>
        <w:t>意外伤害</w:t>
      </w:r>
      <w:r>
        <w:rPr>
          <w:sz w:val="18"/>
        </w:rPr>
        <w:t>指遭受外来的、突发的、非本意的、非疾病的使身体受到伤害的客观事件。</w:t>
      </w:r>
    </w:p>
    <w:p>
      <w:pPr>
        <w:spacing w:line="280" w:lineRule="exact" w:before="27"/>
        <w:ind w:left="400" w:right="222" w:hanging="180"/>
        <w:jc w:val="left"/>
        <w:rPr>
          <w:sz w:val="18"/>
        </w:rPr>
      </w:pPr>
      <w:bookmarkStart w:name="_bookmark3" w:id="4"/>
      <w:bookmarkEnd w:id="4"/>
      <w:r>
        <w:rPr/>
      </w:r>
      <w:r>
        <w:rPr>
          <w:rFonts w:ascii="Microsoft JhengHei" w:eastAsia="Microsoft JhengHei" w:hint="eastAsia"/>
          <w:b/>
          <w:position w:val="9"/>
          <w:sz w:val="9"/>
        </w:rPr>
        <w:t>4 </w:t>
      </w:r>
      <w:r>
        <w:rPr>
          <w:rFonts w:ascii="Microsoft JhengHei" w:eastAsia="Microsoft JhengHei" w:hint="eastAsia"/>
          <w:b/>
          <w:sz w:val="18"/>
        </w:rPr>
        <w:t>基本保险金额</w:t>
      </w:r>
      <w:r>
        <w:rPr>
          <w:sz w:val="18"/>
        </w:rPr>
        <w:t>指投保时您购买的金额，会在投保书以及保险单上载明。若该金额发生变更，则以变更后的金额为基本保险金额。</w:t>
      </w:r>
    </w:p>
    <w:p>
      <w:pPr>
        <w:spacing w:after="0" w:line="280" w:lineRule="exact"/>
        <w:jc w:val="left"/>
        <w:rPr>
          <w:sz w:val="18"/>
        </w:rPr>
        <w:sectPr>
          <w:type w:val="continuous"/>
          <w:pgSz w:w="11910" w:h="16840"/>
          <w:pgMar w:top="440" w:bottom="280" w:left="800" w:right="800"/>
        </w:sectPr>
      </w:pPr>
    </w:p>
    <w:tbl>
      <w:tblPr>
        <w:tblW w:w="0" w:type="auto"/>
        <w:jc w:val="left"/>
        <w:tblInd w:w="3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1"/>
        <w:gridCol w:w="4063"/>
      </w:tblGrid>
      <w:tr>
        <w:trPr>
          <w:trHeight w:val="937" w:hRule="atLeast"/>
        </w:trPr>
        <w:tc>
          <w:tcPr>
            <w:tcW w:w="2621" w:type="dxa"/>
            <w:tcBorders>
              <w:top w:val="single" w:sz="4" w:space="0" w:color="000000"/>
              <w:left w:val="single" w:sz="4" w:space="0" w:color="000000"/>
              <w:bottom w:val="single" w:sz="4" w:space="0" w:color="000000"/>
            </w:tcBorders>
          </w:tcPr>
          <w:p>
            <w:pPr>
              <w:pStyle w:val="TableParagraph"/>
              <w:spacing w:line="259" w:lineRule="exact"/>
              <w:ind w:left="107"/>
              <w:rPr>
                <w:sz w:val="21"/>
              </w:rPr>
            </w:pPr>
            <w:r>
              <w:rPr>
                <w:sz w:val="21"/>
              </w:rPr>
              <w:t>7、脑中风后遗症</w:t>
            </w:r>
          </w:p>
          <w:p>
            <w:pPr>
              <w:pStyle w:val="TableParagraph"/>
              <w:spacing w:before="37"/>
              <w:ind w:left="107"/>
              <w:rPr>
                <w:sz w:val="21"/>
              </w:rPr>
            </w:pPr>
            <w:r>
              <w:rPr>
                <w:sz w:val="21"/>
              </w:rPr>
              <w:t>9、主动脉手术</w:t>
            </w:r>
          </w:p>
          <w:p>
            <w:pPr>
              <w:pStyle w:val="TableParagraph"/>
              <w:spacing w:before="37"/>
              <w:ind w:left="107"/>
              <w:rPr>
                <w:sz w:val="21"/>
              </w:rPr>
            </w:pPr>
            <w:r>
              <w:rPr>
                <w:sz w:val="21"/>
              </w:rPr>
              <w:t>10、严重感染性心内膜炎</w:t>
            </w:r>
          </w:p>
        </w:tc>
        <w:tc>
          <w:tcPr>
            <w:tcW w:w="4063" w:type="dxa"/>
            <w:tcBorders>
              <w:top w:val="single" w:sz="4" w:space="0" w:color="000000"/>
              <w:bottom w:val="single" w:sz="4" w:space="0" w:color="000000"/>
              <w:right w:val="single" w:sz="4" w:space="0" w:color="000000"/>
            </w:tcBorders>
          </w:tcPr>
          <w:p>
            <w:pPr>
              <w:pStyle w:val="TableParagraph"/>
              <w:spacing w:line="259" w:lineRule="exact"/>
              <w:ind w:left="203"/>
              <w:rPr>
                <w:sz w:val="21"/>
              </w:rPr>
            </w:pPr>
            <w:r>
              <w:rPr>
                <w:sz w:val="21"/>
              </w:rPr>
              <w:t>8、冠状动脉搭桥术（或称冠状动脉旁路</w:t>
            </w:r>
          </w:p>
          <w:p>
            <w:pPr>
              <w:pStyle w:val="TableParagraph"/>
              <w:spacing w:before="37"/>
              <w:ind w:left="518"/>
              <w:rPr>
                <w:sz w:val="21"/>
              </w:rPr>
            </w:pPr>
            <w:r>
              <w:rPr>
                <w:sz w:val="21"/>
              </w:rPr>
              <w:t>移植术）</w:t>
            </w:r>
          </w:p>
        </w:tc>
      </w:tr>
      <w:tr>
        <w:trPr>
          <w:trHeight w:val="328" w:hRule="atLeast"/>
        </w:trPr>
        <w:tc>
          <w:tcPr>
            <w:tcW w:w="6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7"/>
              <w:rPr>
                <w:b/>
                <w:sz w:val="21"/>
              </w:rPr>
            </w:pPr>
            <w:r>
              <w:rPr>
                <w:b/>
                <w:sz w:val="21"/>
              </w:rPr>
              <w:t>第 3 类：与器官功能严重受损相关的疾病</w:t>
            </w:r>
          </w:p>
        </w:tc>
      </w:tr>
      <w:tr>
        <w:trPr>
          <w:trHeight w:val="312" w:hRule="atLeast"/>
        </w:trPr>
        <w:tc>
          <w:tcPr>
            <w:tcW w:w="2621" w:type="dxa"/>
            <w:tcBorders>
              <w:top w:val="single" w:sz="4" w:space="0" w:color="000000"/>
              <w:left w:val="single" w:sz="4" w:space="0" w:color="000000"/>
            </w:tcBorders>
          </w:tcPr>
          <w:p>
            <w:pPr>
              <w:pStyle w:val="TableParagraph"/>
              <w:spacing w:line="257" w:lineRule="exact"/>
              <w:ind w:left="107"/>
              <w:rPr>
                <w:sz w:val="21"/>
              </w:rPr>
            </w:pPr>
            <w:r>
              <w:rPr>
                <w:sz w:val="21"/>
              </w:rPr>
              <w:t>11、重型再生障碍性贫血</w:t>
            </w:r>
          </w:p>
        </w:tc>
        <w:tc>
          <w:tcPr>
            <w:tcW w:w="4063" w:type="dxa"/>
            <w:tcBorders>
              <w:top w:val="single" w:sz="4" w:space="0" w:color="000000"/>
              <w:right w:val="single" w:sz="4" w:space="0" w:color="000000"/>
            </w:tcBorders>
          </w:tcPr>
          <w:p>
            <w:pPr>
              <w:pStyle w:val="TableParagraph"/>
              <w:spacing w:line="257" w:lineRule="exact"/>
              <w:ind w:left="203"/>
              <w:rPr>
                <w:sz w:val="21"/>
              </w:rPr>
            </w:pPr>
            <w:r>
              <w:rPr>
                <w:sz w:val="21"/>
              </w:rPr>
              <w:t>12、重大器官移植术或造血干细胞移植术</w:t>
            </w:r>
          </w:p>
        </w:tc>
      </w:tr>
      <w:tr>
        <w:trPr>
          <w:trHeight w:val="311" w:hRule="atLeast"/>
        </w:trPr>
        <w:tc>
          <w:tcPr>
            <w:tcW w:w="2621" w:type="dxa"/>
            <w:tcBorders>
              <w:left w:val="single" w:sz="4" w:space="0" w:color="000000"/>
            </w:tcBorders>
          </w:tcPr>
          <w:p>
            <w:pPr>
              <w:pStyle w:val="TableParagraph"/>
              <w:spacing w:line="256" w:lineRule="exact"/>
              <w:ind w:left="107"/>
              <w:rPr>
                <w:sz w:val="21"/>
              </w:rPr>
            </w:pPr>
            <w:r>
              <w:rPr>
                <w:sz w:val="21"/>
              </w:rPr>
              <w:t>13、双耳失聪</w:t>
            </w:r>
          </w:p>
        </w:tc>
        <w:tc>
          <w:tcPr>
            <w:tcW w:w="4063" w:type="dxa"/>
            <w:tcBorders>
              <w:right w:val="single" w:sz="4" w:space="0" w:color="000000"/>
            </w:tcBorders>
          </w:tcPr>
          <w:p>
            <w:pPr>
              <w:pStyle w:val="TableParagraph"/>
              <w:spacing w:line="256" w:lineRule="exact"/>
              <w:ind w:left="203"/>
              <w:rPr>
                <w:sz w:val="21"/>
              </w:rPr>
            </w:pPr>
            <w:r>
              <w:rPr>
                <w:sz w:val="21"/>
              </w:rPr>
              <w:t>14、慢性肝功能衰竭失代偿期</w:t>
            </w:r>
          </w:p>
        </w:tc>
      </w:tr>
      <w:tr>
        <w:trPr>
          <w:trHeight w:val="311" w:hRule="atLeast"/>
        </w:trPr>
        <w:tc>
          <w:tcPr>
            <w:tcW w:w="2621" w:type="dxa"/>
            <w:tcBorders>
              <w:left w:val="single" w:sz="4" w:space="0" w:color="000000"/>
            </w:tcBorders>
          </w:tcPr>
          <w:p>
            <w:pPr>
              <w:pStyle w:val="TableParagraph"/>
              <w:spacing w:line="256" w:lineRule="exact"/>
              <w:ind w:left="107"/>
              <w:rPr>
                <w:sz w:val="21"/>
              </w:rPr>
            </w:pPr>
            <w:r>
              <w:rPr>
                <w:sz w:val="21"/>
              </w:rPr>
              <w:t>15、双目失明</w:t>
            </w:r>
          </w:p>
        </w:tc>
        <w:tc>
          <w:tcPr>
            <w:tcW w:w="4063" w:type="dxa"/>
            <w:tcBorders>
              <w:right w:val="single" w:sz="4" w:space="0" w:color="000000"/>
            </w:tcBorders>
          </w:tcPr>
          <w:p>
            <w:pPr>
              <w:pStyle w:val="TableParagraph"/>
              <w:spacing w:line="256" w:lineRule="exact"/>
              <w:ind w:left="203"/>
              <w:rPr>
                <w:sz w:val="21"/>
              </w:rPr>
            </w:pPr>
            <w:r>
              <w:rPr>
                <w:sz w:val="21"/>
              </w:rPr>
              <w:t>16、系统性红斑狼疮并发肾功能损害</w:t>
            </w:r>
          </w:p>
        </w:tc>
      </w:tr>
      <w:tr>
        <w:trPr>
          <w:trHeight w:val="311" w:hRule="atLeast"/>
        </w:trPr>
        <w:tc>
          <w:tcPr>
            <w:tcW w:w="2621" w:type="dxa"/>
            <w:tcBorders>
              <w:left w:val="single" w:sz="4" w:space="0" w:color="000000"/>
            </w:tcBorders>
          </w:tcPr>
          <w:p>
            <w:pPr>
              <w:pStyle w:val="TableParagraph"/>
              <w:spacing w:line="256" w:lineRule="exact"/>
              <w:ind w:left="107"/>
              <w:rPr>
                <w:sz w:val="21"/>
              </w:rPr>
            </w:pPr>
            <w:r>
              <w:rPr>
                <w:sz w:val="21"/>
              </w:rPr>
              <w:t>17、语言能力丧失</w:t>
            </w:r>
          </w:p>
        </w:tc>
        <w:tc>
          <w:tcPr>
            <w:tcW w:w="4063" w:type="dxa"/>
            <w:tcBorders>
              <w:right w:val="single" w:sz="4" w:space="0" w:color="000000"/>
            </w:tcBorders>
          </w:tcPr>
          <w:p>
            <w:pPr>
              <w:pStyle w:val="TableParagraph"/>
              <w:spacing w:line="256" w:lineRule="exact"/>
              <w:ind w:left="203"/>
              <w:rPr>
                <w:sz w:val="21"/>
              </w:rPr>
            </w:pPr>
            <w:r>
              <w:rPr>
                <w:sz w:val="21"/>
              </w:rPr>
              <w:t>18、急性或亚急性重症肝炎</w:t>
            </w:r>
          </w:p>
        </w:tc>
      </w:tr>
      <w:tr>
        <w:trPr>
          <w:trHeight w:val="311" w:hRule="atLeast"/>
        </w:trPr>
        <w:tc>
          <w:tcPr>
            <w:tcW w:w="2621" w:type="dxa"/>
            <w:tcBorders>
              <w:left w:val="single" w:sz="4" w:space="0" w:color="000000"/>
            </w:tcBorders>
          </w:tcPr>
          <w:p>
            <w:pPr>
              <w:pStyle w:val="TableParagraph"/>
              <w:spacing w:line="256" w:lineRule="exact"/>
              <w:ind w:left="107"/>
              <w:rPr>
                <w:sz w:val="21"/>
              </w:rPr>
            </w:pPr>
            <w:r>
              <w:rPr>
                <w:sz w:val="21"/>
              </w:rPr>
              <w:t>19、严重溃疡性结肠炎</w:t>
            </w:r>
          </w:p>
        </w:tc>
        <w:tc>
          <w:tcPr>
            <w:tcW w:w="4063" w:type="dxa"/>
            <w:tcBorders>
              <w:right w:val="single" w:sz="4" w:space="0" w:color="000000"/>
            </w:tcBorders>
          </w:tcPr>
          <w:p>
            <w:pPr>
              <w:pStyle w:val="TableParagraph"/>
              <w:spacing w:line="256" w:lineRule="exact"/>
              <w:ind w:left="203"/>
              <w:rPr>
                <w:sz w:val="21"/>
              </w:rPr>
            </w:pPr>
            <w:r>
              <w:rPr>
                <w:sz w:val="21"/>
              </w:rPr>
              <w:t>20、终末期肾病（或称慢性肾功能衰竭尿</w:t>
            </w:r>
          </w:p>
        </w:tc>
      </w:tr>
      <w:tr>
        <w:trPr>
          <w:trHeight w:val="311" w:hRule="atLeast"/>
        </w:trPr>
        <w:tc>
          <w:tcPr>
            <w:tcW w:w="2621" w:type="dxa"/>
            <w:tcBorders>
              <w:left w:val="single" w:sz="4" w:space="0" w:color="000000"/>
            </w:tcBorders>
          </w:tcPr>
          <w:p>
            <w:pPr>
              <w:pStyle w:val="TableParagraph"/>
              <w:spacing w:line="256" w:lineRule="exact"/>
              <w:ind w:left="107"/>
              <w:rPr>
                <w:sz w:val="21"/>
              </w:rPr>
            </w:pPr>
            <w:r>
              <w:rPr>
                <w:sz w:val="21"/>
              </w:rPr>
              <w:t>21、终末期肺病</w:t>
            </w:r>
          </w:p>
        </w:tc>
        <w:tc>
          <w:tcPr>
            <w:tcW w:w="4063" w:type="dxa"/>
            <w:tcBorders>
              <w:right w:val="single" w:sz="4" w:space="0" w:color="000000"/>
            </w:tcBorders>
          </w:tcPr>
          <w:p>
            <w:pPr>
              <w:pStyle w:val="TableParagraph"/>
              <w:spacing w:line="256" w:lineRule="exact"/>
              <w:ind w:left="623"/>
              <w:rPr>
                <w:sz w:val="21"/>
              </w:rPr>
            </w:pPr>
            <w:r>
              <w:rPr>
                <w:sz w:val="21"/>
              </w:rPr>
              <w:t>毒症期）</w:t>
            </w:r>
          </w:p>
        </w:tc>
      </w:tr>
      <w:tr>
        <w:trPr>
          <w:trHeight w:val="311" w:hRule="atLeast"/>
        </w:trPr>
        <w:tc>
          <w:tcPr>
            <w:tcW w:w="2621" w:type="dxa"/>
            <w:tcBorders>
              <w:left w:val="single" w:sz="4" w:space="0" w:color="000000"/>
            </w:tcBorders>
          </w:tcPr>
          <w:p>
            <w:pPr>
              <w:pStyle w:val="TableParagraph"/>
              <w:spacing w:line="256" w:lineRule="exact"/>
              <w:ind w:left="107"/>
              <w:rPr>
                <w:sz w:val="21"/>
              </w:rPr>
            </w:pPr>
            <w:r>
              <w:rPr>
                <w:sz w:val="21"/>
              </w:rPr>
              <w:t>22、胰腺移植</w:t>
            </w:r>
          </w:p>
        </w:tc>
        <w:tc>
          <w:tcPr>
            <w:tcW w:w="4063" w:type="dxa"/>
            <w:tcBorders>
              <w:right w:val="single" w:sz="4" w:space="0" w:color="000000"/>
            </w:tcBorders>
          </w:tcPr>
          <w:p>
            <w:pPr>
              <w:pStyle w:val="TableParagraph"/>
              <w:spacing w:line="256" w:lineRule="exact"/>
              <w:ind w:left="203"/>
              <w:rPr>
                <w:sz w:val="21"/>
              </w:rPr>
            </w:pPr>
            <w:r>
              <w:rPr>
                <w:sz w:val="21"/>
              </w:rPr>
              <w:t>23、急性坏死性胰腺炎开腹手术</w:t>
            </w:r>
          </w:p>
        </w:tc>
      </w:tr>
      <w:tr>
        <w:trPr>
          <w:trHeight w:val="311" w:hRule="atLeast"/>
        </w:trPr>
        <w:tc>
          <w:tcPr>
            <w:tcW w:w="2621" w:type="dxa"/>
            <w:tcBorders>
              <w:left w:val="single" w:sz="4" w:space="0" w:color="000000"/>
            </w:tcBorders>
          </w:tcPr>
          <w:p>
            <w:pPr>
              <w:pStyle w:val="TableParagraph"/>
              <w:spacing w:line="256" w:lineRule="exact"/>
              <w:ind w:left="107"/>
              <w:rPr>
                <w:sz w:val="21"/>
              </w:rPr>
            </w:pPr>
            <w:r>
              <w:rPr>
                <w:sz w:val="21"/>
              </w:rPr>
              <w:t>24、严重肾髓质囊性病</w:t>
            </w:r>
          </w:p>
        </w:tc>
        <w:tc>
          <w:tcPr>
            <w:tcW w:w="4063" w:type="dxa"/>
            <w:tcBorders>
              <w:right w:val="single" w:sz="4" w:space="0" w:color="000000"/>
            </w:tcBorders>
          </w:tcPr>
          <w:p>
            <w:pPr>
              <w:pStyle w:val="TableParagraph"/>
              <w:spacing w:line="256" w:lineRule="exact"/>
              <w:ind w:left="203"/>
              <w:rPr>
                <w:sz w:val="21"/>
              </w:rPr>
            </w:pPr>
            <w:r>
              <w:rPr>
                <w:sz w:val="21"/>
              </w:rPr>
              <w:t>25、严重肝豆状核变性（Wilson 病）</w:t>
            </w:r>
          </w:p>
        </w:tc>
      </w:tr>
      <w:tr>
        <w:trPr>
          <w:trHeight w:val="311" w:hRule="atLeast"/>
        </w:trPr>
        <w:tc>
          <w:tcPr>
            <w:tcW w:w="2621" w:type="dxa"/>
            <w:tcBorders>
              <w:left w:val="single" w:sz="4" w:space="0" w:color="000000"/>
              <w:bottom w:val="single" w:sz="4" w:space="0" w:color="000000"/>
            </w:tcBorders>
          </w:tcPr>
          <w:p>
            <w:pPr>
              <w:pStyle w:val="TableParagraph"/>
              <w:spacing w:line="256" w:lineRule="exact"/>
              <w:ind w:left="107"/>
              <w:rPr>
                <w:sz w:val="21"/>
              </w:rPr>
            </w:pPr>
            <w:r>
              <w:rPr>
                <w:sz w:val="21"/>
              </w:rPr>
              <w:t>26、严重自身免疫性肝炎</w:t>
            </w:r>
          </w:p>
        </w:tc>
        <w:tc>
          <w:tcPr>
            <w:tcW w:w="4063" w:type="dxa"/>
            <w:tcBorders>
              <w:bottom w:val="single" w:sz="4" w:space="0" w:color="000000"/>
              <w:right w:val="single" w:sz="4" w:space="0" w:color="000000"/>
            </w:tcBorders>
          </w:tcPr>
          <w:p>
            <w:pPr>
              <w:pStyle w:val="TableParagraph"/>
              <w:spacing w:line="256" w:lineRule="exact"/>
              <w:ind w:left="204"/>
              <w:rPr>
                <w:sz w:val="21"/>
              </w:rPr>
            </w:pPr>
            <w:r>
              <w:rPr>
                <w:sz w:val="21"/>
              </w:rPr>
              <w:t>27、严重弥漫性系统性硬皮病</w:t>
            </w:r>
          </w:p>
        </w:tc>
      </w:tr>
      <w:tr>
        <w:trPr>
          <w:trHeight w:val="330" w:hRule="atLeast"/>
        </w:trPr>
        <w:tc>
          <w:tcPr>
            <w:tcW w:w="6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7"/>
              <w:rPr>
                <w:b/>
                <w:sz w:val="21"/>
              </w:rPr>
            </w:pPr>
            <w:r>
              <w:rPr>
                <w:b/>
                <w:sz w:val="21"/>
              </w:rPr>
              <w:t>第 4 类：与神经系统相关的疾病</w:t>
            </w:r>
          </w:p>
        </w:tc>
      </w:tr>
      <w:tr>
        <w:trPr>
          <w:trHeight w:val="312" w:hRule="atLeast"/>
        </w:trPr>
        <w:tc>
          <w:tcPr>
            <w:tcW w:w="2621" w:type="dxa"/>
            <w:tcBorders>
              <w:top w:val="single" w:sz="4" w:space="0" w:color="000000"/>
              <w:left w:val="single" w:sz="4" w:space="0" w:color="000000"/>
            </w:tcBorders>
          </w:tcPr>
          <w:p>
            <w:pPr>
              <w:pStyle w:val="TableParagraph"/>
              <w:spacing w:line="257" w:lineRule="exact"/>
              <w:ind w:left="107"/>
              <w:rPr>
                <w:sz w:val="21"/>
              </w:rPr>
            </w:pPr>
            <w:r>
              <w:rPr>
                <w:sz w:val="21"/>
              </w:rPr>
              <w:t>28、良性脑肿瘤</w:t>
            </w:r>
          </w:p>
        </w:tc>
        <w:tc>
          <w:tcPr>
            <w:tcW w:w="4063" w:type="dxa"/>
            <w:tcBorders>
              <w:top w:val="single" w:sz="4" w:space="0" w:color="000000"/>
              <w:right w:val="single" w:sz="4" w:space="0" w:color="000000"/>
            </w:tcBorders>
          </w:tcPr>
          <w:p>
            <w:pPr>
              <w:pStyle w:val="TableParagraph"/>
              <w:spacing w:line="256" w:lineRule="exact"/>
              <w:ind w:left="203"/>
              <w:rPr>
                <w:sz w:val="21"/>
              </w:rPr>
            </w:pPr>
            <w:r>
              <w:rPr>
                <w:sz w:val="21"/>
              </w:rPr>
              <w:t>29、脑炎后遗症或脑膜炎后遗症</w:t>
            </w:r>
          </w:p>
        </w:tc>
      </w:tr>
      <w:tr>
        <w:trPr>
          <w:trHeight w:val="311" w:hRule="atLeast"/>
        </w:trPr>
        <w:tc>
          <w:tcPr>
            <w:tcW w:w="2621" w:type="dxa"/>
            <w:tcBorders>
              <w:left w:val="single" w:sz="4" w:space="0" w:color="000000"/>
            </w:tcBorders>
          </w:tcPr>
          <w:p>
            <w:pPr>
              <w:pStyle w:val="TableParagraph"/>
              <w:spacing w:line="256" w:lineRule="exact"/>
              <w:ind w:left="107"/>
              <w:rPr>
                <w:sz w:val="21"/>
              </w:rPr>
            </w:pPr>
            <w:r>
              <w:rPr>
                <w:sz w:val="21"/>
              </w:rPr>
              <w:t>30、深度昏迷</w:t>
            </w:r>
          </w:p>
        </w:tc>
        <w:tc>
          <w:tcPr>
            <w:tcW w:w="4063" w:type="dxa"/>
            <w:tcBorders>
              <w:right w:val="single" w:sz="4" w:space="0" w:color="000000"/>
            </w:tcBorders>
          </w:tcPr>
          <w:p>
            <w:pPr>
              <w:pStyle w:val="TableParagraph"/>
              <w:spacing w:line="256" w:lineRule="exact"/>
              <w:ind w:left="203"/>
              <w:rPr>
                <w:sz w:val="21"/>
              </w:rPr>
            </w:pPr>
            <w:r>
              <w:rPr>
                <w:sz w:val="21"/>
              </w:rPr>
              <w:t>31、严重阿尔茨海默病</w:t>
            </w:r>
          </w:p>
        </w:tc>
      </w:tr>
      <w:tr>
        <w:trPr>
          <w:trHeight w:val="311" w:hRule="atLeast"/>
        </w:trPr>
        <w:tc>
          <w:tcPr>
            <w:tcW w:w="2621" w:type="dxa"/>
            <w:tcBorders>
              <w:left w:val="single" w:sz="4" w:space="0" w:color="000000"/>
            </w:tcBorders>
          </w:tcPr>
          <w:p>
            <w:pPr>
              <w:pStyle w:val="TableParagraph"/>
              <w:spacing w:line="256" w:lineRule="exact"/>
              <w:ind w:left="107"/>
              <w:rPr>
                <w:sz w:val="21"/>
              </w:rPr>
            </w:pPr>
            <w:r>
              <w:rPr>
                <w:sz w:val="21"/>
              </w:rPr>
              <w:t>32、瘫痪</w:t>
            </w:r>
          </w:p>
        </w:tc>
        <w:tc>
          <w:tcPr>
            <w:tcW w:w="4063" w:type="dxa"/>
            <w:tcBorders>
              <w:right w:val="single" w:sz="4" w:space="0" w:color="000000"/>
            </w:tcBorders>
          </w:tcPr>
          <w:p>
            <w:pPr>
              <w:pStyle w:val="TableParagraph"/>
              <w:spacing w:line="256" w:lineRule="exact"/>
              <w:ind w:left="204"/>
              <w:rPr>
                <w:sz w:val="21"/>
              </w:rPr>
            </w:pPr>
            <w:r>
              <w:rPr>
                <w:sz w:val="21"/>
              </w:rPr>
              <w:t>33、严重的多发性硬化</w:t>
            </w:r>
          </w:p>
        </w:tc>
      </w:tr>
      <w:tr>
        <w:trPr>
          <w:trHeight w:val="311" w:hRule="atLeast"/>
        </w:trPr>
        <w:tc>
          <w:tcPr>
            <w:tcW w:w="2621" w:type="dxa"/>
            <w:tcBorders>
              <w:left w:val="single" w:sz="4" w:space="0" w:color="000000"/>
            </w:tcBorders>
          </w:tcPr>
          <w:p>
            <w:pPr>
              <w:pStyle w:val="TableParagraph"/>
              <w:spacing w:line="256" w:lineRule="exact"/>
              <w:ind w:left="107"/>
              <w:rPr>
                <w:sz w:val="21"/>
              </w:rPr>
            </w:pPr>
            <w:r>
              <w:rPr>
                <w:sz w:val="21"/>
              </w:rPr>
              <w:t>34、严重帕金森病</w:t>
            </w:r>
          </w:p>
        </w:tc>
        <w:tc>
          <w:tcPr>
            <w:tcW w:w="4063" w:type="dxa"/>
            <w:tcBorders>
              <w:right w:val="single" w:sz="4" w:space="0" w:color="000000"/>
            </w:tcBorders>
          </w:tcPr>
          <w:p>
            <w:pPr>
              <w:pStyle w:val="TableParagraph"/>
              <w:spacing w:line="256" w:lineRule="exact"/>
              <w:ind w:left="204"/>
              <w:rPr>
                <w:sz w:val="21"/>
              </w:rPr>
            </w:pPr>
            <w:r>
              <w:rPr>
                <w:sz w:val="21"/>
              </w:rPr>
              <w:t>35、严重运动神经元病</w:t>
            </w:r>
          </w:p>
        </w:tc>
      </w:tr>
      <w:tr>
        <w:trPr>
          <w:trHeight w:val="312" w:hRule="atLeast"/>
        </w:trPr>
        <w:tc>
          <w:tcPr>
            <w:tcW w:w="2621" w:type="dxa"/>
            <w:tcBorders>
              <w:left w:val="single" w:sz="4" w:space="0" w:color="000000"/>
            </w:tcBorders>
          </w:tcPr>
          <w:p>
            <w:pPr>
              <w:pStyle w:val="TableParagraph"/>
              <w:spacing w:line="256" w:lineRule="exact"/>
              <w:ind w:left="107"/>
              <w:rPr>
                <w:sz w:val="21"/>
              </w:rPr>
            </w:pPr>
            <w:r>
              <w:rPr>
                <w:sz w:val="21"/>
              </w:rPr>
              <w:t>36、严重脑损伤</w:t>
            </w:r>
          </w:p>
        </w:tc>
        <w:tc>
          <w:tcPr>
            <w:tcW w:w="4063" w:type="dxa"/>
            <w:tcBorders>
              <w:right w:val="single" w:sz="4" w:space="0" w:color="000000"/>
            </w:tcBorders>
          </w:tcPr>
          <w:p>
            <w:pPr>
              <w:pStyle w:val="TableParagraph"/>
              <w:spacing w:line="256" w:lineRule="exact"/>
              <w:ind w:left="204"/>
              <w:rPr>
                <w:sz w:val="21"/>
              </w:rPr>
            </w:pPr>
            <w:r>
              <w:rPr>
                <w:sz w:val="21"/>
              </w:rPr>
              <w:t>37、非阿尔茨海默病所致严重痴呆</w:t>
            </w:r>
          </w:p>
        </w:tc>
      </w:tr>
      <w:tr>
        <w:trPr>
          <w:trHeight w:val="311" w:hRule="atLeast"/>
        </w:trPr>
        <w:tc>
          <w:tcPr>
            <w:tcW w:w="2621" w:type="dxa"/>
            <w:tcBorders>
              <w:left w:val="single" w:sz="4" w:space="0" w:color="000000"/>
              <w:bottom w:val="single" w:sz="4" w:space="0" w:color="000000"/>
            </w:tcBorders>
          </w:tcPr>
          <w:p>
            <w:pPr>
              <w:pStyle w:val="TableParagraph"/>
              <w:spacing w:line="256" w:lineRule="exact"/>
              <w:ind w:left="107"/>
              <w:rPr>
                <w:sz w:val="21"/>
              </w:rPr>
            </w:pPr>
            <w:r>
              <w:rPr>
                <w:sz w:val="21"/>
              </w:rPr>
              <w:t>38、植物人状态</w:t>
            </w:r>
          </w:p>
        </w:tc>
        <w:tc>
          <w:tcPr>
            <w:tcW w:w="4063" w:type="dxa"/>
            <w:tcBorders>
              <w:bottom w:val="single" w:sz="4" w:space="0" w:color="000000"/>
              <w:right w:val="single" w:sz="4" w:space="0" w:color="000000"/>
            </w:tcBorders>
          </w:tcPr>
          <w:p>
            <w:pPr>
              <w:pStyle w:val="TableParagraph"/>
              <w:rPr>
                <w:rFonts w:ascii="Times New Roman"/>
                <w:sz w:val="20"/>
              </w:rPr>
            </w:pPr>
          </w:p>
        </w:tc>
      </w:tr>
      <w:tr>
        <w:trPr>
          <w:trHeight w:val="330" w:hRule="atLeast"/>
        </w:trPr>
        <w:tc>
          <w:tcPr>
            <w:tcW w:w="6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7"/>
              <w:rPr>
                <w:b/>
                <w:sz w:val="21"/>
              </w:rPr>
            </w:pPr>
            <w:r>
              <w:rPr>
                <w:b/>
                <w:sz w:val="21"/>
              </w:rPr>
              <w:t>第 5 类：其他重大疾病</w:t>
            </w:r>
          </w:p>
        </w:tc>
      </w:tr>
      <w:tr>
        <w:trPr>
          <w:trHeight w:val="312" w:hRule="atLeast"/>
        </w:trPr>
        <w:tc>
          <w:tcPr>
            <w:tcW w:w="2621" w:type="dxa"/>
            <w:tcBorders>
              <w:top w:val="single" w:sz="4" w:space="0" w:color="000000"/>
              <w:left w:val="single" w:sz="4" w:space="0" w:color="000000"/>
            </w:tcBorders>
          </w:tcPr>
          <w:p>
            <w:pPr>
              <w:pStyle w:val="TableParagraph"/>
              <w:spacing w:line="257" w:lineRule="exact"/>
              <w:ind w:left="107"/>
              <w:rPr>
                <w:sz w:val="21"/>
              </w:rPr>
            </w:pPr>
            <w:r>
              <w:rPr>
                <w:sz w:val="21"/>
              </w:rPr>
              <w:t>39、多个肢体缺失</w:t>
            </w:r>
          </w:p>
        </w:tc>
        <w:tc>
          <w:tcPr>
            <w:tcW w:w="4063" w:type="dxa"/>
            <w:tcBorders>
              <w:top w:val="single" w:sz="4" w:space="0" w:color="000000"/>
              <w:right w:val="single" w:sz="4" w:space="0" w:color="000000"/>
            </w:tcBorders>
          </w:tcPr>
          <w:p>
            <w:pPr>
              <w:pStyle w:val="TableParagraph"/>
              <w:spacing w:line="256" w:lineRule="exact"/>
              <w:ind w:left="203"/>
              <w:rPr>
                <w:sz w:val="21"/>
              </w:rPr>
            </w:pPr>
            <w:r>
              <w:rPr>
                <w:sz w:val="21"/>
              </w:rPr>
              <w:t>40、严重的 1 型糖尿病</w:t>
            </w:r>
          </w:p>
        </w:tc>
      </w:tr>
      <w:tr>
        <w:trPr>
          <w:trHeight w:val="311" w:hRule="atLeast"/>
        </w:trPr>
        <w:tc>
          <w:tcPr>
            <w:tcW w:w="2621" w:type="dxa"/>
            <w:tcBorders>
              <w:left w:val="single" w:sz="4" w:space="0" w:color="000000"/>
            </w:tcBorders>
          </w:tcPr>
          <w:p>
            <w:pPr>
              <w:pStyle w:val="TableParagraph"/>
              <w:spacing w:line="256" w:lineRule="exact"/>
              <w:ind w:left="107"/>
              <w:rPr>
                <w:sz w:val="21"/>
              </w:rPr>
            </w:pPr>
            <w:r>
              <w:rPr>
                <w:sz w:val="21"/>
              </w:rPr>
              <w:t>41、严重Ⅲ度烧伤</w:t>
            </w:r>
          </w:p>
        </w:tc>
        <w:tc>
          <w:tcPr>
            <w:tcW w:w="4063" w:type="dxa"/>
            <w:tcBorders>
              <w:right w:val="single" w:sz="4" w:space="0" w:color="000000"/>
            </w:tcBorders>
          </w:tcPr>
          <w:p>
            <w:pPr>
              <w:pStyle w:val="TableParagraph"/>
              <w:spacing w:line="256" w:lineRule="exact"/>
              <w:ind w:left="203"/>
              <w:rPr>
                <w:sz w:val="21"/>
              </w:rPr>
            </w:pPr>
            <w:r>
              <w:rPr>
                <w:sz w:val="21"/>
              </w:rPr>
              <w:t>42、严重类风湿性关节炎</w:t>
            </w:r>
          </w:p>
        </w:tc>
      </w:tr>
      <w:tr>
        <w:trPr>
          <w:trHeight w:val="311" w:hRule="atLeast"/>
        </w:trPr>
        <w:tc>
          <w:tcPr>
            <w:tcW w:w="2621" w:type="dxa"/>
            <w:tcBorders>
              <w:left w:val="single" w:sz="4" w:space="0" w:color="000000"/>
            </w:tcBorders>
          </w:tcPr>
          <w:p>
            <w:pPr>
              <w:pStyle w:val="TableParagraph"/>
              <w:spacing w:line="256" w:lineRule="exact"/>
              <w:ind w:left="107"/>
              <w:rPr>
                <w:sz w:val="21"/>
              </w:rPr>
            </w:pPr>
            <w:r>
              <w:rPr>
                <w:sz w:val="21"/>
              </w:rPr>
              <w:t>43、象皮病</w:t>
            </w:r>
          </w:p>
        </w:tc>
        <w:tc>
          <w:tcPr>
            <w:tcW w:w="4063" w:type="dxa"/>
            <w:tcBorders>
              <w:right w:val="single" w:sz="4" w:space="0" w:color="000000"/>
            </w:tcBorders>
          </w:tcPr>
          <w:p>
            <w:pPr>
              <w:pStyle w:val="TableParagraph"/>
              <w:spacing w:line="256" w:lineRule="exact"/>
              <w:ind w:left="203"/>
              <w:rPr>
                <w:sz w:val="21"/>
              </w:rPr>
            </w:pPr>
            <w:r>
              <w:rPr>
                <w:sz w:val="21"/>
              </w:rPr>
              <w:t>44、经输血导致的艾滋病病毒感染或患艾</w:t>
            </w:r>
          </w:p>
        </w:tc>
      </w:tr>
      <w:tr>
        <w:trPr>
          <w:trHeight w:val="311" w:hRule="atLeast"/>
        </w:trPr>
        <w:tc>
          <w:tcPr>
            <w:tcW w:w="2621" w:type="dxa"/>
            <w:tcBorders>
              <w:left w:val="single" w:sz="4" w:space="0" w:color="000000"/>
              <w:bottom w:val="single" w:sz="4" w:space="0" w:color="000000"/>
            </w:tcBorders>
          </w:tcPr>
          <w:p>
            <w:pPr>
              <w:pStyle w:val="TableParagraph"/>
              <w:spacing w:line="256" w:lineRule="exact"/>
              <w:ind w:left="107"/>
              <w:rPr>
                <w:sz w:val="21"/>
              </w:rPr>
            </w:pPr>
            <w:r>
              <w:rPr>
                <w:sz w:val="21"/>
              </w:rPr>
              <w:t>45、严重肌营养不良症</w:t>
            </w:r>
          </w:p>
        </w:tc>
        <w:tc>
          <w:tcPr>
            <w:tcW w:w="4063" w:type="dxa"/>
            <w:tcBorders>
              <w:bottom w:val="single" w:sz="4" w:space="0" w:color="000000"/>
              <w:right w:val="single" w:sz="4" w:space="0" w:color="000000"/>
            </w:tcBorders>
          </w:tcPr>
          <w:p>
            <w:pPr>
              <w:pStyle w:val="TableParagraph"/>
              <w:spacing w:line="256" w:lineRule="exact"/>
              <w:ind w:left="623"/>
              <w:rPr>
                <w:sz w:val="21"/>
              </w:rPr>
            </w:pPr>
            <w:r>
              <w:rPr>
                <w:sz w:val="21"/>
              </w:rPr>
              <w:t>滋病</w:t>
            </w:r>
          </w:p>
        </w:tc>
      </w:tr>
    </w:tbl>
    <w:p>
      <w:pPr>
        <w:pStyle w:val="BodyText"/>
        <w:spacing w:before="4"/>
        <w:rPr>
          <w:sz w:val="2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2443"/>
        <w:gridCol w:w="6799"/>
      </w:tblGrid>
      <w:tr>
        <w:trPr>
          <w:trHeight w:val="1028" w:hRule="atLeast"/>
        </w:trPr>
        <w:tc>
          <w:tcPr>
            <w:tcW w:w="837" w:type="dxa"/>
          </w:tcPr>
          <w:p>
            <w:pPr>
              <w:pStyle w:val="TableParagraph"/>
              <w:spacing w:line="211" w:lineRule="exact"/>
              <w:ind w:right="215"/>
              <w:jc w:val="right"/>
              <w:rPr>
                <w:b/>
                <w:sz w:val="21"/>
              </w:rPr>
            </w:pPr>
            <w:r>
              <w:rPr>
                <w:b/>
                <w:sz w:val="21"/>
              </w:rPr>
              <w:t>1.2</w:t>
            </w:r>
          </w:p>
        </w:tc>
        <w:tc>
          <w:tcPr>
            <w:tcW w:w="2443" w:type="dxa"/>
          </w:tcPr>
          <w:p>
            <w:pPr>
              <w:pStyle w:val="TableParagraph"/>
              <w:spacing w:line="211" w:lineRule="exact"/>
              <w:ind w:left="197"/>
              <w:rPr>
                <w:b/>
                <w:sz w:val="21"/>
              </w:rPr>
            </w:pPr>
            <w:r>
              <w:rPr>
                <w:b/>
                <w:sz w:val="21"/>
              </w:rPr>
              <w:t>保险期间</w:t>
            </w:r>
          </w:p>
        </w:tc>
        <w:tc>
          <w:tcPr>
            <w:tcW w:w="6799" w:type="dxa"/>
          </w:tcPr>
          <w:p>
            <w:pPr>
              <w:pStyle w:val="TableParagraph"/>
              <w:spacing w:line="211" w:lineRule="exact"/>
              <w:rPr>
                <w:sz w:val="21"/>
              </w:rPr>
            </w:pPr>
            <w:r>
              <w:rPr>
                <w:sz w:val="21"/>
              </w:rPr>
              <w:t>本附加险合同的保险期间分为自本附加险合同生效时起至被保险人年满</w:t>
            </w:r>
          </w:p>
          <w:p>
            <w:pPr>
              <w:pStyle w:val="TableParagraph"/>
              <w:spacing w:line="273" w:lineRule="auto" w:before="37"/>
              <w:ind w:right="97" w:hanging="1"/>
              <w:rPr>
                <w:sz w:val="21"/>
              </w:rPr>
            </w:pPr>
            <w:r>
              <w:rPr>
                <w:rFonts w:ascii="黑体" w:eastAsia="黑体" w:hint="eastAsia"/>
                <w:b/>
                <w:sz w:val="21"/>
              </w:rPr>
              <w:t>60</w:t>
            </w:r>
            <w:r>
              <w:rPr>
                <w:rFonts w:ascii="黑体" w:eastAsia="黑体" w:hint="eastAsia"/>
                <w:b/>
                <w:spacing w:val="-11"/>
                <w:sz w:val="21"/>
              </w:rPr>
              <w:t> 周岁的保单周年日 </w:t>
            </w:r>
            <w:hyperlink w:history="true" w:anchor="_bookmark4">
              <w:r>
                <w:rPr>
                  <w:rFonts w:ascii="黑体" w:eastAsia="黑体" w:hint="eastAsia"/>
                  <w:b/>
                  <w:position w:val="11"/>
                  <w:sz w:val="11"/>
                </w:rPr>
                <w:t>5</w:t>
              </w:r>
            </w:hyperlink>
            <w:r>
              <w:rPr>
                <w:spacing w:val="-51"/>
                <w:sz w:val="21"/>
              </w:rPr>
              <w:t>、</w:t>
            </w:r>
            <w:r>
              <w:rPr>
                <w:sz w:val="21"/>
              </w:rPr>
              <w:t>70</w:t>
            </w:r>
            <w:r>
              <w:rPr>
                <w:spacing w:val="-15"/>
                <w:sz w:val="21"/>
              </w:rPr>
              <w:t> 周岁的保单周年日、</w:t>
            </w:r>
            <w:r>
              <w:rPr>
                <w:sz w:val="21"/>
              </w:rPr>
              <w:t>80</w:t>
            </w:r>
            <w:r>
              <w:rPr>
                <w:spacing w:val="-8"/>
                <w:sz w:val="21"/>
              </w:rPr>
              <w:t> 周岁的保单周年日零时</w:t>
            </w:r>
            <w:r>
              <w:rPr>
                <w:spacing w:val="-5"/>
                <w:sz w:val="21"/>
              </w:rPr>
              <w:t>止三种，您在投保时可选择其中一种。</w:t>
            </w:r>
          </w:p>
        </w:tc>
      </w:tr>
      <w:tr>
        <w:trPr>
          <w:trHeight w:val="996" w:hRule="atLeast"/>
        </w:trPr>
        <w:tc>
          <w:tcPr>
            <w:tcW w:w="837" w:type="dxa"/>
            <w:tcBorders>
              <w:bottom w:val="single" w:sz="8" w:space="0" w:color="000000"/>
            </w:tcBorders>
          </w:tcPr>
          <w:p>
            <w:pPr>
              <w:pStyle w:val="TableParagraph"/>
              <w:spacing w:before="155"/>
              <w:ind w:right="194"/>
              <w:jc w:val="right"/>
              <w:rPr>
                <w:rFonts w:ascii="Arial" w:hAnsi="Arial"/>
                <w:b/>
                <w:sz w:val="40"/>
              </w:rPr>
            </w:pPr>
            <w:r>
              <w:rPr>
                <w:rFonts w:ascii="Arial" w:hAnsi="Arial"/>
                <w:b/>
                <w:w w:val="119"/>
                <w:sz w:val="40"/>
              </w:rPr>
              <w:t></w:t>
            </w:r>
          </w:p>
        </w:tc>
        <w:tc>
          <w:tcPr>
            <w:tcW w:w="9242" w:type="dxa"/>
            <w:gridSpan w:val="2"/>
            <w:tcBorders>
              <w:bottom w:val="single" w:sz="8" w:space="0" w:color="000000"/>
            </w:tcBorders>
          </w:tcPr>
          <w:p>
            <w:pPr>
              <w:pStyle w:val="TableParagraph"/>
              <w:spacing w:before="11"/>
              <w:rPr>
                <w:sz w:val="17"/>
              </w:rPr>
            </w:pPr>
          </w:p>
          <w:p>
            <w:pPr>
              <w:pStyle w:val="TableParagraph"/>
              <w:ind w:left="197"/>
              <w:rPr>
                <w:b/>
                <w:sz w:val="24"/>
              </w:rPr>
            </w:pPr>
            <w:r>
              <w:rPr>
                <w:b/>
                <w:w w:val="95"/>
                <w:sz w:val="24"/>
              </w:rPr>
              <w:t>我们不保什么</w:t>
            </w:r>
          </w:p>
          <w:p>
            <w:pPr>
              <w:pStyle w:val="TableParagraph"/>
              <w:spacing w:before="86"/>
              <w:ind w:left="197"/>
              <w:rPr>
                <w:sz w:val="24"/>
              </w:rPr>
            </w:pPr>
            <w:r>
              <w:rPr>
                <w:sz w:val="24"/>
              </w:rPr>
              <w:t>这部分讲的是我们不承担保险责任的情况。</w:t>
            </w:r>
          </w:p>
        </w:tc>
      </w:tr>
      <w:tr>
        <w:trPr>
          <w:trHeight w:val="1859" w:hRule="atLeast"/>
        </w:trPr>
        <w:tc>
          <w:tcPr>
            <w:tcW w:w="837" w:type="dxa"/>
            <w:tcBorders>
              <w:top w:val="single" w:sz="8" w:space="0" w:color="000000"/>
            </w:tcBorders>
          </w:tcPr>
          <w:p>
            <w:pPr>
              <w:pStyle w:val="TableParagraph"/>
              <w:spacing w:before="5"/>
              <w:rPr>
                <w:sz w:val="23"/>
              </w:rPr>
            </w:pPr>
          </w:p>
          <w:p>
            <w:pPr>
              <w:pStyle w:val="TableParagraph"/>
              <w:ind w:right="215"/>
              <w:jc w:val="right"/>
              <w:rPr>
                <w:b/>
                <w:sz w:val="21"/>
              </w:rPr>
            </w:pPr>
            <w:r>
              <w:rPr>
                <w:b/>
                <w:sz w:val="21"/>
              </w:rPr>
              <w:t>2.1</w:t>
            </w:r>
          </w:p>
        </w:tc>
        <w:tc>
          <w:tcPr>
            <w:tcW w:w="2443" w:type="dxa"/>
            <w:tcBorders>
              <w:top w:val="single" w:sz="8" w:space="0" w:color="000000"/>
            </w:tcBorders>
          </w:tcPr>
          <w:p>
            <w:pPr>
              <w:pStyle w:val="TableParagraph"/>
              <w:spacing w:before="5"/>
              <w:rPr>
                <w:sz w:val="23"/>
              </w:rPr>
            </w:pPr>
          </w:p>
          <w:p>
            <w:pPr>
              <w:pStyle w:val="TableParagraph"/>
              <w:ind w:left="197"/>
              <w:rPr>
                <w:b/>
                <w:sz w:val="21"/>
              </w:rPr>
            </w:pPr>
            <w:r>
              <w:rPr>
                <w:b/>
                <w:sz w:val="21"/>
              </w:rPr>
              <w:t>责任免除</w:t>
            </w:r>
          </w:p>
        </w:tc>
        <w:tc>
          <w:tcPr>
            <w:tcW w:w="6799" w:type="dxa"/>
            <w:tcBorders>
              <w:top w:val="single" w:sz="8" w:space="0" w:color="000000"/>
            </w:tcBorders>
          </w:tcPr>
          <w:p>
            <w:pPr>
              <w:pStyle w:val="TableParagraph"/>
              <w:spacing w:before="5"/>
              <w:rPr>
                <w:sz w:val="23"/>
              </w:rPr>
            </w:pPr>
          </w:p>
          <w:p>
            <w:pPr>
              <w:pStyle w:val="TableParagraph"/>
              <w:spacing w:line="273" w:lineRule="auto"/>
              <w:ind w:right="71"/>
              <w:rPr>
                <w:sz w:val="21"/>
              </w:rPr>
            </w:pPr>
            <w:r>
              <w:rPr>
                <w:sz w:val="21"/>
                <w:shd w:fill="DADADA" w:color="auto" w:val="clear"/>
              </w:rPr>
              <w:t>因下列情形之一导致被保险人初次发生“重大疾病”的，我们不承担给付保险金的责任：</w:t>
            </w:r>
          </w:p>
          <w:p>
            <w:pPr>
              <w:pStyle w:val="TableParagraph"/>
              <w:spacing w:before="7"/>
              <w:rPr>
                <w:sz w:val="21"/>
              </w:rPr>
            </w:pPr>
            <w:r>
              <w:rPr>
                <w:sz w:val="21"/>
                <w:shd w:fill="DADADA" w:color="auto" w:val="clear"/>
              </w:rPr>
              <w:t>（1）投保人对被保险人的故意杀害、故意伤害；</w:t>
            </w:r>
          </w:p>
          <w:p>
            <w:pPr>
              <w:pStyle w:val="TableParagraph"/>
              <w:spacing w:before="36"/>
              <w:rPr>
                <w:sz w:val="21"/>
              </w:rPr>
            </w:pPr>
            <w:r>
              <w:rPr>
                <w:sz w:val="21"/>
                <w:shd w:fill="DADADA" w:color="auto" w:val="clear"/>
              </w:rPr>
              <w:t>（2）被保险人故意自伤、故意犯罪或者抗拒依法采取的刑事强制措施；</w:t>
            </w:r>
          </w:p>
          <w:p>
            <w:pPr>
              <w:pStyle w:val="TableParagraph"/>
              <w:spacing w:before="36"/>
              <w:rPr>
                <w:sz w:val="21"/>
              </w:rPr>
            </w:pPr>
            <w:r>
              <w:rPr>
                <w:sz w:val="21"/>
              </w:rPr>
              <w:t>（3）被保险人主动吸食或注射</w:t>
            </w:r>
            <w:r>
              <w:rPr>
                <w:rFonts w:ascii="黑体" w:eastAsia="黑体" w:hint="eastAsia"/>
                <w:b/>
                <w:sz w:val="21"/>
              </w:rPr>
              <w:t>毒品 </w:t>
            </w:r>
            <w:hyperlink w:history="true" w:anchor="_bookmark5">
              <w:r>
                <w:rPr>
                  <w:rFonts w:ascii="黑体" w:eastAsia="黑体" w:hint="eastAsia"/>
                  <w:b/>
                  <w:position w:val="11"/>
                  <w:sz w:val="11"/>
                </w:rPr>
                <w:t>6</w:t>
              </w:r>
            </w:hyperlink>
            <w:r>
              <w:rPr>
                <w:sz w:val="21"/>
              </w:rPr>
              <w:t>；</w:t>
            </w:r>
          </w:p>
        </w:tc>
      </w:tr>
    </w:tbl>
    <w:p>
      <w:pPr>
        <w:pStyle w:val="BodyText"/>
        <w:spacing w:before="1"/>
        <w:rPr>
          <w:sz w:val="22"/>
        </w:rPr>
      </w:pPr>
      <w:r>
        <w:rPr/>
        <w:pict>
          <v:line style="position:absolute;mso-position-horizontal-relative:page;mso-position-vertical-relative:paragraph;z-index:1216;mso-wrap-distance-left:0;mso-wrap-distance-right:0" from="51pt,16.679501pt" to="195pt,16.679501pt" stroked="true" strokeweight=".481pt" strokecolor="#000000">
            <v:stroke dashstyle="solid"/>
            <w10:wrap type="topAndBottom"/>
          </v:line>
        </w:pict>
      </w:r>
    </w:p>
    <w:p>
      <w:pPr>
        <w:spacing w:line="213" w:lineRule="auto" w:before="59"/>
        <w:ind w:left="397" w:right="405" w:hanging="178"/>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r>
        <w:rPr>
          <w:rFonts w:ascii="Microsoft JhengHei" w:eastAsia="Microsoft JhengHei" w:hint="eastAsia"/>
          <w:b/>
          <w:sz w:val="18"/>
        </w:rPr>
        <w:t>保单周年日</w:t>
      </w:r>
      <w:r>
        <w:rPr>
          <w:sz w:val="18"/>
        </w:rPr>
        <w:t>指本附加险合同生效日以后每年的对应日。如果当月无对应的同一日，则以该月最后一日作为对应日。</w:t>
      </w:r>
    </w:p>
    <w:p>
      <w:pPr>
        <w:spacing w:line="281" w:lineRule="exact" w:before="0"/>
        <w:ind w:left="400" w:right="0" w:firstLine="0"/>
        <w:jc w:val="left"/>
        <w:rPr>
          <w:sz w:val="18"/>
        </w:rPr>
      </w:pPr>
      <w:r>
        <w:rPr/>
        <w:pict>
          <v:rect style="position:absolute;margin-left:209.639999pt;margin-top:-62.889545pt;width:179.28pt;height:13.68pt;mso-position-horizontal-relative:page;mso-position-vertical-relative:paragraph;z-index:-47320" filled="true" fillcolor="#dadada" stroked="false">
            <v:fill type="solid"/>
            <w10:wrap type="none"/>
          </v:rect>
        </w:pict>
      </w:r>
      <w:r>
        <w:rPr>
          <w:rFonts w:ascii="Microsoft JhengHei" w:eastAsia="Microsoft JhengHei" w:hint="eastAsia"/>
          <w:b/>
          <w:spacing w:val="-3"/>
          <w:sz w:val="18"/>
        </w:rPr>
        <w:t>举例：</w:t>
      </w:r>
      <w:r>
        <w:rPr>
          <w:spacing w:val="-6"/>
          <w:sz w:val="18"/>
        </w:rPr>
        <w:t>假设保单生效日是 </w:t>
      </w:r>
      <w:r>
        <w:rPr>
          <w:sz w:val="18"/>
        </w:rPr>
        <w:t>2017</w:t>
      </w:r>
      <w:r>
        <w:rPr>
          <w:spacing w:val="-32"/>
          <w:sz w:val="18"/>
        </w:rPr>
        <w:t> 年 </w:t>
      </w:r>
      <w:r>
        <w:rPr>
          <w:sz w:val="18"/>
        </w:rPr>
        <w:t>8</w:t>
      </w:r>
      <w:r>
        <w:rPr>
          <w:spacing w:val="-32"/>
          <w:sz w:val="18"/>
        </w:rPr>
        <w:t> 月 </w:t>
      </w:r>
      <w:r>
        <w:rPr>
          <w:sz w:val="18"/>
        </w:rPr>
        <w:t>1</w:t>
      </w:r>
      <w:r>
        <w:rPr>
          <w:spacing w:val="-13"/>
          <w:sz w:val="18"/>
        </w:rPr>
        <w:t> 日，则以后每年 </w:t>
      </w:r>
      <w:r>
        <w:rPr>
          <w:sz w:val="18"/>
        </w:rPr>
        <w:t>8</w:t>
      </w:r>
      <w:r>
        <w:rPr>
          <w:spacing w:val="-32"/>
          <w:sz w:val="18"/>
        </w:rPr>
        <w:t> 月 </w:t>
      </w:r>
      <w:r>
        <w:rPr>
          <w:sz w:val="18"/>
        </w:rPr>
        <w:t>1</w:t>
      </w:r>
      <w:r>
        <w:rPr>
          <w:spacing w:val="-10"/>
          <w:sz w:val="18"/>
        </w:rPr>
        <w:t> 日为保单周年日；被保险人出生日期是 </w:t>
      </w:r>
      <w:r>
        <w:rPr>
          <w:sz w:val="18"/>
        </w:rPr>
        <w:t>2000</w:t>
      </w:r>
      <w:r>
        <w:rPr>
          <w:spacing w:val="-32"/>
          <w:sz w:val="18"/>
        </w:rPr>
        <w:t> 年 </w:t>
      </w:r>
      <w:r>
        <w:rPr>
          <w:sz w:val="18"/>
        </w:rPr>
        <w:t>9</w:t>
      </w:r>
      <w:r>
        <w:rPr>
          <w:spacing w:val="-32"/>
          <w:sz w:val="18"/>
        </w:rPr>
        <w:t> 月 </w:t>
      </w:r>
      <w:r>
        <w:rPr>
          <w:sz w:val="18"/>
        </w:rPr>
        <w:t>1</w:t>
      </w:r>
      <w:r>
        <w:rPr>
          <w:spacing w:val="-18"/>
          <w:sz w:val="18"/>
        </w:rPr>
        <w:t> 日，那</w:t>
      </w:r>
    </w:p>
    <w:p>
      <w:pPr>
        <w:spacing w:before="25"/>
        <w:ind w:left="399" w:right="0" w:firstLine="0"/>
        <w:jc w:val="left"/>
        <w:rPr>
          <w:sz w:val="18"/>
        </w:rPr>
      </w:pPr>
      <w:r>
        <w:rPr>
          <w:spacing w:val="-23"/>
          <w:sz w:val="18"/>
        </w:rPr>
        <w:t>么 </w:t>
      </w:r>
      <w:r>
        <w:rPr>
          <w:sz w:val="18"/>
        </w:rPr>
        <w:t>2060</w:t>
      </w:r>
      <w:r>
        <w:rPr>
          <w:spacing w:val="-32"/>
          <w:sz w:val="18"/>
        </w:rPr>
        <w:t> 年 </w:t>
      </w:r>
      <w:r>
        <w:rPr>
          <w:sz w:val="18"/>
        </w:rPr>
        <w:t>9</w:t>
      </w:r>
      <w:r>
        <w:rPr>
          <w:spacing w:val="-32"/>
          <w:sz w:val="18"/>
        </w:rPr>
        <w:t> 月 </w:t>
      </w:r>
      <w:r>
        <w:rPr>
          <w:sz w:val="18"/>
        </w:rPr>
        <w:t>2</w:t>
      </w:r>
      <w:r>
        <w:rPr>
          <w:spacing w:val="-12"/>
          <w:sz w:val="18"/>
        </w:rPr>
        <w:t> 日被保险人年满 </w:t>
      </w:r>
      <w:r>
        <w:rPr>
          <w:sz w:val="18"/>
        </w:rPr>
        <w:t>60</w:t>
      </w:r>
      <w:r>
        <w:rPr>
          <w:spacing w:val="-16"/>
          <w:sz w:val="18"/>
        </w:rPr>
        <w:t> 周岁，而 </w:t>
      </w:r>
      <w:r>
        <w:rPr>
          <w:sz w:val="18"/>
        </w:rPr>
        <w:t>60</w:t>
      </w:r>
      <w:r>
        <w:rPr>
          <w:spacing w:val="-11"/>
          <w:sz w:val="18"/>
        </w:rPr>
        <w:t> 周岁的保单周年日为 </w:t>
      </w:r>
      <w:r>
        <w:rPr>
          <w:sz w:val="18"/>
        </w:rPr>
        <w:t>2061</w:t>
      </w:r>
      <w:r>
        <w:rPr>
          <w:spacing w:val="-32"/>
          <w:sz w:val="18"/>
        </w:rPr>
        <w:t> 年 </w:t>
      </w:r>
      <w:r>
        <w:rPr>
          <w:sz w:val="18"/>
        </w:rPr>
        <w:t>8</w:t>
      </w:r>
      <w:r>
        <w:rPr>
          <w:spacing w:val="-32"/>
          <w:sz w:val="18"/>
        </w:rPr>
        <w:t> 月 </w:t>
      </w:r>
      <w:r>
        <w:rPr>
          <w:sz w:val="18"/>
        </w:rPr>
        <w:t>1</w:t>
      </w:r>
      <w:r>
        <w:rPr>
          <w:spacing w:val="-24"/>
          <w:sz w:val="18"/>
        </w:rPr>
        <w:t> 日</w:t>
      </w:r>
      <w:r>
        <w:rPr>
          <w:sz w:val="18"/>
        </w:rPr>
        <w:t>（</w:t>
      </w:r>
      <w:r>
        <w:rPr>
          <w:spacing w:val="-23"/>
          <w:sz w:val="18"/>
        </w:rPr>
        <w:t>因 </w:t>
      </w:r>
      <w:r>
        <w:rPr>
          <w:sz w:val="18"/>
        </w:rPr>
        <w:t>2060</w:t>
      </w:r>
      <w:r>
        <w:rPr>
          <w:spacing w:val="-32"/>
          <w:sz w:val="18"/>
        </w:rPr>
        <w:t> 年 </w:t>
      </w:r>
      <w:r>
        <w:rPr>
          <w:sz w:val="18"/>
        </w:rPr>
        <w:t>8</w:t>
      </w:r>
      <w:r>
        <w:rPr>
          <w:spacing w:val="-32"/>
          <w:sz w:val="18"/>
        </w:rPr>
        <w:t> 月 </w:t>
      </w:r>
      <w:r>
        <w:rPr>
          <w:sz w:val="18"/>
        </w:rPr>
        <w:t>1</w:t>
      </w:r>
      <w:r>
        <w:rPr>
          <w:spacing w:val="-7"/>
          <w:sz w:val="18"/>
        </w:rPr>
        <w:t> 日时被保险人尚</w:t>
      </w:r>
    </w:p>
    <w:p>
      <w:pPr>
        <w:spacing w:line="230" w:lineRule="exact" w:before="42"/>
        <w:ind w:left="399" w:right="0" w:firstLine="0"/>
        <w:jc w:val="left"/>
        <w:rPr>
          <w:sz w:val="18"/>
        </w:rPr>
      </w:pPr>
      <w:r>
        <w:rPr>
          <w:spacing w:val="-15"/>
          <w:sz w:val="18"/>
        </w:rPr>
        <w:t>未满 </w:t>
      </w:r>
      <w:r>
        <w:rPr>
          <w:sz w:val="18"/>
        </w:rPr>
        <w:t>60</w:t>
      </w:r>
      <w:r>
        <w:rPr>
          <w:spacing w:val="-16"/>
          <w:sz w:val="18"/>
        </w:rPr>
        <w:t> 周岁</w:t>
      </w:r>
      <w:r>
        <w:rPr>
          <w:spacing w:val="-92"/>
          <w:sz w:val="18"/>
        </w:rPr>
        <w:t>）</w:t>
      </w:r>
      <w:r>
        <w:rPr>
          <w:sz w:val="18"/>
        </w:rPr>
        <w:t>。</w:t>
      </w:r>
    </w:p>
    <w:p>
      <w:pPr>
        <w:spacing w:line="280" w:lineRule="exact" w:before="36"/>
        <w:ind w:left="399" w:right="217" w:hanging="180"/>
        <w:jc w:val="left"/>
        <w:rPr>
          <w:sz w:val="18"/>
        </w:rPr>
      </w:pP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毒品</w:t>
      </w:r>
      <w:r>
        <w:rPr>
          <w:spacing w:val="-7"/>
          <w:sz w:val="18"/>
        </w:rPr>
        <w:t>指《中华人民共和国刑法》规定的鸦片、海洛因、甲基苯丙胺</w:t>
      </w:r>
      <w:r>
        <w:rPr>
          <w:sz w:val="18"/>
        </w:rPr>
        <w:t>（冰毒</w:t>
      </w:r>
      <w:r>
        <w:rPr>
          <w:spacing w:val="-92"/>
          <w:sz w:val="18"/>
        </w:rPr>
        <w:t>）</w:t>
      </w:r>
      <w:r>
        <w:rPr>
          <w:spacing w:val="-6"/>
          <w:sz w:val="18"/>
        </w:rPr>
        <w:t>、吗啡、大麻、可卡因以及国家规定管制的其他能够使人形成瘾癖的麻醉药品和精神药品，但不包括由医生开具并遵医嘱使用的用于治疗疾病但含有毒品成分的处方药品。</w:t>
      </w:r>
    </w:p>
    <w:p>
      <w:pPr>
        <w:spacing w:after="0" w:line="280" w:lineRule="exact"/>
        <w:jc w:val="left"/>
        <w:rPr>
          <w:sz w:val="18"/>
        </w:rPr>
        <w:sectPr>
          <w:pgSz w:w="11910" w:h="16840"/>
          <w:pgMar w:top="1120" w:bottom="280" w:left="800" w:right="800"/>
        </w:sectPr>
      </w:pPr>
    </w:p>
    <w:p>
      <w:pPr>
        <w:pStyle w:val="BodyText"/>
        <w:ind w:left="3392"/>
        <w:rPr>
          <w:sz w:val="20"/>
        </w:rPr>
      </w:pPr>
      <w:r>
        <w:rPr>
          <w:sz w:val="20"/>
        </w:rPr>
        <w:pict>
          <v:shape style="width:164.55pt;height:13.7pt;mso-position-horizontal-relative:char;mso-position-vertical-relative:line" type="#_x0000_t202" filled="true" fillcolor="#dadada" stroked="false">
            <w10:anchorlock/>
            <v:textbox inset="0,0,0,0">
              <w:txbxContent>
                <w:p>
                  <w:pPr>
                    <w:spacing w:line="243" w:lineRule="exact" w:before="0"/>
                    <w:ind w:left="0" w:right="-15" w:firstLine="0"/>
                    <w:jc w:val="left"/>
                    <w:rPr>
                      <w:sz w:val="21"/>
                    </w:rPr>
                  </w:pPr>
                  <w:r>
                    <w:rPr>
                      <w:sz w:val="21"/>
                    </w:rPr>
                    <w:t>（4）</w:t>
                  </w:r>
                  <w:r>
                    <w:rPr>
                      <w:spacing w:val="-3"/>
                      <w:sz w:val="21"/>
                    </w:rPr>
                    <w:t>被保险人</w:t>
                  </w:r>
                  <w:r>
                    <w:rPr>
                      <w:rFonts w:ascii="黑体" w:eastAsia="黑体" w:hint="eastAsia"/>
                      <w:b/>
                      <w:spacing w:val="-9"/>
                      <w:sz w:val="21"/>
                    </w:rPr>
                    <w:t>酒后驾驶 </w:t>
                  </w:r>
                  <w:hyperlink w:history="true" w:anchor="_bookmark6">
                    <w:r>
                      <w:rPr>
                        <w:rFonts w:ascii="黑体" w:eastAsia="黑体" w:hint="eastAsia"/>
                        <w:b/>
                        <w:position w:val="11"/>
                        <w:sz w:val="11"/>
                      </w:rPr>
                      <w:t>7</w:t>
                    </w:r>
                  </w:hyperlink>
                  <w:r>
                    <w:rPr>
                      <w:rFonts w:ascii="黑体" w:eastAsia="黑体" w:hint="eastAsia"/>
                      <w:b/>
                      <w:spacing w:val="-10"/>
                      <w:sz w:val="21"/>
                    </w:rPr>
                    <w:t>机动车 </w:t>
                  </w:r>
                  <w:hyperlink w:history="true" w:anchor="_bookmark7">
                    <w:r>
                      <w:rPr>
                        <w:rFonts w:ascii="黑体" w:eastAsia="黑体" w:hint="eastAsia"/>
                        <w:b/>
                        <w:position w:val="11"/>
                        <w:sz w:val="11"/>
                      </w:rPr>
                      <w:t>8</w:t>
                    </w:r>
                  </w:hyperlink>
                  <w:r>
                    <w:rPr>
                      <w:sz w:val="21"/>
                    </w:rPr>
                    <w:t>；</w:t>
                  </w:r>
                </w:p>
              </w:txbxContent>
            </v:textbox>
            <v:fill type="solid"/>
          </v:shape>
        </w:pict>
      </w:r>
      <w:r>
        <w:rPr>
          <w:sz w:val="20"/>
        </w:rPr>
      </w:r>
    </w:p>
    <w:p>
      <w:pPr>
        <w:spacing w:after="0"/>
        <w:rPr>
          <w:sz w:val="20"/>
        </w:rPr>
        <w:sectPr>
          <w:pgSz w:w="11910" w:h="16840"/>
          <w:pgMar w:top="1140" w:bottom="280" w:left="800" w:right="800"/>
        </w:sectPr>
      </w:pPr>
    </w:p>
    <w:p>
      <w:pPr>
        <w:pStyle w:val="BodyText"/>
        <w:spacing w:before="11"/>
      </w:pPr>
    </w:p>
    <w:p>
      <w:pPr>
        <w:pStyle w:val="BodyText"/>
        <w:ind w:left="3885" w:right="1165"/>
        <w:jc w:val="center"/>
      </w:pPr>
      <w:r>
        <w:rPr>
          <w:spacing w:val="-3"/>
          <w:w w:val="100"/>
        </w:rPr>
        <w:t>病毒感染或患艾滋病</w:t>
      </w:r>
      <w:r>
        <w:rPr>
          <w:spacing w:val="-106"/>
          <w:w w:val="100"/>
        </w:rPr>
        <w:t>）</w:t>
      </w:r>
      <w:r>
        <w:rPr>
          <w:w w:val="100"/>
        </w:rPr>
        <w:t>；</w:t>
      </w:r>
    </w:p>
    <w:p>
      <w:pPr>
        <w:pStyle w:val="BodyText"/>
        <w:spacing w:before="37"/>
        <w:ind w:left="3392"/>
      </w:pPr>
      <w:r>
        <w:rPr>
          <w:shd w:fill="DADADA" w:color="auto" w:val="clear"/>
        </w:rPr>
        <w:t>（6）战争、军事冲突、暴乱或武装叛乱；</w:t>
      </w:r>
    </w:p>
    <w:p>
      <w:pPr>
        <w:pStyle w:val="BodyText"/>
        <w:spacing w:before="37"/>
        <w:ind w:left="3392"/>
      </w:pPr>
      <w:r>
        <w:rPr>
          <w:shd w:fill="DADADA" w:color="auto" w:val="clear"/>
        </w:rPr>
        <w:t>（7）核爆炸、核辐射或核污染；</w:t>
      </w:r>
    </w:p>
    <w:p>
      <w:pPr>
        <w:pStyle w:val="BodyText"/>
        <w:spacing w:line="249" w:lineRule="exact"/>
        <w:ind w:left="38"/>
      </w:pPr>
      <w:r>
        <w:rPr/>
        <w:br w:type="column"/>
      </w:r>
      <w:r>
        <w:rPr/>
        <w:t>（不包括经输血导致的艾滋病</w:t>
      </w:r>
    </w:p>
    <w:p>
      <w:pPr>
        <w:pStyle w:val="BodyText"/>
        <w:rPr>
          <w:sz w:val="20"/>
        </w:rPr>
      </w:pPr>
    </w:p>
    <w:p>
      <w:pPr>
        <w:pStyle w:val="BodyText"/>
        <w:rPr>
          <w:sz w:val="20"/>
        </w:rPr>
      </w:pPr>
    </w:p>
    <w:p>
      <w:pPr>
        <w:pStyle w:val="BodyText"/>
        <w:rPr>
          <w:sz w:val="20"/>
        </w:rPr>
      </w:pPr>
    </w:p>
    <w:p>
      <w:pPr>
        <w:pStyle w:val="BodyText"/>
        <w:spacing w:before="4"/>
        <w:rPr>
          <w:sz w:val="14"/>
        </w:rPr>
      </w:pPr>
    </w:p>
    <w:p>
      <w:pPr>
        <w:pStyle w:val="BodyText"/>
        <w:spacing w:before="1"/>
        <w:ind w:left="564"/>
      </w:pPr>
      <w:r>
        <w:rPr/>
        <w:pict>
          <v:shape style="position:absolute;margin-left:209.639999pt;margin-top:-60.766312pt;width:199.6pt;height:13.7pt;mso-position-horizontal-relative:page;mso-position-vertical-relative:paragraph;z-index:-47248" type="#_x0000_t202" filled="true" fillcolor="#dadada" stroked="false">
            <v:textbox inset="0,0,0,0">
              <w:txbxContent>
                <w:p>
                  <w:pPr>
                    <w:spacing w:line="243" w:lineRule="exact" w:before="0"/>
                    <w:ind w:left="0" w:right="0" w:firstLine="0"/>
                    <w:jc w:val="left"/>
                    <w:rPr>
                      <w:rFonts w:ascii="黑体" w:eastAsia="黑体" w:hint="eastAsia"/>
                      <w:b/>
                      <w:sz w:val="11"/>
                    </w:rPr>
                  </w:pPr>
                  <w:r>
                    <w:rPr>
                      <w:spacing w:val="-10"/>
                      <w:sz w:val="21"/>
                    </w:rPr>
                    <w:t>（5）</w:t>
                  </w:r>
                  <w:r>
                    <w:rPr>
                      <w:spacing w:val="-3"/>
                      <w:sz w:val="21"/>
                    </w:rPr>
                    <w:t>被保险人</w:t>
                  </w:r>
                  <w:r>
                    <w:rPr>
                      <w:rFonts w:ascii="黑体" w:eastAsia="黑体" w:hint="eastAsia"/>
                      <w:b/>
                      <w:spacing w:val="-3"/>
                      <w:sz w:val="21"/>
                    </w:rPr>
                    <w:t>感染艾滋病病毒或患艾滋病 </w:t>
                  </w:r>
                  <w:hyperlink w:history="true" w:anchor="_bookmark8">
                    <w:r>
                      <w:rPr>
                        <w:rFonts w:ascii="黑体" w:eastAsia="黑体" w:hint="eastAsia"/>
                        <w:b/>
                        <w:spacing w:val="-22"/>
                        <w:position w:val="11"/>
                        <w:sz w:val="11"/>
                      </w:rPr>
                      <w:t>9</w:t>
                    </w:r>
                  </w:hyperlink>
                </w:p>
              </w:txbxContent>
            </v:textbox>
            <v:fill type="solid"/>
            <w10:wrap type="none"/>
          </v:shape>
        </w:pict>
      </w:r>
      <w:r>
        <w:rPr/>
        <w:pict>
          <v:shape style="position:absolute;margin-left:208.679993pt;margin-top:-.286313pt;width:224.65pt;height:33.15pt;mso-position-horizontal-relative:page;mso-position-vertical-relative:paragraph;z-index:133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7"/>
                    <w:gridCol w:w="557"/>
                    <w:gridCol w:w="2782"/>
                  </w:tblGrid>
                  <w:tr>
                    <w:trPr>
                      <w:trHeight w:val="267" w:hRule="atLeast"/>
                    </w:trPr>
                    <w:tc>
                      <w:tcPr>
                        <w:tcW w:w="1654" w:type="dxa"/>
                        <w:gridSpan w:val="2"/>
                        <w:tcBorders>
                          <w:top w:val="single" w:sz="18" w:space="0" w:color="FFFFFF"/>
                          <w:bottom w:val="single" w:sz="18" w:space="0" w:color="FFFFFF"/>
                        </w:tcBorders>
                        <w:shd w:val="clear" w:color="auto" w:fill="DADADA"/>
                      </w:tcPr>
                      <w:p>
                        <w:pPr>
                          <w:pStyle w:val="TableParagraph"/>
                          <w:spacing w:line="240" w:lineRule="exact"/>
                          <w:ind w:left="19" w:right="-29"/>
                          <w:rPr>
                            <w:rFonts w:ascii="黑体" w:eastAsia="黑体" w:hint="eastAsia"/>
                            <w:b/>
                            <w:sz w:val="11"/>
                          </w:rPr>
                        </w:pPr>
                        <w:r>
                          <w:rPr>
                            <w:w w:val="100"/>
                            <w:sz w:val="21"/>
                          </w:rPr>
                          <w:t>（8</w:t>
                        </w:r>
                        <w:r>
                          <w:rPr>
                            <w:spacing w:val="-106"/>
                            <w:w w:val="100"/>
                            <w:sz w:val="21"/>
                          </w:rPr>
                          <w:t>）</w:t>
                        </w:r>
                        <w:r>
                          <w:rPr>
                            <w:rFonts w:ascii="黑体" w:eastAsia="黑体" w:hint="eastAsia"/>
                            <w:b/>
                            <w:w w:val="100"/>
                            <w:sz w:val="21"/>
                          </w:rPr>
                          <w:t>遗传性疾病</w:t>
                        </w:r>
                        <w:r>
                          <w:rPr>
                            <w:rFonts w:ascii="黑体" w:eastAsia="黑体" w:hint="eastAsia"/>
                            <w:b/>
                            <w:spacing w:val="-46"/>
                            <w:sz w:val="21"/>
                          </w:rPr>
                          <w:t> </w:t>
                        </w:r>
                        <w:hyperlink w:history="true" w:anchor="_bookmark9">
                          <w:r>
                            <w:rPr>
                              <w:rFonts w:ascii="黑体" w:eastAsia="黑体" w:hint="eastAsia"/>
                              <w:b/>
                              <w:spacing w:val="-44"/>
                              <w:w w:val="99"/>
                              <w:position w:val="11"/>
                              <w:sz w:val="11"/>
                            </w:rPr>
                            <w:t>1</w:t>
                          </w:r>
                          <w:r>
                            <w:rPr>
                              <w:spacing w:val="-166"/>
                              <w:w w:val="100"/>
                              <w:sz w:val="21"/>
                            </w:rPr>
                            <w:t>（</w:t>
                          </w:r>
                          <w:r>
                            <w:rPr>
                              <w:rFonts w:ascii="黑体" w:eastAsia="黑体" w:hint="eastAsia"/>
                              <w:b/>
                              <w:w w:val="99"/>
                              <w:position w:val="11"/>
                              <w:sz w:val="11"/>
                            </w:rPr>
                            <w:t>0</w:t>
                          </w:r>
                        </w:hyperlink>
                      </w:p>
                    </w:tc>
                    <w:tc>
                      <w:tcPr>
                        <w:tcW w:w="2782" w:type="dxa"/>
                        <w:tcBorders>
                          <w:top w:val="single" w:sz="18" w:space="0" w:color="FFFFFF"/>
                          <w:bottom w:val="single" w:sz="18" w:space="0" w:color="FFFFFF"/>
                        </w:tcBorders>
                      </w:tcPr>
                      <w:p>
                        <w:pPr>
                          <w:pStyle w:val="TableParagraph"/>
                          <w:spacing w:line="240" w:lineRule="exact"/>
                          <w:ind w:left="126" w:right="-87"/>
                          <w:rPr>
                            <w:sz w:val="21"/>
                          </w:rPr>
                        </w:pPr>
                        <w:r>
                          <w:rPr>
                            <w:spacing w:val="-3"/>
                            <w:sz w:val="21"/>
                          </w:rPr>
                          <w:t>不包括严重肾髓质囊性病及严</w:t>
                        </w:r>
                      </w:p>
                    </w:tc>
                  </w:tr>
                  <w:tr>
                    <w:trPr>
                      <w:trHeight w:val="267" w:hRule="atLeast"/>
                    </w:trPr>
                    <w:tc>
                      <w:tcPr>
                        <w:tcW w:w="1097" w:type="dxa"/>
                        <w:tcBorders>
                          <w:top w:val="single" w:sz="18" w:space="0" w:color="FFFFFF"/>
                          <w:bottom w:val="single" w:sz="18" w:space="0" w:color="FFFFFF"/>
                        </w:tcBorders>
                      </w:tcPr>
                      <w:p>
                        <w:pPr>
                          <w:pStyle w:val="TableParagraph"/>
                          <w:spacing w:line="240" w:lineRule="exact"/>
                          <w:ind w:left="484" w:right="-29"/>
                          <w:rPr>
                            <w:sz w:val="21"/>
                          </w:rPr>
                        </w:pPr>
                        <w:r>
                          <w:rPr>
                            <w:w w:val="100"/>
                            <w:sz w:val="21"/>
                          </w:rPr>
                          <w:t>病</w:t>
                        </w:r>
                        <w:r>
                          <w:rPr>
                            <w:spacing w:val="-106"/>
                            <w:w w:val="100"/>
                            <w:sz w:val="21"/>
                          </w:rPr>
                          <w:t>））</w:t>
                        </w:r>
                        <w:r>
                          <w:rPr>
                            <w:w w:val="100"/>
                            <w:sz w:val="21"/>
                          </w:rPr>
                          <w:t>，</w:t>
                        </w:r>
                      </w:p>
                    </w:tc>
                    <w:tc>
                      <w:tcPr>
                        <w:tcW w:w="3339" w:type="dxa"/>
                        <w:gridSpan w:val="2"/>
                        <w:tcBorders>
                          <w:top w:val="single" w:sz="18" w:space="0" w:color="FFFFFF"/>
                          <w:bottom w:val="single" w:sz="18" w:space="0" w:color="FFFFFF"/>
                        </w:tcBorders>
                        <w:shd w:val="clear" w:color="auto" w:fill="DADADA"/>
                      </w:tcPr>
                      <w:p>
                        <w:pPr>
                          <w:pStyle w:val="TableParagraph"/>
                          <w:spacing w:line="240" w:lineRule="exact"/>
                          <w:ind w:left="19" w:right="-29"/>
                          <w:rPr>
                            <w:sz w:val="21"/>
                          </w:rPr>
                        </w:pPr>
                        <w:r>
                          <w:rPr>
                            <w:rFonts w:ascii="黑体" w:eastAsia="黑体" w:hint="eastAsia"/>
                            <w:b/>
                            <w:spacing w:val="-5"/>
                            <w:sz w:val="21"/>
                          </w:rPr>
                          <w:t>先天性畸形、变形或染色体异常 </w:t>
                        </w:r>
                        <w:hyperlink w:history="true" w:anchor="_bookmark10">
                          <w:r>
                            <w:rPr>
                              <w:rFonts w:ascii="黑体" w:eastAsia="黑体" w:hint="eastAsia"/>
                              <w:b/>
                              <w:position w:val="11"/>
                              <w:sz w:val="11"/>
                            </w:rPr>
                            <w:t>11</w:t>
                          </w:r>
                        </w:hyperlink>
                        <w:r>
                          <w:rPr>
                            <w:sz w:val="21"/>
                          </w:rPr>
                          <w:t>。</w:t>
                        </w:r>
                      </w:p>
                    </w:tc>
                  </w:tr>
                </w:tbl>
                <w:p>
                  <w:pPr>
                    <w:pStyle w:val="BodyText"/>
                  </w:pPr>
                </w:p>
              </w:txbxContent>
            </v:textbox>
            <w10:wrap type="none"/>
          </v:shape>
        </w:pict>
      </w:r>
      <w:r>
        <w:rPr/>
        <w:t>重肝豆状核变性（Wilson</w:t>
      </w:r>
    </w:p>
    <w:p>
      <w:pPr>
        <w:spacing w:after="0"/>
        <w:sectPr>
          <w:type w:val="continuous"/>
          <w:pgSz w:w="11910" w:h="16840"/>
          <w:pgMar w:top="440" w:bottom="280" w:left="800" w:right="800"/>
          <w:cols w:num="2" w:equalWidth="0">
            <w:col w:w="7282" w:space="40"/>
            <w:col w:w="2988"/>
          </w:cols>
        </w:sectPr>
      </w:pPr>
    </w:p>
    <w:p>
      <w:pPr>
        <w:pStyle w:val="BodyText"/>
        <w:spacing w:before="12"/>
        <w:rPr>
          <w:sz w:val="23"/>
        </w:rPr>
      </w:pPr>
    </w:p>
    <w:p>
      <w:pPr>
        <w:pStyle w:val="BodyText"/>
        <w:spacing w:line="273" w:lineRule="auto" w:before="36"/>
        <w:ind w:left="3392" w:right="214"/>
        <w:jc w:val="both"/>
      </w:pPr>
      <w:r>
        <w:rPr>
          <w:shd w:fill="DADADA" w:color="auto" w:val="clear"/>
        </w:rPr>
        <w:t>发生上述第（1）项情形导致被保险人初次发生“重大疾病”的，本附加</w:t>
      </w:r>
      <w:r>
        <w:rPr>
          <w:spacing w:val="-1"/>
          <w:shd w:fill="DADADA" w:color="auto" w:val="clear"/>
        </w:rPr>
        <w:t>险合同</w:t>
      </w:r>
      <w:r>
        <w:rPr>
          <w:spacing w:val="-19"/>
          <w:shd w:fill="DADADA" w:color="auto" w:val="clear"/>
        </w:rPr>
        <w:t>终止，主险合同同时终止，我们向被保险人退还本附加险合同及主险</w:t>
      </w:r>
      <w:r>
        <w:rPr>
          <w:spacing w:val="-3"/>
          <w:shd w:fill="DADADA" w:color="auto" w:val="clear"/>
        </w:rPr>
        <w:t>合同的现金价值。</w:t>
      </w:r>
    </w:p>
    <w:p>
      <w:pPr>
        <w:pStyle w:val="BodyText"/>
        <w:spacing w:line="273" w:lineRule="auto" w:before="7"/>
        <w:ind w:left="3392" w:right="213"/>
        <w:jc w:val="both"/>
      </w:pPr>
      <w:r>
        <w:rPr>
          <w:spacing w:val="-6"/>
          <w:shd w:fill="DADADA" w:color="auto" w:val="clear"/>
        </w:rPr>
        <w:t>发生上述其他情形导致被保险人初次发生“重大疾病”的，本附加险合同</w:t>
      </w:r>
      <w:r>
        <w:rPr>
          <w:spacing w:val="-7"/>
          <w:shd w:fill="DADADA" w:color="auto" w:val="clear"/>
        </w:rPr>
        <w:t>终止，主险合同同时终止，我们向您退还本附加险合同及主险合同的现金</w:t>
      </w:r>
      <w:r>
        <w:rPr>
          <w:shd w:fill="DADADA" w:color="auto" w:val="clear"/>
        </w:rPr>
        <w:t>价值。</w:t>
      </w:r>
    </w:p>
    <w:p>
      <w:pPr>
        <w:pStyle w:val="BodyText"/>
        <w:spacing w:after="1"/>
        <w:rPr>
          <w:sz w:val="2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1953"/>
        <w:gridCol w:w="7289"/>
      </w:tblGrid>
      <w:tr>
        <w:trPr>
          <w:trHeight w:val="1028" w:hRule="atLeast"/>
        </w:trPr>
        <w:tc>
          <w:tcPr>
            <w:tcW w:w="837" w:type="dxa"/>
          </w:tcPr>
          <w:p>
            <w:pPr>
              <w:pStyle w:val="TableParagraph"/>
              <w:spacing w:line="211" w:lineRule="exact"/>
              <w:ind w:right="215"/>
              <w:jc w:val="right"/>
              <w:rPr>
                <w:b/>
                <w:sz w:val="21"/>
              </w:rPr>
            </w:pPr>
            <w:r>
              <w:rPr>
                <w:b/>
                <w:sz w:val="21"/>
              </w:rPr>
              <w:t>2.2</w:t>
            </w:r>
          </w:p>
        </w:tc>
        <w:tc>
          <w:tcPr>
            <w:tcW w:w="1953" w:type="dxa"/>
          </w:tcPr>
          <w:p>
            <w:pPr>
              <w:pStyle w:val="TableParagraph"/>
              <w:spacing w:line="211" w:lineRule="exact"/>
              <w:ind w:left="197"/>
              <w:rPr>
                <w:b/>
                <w:sz w:val="21"/>
              </w:rPr>
            </w:pPr>
            <w:r>
              <w:rPr>
                <w:b/>
                <w:sz w:val="21"/>
              </w:rPr>
              <w:t>其他免责条款</w:t>
            </w:r>
          </w:p>
        </w:tc>
        <w:tc>
          <w:tcPr>
            <w:tcW w:w="7289" w:type="dxa"/>
          </w:tcPr>
          <w:p>
            <w:pPr>
              <w:pStyle w:val="TableParagraph"/>
              <w:spacing w:line="211" w:lineRule="exact"/>
              <w:ind w:left="490" w:right="-15"/>
              <w:rPr>
                <w:sz w:val="21"/>
              </w:rPr>
            </w:pPr>
            <w:r>
              <w:rPr>
                <w:spacing w:val="-14"/>
                <w:sz w:val="21"/>
              </w:rPr>
              <w:t>除“</w:t>
            </w:r>
            <w:r>
              <w:rPr>
                <w:sz w:val="21"/>
              </w:rPr>
              <w:t>2.1</w:t>
            </w:r>
            <w:r>
              <w:rPr>
                <w:spacing w:val="-10"/>
                <w:sz w:val="21"/>
              </w:rPr>
              <w:t> 责任免除”外，本附加险合同中还有一些免除保险人责任的条款，</w:t>
            </w:r>
          </w:p>
          <w:p>
            <w:pPr>
              <w:pStyle w:val="TableParagraph"/>
              <w:spacing w:line="273" w:lineRule="auto" w:before="37"/>
              <w:ind w:left="491" w:right="97" w:hanging="1"/>
              <w:rPr>
                <w:sz w:val="21"/>
              </w:rPr>
            </w:pPr>
            <w:r>
              <w:rPr>
                <w:sz w:val="21"/>
              </w:rPr>
              <w:t>详见“1.1</w:t>
            </w:r>
            <w:r>
              <w:rPr>
                <w:spacing w:val="-37"/>
                <w:sz w:val="21"/>
              </w:rPr>
              <w:t> 保险责任”、</w:t>
            </w:r>
            <w:r>
              <w:rPr>
                <w:sz w:val="21"/>
              </w:rPr>
              <w:t>“7</w:t>
            </w:r>
            <w:r>
              <w:rPr>
                <w:spacing w:val="-24"/>
                <w:sz w:val="21"/>
              </w:rPr>
              <w:t> 重大疾病释义”、“脚注 </w:t>
            </w:r>
            <w:r>
              <w:rPr>
                <w:sz w:val="21"/>
              </w:rPr>
              <w:t>1</w:t>
            </w:r>
            <w:r>
              <w:rPr>
                <w:spacing w:val="-7"/>
                <w:sz w:val="21"/>
              </w:rPr>
              <w:t> 医院”中背景突出显</w:t>
            </w:r>
            <w:r>
              <w:rPr>
                <w:spacing w:val="-4"/>
                <w:sz w:val="21"/>
              </w:rPr>
              <w:t>示的内容。</w:t>
            </w:r>
          </w:p>
        </w:tc>
      </w:tr>
      <w:tr>
        <w:trPr>
          <w:trHeight w:val="996" w:hRule="atLeast"/>
        </w:trPr>
        <w:tc>
          <w:tcPr>
            <w:tcW w:w="837" w:type="dxa"/>
            <w:tcBorders>
              <w:bottom w:val="single" w:sz="8" w:space="0" w:color="000000"/>
            </w:tcBorders>
          </w:tcPr>
          <w:p>
            <w:pPr>
              <w:pStyle w:val="TableParagraph"/>
              <w:spacing w:before="156"/>
              <w:ind w:right="194"/>
              <w:jc w:val="right"/>
              <w:rPr>
                <w:rFonts w:ascii="Arial" w:hAnsi="Arial"/>
                <w:b/>
                <w:sz w:val="40"/>
              </w:rPr>
            </w:pPr>
            <w:r>
              <w:rPr>
                <w:rFonts w:ascii="Arial" w:hAnsi="Arial"/>
                <w:b/>
                <w:w w:val="119"/>
                <w:sz w:val="40"/>
              </w:rPr>
              <w:t></w:t>
            </w:r>
          </w:p>
        </w:tc>
        <w:tc>
          <w:tcPr>
            <w:tcW w:w="9242" w:type="dxa"/>
            <w:gridSpan w:val="2"/>
            <w:tcBorders>
              <w:bottom w:val="single" w:sz="8" w:space="0" w:color="000000"/>
            </w:tcBorders>
          </w:tcPr>
          <w:p>
            <w:pPr>
              <w:pStyle w:val="TableParagraph"/>
              <w:spacing w:before="11"/>
              <w:rPr>
                <w:sz w:val="17"/>
              </w:rPr>
            </w:pPr>
          </w:p>
          <w:p>
            <w:pPr>
              <w:pStyle w:val="TableParagraph"/>
              <w:ind w:left="197"/>
              <w:rPr>
                <w:b/>
                <w:sz w:val="24"/>
              </w:rPr>
            </w:pPr>
            <w:r>
              <w:rPr>
                <w:b/>
                <w:w w:val="95"/>
                <w:sz w:val="24"/>
              </w:rPr>
              <w:t>如何支付保险费</w:t>
            </w:r>
          </w:p>
          <w:p>
            <w:pPr>
              <w:pStyle w:val="TableParagraph"/>
              <w:spacing w:before="86"/>
              <w:ind w:left="197"/>
              <w:rPr>
                <w:sz w:val="24"/>
              </w:rPr>
            </w:pPr>
            <w:r>
              <w:rPr>
                <w:sz w:val="24"/>
              </w:rPr>
              <w:t>这部分讲的是您应当按时交纳保险费，如果不及时交费可能会导致合同效力中止。</w:t>
            </w:r>
          </w:p>
        </w:tc>
      </w:tr>
      <w:tr>
        <w:trPr>
          <w:trHeight w:val="1654" w:hRule="atLeast"/>
        </w:trPr>
        <w:tc>
          <w:tcPr>
            <w:tcW w:w="837" w:type="dxa"/>
            <w:tcBorders>
              <w:top w:val="single" w:sz="8" w:space="0" w:color="000000"/>
            </w:tcBorders>
          </w:tcPr>
          <w:p>
            <w:pPr>
              <w:pStyle w:val="TableParagraph"/>
              <w:spacing w:before="12"/>
              <w:rPr>
                <w:sz w:val="16"/>
              </w:rPr>
            </w:pPr>
          </w:p>
          <w:p>
            <w:pPr>
              <w:pStyle w:val="TableParagraph"/>
              <w:spacing w:before="1"/>
              <w:ind w:right="215"/>
              <w:jc w:val="right"/>
              <w:rPr>
                <w:b/>
                <w:sz w:val="21"/>
              </w:rPr>
            </w:pPr>
            <w:r>
              <w:rPr>
                <w:b/>
                <w:sz w:val="21"/>
              </w:rPr>
              <w:t>3.1</w:t>
            </w:r>
          </w:p>
        </w:tc>
        <w:tc>
          <w:tcPr>
            <w:tcW w:w="1953" w:type="dxa"/>
            <w:tcBorders>
              <w:top w:val="single" w:sz="8" w:space="0" w:color="000000"/>
            </w:tcBorders>
          </w:tcPr>
          <w:p>
            <w:pPr>
              <w:pStyle w:val="TableParagraph"/>
              <w:spacing w:before="12"/>
              <w:rPr>
                <w:sz w:val="16"/>
              </w:rPr>
            </w:pPr>
          </w:p>
          <w:p>
            <w:pPr>
              <w:pStyle w:val="TableParagraph"/>
              <w:spacing w:before="1"/>
              <w:ind w:left="197"/>
              <w:rPr>
                <w:b/>
                <w:sz w:val="21"/>
              </w:rPr>
            </w:pPr>
            <w:r>
              <w:rPr>
                <w:b/>
                <w:sz w:val="21"/>
              </w:rPr>
              <w:t>保险费的支付</w:t>
            </w:r>
          </w:p>
        </w:tc>
        <w:tc>
          <w:tcPr>
            <w:tcW w:w="7289" w:type="dxa"/>
            <w:tcBorders>
              <w:top w:val="single" w:sz="8" w:space="0" w:color="000000"/>
            </w:tcBorders>
          </w:tcPr>
          <w:p>
            <w:pPr>
              <w:pStyle w:val="TableParagraph"/>
              <w:spacing w:before="12"/>
              <w:rPr>
                <w:sz w:val="16"/>
              </w:rPr>
            </w:pPr>
          </w:p>
          <w:p>
            <w:pPr>
              <w:pStyle w:val="TableParagraph"/>
              <w:spacing w:line="273" w:lineRule="auto" w:before="1"/>
              <w:ind w:left="490" w:right="73"/>
              <w:jc w:val="both"/>
              <w:rPr>
                <w:sz w:val="21"/>
              </w:rPr>
            </w:pPr>
            <w:r>
              <w:rPr>
                <w:spacing w:val="-3"/>
                <w:sz w:val="21"/>
              </w:rPr>
              <w:t>本附加险合同的交费方式和交费期间由您和我们约定并在保险单上载明。</w:t>
            </w:r>
            <w:r>
              <w:rPr>
                <w:spacing w:val="-17"/>
                <w:sz w:val="21"/>
              </w:rPr>
              <w:t>分期支付保险费的，在支付首期保险费后，您应当在</w:t>
            </w:r>
            <w:r>
              <w:rPr>
                <w:rFonts w:ascii="黑体" w:eastAsia="黑体" w:hint="eastAsia"/>
                <w:b/>
                <w:spacing w:val="-4"/>
                <w:sz w:val="21"/>
              </w:rPr>
              <w:t>保险费约定支付日 </w:t>
            </w:r>
            <w:hyperlink w:history="true" w:anchor="_bookmark11">
              <w:r>
                <w:rPr>
                  <w:rFonts w:ascii="黑体" w:eastAsia="黑体" w:hint="eastAsia"/>
                  <w:b/>
                  <w:position w:val="11"/>
                  <w:sz w:val="11"/>
                </w:rPr>
                <w:t>12</w:t>
              </w:r>
            </w:hyperlink>
            <w:r>
              <w:rPr>
                <w:sz w:val="21"/>
              </w:rPr>
              <w:t>支</w:t>
            </w:r>
            <w:r>
              <w:rPr>
                <w:spacing w:val="-3"/>
                <w:sz w:val="21"/>
              </w:rPr>
              <w:t>付其余各期的保险费。</w:t>
            </w:r>
          </w:p>
          <w:p>
            <w:pPr>
              <w:pStyle w:val="TableParagraph"/>
              <w:spacing w:before="7"/>
              <w:ind w:left="490"/>
              <w:jc w:val="both"/>
              <w:rPr>
                <w:sz w:val="21"/>
              </w:rPr>
            </w:pPr>
            <w:r>
              <w:rPr>
                <w:sz w:val="21"/>
              </w:rPr>
              <w:t>本附加险合同的保险费必须随主险合同保险费一同支付，不能单独支付。</w:t>
            </w:r>
          </w:p>
        </w:tc>
      </w:tr>
      <w:tr>
        <w:trPr>
          <w:trHeight w:val="1991" w:hRule="atLeast"/>
        </w:trPr>
        <w:tc>
          <w:tcPr>
            <w:tcW w:w="837" w:type="dxa"/>
          </w:tcPr>
          <w:p>
            <w:pPr>
              <w:pStyle w:val="TableParagraph"/>
              <w:spacing w:before="157"/>
              <w:ind w:right="215"/>
              <w:jc w:val="right"/>
              <w:rPr>
                <w:b/>
                <w:sz w:val="21"/>
              </w:rPr>
            </w:pPr>
            <w:r>
              <w:rPr>
                <w:b/>
                <w:sz w:val="21"/>
              </w:rPr>
              <w:t>3.2</w:t>
            </w:r>
          </w:p>
        </w:tc>
        <w:tc>
          <w:tcPr>
            <w:tcW w:w="1953" w:type="dxa"/>
          </w:tcPr>
          <w:p>
            <w:pPr>
              <w:pStyle w:val="TableParagraph"/>
              <w:spacing w:before="157"/>
              <w:ind w:left="197"/>
              <w:rPr>
                <w:b/>
                <w:sz w:val="21"/>
              </w:rPr>
            </w:pPr>
            <w:r>
              <w:rPr>
                <w:b/>
                <w:sz w:val="21"/>
              </w:rPr>
              <w:t>宽限期</w:t>
            </w:r>
          </w:p>
        </w:tc>
        <w:tc>
          <w:tcPr>
            <w:tcW w:w="7289" w:type="dxa"/>
          </w:tcPr>
          <w:p>
            <w:pPr>
              <w:pStyle w:val="TableParagraph"/>
              <w:spacing w:line="273" w:lineRule="auto" w:before="157"/>
              <w:ind w:left="490" w:right="73"/>
              <w:jc w:val="both"/>
              <w:rPr>
                <w:sz w:val="21"/>
              </w:rPr>
            </w:pPr>
            <w:r>
              <w:rPr>
                <w:sz w:val="21"/>
              </w:rPr>
              <w:t>分期支付保险费的，在支付首期保险费后，除本附加险合同另有约定外， 如果您到期未支付保险费，自保险费约定支付日的次日零时起 60 日为宽限期。宽限期内发生的保险事故，我们仍会承担保险责任，但在给付保险金时会扣减您欠交的保险费。</w:t>
            </w:r>
          </w:p>
          <w:p>
            <w:pPr>
              <w:pStyle w:val="TableParagraph"/>
              <w:spacing w:line="312" w:lineRule="exact" w:before="3"/>
              <w:ind w:left="490" w:right="99"/>
              <w:jc w:val="both"/>
              <w:rPr>
                <w:sz w:val="21"/>
              </w:rPr>
            </w:pPr>
            <w:r>
              <w:rPr>
                <w:spacing w:val="-5"/>
                <w:sz w:val="21"/>
              </w:rPr>
              <w:t>如果您宽限期结束之后仍未支付保险费，则本附加险合同自宽限期满的次</w:t>
            </w:r>
            <w:r>
              <w:rPr>
                <w:spacing w:val="-4"/>
                <w:sz w:val="21"/>
              </w:rPr>
              <w:t>日零时起效力中止。</w:t>
            </w:r>
          </w:p>
        </w:tc>
      </w:tr>
    </w:tbl>
    <w:p>
      <w:pPr>
        <w:pStyle w:val="BodyText"/>
        <w:rPr>
          <w:sz w:val="20"/>
        </w:rPr>
      </w:pPr>
    </w:p>
    <w:p>
      <w:pPr>
        <w:pStyle w:val="BodyText"/>
        <w:rPr>
          <w:sz w:val="20"/>
        </w:rPr>
      </w:pPr>
    </w:p>
    <w:p>
      <w:pPr>
        <w:pStyle w:val="BodyText"/>
        <w:spacing w:before="10"/>
        <w:rPr>
          <w:sz w:val="15"/>
        </w:rPr>
      </w:pPr>
      <w:r>
        <w:rPr/>
        <w:pict>
          <v:line style="position:absolute;mso-position-horizontal-relative:page;mso-position-vertical-relative:paragraph;z-index:1288;mso-wrap-distance-left:0;mso-wrap-distance-right:0" from="51pt,12.557525pt" to="195pt,12.557525pt" stroked="true" strokeweight=".48pt" strokecolor="#000000">
            <v:stroke dashstyle="solid"/>
            <w10:wrap type="topAndBottom"/>
          </v:line>
        </w:pict>
      </w:r>
    </w:p>
    <w:p>
      <w:pPr>
        <w:spacing w:line="256" w:lineRule="auto" w:before="25"/>
        <w:ind w:left="400" w:right="222" w:hanging="180"/>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72" w:lineRule="exact" w:before="0"/>
        <w:ind w:left="220" w:right="0" w:firstLine="0"/>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78" w:lineRule="exact" w:before="28"/>
        <w:ind w:left="400" w:right="218" w:hanging="181"/>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 AIDS。</w:t>
      </w:r>
    </w:p>
    <w:p>
      <w:pPr>
        <w:spacing w:line="285" w:lineRule="auto" w:before="14"/>
        <w:ind w:left="431" w:right="150"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5" w:lineRule="exact" w:before="0"/>
        <w:ind w:left="220" w:right="0" w:firstLine="0"/>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30" w:lineRule="exact" w:before="25"/>
        <w:ind w:left="399" w:right="0" w:firstLine="0"/>
        <w:jc w:val="left"/>
        <w:rPr>
          <w:sz w:val="18"/>
        </w:rPr>
      </w:pPr>
      <w:r>
        <w:rPr>
          <w:sz w:val="18"/>
        </w:rPr>
        <w:t>直传递的特征。</w:t>
      </w:r>
    </w:p>
    <w:p>
      <w:pPr>
        <w:spacing w:line="278" w:lineRule="exact" w:before="39"/>
        <w:ind w:left="400" w:right="215" w:hanging="180"/>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pacing w:val="-2"/>
          <w:sz w:val="18"/>
        </w:rPr>
        <w:t>先天性畸形、变形或染色体异常</w:t>
      </w:r>
      <w:r>
        <w:rPr>
          <w:spacing w:val="-4"/>
          <w:sz w:val="18"/>
        </w:rPr>
        <w:t>指被保险人出生时就具有的畸形、变形或染色体异常。先天性畸形、变形和染色体异常依照</w:t>
      </w:r>
      <w:r>
        <w:rPr>
          <w:spacing w:val="-5"/>
          <w:sz w:val="18"/>
        </w:rPr>
        <w:t>世界卫生组织《疾病和有关健康问题的国际统计分类》</w:t>
      </w:r>
      <w:r>
        <w:rPr>
          <w:sz w:val="18"/>
        </w:rPr>
        <w:t>（ICD-10）确定。</w:t>
      </w:r>
    </w:p>
    <w:p>
      <w:pPr>
        <w:spacing w:line="280" w:lineRule="exact" w:before="1"/>
        <w:ind w:left="400" w:right="218" w:hanging="180"/>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保险费约定支付日</w:t>
      </w:r>
      <w:r>
        <w:rPr>
          <w:sz w:val="18"/>
        </w:rPr>
        <w:t>指保险合同生效日在每月、每季、每半年或每年（根据交费方式确定）的对应日。如果当月无对应的同一日，则以该月最后一日为对应日。</w:t>
      </w:r>
    </w:p>
    <w:p>
      <w:pPr>
        <w:spacing w:after="0" w:line="280" w:lineRule="exact"/>
        <w:jc w:val="left"/>
        <w:rPr>
          <w:sz w:val="18"/>
        </w:rPr>
        <w:sectPr>
          <w:type w:val="continuous"/>
          <w:pgSz w:w="11910" w:h="16840"/>
          <w:pgMar w:top="44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2335"/>
        <w:gridCol w:w="6913"/>
      </w:tblGrid>
      <w:tr>
        <w:trPr>
          <w:trHeight w:val="2249" w:hRule="atLeast"/>
        </w:trPr>
        <w:tc>
          <w:tcPr>
            <w:tcW w:w="837" w:type="dxa"/>
          </w:tcPr>
          <w:p>
            <w:pPr>
              <w:pStyle w:val="TableParagraph"/>
              <w:spacing w:line="211" w:lineRule="exact"/>
              <w:ind w:right="215"/>
              <w:jc w:val="right"/>
              <w:rPr>
                <w:b/>
                <w:sz w:val="21"/>
              </w:rPr>
            </w:pPr>
            <w:r>
              <w:rPr>
                <w:b/>
                <w:sz w:val="21"/>
              </w:rPr>
              <w:t>3.3</w:t>
            </w:r>
          </w:p>
        </w:tc>
        <w:tc>
          <w:tcPr>
            <w:tcW w:w="2335" w:type="dxa"/>
          </w:tcPr>
          <w:p>
            <w:pPr>
              <w:pStyle w:val="TableParagraph"/>
              <w:spacing w:line="211" w:lineRule="exact"/>
              <w:ind w:left="197"/>
              <w:rPr>
                <w:b/>
                <w:sz w:val="21"/>
              </w:rPr>
            </w:pPr>
            <w:r>
              <w:rPr>
                <w:b/>
                <w:sz w:val="21"/>
              </w:rPr>
              <w:t>效力中止与恢复</w:t>
            </w:r>
          </w:p>
        </w:tc>
        <w:tc>
          <w:tcPr>
            <w:tcW w:w="6913" w:type="dxa"/>
          </w:tcPr>
          <w:p>
            <w:pPr>
              <w:pStyle w:val="TableParagraph"/>
              <w:spacing w:line="211" w:lineRule="exact"/>
              <w:ind w:left="108"/>
              <w:rPr>
                <w:sz w:val="21"/>
              </w:rPr>
            </w:pPr>
            <w:r>
              <w:rPr>
                <w:sz w:val="21"/>
              </w:rPr>
              <w:t>在本附加险合同效力中止期间，我们不承担保险责任。</w:t>
            </w:r>
          </w:p>
          <w:p>
            <w:pPr>
              <w:pStyle w:val="TableParagraph"/>
              <w:spacing w:line="273" w:lineRule="auto" w:before="37"/>
              <w:ind w:left="108" w:right="106"/>
              <w:rPr>
                <w:sz w:val="21"/>
              </w:rPr>
            </w:pPr>
            <w:r>
              <w:rPr>
                <w:spacing w:val="-6"/>
                <w:sz w:val="21"/>
              </w:rPr>
              <w:t>本附加险合同效力中止后 </w:t>
            </w:r>
            <w:r>
              <w:rPr>
                <w:sz w:val="21"/>
              </w:rPr>
              <w:t>2</w:t>
            </w:r>
            <w:r>
              <w:rPr>
                <w:spacing w:val="-10"/>
                <w:sz w:val="21"/>
              </w:rPr>
              <w:t> 年内，您可以申请恢复合同效力。经您与我们</w:t>
            </w:r>
            <w:r>
              <w:rPr>
                <w:spacing w:val="-5"/>
                <w:sz w:val="21"/>
              </w:rPr>
              <w:t>协商并达成协议，自您补交保险费之日起，合同效力恢复。</w:t>
            </w:r>
          </w:p>
          <w:p>
            <w:pPr>
              <w:pStyle w:val="TableParagraph"/>
              <w:spacing w:before="7"/>
              <w:ind w:left="108"/>
              <w:rPr>
                <w:sz w:val="21"/>
              </w:rPr>
            </w:pPr>
            <w:r>
              <w:rPr>
                <w:sz w:val="21"/>
              </w:rPr>
              <w:t>主险合同效力中止期间，本附加险合同不得单独申请复效。</w:t>
            </w:r>
          </w:p>
          <w:p>
            <w:pPr>
              <w:pStyle w:val="TableParagraph"/>
              <w:spacing w:line="273" w:lineRule="auto" w:before="36"/>
              <w:ind w:left="109" w:right="103" w:hanging="1"/>
              <w:jc w:val="both"/>
              <w:rPr>
                <w:sz w:val="21"/>
              </w:rPr>
            </w:pPr>
            <w:r>
              <w:rPr>
                <w:spacing w:val="-6"/>
                <w:sz w:val="21"/>
              </w:rPr>
              <w:t>自本附加险合同效力中止之日起满 </w:t>
            </w:r>
            <w:r>
              <w:rPr>
                <w:sz w:val="21"/>
              </w:rPr>
              <w:t>2</w:t>
            </w:r>
            <w:r>
              <w:rPr>
                <w:spacing w:val="-10"/>
                <w:sz w:val="21"/>
              </w:rPr>
              <w:t> 年您和我们未达成协议的，我们有权</w:t>
            </w:r>
            <w:r>
              <w:rPr>
                <w:spacing w:val="-8"/>
                <w:sz w:val="21"/>
              </w:rPr>
              <w:t>解除合同。我们解除合同的，向您退还合同效力中止时本附加险合同的现</w:t>
            </w:r>
            <w:r>
              <w:rPr>
                <w:spacing w:val="-6"/>
                <w:sz w:val="21"/>
              </w:rPr>
              <w:t>金价值。</w:t>
            </w:r>
          </w:p>
        </w:tc>
      </w:tr>
      <w:tr>
        <w:trPr>
          <w:trHeight w:val="967" w:hRule="atLeast"/>
        </w:trPr>
        <w:tc>
          <w:tcPr>
            <w:tcW w:w="837" w:type="dxa"/>
            <w:tcBorders>
              <w:bottom w:val="single" w:sz="8" w:space="0" w:color="000000"/>
            </w:tcBorders>
          </w:tcPr>
          <w:p>
            <w:pPr>
              <w:pStyle w:val="TableParagraph"/>
              <w:spacing w:before="129"/>
              <w:ind w:right="194"/>
              <w:jc w:val="right"/>
              <w:rPr>
                <w:rFonts w:ascii="Arial" w:hAnsi="Arial"/>
                <w:b/>
                <w:sz w:val="40"/>
              </w:rPr>
            </w:pPr>
            <w:r>
              <w:rPr>
                <w:rFonts w:ascii="Arial" w:hAnsi="Arial"/>
                <w:b/>
                <w:w w:val="119"/>
                <w:sz w:val="40"/>
              </w:rPr>
              <w:t></w:t>
            </w:r>
          </w:p>
        </w:tc>
        <w:tc>
          <w:tcPr>
            <w:tcW w:w="9248" w:type="dxa"/>
            <w:gridSpan w:val="2"/>
            <w:tcBorders>
              <w:bottom w:val="single" w:sz="8" w:space="0" w:color="000000"/>
            </w:tcBorders>
          </w:tcPr>
          <w:p>
            <w:pPr>
              <w:pStyle w:val="TableParagraph"/>
              <w:spacing w:before="207"/>
              <w:ind w:left="197"/>
              <w:rPr>
                <w:b/>
                <w:sz w:val="24"/>
              </w:rPr>
            </w:pPr>
            <w:r>
              <w:rPr>
                <w:b/>
                <w:w w:val="95"/>
                <w:sz w:val="24"/>
              </w:rPr>
              <w:t>如何领取保险金</w:t>
            </w:r>
          </w:p>
          <w:p>
            <w:pPr>
              <w:pStyle w:val="TableParagraph"/>
              <w:spacing w:before="83"/>
              <w:ind w:left="197"/>
              <w:rPr>
                <w:sz w:val="24"/>
              </w:rPr>
            </w:pPr>
            <w:r>
              <w:rPr>
                <w:sz w:val="24"/>
              </w:rPr>
              <w:t>这部分讲的是发生保险事故后受益人如何领取保险金。</w:t>
            </w:r>
          </w:p>
        </w:tc>
      </w:tr>
      <w:tr>
        <w:trPr>
          <w:trHeight w:val="746" w:hRule="atLeast"/>
        </w:trPr>
        <w:tc>
          <w:tcPr>
            <w:tcW w:w="837" w:type="dxa"/>
            <w:tcBorders>
              <w:top w:val="single" w:sz="8" w:space="0" w:color="000000"/>
            </w:tcBorders>
          </w:tcPr>
          <w:p>
            <w:pPr>
              <w:pStyle w:val="TableParagraph"/>
              <w:spacing w:before="2"/>
              <w:rPr>
                <w:sz w:val="19"/>
              </w:rPr>
            </w:pPr>
          </w:p>
          <w:p>
            <w:pPr>
              <w:pStyle w:val="TableParagraph"/>
              <w:ind w:right="215"/>
              <w:jc w:val="right"/>
              <w:rPr>
                <w:b/>
                <w:sz w:val="21"/>
              </w:rPr>
            </w:pPr>
            <w:r>
              <w:rPr>
                <w:b/>
                <w:w w:val="95"/>
                <w:sz w:val="21"/>
              </w:rPr>
              <w:t>4.1</w:t>
            </w:r>
          </w:p>
        </w:tc>
        <w:tc>
          <w:tcPr>
            <w:tcW w:w="2335" w:type="dxa"/>
            <w:tcBorders>
              <w:top w:val="single" w:sz="8" w:space="0" w:color="000000"/>
            </w:tcBorders>
          </w:tcPr>
          <w:p>
            <w:pPr>
              <w:pStyle w:val="TableParagraph"/>
              <w:spacing w:before="2"/>
              <w:rPr>
                <w:sz w:val="19"/>
              </w:rPr>
            </w:pPr>
          </w:p>
          <w:p>
            <w:pPr>
              <w:pStyle w:val="TableParagraph"/>
              <w:ind w:left="197"/>
              <w:rPr>
                <w:b/>
                <w:sz w:val="21"/>
              </w:rPr>
            </w:pPr>
            <w:r>
              <w:rPr>
                <w:b/>
                <w:sz w:val="21"/>
              </w:rPr>
              <w:t>受益人</w:t>
            </w:r>
          </w:p>
        </w:tc>
        <w:tc>
          <w:tcPr>
            <w:tcW w:w="6913" w:type="dxa"/>
            <w:tcBorders>
              <w:top w:val="single" w:sz="8" w:space="0" w:color="000000"/>
            </w:tcBorders>
          </w:tcPr>
          <w:p>
            <w:pPr>
              <w:pStyle w:val="TableParagraph"/>
              <w:spacing w:before="2"/>
              <w:rPr>
                <w:sz w:val="19"/>
              </w:rPr>
            </w:pPr>
          </w:p>
          <w:p>
            <w:pPr>
              <w:pStyle w:val="TableParagraph"/>
              <w:ind w:left="108"/>
              <w:rPr>
                <w:sz w:val="21"/>
              </w:rPr>
            </w:pPr>
            <w:r>
              <w:rPr>
                <w:sz w:val="21"/>
              </w:rPr>
              <w:t>除另有指定外，重大疾病保险金受益人为被保险人本人。</w:t>
            </w:r>
          </w:p>
        </w:tc>
      </w:tr>
      <w:tr>
        <w:trPr>
          <w:trHeight w:val="642" w:hRule="atLeast"/>
        </w:trPr>
        <w:tc>
          <w:tcPr>
            <w:tcW w:w="837" w:type="dxa"/>
          </w:tcPr>
          <w:p>
            <w:pPr>
              <w:pStyle w:val="TableParagraph"/>
              <w:spacing w:before="157"/>
              <w:ind w:right="215"/>
              <w:jc w:val="right"/>
              <w:rPr>
                <w:b/>
                <w:sz w:val="21"/>
              </w:rPr>
            </w:pPr>
            <w:r>
              <w:rPr>
                <w:b/>
                <w:sz w:val="21"/>
              </w:rPr>
              <w:t>4.2</w:t>
            </w:r>
          </w:p>
        </w:tc>
        <w:tc>
          <w:tcPr>
            <w:tcW w:w="2335" w:type="dxa"/>
          </w:tcPr>
          <w:p>
            <w:pPr>
              <w:pStyle w:val="TableParagraph"/>
              <w:spacing w:before="157"/>
              <w:ind w:left="197"/>
              <w:rPr>
                <w:b/>
                <w:sz w:val="21"/>
              </w:rPr>
            </w:pPr>
            <w:r>
              <w:rPr>
                <w:b/>
                <w:sz w:val="21"/>
              </w:rPr>
              <w:t>保险金申请</w:t>
            </w:r>
          </w:p>
        </w:tc>
        <w:tc>
          <w:tcPr>
            <w:tcW w:w="6913" w:type="dxa"/>
          </w:tcPr>
          <w:p>
            <w:pPr>
              <w:pStyle w:val="TableParagraph"/>
              <w:spacing w:before="157"/>
              <w:ind w:left="108"/>
              <w:rPr>
                <w:sz w:val="21"/>
              </w:rPr>
            </w:pPr>
            <w:r>
              <w:rPr>
                <w:sz w:val="21"/>
              </w:rPr>
              <w:t>在申请保险金时，请按照下列方式办理：</w:t>
            </w:r>
          </w:p>
        </w:tc>
      </w:tr>
      <w:tr>
        <w:trPr>
          <w:trHeight w:val="2833" w:hRule="atLeast"/>
        </w:trPr>
        <w:tc>
          <w:tcPr>
            <w:tcW w:w="837" w:type="dxa"/>
          </w:tcPr>
          <w:p>
            <w:pPr>
              <w:pStyle w:val="TableParagraph"/>
              <w:rPr>
                <w:rFonts w:ascii="Times New Roman"/>
                <w:sz w:val="20"/>
              </w:rPr>
            </w:pPr>
          </w:p>
        </w:tc>
        <w:tc>
          <w:tcPr>
            <w:tcW w:w="2335" w:type="dxa"/>
          </w:tcPr>
          <w:p>
            <w:pPr>
              <w:pStyle w:val="TableParagraph"/>
              <w:spacing w:line="232" w:lineRule="auto" w:before="141"/>
              <w:ind w:left="197" w:right="105"/>
              <w:rPr>
                <w:rFonts w:ascii="等线" w:eastAsia="等线" w:hint="eastAsia"/>
                <w:b/>
                <w:sz w:val="24"/>
              </w:rPr>
            </w:pPr>
            <w:r>
              <w:rPr>
                <w:rFonts w:ascii="等线" w:eastAsia="等线" w:hint="eastAsia"/>
                <w:b/>
                <w:sz w:val="24"/>
              </w:rPr>
              <w:t>重大疾病保险金申请</w:t>
            </w:r>
          </w:p>
        </w:tc>
        <w:tc>
          <w:tcPr>
            <w:tcW w:w="6913" w:type="dxa"/>
          </w:tcPr>
          <w:p>
            <w:pPr>
              <w:pStyle w:val="TableParagraph"/>
              <w:spacing w:before="167"/>
              <w:ind w:left="108"/>
              <w:rPr>
                <w:sz w:val="21"/>
              </w:rPr>
            </w:pPr>
            <w:r>
              <w:rPr>
                <w:sz w:val="21"/>
              </w:rPr>
              <w:t>由受益人填写保险金给付申请书，并提供下列证明和资料：</w:t>
            </w:r>
          </w:p>
          <w:p>
            <w:pPr>
              <w:pStyle w:val="TableParagraph"/>
              <w:spacing w:before="37"/>
              <w:ind w:left="108"/>
              <w:rPr>
                <w:sz w:val="21"/>
              </w:rPr>
            </w:pPr>
            <w:r>
              <w:rPr>
                <w:sz w:val="21"/>
              </w:rPr>
              <w:t>（1）保险合同；</w:t>
            </w:r>
          </w:p>
          <w:p>
            <w:pPr>
              <w:pStyle w:val="TableParagraph"/>
              <w:spacing w:before="37"/>
              <w:ind w:left="108"/>
              <w:rPr>
                <w:sz w:val="21"/>
              </w:rPr>
            </w:pPr>
            <w:r>
              <w:rPr>
                <w:sz w:val="21"/>
              </w:rPr>
              <w:t>（2）受益人的</w:t>
            </w:r>
            <w:r>
              <w:rPr>
                <w:rFonts w:ascii="黑体" w:eastAsia="黑体" w:hint="eastAsia"/>
                <w:b/>
                <w:sz w:val="21"/>
              </w:rPr>
              <w:t>有效身份证件 </w:t>
            </w:r>
            <w:hyperlink w:history="true" w:anchor="_bookmark12">
              <w:r>
                <w:rPr>
                  <w:rFonts w:ascii="黑体" w:eastAsia="黑体" w:hint="eastAsia"/>
                  <w:b/>
                  <w:position w:val="11"/>
                  <w:sz w:val="11"/>
                </w:rPr>
                <w:t>13</w:t>
              </w:r>
            </w:hyperlink>
            <w:r>
              <w:rPr>
                <w:sz w:val="21"/>
              </w:rPr>
              <w:t>；</w:t>
            </w:r>
          </w:p>
          <w:p>
            <w:pPr>
              <w:pStyle w:val="TableParagraph"/>
              <w:spacing w:line="273" w:lineRule="auto" w:before="37"/>
              <w:ind w:left="648" w:right="106" w:hanging="524"/>
              <w:rPr>
                <w:sz w:val="21"/>
              </w:rPr>
            </w:pPr>
            <w:r>
              <w:rPr>
                <w:sz w:val="21"/>
              </w:rPr>
              <w:t>（3）医院出具的附有病理显微镜检查、血液检验及其他科学方法检验报告的疾病诊断证明书；</w:t>
            </w:r>
          </w:p>
          <w:p>
            <w:pPr>
              <w:pStyle w:val="TableParagraph"/>
              <w:spacing w:before="7"/>
              <w:ind w:left="108"/>
              <w:rPr>
                <w:sz w:val="21"/>
              </w:rPr>
            </w:pPr>
            <w:r>
              <w:rPr>
                <w:sz w:val="21"/>
              </w:rPr>
              <w:t>（4）与确认保险事故的性质、原因等有关的其他证明和资料。</w:t>
            </w:r>
          </w:p>
          <w:p>
            <w:pPr>
              <w:pStyle w:val="TableParagraph"/>
              <w:spacing w:line="273" w:lineRule="auto" w:before="36"/>
              <w:ind w:left="108" w:right="60"/>
              <w:rPr>
                <w:sz w:val="21"/>
              </w:rPr>
            </w:pPr>
            <w:r>
              <w:rPr>
                <w:sz w:val="21"/>
              </w:rPr>
              <w:t>以上证明和资料不完整的，我们将一次性通知受益人补充提供有关证明和资料。</w:t>
            </w:r>
          </w:p>
        </w:tc>
      </w:tr>
      <w:tr>
        <w:trPr>
          <w:trHeight w:val="3757" w:hRule="atLeast"/>
        </w:trPr>
        <w:tc>
          <w:tcPr>
            <w:tcW w:w="837" w:type="dxa"/>
          </w:tcPr>
          <w:p>
            <w:pPr>
              <w:pStyle w:val="TableParagraph"/>
              <w:spacing w:before="144"/>
              <w:ind w:right="215"/>
              <w:jc w:val="right"/>
              <w:rPr>
                <w:b/>
                <w:sz w:val="21"/>
              </w:rPr>
            </w:pPr>
            <w:r>
              <w:rPr>
                <w:b/>
                <w:sz w:val="21"/>
              </w:rPr>
              <w:t>4.3</w:t>
            </w:r>
          </w:p>
        </w:tc>
        <w:tc>
          <w:tcPr>
            <w:tcW w:w="2335" w:type="dxa"/>
          </w:tcPr>
          <w:p>
            <w:pPr>
              <w:pStyle w:val="TableParagraph"/>
              <w:spacing w:before="168"/>
              <w:ind w:left="197"/>
              <w:rPr>
                <w:b/>
                <w:sz w:val="21"/>
              </w:rPr>
            </w:pPr>
            <w:r>
              <w:rPr>
                <w:b/>
                <w:sz w:val="21"/>
              </w:rPr>
              <w:t>保险金的给付</w:t>
            </w:r>
          </w:p>
        </w:tc>
        <w:tc>
          <w:tcPr>
            <w:tcW w:w="6913" w:type="dxa"/>
          </w:tcPr>
          <w:p>
            <w:pPr>
              <w:pStyle w:val="TableParagraph"/>
              <w:spacing w:before="168"/>
              <w:ind w:left="108"/>
              <w:rPr>
                <w:sz w:val="21"/>
              </w:rPr>
            </w:pPr>
            <w:r>
              <w:rPr>
                <w:spacing w:val="-6"/>
                <w:sz w:val="21"/>
              </w:rPr>
              <w:t>我们在收到保险金给付申请书及上述有关证明和资料后，将在 </w:t>
            </w:r>
            <w:r>
              <w:rPr>
                <w:sz w:val="21"/>
              </w:rPr>
              <w:t>5</w:t>
            </w:r>
            <w:r>
              <w:rPr>
                <w:spacing w:val="-9"/>
                <w:sz w:val="21"/>
              </w:rPr>
              <w:t> 日内作出</w:t>
            </w:r>
          </w:p>
          <w:p>
            <w:pPr>
              <w:pStyle w:val="TableParagraph"/>
              <w:spacing w:before="37"/>
              <w:ind w:left="109"/>
              <w:rPr>
                <w:sz w:val="21"/>
              </w:rPr>
            </w:pPr>
            <w:r>
              <w:rPr>
                <w:sz w:val="21"/>
              </w:rPr>
              <w:t>核定；情形复杂的，在 30 日内作出核定。</w:t>
            </w:r>
          </w:p>
          <w:p>
            <w:pPr>
              <w:pStyle w:val="TableParagraph"/>
              <w:spacing w:line="273" w:lineRule="auto" w:before="37"/>
              <w:ind w:left="109" w:right="103"/>
              <w:jc w:val="both"/>
              <w:rPr>
                <w:sz w:val="21"/>
              </w:rPr>
            </w:pPr>
            <w:r>
              <w:rPr>
                <w:spacing w:val="-3"/>
                <w:sz w:val="21"/>
              </w:rPr>
              <w:t>对属于保险责任的，我们在与受益人达成给付保险金的协议后 </w:t>
            </w:r>
            <w:r>
              <w:rPr>
                <w:sz w:val="21"/>
              </w:rPr>
              <w:t>10 日内， </w:t>
            </w:r>
            <w:r>
              <w:rPr>
                <w:spacing w:val="-6"/>
                <w:sz w:val="21"/>
              </w:rPr>
              <w:t>履行给付保险金义务；若我们在收到保险金给付申请书及上述有关证明和</w:t>
            </w:r>
            <w:r>
              <w:rPr>
                <w:spacing w:val="-13"/>
                <w:sz w:val="21"/>
              </w:rPr>
              <w:t>资料后第 </w:t>
            </w:r>
            <w:r>
              <w:rPr>
                <w:sz w:val="21"/>
              </w:rPr>
              <w:t>30</w:t>
            </w:r>
            <w:r>
              <w:rPr>
                <w:spacing w:val="-13"/>
                <w:sz w:val="21"/>
              </w:rPr>
              <w:t> 日仍未作出核定，除支付保险金外，我们将从第 </w:t>
            </w:r>
            <w:r>
              <w:rPr>
                <w:sz w:val="21"/>
              </w:rPr>
              <w:t>31</w:t>
            </w:r>
            <w:r>
              <w:rPr>
                <w:spacing w:val="-12"/>
                <w:sz w:val="21"/>
              </w:rPr>
              <w:t> 日起按超</w:t>
            </w:r>
            <w:r>
              <w:rPr>
                <w:spacing w:val="-5"/>
                <w:sz w:val="21"/>
              </w:rPr>
              <w:t>过天数赔偿受益人因此受到的利息损失。利息按照我们公示的利率按单利</w:t>
            </w:r>
            <w:r>
              <w:rPr>
                <w:spacing w:val="-7"/>
                <w:sz w:val="21"/>
              </w:rPr>
              <w:t>计算，且保证该利率不低于中国人民银行公布的同期金融机构人民币活期</w:t>
            </w:r>
            <w:r>
              <w:rPr>
                <w:spacing w:val="-6"/>
                <w:sz w:val="21"/>
              </w:rPr>
              <w:t>存款基准利率。若我们要求投保人、被保险人或者受益人补充提供有关证</w:t>
            </w:r>
            <w:r>
              <w:rPr>
                <w:spacing w:val="-7"/>
                <w:sz w:val="21"/>
              </w:rPr>
              <w:t>明和资料的，则上述的 </w:t>
            </w:r>
            <w:r>
              <w:rPr>
                <w:sz w:val="21"/>
              </w:rPr>
              <w:t>30</w:t>
            </w:r>
            <w:r>
              <w:rPr>
                <w:spacing w:val="-8"/>
                <w:sz w:val="21"/>
              </w:rPr>
              <w:t> 日不包括补充提供有关证明和资料的期间。</w:t>
            </w:r>
          </w:p>
          <w:p>
            <w:pPr>
              <w:pStyle w:val="TableParagraph"/>
              <w:spacing w:line="273" w:lineRule="auto" w:before="8"/>
              <w:ind w:left="108" w:right="106"/>
              <w:jc w:val="both"/>
              <w:rPr>
                <w:sz w:val="21"/>
              </w:rPr>
            </w:pPr>
            <w:r>
              <w:rPr>
                <w:spacing w:val="-8"/>
                <w:sz w:val="21"/>
              </w:rPr>
              <w:t>对不属于保险责任的，我们自作出核定之日起 </w:t>
            </w:r>
            <w:r>
              <w:rPr>
                <w:sz w:val="21"/>
              </w:rPr>
              <w:t>3</w:t>
            </w:r>
            <w:r>
              <w:rPr>
                <w:spacing w:val="-8"/>
                <w:sz w:val="21"/>
              </w:rPr>
              <w:t> 日内向受益人发出拒绝给</w:t>
            </w:r>
            <w:r>
              <w:rPr>
                <w:spacing w:val="-5"/>
                <w:sz w:val="21"/>
              </w:rPr>
              <w:t>付保险金通知书并说明理由。</w:t>
            </w:r>
          </w:p>
        </w:tc>
      </w:tr>
      <w:tr>
        <w:trPr>
          <w:trHeight w:val="994" w:hRule="atLeast"/>
        </w:trPr>
        <w:tc>
          <w:tcPr>
            <w:tcW w:w="837" w:type="dxa"/>
            <w:tcBorders>
              <w:bottom w:val="single" w:sz="8" w:space="0" w:color="000000"/>
            </w:tcBorders>
          </w:tcPr>
          <w:p>
            <w:pPr>
              <w:pStyle w:val="TableParagraph"/>
              <w:spacing w:before="157"/>
              <w:ind w:right="194"/>
              <w:jc w:val="right"/>
              <w:rPr>
                <w:rFonts w:ascii="Arial" w:hAnsi="Arial"/>
                <w:b/>
                <w:sz w:val="40"/>
              </w:rPr>
            </w:pPr>
            <w:r>
              <w:rPr>
                <w:rFonts w:ascii="Arial" w:hAnsi="Arial"/>
                <w:b/>
                <w:w w:val="119"/>
                <w:sz w:val="40"/>
              </w:rPr>
              <w:t></w:t>
            </w:r>
          </w:p>
        </w:tc>
        <w:tc>
          <w:tcPr>
            <w:tcW w:w="9248" w:type="dxa"/>
            <w:gridSpan w:val="2"/>
            <w:tcBorders>
              <w:bottom w:val="single" w:sz="8" w:space="0" w:color="000000"/>
            </w:tcBorders>
          </w:tcPr>
          <w:p>
            <w:pPr>
              <w:pStyle w:val="TableParagraph"/>
              <w:spacing w:before="12"/>
              <w:rPr>
                <w:sz w:val="17"/>
              </w:rPr>
            </w:pPr>
          </w:p>
          <w:p>
            <w:pPr>
              <w:pStyle w:val="TableParagraph"/>
              <w:ind w:left="197"/>
              <w:rPr>
                <w:b/>
                <w:sz w:val="24"/>
              </w:rPr>
            </w:pPr>
            <w:r>
              <w:rPr>
                <w:b/>
                <w:sz w:val="24"/>
              </w:rPr>
              <w:t>如何退保</w:t>
            </w:r>
          </w:p>
          <w:p>
            <w:pPr>
              <w:pStyle w:val="TableParagraph"/>
              <w:spacing w:before="86"/>
              <w:ind w:left="197" w:right="-15"/>
              <w:rPr>
                <w:sz w:val="24"/>
              </w:rPr>
            </w:pPr>
            <w:r>
              <w:rPr>
                <w:spacing w:val="-13"/>
                <w:w w:val="95"/>
                <w:sz w:val="24"/>
              </w:rPr>
              <w:t>这部分讲的是您可以随时申请退保，在犹豫期内退保没有损失，犹豫期后退保会有损失。</w:t>
            </w:r>
          </w:p>
        </w:tc>
      </w:tr>
      <w:tr>
        <w:trPr>
          <w:trHeight w:val="1152" w:hRule="atLeast"/>
        </w:trPr>
        <w:tc>
          <w:tcPr>
            <w:tcW w:w="837" w:type="dxa"/>
            <w:tcBorders>
              <w:top w:val="single" w:sz="8" w:space="0" w:color="000000"/>
            </w:tcBorders>
          </w:tcPr>
          <w:p>
            <w:pPr>
              <w:pStyle w:val="TableParagraph"/>
              <w:spacing w:before="4"/>
              <w:rPr>
                <w:sz w:val="19"/>
              </w:rPr>
            </w:pPr>
          </w:p>
          <w:p>
            <w:pPr>
              <w:pStyle w:val="TableParagraph"/>
              <w:spacing w:before="1"/>
              <w:ind w:right="215"/>
              <w:jc w:val="right"/>
              <w:rPr>
                <w:b/>
                <w:sz w:val="21"/>
              </w:rPr>
            </w:pPr>
            <w:r>
              <w:rPr>
                <w:b/>
                <w:sz w:val="21"/>
              </w:rPr>
              <w:t>5.1</w:t>
            </w:r>
          </w:p>
        </w:tc>
        <w:tc>
          <w:tcPr>
            <w:tcW w:w="2335" w:type="dxa"/>
            <w:tcBorders>
              <w:top w:val="single" w:sz="8" w:space="0" w:color="000000"/>
            </w:tcBorders>
          </w:tcPr>
          <w:p>
            <w:pPr>
              <w:pStyle w:val="TableParagraph"/>
              <w:spacing w:before="4"/>
              <w:rPr>
                <w:sz w:val="19"/>
              </w:rPr>
            </w:pPr>
          </w:p>
          <w:p>
            <w:pPr>
              <w:pStyle w:val="TableParagraph"/>
              <w:spacing w:before="1"/>
              <w:ind w:left="197"/>
              <w:rPr>
                <w:b/>
                <w:sz w:val="21"/>
              </w:rPr>
            </w:pPr>
            <w:r>
              <w:rPr>
                <w:b/>
                <w:sz w:val="21"/>
              </w:rPr>
              <w:t>犹豫期</w:t>
            </w:r>
          </w:p>
        </w:tc>
        <w:tc>
          <w:tcPr>
            <w:tcW w:w="6913" w:type="dxa"/>
            <w:tcBorders>
              <w:top w:val="single" w:sz="8" w:space="0" w:color="000000"/>
            </w:tcBorders>
          </w:tcPr>
          <w:p>
            <w:pPr>
              <w:pStyle w:val="TableParagraph"/>
              <w:spacing w:before="8"/>
              <w:rPr>
                <w:sz w:val="16"/>
              </w:rPr>
            </w:pPr>
          </w:p>
          <w:p>
            <w:pPr>
              <w:pStyle w:val="TableParagraph"/>
              <w:spacing w:line="310" w:lineRule="atLeast" w:before="1"/>
              <w:ind w:left="109" w:right="79" w:hanging="1"/>
              <w:rPr>
                <w:sz w:val="21"/>
              </w:rPr>
            </w:pPr>
            <w:r>
              <w:rPr>
                <w:spacing w:val="-6"/>
                <w:sz w:val="21"/>
              </w:rPr>
              <w:t>自您签收本附加险合同次日起，有 </w:t>
            </w:r>
            <w:r>
              <w:rPr>
                <w:sz w:val="21"/>
              </w:rPr>
              <w:t>20</w:t>
            </w:r>
            <w:r>
              <w:rPr>
                <w:spacing w:val="-8"/>
                <w:sz w:val="21"/>
              </w:rPr>
              <w:t> 日的犹豫期。在此期间请您认真审视本附加险合同，如果您认为本附加险合同与您的需求不相符，您可以在</w:t>
            </w:r>
            <w:r>
              <w:rPr>
                <w:spacing w:val="-5"/>
                <w:sz w:val="21"/>
              </w:rPr>
              <w:t>此期间提出解除本附加险合同，我们将无息退还您所支付的全部保险费。</w:t>
            </w:r>
          </w:p>
        </w:tc>
      </w:tr>
    </w:tbl>
    <w:p>
      <w:pPr>
        <w:pStyle w:val="BodyText"/>
        <w:rPr>
          <w:sz w:val="20"/>
        </w:rPr>
      </w:pPr>
    </w:p>
    <w:p>
      <w:pPr>
        <w:pStyle w:val="BodyText"/>
        <w:spacing w:before="1"/>
        <w:rPr>
          <w:sz w:val="13"/>
        </w:rPr>
      </w:pPr>
      <w:r>
        <w:rPr/>
        <w:pict>
          <v:line style="position:absolute;mso-position-horizontal-relative:page;mso-position-vertical-relative:paragraph;z-index:1360;mso-wrap-distance-left:0;mso-wrap-distance-right:0" from="51pt,10.799822pt" to="195pt,10.799822pt" stroked="true" strokeweight=".48pt" strokecolor="#000000">
            <v:stroke dashstyle="solid"/>
            <w10:wrap type="topAndBottom"/>
          </v:line>
        </w:pict>
      </w:r>
    </w:p>
    <w:p>
      <w:pPr>
        <w:spacing w:line="259" w:lineRule="auto" w:before="25"/>
        <w:ind w:left="399" w:right="131" w:hanging="180"/>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有效身份证件</w:t>
      </w:r>
      <w:r>
        <w:rPr>
          <w:sz w:val="18"/>
        </w:rPr>
        <w:t>指政府有权机关颁发的能够证明其合法真实身份的证件或文件等，如居民身份证、按规定可使用的有效护照、营业执照等。</w:t>
      </w:r>
    </w:p>
    <w:p>
      <w:pPr>
        <w:spacing w:after="0" w:line="259" w:lineRule="auto"/>
        <w:jc w:val="left"/>
        <w:rPr>
          <w:sz w:val="18"/>
        </w:rPr>
        <w:sectPr>
          <w:pgSz w:w="11910" w:h="16840"/>
          <w:pgMar w:top="1160" w:bottom="280" w:left="800" w:right="800"/>
        </w:sectPr>
      </w:pPr>
    </w:p>
    <w:p>
      <w:pPr>
        <w:pStyle w:val="BodyText"/>
        <w:spacing w:line="273" w:lineRule="auto" w:before="22"/>
        <w:ind w:left="3392" w:right="107"/>
      </w:pPr>
      <w:r>
        <w:rPr>
          <w:spacing w:val="-6"/>
        </w:rPr>
        <w:t>解除本附加险合同时，您需要填写申请书，并提供您的保险合同及有效身</w:t>
      </w:r>
      <w:r>
        <w:rPr>
          <w:spacing w:val="-13"/>
        </w:rPr>
        <w:t>份证件。自我们收到您解除合同的书面申请时起，本附加险合同即被解除， </w:t>
      </w:r>
      <w:r>
        <w:rPr>
          <w:spacing w:val="-6"/>
        </w:rPr>
        <w:t>合同解除前发生的保险事故我们不承担保险责任。</w:t>
      </w:r>
    </w:p>
    <w:p>
      <w:pPr>
        <w:pStyle w:val="BodyText"/>
        <w:spacing w:line="273" w:lineRule="auto" w:before="8"/>
        <w:ind w:left="3392" w:right="211"/>
      </w:pPr>
      <w:r>
        <w:rPr/>
        <w:t>若您申请解除本附加险合同，主险合同必须与本附加险合同同时申请解除。</w:t>
      </w:r>
    </w:p>
    <w:p>
      <w:pPr>
        <w:pStyle w:val="BodyText"/>
        <w:spacing w:before="4"/>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2345"/>
        <w:gridCol w:w="6897"/>
      </w:tblGrid>
      <w:tr>
        <w:trPr>
          <w:trHeight w:val="3213" w:hRule="atLeast"/>
        </w:trPr>
        <w:tc>
          <w:tcPr>
            <w:tcW w:w="837" w:type="dxa"/>
          </w:tcPr>
          <w:p>
            <w:pPr>
              <w:pStyle w:val="TableParagraph"/>
              <w:spacing w:line="211" w:lineRule="exact"/>
              <w:ind w:left="281" w:right="197"/>
              <w:jc w:val="center"/>
              <w:rPr>
                <w:b/>
                <w:sz w:val="21"/>
              </w:rPr>
            </w:pPr>
            <w:r>
              <w:rPr>
                <w:b/>
                <w:sz w:val="21"/>
              </w:rPr>
              <w:t>5.2</w:t>
            </w:r>
          </w:p>
        </w:tc>
        <w:tc>
          <w:tcPr>
            <w:tcW w:w="2345" w:type="dxa"/>
          </w:tcPr>
          <w:p>
            <w:pPr>
              <w:pStyle w:val="TableParagraph"/>
              <w:spacing w:line="211" w:lineRule="exact"/>
              <w:ind w:left="197"/>
              <w:rPr>
                <w:b/>
                <w:sz w:val="21"/>
              </w:rPr>
            </w:pPr>
            <w:r>
              <w:rPr>
                <w:b/>
                <w:sz w:val="21"/>
              </w:rPr>
              <w:t>您解除合同的手续及</w:t>
            </w:r>
          </w:p>
          <w:p>
            <w:pPr>
              <w:pStyle w:val="TableParagraph"/>
              <w:spacing w:before="37"/>
              <w:ind w:left="197"/>
              <w:rPr>
                <w:b/>
                <w:sz w:val="21"/>
              </w:rPr>
            </w:pPr>
            <w:r>
              <w:rPr>
                <w:b/>
                <w:sz w:val="21"/>
              </w:rPr>
              <w:t>风险</w:t>
            </w:r>
          </w:p>
        </w:tc>
        <w:tc>
          <w:tcPr>
            <w:tcW w:w="6897" w:type="dxa"/>
          </w:tcPr>
          <w:p>
            <w:pPr>
              <w:pStyle w:val="TableParagraph"/>
              <w:spacing w:line="211" w:lineRule="exact"/>
              <w:ind w:left="98"/>
              <w:rPr>
                <w:sz w:val="21"/>
              </w:rPr>
            </w:pPr>
            <w:r>
              <w:rPr>
                <w:sz w:val="21"/>
              </w:rPr>
              <w:t>您在犹豫期后可以申请解除本附加险合同，请填写解除合同申请书并向我</w:t>
            </w:r>
          </w:p>
          <w:p>
            <w:pPr>
              <w:pStyle w:val="TableParagraph"/>
              <w:spacing w:before="37"/>
              <w:ind w:left="98"/>
              <w:rPr>
                <w:sz w:val="21"/>
              </w:rPr>
            </w:pPr>
            <w:r>
              <w:rPr>
                <w:sz w:val="21"/>
              </w:rPr>
              <w:t>们提供下列资料：</w:t>
            </w:r>
          </w:p>
          <w:p>
            <w:pPr>
              <w:pStyle w:val="TableParagraph"/>
              <w:spacing w:before="37"/>
              <w:ind w:left="98"/>
              <w:rPr>
                <w:sz w:val="21"/>
              </w:rPr>
            </w:pPr>
            <w:r>
              <w:rPr>
                <w:sz w:val="21"/>
              </w:rPr>
              <w:t>（1）保险合同；</w:t>
            </w:r>
          </w:p>
          <w:p>
            <w:pPr>
              <w:pStyle w:val="TableParagraph"/>
              <w:spacing w:before="37"/>
              <w:ind w:left="98"/>
              <w:rPr>
                <w:sz w:val="21"/>
              </w:rPr>
            </w:pPr>
            <w:r>
              <w:rPr>
                <w:sz w:val="21"/>
              </w:rPr>
              <w:t>（2）您的有效身份证件。</w:t>
            </w:r>
          </w:p>
          <w:p>
            <w:pPr>
              <w:pStyle w:val="TableParagraph"/>
              <w:spacing w:line="273" w:lineRule="auto" w:before="37"/>
              <w:ind w:left="98" w:right="57"/>
              <w:rPr>
                <w:sz w:val="21"/>
              </w:rPr>
            </w:pPr>
            <w:r>
              <w:rPr>
                <w:sz w:val="21"/>
              </w:rPr>
              <w:t>自我们收到解除合同申请书时起，本附加险合同终止。我们自收到解除合同申请书之日起 30 日内向您退还本附加险合同的现金价值。</w:t>
            </w:r>
          </w:p>
          <w:p>
            <w:pPr>
              <w:pStyle w:val="TableParagraph"/>
              <w:spacing w:line="273" w:lineRule="auto" w:before="7"/>
              <w:ind w:left="99" w:right="96"/>
              <w:rPr>
                <w:sz w:val="21"/>
              </w:rPr>
            </w:pPr>
            <w:r>
              <w:rPr>
                <w:sz w:val="21"/>
              </w:rPr>
              <w:t>若您申请解除本附加险合同，主险合同必须与本附加险合同同时申请解除。</w:t>
            </w:r>
          </w:p>
          <w:p>
            <w:pPr>
              <w:pStyle w:val="TableParagraph"/>
              <w:spacing w:line="273" w:lineRule="auto" w:before="7"/>
              <w:ind w:left="99" w:right="3011"/>
              <w:rPr>
                <w:sz w:val="21"/>
              </w:rPr>
            </w:pPr>
            <w:r>
              <w:rPr>
                <w:sz w:val="21"/>
              </w:rPr>
              <w:t>您在犹豫期后解除合同会遭受一定损失。解除合同后，您会失去原有的保障。</w:t>
            </w:r>
          </w:p>
        </w:tc>
      </w:tr>
      <w:tr>
        <w:trPr>
          <w:trHeight w:val="995" w:hRule="atLeast"/>
        </w:trPr>
        <w:tc>
          <w:tcPr>
            <w:tcW w:w="837" w:type="dxa"/>
            <w:tcBorders>
              <w:bottom w:val="single" w:sz="8" w:space="0" w:color="000000"/>
            </w:tcBorders>
          </w:tcPr>
          <w:p>
            <w:pPr>
              <w:pStyle w:val="TableParagraph"/>
              <w:spacing w:before="157"/>
              <w:ind w:left="86"/>
              <w:jc w:val="center"/>
              <w:rPr>
                <w:rFonts w:ascii="Arial" w:hAnsi="Arial"/>
                <w:b/>
                <w:sz w:val="40"/>
              </w:rPr>
            </w:pPr>
            <w:r>
              <w:rPr>
                <w:rFonts w:ascii="Arial" w:hAnsi="Arial"/>
                <w:b/>
                <w:w w:val="119"/>
                <w:sz w:val="40"/>
              </w:rPr>
              <w:t></w:t>
            </w:r>
          </w:p>
        </w:tc>
        <w:tc>
          <w:tcPr>
            <w:tcW w:w="9242" w:type="dxa"/>
            <w:gridSpan w:val="2"/>
            <w:tcBorders>
              <w:bottom w:val="single" w:sz="8" w:space="0" w:color="000000"/>
            </w:tcBorders>
          </w:tcPr>
          <w:p>
            <w:pPr>
              <w:pStyle w:val="TableParagraph"/>
              <w:spacing w:before="12"/>
              <w:rPr>
                <w:sz w:val="17"/>
              </w:rPr>
            </w:pPr>
          </w:p>
          <w:p>
            <w:pPr>
              <w:pStyle w:val="TableParagraph"/>
              <w:spacing w:before="1"/>
              <w:ind w:left="197"/>
              <w:rPr>
                <w:b/>
                <w:sz w:val="24"/>
              </w:rPr>
            </w:pPr>
            <w:r>
              <w:rPr>
                <w:b/>
                <w:sz w:val="24"/>
              </w:rPr>
              <w:t>其他权益</w:t>
            </w:r>
          </w:p>
          <w:p>
            <w:pPr>
              <w:pStyle w:val="TableParagraph"/>
              <w:spacing w:before="87"/>
              <w:ind w:left="197"/>
              <w:rPr>
                <w:sz w:val="24"/>
              </w:rPr>
            </w:pPr>
            <w:r>
              <w:rPr>
                <w:sz w:val="24"/>
              </w:rPr>
              <w:t>这部分讲的是您所拥有的其他相关权益。</w:t>
            </w:r>
          </w:p>
        </w:tc>
      </w:tr>
      <w:tr>
        <w:trPr>
          <w:trHeight w:val="1740" w:hRule="atLeast"/>
        </w:trPr>
        <w:tc>
          <w:tcPr>
            <w:tcW w:w="837" w:type="dxa"/>
            <w:tcBorders>
              <w:top w:val="single" w:sz="8" w:space="0" w:color="000000"/>
            </w:tcBorders>
          </w:tcPr>
          <w:p>
            <w:pPr>
              <w:pStyle w:val="TableParagraph"/>
              <w:spacing w:before="7"/>
              <w:rPr>
                <w:sz w:val="23"/>
              </w:rPr>
            </w:pPr>
          </w:p>
          <w:p>
            <w:pPr>
              <w:pStyle w:val="TableParagraph"/>
              <w:ind w:left="281" w:right="197"/>
              <w:jc w:val="center"/>
              <w:rPr>
                <w:b/>
                <w:sz w:val="21"/>
              </w:rPr>
            </w:pPr>
            <w:r>
              <w:rPr>
                <w:b/>
                <w:sz w:val="21"/>
              </w:rPr>
              <w:t>6.1</w:t>
            </w:r>
          </w:p>
        </w:tc>
        <w:tc>
          <w:tcPr>
            <w:tcW w:w="2345" w:type="dxa"/>
            <w:tcBorders>
              <w:top w:val="single" w:sz="8" w:space="0" w:color="000000"/>
            </w:tcBorders>
          </w:tcPr>
          <w:p>
            <w:pPr>
              <w:pStyle w:val="TableParagraph"/>
              <w:spacing w:before="7"/>
              <w:rPr>
                <w:sz w:val="23"/>
              </w:rPr>
            </w:pPr>
          </w:p>
          <w:p>
            <w:pPr>
              <w:pStyle w:val="TableParagraph"/>
              <w:ind w:left="197"/>
              <w:rPr>
                <w:b/>
                <w:sz w:val="21"/>
              </w:rPr>
            </w:pPr>
            <w:r>
              <w:rPr>
                <w:b/>
                <w:sz w:val="21"/>
              </w:rPr>
              <w:t>现金价值</w:t>
            </w:r>
          </w:p>
        </w:tc>
        <w:tc>
          <w:tcPr>
            <w:tcW w:w="6897" w:type="dxa"/>
            <w:tcBorders>
              <w:top w:val="single" w:sz="8" w:space="0" w:color="000000"/>
            </w:tcBorders>
          </w:tcPr>
          <w:p>
            <w:pPr>
              <w:pStyle w:val="TableParagraph"/>
              <w:spacing w:before="7"/>
              <w:rPr>
                <w:sz w:val="23"/>
              </w:rPr>
            </w:pPr>
          </w:p>
          <w:p>
            <w:pPr>
              <w:pStyle w:val="TableParagraph"/>
              <w:spacing w:line="273" w:lineRule="auto"/>
              <w:ind w:left="98" w:right="72"/>
              <w:rPr>
                <w:sz w:val="21"/>
              </w:rPr>
            </w:pPr>
            <w:r>
              <w:rPr>
                <w:sz w:val="21"/>
              </w:rPr>
              <w:t>指保险单所具有的价值。通常体现为解除合同时，由本公司退还的那部分金额。</w:t>
            </w:r>
          </w:p>
          <w:p>
            <w:pPr>
              <w:pStyle w:val="TableParagraph"/>
              <w:spacing w:line="273" w:lineRule="auto" w:before="7"/>
              <w:ind w:left="98" w:right="47"/>
              <w:rPr>
                <w:sz w:val="21"/>
              </w:rPr>
            </w:pPr>
            <w:r>
              <w:rPr>
                <w:sz w:val="21"/>
              </w:rPr>
              <w:t>本附加险合同保单年度末的现金价值会在保险单上载明。保单年度内的现金价值，您可以向我们咨询。</w:t>
            </w:r>
          </w:p>
        </w:tc>
      </w:tr>
      <w:tr>
        <w:trPr>
          <w:trHeight w:val="3405" w:hRule="atLeast"/>
        </w:trPr>
        <w:tc>
          <w:tcPr>
            <w:tcW w:w="837" w:type="dxa"/>
          </w:tcPr>
          <w:p>
            <w:pPr>
              <w:pStyle w:val="TableParagraph"/>
              <w:spacing w:before="157"/>
              <w:ind w:left="281" w:right="197"/>
              <w:jc w:val="center"/>
              <w:rPr>
                <w:b/>
                <w:sz w:val="21"/>
              </w:rPr>
            </w:pPr>
            <w:r>
              <w:rPr>
                <w:b/>
                <w:sz w:val="21"/>
              </w:rPr>
              <w:t>6.2</w:t>
            </w:r>
          </w:p>
        </w:tc>
        <w:tc>
          <w:tcPr>
            <w:tcW w:w="2345" w:type="dxa"/>
          </w:tcPr>
          <w:p>
            <w:pPr>
              <w:pStyle w:val="TableParagraph"/>
              <w:spacing w:before="157"/>
              <w:ind w:left="197"/>
              <w:rPr>
                <w:b/>
                <w:sz w:val="21"/>
              </w:rPr>
            </w:pPr>
            <w:r>
              <w:rPr>
                <w:b/>
                <w:sz w:val="21"/>
              </w:rPr>
              <w:t>减额交清</w:t>
            </w:r>
          </w:p>
        </w:tc>
        <w:tc>
          <w:tcPr>
            <w:tcW w:w="6897" w:type="dxa"/>
          </w:tcPr>
          <w:p>
            <w:pPr>
              <w:pStyle w:val="TableParagraph"/>
              <w:spacing w:line="273" w:lineRule="auto" w:before="157"/>
              <w:ind w:left="98" w:right="100"/>
              <w:jc w:val="both"/>
              <w:rPr>
                <w:sz w:val="21"/>
              </w:rPr>
            </w:pPr>
            <w:r>
              <w:rPr>
                <w:spacing w:val="-6"/>
                <w:sz w:val="21"/>
              </w:rPr>
              <w:t>当您无法继续交费时，可用现金价值作为一次交清的保险费，基本保险金</w:t>
            </w:r>
            <w:r>
              <w:rPr>
                <w:spacing w:val="-4"/>
                <w:sz w:val="21"/>
              </w:rPr>
              <w:t>额将减少，合同继续有效。</w:t>
            </w:r>
          </w:p>
          <w:p>
            <w:pPr>
              <w:pStyle w:val="TableParagraph"/>
              <w:spacing w:line="273" w:lineRule="auto" w:before="7"/>
              <w:ind w:left="98" w:right="96"/>
              <w:jc w:val="both"/>
              <w:rPr>
                <w:sz w:val="21"/>
              </w:rPr>
            </w:pPr>
            <w:r>
              <w:rPr>
                <w:spacing w:val="-5"/>
                <w:sz w:val="21"/>
              </w:rPr>
              <w:t>即如果您决定不再支付续期保险费，我们将以本附加险合同宽限期开始前</w:t>
            </w:r>
            <w:r>
              <w:rPr>
                <w:spacing w:val="1"/>
                <w:sz w:val="21"/>
              </w:rPr>
              <w:t>一日的现金价值扣除您尚未偿还的各项欠款之后的余额作为一次交清的</w:t>
            </w:r>
            <w:r>
              <w:rPr>
                <w:rFonts w:ascii="黑体" w:eastAsia="黑体" w:hint="eastAsia"/>
                <w:b/>
                <w:spacing w:val="-1"/>
                <w:sz w:val="21"/>
              </w:rPr>
              <w:t>净保险费 </w:t>
            </w:r>
            <w:hyperlink w:history="true" w:anchor="_bookmark13">
              <w:r>
                <w:rPr>
                  <w:rFonts w:ascii="黑体" w:eastAsia="黑体" w:hint="eastAsia"/>
                  <w:b/>
                  <w:position w:val="11"/>
                  <w:sz w:val="11"/>
                </w:rPr>
                <w:t>14</w:t>
              </w:r>
            </w:hyperlink>
            <w:r>
              <w:rPr>
                <w:spacing w:val="-3"/>
                <w:sz w:val="21"/>
              </w:rPr>
              <w:t>，重新计算本附加险合同的基本保险金额。本附加险合同、平</w:t>
            </w:r>
            <w:r>
              <w:rPr>
                <w:spacing w:val="-4"/>
                <w:sz w:val="21"/>
              </w:rPr>
              <w:t>安安鑫保两全保险合同减额交清后的基本保险金额相同，对不满足该要求</w:t>
            </w:r>
            <w:r>
              <w:rPr>
                <w:spacing w:val="-3"/>
                <w:sz w:val="21"/>
              </w:rPr>
              <w:t>的部分，我们将对应的净保险费退还给您。</w:t>
            </w:r>
          </w:p>
          <w:p>
            <w:pPr>
              <w:pStyle w:val="TableParagraph"/>
              <w:spacing w:line="273" w:lineRule="auto" w:before="7"/>
              <w:ind w:left="98" w:right="100"/>
              <w:jc w:val="both"/>
              <w:rPr>
                <w:sz w:val="21"/>
              </w:rPr>
            </w:pPr>
            <w:r>
              <w:rPr>
                <w:spacing w:val="-6"/>
                <w:sz w:val="21"/>
              </w:rPr>
              <w:t>减额交清后，本附加险合同的基本保险金额会相应减少，您不需要再支付</w:t>
            </w:r>
            <w:r>
              <w:rPr>
                <w:spacing w:val="-4"/>
                <w:sz w:val="21"/>
              </w:rPr>
              <w:t>保险费，本附加险合同继续有效。</w:t>
            </w:r>
          </w:p>
          <w:p>
            <w:pPr>
              <w:pStyle w:val="TableParagraph"/>
              <w:spacing w:before="7"/>
              <w:ind w:left="98"/>
              <w:jc w:val="both"/>
              <w:rPr>
                <w:sz w:val="21"/>
              </w:rPr>
            </w:pPr>
            <w:r>
              <w:rPr>
                <w:sz w:val="21"/>
              </w:rPr>
              <w:t>本附加险合同必须随主险合同一起办理减额交清，不能单独办理。</w:t>
            </w:r>
          </w:p>
        </w:tc>
      </w:tr>
      <w:tr>
        <w:trPr>
          <w:trHeight w:val="1367" w:hRule="atLeast"/>
        </w:trPr>
        <w:tc>
          <w:tcPr>
            <w:tcW w:w="837" w:type="dxa"/>
            <w:tcBorders>
              <w:bottom w:val="single" w:sz="8" w:space="0" w:color="000000"/>
            </w:tcBorders>
          </w:tcPr>
          <w:p>
            <w:pPr>
              <w:pStyle w:val="TableParagraph"/>
              <w:spacing w:before="128"/>
              <w:ind w:left="86"/>
              <w:jc w:val="center"/>
              <w:rPr>
                <w:rFonts w:ascii="Arial" w:hAnsi="Arial"/>
                <w:b/>
                <w:sz w:val="40"/>
              </w:rPr>
            </w:pPr>
            <w:r>
              <w:rPr>
                <w:rFonts w:ascii="Arial" w:hAnsi="Arial"/>
                <w:b/>
                <w:w w:val="119"/>
                <w:sz w:val="40"/>
              </w:rPr>
              <w:t></w:t>
            </w:r>
          </w:p>
        </w:tc>
        <w:tc>
          <w:tcPr>
            <w:tcW w:w="9242" w:type="dxa"/>
            <w:gridSpan w:val="2"/>
            <w:tcBorders>
              <w:bottom w:val="single" w:sz="8" w:space="0" w:color="000000"/>
            </w:tcBorders>
          </w:tcPr>
          <w:p>
            <w:pPr>
              <w:pStyle w:val="TableParagraph"/>
              <w:spacing w:before="206"/>
              <w:ind w:left="197"/>
              <w:rPr>
                <w:b/>
                <w:sz w:val="24"/>
              </w:rPr>
            </w:pPr>
            <w:r>
              <w:rPr>
                <w:b/>
                <w:w w:val="95"/>
                <w:sz w:val="24"/>
              </w:rPr>
              <w:t>重大疾病释义</w:t>
            </w:r>
          </w:p>
          <w:p>
            <w:pPr>
              <w:pStyle w:val="TableParagraph"/>
              <w:spacing w:line="400" w:lineRule="atLeast"/>
              <w:ind w:left="197" w:right="106"/>
              <w:rPr>
                <w:sz w:val="24"/>
              </w:rPr>
            </w:pPr>
            <w:r>
              <w:rPr>
                <w:spacing w:val="-4"/>
                <w:sz w:val="24"/>
              </w:rPr>
              <w:t>这部分讲的是我们提供保障的 </w:t>
            </w:r>
            <w:r>
              <w:rPr>
                <w:sz w:val="24"/>
              </w:rPr>
              <w:t>45</w:t>
            </w:r>
            <w:r>
              <w:rPr>
                <w:spacing w:val="-13"/>
                <w:sz w:val="24"/>
              </w:rPr>
              <w:t> 种重大疾病的定义，其中包含一些免责条款，请您特别留意。</w:t>
            </w:r>
          </w:p>
        </w:tc>
      </w:tr>
      <w:tr>
        <w:trPr>
          <w:trHeight w:val="793" w:hRule="atLeast"/>
        </w:trPr>
        <w:tc>
          <w:tcPr>
            <w:tcW w:w="837" w:type="dxa"/>
            <w:tcBorders>
              <w:top w:val="single" w:sz="8" w:space="0" w:color="000000"/>
            </w:tcBorders>
          </w:tcPr>
          <w:p>
            <w:pPr>
              <w:pStyle w:val="TableParagraph"/>
              <w:rPr>
                <w:rFonts w:ascii="Times New Roman"/>
                <w:sz w:val="20"/>
              </w:rPr>
            </w:pPr>
          </w:p>
        </w:tc>
        <w:tc>
          <w:tcPr>
            <w:tcW w:w="2345" w:type="dxa"/>
            <w:tcBorders>
              <w:top w:val="single" w:sz="8" w:space="0" w:color="000000"/>
            </w:tcBorders>
          </w:tcPr>
          <w:p>
            <w:pPr>
              <w:pStyle w:val="TableParagraph"/>
              <w:spacing w:before="5"/>
              <w:rPr>
                <w:sz w:val="23"/>
              </w:rPr>
            </w:pPr>
          </w:p>
          <w:p>
            <w:pPr>
              <w:pStyle w:val="TableParagraph"/>
              <w:ind w:left="197"/>
              <w:rPr>
                <w:b/>
                <w:sz w:val="21"/>
              </w:rPr>
            </w:pPr>
            <w:r>
              <w:rPr>
                <w:b/>
                <w:sz w:val="21"/>
              </w:rPr>
              <w:t>第 1 类：</w:t>
            </w:r>
          </w:p>
        </w:tc>
        <w:tc>
          <w:tcPr>
            <w:tcW w:w="6897" w:type="dxa"/>
            <w:tcBorders>
              <w:top w:val="single" w:sz="8" w:space="0" w:color="000000"/>
            </w:tcBorders>
          </w:tcPr>
          <w:p>
            <w:pPr>
              <w:pStyle w:val="TableParagraph"/>
              <w:spacing w:before="7"/>
              <w:rPr>
                <w:sz w:val="23"/>
              </w:rPr>
            </w:pPr>
          </w:p>
          <w:p>
            <w:pPr>
              <w:pStyle w:val="TableParagraph"/>
              <w:ind w:left="98"/>
              <w:rPr>
                <w:b/>
                <w:sz w:val="21"/>
              </w:rPr>
            </w:pPr>
            <w:r>
              <w:rPr>
                <w:b/>
                <w:sz w:val="21"/>
              </w:rPr>
              <w:t>与恶性肿瘤相关的疾病</w:t>
            </w:r>
          </w:p>
        </w:tc>
      </w:tr>
      <w:tr>
        <w:trPr>
          <w:trHeight w:val="458" w:hRule="atLeast"/>
        </w:trPr>
        <w:tc>
          <w:tcPr>
            <w:tcW w:w="837" w:type="dxa"/>
          </w:tcPr>
          <w:p>
            <w:pPr>
              <w:pStyle w:val="TableParagraph"/>
              <w:spacing w:line="272" w:lineRule="exact" w:before="166"/>
              <w:ind w:left="84"/>
              <w:jc w:val="center"/>
              <w:rPr>
                <w:b/>
                <w:sz w:val="21"/>
              </w:rPr>
            </w:pPr>
            <w:r>
              <w:rPr>
                <w:b/>
                <w:w w:val="99"/>
                <w:sz w:val="21"/>
              </w:rPr>
              <w:t>1</w:t>
            </w:r>
          </w:p>
        </w:tc>
        <w:tc>
          <w:tcPr>
            <w:tcW w:w="2345" w:type="dxa"/>
          </w:tcPr>
          <w:p>
            <w:pPr>
              <w:pStyle w:val="TableParagraph"/>
              <w:spacing w:line="308" w:lineRule="exact" w:before="130"/>
              <w:ind w:left="197"/>
              <w:rPr>
                <w:rFonts w:ascii="等线" w:eastAsia="等线" w:hint="eastAsia"/>
                <w:b/>
                <w:sz w:val="24"/>
              </w:rPr>
            </w:pPr>
            <w:r>
              <w:rPr>
                <w:rFonts w:ascii="等线" w:eastAsia="等线" w:hint="eastAsia"/>
                <w:b/>
                <w:sz w:val="24"/>
              </w:rPr>
              <w:t>恶性肿瘤</w:t>
            </w:r>
          </w:p>
        </w:tc>
        <w:tc>
          <w:tcPr>
            <w:tcW w:w="6897" w:type="dxa"/>
          </w:tcPr>
          <w:p>
            <w:pPr>
              <w:pStyle w:val="TableParagraph"/>
              <w:spacing w:line="272" w:lineRule="exact" w:before="165"/>
              <w:ind w:left="98"/>
              <w:rPr>
                <w:sz w:val="21"/>
              </w:rPr>
            </w:pPr>
            <w:r>
              <w:rPr>
                <w:sz w:val="21"/>
              </w:rPr>
              <w:t>指恶性细胞不受控制的进行性增长和扩散，浸润和破坏周围正常组织，可</w:t>
            </w:r>
          </w:p>
        </w:tc>
      </w:tr>
    </w:tbl>
    <w:p>
      <w:pPr>
        <w:pStyle w:val="BodyText"/>
        <w:spacing w:before="12"/>
        <w:rPr>
          <w:sz w:val="15"/>
        </w:rPr>
      </w:pPr>
      <w:r>
        <w:rPr/>
        <w:pict>
          <v:line style="position:absolute;mso-position-horizontal-relative:page;mso-position-vertical-relative:paragraph;z-index:1384;mso-wrap-distance-left:0;mso-wrap-distance-right:0" from="51pt,12.648pt" to="195pt,12.648pt" stroked="true" strokeweight=".48pt" strokecolor="#000000">
            <v:stroke dashstyle="solid"/>
            <w10:wrap type="topAndBottom"/>
          </v:line>
        </w:pict>
      </w:r>
    </w:p>
    <w:p>
      <w:pPr>
        <w:spacing w:before="25"/>
        <w:ind w:left="220" w:right="0" w:firstLine="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净保险费</w:t>
      </w:r>
      <w:r>
        <w:rPr>
          <w:sz w:val="18"/>
        </w:rPr>
        <w:t>指不包含公司营业费用、佣金等其他费用的保险费。</w:t>
      </w:r>
    </w:p>
    <w:p>
      <w:pPr>
        <w:spacing w:after="0"/>
        <w:jc w:val="left"/>
        <w:rPr>
          <w:sz w:val="18"/>
        </w:rPr>
        <w:sectPr>
          <w:pgSz w:w="11910" w:h="16840"/>
          <w:pgMar w:top="1080" w:bottom="280" w:left="800" w:right="800"/>
        </w:sectPr>
      </w:pPr>
    </w:p>
    <w:p>
      <w:pPr>
        <w:pStyle w:val="BodyText"/>
        <w:spacing w:line="273" w:lineRule="auto" w:before="22"/>
        <w:ind w:left="3272" w:right="335"/>
        <w:jc w:val="both"/>
      </w:pPr>
      <w:r>
        <w:rPr>
          <w:spacing w:val="-6"/>
        </w:rPr>
        <w:t>以经血管、淋巴管和体腔扩散转移到身体其它部位的疾病。经病理学检查</w:t>
      </w:r>
      <w:r>
        <w:rPr>
          <w:spacing w:val="-7"/>
        </w:rPr>
        <w:t>结果明确诊断，临床诊断属于世界卫生组织《疾病和有关健康问题的国际</w:t>
      </w:r>
      <w:r>
        <w:rPr>
          <w:spacing w:val="-24"/>
        </w:rPr>
        <w:t>统计分类》</w:t>
      </w:r>
      <w:r>
        <w:rPr>
          <w:spacing w:val="-1"/>
        </w:rPr>
        <w:t>（ICD-10）</w:t>
      </w:r>
      <w:r>
        <w:rPr>
          <w:spacing w:val="-3"/>
        </w:rPr>
        <w:t>的恶性肿瘤范畴。</w:t>
      </w:r>
      <w:r>
        <w:rPr>
          <w:spacing w:val="-3"/>
          <w:shd w:fill="DADADA" w:color="auto" w:val="clear"/>
        </w:rPr>
        <w:t>下列疾病不在保障范围内：</w:t>
      </w:r>
    </w:p>
    <w:p>
      <w:pPr>
        <w:pStyle w:val="BodyText"/>
        <w:spacing w:before="8"/>
        <w:ind w:left="3272"/>
        <w:jc w:val="both"/>
      </w:pPr>
      <w:r>
        <w:rPr>
          <w:shd w:fill="DADADA" w:color="auto" w:val="clear"/>
        </w:rPr>
        <w:t>（1）原位癌；</w:t>
      </w:r>
    </w:p>
    <w:p>
      <w:pPr>
        <w:pStyle w:val="BodyText"/>
        <w:spacing w:before="37"/>
        <w:ind w:left="3272"/>
        <w:jc w:val="both"/>
      </w:pPr>
      <w:r>
        <w:rPr>
          <w:shd w:fill="DADADA" w:color="auto" w:val="clear"/>
        </w:rPr>
        <w:t>（2）相当于 Binet 分期方案 A 期程度的慢性淋巴细胞白血病；</w:t>
      </w:r>
    </w:p>
    <w:p>
      <w:pPr>
        <w:pStyle w:val="BodyText"/>
        <w:spacing w:before="37"/>
        <w:ind w:left="3272"/>
        <w:jc w:val="both"/>
      </w:pPr>
      <w:r>
        <w:rPr>
          <w:shd w:fill="DADADA" w:color="auto" w:val="clear"/>
        </w:rPr>
        <w:t>（3）相当于 Ann Arbor 分期方案 I 期程度的何杰金氏病；</w:t>
      </w:r>
    </w:p>
    <w:p>
      <w:pPr>
        <w:pStyle w:val="BodyText"/>
        <w:spacing w:before="37"/>
        <w:ind w:left="3272"/>
        <w:jc w:val="both"/>
      </w:pPr>
      <w:r>
        <w:rPr>
          <w:w w:val="100"/>
          <w:shd w:fill="DADADA" w:color="auto" w:val="clear"/>
        </w:rPr>
        <w:t>（4</w:t>
      </w:r>
      <w:r>
        <w:rPr>
          <w:spacing w:val="-3"/>
          <w:w w:val="100"/>
          <w:shd w:fill="DADADA" w:color="auto" w:val="clear"/>
        </w:rPr>
        <w:t>）</w:t>
      </w:r>
      <w:r>
        <w:rPr>
          <w:spacing w:val="-2"/>
          <w:w w:val="100"/>
          <w:shd w:fill="DADADA" w:color="auto" w:val="clear"/>
        </w:rPr>
        <w:t>皮肤癌</w:t>
      </w:r>
      <w:r>
        <w:rPr>
          <w:spacing w:val="-3"/>
          <w:w w:val="100"/>
        </w:rPr>
        <w:t>（不包括恶性黑色素瘤及已发生转移的皮肤癌</w:t>
      </w:r>
      <w:r>
        <w:rPr>
          <w:spacing w:val="-106"/>
          <w:w w:val="100"/>
        </w:rPr>
        <w:t>）</w:t>
      </w:r>
      <w:r>
        <w:rPr>
          <w:w w:val="100"/>
        </w:rPr>
        <w:t>；</w:t>
      </w:r>
    </w:p>
    <w:p>
      <w:pPr>
        <w:pStyle w:val="BodyText"/>
        <w:spacing w:before="36"/>
        <w:ind w:left="3272"/>
        <w:jc w:val="both"/>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z w:val="11"/>
        </w:rPr>
        <w:t> </w:t>
      </w:r>
      <w:r>
        <w:rPr>
          <w:position w:val="1"/>
          <w:shd w:fill="DADADA" w:color="auto" w:val="clear"/>
        </w:rPr>
        <w:t>期或更轻分期的前列腺癌；</w:t>
      </w:r>
    </w:p>
    <w:p>
      <w:pPr>
        <w:pStyle w:val="BodyText"/>
        <w:tabs>
          <w:tab w:pos="8696" w:val="left" w:leader="none"/>
        </w:tabs>
        <w:spacing w:line="273" w:lineRule="auto" w:before="37"/>
        <w:ind w:left="3738" w:right="333" w:hanging="466"/>
      </w:pPr>
      <w:r>
        <w:rPr>
          <w:shd w:fill="DADADA" w:color="auto" w:val="clear"/>
        </w:rPr>
        <w:t>（6）感染艾滋病病毒或患艾滋病</w:t>
      </w:r>
      <w:r>
        <w:rPr/>
        <w:t>（不包括经输血导致的</w:t>
        <w:tab/>
        <w:t>艾滋病病毒感 </w:t>
      </w:r>
      <w:r>
        <w:rPr>
          <w:spacing w:val="-1"/>
        </w:rPr>
        <w:t>染</w:t>
      </w:r>
      <w:r>
        <w:rPr/>
        <w:t>或</w:t>
      </w:r>
      <w:r>
        <w:rPr>
          <w:spacing w:val="-3"/>
        </w:rPr>
        <w:t>患</w:t>
      </w:r>
      <w:r>
        <w:rPr/>
        <w:t>艾</w:t>
      </w:r>
      <w:r>
        <w:rPr>
          <w:spacing w:val="-3"/>
        </w:rPr>
        <w:t>滋</w:t>
      </w:r>
      <w:r>
        <w:rPr/>
        <w:t>病</w:t>
      </w:r>
      <w:r>
        <w:rPr>
          <w:spacing w:val="-3"/>
        </w:rPr>
        <w:t>）</w:t>
      </w:r>
      <w:r>
        <w:rPr>
          <w:shd w:fill="DADADA" w:color="auto" w:val="clear"/>
        </w:rPr>
        <w:t>期</w:t>
      </w:r>
      <w:r>
        <w:rPr>
          <w:spacing w:val="-3"/>
          <w:shd w:fill="DADADA" w:color="auto" w:val="clear"/>
        </w:rPr>
        <w:t>间</w:t>
      </w:r>
      <w:r>
        <w:rPr>
          <w:shd w:fill="DADADA" w:color="auto" w:val="clear"/>
        </w:rPr>
        <w:t>所</w:t>
      </w:r>
      <w:r>
        <w:rPr>
          <w:spacing w:val="-3"/>
          <w:shd w:fill="DADADA" w:color="auto" w:val="clear"/>
        </w:rPr>
        <w:t>患</w:t>
      </w:r>
      <w:r>
        <w:rPr>
          <w:shd w:fill="DADADA" w:color="auto" w:val="clear"/>
        </w:rPr>
        <w:t>恶性</w:t>
      </w:r>
      <w:r>
        <w:rPr>
          <w:spacing w:val="-3"/>
          <w:shd w:fill="DADADA" w:color="auto" w:val="clear"/>
        </w:rPr>
        <w:t>肿</w:t>
      </w:r>
      <w:r>
        <w:rPr>
          <w:shd w:fill="DADADA" w:color="auto" w:val="clear"/>
        </w:rPr>
        <w:t>瘤</w:t>
      </w:r>
      <w:r>
        <w:rPr/>
        <w:t>。</w:t>
      </w:r>
    </w:p>
    <w:p>
      <w:pPr>
        <w:pStyle w:val="BodyText"/>
        <w:spacing w:before="12"/>
        <w:rPr>
          <w:sz w:val="29"/>
        </w:rPr>
      </w:pPr>
    </w:p>
    <w:tbl>
      <w:tblPr>
        <w:tblW w:w="0" w:type="auto"/>
        <w:jc w:val="left"/>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6"/>
        <w:gridCol w:w="2399"/>
        <w:gridCol w:w="7031"/>
      </w:tblGrid>
      <w:tr>
        <w:trPr>
          <w:trHeight w:val="779" w:hRule="atLeast"/>
        </w:trPr>
        <w:tc>
          <w:tcPr>
            <w:tcW w:w="566" w:type="dxa"/>
          </w:tcPr>
          <w:p>
            <w:pPr>
              <w:pStyle w:val="TableParagraph"/>
              <w:spacing w:line="231" w:lineRule="exact"/>
              <w:ind w:right="58"/>
              <w:jc w:val="center"/>
              <w:rPr>
                <w:b/>
                <w:sz w:val="21"/>
              </w:rPr>
            </w:pPr>
            <w:r>
              <w:rPr>
                <w:b/>
                <w:w w:val="99"/>
                <w:sz w:val="21"/>
              </w:rPr>
              <w:t>2</w:t>
            </w:r>
          </w:p>
        </w:tc>
        <w:tc>
          <w:tcPr>
            <w:tcW w:w="2399" w:type="dxa"/>
          </w:tcPr>
          <w:p>
            <w:pPr>
              <w:pStyle w:val="TableParagraph"/>
              <w:spacing w:line="242" w:lineRule="exact"/>
              <w:ind w:left="260"/>
              <w:rPr>
                <w:rFonts w:ascii="等线" w:eastAsia="等线" w:hint="eastAsia"/>
                <w:b/>
                <w:sz w:val="24"/>
              </w:rPr>
            </w:pPr>
            <w:r>
              <w:rPr>
                <w:rFonts w:ascii="等线" w:eastAsia="等线" w:hint="eastAsia"/>
                <w:b/>
                <w:sz w:val="24"/>
              </w:rPr>
              <w:t>侵蚀性葡萄胎（或</w:t>
            </w:r>
          </w:p>
          <w:p>
            <w:pPr>
              <w:pStyle w:val="TableParagraph"/>
              <w:spacing w:line="322" w:lineRule="exact"/>
              <w:ind w:left="260"/>
              <w:rPr>
                <w:rFonts w:ascii="等线" w:eastAsia="等线" w:hint="eastAsia"/>
                <w:b/>
                <w:sz w:val="24"/>
              </w:rPr>
            </w:pPr>
            <w:r>
              <w:rPr>
                <w:rFonts w:ascii="等线" w:eastAsia="等线" w:hint="eastAsia"/>
                <w:b/>
                <w:sz w:val="24"/>
              </w:rPr>
              <w:t>称恶性葡萄胎）</w:t>
            </w:r>
          </w:p>
        </w:tc>
        <w:tc>
          <w:tcPr>
            <w:tcW w:w="7031" w:type="dxa"/>
          </w:tcPr>
          <w:p>
            <w:pPr>
              <w:pStyle w:val="TableParagraph"/>
              <w:spacing w:line="231" w:lineRule="exact"/>
              <w:ind w:left="107"/>
              <w:rPr>
                <w:sz w:val="21"/>
              </w:rPr>
            </w:pPr>
            <w:r>
              <w:rPr>
                <w:sz w:val="21"/>
              </w:rPr>
              <w:t>指异常增生的绒毛组织浸润性生长浸入子宫肌层或转移至其他器官或组</w:t>
            </w:r>
          </w:p>
          <w:p>
            <w:pPr>
              <w:pStyle w:val="TableParagraph"/>
              <w:spacing w:before="37"/>
              <w:ind w:left="107"/>
              <w:rPr>
                <w:sz w:val="21"/>
              </w:rPr>
            </w:pPr>
            <w:r>
              <w:rPr>
                <w:sz w:val="21"/>
              </w:rPr>
              <w:t>织的葡萄胎，并已经进行化疗或手术治疗的。</w:t>
            </w:r>
          </w:p>
        </w:tc>
      </w:tr>
      <w:tr>
        <w:trPr>
          <w:trHeight w:val="636" w:hRule="atLeast"/>
        </w:trPr>
        <w:tc>
          <w:tcPr>
            <w:tcW w:w="566" w:type="dxa"/>
          </w:tcPr>
          <w:p>
            <w:pPr>
              <w:pStyle w:val="TableParagraph"/>
              <w:rPr>
                <w:rFonts w:ascii="Times New Roman"/>
                <w:sz w:val="20"/>
              </w:rPr>
            </w:pPr>
          </w:p>
        </w:tc>
        <w:tc>
          <w:tcPr>
            <w:tcW w:w="2399" w:type="dxa"/>
          </w:tcPr>
          <w:p>
            <w:pPr>
              <w:pStyle w:val="TableParagraph"/>
              <w:spacing w:before="150"/>
              <w:ind w:left="260"/>
              <w:rPr>
                <w:b/>
                <w:sz w:val="21"/>
              </w:rPr>
            </w:pPr>
            <w:r>
              <w:rPr>
                <w:b/>
                <w:sz w:val="21"/>
              </w:rPr>
              <w:t>第 2 类：</w:t>
            </w:r>
          </w:p>
        </w:tc>
        <w:tc>
          <w:tcPr>
            <w:tcW w:w="7031" w:type="dxa"/>
          </w:tcPr>
          <w:p>
            <w:pPr>
              <w:pStyle w:val="TableParagraph"/>
              <w:spacing w:before="150"/>
              <w:ind w:left="107"/>
              <w:rPr>
                <w:b/>
                <w:sz w:val="21"/>
              </w:rPr>
            </w:pPr>
            <w:r>
              <w:rPr>
                <w:b/>
                <w:sz w:val="21"/>
              </w:rPr>
              <w:t>与心脏或脑血管相关的疾病</w:t>
            </w:r>
          </w:p>
        </w:tc>
      </w:tr>
      <w:tr>
        <w:trPr>
          <w:trHeight w:val="2836" w:hRule="atLeast"/>
        </w:trPr>
        <w:tc>
          <w:tcPr>
            <w:tcW w:w="566" w:type="dxa"/>
          </w:tcPr>
          <w:p>
            <w:pPr>
              <w:pStyle w:val="TableParagraph"/>
              <w:spacing w:before="167"/>
              <w:ind w:right="58"/>
              <w:jc w:val="center"/>
              <w:rPr>
                <w:b/>
                <w:sz w:val="21"/>
              </w:rPr>
            </w:pPr>
            <w:r>
              <w:rPr>
                <w:b/>
                <w:w w:val="99"/>
                <w:sz w:val="21"/>
              </w:rPr>
              <w:t>3</w:t>
            </w:r>
          </w:p>
        </w:tc>
        <w:tc>
          <w:tcPr>
            <w:tcW w:w="2399" w:type="dxa"/>
          </w:tcPr>
          <w:p>
            <w:pPr>
              <w:pStyle w:val="TableParagraph"/>
              <w:spacing w:before="131"/>
              <w:ind w:left="260"/>
              <w:rPr>
                <w:rFonts w:ascii="等线" w:eastAsia="等线" w:hint="eastAsia"/>
                <w:b/>
                <w:sz w:val="24"/>
              </w:rPr>
            </w:pPr>
            <w:r>
              <w:rPr>
                <w:rFonts w:ascii="等线" w:eastAsia="等线" w:hint="eastAsia"/>
                <w:b/>
                <w:w w:val="105"/>
                <w:sz w:val="24"/>
              </w:rPr>
              <w:t>急性心ft梗塞</w:t>
            </w:r>
          </w:p>
        </w:tc>
        <w:tc>
          <w:tcPr>
            <w:tcW w:w="7031" w:type="dxa"/>
          </w:tcPr>
          <w:p>
            <w:pPr>
              <w:pStyle w:val="TableParagraph"/>
              <w:spacing w:line="273" w:lineRule="auto" w:before="167"/>
              <w:ind w:left="107" w:right="172"/>
              <w:rPr>
                <w:sz w:val="21"/>
              </w:rPr>
            </w:pPr>
            <w:r>
              <w:rPr>
                <w:sz w:val="21"/>
              </w:rPr>
              <w:t>指因冠状动脉阻塞导致的相应区域供血不足造成部分心肌坏死。须满足下列至少三项条件：</w:t>
            </w:r>
          </w:p>
          <w:p>
            <w:pPr>
              <w:pStyle w:val="TableParagraph"/>
              <w:spacing w:before="7"/>
              <w:ind w:left="107"/>
              <w:rPr>
                <w:sz w:val="21"/>
              </w:rPr>
            </w:pPr>
            <w:r>
              <w:rPr>
                <w:sz w:val="21"/>
              </w:rPr>
              <w:t>（1）典型临床表现，例如急性胸痛等；</w:t>
            </w:r>
          </w:p>
          <w:p>
            <w:pPr>
              <w:pStyle w:val="TableParagraph"/>
              <w:spacing w:before="36"/>
              <w:ind w:left="107"/>
              <w:rPr>
                <w:sz w:val="21"/>
              </w:rPr>
            </w:pPr>
            <w:r>
              <w:rPr>
                <w:sz w:val="21"/>
              </w:rPr>
              <w:t>（2）新近的心电图改变提示急性心肌梗塞；</w:t>
            </w:r>
          </w:p>
          <w:p>
            <w:pPr>
              <w:pStyle w:val="TableParagraph"/>
              <w:spacing w:line="273" w:lineRule="auto" w:before="36"/>
              <w:ind w:left="633" w:right="224" w:hanging="526"/>
              <w:rPr>
                <w:sz w:val="21"/>
              </w:rPr>
            </w:pPr>
            <w:r>
              <w:rPr>
                <w:sz w:val="21"/>
              </w:rPr>
              <w:t>（3）心肌酶或肌钙蛋白有诊断意义的升高，或呈符合急性心肌梗塞的动态性变化；</w:t>
            </w:r>
          </w:p>
          <w:p>
            <w:pPr>
              <w:pStyle w:val="TableParagraph"/>
              <w:spacing w:before="7"/>
              <w:ind w:left="107"/>
              <w:rPr>
                <w:sz w:val="21"/>
              </w:rPr>
            </w:pPr>
            <w:r>
              <w:rPr>
                <w:sz w:val="21"/>
              </w:rPr>
              <w:t>（4）发病 90 日后，经检查证实左心室功能降低，如左心室射血分数低于</w:t>
            </w:r>
          </w:p>
          <w:p>
            <w:pPr>
              <w:pStyle w:val="TableParagraph"/>
              <w:spacing w:before="37"/>
              <w:ind w:left="633"/>
              <w:rPr>
                <w:sz w:val="21"/>
              </w:rPr>
            </w:pPr>
            <w:r>
              <w:rPr>
                <w:sz w:val="21"/>
              </w:rPr>
              <w:t>50%。</w:t>
            </w:r>
          </w:p>
        </w:tc>
      </w:tr>
      <w:tr>
        <w:trPr>
          <w:trHeight w:val="1248" w:hRule="atLeast"/>
        </w:trPr>
        <w:tc>
          <w:tcPr>
            <w:tcW w:w="566" w:type="dxa"/>
          </w:tcPr>
          <w:p>
            <w:pPr>
              <w:pStyle w:val="TableParagraph"/>
              <w:spacing w:before="167"/>
              <w:ind w:right="58"/>
              <w:jc w:val="center"/>
              <w:rPr>
                <w:b/>
                <w:sz w:val="21"/>
              </w:rPr>
            </w:pPr>
            <w:r>
              <w:rPr>
                <w:b/>
                <w:w w:val="99"/>
                <w:sz w:val="21"/>
              </w:rPr>
              <w:t>4</w:t>
            </w:r>
          </w:p>
        </w:tc>
        <w:tc>
          <w:tcPr>
            <w:tcW w:w="2399" w:type="dxa"/>
          </w:tcPr>
          <w:p>
            <w:pPr>
              <w:pStyle w:val="TableParagraph"/>
              <w:spacing w:line="232" w:lineRule="auto" w:before="141"/>
              <w:ind w:left="260" w:right="106"/>
              <w:rPr>
                <w:rFonts w:ascii="等线" w:eastAsia="等线" w:hint="eastAsia"/>
                <w:b/>
                <w:sz w:val="24"/>
              </w:rPr>
            </w:pPr>
            <w:r>
              <w:rPr>
                <w:rFonts w:ascii="等线" w:eastAsia="等线" w:hint="eastAsia"/>
                <w:b/>
                <w:sz w:val="24"/>
              </w:rPr>
              <w:t>严重原发性肺动脉高压</w:t>
            </w:r>
          </w:p>
        </w:tc>
        <w:tc>
          <w:tcPr>
            <w:tcW w:w="7031" w:type="dxa"/>
          </w:tcPr>
          <w:p>
            <w:pPr>
              <w:pStyle w:val="TableParagraph"/>
              <w:spacing w:line="273" w:lineRule="auto" w:before="167"/>
              <w:ind w:left="107" w:right="225"/>
              <w:jc w:val="both"/>
              <w:rPr>
                <w:sz w:val="21"/>
              </w:rPr>
            </w:pPr>
            <w:r>
              <w:rPr>
                <w:spacing w:val="-5"/>
                <w:sz w:val="21"/>
              </w:rPr>
              <w:t>指不明原因的肺动脉压力持续性增高，进行性发展而导致的慢性疾病，已经造成</w:t>
            </w:r>
            <w:r>
              <w:rPr>
                <w:rFonts w:ascii="黑体" w:eastAsia="黑体" w:hint="eastAsia"/>
                <w:b/>
                <w:spacing w:val="-3"/>
                <w:sz w:val="21"/>
              </w:rPr>
              <w:t>永久不可逆 </w:t>
            </w:r>
            <w:hyperlink w:history="true" w:anchor="_bookmark14">
              <w:r>
                <w:rPr>
                  <w:rFonts w:ascii="黑体" w:eastAsia="黑体" w:hint="eastAsia"/>
                  <w:b/>
                  <w:position w:val="11"/>
                  <w:sz w:val="11"/>
                </w:rPr>
                <w:t>15</w:t>
              </w:r>
            </w:hyperlink>
            <w:r>
              <w:rPr>
                <w:spacing w:val="-4"/>
                <w:sz w:val="21"/>
              </w:rPr>
              <w:t>性的体力活动能力受限，达到美国纽约心脏病学会</w:t>
            </w:r>
            <w:r>
              <w:rPr>
                <w:rFonts w:ascii="黑体" w:eastAsia="黑体" w:hint="eastAsia"/>
                <w:b/>
                <w:sz w:val="21"/>
              </w:rPr>
              <w:t>心</w:t>
            </w:r>
            <w:r>
              <w:rPr>
                <w:rFonts w:ascii="黑体" w:eastAsia="黑体" w:hint="eastAsia"/>
                <w:b/>
                <w:spacing w:val="-6"/>
                <w:sz w:val="21"/>
              </w:rPr>
              <w:t>功能状态分级 </w:t>
            </w:r>
            <w:hyperlink w:history="true" w:anchor="_bookmark15">
              <w:r>
                <w:rPr>
                  <w:rFonts w:ascii="黑体" w:eastAsia="黑体" w:hint="eastAsia"/>
                  <w:b/>
                  <w:position w:val="11"/>
                  <w:sz w:val="11"/>
                </w:rPr>
                <w:t>16</w:t>
              </w:r>
            </w:hyperlink>
            <w:r>
              <w:rPr>
                <w:sz w:val="21"/>
              </w:rPr>
              <w:t>IV</w:t>
            </w:r>
            <w:r>
              <w:rPr>
                <w:spacing w:val="-11"/>
                <w:sz w:val="21"/>
              </w:rPr>
              <w:t> 级，且静息状态下肺动脉平均压超过 </w:t>
            </w:r>
            <w:r>
              <w:rPr>
                <w:sz w:val="21"/>
              </w:rPr>
              <w:t>30mmHg。</w:t>
            </w:r>
          </w:p>
        </w:tc>
      </w:tr>
      <w:tr>
        <w:trPr>
          <w:trHeight w:val="907" w:hRule="atLeast"/>
        </w:trPr>
        <w:tc>
          <w:tcPr>
            <w:tcW w:w="566" w:type="dxa"/>
          </w:tcPr>
          <w:p>
            <w:pPr>
              <w:pStyle w:val="TableParagraph"/>
              <w:spacing w:before="138"/>
              <w:ind w:right="58"/>
              <w:jc w:val="center"/>
              <w:rPr>
                <w:b/>
                <w:sz w:val="21"/>
              </w:rPr>
            </w:pPr>
            <w:r>
              <w:rPr>
                <w:b/>
                <w:w w:val="99"/>
                <w:sz w:val="21"/>
              </w:rPr>
              <w:t>5</w:t>
            </w:r>
          </w:p>
        </w:tc>
        <w:tc>
          <w:tcPr>
            <w:tcW w:w="2399" w:type="dxa"/>
          </w:tcPr>
          <w:p>
            <w:pPr>
              <w:pStyle w:val="TableParagraph"/>
              <w:spacing w:before="102"/>
              <w:ind w:left="260"/>
              <w:rPr>
                <w:rFonts w:ascii="等线" w:eastAsia="等线" w:hint="eastAsia"/>
                <w:b/>
                <w:sz w:val="24"/>
              </w:rPr>
            </w:pPr>
            <w:r>
              <w:rPr>
                <w:rFonts w:ascii="等线" w:eastAsia="等线" w:hint="eastAsia"/>
                <w:b/>
                <w:sz w:val="24"/>
              </w:rPr>
              <w:t>心脏瓣膜手术</w:t>
            </w:r>
          </w:p>
        </w:tc>
        <w:tc>
          <w:tcPr>
            <w:tcW w:w="7031" w:type="dxa"/>
          </w:tcPr>
          <w:p>
            <w:pPr>
              <w:pStyle w:val="TableParagraph"/>
              <w:spacing w:line="273" w:lineRule="auto" w:before="138"/>
              <w:ind w:left="107" w:right="197"/>
              <w:rPr>
                <w:sz w:val="21"/>
              </w:rPr>
            </w:pPr>
            <w:r>
              <w:rPr>
                <w:sz w:val="21"/>
              </w:rPr>
              <w:t>指为治疗心脏瓣膜疾病，实际实施了开胸进行的心脏瓣膜置换或修复的手术。</w:t>
            </w:r>
          </w:p>
        </w:tc>
      </w:tr>
      <w:tr>
        <w:trPr>
          <w:trHeight w:val="2156" w:hRule="atLeast"/>
        </w:trPr>
        <w:tc>
          <w:tcPr>
            <w:tcW w:w="566" w:type="dxa"/>
          </w:tcPr>
          <w:p>
            <w:pPr>
              <w:pStyle w:val="TableParagraph"/>
              <w:spacing w:before="138"/>
              <w:ind w:right="58"/>
              <w:jc w:val="center"/>
              <w:rPr>
                <w:b/>
                <w:sz w:val="21"/>
              </w:rPr>
            </w:pPr>
            <w:r>
              <w:rPr>
                <w:b/>
                <w:w w:val="99"/>
                <w:sz w:val="21"/>
              </w:rPr>
              <w:t>6</w:t>
            </w:r>
          </w:p>
        </w:tc>
        <w:tc>
          <w:tcPr>
            <w:tcW w:w="2399" w:type="dxa"/>
          </w:tcPr>
          <w:p>
            <w:pPr>
              <w:pStyle w:val="TableParagraph"/>
              <w:spacing w:line="235" w:lineRule="auto" w:before="109"/>
              <w:ind w:left="260" w:right="106"/>
              <w:rPr>
                <w:rFonts w:ascii="等线" w:eastAsia="等线" w:hint="eastAsia"/>
                <w:b/>
                <w:sz w:val="24"/>
              </w:rPr>
            </w:pPr>
            <w:r>
              <w:rPr>
                <w:rFonts w:ascii="等线" w:eastAsia="等线" w:hint="eastAsia"/>
                <w:b/>
                <w:sz w:val="24"/>
              </w:rPr>
              <w:t>严重的原发性心ft </w:t>
            </w:r>
            <w:r>
              <w:rPr>
                <w:rFonts w:ascii="等线" w:eastAsia="等线" w:hint="eastAsia"/>
                <w:b/>
                <w:w w:val="105"/>
                <w:sz w:val="24"/>
              </w:rPr>
              <w:t>病</w:t>
            </w:r>
          </w:p>
        </w:tc>
        <w:tc>
          <w:tcPr>
            <w:tcW w:w="7031" w:type="dxa"/>
          </w:tcPr>
          <w:p>
            <w:pPr>
              <w:pStyle w:val="TableParagraph"/>
              <w:spacing w:line="273" w:lineRule="auto" w:before="138"/>
              <w:ind w:left="107" w:right="224"/>
              <w:jc w:val="both"/>
              <w:rPr>
                <w:sz w:val="21"/>
              </w:rPr>
            </w:pPr>
            <w:r>
              <w:rPr>
                <w:spacing w:val="-5"/>
                <w:sz w:val="21"/>
              </w:rPr>
              <w:t>指不明原因引起的一类心肌病变，包括原发性扩张型心肌病、原发性肥厚</w:t>
            </w:r>
            <w:r>
              <w:rPr>
                <w:spacing w:val="-6"/>
                <w:sz w:val="21"/>
              </w:rPr>
              <w:t>型心肌病及原发性限制型心肌病三种，病变必须已造成事实上心室功能障碍而出现明显的心功能衰竭</w:t>
            </w:r>
            <w:r>
              <w:rPr>
                <w:spacing w:val="-3"/>
                <w:sz w:val="21"/>
              </w:rPr>
              <w:t>（指按照美国纽约心脏病学会提出的心功能状</w:t>
            </w:r>
            <w:r>
              <w:rPr>
                <w:spacing w:val="-1"/>
                <w:w w:val="100"/>
                <w:sz w:val="21"/>
              </w:rPr>
              <w:t>态分级的标准判定，心功能状态已达Ⅳ级</w:t>
            </w:r>
            <w:r>
              <w:rPr>
                <w:spacing w:val="-106"/>
                <w:w w:val="100"/>
                <w:sz w:val="21"/>
              </w:rPr>
              <w:t>）</w:t>
            </w:r>
            <w:r>
              <w:rPr>
                <w:w w:val="100"/>
                <w:sz w:val="21"/>
              </w:rPr>
              <w:t>，且有相关住院医疗记录显示</w:t>
            </w:r>
          </w:p>
          <w:p>
            <w:pPr>
              <w:pStyle w:val="TableParagraph"/>
              <w:spacing w:line="273" w:lineRule="auto" w:before="7"/>
              <w:ind w:left="107" w:right="198"/>
              <w:jc w:val="both"/>
              <w:rPr>
                <w:sz w:val="21"/>
              </w:rPr>
            </w:pPr>
            <w:r>
              <w:rPr>
                <w:spacing w:val="-5"/>
                <w:sz w:val="21"/>
              </w:rPr>
              <w:t>Ⅳ级心功能衰竭状态已持续至少 </w:t>
            </w:r>
            <w:r>
              <w:rPr>
                <w:sz w:val="21"/>
              </w:rPr>
              <w:t>180</w:t>
            </w:r>
            <w:r>
              <w:rPr>
                <w:spacing w:val="-7"/>
                <w:sz w:val="21"/>
              </w:rPr>
              <w:t> 日。本病须经专科医生明确诊断。</w:t>
            </w:r>
            <w:r>
              <w:rPr>
                <w:sz w:val="21"/>
                <w:shd w:fill="DADADA" w:color="auto" w:val="clear"/>
              </w:rPr>
              <w:t>继</w:t>
            </w:r>
            <w:r>
              <w:rPr>
                <w:spacing w:val="-3"/>
                <w:sz w:val="21"/>
                <w:shd w:fill="DADADA" w:color="auto" w:val="clear"/>
              </w:rPr>
              <w:t>发于全身性疾病或其它器官系统疾病造成的心肌病变不在保障范围内。</w:t>
            </w:r>
          </w:p>
        </w:tc>
      </w:tr>
      <w:tr>
        <w:trPr>
          <w:trHeight w:val="431" w:hRule="atLeast"/>
        </w:trPr>
        <w:tc>
          <w:tcPr>
            <w:tcW w:w="566" w:type="dxa"/>
          </w:tcPr>
          <w:p>
            <w:pPr>
              <w:pStyle w:val="TableParagraph"/>
              <w:spacing w:line="272" w:lineRule="exact" w:before="139"/>
              <w:ind w:right="58"/>
              <w:jc w:val="center"/>
              <w:rPr>
                <w:b/>
                <w:sz w:val="21"/>
              </w:rPr>
            </w:pPr>
            <w:r>
              <w:rPr>
                <w:b/>
                <w:w w:val="99"/>
                <w:sz w:val="21"/>
              </w:rPr>
              <w:t>7</w:t>
            </w:r>
          </w:p>
        </w:tc>
        <w:tc>
          <w:tcPr>
            <w:tcW w:w="2399" w:type="dxa"/>
          </w:tcPr>
          <w:p>
            <w:pPr>
              <w:pStyle w:val="TableParagraph"/>
              <w:spacing w:line="308" w:lineRule="exact" w:before="103"/>
              <w:ind w:left="260"/>
              <w:rPr>
                <w:rFonts w:ascii="等线" w:eastAsia="等线" w:hint="eastAsia"/>
                <w:b/>
                <w:sz w:val="24"/>
              </w:rPr>
            </w:pPr>
            <w:r>
              <w:rPr>
                <w:rFonts w:ascii="等线" w:eastAsia="等线" w:hint="eastAsia"/>
                <w:b/>
                <w:sz w:val="24"/>
              </w:rPr>
              <w:t>脑中风后遗症</w:t>
            </w:r>
          </w:p>
        </w:tc>
        <w:tc>
          <w:tcPr>
            <w:tcW w:w="7031" w:type="dxa"/>
          </w:tcPr>
          <w:p>
            <w:pPr>
              <w:pStyle w:val="TableParagraph"/>
              <w:spacing w:line="272" w:lineRule="exact" w:before="139"/>
              <w:ind w:left="107"/>
              <w:rPr>
                <w:sz w:val="21"/>
              </w:rPr>
            </w:pPr>
            <w:r>
              <w:rPr>
                <w:sz w:val="21"/>
              </w:rPr>
              <w:t>指因脑血管的突发病变引起脑血管出血、栓塞或梗塞，并导致神经系统永</w:t>
            </w:r>
          </w:p>
        </w:tc>
      </w:tr>
    </w:tbl>
    <w:p>
      <w:pPr>
        <w:pStyle w:val="BodyText"/>
        <w:spacing w:before="8"/>
        <w:rPr>
          <w:sz w:val="19"/>
        </w:rPr>
      </w:pPr>
      <w:r>
        <w:rPr/>
        <w:pict>
          <v:line style="position:absolute;mso-position-horizontal-relative:page;mso-position-vertical-relative:paragraph;z-index:1408;mso-wrap-distance-left:0;mso-wrap-distance-right:0" from="51pt,15.0475pt" to="195pt,15.0475pt" stroked="true" strokeweight=".481pt" strokecolor="#000000">
            <v:stroke dashstyle="solid"/>
            <w10:wrap type="topAndBottom"/>
          </v:line>
        </w:pict>
      </w:r>
    </w:p>
    <w:p>
      <w:pPr>
        <w:spacing w:line="297" w:lineRule="exact" w:before="22"/>
        <w:ind w:left="100" w:right="0" w:firstLine="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7" w:lineRule="exact" w:before="0"/>
        <w:ind w:left="100" w:right="0" w:firstLine="0"/>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心功能状态分级</w:t>
      </w:r>
      <w:r>
        <w:rPr>
          <w:sz w:val="18"/>
        </w:rPr>
        <w:t>指美国纽约心脏病学会心功能状态的分级标准：</w:t>
      </w:r>
    </w:p>
    <w:p>
      <w:pPr>
        <w:spacing w:before="25"/>
        <w:ind w:left="279" w:right="0" w:firstLine="0"/>
        <w:jc w:val="left"/>
        <w:rPr>
          <w:sz w:val="18"/>
        </w:rPr>
      </w:pPr>
      <w:r>
        <w:rPr>
          <w:sz w:val="18"/>
        </w:rPr>
        <w:t>Ⅰ级：体力活动不受限制，日常活动不引起乏力、心悸、呼吸困难或心绞痛等症状；</w:t>
      </w:r>
    </w:p>
    <w:p>
      <w:pPr>
        <w:spacing w:before="42"/>
        <w:ind w:left="279" w:right="0" w:firstLine="0"/>
        <w:jc w:val="left"/>
        <w:rPr>
          <w:sz w:val="18"/>
        </w:rPr>
      </w:pPr>
      <w:r>
        <w:rPr>
          <w:sz w:val="18"/>
        </w:rPr>
        <w:t>Ⅱ级：体力活动轻度受限，休息时无症状，日常活动即可引起乏力、心悸、呼吸困难或心绞痛等症状；</w:t>
      </w:r>
    </w:p>
    <w:p>
      <w:pPr>
        <w:spacing w:line="285" w:lineRule="auto" w:before="44"/>
        <w:ind w:left="279" w:right="3724" w:firstLine="0"/>
        <w:jc w:val="left"/>
        <w:rPr>
          <w:sz w:val="18"/>
        </w:rPr>
      </w:pPr>
      <w:r>
        <w:rPr>
          <w:sz w:val="18"/>
        </w:rPr>
        <w:t>Ⅲ级：体力活动明显受限，休息时无症状，轻于日常的活动即可引起上述症状； Ⅳ级：不能从事任何体力活动，休息时亦有症状，体力活动后加重。</w:t>
      </w:r>
    </w:p>
    <w:p>
      <w:pPr>
        <w:spacing w:after="0" w:line="285" w:lineRule="auto"/>
        <w:jc w:val="left"/>
        <w:rPr>
          <w:sz w:val="18"/>
        </w:rPr>
        <w:sectPr>
          <w:pgSz w:w="11910" w:h="16840"/>
          <w:pgMar w:top="1080" w:bottom="280" w:left="920" w:right="680"/>
        </w:sectPr>
      </w:pPr>
    </w:p>
    <w:p>
      <w:pPr>
        <w:pStyle w:val="BodyText"/>
        <w:spacing w:line="273" w:lineRule="auto" w:before="22"/>
        <w:ind w:left="3272" w:right="227"/>
      </w:pPr>
      <w:r>
        <w:rPr>
          <w:spacing w:val="-7"/>
        </w:rPr>
        <w:t>久性的功能障碍。神经系统永久性的功能障碍，指疾病确诊 </w:t>
      </w:r>
      <w:r>
        <w:rPr/>
        <w:t>180</w:t>
      </w:r>
      <w:r>
        <w:rPr>
          <w:spacing w:val="-14"/>
        </w:rPr>
        <w:t> 日后，仍</w:t>
      </w:r>
      <w:r>
        <w:rPr>
          <w:spacing w:val="-3"/>
        </w:rPr>
        <w:t>遗留下列一种或一种以上障碍：</w:t>
      </w:r>
    </w:p>
    <w:p>
      <w:pPr>
        <w:spacing w:before="8"/>
        <w:ind w:left="3272" w:right="0" w:firstLine="0"/>
        <w:jc w:val="left"/>
        <w:rPr>
          <w:sz w:val="21"/>
        </w:rPr>
      </w:pPr>
      <w:r>
        <w:rPr>
          <w:sz w:val="21"/>
        </w:rPr>
        <w:t>（1）一肢或一肢以上</w:t>
      </w:r>
      <w:r>
        <w:rPr>
          <w:rFonts w:ascii="黑体" w:eastAsia="黑体" w:hint="eastAsia"/>
          <w:b/>
          <w:sz w:val="21"/>
        </w:rPr>
        <w:t>肢体机能完全丧失 </w:t>
      </w:r>
      <w:hyperlink w:history="true" w:anchor="_bookmark16">
        <w:r>
          <w:rPr>
            <w:rFonts w:ascii="黑体" w:eastAsia="黑体" w:hint="eastAsia"/>
            <w:b/>
            <w:position w:val="11"/>
            <w:sz w:val="11"/>
          </w:rPr>
          <w:t>17</w:t>
        </w:r>
      </w:hyperlink>
      <w:r>
        <w:rPr>
          <w:sz w:val="21"/>
        </w:rPr>
        <w:t>；</w:t>
      </w:r>
    </w:p>
    <w:p>
      <w:pPr>
        <w:spacing w:before="37"/>
        <w:ind w:left="3272" w:right="0" w:firstLine="0"/>
        <w:jc w:val="left"/>
        <w:rPr>
          <w:sz w:val="21"/>
        </w:rPr>
      </w:pPr>
      <w:r>
        <w:rPr>
          <w:sz w:val="21"/>
        </w:rPr>
        <w:t>（2）</w:t>
      </w:r>
      <w:r>
        <w:rPr>
          <w:rFonts w:ascii="黑体" w:eastAsia="黑体" w:hint="eastAsia"/>
          <w:b/>
          <w:sz w:val="21"/>
        </w:rPr>
        <w:t>语言能力或咀嚼吞咽能力完全丧失 </w:t>
      </w:r>
      <w:hyperlink w:history="true" w:anchor="_bookmark17">
        <w:r>
          <w:rPr>
            <w:rFonts w:ascii="黑体" w:eastAsia="黑体" w:hint="eastAsia"/>
            <w:b/>
            <w:position w:val="11"/>
            <w:sz w:val="11"/>
          </w:rPr>
          <w:t>18</w:t>
        </w:r>
      </w:hyperlink>
      <w:r>
        <w:rPr>
          <w:sz w:val="21"/>
        </w:rPr>
        <w:t>；</w:t>
      </w:r>
    </w:p>
    <w:p>
      <w:pPr>
        <w:spacing w:line="273" w:lineRule="auto" w:before="36"/>
        <w:ind w:left="3798" w:right="215" w:hanging="526"/>
        <w:jc w:val="left"/>
        <w:rPr>
          <w:sz w:val="21"/>
        </w:rPr>
      </w:pPr>
      <w:r>
        <w:rPr>
          <w:spacing w:val="-18"/>
          <w:sz w:val="21"/>
        </w:rPr>
        <w:t>（3）</w:t>
      </w:r>
      <w:r>
        <w:rPr>
          <w:spacing w:val="-8"/>
          <w:sz w:val="21"/>
        </w:rPr>
        <w:t>自主生活能力完全丧失，无法独立完成</w:t>
      </w:r>
      <w:r>
        <w:rPr>
          <w:rFonts w:ascii="黑体" w:eastAsia="黑体" w:hint="eastAsia"/>
          <w:b/>
          <w:sz w:val="21"/>
        </w:rPr>
        <w:t>六项基本日常Th</w:t>
      </w:r>
      <w:r>
        <w:rPr>
          <w:rFonts w:ascii="黑体" w:eastAsia="黑体" w:hint="eastAsia"/>
          <w:b/>
          <w:spacing w:val="-6"/>
          <w:sz w:val="21"/>
        </w:rPr>
        <w:t>活活动 </w:t>
      </w:r>
      <w:hyperlink w:history="true" w:anchor="_bookmark18">
        <w:r>
          <w:rPr>
            <w:rFonts w:ascii="黑体" w:eastAsia="黑体" w:hint="eastAsia"/>
            <w:b/>
            <w:position w:val="11"/>
            <w:sz w:val="11"/>
          </w:rPr>
          <w:t>19</w:t>
        </w:r>
      </w:hyperlink>
      <w:r>
        <w:rPr>
          <w:spacing w:val="-3"/>
          <w:sz w:val="21"/>
        </w:rPr>
        <w:t>中的三项或三项以上。</w:t>
      </w:r>
    </w:p>
    <w:p>
      <w:pPr>
        <w:pStyle w:val="BodyText"/>
        <w:spacing w:before="3"/>
        <w:rPr>
          <w:sz w:val="22"/>
        </w:rPr>
      </w:pPr>
    </w:p>
    <w:p>
      <w:pPr>
        <w:spacing w:after="0"/>
        <w:rPr>
          <w:sz w:val="22"/>
        </w:rPr>
        <w:sectPr>
          <w:pgSz w:w="11910" w:h="16840"/>
          <w:pgMar w:top="1080" w:bottom="280" w:left="920" w:right="800"/>
        </w:sectPr>
      </w:pPr>
    </w:p>
    <w:p>
      <w:pPr>
        <w:pStyle w:val="Heading2"/>
        <w:numPr>
          <w:ilvl w:val="0"/>
          <w:numId w:val="5"/>
        </w:numPr>
        <w:tabs>
          <w:tab w:pos="1026" w:val="left" w:leader="none"/>
          <w:tab w:pos="1027" w:val="left" w:leader="none"/>
        </w:tabs>
        <w:spacing w:line="322" w:lineRule="exact" w:before="20" w:after="0"/>
        <w:ind w:left="1026" w:right="0" w:hanging="626"/>
        <w:jc w:val="left"/>
      </w:pPr>
      <w:r>
        <w:rPr>
          <w:spacing w:val="20"/>
          <w:position w:val="1"/>
        </w:rPr>
        <w:t>冠 状动脉搭 桥术</w:t>
      </w:r>
      <w:r>
        <w:rPr>
          <w:spacing w:val="-9"/>
          <w:position w:val="1"/>
        </w:rPr>
        <w:t> </w:t>
      </w:r>
    </w:p>
    <w:p>
      <w:pPr>
        <w:spacing w:line="235" w:lineRule="auto" w:before="1"/>
        <w:ind w:left="1026" w:right="55" w:firstLine="0"/>
        <w:jc w:val="left"/>
        <w:rPr>
          <w:rFonts w:ascii="等线" w:eastAsia="等线" w:hint="eastAsia"/>
          <w:b/>
          <w:sz w:val="24"/>
        </w:rPr>
      </w:pPr>
      <w:r>
        <w:rPr>
          <w:rFonts w:ascii="等线" w:eastAsia="等线" w:hint="eastAsia"/>
          <w:b/>
          <w:sz w:val="24"/>
        </w:rPr>
        <w:t>（或称冠状动脉旁路移植术）</w:t>
      </w:r>
    </w:p>
    <w:p>
      <w:pPr>
        <w:pStyle w:val="BodyText"/>
        <w:spacing w:line="273" w:lineRule="auto" w:before="57"/>
        <w:ind w:left="118" w:right="190"/>
      </w:pPr>
      <w:r>
        <w:rPr/>
        <w:br w:type="column"/>
      </w:r>
      <w:r>
        <w:rPr/>
        <w:t>指为治疗严重的冠心病，实际实施了开胸进行的冠状动脉血管旁路移植的手术。</w:t>
      </w:r>
    </w:p>
    <w:p>
      <w:pPr>
        <w:pStyle w:val="BodyText"/>
        <w:spacing w:line="273" w:lineRule="auto" w:before="8"/>
        <w:ind w:left="118" w:right="189"/>
      </w:pPr>
      <w:r>
        <w:rPr>
          <w:shd w:fill="DADADA" w:color="auto" w:val="clear"/>
        </w:rPr>
        <w:t>冠状动脉支架植入术、心导管球囊扩张术、激光射频技术及其它非开胸的介入手术、腔镜手术不在保障范围内。</w:t>
      </w:r>
    </w:p>
    <w:p>
      <w:pPr>
        <w:spacing w:after="0" w:line="273" w:lineRule="auto"/>
        <w:sectPr>
          <w:type w:val="continuous"/>
          <w:pgSz w:w="11910" w:h="16840"/>
          <w:pgMar w:top="440" w:bottom="280" w:left="920" w:right="800"/>
          <w:cols w:num="2" w:equalWidth="0">
            <w:col w:w="3115" w:space="40"/>
            <w:col w:w="7035"/>
          </w:cols>
        </w:sectPr>
      </w:pPr>
    </w:p>
    <w:p>
      <w:pPr>
        <w:pStyle w:val="BodyText"/>
        <w:spacing w:before="4"/>
        <w:rPr>
          <w:sz w:val="22"/>
        </w:rPr>
      </w:pPr>
    </w:p>
    <w:p>
      <w:pPr>
        <w:pStyle w:val="ListParagraph"/>
        <w:numPr>
          <w:ilvl w:val="0"/>
          <w:numId w:val="5"/>
        </w:numPr>
        <w:tabs>
          <w:tab w:pos="1026" w:val="left" w:leader="none"/>
          <w:tab w:pos="1027" w:val="left" w:leader="none"/>
          <w:tab w:pos="3272" w:val="left" w:leader="none"/>
        </w:tabs>
        <w:spacing w:line="240" w:lineRule="auto" w:before="20" w:after="0"/>
        <w:ind w:left="1026" w:right="0" w:hanging="626"/>
        <w:jc w:val="left"/>
        <w:rPr>
          <w:sz w:val="21"/>
        </w:rPr>
      </w:pPr>
      <w:r>
        <w:rPr>
          <w:rFonts w:ascii="等线" w:eastAsia="等线" w:hint="eastAsia"/>
          <w:b/>
          <w:position w:val="1"/>
          <w:sz w:val="24"/>
        </w:rPr>
        <w:t>主动脉手术</w:t>
        <w:tab/>
      </w:r>
      <w:r>
        <w:rPr>
          <w:sz w:val="21"/>
        </w:rPr>
        <w:t>指为</w:t>
      </w:r>
      <w:r>
        <w:rPr>
          <w:spacing w:val="-3"/>
          <w:sz w:val="21"/>
        </w:rPr>
        <w:t>治</w:t>
      </w:r>
      <w:r>
        <w:rPr>
          <w:sz w:val="21"/>
        </w:rPr>
        <w:t>疗</w:t>
      </w:r>
      <w:r>
        <w:rPr>
          <w:spacing w:val="-3"/>
          <w:sz w:val="21"/>
        </w:rPr>
        <w:t>主</w:t>
      </w:r>
      <w:r>
        <w:rPr>
          <w:sz w:val="21"/>
        </w:rPr>
        <w:t>动</w:t>
      </w:r>
      <w:r>
        <w:rPr>
          <w:spacing w:val="-3"/>
          <w:sz w:val="21"/>
        </w:rPr>
        <w:t>脉</w:t>
      </w:r>
      <w:r>
        <w:rPr>
          <w:sz w:val="21"/>
        </w:rPr>
        <w:t>疾</w:t>
      </w:r>
      <w:r>
        <w:rPr>
          <w:spacing w:val="-3"/>
          <w:sz w:val="21"/>
        </w:rPr>
        <w:t>病</w:t>
      </w:r>
      <w:r>
        <w:rPr>
          <w:spacing w:val="-10"/>
          <w:sz w:val="21"/>
        </w:rPr>
        <w:t>，</w:t>
      </w:r>
      <w:r>
        <w:rPr>
          <w:spacing w:val="-3"/>
          <w:sz w:val="21"/>
        </w:rPr>
        <w:t>实</w:t>
      </w:r>
      <w:r>
        <w:rPr>
          <w:sz w:val="21"/>
        </w:rPr>
        <w:t>际实</w:t>
      </w:r>
      <w:r>
        <w:rPr>
          <w:spacing w:val="-3"/>
          <w:sz w:val="21"/>
        </w:rPr>
        <w:t>施</w:t>
      </w:r>
      <w:r>
        <w:rPr>
          <w:sz w:val="21"/>
        </w:rPr>
        <w:t>了</w:t>
      </w:r>
      <w:r>
        <w:rPr>
          <w:spacing w:val="-3"/>
          <w:sz w:val="21"/>
        </w:rPr>
        <w:t>开</w:t>
      </w:r>
      <w:r>
        <w:rPr>
          <w:sz w:val="21"/>
        </w:rPr>
        <w:t>胸</w:t>
      </w:r>
      <w:r>
        <w:rPr>
          <w:spacing w:val="-3"/>
          <w:sz w:val="21"/>
        </w:rPr>
        <w:t>或</w:t>
      </w:r>
      <w:r>
        <w:rPr>
          <w:sz w:val="21"/>
        </w:rPr>
        <w:t>开</w:t>
      </w:r>
      <w:r>
        <w:rPr>
          <w:spacing w:val="-3"/>
          <w:sz w:val="21"/>
        </w:rPr>
        <w:t>腹</w:t>
      </w:r>
      <w:r>
        <w:rPr>
          <w:sz w:val="21"/>
        </w:rPr>
        <w:t>进</w:t>
      </w:r>
      <w:r>
        <w:rPr>
          <w:spacing w:val="-3"/>
          <w:sz w:val="21"/>
        </w:rPr>
        <w:t>行</w:t>
      </w:r>
      <w:r>
        <w:rPr>
          <w:sz w:val="21"/>
        </w:rPr>
        <w:t>的切</w:t>
      </w:r>
      <w:r>
        <w:rPr>
          <w:spacing w:val="-3"/>
          <w:sz w:val="21"/>
        </w:rPr>
        <w:t>除</w:t>
      </w:r>
      <w:r>
        <w:rPr>
          <w:spacing w:val="-10"/>
          <w:sz w:val="21"/>
        </w:rPr>
        <w:t>、</w:t>
      </w:r>
      <w:r>
        <w:rPr>
          <w:spacing w:val="-3"/>
          <w:sz w:val="21"/>
        </w:rPr>
        <w:t>置</w:t>
      </w:r>
      <w:r>
        <w:rPr>
          <w:sz w:val="21"/>
        </w:rPr>
        <w:t>换</w:t>
      </w:r>
      <w:r>
        <w:rPr>
          <w:spacing w:val="-10"/>
          <w:sz w:val="21"/>
        </w:rPr>
        <w:t>、</w:t>
      </w:r>
      <w:r>
        <w:rPr>
          <w:spacing w:val="-3"/>
          <w:sz w:val="21"/>
        </w:rPr>
        <w:t>修</w:t>
      </w:r>
      <w:r>
        <w:rPr>
          <w:sz w:val="21"/>
        </w:rPr>
        <w:t>补病</w:t>
      </w:r>
    </w:p>
    <w:p>
      <w:pPr>
        <w:pStyle w:val="BodyText"/>
        <w:spacing w:before="20"/>
        <w:ind w:left="3272"/>
      </w:pPr>
      <w:r>
        <w:rPr/>
        <w:t>损主动脉血管的手术。</w:t>
      </w:r>
    </w:p>
    <w:p>
      <w:pPr>
        <w:pStyle w:val="BodyText"/>
        <w:spacing w:line="273" w:lineRule="auto" w:before="36"/>
        <w:ind w:left="3272" w:right="190"/>
      </w:pPr>
      <w:r>
        <w:rPr>
          <w:spacing w:val="-3"/>
        </w:rPr>
        <w:t>主动脉指胸主动脉和腹主动脉，</w:t>
      </w:r>
      <w:r>
        <w:rPr>
          <w:spacing w:val="-3"/>
          <w:shd w:fill="DADADA" w:color="auto" w:val="clear"/>
        </w:rPr>
        <w:t>不包括胸主动脉和腹主动脉的分支血管。动脉内血管成形术不在保障范</w:t>
      </w:r>
      <w:r>
        <w:rPr>
          <w:spacing w:val="-70"/>
          <w:shd w:fill="DADADA" w:color="auto" w:val="clear"/>
        </w:rPr>
        <w:t>围内。</w:t>
      </w:r>
    </w:p>
    <w:p>
      <w:pPr>
        <w:pStyle w:val="BodyText"/>
        <w:spacing w:before="1"/>
        <w:rPr>
          <w:sz w:val="22"/>
        </w:rPr>
      </w:pPr>
    </w:p>
    <w:p>
      <w:pPr>
        <w:spacing w:after="0"/>
        <w:rPr>
          <w:sz w:val="22"/>
        </w:rPr>
        <w:sectPr>
          <w:type w:val="continuous"/>
          <w:pgSz w:w="11910" w:h="16840"/>
          <w:pgMar w:top="440" w:bottom="280" w:left="920" w:right="800"/>
        </w:sectPr>
      </w:pPr>
    </w:p>
    <w:p>
      <w:pPr>
        <w:pStyle w:val="Heading2"/>
        <w:numPr>
          <w:ilvl w:val="0"/>
          <w:numId w:val="5"/>
        </w:numPr>
        <w:tabs>
          <w:tab w:pos="1026" w:val="left" w:leader="none"/>
          <w:tab w:pos="1027" w:val="left" w:leader="none"/>
        </w:tabs>
        <w:spacing w:line="235" w:lineRule="auto" w:before="27" w:after="0"/>
        <w:ind w:left="1026" w:right="0" w:hanging="679"/>
        <w:jc w:val="left"/>
      </w:pPr>
      <w:r>
        <w:rPr>
          <w:spacing w:val="10"/>
          <w:position w:val="1"/>
        </w:rPr>
        <w:t>严重感染性心内膜</w:t>
      </w:r>
      <w:r>
        <w:rPr>
          <w:spacing w:val="10"/>
        </w:rPr>
        <w:t>炎</w:t>
      </w:r>
    </w:p>
    <w:p>
      <w:pPr>
        <w:pStyle w:val="BodyText"/>
        <w:spacing w:line="256" w:lineRule="auto" w:before="56"/>
        <w:ind w:left="175" w:right="215"/>
      </w:pPr>
      <w:r>
        <w:rPr/>
        <w:br w:type="column"/>
      </w:r>
      <w:r>
        <w:rPr>
          <w:spacing w:val="-5"/>
        </w:rPr>
        <w:t>指因感染性微生物造成心脏内膜发炎，经由专科医生确诊，并符合下</w:t>
      </w:r>
      <w:r>
        <w:rPr>
          <w:rFonts w:ascii="Times New Roman" w:eastAsia="Times New Roman"/>
          <w:spacing w:val="-3"/>
          <w:w w:val="110"/>
        </w:rPr>
        <w:t>列</w:t>
      </w:r>
      <w:r>
        <w:rPr>
          <w:spacing w:val="-58"/>
        </w:rPr>
        <w:t>所</w:t>
      </w:r>
      <w:r>
        <w:rPr>
          <w:spacing w:val="-1"/>
        </w:rPr>
        <w:t>有条件:</w:t>
      </w:r>
    </w:p>
    <w:p>
      <w:pPr>
        <w:pStyle w:val="BodyText"/>
        <w:spacing w:before="22"/>
        <w:ind w:left="176"/>
      </w:pPr>
      <w:r>
        <w:rPr/>
        <w:t>（1）以下方法之一血液培养测试结果为阳性，证实存在感染性微生物：</w:t>
      </w:r>
    </w:p>
    <w:p>
      <w:pPr>
        <w:pStyle w:val="BodyText"/>
        <w:tabs>
          <w:tab w:pos="704" w:val="left" w:leader="none"/>
        </w:tabs>
        <w:spacing w:before="37"/>
        <w:ind w:left="281"/>
      </w:pPr>
      <w:r>
        <w:rPr/>
        <w:t>①</w:t>
        <w:tab/>
      </w:r>
      <w:r>
        <w:rPr>
          <w:spacing w:val="-3"/>
        </w:rPr>
        <w:t>微生物：在赘生物或心脏内脓疡经培养或组织检查证实有微生物；</w:t>
      </w:r>
    </w:p>
    <w:p>
      <w:pPr>
        <w:pStyle w:val="BodyText"/>
        <w:tabs>
          <w:tab w:pos="703" w:val="left" w:leader="none"/>
        </w:tabs>
        <w:spacing w:before="37"/>
        <w:ind w:left="281"/>
      </w:pPr>
      <w:r>
        <w:rPr/>
        <w:t>②</w:t>
        <w:tab/>
      </w:r>
      <w:r>
        <w:rPr>
          <w:spacing w:val="-3"/>
        </w:rPr>
        <w:t>病</w:t>
      </w:r>
      <w:r>
        <w:rPr>
          <w:rFonts w:ascii="Times New Roman" w:hAnsi="Times New Roman" w:eastAsia="Times New Roman"/>
          <w:spacing w:val="-1"/>
          <w:w w:val="110"/>
        </w:rPr>
        <w:t>理</w:t>
      </w:r>
      <w:r>
        <w:rPr>
          <w:spacing w:val="-7"/>
        </w:rPr>
        <w:t>性病灶：组织检查证实赘生物或心脏内脓疡有活动性心内膜炎；</w:t>
      </w:r>
    </w:p>
    <w:p>
      <w:pPr>
        <w:pStyle w:val="BodyText"/>
        <w:tabs>
          <w:tab w:pos="703" w:val="left" w:leader="none"/>
        </w:tabs>
        <w:spacing w:before="21"/>
        <w:ind w:left="281"/>
      </w:pPr>
      <w:r>
        <w:rPr/>
        <w:t>③</w:t>
        <w:tab/>
      </w:r>
      <w:r>
        <w:rPr>
          <w:spacing w:val="-3"/>
        </w:rPr>
        <w:t>分别两次血液培养证实有微生物，且与心内膜炎符合。</w:t>
      </w:r>
    </w:p>
    <w:p>
      <w:pPr>
        <w:pStyle w:val="BodyText"/>
        <w:spacing w:line="273" w:lineRule="auto" w:before="37"/>
        <w:ind w:left="641" w:right="214" w:hanging="466"/>
      </w:pPr>
      <w:r>
        <w:rPr/>
        <w:t>（2）出现明显的心功能衰竭（指按照美国纽约心脏病学会提出的心功能</w:t>
      </w:r>
      <w:r>
        <w:rPr>
          <w:spacing w:val="-3"/>
        </w:rPr>
        <w:t>状态分级的标准判定，心功能状态已达Ⅳ级</w:t>
      </w:r>
      <w:r>
        <w:rPr>
          <w:spacing w:val="-108"/>
        </w:rPr>
        <w:t>）</w:t>
      </w:r>
      <w:r>
        <w:rPr/>
        <w:t>。</w:t>
      </w:r>
    </w:p>
    <w:p>
      <w:pPr>
        <w:spacing w:after="0" w:line="273" w:lineRule="auto"/>
        <w:sectPr>
          <w:type w:val="continuous"/>
          <w:pgSz w:w="11910" w:h="16840"/>
          <w:pgMar w:top="440" w:bottom="280" w:left="920" w:right="800"/>
          <w:cols w:num="2" w:equalWidth="0">
            <w:col w:w="3057" w:space="40"/>
            <w:col w:w="7093"/>
          </w:cols>
        </w:sectPr>
      </w:pPr>
    </w:p>
    <w:p>
      <w:pPr>
        <w:pStyle w:val="BodyText"/>
        <w:spacing w:before="11"/>
        <w:rPr>
          <w:sz w:val="23"/>
        </w:rPr>
      </w:pPr>
    </w:p>
    <w:p>
      <w:pPr>
        <w:pStyle w:val="Heading3"/>
        <w:tabs>
          <w:tab w:pos="3272" w:val="left" w:leader="none"/>
        </w:tabs>
        <w:spacing w:before="36"/>
        <w:ind w:left="1026"/>
        <w:rPr>
          <w:rFonts w:ascii="宋体" w:eastAsia="宋体" w:hint="eastAsia"/>
        </w:rPr>
      </w:pPr>
      <w:r>
        <w:rPr>
          <w:rFonts w:ascii="宋体" w:eastAsia="宋体" w:hint="eastAsia"/>
        </w:rPr>
        <w:t>第</w:t>
      </w:r>
      <w:r>
        <w:rPr>
          <w:rFonts w:ascii="宋体" w:eastAsia="宋体" w:hint="eastAsia"/>
          <w:spacing w:val="-54"/>
        </w:rPr>
        <w:t> </w:t>
      </w:r>
      <w:r>
        <w:rPr>
          <w:rFonts w:ascii="宋体" w:eastAsia="宋体" w:hint="eastAsia"/>
        </w:rPr>
        <w:t>3</w:t>
      </w:r>
      <w:r>
        <w:rPr>
          <w:rFonts w:ascii="宋体" w:eastAsia="宋体" w:hint="eastAsia"/>
          <w:spacing w:val="-54"/>
        </w:rPr>
        <w:t> </w:t>
      </w:r>
      <w:r>
        <w:rPr>
          <w:rFonts w:ascii="宋体" w:eastAsia="宋体" w:hint="eastAsia"/>
        </w:rPr>
        <w:t>类：</w:t>
        <w:tab/>
        <w:t>与器官功能严重受</w:t>
      </w:r>
      <w:r>
        <w:rPr>
          <w:rFonts w:ascii="宋体" w:eastAsia="宋体" w:hint="eastAsia"/>
          <w:spacing w:val="-3"/>
        </w:rPr>
        <w:t>损</w:t>
      </w:r>
      <w:r>
        <w:rPr>
          <w:rFonts w:ascii="宋体" w:eastAsia="宋体" w:hint="eastAsia"/>
        </w:rPr>
        <w:t>相</w:t>
      </w:r>
      <w:r>
        <w:rPr>
          <w:rFonts w:ascii="宋体" w:eastAsia="宋体" w:hint="eastAsia"/>
          <w:spacing w:val="-3"/>
        </w:rPr>
        <w:t>关</w:t>
      </w:r>
      <w:r>
        <w:rPr>
          <w:rFonts w:ascii="宋体" w:eastAsia="宋体" w:hint="eastAsia"/>
        </w:rPr>
        <w:t>的疾病</w:t>
      </w:r>
    </w:p>
    <w:p>
      <w:pPr>
        <w:pStyle w:val="BodyText"/>
        <w:spacing w:before="6"/>
        <w:rPr>
          <w:b/>
          <w:sz w:val="24"/>
        </w:rPr>
      </w:pPr>
    </w:p>
    <w:p>
      <w:pPr>
        <w:spacing w:after="0"/>
        <w:rPr>
          <w:sz w:val="24"/>
        </w:rPr>
        <w:sectPr>
          <w:type w:val="continuous"/>
          <w:pgSz w:w="11910" w:h="16840"/>
          <w:pgMar w:top="440" w:bottom="280" w:left="920" w:right="800"/>
        </w:sectPr>
      </w:pPr>
    </w:p>
    <w:p>
      <w:pPr>
        <w:pStyle w:val="ListParagraph"/>
        <w:numPr>
          <w:ilvl w:val="0"/>
          <w:numId w:val="5"/>
        </w:numPr>
        <w:tabs>
          <w:tab w:pos="1026" w:val="left" w:leader="none"/>
          <w:tab w:pos="1027" w:val="left" w:leader="none"/>
        </w:tabs>
        <w:spacing w:line="232" w:lineRule="auto" w:before="31" w:after="0"/>
        <w:ind w:left="1026" w:right="0" w:hanging="679"/>
        <w:jc w:val="left"/>
        <w:rPr>
          <w:rFonts w:ascii="等线" w:eastAsia="等线" w:hint="eastAsia"/>
          <w:b/>
          <w:sz w:val="24"/>
        </w:rPr>
      </w:pPr>
      <w:r>
        <w:rPr>
          <w:rFonts w:ascii="等线" w:eastAsia="等线" w:hint="eastAsia"/>
          <w:b/>
          <w:spacing w:val="10"/>
          <w:position w:val="1"/>
          <w:sz w:val="24"/>
        </w:rPr>
        <w:t>重型再生障碍性贫</w:t>
      </w:r>
      <w:r>
        <w:rPr>
          <w:rFonts w:ascii="等线" w:eastAsia="等线" w:hint="eastAsia"/>
          <w:b/>
          <w:spacing w:val="10"/>
          <w:sz w:val="24"/>
        </w:rPr>
        <w:t>血</w:t>
      </w:r>
    </w:p>
    <w:p>
      <w:pPr>
        <w:pStyle w:val="BodyText"/>
        <w:spacing w:line="273" w:lineRule="auto" w:before="57"/>
        <w:ind w:left="175" w:right="174"/>
      </w:pPr>
      <w:r>
        <w:rPr/>
        <w:br w:type="column"/>
      </w:r>
      <w:r>
        <w:rPr/>
        <w:t>指因骨髓造血功能慢性持续性衰竭导致的贫血、中性粒细胞减少及血小板减少。须满足下列全部条件：</w:t>
      </w:r>
    </w:p>
    <w:p>
      <w:pPr>
        <w:pStyle w:val="BodyText"/>
        <w:spacing w:before="7"/>
        <w:ind w:left="175"/>
      </w:pPr>
      <w:r>
        <w:rPr/>
        <w:t>（1）骨髓穿刺检查或骨髓活检结果支持诊断；</w:t>
      </w:r>
    </w:p>
    <w:p>
      <w:pPr>
        <w:pStyle w:val="BodyText"/>
        <w:spacing w:before="36"/>
        <w:ind w:left="175"/>
      </w:pPr>
      <w:r>
        <w:rPr/>
        <w:t>（2）外周血象须具备以下三项条件：</w:t>
      </w:r>
    </w:p>
    <w:p>
      <w:pPr>
        <w:pStyle w:val="BodyText"/>
        <w:tabs>
          <w:tab w:pos="703" w:val="left" w:leader="none"/>
        </w:tabs>
        <w:spacing w:before="36"/>
        <w:ind w:left="281"/>
      </w:pPr>
      <w:r>
        <w:rPr/>
        <w:t>①</w:t>
        <w:tab/>
      </w:r>
      <w:r>
        <w:rPr>
          <w:spacing w:val="-3"/>
        </w:rPr>
        <w:t>中性粒细胞绝对值</w:t>
      </w:r>
      <w:r>
        <w:rPr>
          <w:spacing w:val="-1"/>
        </w:rPr>
        <w:t>≤0.5×10</w:t>
      </w:r>
      <w:r>
        <w:rPr>
          <w:spacing w:val="-1"/>
          <w:position w:val="11"/>
          <w:sz w:val="11"/>
        </w:rPr>
        <w:t>9</w:t>
      </w:r>
      <w:r>
        <w:rPr>
          <w:spacing w:val="-1"/>
        </w:rPr>
        <w:t>/L；</w:t>
      </w:r>
    </w:p>
    <w:p>
      <w:pPr>
        <w:spacing w:after="0"/>
        <w:sectPr>
          <w:type w:val="continuous"/>
          <w:pgSz w:w="11910" w:h="16840"/>
          <w:pgMar w:top="440" w:bottom="280" w:left="920" w:right="800"/>
          <w:cols w:num="2" w:equalWidth="0">
            <w:col w:w="3057" w:space="40"/>
            <w:col w:w="7093"/>
          </w:cols>
        </w:sectPr>
      </w:pPr>
    </w:p>
    <w:p>
      <w:pPr>
        <w:pStyle w:val="BodyText"/>
        <w:rPr>
          <w:sz w:val="20"/>
        </w:rPr>
      </w:pPr>
    </w:p>
    <w:p>
      <w:pPr>
        <w:pStyle w:val="BodyText"/>
        <w:spacing w:before="3"/>
        <w:rPr>
          <w:sz w:val="13"/>
        </w:rPr>
      </w:pPr>
    </w:p>
    <w:p>
      <w:pPr>
        <w:pStyle w:val="BodyText"/>
        <w:spacing w:line="20" w:lineRule="exact"/>
        <w:ind w:left="95"/>
        <w:rPr>
          <w:sz w:val="2"/>
        </w:rPr>
      </w:pPr>
      <w:r>
        <w:rPr>
          <w:rFonts w:ascii="Times New Roman"/>
          <w:spacing w:val="5"/>
          <w:sz w:val="2"/>
        </w:rPr>
        <w:t> </w:t>
      </w:r>
      <w:r>
        <w:rPr>
          <w:spacing w:val="5"/>
          <w:sz w:val="2"/>
        </w:rPr>
        <w:pict>
          <v:group style="width:144pt;height:.5pt;mso-position-horizontal-relative:char;mso-position-vertical-relative:line" coordorigin="0,0" coordsize="2880,10">
            <v:line style="position:absolute" from="0,5" to="2880,5" stroked="true" strokeweight=".48pt" strokecolor="#000000">
              <v:stroke dashstyle="solid"/>
            </v:line>
          </v:group>
        </w:pict>
      </w:r>
      <w:r>
        <w:rPr>
          <w:spacing w:val="5"/>
          <w:sz w:val="2"/>
        </w:rPr>
      </w:r>
    </w:p>
    <w:p>
      <w:pPr>
        <w:spacing w:line="256" w:lineRule="auto" w:before="44"/>
        <w:ind w:left="280" w:right="215" w:hanging="180"/>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肢体机能完全丧失</w:t>
      </w:r>
      <w:r>
        <w:rPr>
          <w:spacing w:val="-4"/>
          <w:sz w:val="18"/>
        </w:rPr>
        <w:t>指肢体的三大关节中的两大关节僵硬，或不能随意识活动。肢体是指包括肩关节的整个上肢或包括髋关节的整个下肢。</w:t>
      </w:r>
    </w:p>
    <w:p>
      <w:pPr>
        <w:spacing w:line="280" w:lineRule="exact" w:before="19"/>
        <w:ind w:left="279" w:right="215" w:hanging="18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12"/>
        <w:ind w:left="311" w:right="218"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7" w:lineRule="exact" w:before="0"/>
        <w:ind w:left="100" w:right="0" w:firstLine="0"/>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六项基本日常生活活动：</w:t>
      </w:r>
      <w:r>
        <w:rPr>
          <w:sz w:val="18"/>
        </w:rPr>
        <w:t>六项基本日常生活活动是指：</w:t>
      </w:r>
    </w:p>
    <w:p>
      <w:pPr>
        <w:spacing w:before="22"/>
        <w:ind w:left="280" w:right="0" w:firstLine="0"/>
        <w:jc w:val="left"/>
        <w:rPr>
          <w:sz w:val="18"/>
        </w:rPr>
      </w:pPr>
      <w:r>
        <w:rPr>
          <w:sz w:val="18"/>
        </w:rPr>
        <w:t>（1）穿衣：自己能够穿衣及脱衣；</w:t>
      </w:r>
    </w:p>
    <w:p>
      <w:pPr>
        <w:spacing w:before="44"/>
        <w:ind w:left="279" w:right="0" w:firstLine="0"/>
        <w:jc w:val="left"/>
        <w:rPr>
          <w:sz w:val="18"/>
        </w:rPr>
      </w:pPr>
      <w:r>
        <w:rPr>
          <w:sz w:val="18"/>
        </w:rPr>
        <w:t>（2）移动：自己从一个房间到另一个房间；</w:t>
      </w:r>
    </w:p>
    <w:p>
      <w:pPr>
        <w:spacing w:before="44"/>
        <w:ind w:left="279" w:right="0" w:firstLine="0"/>
        <w:jc w:val="left"/>
        <w:rPr>
          <w:sz w:val="18"/>
        </w:rPr>
      </w:pPr>
      <w:r>
        <w:rPr>
          <w:sz w:val="18"/>
        </w:rPr>
        <w:t>（3）行动：自己上下床或上下轮椅；</w:t>
      </w:r>
    </w:p>
    <w:p>
      <w:pPr>
        <w:spacing w:before="42"/>
        <w:ind w:left="279" w:right="0" w:firstLine="0"/>
        <w:jc w:val="left"/>
        <w:rPr>
          <w:sz w:val="18"/>
        </w:rPr>
      </w:pPr>
      <w:r>
        <w:rPr>
          <w:sz w:val="18"/>
        </w:rPr>
        <w:t>（4）如厕：自己控制进行大小便；</w:t>
      </w:r>
    </w:p>
    <w:p>
      <w:pPr>
        <w:spacing w:before="45"/>
        <w:ind w:left="279" w:right="0" w:firstLine="0"/>
        <w:jc w:val="left"/>
        <w:rPr>
          <w:sz w:val="18"/>
        </w:rPr>
      </w:pPr>
      <w:r>
        <w:rPr>
          <w:sz w:val="18"/>
        </w:rPr>
        <w:t>（5）进食：自己从已准备好的碗或碟中取食物放入口中；</w:t>
      </w:r>
    </w:p>
    <w:p>
      <w:pPr>
        <w:spacing w:before="45"/>
        <w:ind w:left="279" w:right="0" w:firstLine="0"/>
        <w:jc w:val="left"/>
        <w:rPr>
          <w:sz w:val="18"/>
        </w:rPr>
      </w:pPr>
      <w:r>
        <w:rPr>
          <w:sz w:val="18"/>
        </w:rPr>
        <w:t>（6）洗澡：自己进行淋浴或盆浴。</w:t>
      </w:r>
    </w:p>
    <w:p>
      <w:pPr>
        <w:spacing w:after="0"/>
        <w:jc w:val="left"/>
        <w:rPr>
          <w:sz w:val="18"/>
        </w:rPr>
        <w:sectPr>
          <w:type w:val="continuous"/>
          <w:pgSz w:w="11910" w:h="16840"/>
          <w:pgMar w:top="440" w:bottom="280" w:left="920" w:right="800"/>
        </w:sectPr>
      </w:pPr>
    </w:p>
    <w:p>
      <w:pPr>
        <w:pStyle w:val="BodyText"/>
        <w:tabs>
          <w:tab w:pos="3760" w:val="left" w:leader="none"/>
        </w:tabs>
        <w:spacing w:before="22"/>
        <w:ind w:left="3338"/>
      </w:pPr>
      <w:r>
        <w:rPr/>
        <w:t>②</w:t>
        <w:tab/>
      </w:r>
      <w:r>
        <w:rPr>
          <w:spacing w:val="-3"/>
        </w:rPr>
        <w:t>网织红细胞＜</w:t>
      </w:r>
      <w:r>
        <w:rPr>
          <w:spacing w:val="-1"/>
        </w:rPr>
        <w:t>1%；</w:t>
      </w:r>
    </w:p>
    <w:p>
      <w:pPr>
        <w:pStyle w:val="BodyText"/>
        <w:tabs>
          <w:tab w:pos="3760" w:val="left" w:leader="none"/>
        </w:tabs>
        <w:spacing w:before="37"/>
        <w:ind w:left="3338"/>
      </w:pPr>
      <w:r>
        <w:rPr/>
        <w:t>③</w:t>
        <w:tab/>
      </w:r>
      <w:r>
        <w:rPr>
          <w:spacing w:val="-3"/>
        </w:rPr>
        <w:t>血小板绝对值≤</w:t>
      </w:r>
      <w:r>
        <w:rPr>
          <w:spacing w:val="-1"/>
        </w:rPr>
        <w:t>20×10</w:t>
      </w:r>
      <w:r>
        <w:rPr>
          <w:spacing w:val="-1"/>
          <w:position w:val="11"/>
          <w:sz w:val="11"/>
        </w:rPr>
        <w:t>9</w:t>
      </w:r>
      <w:r>
        <w:rPr>
          <w:spacing w:val="-1"/>
        </w:rPr>
        <w:t>/L</w:t>
      </w:r>
      <w:r>
        <w:rPr/>
        <w:t>。</w:t>
      </w:r>
    </w:p>
    <w:p>
      <w:pPr>
        <w:pStyle w:val="BodyText"/>
        <w:spacing w:before="12" w:after="1"/>
        <w:rPr>
          <w:sz w:val="27"/>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5"/>
        <w:gridCol w:w="2372"/>
        <w:gridCol w:w="7112"/>
      </w:tblGrid>
      <w:tr>
        <w:trPr>
          <w:trHeight w:val="1661" w:hRule="atLeast"/>
        </w:trPr>
        <w:tc>
          <w:tcPr>
            <w:tcW w:w="645" w:type="dxa"/>
          </w:tcPr>
          <w:p>
            <w:pPr>
              <w:pStyle w:val="TableParagraph"/>
              <w:spacing w:line="231" w:lineRule="exact"/>
              <w:ind w:left="181" w:right="212"/>
              <w:jc w:val="center"/>
              <w:rPr>
                <w:b/>
                <w:sz w:val="21"/>
              </w:rPr>
            </w:pPr>
            <w:r>
              <w:rPr>
                <w:b/>
                <w:sz w:val="21"/>
              </w:rPr>
              <w:t>12</w:t>
            </w:r>
          </w:p>
        </w:tc>
        <w:tc>
          <w:tcPr>
            <w:tcW w:w="2372" w:type="dxa"/>
          </w:tcPr>
          <w:p>
            <w:pPr>
              <w:pStyle w:val="TableParagraph"/>
              <w:spacing w:line="242" w:lineRule="exact"/>
              <w:ind w:left="234"/>
              <w:rPr>
                <w:rFonts w:ascii="等线" w:eastAsia="等线" w:hint="eastAsia"/>
                <w:b/>
                <w:sz w:val="24"/>
              </w:rPr>
            </w:pPr>
            <w:r>
              <w:rPr>
                <w:rFonts w:ascii="等线" w:eastAsia="等线" w:hint="eastAsia"/>
                <w:b/>
                <w:sz w:val="24"/>
              </w:rPr>
              <w:t>重大器官移植术或</w:t>
            </w:r>
          </w:p>
          <w:p>
            <w:pPr>
              <w:pStyle w:val="TableParagraph"/>
              <w:spacing w:line="322" w:lineRule="exact"/>
              <w:ind w:left="234"/>
              <w:rPr>
                <w:rFonts w:ascii="等线" w:eastAsia="等线" w:hint="eastAsia"/>
                <w:b/>
                <w:sz w:val="24"/>
              </w:rPr>
            </w:pPr>
            <w:r>
              <w:rPr>
                <w:rFonts w:ascii="等线" w:eastAsia="等线" w:hint="eastAsia"/>
                <w:b/>
                <w:sz w:val="24"/>
              </w:rPr>
              <w:t>造血干细胞移植术</w:t>
            </w:r>
          </w:p>
        </w:tc>
        <w:tc>
          <w:tcPr>
            <w:tcW w:w="7112" w:type="dxa"/>
          </w:tcPr>
          <w:p>
            <w:pPr>
              <w:pStyle w:val="TableParagraph"/>
              <w:spacing w:line="231" w:lineRule="exact"/>
              <w:ind w:left="108"/>
              <w:rPr>
                <w:sz w:val="21"/>
              </w:rPr>
            </w:pPr>
            <w:r>
              <w:rPr>
                <w:sz w:val="21"/>
              </w:rPr>
              <w:t>重大器官移植术，指因相应器官功能衰竭，已经实施了肾脏、肝脏、心脏</w:t>
            </w:r>
          </w:p>
          <w:p>
            <w:pPr>
              <w:pStyle w:val="TableParagraph"/>
              <w:spacing w:before="37"/>
              <w:ind w:left="108"/>
              <w:rPr>
                <w:sz w:val="21"/>
              </w:rPr>
            </w:pPr>
            <w:r>
              <w:rPr>
                <w:sz w:val="21"/>
              </w:rPr>
              <w:t>或肺脏的异体移植手术。</w:t>
            </w:r>
          </w:p>
          <w:p>
            <w:pPr>
              <w:pStyle w:val="TableParagraph"/>
              <w:spacing w:line="273" w:lineRule="auto" w:before="37"/>
              <w:ind w:left="108" w:right="197"/>
              <w:rPr>
                <w:sz w:val="21"/>
              </w:rPr>
            </w:pPr>
            <w:r>
              <w:rPr>
                <w:spacing w:val="-6"/>
                <w:sz w:val="21"/>
              </w:rPr>
              <w:t>造血干细胞移植术，指因造血功能损害或造血系统恶性肿瘤，已经实施了</w:t>
            </w:r>
            <w:r>
              <w:rPr>
                <w:spacing w:val="-17"/>
                <w:sz w:val="21"/>
              </w:rPr>
              <w:t>造血干细胞</w:t>
            </w:r>
            <w:r>
              <w:rPr>
                <w:spacing w:val="-3"/>
                <w:sz w:val="21"/>
              </w:rPr>
              <w:t>（</w:t>
            </w:r>
            <w:r>
              <w:rPr>
                <w:spacing w:val="-10"/>
                <w:sz w:val="21"/>
              </w:rPr>
              <w:t>包括骨髓造血干细胞、外周血造血干细胞和脐血造血干细胞</w:t>
            </w:r>
            <w:r>
              <w:rPr>
                <w:sz w:val="21"/>
              </w:rPr>
              <w:t>） </w:t>
            </w:r>
            <w:r>
              <w:rPr>
                <w:spacing w:val="-3"/>
                <w:sz w:val="21"/>
              </w:rPr>
              <w:t>的异体移植手术。</w:t>
            </w:r>
          </w:p>
        </w:tc>
      </w:tr>
      <w:tr>
        <w:trPr>
          <w:trHeight w:val="1843" w:hRule="atLeast"/>
        </w:trPr>
        <w:tc>
          <w:tcPr>
            <w:tcW w:w="645" w:type="dxa"/>
          </w:tcPr>
          <w:p>
            <w:pPr>
              <w:pStyle w:val="TableParagraph"/>
              <w:spacing w:before="138"/>
              <w:ind w:left="181" w:right="212"/>
              <w:jc w:val="center"/>
              <w:rPr>
                <w:b/>
                <w:sz w:val="21"/>
              </w:rPr>
            </w:pPr>
            <w:r>
              <w:rPr>
                <w:b/>
                <w:sz w:val="21"/>
              </w:rPr>
              <w:t>13</w:t>
            </w:r>
          </w:p>
        </w:tc>
        <w:tc>
          <w:tcPr>
            <w:tcW w:w="2372" w:type="dxa"/>
          </w:tcPr>
          <w:p>
            <w:pPr>
              <w:pStyle w:val="TableParagraph"/>
              <w:spacing w:before="102"/>
              <w:ind w:left="234"/>
              <w:rPr>
                <w:rFonts w:ascii="等线" w:eastAsia="等线" w:hint="eastAsia"/>
                <w:b/>
                <w:sz w:val="24"/>
              </w:rPr>
            </w:pPr>
            <w:r>
              <w:rPr>
                <w:rFonts w:ascii="等线" w:eastAsia="等线" w:hint="eastAsia"/>
                <w:b/>
                <w:sz w:val="24"/>
              </w:rPr>
              <w:t>双耳失聪</w:t>
            </w:r>
          </w:p>
        </w:tc>
        <w:tc>
          <w:tcPr>
            <w:tcW w:w="7112" w:type="dxa"/>
          </w:tcPr>
          <w:p>
            <w:pPr>
              <w:pStyle w:val="TableParagraph"/>
              <w:spacing w:before="138"/>
              <w:ind w:left="108"/>
              <w:rPr>
                <w:sz w:val="21"/>
              </w:rPr>
            </w:pPr>
            <w:r>
              <w:rPr>
                <w:sz w:val="21"/>
              </w:rPr>
              <w:t>指因疾病或意外伤害导致双耳听力永久不可逆性丧失，在 500 赫兹、1000</w:t>
            </w:r>
          </w:p>
          <w:p>
            <w:pPr>
              <w:pStyle w:val="TableParagraph"/>
              <w:spacing w:line="273" w:lineRule="auto" w:before="37"/>
              <w:ind w:left="108" w:right="199"/>
              <w:rPr>
                <w:sz w:val="21"/>
              </w:rPr>
            </w:pPr>
            <w:r>
              <w:rPr>
                <w:spacing w:val="-13"/>
                <w:sz w:val="21"/>
              </w:rPr>
              <w:t>赫兹和 </w:t>
            </w:r>
            <w:r>
              <w:rPr>
                <w:sz w:val="21"/>
              </w:rPr>
              <w:t>2000</w:t>
            </w:r>
            <w:r>
              <w:rPr>
                <w:spacing w:val="-15"/>
                <w:sz w:val="21"/>
              </w:rPr>
              <w:t> 赫兹语音频率下，平均听阈大于 </w:t>
            </w:r>
            <w:r>
              <w:rPr>
                <w:sz w:val="21"/>
              </w:rPr>
              <w:t>90</w:t>
            </w:r>
            <w:r>
              <w:rPr>
                <w:spacing w:val="-12"/>
                <w:sz w:val="21"/>
              </w:rPr>
              <w:t> 分贝，且经纯音听力测试、</w:t>
            </w:r>
            <w:r>
              <w:rPr>
                <w:spacing w:val="-6"/>
                <w:sz w:val="21"/>
              </w:rPr>
              <w:t>声导抗检测或听觉诱发电位检测等证实。</w:t>
            </w:r>
          </w:p>
          <w:p>
            <w:pPr>
              <w:pStyle w:val="TableParagraph"/>
              <w:spacing w:line="273" w:lineRule="auto" w:before="8"/>
              <w:ind w:left="108" w:right="302"/>
              <w:rPr>
                <w:sz w:val="21"/>
              </w:rPr>
            </w:pPr>
            <w:r>
              <w:rPr>
                <w:spacing w:val="-9"/>
                <w:sz w:val="21"/>
                <w:shd w:fill="DADADA" w:color="auto" w:val="clear"/>
              </w:rPr>
              <w:t>若被保险人在 </w:t>
            </w:r>
            <w:r>
              <w:rPr>
                <w:sz w:val="21"/>
                <w:shd w:fill="DADADA" w:color="auto" w:val="clear"/>
              </w:rPr>
              <w:t>0</w:t>
            </w:r>
            <w:r>
              <w:rPr>
                <w:spacing w:val="-31"/>
                <w:sz w:val="21"/>
                <w:shd w:fill="DADADA" w:color="auto" w:val="clear"/>
              </w:rPr>
              <w:t> 至 </w:t>
            </w:r>
            <w:r>
              <w:rPr>
                <w:sz w:val="21"/>
                <w:shd w:fill="DADADA" w:color="auto" w:val="clear"/>
              </w:rPr>
              <w:t>3</w:t>
            </w:r>
            <w:r>
              <w:rPr>
                <w:spacing w:val="-10"/>
                <w:sz w:val="21"/>
                <w:shd w:fill="DADADA" w:color="auto" w:val="clear"/>
              </w:rPr>
              <w:t> 周岁保单周年日期间双耳失聪，在本附加险合同保险</w:t>
            </w:r>
            <w:r>
              <w:rPr>
                <w:spacing w:val="-8"/>
                <w:sz w:val="21"/>
                <w:shd w:fill="DADADA" w:color="auto" w:val="clear"/>
              </w:rPr>
              <w:t>期间内</w:t>
            </w:r>
            <w:r>
              <w:rPr>
                <w:spacing w:val="-19"/>
                <w:sz w:val="21"/>
                <w:shd w:fill="DADADA" w:color="auto" w:val="clear"/>
              </w:rPr>
              <w:t>我们对双耳失聪不承担保险责任。</w:t>
            </w:r>
          </w:p>
        </w:tc>
      </w:tr>
      <w:tr>
        <w:trPr>
          <w:trHeight w:val="2156" w:hRule="atLeast"/>
        </w:trPr>
        <w:tc>
          <w:tcPr>
            <w:tcW w:w="645" w:type="dxa"/>
          </w:tcPr>
          <w:p>
            <w:pPr>
              <w:pStyle w:val="TableParagraph"/>
              <w:spacing w:before="138"/>
              <w:ind w:left="181" w:right="212"/>
              <w:jc w:val="center"/>
              <w:rPr>
                <w:b/>
                <w:sz w:val="21"/>
              </w:rPr>
            </w:pPr>
            <w:r>
              <w:rPr>
                <w:b/>
                <w:sz w:val="21"/>
              </w:rPr>
              <w:t>14</w:t>
            </w:r>
          </w:p>
        </w:tc>
        <w:tc>
          <w:tcPr>
            <w:tcW w:w="2372" w:type="dxa"/>
          </w:tcPr>
          <w:p>
            <w:pPr>
              <w:pStyle w:val="TableParagraph"/>
              <w:spacing w:line="235" w:lineRule="auto" w:before="109"/>
              <w:ind w:left="234" w:right="105"/>
              <w:rPr>
                <w:rFonts w:ascii="等线" w:eastAsia="等线" w:hint="eastAsia"/>
                <w:b/>
                <w:sz w:val="24"/>
              </w:rPr>
            </w:pPr>
            <w:r>
              <w:rPr>
                <w:rFonts w:ascii="等线" w:eastAsia="等线" w:hint="eastAsia"/>
                <w:b/>
                <w:sz w:val="24"/>
              </w:rPr>
              <w:t>慢性肝功能衰竭失代偿期</w:t>
            </w:r>
          </w:p>
        </w:tc>
        <w:tc>
          <w:tcPr>
            <w:tcW w:w="7112" w:type="dxa"/>
          </w:tcPr>
          <w:p>
            <w:pPr>
              <w:pStyle w:val="TableParagraph"/>
              <w:spacing w:before="138"/>
              <w:ind w:left="108"/>
              <w:rPr>
                <w:sz w:val="21"/>
              </w:rPr>
            </w:pPr>
            <w:r>
              <w:rPr>
                <w:sz w:val="21"/>
              </w:rPr>
              <w:t>指因慢性肝脏疾病导致肝功能衰竭。须满足下列全部条件：</w:t>
            </w:r>
          </w:p>
          <w:p>
            <w:pPr>
              <w:pStyle w:val="TableParagraph"/>
              <w:spacing w:before="37"/>
              <w:ind w:left="108"/>
              <w:rPr>
                <w:sz w:val="21"/>
              </w:rPr>
            </w:pPr>
            <w:r>
              <w:rPr>
                <w:sz w:val="21"/>
              </w:rPr>
              <w:t>（1）持续性黄疸；</w:t>
            </w:r>
          </w:p>
          <w:p>
            <w:pPr>
              <w:pStyle w:val="TableParagraph"/>
              <w:spacing w:before="37"/>
              <w:ind w:left="108"/>
              <w:rPr>
                <w:sz w:val="21"/>
              </w:rPr>
            </w:pPr>
            <w:r>
              <w:rPr>
                <w:sz w:val="21"/>
              </w:rPr>
              <w:t>（2）腹水；</w:t>
            </w:r>
          </w:p>
          <w:p>
            <w:pPr>
              <w:pStyle w:val="TableParagraph"/>
              <w:spacing w:before="37"/>
              <w:ind w:left="108"/>
              <w:rPr>
                <w:sz w:val="21"/>
              </w:rPr>
            </w:pPr>
            <w:r>
              <w:rPr>
                <w:sz w:val="21"/>
              </w:rPr>
              <w:t>（3）肝性脑病；</w:t>
            </w:r>
          </w:p>
          <w:p>
            <w:pPr>
              <w:pStyle w:val="TableParagraph"/>
              <w:spacing w:line="273" w:lineRule="auto" w:before="37"/>
              <w:ind w:left="108" w:right="1852"/>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6" w:hRule="atLeast"/>
        </w:trPr>
        <w:tc>
          <w:tcPr>
            <w:tcW w:w="645" w:type="dxa"/>
          </w:tcPr>
          <w:p>
            <w:pPr>
              <w:pStyle w:val="TableParagraph"/>
              <w:spacing w:before="139"/>
              <w:ind w:left="181" w:right="212"/>
              <w:jc w:val="center"/>
              <w:rPr>
                <w:b/>
                <w:sz w:val="21"/>
              </w:rPr>
            </w:pPr>
            <w:r>
              <w:rPr>
                <w:b/>
                <w:sz w:val="21"/>
              </w:rPr>
              <w:t>15</w:t>
            </w:r>
          </w:p>
        </w:tc>
        <w:tc>
          <w:tcPr>
            <w:tcW w:w="2372" w:type="dxa"/>
          </w:tcPr>
          <w:p>
            <w:pPr>
              <w:pStyle w:val="TableParagraph"/>
              <w:spacing w:before="103"/>
              <w:ind w:left="234"/>
              <w:rPr>
                <w:rFonts w:ascii="等线" w:eastAsia="等线" w:hint="eastAsia"/>
                <w:b/>
                <w:sz w:val="24"/>
              </w:rPr>
            </w:pPr>
            <w:r>
              <w:rPr>
                <w:rFonts w:ascii="等线" w:eastAsia="等线" w:hint="eastAsia"/>
                <w:b/>
                <w:sz w:val="24"/>
              </w:rPr>
              <w:t>双目失明</w:t>
            </w:r>
          </w:p>
        </w:tc>
        <w:tc>
          <w:tcPr>
            <w:tcW w:w="7112" w:type="dxa"/>
          </w:tcPr>
          <w:p>
            <w:pPr>
              <w:pStyle w:val="TableParagraph"/>
              <w:spacing w:line="273" w:lineRule="auto" w:before="139"/>
              <w:ind w:left="108" w:right="260"/>
              <w:rPr>
                <w:sz w:val="21"/>
              </w:rPr>
            </w:pPr>
            <w:r>
              <w:rPr>
                <w:sz w:val="21"/>
              </w:rPr>
              <w:t>指因疾病或意外伤害导致双眼视力永久不可逆性丧失，双眼中较好眼须满足下列至少一项条件：</w:t>
            </w:r>
          </w:p>
          <w:p>
            <w:pPr>
              <w:pStyle w:val="TableParagraph"/>
              <w:spacing w:before="7"/>
              <w:ind w:left="108"/>
              <w:rPr>
                <w:sz w:val="21"/>
              </w:rPr>
            </w:pPr>
            <w:r>
              <w:rPr>
                <w:sz w:val="21"/>
              </w:rPr>
              <w:t>（1）眼球缺失或摘除；</w:t>
            </w:r>
          </w:p>
          <w:p>
            <w:pPr>
              <w:pStyle w:val="TableParagraph"/>
              <w:spacing w:line="273" w:lineRule="auto" w:before="37"/>
              <w:ind w:left="634" w:right="305" w:hanging="526"/>
              <w:rPr>
                <w:sz w:val="21"/>
              </w:rPr>
            </w:pPr>
            <w:r>
              <w:rPr>
                <w:sz w:val="21"/>
              </w:rPr>
              <w:t>（2）</w:t>
            </w:r>
            <w:r>
              <w:rPr>
                <w:spacing w:val="-3"/>
                <w:sz w:val="21"/>
              </w:rPr>
              <w:t>矫正视力低于 </w:t>
            </w:r>
            <w:r>
              <w:rPr>
                <w:sz w:val="21"/>
              </w:rPr>
              <w:t>0.02（</w:t>
            </w:r>
            <w:r>
              <w:rPr>
                <w:spacing w:val="-3"/>
                <w:sz w:val="21"/>
              </w:rPr>
              <w:t>采用国际标准视力表，如果使用其它视力表应</w:t>
            </w:r>
            <w:r>
              <w:rPr>
                <w:spacing w:val="-3"/>
                <w:w w:val="100"/>
                <w:sz w:val="21"/>
              </w:rPr>
              <w:t>进行换算</w:t>
            </w:r>
            <w:r>
              <w:rPr>
                <w:spacing w:val="-108"/>
                <w:w w:val="100"/>
                <w:sz w:val="21"/>
              </w:rPr>
              <w:t>）</w:t>
            </w:r>
            <w:r>
              <w:rPr>
                <w:w w:val="100"/>
                <w:sz w:val="21"/>
              </w:rPr>
              <w:t>；</w:t>
            </w:r>
          </w:p>
          <w:p>
            <w:pPr>
              <w:pStyle w:val="TableParagraph"/>
              <w:spacing w:before="8"/>
              <w:ind w:left="108"/>
              <w:rPr>
                <w:sz w:val="21"/>
              </w:rPr>
            </w:pPr>
            <w:r>
              <w:rPr>
                <w:sz w:val="21"/>
              </w:rPr>
              <w:t>（3）视野半径小于 5 度。</w:t>
            </w:r>
          </w:p>
        </w:tc>
      </w:tr>
      <w:tr>
        <w:trPr>
          <w:trHeight w:val="5716" w:hRule="atLeast"/>
        </w:trPr>
        <w:tc>
          <w:tcPr>
            <w:tcW w:w="645" w:type="dxa"/>
          </w:tcPr>
          <w:p>
            <w:pPr>
              <w:pStyle w:val="TableParagraph"/>
              <w:spacing w:before="138"/>
              <w:ind w:left="181" w:right="212"/>
              <w:jc w:val="center"/>
              <w:rPr>
                <w:b/>
                <w:sz w:val="21"/>
              </w:rPr>
            </w:pPr>
            <w:r>
              <w:rPr>
                <w:b/>
                <w:sz w:val="21"/>
              </w:rPr>
              <w:t>16</w:t>
            </w:r>
          </w:p>
        </w:tc>
        <w:tc>
          <w:tcPr>
            <w:tcW w:w="2372" w:type="dxa"/>
          </w:tcPr>
          <w:p>
            <w:pPr>
              <w:pStyle w:val="TableParagraph"/>
              <w:spacing w:line="232" w:lineRule="auto" w:before="112"/>
              <w:ind w:left="234" w:right="105"/>
              <w:rPr>
                <w:rFonts w:ascii="等线" w:eastAsia="等线" w:hint="eastAsia"/>
                <w:b/>
                <w:sz w:val="24"/>
              </w:rPr>
            </w:pPr>
            <w:r>
              <w:rPr>
                <w:rFonts w:ascii="等线" w:eastAsia="等线" w:hint="eastAsia"/>
                <w:b/>
                <w:sz w:val="24"/>
              </w:rPr>
              <w:t>系统性红斑狼疮并发肾功能损害</w:t>
            </w:r>
          </w:p>
        </w:tc>
        <w:tc>
          <w:tcPr>
            <w:tcW w:w="7112" w:type="dxa"/>
          </w:tcPr>
          <w:p>
            <w:pPr>
              <w:pStyle w:val="TableParagraph"/>
              <w:spacing w:line="273" w:lineRule="auto" w:before="138"/>
              <w:ind w:left="108" w:right="305"/>
              <w:jc w:val="both"/>
              <w:rPr>
                <w:sz w:val="21"/>
              </w:rPr>
            </w:pPr>
            <w:r>
              <w:rPr>
                <w:spacing w:val="-5"/>
                <w:sz w:val="21"/>
              </w:rPr>
              <w:t>指一种自身免疫性结缔组织病，于体内有大量致病性自身抗体和免疫复合</w:t>
            </w:r>
            <w:r>
              <w:rPr>
                <w:spacing w:val="-6"/>
                <w:sz w:val="21"/>
              </w:rPr>
              <w:t>物，造成组织损伤。系统性红斑狼疮的诊断必须经专科医生明确诊断，并</w:t>
            </w:r>
            <w:r>
              <w:rPr>
                <w:spacing w:val="-4"/>
                <w:sz w:val="21"/>
              </w:rPr>
              <w:t>须同时满足下列条件：</w:t>
            </w:r>
          </w:p>
          <w:p>
            <w:pPr>
              <w:pStyle w:val="TableParagraph"/>
              <w:spacing w:before="7"/>
              <w:ind w:left="108"/>
              <w:jc w:val="both"/>
              <w:rPr>
                <w:sz w:val="21"/>
              </w:rPr>
            </w:pPr>
            <w:r>
              <w:rPr>
                <w:sz w:val="21"/>
              </w:rPr>
              <w:t>（1）临床表现至少具备下列条件中的 4 个：</w:t>
            </w:r>
          </w:p>
          <w:p>
            <w:pPr>
              <w:pStyle w:val="TableParagraph"/>
              <w:tabs>
                <w:tab w:pos="636" w:val="left" w:leader="none"/>
              </w:tabs>
              <w:spacing w:before="37"/>
              <w:ind w:left="214"/>
              <w:rPr>
                <w:sz w:val="21"/>
              </w:rPr>
            </w:pPr>
            <w:r>
              <w:rPr>
                <w:sz w:val="21"/>
              </w:rPr>
              <w:t>①</w:t>
              <w:tab/>
            </w:r>
            <w:r>
              <w:rPr>
                <w:spacing w:val="-3"/>
                <w:sz w:val="21"/>
              </w:rPr>
              <w:t>蝶形红斑或盘形红斑；</w:t>
            </w:r>
          </w:p>
          <w:p>
            <w:pPr>
              <w:pStyle w:val="TableParagraph"/>
              <w:tabs>
                <w:tab w:pos="636" w:val="left" w:leader="none"/>
              </w:tabs>
              <w:spacing w:before="37"/>
              <w:ind w:left="214"/>
              <w:rPr>
                <w:sz w:val="21"/>
              </w:rPr>
            </w:pPr>
            <w:r>
              <w:rPr>
                <w:sz w:val="21"/>
              </w:rPr>
              <w:t>②</w:t>
              <w:tab/>
            </w:r>
            <w:r>
              <w:rPr>
                <w:spacing w:val="-3"/>
                <w:sz w:val="21"/>
              </w:rPr>
              <w:t>光敏感；</w:t>
            </w:r>
          </w:p>
          <w:p>
            <w:pPr>
              <w:pStyle w:val="TableParagraph"/>
              <w:tabs>
                <w:tab w:pos="636" w:val="left" w:leader="none"/>
              </w:tabs>
              <w:spacing w:before="37"/>
              <w:ind w:left="214"/>
              <w:rPr>
                <w:sz w:val="21"/>
              </w:rPr>
            </w:pPr>
            <w:r>
              <w:rPr>
                <w:sz w:val="21"/>
              </w:rPr>
              <w:t>③</w:t>
              <w:tab/>
            </w:r>
            <w:r>
              <w:rPr>
                <w:spacing w:val="-3"/>
                <w:sz w:val="21"/>
              </w:rPr>
              <w:t>口鼻腔黏膜溃疡；</w:t>
            </w:r>
          </w:p>
          <w:p>
            <w:pPr>
              <w:pStyle w:val="TableParagraph"/>
              <w:tabs>
                <w:tab w:pos="636" w:val="left" w:leader="none"/>
              </w:tabs>
              <w:spacing w:before="37"/>
              <w:ind w:left="214"/>
              <w:rPr>
                <w:sz w:val="21"/>
              </w:rPr>
            </w:pPr>
            <w:r>
              <w:rPr>
                <w:sz w:val="21"/>
              </w:rPr>
              <w:t>④</w:t>
              <w:tab/>
            </w:r>
            <w:r>
              <w:rPr>
                <w:spacing w:val="-3"/>
                <w:sz w:val="21"/>
              </w:rPr>
              <w:t>非畸形性关节炎或多关节痛；</w:t>
            </w:r>
          </w:p>
          <w:p>
            <w:pPr>
              <w:pStyle w:val="TableParagraph"/>
              <w:tabs>
                <w:tab w:pos="636" w:val="left" w:leader="none"/>
              </w:tabs>
              <w:spacing w:before="37"/>
              <w:ind w:left="214"/>
              <w:rPr>
                <w:sz w:val="21"/>
              </w:rPr>
            </w:pPr>
            <w:r>
              <w:rPr>
                <w:sz w:val="21"/>
              </w:rPr>
              <w:t>⑤</w:t>
              <w:tab/>
            </w:r>
            <w:r>
              <w:rPr>
                <w:spacing w:val="-3"/>
                <w:sz w:val="21"/>
              </w:rPr>
              <w:t>胸膜炎或心包炎；</w:t>
            </w:r>
          </w:p>
          <w:p>
            <w:pPr>
              <w:pStyle w:val="TableParagraph"/>
              <w:tabs>
                <w:tab w:pos="636" w:val="left" w:leader="none"/>
              </w:tabs>
              <w:spacing w:before="37"/>
              <w:ind w:left="214"/>
              <w:rPr>
                <w:sz w:val="21"/>
              </w:rPr>
            </w:pPr>
            <w:r>
              <w:rPr>
                <w:w w:val="100"/>
                <w:sz w:val="21"/>
              </w:rPr>
              <w:t>⑥</w:t>
            </w:r>
            <w:r>
              <w:rPr>
                <w:sz w:val="21"/>
              </w:rPr>
              <w:tab/>
            </w:r>
            <w:r>
              <w:rPr>
                <w:spacing w:val="-3"/>
                <w:w w:val="100"/>
                <w:sz w:val="21"/>
              </w:rPr>
              <w:t>神经系统损伤（癫痫或精神症状</w:t>
            </w:r>
            <w:r>
              <w:rPr>
                <w:spacing w:val="-106"/>
                <w:w w:val="100"/>
                <w:sz w:val="21"/>
              </w:rPr>
              <w:t>）</w:t>
            </w:r>
            <w:r>
              <w:rPr>
                <w:w w:val="100"/>
                <w:sz w:val="21"/>
              </w:rPr>
              <w:t>；</w:t>
            </w:r>
          </w:p>
          <w:p>
            <w:pPr>
              <w:pStyle w:val="TableParagraph"/>
              <w:tabs>
                <w:tab w:pos="636" w:val="left" w:leader="none"/>
              </w:tabs>
              <w:spacing w:line="273" w:lineRule="auto" w:before="37"/>
              <w:ind w:left="634" w:right="302" w:hanging="420"/>
              <w:rPr>
                <w:sz w:val="21"/>
              </w:rPr>
            </w:pPr>
            <w:r>
              <w:rPr>
                <w:sz w:val="21"/>
              </w:rPr>
              <w:t>⑦</w:t>
              <w:tab/>
              <w:tab/>
            </w:r>
            <w:r>
              <w:rPr>
                <w:spacing w:val="-3"/>
                <w:sz w:val="21"/>
              </w:rPr>
              <w:t>血象异常（</w:t>
            </w:r>
            <w:r>
              <w:rPr>
                <w:spacing w:val="-8"/>
                <w:sz w:val="21"/>
              </w:rPr>
              <w:t>白细胞小于 </w:t>
            </w:r>
            <w:r>
              <w:rPr>
                <w:sz w:val="21"/>
              </w:rPr>
              <w:t>4000/μl</w:t>
            </w:r>
            <w:r>
              <w:rPr>
                <w:spacing w:val="-10"/>
                <w:sz w:val="21"/>
              </w:rPr>
              <w:t> 或血小板小于 </w:t>
            </w:r>
            <w:r>
              <w:rPr>
                <w:sz w:val="21"/>
              </w:rPr>
              <w:t>100000/μl</w:t>
            </w:r>
            <w:r>
              <w:rPr>
                <w:spacing w:val="-8"/>
                <w:sz w:val="21"/>
              </w:rPr>
              <w:t> 或溶血</w:t>
            </w:r>
            <w:r>
              <w:rPr>
                <w:spacing w:val="-7"/>
                <w:sz w:val="21"/>
              </w:rPr>
              <w:t>性贫血</w:t>
            </w:r>
            <w:r>
              <w:rPr>
                <w:spacing w:val="-106"/>
                <w:sz w:val="21"/>
              </w:rPr>
              <w:t>）</w:t>
            </w:r>
            <w:r>
              <w:rPr>
                <w:sz w:val="21"/>
              </w:rPr>
              <w:t>。</w:t>
            </w:r>
          </w:p>
          <w:p>
            <w:pPr>
              <w:pStyle w:val="TableParagraph"/>
              <w:spacing w:before="8"/>
              <w:ind w:left="108"/>
              <w:jc w:val="both"/>
              <w:rPr>
                <w:sz w:val="21"/>
              </w:rPr>
            </w:pPr>
            <w:r>
              <w:rPr>
                <w:sz w:val="21"/>
              </w:rPr>
              <w:t>（2）检测结果至少具备下列条件中的 2 个：</w:t>
            </w:r>
          </w:p>
          <w:p>
            <w:pPr>
              <w:pStyle w:val="TableParagraph"/>
              <w:tabs>
                <w:tab w:pos="633" w:val="left" w:leader="none"/>
              </w:tabs>
              <w:spacing w:before="37"/>
              <w:ind w:left="213"/>
              <w:rPr>
                <w:sz w:val="21"/>
              </w:rPr>
            </w:pPr>
            <w:r>
              <w:rPr>
                <w:sz w:val="21"/>
              </w:rPr>
              <w:t>①</w:t>
              <w:tab/>
            </w:r>
            <w:r>
              <w:rPr>
                <w:spacing w:val="-25"/>
                <w:sz w:val="21"/>
              </w:rPr>
              <w:t>抗 </w:t>
            </w:r>
            <w:r>
              <w:rPr>
                <w:sz w:val="21"/>
              </w:rPr>
              <w:t>dsDNA</w:t>
            </w:r>
            <w:r>
              <w:rPr>
                <w:spacing w:val="-10"/>
                <w:sz w:val="21"/>
              </w:rPr>
              <w:t> 抗体阳性；</w:t>
            </w:r>
          </w:p>
          <w:p>
            <w:pPr>
              <w:pStyle w:val="TableParagraph"/>
              <w:tabs>
                <w:tab w:pos="634" w:val="left" w:leader="none"/>
              </w:tabs>
              <w:spacing w:before="37"/>
              <w:ind w:left="214"/>
              <w:rPr>
                <w:sz w:val="21"/>
              </w:rPr>
            </w:pPr>
            <w:r>
              <w:rPr>
                <w:sz w:val="21"/>
              </w:rPr>
              <w:t>②</w:t>
              <w:tab/>
            </w:r>
            <w:r>
              <w:rPr>
                <w:spacing w:val="-25"/>
                <w:sz w:val="21"/>
              </w:rPr>
              <w:t>抗 </w:t>
            </w:r>
            <w:r>
              <w:rPr>
                <w:sz w:val="21"/>
              </w:rPr>
              <w:t>Sm</w:t>
            </w:r>
            <w:r>
              <w:rPr>
                <w:spacing w:val="-12"/>
                <w:sz w:val="21"/>
              </w:rPr>
              <w:t> 抗体阳性；</w:t>
            </w:r>
          </w:p>
          <w:p>
            <w:pPr>
              <w:pStyle w:val="TableParagraph"/>
              <w:tabs>
                <w:tab w:pos="636" w:val="left" w:leader="none"/>
              </w:tabs>
              <w:spacing w:before="37"/>
              <w:ind w:left="214"/>
              <w:rPr>
                <w:sz w:val="21"/>
              </w:rPr>
            </w:pPr>
            <w:r>
              <w:rPr>
                <w:sz w:val="21"/>
              </w:rPr>
              <w:t>③</w:t>
              <w:tab/>
            </w:r>
            <w:r>
              <w:rPr>
                <w:spacing w:val="-3"/>
                <w:sz w:val="21"/>
              </w:rPr>
              <w:t>抗核抗体阳性；</w:t>
            </w:r>
          </w:p>
          <w:p>
            <w:pPr>
              <w:pStyle w:val="TableParagraph"/>
              <w:tabs>
                <w:tab w:pos="636" w:val="left" w:leader="none"/>
              </w:tabs>
              <w:spacing w:before="37"/>
              <w:ind w:left="214"/>
              <w:rPr>
                <w:sz w:val="21"/>
              </w:rPr>
            </w:pPr>
            <w:r>
              <w:rPr>
                <w:sz w:val="21"/>
              </w:rPr>
              <w:t>④</w:t>
              <w:tab/>
            </w:r>
            <w:r>
              <w:rPr>
                <w:spacing w:val="-3"/>
                <w:sz w:val="21"/>
              </w:rPr>
              <w:t>皮肤狼疮带试验</w:t>
            </w:r>
            <w:r>
              <w:rPr>
                <w:sz w:val="21"/>
              </w:rPr>
              <w:t>（</w:t>
            </w:r>
            <w:r>
              <w:rPr>
                <w:spacing w:val="-3"/>
                <w:sz w:val="21"/>
              </w:rPr>
              <w:t>非病损部位）或肾活检阳性；</w:t>
            </w:r>
          </w:p>
          <w:p>
            <w:pPr>
              <w:pStyle w:val="TableParagraph"/>
              <w:tabs>
                <w:tab w:pos="636" w:val="left" w:leader="none"/>
              </w:tabs>
              <w:spacing w:line="255" w:lineRule="exact" w:before="37"/>
              <w:ind w:left="214"/>
              <w:rPr>
                <w:sz w:val="21"/>
              </w:rPr>
            </w:pPr>
            <w:r>
              <w:rPr>
                <w:sz w:val="21"/>
              </w:rPr>
              <w:t>⑤</w:t>
              <w:tab/>
              <w:t>C3</w:t>
            </w:r>
            <w:r>
              <w:rPr>
                <w:spacing w:val="-10"/>
                <w:sz w:val="21"/>
              </w:rPr>
              <w:t> 低于正常值。</w:t>
            </w:r>
          </w:p>
        </w:tc>
      </w:tr>
    </w:tbl>
    <w:p>
      <w:pPr>
        <w:spacing w:after="0" w:line="255" w:lineRule="exact"/>
        <w:rPr>
          <w:sz w:val="21"/>
        </w:rPr>
        <w:sectPr>
          <w:pgSz w:w="11910" w:h="16840"/>
          <w:pgMar w:top="1080" w:bottom="280" w:left="960" w:right="600"/>
        </w:sectPr>
      </w:pPr>
    </w:p>
    <w:p>
      <w:pPr>
        <w:pStyle w:val="BodyText"/>
        <w:spacing w:before="22"/>
        <w:ind w:left="3092"/>
      </w:pPr>
      <w:r>
        <w:rPr>
          <w:w w:val="100"/>
        </w:rPr>
        <w:t>（3</w:t>
      </w:r>
      <w:r>
        <w:rPr>
          <w:spacing w:val="-3"/>
          <w:w w:val="100"/>
        </w:rPr>
        <w:t>）狼疮肾炎致使肾功能减退（</w:t>
      </w:r>
      <w:r>
        <w:rPr>
          <w:spacing w:val="-2"/>
          <w:w w:val="100"/>
        </w:rPr>
        <w:t>或损害</w:t>
      </w:r>
      <w:r>
        <w:rPr>
          <w:spacing w:val="-108"/>
          <w:w w:val="100"/>
        </w:rPr>
        <w:t>）</w:t>
      </w:r>
      <w:r>
        <w:rPr>
          <w:spacing w:val="-3"/>
          <w:w w:val="100"/>
        </w:rPr>
        <w:t>，且符合以下条件之一：</w:t>
      </w:r>
    </w:p>
    <w:p>
      <w:pPr>
        <w:pStyle w:val="BodyText"/>
        <w:tabs>
          <w:tab w:pos="3625" w:val="left" w:leader="none"/>
        </w:tabs>
        <w:spacing w:line="273" w:lineRule="auto" w:before="37"/>
        <w:ind w:left="3613" w:right="195" w:hanging="409"/>
      </w:pPr>
      <w:r>
        <w:rPr/>
        <w:t>①</w:t>
        <w:tab/>
        <w:tab/>
      </w:r>
      <w:r>
        <w:rPr>
          <w:spacing w:val="-9"/>
        </w:rPr>
        <w:t>系统性红斑狼疮造成肾脏功能损害，尿蛋白</w:t>
      </w:r>
      <w:r>
        <w:rPr/>
        <w:t>＞2g/24</w:t>
      </w:r>
      <w:r>
        <w:rPr>
          <w:spacing w:val="-6"/>
        </w:rPr>
        <w:t> 小时且持续性蛋</w:t>
      </w:r>
      <w:r>
        <w:rPr>
          <w:spacing w:val="-1"/>
        </w:rPr>
        <w:t>白尿＞+++；</w:t>
      </w:r>
    </w:p>
    <w:p>
      <w:pPr>
        <w:pStyle w:val="BodyText"/>
        <w:tabs>
          <w:tab w:pos="3642" w:val="left" w:leader="none"/>
        </w:tabs>
        <w:spacing w:before="7"/>
        <w:ind w:left="3220"/>
      </w:pPr>
      <w:r>
        <w:rPr/>
        <w:t>②</w:t>
        <w:tab/>
      </w:r>
      <w:r>
        <w:rPr>
          <w:spacing w:val="-11"/>
        </w:rPr>
        <w:t>符合下列 </w:t>
      </w:r>
      <w:r>
        <w:rPr/>
        <w:t>WHO</w:t>
      </w:r>
      <w:r>
        <w:rPr>
          <w:spacing w:val="-8"/>
        </w:rPr>
        <w:t> 诊断标准定义的Ⅲ型至Ⅴ型狼疮性肾炎。</w:t>
      </w:r>
    </w:p>
    <w:p>
      <w:pPr>
        <w:pStyle w:val="BodyText"/>
        <w:spacing w:before="8"/>
        <w:rPr>
          <w:sz w:val="7"/>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
        <w:gridCol w:w="2372"/>
        <w:gridCol w:w="6883"/>
      </w:tblGrid>
      <w:tr>
        <w:trPr>
          <w:trHeight w:val="261" w:hRule="atLeast"/>
        </w:trPr>
        <w:tc>
          <w:tcPr>
            <w:tcW w:w="495" w:type="dxa"/>
          </w:tcPr>
          <w:p>
            <w:pPr>
              <w:pStyle w:val="TableParagraph"/>
              <w:rPr>
                <w:rFonts w:ascii="Times New Roman"/>
                <w:sz w:val="18"/>
              </w:rPr>
            </w:pPr>
          </w:p>
        </w:tc>
        <w:tc>
          <w:tcPr>
            <w:tcW w:w="2372" w:type="dxa"/>
          </w:tcPr>
          <w:p>
            <w:pPr>
              <w:pStyle w:val="TableParagraph"/>
              <w:rPr>
                <w:rFonts w:ascii="Times New Roman"/>
                <w:sz w:val="18"/>
              </w:rPr>
            </w:pPr>
          </w:p>
        </w:tc>
        <w:tc>
          <w:tcPr>
            <w:tcW w:w="6883" w:type="dxa"/>
          </w:tcPr>
          <w:p>
            <w:pPr>
              <w:pStyle w:val="TableParagraph"/>
              <w:spacing w:line="211" w:lineRule="exact"/>
              <w:ind w:left="109"/>
              <w:rPr>
                <w:sz w:val="21"/>
              </w:rPr>
            </w:pPr>
            <w:r>
              <w:rPr>
                <w:sz w:val="21"/>
              </w:rPr>
              <w:t>世界卫生组织（WHO）狼疮性肾炎分型：</w:t>
            </w:r>
          </w:p>
        </w:tc>
      </w:tr>
      <w:tr>
        <w:trPr>
          <w:trHeight w:val="311"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83" w:type="dxa"/>
          </w:tcPr>
          <w:p>
            <w:pPr>
              <w:pStyle w:val="TableParagraph"/>
              <w:tabs>
                <w:tab w:pos="2211" w:val="left" w:leader="none"/>
              </w:tabs>
              <w:spacing w:line="261" w:lineRule="exact"/>
              <w:ind w:left="109"/>
              <w:rPr>
                <w:sz w:val="21"/>
              </w:rPr>
            </w:pPr>
            <w:r>
              <w:rPr>
                <w:sz w:val="21"/>
              </w:rPr>
              <w:t>Ⅰ型</w:t>
            </w:r>
            <w:r>
              <w:rPr>
                <w:spacing w:val="-3"/>
                <w:sz w:val="21"/>
              </w:rPr>
              <w:t>（</w:t>
            </w:r>
            <w:r>
              <w:rPr>
                <w:sz w:val="21"/>
              </w:rPr>
              <w:t>微</w:t>
            </w:r>
            <w:r>
              <w:rPr>
                <w:spacing w:val="-3"/>
                <w:sz w:val="21"/>
              </w:rPr>
              <w:t>小</w:t>
            </w:r>
            <w:r>
              <w:rPr>
                <w:sz w:val="21"/>
              </w:rPr>
              <w:t>病</w:t>
            </w:r>
            <w:r>
              <w:rPr>
                <w:spacing w:val="-3"/>
                <w:sz w:val="21"/>
              </w:rPr>
              <w:t>变</w:t>
            </w:r>
            <w:r>
              <w:rPr>
                <w:sz w:val="21"/>
              </w:rPr>
              <w:t>型）</w:t>
              <w:tab/>
            </w:r>
            <w:r>
              <w:rPr>
                <w:spacing w:val="-3"/>
                <w:sz w:val="21"/>
              </w:rPr>
              <w:t>镜</w:t>
            </w:r>
            <w:r>
              <w:rPr>
                <w:spacing w:val="-1"/>
                <w:sz w:val="21"/>
              </w:rPr>
              <w:t>下</w:t>
            </w:r>
            <w:r>
              <w:rPr>
                <w:sz w:val="21"/>
              </w:rPr>
              <w:t>阴</w:t>
            </w:r>
            <w:r>
              <w:rPr>
                <w:spacing w:val="-3"/>
                <w:sz w:val="21"/>
              </w:rPr>
              <w:t>性</w:t>
            </w:r>
            <w:r>
              <w:rPr>
                <w:sz w:val="21"/>
              </w:rPr>
              <w:t>，</w:t>
            </w:r>
            <w:r>
              <w:rPr>
                <w:spacing w:val="-3"/>
                <w:sz w:val="21"/>
              </w:rPr>
              <w:t>尿</w:t>
            </w:r>
            <w:r>
              <w:rPr>
                <w:sz w:val="21"/>
              </w:rPr>
              <w:t>液</w:t>
            </w:r>
            <w:r>
              <w:rPr>
                <w:spacing w:val="-3"/>
                <w:sz w:val="21"/>
              </w:rPr>
              <w:t>正</w:t>
            </w:r>
            <w:r>
              <w:rPr>
                <w:sz w:val="21"/>
              </w:rPr>
              <w:t>常；</w:t>
            </w:r>
          </w:p>
        </w:tc>
      </w:tr>
      <w:tr>
        <w:trPr>
          <w:trHeight w:val="311"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83" w:type="dxa"/>
          </w:tcPr>
          <w:p>
            <w:pPr>
              <w:pStyle w:val="TableParagraph"/>
              <w:tabs>
                <w:tab w:pos="2211" w:val="left" w:leader="none"/>
              </w:tabs>
              <w:spacing w:line="261" w:lineRule="exact"/>
              <w:ind w:left="109"/>
              <w:rPr>
                <w:sz w:val="21"/>
              </w:rPr>
            </w:pPr>
            <w:r>
              <w:rPr>
                <w:sz w:val="21"/>
              </w:rPr>
              <w:t>Ⅱ型</w:t>
            </w:r>
            <w:r>
              <w:rPr>
                <w:spacing w:val="-3"/>
                <w:sz w:val="21"/>
              </w:rPr>
              <w:t>（</w:t>
            </w:r>
            <w:r>
              <w:rPr>
                <w:sz w:val="21"/>
              </w:rPr>
              <w:t>系</w:t>
            </w:r>
            <w:r>
              <w:rPr>
                <w:spacing w:val="-3"/>
                <w:sz w:val="21"/>
              </w:rPr>
              <w:t>膜</w:t>
            </w:r>
            <w:r>
              <w:rPr>
                <w:sz w:val="21"/>
              </w:rPr>
              <w:t>病</w:t>
            </w:r>
            <w:r>
              <w:rPr>
                <w:spacing w:val="-3"/>
                <w:sz w:val="21"/>
              </w:rPr>
              <w:t>变</w:t>
            </w:r>
            <w:r>
              <w:rPr>
                <w:sz w:val="21"/>
              </w:rPr>
              <w:t>型）</w:t>
              <w:tab/>
            </w:r>
            <w:r>
              <w:rPr>
                <w:spacing w:val="-3"/>
                <w:sz w:val="21"/>
              </w:rPr>
              <w:t>中</w:t>
            </w:r>
            <w:r>
              <w:rPr>
                <w:spacing w:val="-1"/>
                <w:sz w:val="21"/>
              </w:rPr>
              <w:t>度</w:t>
            </w:r>
            <w:r>
              <w:rPr>
                <w:sz w:val="21"/>
              </w:rPr>
              <w:t>蛋</w:t>
            </w:r>
            <w:r>
              <w:rPr>
                <w:spacing w:val="-3"/>
                <w:sz w:val="21"/>
              </w:rPr>
              <w:t>白</w:t>
            </w:r>
            <w:r>
              <w:rPr>
                <w:sz w:val="21"/>
              </w:rPr>
              <w:t>尿</w:t>
            </w:r>
            <w:r>
              <w:rPr>
                <w:spacing w:val="-3"/>
                <w:sz w:val="21"/>
              </w:rPr>
              <w:t>，</w:t>
            </w:r>
            <w:r>
              <w:rPr>
                <w:sz w:val="21"/>
              </w:rPr>
              <w:t>偶</w:t>
            </w:r>
            <w:r>
              <w:rPr>
                <w:spacing w:val="-3"/>
                <w:sz w:val="21"/>
              </w:rPr>
              <w:t>有</w:t>
            </w:r>
            <w:r>
              <w:rPr>
                <w:sz w:val="21"/>
              </w:rPr>
              <w:t>尿</w:t>
            </w:r>
            <w:r>
              <w:rPr>
                <w:spacing w:val="-3"/>
                <w:sz w:val="21"/>
              </w:rPr>
              <w:t>沉</w:t>
            </w:r>
            <w:r>
              <w:rPr>
                <w:sz w:val="21"/>
              </w:rPr>
              <w:t>渣</w:t>
            </w:r>
            <w:r>
              <w:rPr>
                <w:spacing w:val="-3"/>
                <w:sz w:val="21"/>
              </w:rPr>
              <w:t>改</w:t>
            </w:r>
            <w:r>
              <w:rPr>
                <w:sz w:val="21"/>
              </w:rPr>
              <w:t>变；</w:t>
            </w:r>
          </w:p>
        </w:tc>
      </w:tr>
      <w:tr>
        <w:trPr>
          <w:trHeight w:val="311"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83" w:type="dxa"/>
          </w:tcPr>
          <w:p>
            <w:pPr>
              <w:pStyle w:val="TableParagraph"/>
              <w:tabs>
                <w:tab w:pos="2842" w:val="left" w:leader="none"/>
              </w:tabs>
              <w:spacing w:line="261" w:lineRule="exact"/>
              <w:ind w:left="109"/>
              <w:rPr>
                <w:sz w:val="21"/>
              </w:rPr>
            </w:pPr>
            <w:r>
              <w:rPr>
                <w:sz w:val="21"/>
              </w:rPr>
              <w:t>Ⅲ型</w:t>
            </w:r>
            <w:r>
              <w:rPr>
                <w:spacing w:val="-3"/>
                <w:sz w:val="21"/>
              </w:rPr>
              <w:t>（</w:t>
            </w:r>
            <w:r>
              <w:rPr>
                <w:sz w:val="21"/>
              </w:rPr>
              <w:t>局</w:t>
            </w:r>
            <w:r>
              <w:rPr>
                <w:spacing w:val="-3"/>
                <w:sz w:val="21"/>
              </w:rPr>
              <w:t>灶</w:t>
            </w:r>
            <w:r>
              <w:rPr>
                <w:sz w:val="21"/>
              </w:rPr>
              <w:t>及</w:t>
            </w:r>
            <w:r>
              <w:rPr>
                <w:spacing w:val="-3"/>
                <w:sz w:val="21"/>
              </w:rPr>
              <w:t>节</w:t>
            </w:r>
            <w:r>
              <w:rPr>
                <w:sz w:val="21"/>
              </w:rPr>
              <w:t>段</w:t>
            </w:r>
            <w:r>
              <w:rPr>
                <w:spacing w:val="-3"/>
                <w:sz w:val="21"/>
              </w:rPr>
              <w:t>增</w:t>
            </w:r>
            <w:r>
              <w:rPr>
                <w:sz w:val="21"/>
              </w:rPr>
              <w:t>生</w:t>
            </w:r>
            <w:r>
              <w:rPr>
                <w:spacing w:val="-3"/>
                <w:sz w:val="21"/>
              </w:rPr>
              <w:t>型</w:t>
            </w:r>
            <w:r>
              <w:rPr>
                <w:sz w:val="21"/>
              </w:rPr>
              <w:t>）</w:t>
              <w:tab/>
            </w:r>
            <w:r>
              <w:rPr>
                <w:spacing w:val="-3"/>
                <w:sz w:val="21"/>
              </w:rPr>
              <w:t>蛋</w:t>
            </w:r>
            <w:r>
              <w:rPr>
                <w:sz w:val="21"/>
              </w:rPr>
              <w:t>白</w:t>
            </w:r>
            <w:r>
              <w:rPr>
                <w:spacing w:val="-3"/>
                <w:sz w:val="21"/>
              </w:rPr>
              <w:t>尿</w:t>
            </w:r>
            <w:r>
              <w:rPr>
                <w:sz w:val="21"/>
              </w:rPr>
              <w:t>，</w:t>
            </w:r>
            <w:r>
              <w:rPr>
                <w:spacing w:val="-3"/>
                <w:sz w:val="21"/>
              </w:rPr>
              <w:t>尿</w:t>
            </w:r>
            <w:r>
              <w:rPr>
                <w:sz w:val="21"/>
              </w:rPr>
              <w:t>沉</w:t>
            </w:r>
            <w:r>
              <w:rPr>
                <w:spacing w:val="-3"/>
                <w:sz w:val="21"/>
              </w:rPr>
              <w:t>渣</w:t>
            </w:r>
            <w:r>
              <w:rPr>
                <w:sz w:val="21"/>
              </w:rPr>
              <w:t>改</w:t>
            </w:r>
            <w:r>
              <w:rPr>
                <w:spacing w:val="-3"/>
                <w:sz w:val="21"/>
              </w:rPr>
              <w:t>变</w:t>
            </w:r>
            <w:r>
              <w:rPr>
                <w:sz w:val="21"/>
              </w:rPr>
              <w:t>；</w:t>
            </w:r>
          </w:p>
        </w:tc>
      </w:tr>
      <w:tr>
        <w:trPr>
          <w:trHeight w:val="311"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83" w:type="dxa"/>
          </w:tcPr>
          <w:p>
            <w:pPr>
              <w:pStyle w:val="TableParagraph"/>
              <w:tabs>
                <w:tab w:pos="2211" w:val="left" w:leader="none"/>
              </w:tabs>
              <w:spacing w:line="261" w:lineRule="exact"/>
              <w:ind w:left="109"/>
              <w:rPr>
                <w:sz w:val="21"/>
              </w:rPr>
            </w:pPr>
            <w:r>
              <w:rPr>
                <w:sz w:val="21"/>
              </w:rPr>
              <w:t>Ⅳ型</w:t>
            </w:r>
            <w:r>
              <w:rPr>
                <w:spacing w:val="-3"/>
                <w:sz w:val="21"/>
              </w:rPr>
              <w:t>（</w:t>
            </w:r>
            <w:r>
              <w:rPr>
                <w:sz w:val="21"/>
              </w:rPr>
              <w:t>弥</w:t>
            </w:r>
            <w:r>
              <w:rPr>
                <w:spacing w:val="-3"/>
                <w:sz w:val="21"/>
              </w:rPr>
              <w:t>漫</w:t>
            </w:r>
            <w:r>
              <w:rPr>
                <w:sz w:val="21"/>
              </w:rPr>
              <w:t>增</w:t>
            </w:r>
            <w:r>
              <w:rPr>
                <w:spacing w:val="-3"/>
                <w:sz w:val="21"/>
              </w:rPr>
              <w:t>生</w:t>
            </w:r>
            <w:r>
              <w:rPr>
                <w:sz w:val="21"/>
              </w:rPr>
              <w:t>型）</w:t>
              <w:tab/>
            </w:r>
            <w:r>
              <w:rPr>
                <w:spacing w:val="-3"/>
                <w:sz w:val="21"/>
              </w:rPr>
              <w:t>急</w:t>
            </w:r>
            <w:r>
              <w:rPr>
                <w:sz w:val="21"/>
              </w:rPr>
              <w:t>性肾</w:t>
            </w:r>
            <w:r>
              <w:rPr>
                <w:spacing w:val="-3"/>
                <w:sz w:val="21"/>
              </w:rPr>
              <w:t>炎</w:t>
            </w:r>
            <w:r>
              <w:rPr>
                <w:sz w:val="21"/>
              </w:rPr>
              <w:t>伴</w:t>
            </w:r>
            <w:r>
              <w:rPr>
                <w:spacing w:val="-3"/>
                <w:sz w:val="21"/>
              </w:rPr>
              <w:t>有</w:t>
            </w:r>
            <w:r>
              <w:rPr>
                <w:sz w:val="21"/>
              </w:rPr>
              <w:t>尿</w:t>
            </w:r>
            <w:r>
              <w:rPr>
                <w:spacing w:val="-3"/>
                <w:sz w:val="21"/>
              </w:rPr>
              <w:t>沉</w:t>
            </w:r>
            <w:r>
              <w:rPr>
                <w:sz w:val="21"/>
              </w:rPr>
              <w:t>渣</w:t>
            </w:r>
            <w:r>
              <w:rPr>
                <w:spacing w:val="-3"/>
                <w:sz w:val="21"/>
              </w:rPr>
              <w:t>改</w:t>
            </w:r>
            <w:r>
              <w:rPr>
                <w:sz w:val="21"/>
              </w:rPr>
              <w:t>变</w:t>
            </w:r>
            <w:r>
              <w:rPr>
                <w:spacing w:val="-3"/>
                <w:sz w:val="21"/>
              </w:rPr>
              <w:t>及/</w:t>
            </w:r>
            <w:r>
              <w:rPr>
                <w:sz w:val="21"/>
              </w:rPr>
              <w:t>或肾</w:t>
            </w:r>
            <w:r>
              <w:rPr>
                <w:spacing w:val="-3"/>
                <w:sz w:val="21"/>
              </w:rPr>
              <w:t>病</w:t>
            </w:r>
            <w:r>
              <w:rPr>
                <w:sz w:val="21"/>
              </w:rPr>
              <w:t>综</w:t>
            </w:r>
            <w:r>
              <w:rPr>
                <w:spacing w:val="-3"/>
                <w:sz w:val="21"/>
              </w:rPr>
              <w:t>合</w:t>
            </w:r>
            <w:r>
              <w:rPr>
                <w:sz w:val="21"/>
              </w:rPr>
              <w:t>征；</w:t>
            </w:r>
          </w:p>
        </w:tc>
      </w:tr>
      <w:tr>
        <w:trPr>
          <w:trHeight w:val="444"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83" w:type="dxa"/>
          </w:tcPr>
          <w:p>
            <w:pPr>
              <w:pStyle w:val="TableParagraph"/>
              <w:tabs>
                <w:tab w:pos="1580" w:val="left" w:leader="none"/>
              </w:tabs>
              <w:spacing w:line="261" w:lineRule="exact"/>
              <w:ind w:left="109"/>
              <w:rPr>
                <w:sz w:val="21"/>
              </w:rPr>
            </w:pPr>
            <w:r>
              <w:rPr>
                <w:sz w:val="21"/>
              </w:rPr>
              <w:t>Ⅴ型</w:t>
            </w:r>
            <w:r>
              <w:rPr>
                <w:spacing w:val="-3"/>
                <w:sz w:val="21"/>
              </w:rPr>
              <w:t>（</w:t>
            </w:r>
            <w:r>
              <w:rPr>
                <w:sz w:val="21"/>
              </w:rPr>
              <w:t>膜</w:t>
            </w:r>
            <w:r>
              <w:rPr>
                <w:spacing w:val="-3"/>
                <w:sz w:val="21"/>
              </w:rPr>
              <w:t>型</w:t>
            </w:r>
            <w:r>
              <w:rPr>
                <w:sz w:val="21"/>
              </w:rPr>
              <w:t>）</w:t>
              <w:tab/>
              <w:t>肾</w:t>
            </w:r>
            <w:r>
              <w:rPr>
                <w:spacing w:val="-3"/>
                <w:sz w:val="21"/>
              </w:rPr>
              <w:t>病</w:t>
            </w:r>
            <w:r>
              <w:rPr>
                <w:sz w:val="21"/>
              </w:rPr>
              <w:t>综</w:t>
            </w:r>
            <w:r>
              <w:rPr>
                <w:spacing w:val="-3"/>
                <w:sz w:val="21"/>
              </w:rPr>
              <w:t>合</w:t>
            </w:r>
            <w:r>
              <w:rPr>
                <w:sz w:val="21"/>
              </w:rPr>
              <w:t>征或</w:t>
            </w:r>
            <w:r>
              <w:rPr>
                <w:spacing w:val="-3"/>
                <w:sz w:val="21"/>
              </w:rPr>
              <w:t>重</w:t>
            </w:r>
            <w:r>
              <w:rPr>
                <w:sz w:val="21"/>
              </w:rPr>
              <w:t>度</w:t>
            </w:r>
            <w:r>
              <w:rPr>
                <w:spacing w:val="-3"/>
                <w:sz w:val="21"/>
              </w:rPr>
              <w:t>蛋</w:t>
            </w:r>
            <w:r>
              <w:rPr>
                <w:sz w:val="21"/>
              </w:rPr>
              <w:t>白</w:t>
            </w:r>
            <w:r>
              <w:rPr>
                <w:spacing w:val="-3"/>
                <w:sz w:val="21"/>
              </w:rPr>
              <w:t>尿</w:t>
            </w:r>
            <w:r>
              <w:rPr>
                <w:sz w:val="21"/>
              </w:rPr>
              <w:t>。</w:t>
            </w:r>
          </w:p>
        </w:tc>
      </w:tr>
      <w:tr>
        <w:trPr>
          <w:trHeight w:val="473" w:hRule="atLeast"/>
        </w:trPr>
        <w:tc>
          <w:tcPr>
            <w:tcW w:w="495" w:type="dxa"/>
          </w:tcPr>
          <w:p>
            <w:pPr>
              <w:pStyle w:val="TableParagraph"/>
              <w:spacing w:before="139"/>
              <w:ind w:left="50"/>
              <w:rPr>
                <w:b/>
                <w:sz w:val="21"/>
              </w:rPr>
            </w:pPr>
            <w:r>
              <w:rPr>
                <w:b/>
                <w:sz w:val="21"/>
              </w:rPr>
              <w:t>17</w:t>
            </w:r>
          </w:p>
        </w:tc>
        <w:tc>
          <w:tcPr>
            <w:tcW w:w="2372" w:type="dxa"/>
          </w:tcPr>
          <w:p>
            <w:pPr>
              <w:pStyle w:val="TableParagraph"/>
              <w:spacing w:before="104"/>
              <w:ind w:left="234"/>
              <w:rPr>
                <w:rFonts w:ascii="等线" w:eastAsia="等线" w:hint="eastAsia"/>
                <w:b/>
                <w:sz w:val="24"/>
              </w:rPr>
            </w:pPr>
            <w:r>
              <w:rPr>
                <w:rFonts w:ascii="等线" w:eastAsia="等线" w:hint="eastAsia"/>
                <w:b/>
                <w:sz w:val="24"/>
              </w:rPr>
              <w:t>语言能力丧失</w:t>
            </w:r>
          </w:p>
        </w:tc>
        <w:tc>
          <w:tcPr>
            <w:tcW w:w="6883" w:type="dxa"/>
          </w:tcPr>
          <w:p>
            <w:pPr>
              <w:pStyle w:val="TableParagraph"/>
              <w:spacing w:before="139"/>
              <w:ind w:left="108"/>
              <w:rPr>
                <w:sz w:val="21"/>
              </w:rPr>
            </w:pPr>
            <w:r>
              <w:rPr>
                <w:sz w:val="21"/>
              </w:rPr>
              <w:t>指因疾病或意外伤害导致完全丧失语言能力，经过积极治疗至少 12 个月</w:t>
            </w:r>
          </w:p>
        </w:tc>
      </w:tr>
      <w:tr>
        <w:trPr>
          <w:trHeight w:val="303"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83" w:type="dxa"/>
          </w:tcPr>
          <w:p>
            <w:pPr>
              <w:pStyle w:val="TableParagraph"/>
              <w:spacing w:line="253" w:lineRule="exact"/>
              <w:ind w:left="108"/>
              <w:rPr>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p>
        </w:tc>
      </w:tr>
      <w:tr>
        <w:trPr>
          <w:trHeight w:val="312"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83" w:type="dxa"/>
          </w:tcPr>
          <w:p>
            <w:pPr>
              <w:pStyle w:val="TableParagraph"/>
              <w:spacing w:line="261" w:lineRule="exact"/>
              <w:ind w:left="108"/>
              <w:rPr>
                <w:sz w:val="21"/>
              </w:rPr>
            </w:pPr>
            <w:r>
              <w:rPr>
                <w:sz w:val="21"/>
                <w:shd w:fill="DADADA" w:color="auto" w:val="clear"/>
              </w:rPr>
              <w:t>精神心理因素所致的语言能力丧失不在保障范围内。</w:t>
            </w:r>
          </w:p>
        </w:tc>
      </w:tr>
      <w:tr>
        <w:trPr>
          <w:trHeight w:val="311"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83" w:type="dxa"/>
          </w:tcPr>
          <w:p>
            <w:pPr>
              <w:pStyle w:val="TableParagraph"/>
              <w:spacing w:line="261" w:lineRule="exact"/>
              <w:ind w:left="108"/>
              <w:rPr>
                <w:sz w:val="21"/>
              </w:rPr>
            </w:pPr>
            <w:r>
              <w:rPr>
                <w:spacing w:val="-8"/>
                <w:sz w:val="21"/>
                <w:shd w:fill="DADADA" w:color="auto" w:val="clear"/>
              </w:rPr>
              <w:t>若被保险人在 </w:t>
            </w:r>
            <w:r>
              <w:rPr>
                <w:sz w:val="21"/>
                <w:shd w:fill="DADADA" w:color="auto" w:val="clear"/>
              </w:rPr>
              <w:t>0</w:t>
            </w:r>
            <w:r>
              <w:rPr>
                <w:spacing w:val="-30"/>
                <w:sz w:val="21"/>
                <w:shd w:fill="DADADA" w:color="auto" w:val="clear"/>
              </w:rPr>
              <w:t> 至 </w:t>
            </w:r>
            <w:r>
              <w:rPr>
                <w:sz w:val="21"/>
                <w:shd w:fill="DADADA" w:color="auto" w:val="clear"/>
              </w:rPr>
              <w:t>3</w:t>
            </w:r>
            <w:r>
              <w:rPr>
                <w:spacing w:val="-10"/>
                <w:sz w:val="21"/>
                <w:shd w:fill="DADADA" w:color="auto" w:val="clear"/>
              </w:rPr>
              <w:t> 周岁保单周年日期间语言能力丧失，在本附加险合同</w:t>
            </w:r>
          </w:p>
        </w:tc>
      </w:tr>
      <w:tr>
        <w:trPr>
          <w:trHeight w:val="443"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83" w:type="dxa"/>
          </w:tcPr>
          <w:p>
            <w:pPr>
              <w:pStyle w:val="TableParagraph"/>
              <w:spacing w:line="261" w:lineRule="exact"/>
              <w:ind w:left="108"/>
              <w:rPr>
                <w:sz w:val="21"/>
              </w:rPr>
            </w:pPr>
            <w:r>
              <w:rPr>
                <w:sz w:val="21"/>
                <w:shd w:fill="DADADA" w:color="auto" w:val="clear"/>
              </w:rPr>
              <w:t>保险期间内我们对语言能力丧失不承担保险责任。</w:t>
            </w:r>
          </w:p>
        </w:tc>
      </w:tr>
      <w:tr>
        <w:trPr>
          <w:trHeight w:val="786" w:hRule="atLeast"/>
        </w:trPr>
        <w:tc>
          <w:tcPr>
            <w:tcW w:w="495" w:type="dxa"/>
          </w:tcPr>
          <w:p>
            <w:pPr>
              <w:pStyle w:val="TableParagraph"/>
              <w:spacing w:before="138"/>
              <w:ind w:left="50"/>
              <w:rPr>
                <w:b/>
                <w:sz w:val="21"/>
              </w:rPr>
            </w:pPr>
            <w:r>
              <w:rPr>
                <w:b/>
                <w:sz w:val="21"/>
              </w:rPr>
              <w:t>18</w:t>
            </w:r>
          </w:p>
        </w:tc>
        <w:tc>
          <w:tcPr>
            <w:tcW w:w="2372" w:type="dxa"/>
          </w:tcPr>
          <w:p>
            <w:pPr>
              <w:pStyle w:val="TableParagraph"/>
              <w:spacing w:line="232" w:lineRule="auto" w:before="112"/>
              <w:ind w:left="234" w:right="105"/>
              <w:rPr>
                <w:rFonts w:ascii="等线" w:eastAsia="等线" w:hint="eastAsia"/>
                <w:b/>
                <w:sz w:val="24"/>
              </w:rPr>
            </w:pPr>
            <w:r>
              <w:rPr>
                <w:rFonts w:ascii="等线" w:eastAsia="等线" w:hint="eastAsia"/>
                <w:b/>
                <w:sz w:val="24"/>
              </w:rPr>
              <w:t>急性或亚急性重症肝炎</w:t>
            </w:r>
          </w:p>
        </w:tc>
        <w:tc>
          <w:tcPr>
            <w:tcW w:w="6883" w:type="dxa"/>
          </w:tcPr>
          <w:p>
            <w:pPr>
              <w:pStyle w:val="TableParagraph"/>
              <w:spacing w:line="273" w:lineRule="auto" w:before="138"/>
              <w:ind w:left="108" w:right="31"/>
              <w:rPr>
                <w:sz w:val="21"/>
              </w:rPr>
            </w:pPr>
            <w:r>
              <w:rPr>
                <w:sz w:val="21"/>
              </w:rPr>
              <w:t>指因肝炎病毒感染引起肝脏组织弥漫性坏死，导致急性肝功能衰竭，且经血清学或病毒学检查证实，并须满足下列全部条件：</w:t>
            </w:r>
          </w:p>
        </w:tc>
      </w:tr>
      <w:tr>
        <w:trPr>
          <w:trHeight w:val="300"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83" w:type="dxa"/>
          </w:tcPr>
          <w:p>
            <w:pPr>
              <w:pStyle w:val="TableParagraph"/>
              <w:spacing w:line="250" w:lineRule="exact"/>
              <w:ind w:left="108"/>
              <w:rPr>
                <w:sz w:val="21"/>
              </w:rPr>
            </w:pPr>
            <w:r>
              <w:rPr>
                <w:sz w:val="21"/>
              </w:rPr>
              <w:t>（1）重度黄疸或黄疸迅速加重；</w:t>
            </w:r>
          </w:p>
        </w:tc>
      </w:tr>
      <w:tr>
        <w:trPr>
          <w:trHeight w:val="311"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83" w:type="dxa"/>
          </w:tcPr>
          <w:p>
            <w:pPr>
              <w:pStyle w:val="TableParagraph"/>
              <w:spacing w:line="261" w:lineRule="exact"/>
              <w:ind w:left="108"/>
              <w:rPr>
                <w:sz w:val="21"/>
              </w:rPr>
            </w:pPr>
            <w:r>
              <w:rPr>
                <w:sz w:val="21"/>
              </w:rPr>
              <w:t>（2）肝性脑病；</w:t>
            </w:r>
          </w:p>
        </w:tc>
      </w:tr>
      <w:tr>
        <w:trPr>
          <w:trHeight w:val="311"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83" w:type="dxa"/>
          </w:tcPr>
          <w:p>
            <w:pPr>
              <w:pStyle w:val="TableParagraph"/>
              <w:spacing w:line="261" w:lineRule="exact"/>
              <w:ind w:left="108"/>
              <w:rPr>
                <w:sz w:val="21"/>
              </w:rPr>
            </w:pPr>
            <w:r>
              <w:rPr>
                <w:sz w:val="21"/>
              </w:rPr>
              <w:t>（3）B 超或其它影像学检查显示肝脏体积急速萎缩；</w:t>
            </w:r>
          </w:p>
        </w:tc>
      </w:tr>
      <w:tr>
        <w:trPr>
          <w:trHeight w:val="443"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83" w:type="dxa"/>
          </w:tcPr>
          <w:p>
            <w:pPr>
              <w:pStyle w:val="TableParagraph"/>
              <w:spacing w:line="261" w:lineRule="exact"/>
              <w:ind w:left="108"/>
              <w:rPr>
                <w:sz w:val="21"/>
              </w:rPr>
            </w:pPr>
            <w:r>
              <w:rPr>
                <w:sz w:val="21"/>
              </w:rPr>
              <w:t>（4）肝功能指标进行性恶化。</w:t>
            </w:r>
          </w:p>
        </w:tc>
      </w:tr>
      <w:tr>
        <w:trPr>
          <w:trHeight w:val="472" w:hRule="atLeast"/>
        </w:trPr>
        <w:tc>
          <w:tcPr>
            <w:tcW w:w="495" w:type="dxa"/>
          </w:tcPr>
          <w:p>
            <w:pPr>
              <w:pStyle w:val="TableParagraph"/>
              <w:spacing w:before="138"/>
              <w:ind w:left="50"/>
              <w:rPr>
                <w:b/>
                <w:sz w:val="21"/>
              </w:rPr>
            </w:pPr>
            <w:r>
              <w:rPr>
                <w:b/>
                <w:sz w:val="21"/>
              </w:rPr>
              <w:t>19</w:t>
            </w:r>
          </w:p>
        </w:tc>
        <w:tc>
          <w:tcPr>
            <w:tcW w:w="2372" w:type="dxa"/>
          </w:tcPr>
          <w:p>
            <w:pPr>
              <w:pStyle w:val="TableParagraph"/>
              <w:spacing w:before="102"/>
              <w:ind w:left="234"/>
              <w:rPr>
                <w:rFonts w:ascii="等线" w:eastAsia="等线" w:hint="eastAsia"/>
                <w:b/>
                <w:sz w:val="24"/>
              </w:rPr>
            </w:pPr>
            <w:r>
              <w:rPr>
                <w:rFonts w:ascii="等线" w:eastAsia="等线" w:hint="eastAsia"/>
                <w:b/>
                <w:sz w:val="24"/>
              </w:rPr>
              <w:t>严重溃疡性结肠炎</w:t>
            </w:r>
          </w:p>
        </w:tc>
        <w:tc>
          <w:tcPr>
            <w:tcW w:w="6883" w:type="dxa"/>
          </w:tcPr>
          <w:p>
            <w:pPr>
              <w:pStyle w:val="TableParagraph"/>
              <w:spacing w:before="138"/>
              <w:ind w:left="108"/>
              <w:rPr>
                <w:sz w:val="21"/>
              </w:rPr>
            </w:pPr>
            <w:r>
              <w:rPr>
                <w:sz w:val="21"/>
              </w:rPr>
              <w:t>指伴有致命性电解质紊乱的急性暴发性溃疡性结肠炎，病变累及全结肠，</w:t>
            </w:r>
          </w:p>
        </w:tc>
      </w:tr>
      <w:tr>
        <w:trPr>
          <w:trHeight w:val="303"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83" w:type="dxa"/>
          </w:tcPr>
          <w:p>
            <w:pPr>
              <w:pStyle w:val="TableParagraph"/>
              <w:spacing w:line="253" w:lineRule="exact"/>
              <w:ind w:left="108"/>
              <w:rPr>
                <w:sz w:val="21"/>
              </w:rPr>
            </w:pPr>
            <w:r>
              <w:rPr>
                <w:sz w:val="21"/>
              </w:rPr>
              <w:t>表现为严重的血便和系统性症状体征，已经造成瘘管并伴有肠梗阻或肠穿</w:t>
            </w:r>
          </w:p>
        </w:tc>
      </w:tr>
      <w:tr>
        <w:trPr>
          <w:trHeight w:val="311"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83" w:type="dxa"/>
          </w:tcPr>
          <w:p>
            <w:pPr>
              <w:pStyle w:val="TableParagraph"/>
              <w:spacing w:line="261" w:lineRule="exact"/>
              <w:ind w:left="108"/>
              <w:rPr>
                <w:sz w:val="21"/>
              </w:rPr>
            </w:pPr>
            <w:r>
              <w:rPr>
                <w:sz w:val="21"/>
              </w:rPr>
              <w:t>孔，治疗通常采取全结肠切除和回肠造瘘术。溃疡性结肠炎必须根据组织</w:t>
            </w:r>
          </w:p>
        </w:tc>
      </w:tr>
      <w:tr>
        <w:trPr>
          <w:trHeight w:val="444"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83" w:type="dxa"/>
          </w:tcPr>
          <w:p>
            <w:pPr>
              <w:pStyle w:val="TableParagraph"/>
              <w:spacing w:line="261" w:lineRule="exact"/>
              <w:ind w:left="108"/>
              <w:rPr>
                <w:sz w:val="21"/>
              </w:rPr>
            </w:pPr>
            <w:r>
              <w:rPr>
                <w:sz w:val="21"/>
              </w:rPr>
              <w:t>病理学特点诊断，并且被保险人已经接受了结肠切除和回肠造瘘术。</w:t>
            </w:r>
          </w:p>
        </w:tc>
      </w:tr>
      <w:tr>
        <w:trPr>
          <w:trHeight w:val="1242" w:hRule="atLeast"/>
        </w:trPr>
        <w:tc>
          <w:tcPr>
            <w:tcW w:w="495" w:type="dxa"/>
          </w:tcPr>
          <w:p>
            <w:pPr>
              <w:pStyle w:val="TableParagraph"/>
              <w:spacing w:before="139"/>
              <w:ind w:left="50"/>
              <w:rPr>
                <w:b/>
                <w:sz w:val="21"/>
              </w:rPr>
            </w:pPr>
            <w:r>
              <w:rPr>
                <w:b/>
                <w:sz w:val="21"/>
              </w:rPr>
              <w:t>20</w:t>
            </w:r>
          </w:p>
        </w:tc>
        <w:tc>
          <w:tcPr>
            <w:tcW w:w="2372" w:type="dxa"/>
          </w:tcPr>
          <w:p>
            <w:pPr>
              <w:pStyle w:val="TableParagraph"/>
              <w:spacing w:line="232" w:lineRule="auto" w:before="113"/>
              <w:ind w:left="234" w:right="105"/>
              <w:jc w:val="both"/>
              <w:rPr>
                <w:rFonts w:ascii="等线" w:eastAsia="等线" w:hint="eastAsia"/>
                <w:b/>
                <w:sz w:val="24"/>
              </w:rPr>
            </w:pPr>
            <w:r>
              <w:rPr>
                <w:rFonts w:ascii="等线" w:eastAsia="等线" w:hint="eastAsia"/>
                <w:b/>
                <w:sz w:val="24"/>
              </w:rPr>
              <w:t>终末期肾病（或称慢性肾功能衰竭尿毒症期）</w:t>
            </w:r>
          </w:p>
        </w:tc>
        <w:tc>
          <w:tcPr>
            <w:tcW w:w="6883" w:type="dxa"/>
          </w:tcPr>
          <w:p>
            <w:pPr>
              <w:pStyle w:val="TableParagraph"/>
              <w:spacing w:before="139"/>
              <w:ind w:left="108"/>
              <w:rPr>
                <w:sz w:val="21"/>
              </w:rPr>
            </w:pPr>
            <w:r>
              <w:rPr>
                <w:sz w:val="21"/>
              </w:rPr>
              <w:t>指双肾功能慢性不可逆性衰竭，达到尿毒症期，经诊断后已经进行了至少</w:t>
            </w:r>
          </w:p>
          <w:p>
            <w:pPr>
              <w:pStyle w:val="TableParagraph"/>
              <w:spacing w:before="36"/>
              <w:ind w:left="108"/>
              <w:rPr>
                <w:sz w:val="21"/>
              </w:rPr>
            </w:pPr>
            <w:r>
              <w:rPr>
                <w:sz w:val="21"/>
              </w:rPr>
              <w:t>90 日的规律性透析治疗或实施了肾脏移植手术。</w:t>
            </w:r>
          </w:p>
        </w:tc>
      </w:tr>
      <w:tr>
        <w:trPr>
          <w:trHeight w:val="467" w:hRule="atLeast"/>
        </w:trPr>
        <w:tc>
          <w:tcPr>
            <w:tcW w:w="495" w:type="dxa"/>
          </w:tcPr>
          <w:p>
            <w:pPr>
              <w:pStyle w:val="TableParagraph"/>
              <w:spacing w:before="133"/>
              <w:ind w:left="50"/>
              <w:rPr>
                <w:b/>
                <w:sz w:val="21"/>
              </w:rPr>
            </w:pPr>
            <w:r>
              <w:rPr>
                <w:b/>
                <w:sz w:val="21"/>
              </w:rPr>
              <w:t>21</w:t>
            </w:r>
          </w:p>
        </w:tc>
        <w:tc>
          <w:tcPr>
            <w:tcW w:w="2372" w:type="dxa"/>
          </w:tcPr>
          <w:p>
            <w:pPr>
              <w:pStyle w:val="TableParagraph"/>
              <w:spacing w:before="97"/>
              <w:ind w:left="234"/>
              <w:rPr>
                <w:rFonts w:ascii="等线" w:eastAsia="等线" w:hint="eastAsia"/>
                <w:b/>
                <w:sz w:val="24"/>
              </w:rPr>
            </w:pPr>
            <w:r>
              <w:rPr>
                <w:rFonts w:ascii="等线" w:eastAsia="等线" w:hint="eastAsia"/>
                <w:b/>
                <w:sz w:val="24"/>
              </w:rPr>
              <w:t>终末期肺病</w:t>
            </w:r>
          </w:p>
        </w:tc>
        <w:tc>
          <w:tcPr>
            <w:tcW w:w="6883" w:type="dxa"/>
          </w:tcPr>
          <w:p>
            <w:pPr>
              <w:pStyle w:val="TableParagraph"/>
              <w:spacing w:before="133"/>
              <w:ind w:left="108"/>
              <w:rPr>
                <w:sz w:val="21"/>
              </w:rPr>
            </w:pPr>
            <w:r>
              <w:rPr>
                <w:sz w:val="21"/>
              </w:rPr>
              <w:t>指经专科医生明确诊断，且被保险人已出现慢性呼吸功能衰竭，其诊断标</w:t>
            </w:r>
          </w:p>
        </w:tc>
      </w:tr>
      <w:tr>
        <w:trPr>
          <w:trHeight w:val="303"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83" w:type="dxa"/>
          </w:tcPr>
          <w:p>
            <w:pPr>
              <w:pStyle w:val="TableParagraph"/>
              <w:spacing w:line="253" w:lineRule="exact"/>
              <w:ind w:left="108"/>
              <w:rPr>
                <w:sz w:val="21"/>
              </w:rPr>
            </w:pPr>
            <w:r>
              <w:rPr>
                <w:sz w:val="21"/>
              </w:rPr>
              <w:t>准必须满足下列所有条件：</w:t>
            </w:r>
          </w:p>
        </w:tc>
      </w:tr>
      <w:tr>
        <w:trPr>
          <w:trHeight w:val="311"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83" w:type="dxa"/>
          </w:tcPr>
          <w:p>
            <w:pPr>
              <w:pStyle w:val="TableParagraph"/>
              <w:spacing w:line="261" w:lineRule="exact"/>
              <w:ind w:left="108"/>
              <w:rPr>
                <w:sz w:val="21"/>
              </w:rPr>
            </w:pPr>
            <w:r>
              <w:rPr>
                <w:sz w:val="21"/>
              </w:rPr>
              <w:t>（1）肺功能测试其 FEV1 持续低于 1 升；</w:t>
            </w:r>
          </w:p>
        </w:tc>
      </w:tr>
      <w:tr>
        <w:trPr>
          <w:trHeight w:val="311"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83" w:type="dxa"/>
          </w:tcPr>
          <w:p>
            <w:pPr>
              <w:pStyle w:val="TableParagraph"/>
              <w:spacing w:line="261" w:lineRule="exact"/>
              <w:ind w:left="109"/>
              <w:rPr>
                <w:sz w:val="21"/>
              </w:rPr>
            </w:pPr>
            <w:r>
              <w:rPr>
                <w:sz w:val="21"/>
              </w:rPr>
              <w:t>（2）动脉血气分析氧分压低于 55mmHg；</w:t>
            </w:r>
          </w:p>
        </w:tc>
      </w:tr>
      <w:tr>
        <w:trPr>
          <w:trHeight w:val="443"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83" w:type="dxa"/>
          </w:tcPr>
          <w:p>
            <w:pPr>
              <w:pStyle w:val="TableParagraph"/>
              <w:spacing w:line="261" w:lineRule="exact"/>
              <w:ind w:left="109"/>
              <w:rPr>
                <w:sz w:val="21"/>
              </w:rPr>
            </w:pPr>
            <w:r>
              <w:rPr>
                <w:sz w:val="21"/>
              </w:rPr>
              <w:t>（3）病人缺氧必须进行输氧治疗。</w:t>
            </w:r>
          </w:p>
        </w:tc>
      </w:tr>
      <w:tr>
        <w:trPr>
          <w:trHeight w:val="472" w:hRule="atLeast"/>
        </w:trPr>
        <w:tc>
          <w:tcPr>
            <w:tcW w:w="495" w:type="dxa"/>
          </w:tcPr>
          <w:p>
            <w:pPr>
              <w:pStyle w:val="TableParagraph"/>
              <w:spacing w:before="138"/>
              <w:ind w:left="50"/>
              <w:rPr>
                <w:b/>
                <w:sz w:val="21"/>
              </w:rPr>
            </w:pPr>
            <w:r>
              <w:rPr>
                <w:b/>
                <w:sz w:val="21"/>
              </w:rPr>
              <w:t>22</w:t>
            </w:r>
          </w:p>
        </w:tc>
        <w:tc>
          <w:tcPr>
            <w:tcW w:w="2372" w:type="dxa"/>
          </w:tcPr>
          <w:p>
            <w:pPr>
              <w:pStyle w:val="TableParagraph"/>
              <w:spacing w:before="102"/>
              <w:ind w:left="234"/>
              <w:rPr>
                <w:rFonts w:ascii="等线" w:eastAsia="等线" w:hint="eastAsia"/>
                <w:b/>
                <w:sz w:val="24"/>
              </w:rPr>
            </w:pPr>
            <w:r>
              <w:rPr>
                <w:rFonts w:ascii="等线" w:eastAsia="等线" w:hint="eastAsia"/>
                <w:b/>
                <w:sz w:val="24"/>
              </w:rPr>
              <w:t>胰腺移植</w:t>
            </w:r>
          </w:p>
        </w:tc>
        <w:tc>
          <w:tcPr>
            <w:tcW w:w="6883" w:type="dxa"/>
          </w:tcPr>
          <w:p>
            <w:pPr>
              <w:pStyle w:val="TableParagraph"/>
              <w:spacing w:before="138"/>
              <w:ind w:left="108"/>
              <w:rPr>
                <w:sz w:val="21"/>
              </w:rPr>
            </w:pPr>
            <w:r>
              <w:rPr>
                <w:sz w:val="21"/>
              </w:rPr>
              <w:t>指因胰腺功能衰竭，已经实施了在全身麻醉下进行的胰腺的异体器官移植</w:t>
            </w:r>
          </w:p>
        </w:tc>
      </w:tr>
      <w:tr>
        <w:trPr>
          <w:trHeight w:val="303"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83" w:type="dxa"/>
          </w:tcPr>
          <w:p>
            <w:pPr>
              <w:pStyle w:val="TableParagraph"/>
              <w:spacing w:line="253" w:lineRule="exact"/>
              <w:ind w:left="108"/>
              <w:rPr>
                <w:sz w:val="21"/>
              </w:rPr>
            </w:pPr>
            <w:r>
              <w:rPr>
                <w:sz w:val="21"/>
              </w:rPr>
              <w:t>手术。</w:t>
            </w:r>
          </w:p>
        </w:tc>
      </w:tr>
      <w:tr>
        <w:trPr>
          <w:trHeight w:val="415"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83" w:type="dxa"/>
          </w:tcPr>
          <w:p>
            <w:pPr>
              <w:pStyle w:val="TableParagraph"/>
              <w:spacing w:line="261" w:lineRule="exact"/>
              <w:ind w:left="108"/>
              <w:rPr>
                <w:sz w:val="21"/>
              </w:rPr>
            </w:pPr>
            <w:r>
              <w:rPr>
                <w:sz w:val="21"/>
                <w:shd w:fill="DADADA" w:color="auto" w:val="clear"/>
              </w:rPr>
              <w:t>单纯胰岛移植、部分胰腺组织或细胞的移植不在保障范围内。</w:t>
            </w:r>
          </w:p>
        </w:tc>
      </w:tr>
      <w:tr>
        <w:trPr>
          <w:trHeight w:val="759" w:hRule="atLeast"/>
        </w:trPr>
        <w:tc>
          <w:tcPr>
            <w:tcW w:w="495" w:type="dxa"/>
          </w:tcPr>
          <w:p>
            <w:pPr>
              <w:pStyle w:val="TableParagraph"/>
              <w:spacing w:before="110"/>
              <w:ind w:left="50"/>
              <w:rPr>
                <w:b/>
                <w:sz w:val="21"/>
              </w:rPr>
            </w:pPr>
            <w:r>
              <w:rPr>
                <w:b/>
                <w:sz w:val="21"/>
              </w:rPr>
              <w:t>23</w:t>
            </w:r>
          </w:p>
        </w:tc>
        <w:tc>
          <w:tcPr>
            <w:tcW w:w="2372" w:type="dxa"/>
          </w:tcPr>
          <w:p>
            <w:pPr>
              <w:pStyle w:val="TableParagraph"/>
              <w:spacing w:line="232" w:lineRule="auto" w:before="84"/>
              <w:ind w:left="234" w:right="105"/>
              <w:rPr>
                <w:rFonts w:ascii="等线" w:eastAsia="等线" w:hint="eastAsia"/>
                <w:b/>
                <w:sz w:val="24"/>
              </w:rPr>
            </w:pPr>
            <w:r>
              <w:rPr>
                <w:rFonts w:ascii="等线" w:eastAsia="等线" w:hint="eastAsia"/>
                <w:b/>
                <w:sz w:val="24"/>
              </w:rPr>
              <w:t>急性坏死性胰腺炎开腹手术</w:t>
            </w:r>
          </w:p>
        </w:tc>
        <w:tc>
          <w:tcPr>
            <w:tcW w:w="6883" w:type="dxa"/>
          </w:tcPr>
          <w:p>
            <w:pPr>
              <w:pStyle w:val="TableParagraph"/>
              <w:spacing w:line="273" w:lineRule="auto" w:before="110"/>
              <w:ind w:left="108" w:right="31"/>
              <w:rPr>
                <w:sz w:val="21"/>
              </w:rPr>
            </w:pPr>
            <w:r>
              <w:rPr>
                <w:sz w:val="21"/>
              </w:rPr>
              <w:t>指由专科医生确诊为急性坏死性胰腺炎，并已经接受了开腹手术进行坏死组织清除、病灶切除或胰腺部分切除的治疗。</w:t>
            </w:r>
          </w:p>
        </w:tc>
      </w:tr>
      <w:tr>
        <w:trPr>
          <w:trHeight w:val="300"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83" w:type="dxa"/>
          </w:tcPr>
          <w:p>
            <w:pPr>
              <w:pStyle w:val="TableParagraph"/>
              <w:spacing w:line="250" w:lineRule="exact"/>
              <w:ind w:left="108"/>
              <w:rPr>
                <w:sz w:val="21"/>
              </w:rPr>
            </w:pPr>
            <w:r>
              <w:rPr>
                <w:sz w:val="21"/>
                <w:shd w:fill="DADADA" w:color="auto" w:val="clear"/>
              </w:rPr>
              <w:t>因酗酒或饮酒过量所致的急性坏死性胰腺炎以及腹腔镜手术不在保障范</w:t>
            </w:r>
          </w:p>
        </w:tc>
      </w:tr>
      <w:tr>
        <w:trPr>
          <w:trHeight w:val="261" w:hRule="atLeast"/>
        </w:trPr>
        <w:tc>
          <w:tcPr>
            <w:tcW w:w="495" w:type="dxa"/>
          </w:tcPr>
          <w:p>
            <w:pPr>
              <w:pStyle w:val="TableParagraph"/>
              <w:rPr>
                <w:rFonts w:ascii="Times New Roman"/>
                <w:sz w:val="18"/>
              </w:rPr>
            </w:pPr>
          </w:p>
        </w:tc>
        <w:tc>
          <w:tcPr>
            <w:tcW w:w="2372" w:type="dxa"/>
          </w:tcPr>
          <w:p>
            <w:pPr>
              <w:pStyle w:val="TableParagraph"/>
              <w:rPr>
                <w:rFonts w:ascii="Times New Roman"/>
                <w:sz w:val="18"/>
              </w:rPr>
            </w:pPr>
          </w:p>
        </w:tc>
        <w:tc>
          <w:tcPr>
            <w:tcW w:w="6883" w:type="dxa"/>
          </w:tcPr>
          <w:p>
            <w:pPr>
              <w:pStyle w:val="TableParagraph"/>
              <w:spacing w:line="242" w:lineRule="exact"/>
              <w:ind w:left="108"/>
              <w:rPr>
                <w:sz w:val="21"/>
              </w:rPr>
            </w:pPr>
            <w:r>
              <w:rPr>
                <w:sz w:val="21"/>
                <w:shd w:fill="DADADA" w:color="auto" w:val="clear"/>
              </w:rPr>
              <w:t>围内。</w:t>
            </w:r>
          </w:p>
        </w:tc>
      </w:tr>
    </w:tbl>
    <w:p>
      <w:pPr>
        <w:spacing w:after="0" w:line="242" w:lineRule="exact"/>
        <w:rPr>
          <w:sz w:val="21"/>
        </w:rPr>
        <w:sectPr>
          <w:pgSz w:w="11910" w:h="16840"/>
          <w:pgMar w:top="1080" w:bottom="280" w:left="1100" w:right="820"/>
        </w:sectPr>
      </w:pPr>
    </w:p>
    <w:p>
      <w:pPr>
        <w:pStyle w:val="ListParagraph"/>
        <w:numPr>
          <w:ilvl w:val="0"/>
          <w:numId w:val="6"/>
        </w:numPr>
        <w:tabs>
          <w:tab w:pos="846" w:val="left" w:leader="none"/>
          <w:tab w:pos="847" w:val="left" w:leader="none"/>
          <w:tab w:pos="3092" w:val="left" w:leader="none"/>
        </w:tabs>
        <w:spacing w:line="240" w:lineRule="auto" w:before="2" w:after="0"/>
        <w:ind w:left="846" w:right="0" w:hanging="679"/>
        <w:jc w:val="left"/>
        <w:rPr>
          <w:sz w:val="21"/>
        </w:rPr>
      </w:pPr>
      <w:r>
        <w:rPr>
          <w:rFonts w:ascii="等线" w:eastAsia="等线" w:hint="eastAsia"/>
          <w:b/>
          <w:position w:val="1"/>
          <w:sz w:val="24"/>
        </w:rPr>
        <w:t>严重肾髓质囊性病</w:t>
        <w:tab/>
      </w:r>
      <w:r>
        <w:rPr>
          <w:sz w:val="21"/>
        </w:rPr>
        <w:t>指经</w:t>
      </w:r>
      <w:r>
        <w:rPr>
          <w:spacing w:val="-3"/>
          <w:sz w:val="21"/>
        </w:rPr>
        <w:t>专</w:t>
      </w:r>
      <w:r>
        <w:rPr>
          <w:sz w:val="21"/>
        </w:rPr>
        <w:t>科</w:t>
      </w:r>
      <w:r>
        <w:rPr>
          <w:spacing w:val="-3"/>
          <w:sz w:val="21"/>
        </w:rPr>
        <w:t>医</w:t>
      </w:r>
      <w:r>
        <w:rPr>
          <w:sz w:val="21"/>
        </w:rPr>
        <w:t>生</w:t>
      </w:r>
      <w:r>
        <w:rPr>
          <w:spacing w:val="-3"/>
          <w:sz w:val="21"/>
        </w:rPr>
        <w:t>明</w:t>
      </w:r>
      <w:r>
        <w:rPr>
          <w:sz w:val="21"/>
        </w:rPr>
        <w:t>确</w:t>
      </w:r>
      <w:r>
        <w:rPr>
          <w:spacing w:val="-3"/>
          <w:sz w:val="21"/>
        </w:rPr>
        <w:t>诊</w:t>
      </w:r>
      <w:r>
        <w:rPr>
          <w:sz w:val="21"/>
        </w:rPr>
        <w:t>断</w:t>
      </w:r>
      <w:r>
        <w:rPr>
          <w:spacing w:val="-3"/>
          <w:sz w:val="21"/>
        </w:rPr>
        <w:t>为</w:t>
      </w:r>
      <w:r>
        <w:rPr>
          <w:sz w:val="21"/>
        </w:rPr>
        <w:t>肾髓</w:t>
      </w:r>
      <w:r>
        <w:rPr>
          <w:spacing w:val="-3"/>
          <w:sz w:val="21"/>
        </w:rPr>
        <w:t>质</w:t>
      </w:r>
      <w:r>
        <w:rPr>
          <w:sz w:val="21"/>
        </w:rPr>
        <w:t>囊</w:t>
      </w:r>
      <w:r>
        <w:rPr>
          <w:spacing w:val="-3"/>
          <w:sz w:val="21"/>
        </w:rPr>
        <w:t>性</w:t>
      </w:r>
      <w:r>
        <w:rPr>
          <w:sz w:val="21"/>
        </w:rPr>
        <w:t>病</w:t>
      </w:r>
      <w:r>
        <w:rPr>
          <w:spacing w:val="-3"/>
          <w:sz w:val="21"/>
        </w:rPr>
        <w:t>，</w:t>
      </w:r>
      <w:r>
        <w:rPr>
          <w:sz w:val="21"/>
        </w:rPr>
        <w:t>且</w:t>
      </w:r>
      <w:r>
        <w:rPr>
          <w:spacing w:val="-3"/>
          <w:sz w:val="21"/>
        </w:rPr>
        <w:t>须</w:t>
      </w:r>
      <w:r>
        <w:rPr>
          <w:sz w:val="21"/>
        </w:rPr>
        <w:t>同</w:t>
      </w:r>
      <w:r>
        <w:rPr>
          <w:spacing w:val="-3"/>
          <w:sz w:val="21"/>
        </w:rPr>
        <w:t>时</w:t>
      </w:r>
      <w:r>
        <w:rPr>
          <w:sz w:val="21"/>
        </w:rPr>
        <w:t>满足</w:t>
      </w:r>
      <w:r>
        <w:rPr>
          <w:spacing w:val="-3"/>
          <w:sz w:val="21"/>
        </w:rPr>
        <w:t>下</w:t>
      </w:r>
      <w:r>
        <w:rPr>
          <w:sz w:val="21"/>
        </w:rPr>
        <w:t>列</w:t>
      </w:r>
      <w:r>
        <w:rPr>
          <w:spacing w:val="-3"/>
          <w:sz w:val="21"/>
        </w:rPr>
        <w:t>条</w:t>
      </w:r>
      <w:r>
        <w:rPr>
          <w:sz w:val="21"/>
        </w:rPr>
        <w:t>件：</w:t>
      </w:r>
    </w:p>
    <w:p>
      <w:pPr>
        <w:pStyle w:val="BodyText"/>
        <w:spacing w:before="20"/>
        <w:ind w:left="3092"/>
      </w:pPr>
      <w:r>
        <w:rPr/>
        <w:t>（1）肾髓质有囊肿、肾小管萎缩及间质纤维化等病理改变；</w:t>
      </w:r>
    </w:p>
    <w:p>
      <w:pPr>
        <w:pStyle w:val="BodyText"/>
        <w:spacing w:before="36"/>
        <w:ind w:left="3092"/>
      </w:pPr>
      <w:r>
        <w:rPr/>
        <w:t>（2）贫血、多尿及肾功能衰竭等临床表现；</w:t>
      </w:r>
    </w:p>
    <w:p>
      <w:pPr>
        <w:pStyle w:val="BodyText"/>
        <w:spacing w:before="36"/>
        <w:ind w:left="3092"/>
      </w:pPr>
      <w:r>
        <w:rPr/>
        <w:t>（3）诊断须由肾组织活检确定。</w:t>
      </w:r>
    </w:p>
    <w:p>
      <w:pPr>
        <w:pStyle w:val="BodyText"/>
        <w:spacing w:before="12"/>
        <w:rPr>
          <w:sz w:val="17"/>
        </w:rPr>
      </w:pPr>
    </w:p>
    <w:p>
      <w:pPr>
        <w:spacing w:after="0"/>
        <w:rPr>
          <w:sz w:val="17"/>
        </w:rPr>
        <w:sectPr>
          <w:pgSz w:w="11910" w:h="16840"/>
          <w:pgMar w:top="1320" w:bottom="280" w:left="1100" w:right="800"/>
        </w:sectPr>
      </w:pPr>
    </w:p>
    <w:p>
      <w:pPr>
        <w:pStyle w:val="Heading2"/>
        <w:numPr>
          <w:ilvl w:val="0"/>
          <w:numId w:val="6"/>
        </w:numPr>
        <w:tabs>
          <w:tab w:pos="846" w:val="left" w:leader="none"/>
          <w:tab w:pos="847" w:val="left" w:leader="none"/>
        </w:tabs>
        <w:spacing w:line="322" w:lineRule="exact" w:before="20" w:after="0"/>
        <w:ind w:left="846" w:right="0" w:hanging="679"/>
        <w:jc w:val="left"/>
      </w:pPr>
      <w:r>
        <w:rPr>
          <w:spacing w:val="12"/>
          <w:position w:val="1"/>
        </w:rPr>
        <w:t>严重肝豆状核变性</w:t>
      </w:r>
    </w:p>
    <w:p>
      <w:pPr>
        <w:spacing w:line="322" w:lineRule="exact" w:before="0"/>
        <w:ind w:left="846" w:right="0" w:firstLine="0"/>
        <w:jc w:val="left"/>
        <w:rPr>
          <w:rFonts w:ascii="等线" w:eastAsia="等线" w:hint="eastAsia"/>
          <w:b/>
          <w:sz w:val="24"/>
        </w:rPr>
      </w:pPr>
      <w:r>
        <w:rPr>
          <w:rFonts w:ascii="等线" w:eastAsia="等线" w:hint="eastAsia"/>
          <w:b/>
          <w:sz w:val="24"/>
        </w:rPr>
        <w:t>（Wilson 病）</w:t>
      </w:r>
    </w:p>
    <w:p>
      <w:pPr>
        <w:pStyle w:val="BodyText"/>
        <w:spacing w:line="273" w:lineRule="auto" w:before="56"/>
        <w:ind w:left="161" w:right="189"/>
      </w:pPr>
      <w:r>
        <w:rPr/>
        <w:br w:type="column"/>
      </w:r>
      <w:r>
        <w:rPr/>
        <w:t>指由于铜代谢障碍所引起的一种疾病，其特点为肝硬化与双侧脑基底神经节变性同时存在，且须经专科医生明确诊断，并同时必须具备下列情况：</w:t>
      </w:r>
    </w:p>
    <w:p>
      <w:pPr>
        <w:pStyle w:val="BodyText"/>
        <w:spacing w:line="273" w:lineRule="auto" w:before="7"/>
        <w:ind w:left="687" w:right="84" w:hanging="526"/>
      </w:pPr>
      <w:r>
        <w:rPr/>
        <w:t>（1）临床表现包括：进行性加剧的肢体震颤，肌强直，吞咽及发音困难， 精神异常；</w:t>
      </w:r>
    </w:p>
    <w:p>
      <w:pPr>
        <w:pStyle w:val="BodyText"/>
        <w:spacing w:before="7"/>
        <w:ind w:left="161"/>
      </w:pPr>
      <w:r>
        <w:rPr/>
        <w:t>（2）</w:t>
      </w:r>
      <w:r>
        <w:rPr>
          <w:spacing w:val="-3"/>
        </w:rPr>
        <w:t>角膜色素环</w:t>
      </w:r>
      <w:r>
        <w:rPr/>
        <w:t>（K-F</w:t>
      </w:r>
      <w:r>
        <w:rPr>
          <w:spacing w:val="-25"/>
        </w:rPr>
        <w:t> 环</w:t>
      </w:r>
      <w:r>
        <w:rPr>
          <w:spacing w:val="-106"/>
        </w:rPr>
        <w:t>）；</w:t>
      </w:r>
    </w:p>
    <w:p>
      <w:pPr>
        <w:pStyle w:val="BodyText"/>
        <w:spacing w:before="36"/>
        <w:ind w:left="161"/>
      </w:pPr>
      <w:r>
        <w:rPr/>
        <w:t>（3）血清铜和血清铜蓝蛋白降低，尿铜增加；</w:t>
      </w:r>
    </w:p>
    <w:p>
      <w:pPr>
        <w:pStyle w:val="BodyText"/>
        <w:spacing w:before="36"/>
        <w:ind w:left="161"/>
      </w:pPr>
      <w:r>
        <w:rPr/>
        <w:t>（4）食管静脉曲张；</w:t>
      </w:r>
    </w:p>
    <w:p>
      <w:pPr>
        <w:pStyle w:val="BodyText"/>
        <w:spacing w:before="36"/>
        <w:ind w:left="161"/>
      </w:pPr>
      <w:r>
        <w:rPr/>
        <w:t>（5）腹水。</w:t>
      </w:r>
    </w:p>
    <w:p>
      <w:pPr>
        <w:spacing w:after="0"/>
        <w:sectPr>
          <w:type w:val="continuous"/>
          <w:pgSz w:w="11910" w:h="16840"/>
          <w:pgMar w:top="440" w:bottom="280" w:left="1100" w:right="800"/>
          <w:cols w:num="2" w:equalWidth="0">
            <w:col w:w="2892" w:space="40"/>
            <w:col w:w="7078"/>
          </w:cols>
        </w:sectPr>
      </w:pPr>
    </w:p>
    <w:p>
      <w:pPr>
        <w:pStyle w:val="BodyText"/>
        <w:spacing w:before="7" w:after="1"/>
        <w:rPr>
          <w:sz w:val="2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
        <w:gridCol w:w="2372"/>
        <w:gridCol w:w="6876"/>
      </w:tblGrid>
      <w:tr>
        <w:trPr>
          <w:trHeight w:val="605" w:hRule="atLeast"/>
        </w:trPr>
        <w:tc>
          <w:tcPr>
            <w:tcW w:w="495" w:type="dxa"/>
          </w:tcPr>
          <w:p>
            <w:pPr>
              <w:pStyle w:val="TableParagraph"/>
              <w:spacing w:line="231" w:lineRule="exact"/>
              <w:ind w:left="50"/>
              <w:rPr>
                <w:b/>
                <w:sz w:val="21"/>
              </w:rPr>
            </w:pPr>
            <w:r>
              <w:rPr>
                <w:b/>
                <w:sz w:val="21"/>
              </w:rPr>
              <w:t>26</w:t>
            </w:r>
          </w:p>
        </w:tc>
        <w:tc>
          <w:tcPr>
            <w:tcW w:w="2372" w:type="dxa"/>
          </w:tcPr>
          <w:p>
            <w:pPr>
              <w:pStyle w:val="TableParagraph"/>
              <w:spacing w:line="244" w:lineRule="exact"/>
              <w:ind w:left="234"/>
              <w:rPr>
                <w:rFonts w:ascii="等线" w:eastAsia="等线" w:hint="eastAsia"/>
                <w:b/>
                <w:sz w:val="24"/>
              </w:rPr>
            </w:pPr>
            <w:r>
              <w:rPr>
                <w:rFonts w:ascii="等线" w:eastAsia="等线" w:hint="eastAsia"/>
                <w:b/>
                <w:sz w:val="24"/>
              </w:rPr>
              <w:t>严重自身免疫性肝</w:t>
            </w:r>
          </w:p>
          <w:p>
            <w:pPr>
              <w:pStyle w:val="TableParagraph"/>
              <w:spacing w:line="323" w:lineRule="exact"/>
              <w:ind w:left="234"/>
              <w:rPr>
                <w:rFonts w:ascii="等线" w:eastAsia="等线" w:hint="eastAsia"/>
                <w:b/>
                <w:sz w:val="24"/>
              </w:rPr>
            </w:pPr>
            <w:r>
              <w:rPr>
                <w:rFonts w:ascii="等线" w:eastAsia="等线" w:hint="eastAsia"/>
                <w:b/>
                <w:sz w:val="24"/>
              </w:rPr>
              <w:t>炎</w:t>
            </w:r>
          </w:p>
        </w:tc>
        <w:tc>
          <w:tcPr>
            <w:tcW w:w="6876" w:type="dxa"/>
          </w:tcPr>
          <w:p>
            <w:pPr>
              <w:pStyle w:val="TableParagraph"/>
              <w:spacing w:line="231" w:lineRule="exact"/>
              <w:ind w:left="108"/>
              <w:rPr>
                <w:sz w:val="21"/>
              </w:rPr>
            </w:pPr>
            <w:r>
              <w:rPr>
                <w:sz w:val="21"/>
              </w:rPr>
              <w:t>指一种原因不明的慢性肝脏的坏死性炎性疾病，机体免疫机制被破坏，产</w:t>
            </w:r>
          </w:p>
          <w:p>
            <w:pPr>
              <w:pStyle w:val="TableParagraph"/>
              <w:spacing w:before="37"/>
              <w:ind w:left="108"/>
              <w:rPr>
                <w:sz w:val="21"/>
              </w:rPr>
            </w:pPr>
            <w:r>
              <w:rPr>
                <w:sz w:val="21"/>
              </w:rPr>
              <w:t>生针对肝脏自身抗原的抗体导致自身免疫反应，从而破坏肝细胞造成肝脏</w:t>
            </w:r>
          </w:p>
        </w:tc>
      </w:tr>
      <w:tr>
        <w:trPr>
          <w:trHeight w:val="299"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76" w:type="dxa"/>
          </w:tcPr>
          <w:p>
            <w:pPr>
              <w:pStyle w:val="TableParagraph"/>
              <w:spacing w:line="249" w:lineRule="exact"/>
              <w:ind w:left="108"/>
              <w:rPr>
                <w:sz w:val="21"/>
              </w:rPr>
            </w:pPr>
            <w:r>
              <w:rPr>
                <w:sz w:val="21"/>
              </w:rPr>
              <w:t>炎症坏死，进而发展为肝硬化。必须满足所有以下条件：</w:t>
            </w:r>
          </w:p>
        </w:tc>
      </w:tr>
      <w:tr>
        <w:trPr>
          <w:trHeight w:val="311"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76" w:type="dxa"/>
          </w:tcPr>
          <w:p>
            <w:pPr>
              <w:pStyle w:val="TableParagraph"/>
              <w:spacing w:line="261" w:lineRule="exact"/>
              <w:ind w:left="108"/>
              <w:rPr>
                <w:sz w:val="21"/>
              </w:rPr>
            </w:pPr>
            <w:r>
              <w:rPr>
                <w:sz w:val="21"/>
              </w:rPr>
              <w:t>（1）高γ球蛋白血症；</w:t>
            </w:r>
          </w:p>
        </w:tc>
      </w:tr>
      <w:tr>
        <w:trPr>
          <w:trHeight w:val="261" w:hRule="atLeast"/>
        </w:trPr>
        <w:tc>
          <w:tcPr>
            <w:tcW w:w="495" w:type="dxa"/>
          </w:tcPr>
          <w:p>
            <w:pPr>
              <w:pStyle w:val="TableParagraph"/>
              <w:rPr>
                <w:rFonts w:ascii="Times New Roman"/>
                <w:sz w:val="18"/>
              </w:rPr>
            </w:pPr>
          </w:p>
        </w:tc>
        <w:tc>
          <w:tcPr>
            <w:tcW w:w="2372" w:type="dxa"/>
          </w:tcPr>
          <w:p>
            <w:pPr>
              <w:pStyle w:val="TableParagraph"/>
              <w:rPr>
                <w:rFonts w:ascii="Times New Roman"/>
                <w:sz w:val="18"/>
              </w:rPr>
            </w:pPr>
          </w:p>
        </w:tc>
        <w:tc>
          <w:tcPr>
            <w:tcW w:w="6876" w:type="dxa"/>
          </w:tcPr>
          <w:p>
            <w:pPr>
              <w:pStyle w:val="TableParagraph"/>
              <w:spacing w:line="242" w:lineRule="exact"/>
              <w:ind w:left="108"/>
              <w:rPr>
                <w:sz w:val="21"/>
              </w:rPr>
            </w:pPr>
            <w:r>
              <w:rPr>
                <w:spacing w:val="-6"/>
                <w:sz w:val="21"/>
              </w:rPr>
              <w:t>（2）血液中存在高水平的自身免疫抗体，如 </w:t>
            </w:r>
            <w:r>
              <w:rPr>
                <w:spacing w:val="-5"/>
                <w:sz w:val="21"/>
              </w:rPr>
              <w:t>ANA（</w:t>
            </w:r>
            <w:r>
              <w:rPr>
                <w:spacing w:val="-3"/>
                <w:sz w:val="21"/>
              </w:rPr>
              <w:t>抗核抗体</w:t>
            </w:r>
            <w:r>
              <w:rPr>
                <w:spacing w:val="-106"/>
                <w:sz w:val="21"/>
              </w:rPr>
              <w:t>）</w:t>
            </w:r>
            <w:r>
              <w:rPr>
                <w:spacing w:val="-17"/>
                <w:sz w:val="21"/>
              </w:rPr>
              <w:t>、</w:t>
            </w:r>
            <w:r>
              <w:rPr>
                <w:spacing w:val="-5"/>
                <w:sz w:val="21"/>
              </w:rPr>
              <w:t>SMA（</w:t>
            </w:r>
            <w:r>
              <w:rPr>
                <w:spacing w:val="-3"/>
                <w:sz w:val="21"/>
              </w:rPr>
              <w:t>抗平</w:t>
            </w:r>
          </w:p>
        </w:tc>
      </w:tr>
      <w:tr>
        <w:trPr>
          <w:trHeight w:val="362"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76" w:type="dxa"/>
          </w:tcPr>
          <w:p>
            <w:pPr>
              <w:pStyle w:val="TableParagraph"/>
              <w:spacing w:before="37"/>
              <w:ind w:left="634"/>
              <w:rPr>
                <w:sz w:val="21"/>
              </w:rPr>
            </w:pPr>
            <w:r>
              <w:rPr>
                <w:spacing w:val="-1"/>
                <w:sz w:val="21"/>
              </w:rPr>
              <w:t>滑肌抗体</w:t>
            </w:r>
            <w:r>
              <w:rPr>
                <w:spacing w:val="-108"/>
                <w:sz w:val="21"/>
              </w:rPr>
              <w:t>）</w:t>
            </w:r>
            <w:r>
              <w:rPr>
                <w:spacing w:val="-17"/>
                <w:sz w:val="21"/>
              </w:rPr>
              <w:t>、抗 </w:t>
            </w:r>
            <w:r>
              <w:rPr>
                <w:sz w:val="21"/>
              </w:rPr>
              <w:t>LKM1</w:t>
            </w:r>
            <w:r>
              <w:rPr>
                <w:spacing w:val="-10"/>
                <w:sz w:val="21"/>
              </w:rPr>
              <w:t> 抗体或抗-</w:t>
            </w:r>
            <w:r>
              <w:rPr>
                <w:sz w:val="21"/>
              </w:rPr>
              <w:t>SLA/LP</w:t>
            </w:r>
            <w:r>
              <w:rPr>
                <w:spacing w:val="-14"/>
                <w:sz w:val="21"/>
              </w:rPr>
              <w:t> 抗体；</w:t>
            </w:r>
          </w:p>
        </w:tc>
      </w:tr>
      <w:tr>
        <w:trPr>
          <w:trHeight w:val="311"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76" w:type="dxa"/>
          </w:tcPr>
          <w:p>
            <w:pPr>
              <w:pStyle w:val="TableParagraph"/>
              <w:spacing w:line="261" w:lineRule="exact"/>
              <w:ind w:left="108"/>
              <w:rPr>
                <w:sz w:val="21"/>
              </w:rPr>
            </w:pPr>
            <w:r>
              <w:rPr>
                <w:sz w:val="21"/>
              </w:rPr>
              <w:t>（3）肝脏活检证实免疫性肝炎；</w:t>
            </w:r>
          </w:p>
        </w:tc>
      </w:tr>
      <w:tr>
        <w:trPr>
          <w:trHeight w:val="472"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76" w:type="dxa"/>
          </w:tcPr>
          <w:p>
            <w:pPr>
              <w:pStyle w:val="TableParagraph"/>
              <w:spacing w:line="261" w:lineRule="exact"/>
              <w:ind w:left="108"/>
              <w:rPr>
                <w:sz w:val="21"/>
              </w:rPr>
            </w:pPr>
            <w:r>
              <w:rPr>
                <w:sz w:val="21"/>
              </w:rPr>
              <w:t>（4）临床已经出现腹水、食道静脉曲张和脾肿大等肝硬化表现。</w:t>
            </w:r>
          </w:p>
        </w:tc>
      </w:tr>
      <w:tr>
        <w:trPr>
          <w:trHeight w:val="815" w:hRule="atLeast"/>
        </w:trPr>
        <w:tc>
          <w:tcPr>
            <w:tcW w:w="495" w:type="dxa"/>
          </w:tcPr>
          <w:p>
            <w:pPr>
              <w:pStyle w:val="TableParagraph"/>
              <w:spacing w:before="167"/>
              <w:ind w:left="50"/>
              <w:rPr>
                <w:b/>
                <w:sz w:val="21"/>
              </w:rPr>
            </w:pPr>
            <w:r>
              <w:rPr>
                <w:b/>
                <w:sz w:val="21"/>
              </w:rPr>
              <w:t>27</w:t>
            </w:r>
          </w:p>
        </w:tc>
        <w:tc>
          <w:tcPr>
            <w:tcW w:w="2372" w:type="dxa"/>
          </w:tcPr>
          <w:p>
            <w:pPr>
              <w:pStyle w:val="TableParagraph"/>
              <w:spacing w:line="232" w:lineRule="auto" w:before="141"/>
              <w:ind w:left="234" w:right="105"/>
              <w:rPr>
                <w:rFonts w:ascii="等线" w:eastAsia="等线" w:hint="eastAsia"/>
                <w:b/>
                <w:sz w:val="24"/>
              </w:rPr>
            </w:pPr>
            <w:r>
              <w:rPr>
                <w:rFonts w:ascii="等线" w:eastAsia="等线" w:hint="eastAsia"/>
                <w:b/>
                <w:sz w:val="24"/>
              </w:rPr>
              <w:t>严重弥漫性系统性硬皮病</w:t>
            </w:r>
          </w:p>
        </w:tc>
        <w:tc>
          <w:tcPr>
            <w:tcW w:w="6876" w:type="dxa"/>
          </w:tcPr>
          <w:p>
            <w:pPr>
              <w:pStyle w:val="TableParagraph"/>
              <w:spacing w:line="273" w:lineRule="auto" w:before="167"/>
              <w:ind w:left="108" w:right="23"/>
              <w:rPr>
                <w:sz w:val="21"/>
              </w:rPr>
            </w:pPr>
            <w:r>
              <w:rPr>
                <w:sz w:val="21"/>
              </w:rPr>
              <w:t>指一种系统性胶原血管病引起进行性的皮肤/血管和内脏器官的弥漫性纤维化。本病症须经专科医生明确诊断，并由活检和血清学证据支持并且疾</w:t>
            </w:r>
          </w:p>
        </w:tc>
      </w:tr>
      <w:tr>
        <w:trPr>
          <w:trHeight w:val="300"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76" w:type="dxa"/>
          </w:tcPr>
          <w:p>
            <w:pPr>
              <w:pStyle w:val="TableParagraph"/>
              <w:spacing w:line="250" w:lineRule="exact"/>
              <w:ind w:left="108"/>
              <w:rPr>
                <w:sz w:val="21"/>
              </w:rPr>
            </w:pPr>
            <w:r>
              <w:rPr>
                <w:sz w:val="21"/>
              </w:rPr>
              <w:t>病已经影响到心脏、肺或肾脏等内脏器官并且达到下列标准之一：</w:t>
            </w:r>
          </w:p>
        </w:tc>
      </w:tr>
      <w:tr>
        <w:trPr>
          <w:trHeight w:val="311"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76" w:type="dxa"/>
          </w:tcPr>
          <w:p>
            <w:pPr>
              <w:pStyle w:val="TableParagraph"/>
              <w:spacing w:line="261" w:lineRule="exact"/>
              <w:ind w:left="108"/>
              <w:rPr>
                <w:sz w:val="21"/>
              </w:rPr>
            </w:pPr>
            <w:r>
              <w:rPr>
                <w:sz w:val="21"/>
              </w:rPr>
              <w:t>（1）肺纤维化，已经出现肺动脉高压、肺心病；</w:t>
            </w:r>
          </w:p>
        </w:tc>
      </w:tr>
      <w:tr>
        <w:trPr>
          <w:trHeight w:val="261" w:hRule="atLeast"/>
        </w:trPr>
        <w:tc>
          <w:tcPr>
            <w:tcW w:w="495" w:type="dxa"/>
          </w:tcPr>
          <w:p>
            <w:pPr>
              <w:pStyle w:val="TableParagraph"/>
              <w:rPr>
                <w:rFonts w:ascii="Times New Roman"/>
                <w:sz w:val="18"/>
              </w:rPr>
            </w:pPr>
          </w:p>
        </w:tc>
        <w:tc>
          <w:tcPr>
            <w:tcW w:w="2372" w:type="dxa"/>
          </w:tcPr>
          <w:p>
            <w:pPr>
              <w:pStyle w:val="TableParagraph"/>
              <w:rPr>
                <w:rFonts w:ascii="Times New Roman"/>
                <w:sz w:val="18"/>
              </w:rPr>
            </w:pPr>
          </w:p>
        </w:tc>
        <w:tc>
          <w:tcPr>
            <w:tcW w:w="6876" w:type="dxa"/>
          </w:tcPr>
          <w:p>
            <w:pPr>
              <w:pStyle w:val="TableParagraph"/>
              <w:spacing w:line="242" w:lineRule="exact"/>
              <w:ind w:left="108"/>
              <w:rPr>
                <w:sz w:val="21"/>
              </w:rPr>
            </w:pPr>
            <w:r>
              <w:rPr>
                <w:sz w:val="21"/>
              </w:rPr>
              <w:t>（2）心脏功能损害，心脏功能衰竭程度达到纽约心脏病学会的心功能分</w:t>
            </w:r>
          </w:p>
        </w:tc>
      </w:tr>
      <w:tr>
        <w:trPr>
          <w:trHeight w:val="362"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76" w:type="dxa"/>
          </w:tcPr>
          <w:p>
            <w:pPr>
              <w:pStyle w:val="TableParagraph"/>
              <w:spacing w:before="37"/>
              <w:ind w:left="634"/>
              <w:rPr>
                <w:sz w:val="21"/>
              </w:rPr>
            </w:pPr>
            <w:r>
              <w:rPr>
                <w:sz w:val="21"/>
              </w:rPr>
              <w:t>级标准之心功能 IV 级；</w:t>
            </w:r>
          </w:p>
        </w:tc>
      </w:tr>
      <w:tr>
        <w:trPr>
          <w:trHeight w:val="312"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76" w:type="dxa"/>
          </w:tcPr>
          <w:p>
            <w:pPr>
              <w:pStyle w:val="TableParagraph"/>
              <w:spacing w:line="261" w:lineRule="exact"/>
              <w:ind w:left="108"/>
              <w:rPr>
                <w:sz w:val="21"/>
              </w:rPr>
            </w:pPr>
            <w:r>
              <w:rPr>
                <w:sz w:val="21"/>
              </w:rPr>
              <w:t>（3）肾脏功能损害，已经出现肾功能衰竭。</w:t>
            </w:r>
          </w:p>
        </w:tc>
      </w:tr>
      <w:tr>
        <w:trPr>
          <w:trHeight w:val="312"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76" w:type="dxa"/>
          </w:tcPr>
          <w:p>
            <w:pPr>
              <w:pStyle w:val="TableParagraph"/>
              <w:spacing w:line="262" w:lineRule="exact"/>
              <w:ind w:left="108"/>
              <w:rPr>
                <w:sz w:val="21"/>
              </w:rPr>
            </w:pPr>
            <w:r>
              <w:rPr>
                <w:sz w:val="21"/>
                <w:shd w:fill="DADADA" w:color="auto" w:val="clear"/>
              </w:rPr>
              <w:t>下列疾病不在保障范围内：</w:t>
            </w:r>
          </w:p>
        </w:tc>
      </w:tr>
      <w:tr>
        <w:trPr>
          <w:trHeight w:val="311"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76" w:type="dxa"/>
          </w:tcPr>
          <w:p>
            <w:pPr>
              <w:pStyle w:val="TableParagraph"/>
              <w:spacing w:line="261" w:lineRule="exact"/>
              <w:ind w:left="108"/>
              <w:rPr>
                <w:sz w:val="21"/>
              </w:rPr>
            </w:pPr>
            <w:r>
              <w:rPr>
                <w:sz w:val="21"/>
                <w:shd w:fill="DADADA" w:color="auto" w:val="clear"/>
              </w:rPr>
              <w:t>（1）局限硬皮病；</w:t>
            </w:r>
          </w:p>
        </w:tc>
      </w:tr>
      <w:tr>
        <w:trPr>
          <w:trHeight w:val="312"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76" w:type="dxa"/>
          </w:tcPr>
          <w:p>
            <w:pPr>
              <w:pStyle w:val="TableParagraph"/>
              <w:spacing w:line="261" w:lineRule="exact"/>
              <w:ind w:left="108"/>
              <w:rPr>
                <w:sz w:val="21"/>
              </w:rPr>
            </w:pPr>
            <w:r>
              <w:rPr>
                <w:sz w:val="21"/>
                <w:shd w:fill="DADADA" w:color="auto" w:val="clear"/>
              </w:rPr>
              <w:t>（2）嗜酸细胞筋膜炎；</w:t>
            </w:r>
          </w:p>
        </w:tc>
      </w:tr>
      <w:tr>
        <w:trPr>
          <w:trHeight w:val="482"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76" w:type="dxa"/>
          </w:tcPr>
          <w:p>
            <w:pPr>
              <w:pStyle w:val="TableParagraph"/>
              <w:spacing w:line="261" w:lineRule="exact"/>
              <w:ind w:left="108"/>
              <w:rPr>
                <w:sz w:val="21"/>
              </w:rPr>
            </w:pPr>
            <w:r>
              <w:rPr>
                <w:sz w:val="21"/>
                <w:shd w:fill="DADADA" w:color="auto" w:val="clear"/>
              </w:rPr>
              <w:t>（3）CREST 综合征。</w:t>
            </w:r>
          </w:p>
        </w:tc>
      </w:tr>
      <w:tr>
        <w:trPr>
          <w:trHeight w:val="641" w:hRule="atLeast"/>
        </w:trPr>
        <w:tc>
          <w:tcPr>
            <w:tcW w:w="495" w:type="dxa"/>
          </w:tcPr>
          <w:p>
            <w:pPr>
              <w:pStyle w:val="TableParagraph"/>
              <w:rPr>
                <w:rFonts w:ascii="Times New Roman"/>
                <w:sz w:val="20"/>
              </w:rPr>
            </w:pPr>
          </w:p>
        </w:tc>
        <w:tc>
          <w:tcPr>
            <w:tcW w:w="2372" w:type="dxa"/>
          </w:tcPr>
          <w:p>
            <w:pPr>
              <w:pStyle w:val="TableParagraph"/>
              <w:spacing w:before="157"/>
              <w:ind w:left="234"/>
              <w:rPr>
                <w:b/>
                <w:sz w:val="21"/>
              </w:rPr>
            </w:pPr>
            <w:r>
              <w:rPr>
                <w:b/>
                <w:sz w:val="21"/>
              </w:rPr>
              <w:t>第 4 类：</w:t>
            </w:r>
          </w:p>
        </w:tc>
        <w:tc>
          <w:tcPr>
            <w:tcW w:w="6876" w:type="dxa"/>
          </w:tcPr>
          <w:p>
            <w:pPr>
              <w:pStyle w:val="TableParagraph"/>
              <w:spacing w:before="157"/>
              <w:ind w:left="108"/>
              <w:rPr>
                <w:b/>
                <w:sz w:val="21"/>
              </w:rPr>
            </w:pPr>
            <w:r>
              <w:rPr>
                <w:b/>
                <w:sz w:val="21"/>
              </w:rPr>
              <w:t>与神经系统相关的疾病</w:t>
            </w:r>
          </w:p>
        </w:tc>
      </w:tr>
      <w:tr>
        <w:trPr>
          <w:trHeight w:val="499" w:hRule="atLeast"/>
        </w:trPr>
        <w:tc>
          <w:tcPr>
            <w:tcW w:w="495" w:type="dxa"/>
          </w:tcPr>
          <w:p>
            <w:pPr>
              <w:pStyle w:val="TableParagraph"/>
              <w:spacing w:before="166"/>
              <w:ind w:left="50"/>
              <w:rPr>
                <w:b/>
                <w:sz w:val="21"/>
              </w:rPr>
            </w:pPr>
            <w:r>
              <w:rPr>
                <w:b/>
                <w:sz w:val="21"/>
              </w:rPr>
              <w:t>28</w:t>
            </w:r>
          </w:p>
        </w:tc>
        <w:tc>
          <w:tcPr>
            <w:tcW w:w="2372" w:type="dxa"/>
          </w:tcPr>
          <w:p>
            <w:pPr>
              <w:pStyle w:val="TableParagraph"/>
              <w:spacing w:before="130"/>
              <w:ind w:left="234"/>
              <w:rPr>
                <w:rFonts w:ascii="等线" w:eastAsia="等线" w:hint="eastAsia"/>
                <w:b/>
                <w:sz w:val="24"/>
              </w:rPr>
            </w:pPr>
            <w:r>
              <w:rPr>
                <w:rFonts w:ascii="等线" w:eastAsia="等线" w:hint="eastAsia"/>
                <w:b/>
                <w:sz w:val="24"/>
              </w:rPr>
              <w:t>良性脑肿瘤</w:t>
            </w:r>
          </w:p>
        </w:tc>
        <w:tc>
          <w:tcPr>
            <w:tcW w:w="6876" w:type="dxa"/>
          </w:tcPr>
          <w:p>
            <w:pPr>
              <w:pStyle w:val="TableParagraph"/>
              <w:spacing w:before="166"/>
              <w:ind w:left="108"/>
              <w:rPr>
                <w:sz w:val="21"/>
              </w:rPr>
            </w:pPr>
            <w:r>
              <w:rPr>
                <w:sz w:val="21"/>
              </w:rPr>
              <w:t>指脑的良性肿瘤，已经引起颅内压增高，临床表现为视神经乳头水肿、精</w:t>
            </w:r>
          </w:p>
        </w:tc>
      </w:tr>
      <w:tr>
        <w:trPr>
          <w:trHeight w:val="303"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76" w:type="dxa"/>
          </w:tcPr>
          <w:p>
            <w:pPr>
              <w:pStyle w:val="TableParagraph"/>
              <w:spacing w:line="253" w:lineRule="exact"/>
              <w:ind w:left="108"/>
              <w:rPr>
                <w:sz w:val="21"/>
              </w:rPr>
            </w:pPr>
            <w:r>
              <w:rPr>
                <w:spacing w:val="-6"/>
                <w:w w:val="100"/>
                <w:sz w:val="21"/>
              </w:rPr>
              <w:t>神症状、癫痫及运动感觉障碍等，并危及生命。须由头颅断层扫描</w:t>
            </w:r>
            <w:r>
              <w:rPr>
                <w:w w:val="100"/>
                <w:sz w:val="21"/>
              </w:rPr>
              <w:t>（CT</w:t>
            </w:r>
            <w:r>
              <w:rPr>
                <w:spacing w:val="-108"/>
                <w:w w:val="100"/>
                <w:sz w:val="21"/>
              </w:rPr>
              <w:t>）、</w:t>
            </w:r>
          </w:p>
        </w:tc>
      </w:tr>
      <w:tr>
        <w:trPr>
          <w:trHeight w:val="311"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76" w:type="dxa"/>
          </w:tcPr>
          <w:p>
            <w:pPr>
              <w:pStyle w:val="TableParagraph"/>
              <w:spacing w:line="261" w:lineRule="exact"/>
              <w:ind w:left="108"/>
              <w:rPr>
                <w:sz w:val="21"/>
              </w:rPr>
            </w:pPr>
            <w:r>
              <w:rPr>
                <w:sz w:val="21"/>
              </w:rPr>
              <w:t>核磁共振检查（MRI）或正电子发射断层扫描（PET）等影像学检查证实，</w:t>
            </w:r>
          </w:p>
        </w:tc>
      </w:tr>
      <w:tr>
        <w:trPr>
          <w:trHeight w:val="311"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76" w:type="dxa"/>
          </w:tcPr>
          <w:p>
            <w:pPr>
              <w:pStyle w:val="TableParagraph"/>
              <w:spacing w:line="261" w:lineRule="exact"/>
              <w:ind w:left="108"/>
              <w:rPr>
                <w:sz w:val="21"/>
              </w:rPr>
            </w:pPr>
            <w:r>
              <w:rPr>
                <w:sz w:val="21"/>
              </w:rPr>
              <w:t>并须满足下列至少一项条件：</w:t>
            </w:r>
          </w:p>
        </w:tc>
      </w:tr>
      <w:tr>
        <w:trPr>
          <w:trHeight w:val="311"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76" w:type="dxa"/>
          </w:tcPr>
          <w:p>
            <w:pPr>
              <w:pStyle w:val="TableParagraph"/>
              <w:spacing w:line="261" w:lineRule="exact"/>
              <w:ind w:left="108"/>
              <w:rPr>
                <w:sz w:val="21"/>
              </w:rPr>
            </w:pPr>
            <w:r>
              <w:rPr>
                <w:sz w:val="21"/>
              </w:rPr>
              <w:t>（1）实际实施了开颅进行的脑肿瘤完全切除或部分切除的手术；</w:t>
            </w:r>
          </w:p>
        </w:tc>
      </w:tr>
      <w:tr>
        <w:trPr>
          <w:trHeight w:val="312" w:hRule="atLeast"/>
        </w:trPr>
        <w:tc>
          <w:tcPr>
            <w:tcW w:w="495" w:type="dxa"/>
          </w:tcPr>
          <w:p>
            <w:pPr>
              <w:pStyle w:val="TableParagraph"/>
              <w:rPr>
                <w:rFonts w:ascii="Times New Roman"/>
                <w:sz w:val="20"/>
              </w:rPr>
            </w:pPr>
          </w:p>
        </w:tc>
        <w:tc>
          <w:tcPr>
            <w:tcW w:w="2372" w:type="dxa"/>
          </w:tcPr>
          <w:p>
            <w:pPr>
              <w:pStyle w:val="TableParagraph"/>
              <w:rPr>
                <w:rFonts w:ascii="Times New Roman"/>
                <w:sz w:val="20"/>
              </w:rPr>
            </w:pPr>
          </w:p>
        </w:tc>
        <w:tc>
          <w:tcPr>
            <w:tcW w:w="6876" w:type="dxa"/>
          </w:tcPr>
          <w:p>
            <w:pPr>
              <w:pStyle w:val="TableParagraph"/>
              <w:spacing w:line="261" w:lineRule="exact"/>
              <w:ind w:left="108"/>
              <w:rPr>
                <w:sz w:val="21"/>
              </w:rPr>
            </w:pPr>
            <w:r>
              <w:rPr>
                <w:sz w:val="21"/>
              </w:rPr>
              <w:t>（2）实际实施了对脑肿瘤进行的放射治疗。</w:t>
            </w:r>
          </w:p>
        </w:tc>
      </w:tr>
      <w:tr>
        <w:trPr>
          <w:trHeight w:val="261" w:hRule="atLeast"/>
        </w:trPr>
        <w:tc>
          <w:tcPr>
            <w:tcW w:w="495" w:type="dxa"/>
          </w:tcPr>
          <w:p>
            <w:pPr>
              <w:pStyle w:val="TableParagraph"/>
              <w:rPr>
                <w:rFonts w:ascii="Times New Roman"/>
                <w:sz w:val="18"/>
              </w:rPr>
            </w:pPr>
          </w:p>
        </w:tc>
        <w:tc>
          <w:tcPr>
            <w:tcW w:w="2372" w:type="dxa"/>
          </w:tcPr>
          <w:p>
            <w:pPr>
              <w:pStyle w:val="TableParagraph"/>
              <w:rPr>
                <w:rFonts w:ascii="Times New Roman"/>
                <w:sz w:val="18"/>
              </w:rPr>
            </w:pPr>
          </w:p>
        </w:tc>
        <w:tc>
          <w:tcPr>
            <w:tcW w:w="6876" w:type="dxa"/>
          </w:tcPr>
          <w:p>
            <w:pPr>
              <w:pStyle w:val="TableParagraph"/>
              <w:spacing w:line="242" w:lineRule="exact"/>
              <w:ind w:left="108"/>
              <w:rPr>
                <w:sz w:val="21"/>
              </w:rPr>
            </w:pPr>
            <w:r>
              <w:rPr>
                <w:sz w:val="21"/>
                <w:shd w:fill="DADADA" w:color="auto" w:val="clear"/>
              </w:rPr>
              <w:t>脑垂体瘤、脑囊肿、脑血管性疾病不在保障范围内。</w:t>
            </w:r>
          </w:p>
        </w:tc>
      </w:tr>
    </w:tbl>
    <w:p>
      <w:pPr>
        <w:spacing w:after="0" w:line="242" w:lineRule="exact"/>
        <w:rPr>
          <w:sz w:val="21"/>
        </w:rPr>
        <w:sectPr>
          <w:type w:val="continuous"/>
          <w:pgSz w:w="11910" w:h="16840"/>
          <w:pgMar w:top="440" w:bottom="280" w:left="110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5"/>
        <w:gridCol w:w="2372"/>
        <w:gridCol w:w="7033"/>
      </w:tblGrid>
      <w:tr>
        <w:trPr>
          <w:trHeight w:val="2001" w:hRule="atLeast"/>
        </w:trPr>
        <w:tc>
          <w:tcPr>
            <w:tcW w:w="645" w:type="dxa"/>
          </w:tcPr>
          <w:p>
            <w:pPr>
              <w:pStyle w:val="TableParagraph"/>
              <w:spacing w:line="231" w:lineRule="exact"/>
              <w:ind w:left="181" w:right="212"/>
              <w:jc w:val="center"/>
              <w:rPr>
                <w:b/>
                <w:sz w:val="21"/>
              </w:rPr>
            </w:pPr>
            <w:r>
              <w:rPr>
                <w:b/>
                <w:sz w:val="21"/>
              </w:rPr>
              <w:t>29</w:t>
            </w:r>
          </w:p>
        </w:tc>
        <w:tc>
          <w:tcPr>
            <w:tcW w:w="2372" w:type="dxa"/>
          </w:tcPr>
          <w:p>
            <w:pPr>
              <w:pStyle w:val="TableParagraph"/>
              <w:spacing w:line="244" w:lineRule="exact"/>
              <w:ind w:left="234"/>
              <w:rPr>
                <w:rFonts w:ascii="等线" w:eastAsia="等线" w:hint="eastAsia"/>
                <w:b/>
                <w:sz w:val="24"/>
              </w:rPr>
            </w:pPr>
            <w:r>
              <w:rPr>
                <w:rFonts w:ascii="等线" w:eastAsia="等线" w:hint="eastAsia"/>
                <w:b/>
                <w:sz w:val="24"/>
              </w:rPr>
              <w:t>脑炎后遗症或脑膜</w:t>
            </w:r>
          </w:p>
          <w:p>
            <w:pPr>
              <w:pStyle w:val="TableParagraph"/>
              <w:spacing w:line="323" w:lineRule="exact"/>
              <w:ind w:left="234"/>
              <w:rPr>
                <w:rFonts w:ascii="等线" w:eastAsia="等线" w:hint="eastAsia"/>
                <w:b/>
                <w:sz w:val="24"/>
              </w:rPr>
            </w:pPr>
            <w:r>
              <w:rPr>
                <w:rFonts w:ascii="等线" w:eastAsia="等线" w:hint="eastAsia"/>
                <w:b/>
                <w:sz w:val="24"/>
              </w:rPr>
              <w:t>炎后遗症</w:t>
            </w:r>
          </w:p>
        </w:tc>
        <w:tc>
          <w:tcPr>
            <w:tcW w:w="7033" w:type="dxa"/>
          </w:tcPr>
          <w:p>
            <w:pPr>
              <w:pStyle w:val="TableParagraph"/>
              <w:spacing w:line="231" w:lineRule="exact"/>
              <w:ind w:left="108"/>
              <w:rPr>
                <w:sz w:val="21"/>
              </w:rPr>
            </w:pPr>
            <w:r>
              <w:rPr>
                <w:sz w:val="21"/>
              </w:rPr>
              <w:t>指因患脑炎或脑膜炎导致的神经系统永久性的功能障碍。神经系统永久性</w:t>
            </w:r>
          </w:p>
          <w:p>
            <w:pPr>
              <w:pStyle w:val="TableParagraph"/>
              <w:spacing w:before="37"/>
              <w:ind w:left="108"/>
              <w:rPr>
                <w:sz w:val="21"/>
              </w:rPr>
            </w:pPr>
            <w:r>
              <w:rPr>
                <w:sz w:val="21"/>
              </w:rPr>
              <w:t>的功能障碍，指疾病确诊 180 日后，仍遗留下列一种或一种以上障碍：</w:t>
            </w:r>
          </w:p>
          <w:p>
            <w:pPr>
              <w:pStyle w:val="TableParagraph"/>
              <w:spacing w:before="37"/>
              <w:ind w:left="108"/>
              <w:rPr>
                <w:sz w:val="21"/>
              </w:rPr>
            </w:pPr>
            <w:r>
              <w:rPr>
                <w:sz w:val="21"/>
              </w:rPr>
              <w:t>（1）一肢或一肢以上肢体机能完全丧失；</w:t>
            </w:r>
          </w:p>
          <w:p>
            <w:pPr>
              <w:pStyle w:val="TableParagraph"/>
              <w:spacing w:before="37"/>
              <w:ind w:left="108"/>
              <w:rPr>
                <w:sz w:val="21"/>
              </w:rPr>
            </w:pPr>
            <w:r>
              <w:rPr>
                <w:sz w:val="21"/>
              </w:rPr>
              <w:t>（2）语言能力或咀嚼吞咽能力完全丧失；</w:t>
            </w:r>
          </w:p>
          <w:p>
            <w:pPr>
              <w:pStyle w:val="TableParagraph"/>
              <w:spacing w:line="273" w:lineRule="auto" w:before="37"/>
              <w:ind w:left="634" w:right="225" w:hanging="526"/>
              <w:rPr>
                <w:sz w:val="21"/>
              </w:rPr>
            </w:pPr>
            <w:r>
              <w:rPr>
                <w:sz w:val="21"/>
              </w:rPr>
              <w:t>（3）自主生活能力完全丧失，无法独立完成六项基本日常生活活动中的三项或三项以上。</w:t>
            </w:r>
          </w:p>
        </w:tc>
      </w:tr>
      <w:tr>
        <w:trPr>
          <w:trHeight w:val="1588" w:hRule="atLeast"/>
        </w:trPr>
        <w:tc>
          <w:tcPr>
            <w:tcW w:w="645" w:type="dxa"/>
          </w:tcPr>
          <w:p>
            <w:pPr>
              <w:pStyle w:val="TableParagraph"/>
              <w:spacing w:before="167"/>
              <w:ind w:left="181" w:right="212"/>
              <w:jc w:val="center"/>
              <w:rPr>
                <w:b/>
                <w:sz w:val="21"/>
              </w:rPr>
            </w:pPr>
            <w:r>
              <w:rPr>
                <w:b/>
                <w:sz w:val="21"/>
              </w:rPr>
              <w:t>30</w:t>
            </w:r>
          </w:p>
        </w:tc>
        <w:tc>
          <w:tcPr>
            <w:tcW w:w="2372" w:type="dxa"/>
          </w:tcPr>
          <w:p>
            <w:pPr>
              <w:pStyle w:val="TableParagraph"/>
              <w:spacing w:before="131"/>
              <w:ind w:left="234"/>
              <w:rPr>
                <w:rFonts w:ascii="等线" w:eastAsia="等线" w:hint="eastAsia"/>
                <w:b/>
                <w:sz w:val="24"/>
              </w:rPr>
            </w:pPr>
            <w:r>
              <w:rPr>
                <w:rFonts w:ascii="等线" w:eastAsia="等线" w:hint="eastAsia"/>
                <w:b/>
                <w:sz w:val="24"/>
              </w:rPr>
              <w:t>深度昏迷</w:t>
            </w:r>
          </w:p>
        </w:tc>
        <w:tc>
          <w:tcPr>
            <w:tcW w:w="7033" w:type="dxa"/>
          </w:tcPr>
          <w:p>
            <w:pPr>
              <w:pStyle w:val="TableParagraph"/>
              <w:spacing w:line="273" w:lineRule="auto" w:before="167"/>
              <w:ind w:left="108" w:right="226"/>
              <w:jc w:val="both"/>
              <w:rPr>
                <w:sz w:val="21"/>
              </w:rPr>
            </w:pPr>
            <w:r>
              <w:rPr>
                <w:spacing w:val="-5"/>
                <w:sz w:val="21"/>
              </w:rPr>
              <w:t>指因疾病或意外伤害导致意识丧失，对外界刺激和体内需求均无反应，昏</w:t>
            </w:r>
            <w:r>
              <w:rPr>
                <w:spacing w:val="-4"/>
                <w:sz w:val="21"/>
              </w:rPr>
              <w:t>迷程度按照格拉斯哥昏迷分级</w:t>
            </w:r>
            <w:r>
              <w:rPr>
                <w:sz w:val="21"/>
              </w:rPr>
              <w:t>（Glasgow coma scale）</w:t>
            </w:r>
            <w:r>
              <w:rPr>
                <w:spacing w:val="-15"/>
                <w:sz w:val="21"/>
              </w:rPr>
              <w:t>结果为 </w:t>
            </w:r>
            <w:r>
              <w:rPr>
                <w:sz w:val="21"/>
              </w:rPr>
              <w:t>5</w:t>
            </w:r>
            <w:r>
              <w:rPr>
                <w:spacing w:val="-27"/>
                <w:sz w:val="21"/>
              </w:rPr>
              <w:t> 分或 </w:t>
            </w:r>
            <w:r>
              <w:rPr>
                <w:sz w:val="21"/>
              </w:rPr>
              <w:t>5</w:t>
            </w:r>
            <w:r>
              <w:rPr>
                <w:spacing w:val="-27"/>
                <w:sz w:val="21"/>
              </w:rPr>
              <w:t> 分</w:t>
            </w:r>
            <w:r>
              <w:rPr>
                <w:spacing w:val="-11"/>
                <w:sz w:val="21"/>
              </w:rPr>
              <w:t>以下，且已经持续使用呼吸机及其它生命维持系统 </w:t>
            </w:r>
            <w:r>
              <w:rPr>
                <w:sz w:val="21"/>
              </w:rPr>
              <w:t>96</w:t>
            </w:r>
            <w:r>
              <w:rPr>
                <w:spacing w:val="-9"/>
                <w:sz w:val="21"/>
              </w:rPr>
              <w:t> 小时以上。</w:t>
            </w:r>
          </w:p>
          <w:p>
            <w:pPr>
              <w:pStyle w:val="TableParagraph"/>
              <w:spacing w:before="7"/>
              <w:ind w:left="108"/>
              <w:jc w:val="both"/>
              <w:rPr>
                <w:sz w:val="21"/>
              </w:rPr>
            </w:pPr>
            <w:r>
              <w:rPr>
                <w:sz w:val="21"/>
                <w:shd w:fill="DADADA" w:color="auto" w:val="clear"/>
              </w:rPr>
              <w:t>因酗酒或药物滥用导致的深度昏迷不在保障范围内。</w:t>
            </w:r>
          </w:p>
        </w:tc>
      </w:tr>
      <w:tr>
        <w:trPr>
          <w:trHeight w:val="2211" w:hRule="atLeast"/>
        </w:trPr>
        <w:tc>
          <w:tcPr>
            <w:tcW w:w="645" w:type="dxa"/>
          </w:tcPr>
          <w:p>
            <w:pPr>
              <w:pStyle w:val="TableParagraph"/>
              <w:spacing w:before="167"/>
              <w:ind w:left="181" w:right="212"/>
              <w:jc w:val="center"/>
              <w:rPr>
                <w:b/>
                <w:sz w:val="21"/>
              </w:rPr>
            </w:pPr>
            <w:r>
              <w:rPr>
                <w:b/>
                <w:sz w:val="21"/>
              </w:rPr>
              <w:t>31</w:t>
            </w:r>
          </w:p>
        </w:tc>
        <w:tc>
          <w:tcPr>
            <w:tcW w:w="2372" w:type="dxa"/>
          </w:tcPr>
          <w:p>
            <w:pPr>
              <w:pStyle w:val="TableParagraph"/>
              <w:spacing w:before="131"/>
              <w:ind w:left="234"/>
              <w:rPr>
                <w:rFonts w:ascii="等线" w:eastAsia="等线" w:hint="eastAsia"/>
                <w:b/>
                <w:sz w:val="24"/>
              </w:rPr>
            </w:pPr>
            <w:r>
              <w:rPr>
                <w:rFonts w:ascii="等线" w:eastAsia="等线" w:hint="eastAsia"/>
                <w:b/>
                <w:sz w:val="24"/>
              </w:rPr>
              <w:t>严重阿尔茨海默病</w:t>
            </w:r>
          </w:p>
        </w:tc>
        <w:tc>
          <w:tcPr>
            <w:tcW w:w="7033" w:type="dxa"/>
          </w:tcPr>
          <w:p>
            <w:pPr>
              <w:pStyle w:val="TableParagraph"/>
              <w:spacing w:line="273" w:lineRule="auto" w:before="167"/>
              <w:ind w:left="108" w:right="226"/>
              <w:jc w:val="both"/>
              <w:rPr>
                <w:sz w:val="21"/>
              </w:rPr>
            </w:pPr>
            <w:r>
              <w:rPr>
                <w:spacing w:val="-6"/>
                <w:sz w:val="21"/>
              </w:rPr>
              <w:t>指因大脑进行性、不可逆性改变导致智能严重衰退或丧失，临床表现为明</w:t>
            </w:r>
            <w:r>
              <w:rPr>
                <w:spacing w:val="-7"/>
                <w:sz w:val="21"/>
              </w:rPr>
              <w:t>显的认知能力障碍、行为异常和社交能力减退，其日常生活必须持续受到</w:t>
            </w:r>
            <w:r>
              <w:rPr>
                <w:spacing w:val="-7"/>
                <w:w w:val="100"/>
                <w:sz w:val="21"/>
              </w:rPr>
              <w:t>他人监护。须由头颅断层扫描</w:t>
            </w:r>
            <w:r>
              <w:rPr>
                <w:spacing w:val="-1"/>
                <w:w w:val="100"/>
                <w:sz w:val="21"/>
              </w:rPr>
              <w:t>（</w:t>
            </w:r>
            <w:r>
              <w:rPr>
                <w:w w:val="100"/>
                <w:sz w:val="21"/>
              </w:rPr>
              <w:t>CT</w:t>
            </w:r>
            <w:r>
              <w:rPr>
                <w:spacing w:val="-109"/>
                <w:w w:val="100"/>
                <w:sz w:val="21"/>
              </w:rPr>
              <w:t>）</w:t>
            </w:r>
            <w:r>
              <w:rPr>
                <w:spacing w:val="-4"/>
                <w:w w:val="100"/>
                <w:sz w:val="21"/>
              </w:rPr>
              <w:t>、核磁共振检查</w:t>
            </w:r>
            <w:r>
              <w:rPr>
                <w:w w:val="100"/>
                <w:sz w:val="21"/>
              </w:rPr>
              <w:t>（MR</w:t>
            </w:r>
            <w:r>
              <w:rPr>
                <w:spacing w:val="-3"/>
                <w:w w:val="100"/>
                <w:sz w:val="21"/>
              </w:rPr>
              <w:t>I</w:t>
            </w:r>
            <w:r>
              <w:rPr>
                <w:spacing w:val="-8"/>
                <w:w w:val="100"/>
                <w:sz w:val="21"/>
              </w:rPr>
              <w:t>）</w:t>
            </w:r>
            <w:r>
              <w:rPr>
                <w:spacing w:val="-3"/>
                <w:w w:val="100"/>
                <w:sz w:val="21"/>
              </w:rPr>
              <w:t>或正电子发射</w:t>
            </w:r>
            <w:r>
              <w:rPr>
                <w:spacing w:val="-3"/>
                <w:sz w:val="21"/>
              </w:rPr>
              <w:t>断层扫描（PET）等影像学检查证实，且自主生活能力完全丧失，无法独立完成六项基本日常生活活动中的三项或三项以上。</w:t>
            </w:r>
          </w:p>
          <w:p>
            <w:pPr>
              <w:pStyle w:val="TableParagraph"/>
              <w:spacing w:before="8"/>
              <w:ind w:left="108"/>
              <w:jc w:val="both"/>
              <w:rPr>
                <w:sz w:val="21"/>
              </w:rPr>
            </w:pPr>
            <w:r>
              <w:rPr>
                <w:sz w:val="21"/>
                <w:shd w:fill="DADADA" w:color="auto" w:val="clear"/>
              </w:rPr>
              <w:t>神经官能症和精神疾病不在保障范围内。</w:t>
            </w:r>
          </w:p>
        </w:tc>
      </w:tr>
      <w:tr>
        <w:trPr>
          <w:trHeight w:val="1275" w:hRule="atLeast"/>
        </w:trPr>
        <w:tc>
          <w:tcPr>
            <w:tcW w:w="645" w:type="dxa"/>
          </w:tcPr>
          <w:p>
            <w:pPr>
              <w:pStyle w:val="TableParagraph"/>
              <w:spacing w:before="166"/>
              <w:ind w:left="181" w:right="212"/>
              <w:jc w:val="center"/>
              <w:rPr>
                <w:b/>
                <w:sz w:val="21"/>
              </w:rPr>
            </w:pPr>
            <w:r>
              <w:rPr>
                <w:b/>
                <w:sz w:val="21"/>
              </w:rPr>
              <w:t>32</w:t>
            </w:r>
          </w:p>
        </w:tc>
        <w:tc>
          <w:tcPr>
            <w:tcW w:w="2372" w:type="dxa"/>
          </w:tcPr>
          <w:p>
            <w:pPr>
              <w:pStyle w:val="TableParagraph"/>
              <w:spacing w:before="130"/>
              <w:ind w:left="234"/>
              <w:rPr>
                <w:rFonts w:ascii="等线" w:eastAsia="等线" w:hint="eastAsia"/>
                <w:b/>
                <w:sz w:val="24"/>
              </w:rPr>
            </w:pPr>
            <w:r>
              <w:rPr>
                <w:rFonts w:ascii="等线" w:eastAsia="等线" w:hint="eastAsia"/>
                <w:b/>
                <w:sz w:val="24"/>
              </w:rPr>
              <w:t>瘫痪</w:t>
            </w:r>
          </w:p>
        </w:tc>
        <w:tc>
          <w:tcPr>
            <w:tcW w:w="7033" w:type="dxa"/>
          </w:tcPr>
          <w:p>
            <w:pPr>
              <w:pStyle w:val="TableParagraph"/>
              <w:spacing w:line="273" w:lineRule="auto" w:before="166"/>
              <w:ind w:left="108" w:right="224"/>
              <w:jc w:val="both"/>
              <w:rPr>
                <w:sz w:val="21"/>
              </w:rPr>
            </w:pPr>
            <w:r>
              <w:rPr>
                <w:spacing w:val="-4"/>
                <w:sz w:val="21"/>
              </w:rPr>
              <w:t>指因疾病或意外伤害导致两肢或两肢以上肢体机能永久完全丧失。肢体机</w:t>
            </w:r>
            <w:r>
              <w:rPr>
                <w:spacing w:val="-8"/>
                <w:sz w:val="21"/>
              </w:rPr>
              <w:t>能永久完全丧失，指疾病确诊 </w:t>
            </w:r>
            <w:r>
              <w:rPr>
                <w:sz w:val="21"/>
              </w:rPr>
              <w:t>180</w:t>
            </w:r>
            <w:r>
              <w:rPr>
                <w:spacing w:val="-13"/>
                <w:sz w:val="21"/>
              </w:rPr>
              <w:t> 日后或意外伤害发生 </w:t>
            </w:r>
            <w:r>
              <w:rPr>
                <w:sz w:val="21"/>
              </w:rPr>
              <w:t>180</w:t>
            </w:r>
            <w:r>
              <w:rPr>
                <w:spacing w:val="-12"/>
                <w:sz w:val="21"/>
              </w:rPr>
              <w:t> 日后，每肢三</w:t>
            </w:r>
            <w:r>
              <w:rPr>
                <w:spacing w:val="-3"/>
                <w:sz w:val="21"/>
              </w:rPr>
              <w:t>大关节中的两大关节仍然完全僵硬，或不能随意识活动。</w:t>
            </w:r>
          </w:p>
        </w:tc>
      </w:tr>
      <w:tr>
        <w:trPr>
          <w:trHeight w:val="2836" w:hRule="atLeast"/>
        </w:trPr>
        <w:tc>
          <w:tcPr>
            <w:tcW w:w="645" w:type="dxa"/>
          </w:tcPr>
          <w:p>
            <w:pPr>
              <w:pStyle w:val="TableParagraph"/>
              <w:spacing w:before="167"/>
              <w:ind w:left="181" w:right="212"/>
              <w:jc w:val="center"/>
              <w:rPr>
                <w:b/>
                <w:sz w:val="21"/>
              </w:rPr>
            </w:pPr>
            <w:r>
              <w:rPr>
                <w:b/>
                <w:sz w:val="21"/>
              </w:rPr>
              <w:t>33</w:t>
            </w:r>
          </w:p>
        </w:tc>
        <w:tc>
          <w:tcPr>
            <w:tcW w:w="2372" w:type="dxa"/>
          </w:tcPr>
          <w:p>
            <w:pPr>
              <w:pStyle w:val="TableParagraph"/>
              <w:spacing w:before="131"/>
              <w:ind w:left="234"/>
              <w:rPr>
                <w:rFonts w:ascii="等线" w:eastAsia="等线" w:hint="eastAsia"/>
                <w:b/>
                <w:sz w:val="24"/>
              </w:rPr>
            </w:pPr>
            <w:r>
              <w:rPr>
                <w:rFonts w:ascii="等线" w:eastAsia="等线" w:hint="eastAsia"/>
                <w:b/>
                <w:sz w:val="24"/>
              </w:rPr>
              <w:t>严重的多发性硬化</w:t>
            </w:r>
          </w:p>
        </w:tc>
        <w:tc>
          <w:tcPr>
            <w:tcW w:w="7033" w:type="dxa"/>
          </w:tcPr>
          <w:p>
            <w:pPr>
              <w:pStyle w:val="TableParagraph"/>
              <w:spacing w:line="273" w:lineRule="auto" w:before="167"/>
              <w:ind w:left="108" w:right="173"/>
              <w:rPr>
                <w:sz w:val="21"/>
              </w:rPr>
            </w:pPr>
            <w:r>
              <w:rPr>
                <w:sz w:val="21"/>
              </w:rPr>
              <w:t>指因中枢神经系统脱髓鞘而导致的不可逆的身体部位的功能障碍，需由神经科专科医生提供明确诊断，并有头颅断层扫描（CT）或核磁共振检查</w:t>
            </w:r>
          </w:p>
          <w:p>
            <w:pPr>
              <w:pStyle w:val="TableParagraph"/>
              <w:spacing w:line="273" w:lineRule="auto" w:before="7"/>
              <w:ind w:left="108" w:right="230"/>
              <w:rPr>
                <w:sz w:val="21"/>
              </w:rPr>
            </w:pPr>
            <w:r>
              <w:rPr>
                <w:sz w:val="21"/>
              </w:rPr>
              <w:t>（MRI）结果诊断报告。不可逆的身体部位功能障碍指诊断为功能障碍后需已经持续 180 日以上。</w:t>
            </w:r>
          </w:p>
          <w:p>
            <w:pPr>
              <w:pStyle w:val="TableParagraph"/>
              <w:spacing w:before="7"/>
              <w:ind w:left="108"/>
              <w:rPr>
                <w:sz w:val="21"/>
              </w:rPr>
            </w:pPr>
            <w:r>
              <w:rPr>
                <w:sz w:val="21"/>
              </w:rPr>
              <w:t>由神经科专科医生提供的明确诊断必须同时包含下列内容：</w:t>
            </w:r>
          </w:p>
          <w:p>
            <w:pPr>
              <w:pStyle w:val="TableParagraph"/>
              <w:spacing w:before="37"/>
              <w:ind w:left="108"/>
              <w:rPr>
                <w:sz w:val="21"/>
              </w:rPr>
            </w:pPr>
            <w:r>
              <w:rPr>
                <w:sz w:val="21"/>
              </w:rPr>
              <w:t>（1）明确出现因视神经、脑干和脊髓损伤而导致的临床表现；</w:t>
            </w:r>
          </w:p>
          <w:p>
            <w:pPr>
              <w:pStyle w:val="TableParagraph"/>
              <w:spacing w:before="37"/>
              <w:ind w:left="108"/>
              <w:rPr>
                <w:sz w:val="21"/>
              </w:rPr>
            </w:pPr>
            <w:r>
              <w:rPr>
                <w:sz w:val="21"/>
              </w:rPr>
              <w:t>（2）神经系统散在的多部位病变；</w:t>
            </w:r>
          </w:p>
          <w:p>
            <w:pPr>
              <w:pStyle w:val="TableParagraph"/>
              <w:spacing w:before="37"/>
              <w:ind w:left="108"/>
              <w:rPr>
                <w:sz w:val="21"/>
              </w:rPr>
            </w:pPr>
            <w:r>
              <w:rPr>
                <w:sz w:val="21"/>
              </w:rPr>
              <w:t>（3）有明确的上述症状及神经损伤反复恶化、减轻的病史纪录。</w:t>
            </w:r>
          </w:p>
        </w:tc>
      </w:tr>
      <w:tr>
        <w:trPr>
          <w:trHeight w:val="2184" w:hRule="atLeast"/>
        </w:trPr>
        <w:tc>
          <w:tcPr>
            <w:tcW w:w="645" w:type="dxa"/>
          </w:tcPr>
          <w:p>
            <w:pPr>
              <w:pStyle w:val="TableParagraph"/>
              <w:spacing w:before="167"/>
              <w:ind w:left="181" w:right="212"/>
              <w:jc w:val="center"/>
              <w:rPr>
                <w:b/>
                <w:sz w:val="21"/>
              </w:rPr>
            </w:pPr>
            <w:r>
              <w:rPr>
                <w:b/>
                <w:sz w:val="21"/>
              </w:rPr>
              <w:t>34</w:t>
            </w:r>
          </w:p>
        </w:tc>
        <w:tc>
          <w:tcPr>
            <w:tcW w:w="2372" w:type="dxa"/>
          </w:tcPr>
          <w:p>
            <w:pPr>
              <w:pStyle w:val="TableParagraph"/>
              <w:spacing w:before="131"/>
              <w:ind w:left="234"/>
              <w:rPr>
                <w:rFonts w:ascii="等线" w:eastAsia="等线" w:hint="eastAsia"/>
                <w:b/>
                <w:sz w:val="24"/>
              </w:rPr>
            </w:pPr>
            <w:r>
              <w:rPr>
                <w:rFonts w:ascii="等线" w:eastAsia="等线" w:hint="eastAsia"/>
                <w:b/>
                <w:sz w:val="24"/>
              </w:rPr>
              <w:t>严重帕金森病</w:t>
            </w:r>
          </w:p>
        </w:tc>
        <w:tc>
          <w:tcPr>
            <w:tcW w:w="7033" w:type="dxa"/>
          </w:tcPr>
          <w:p>
            <w:pPr>
              <w:pStyle w:val="TableParagraph"/>
              <w:spacing w:line="273" w:lineRule="auto" w:before="167"/>
              <w:ind w:left="108" w:right="197"/>
              <w:rPr>
                <w:sz w:val="21"/>
              </w:rPr>
            </w:pPr>
            <w:r>
              <w:rPr>
                <w:sz w:val="21"/>
              </w:rPr>
              <w:t>是一种中枢神经系统的退行性疾病，临床表现为震颤麻痹、共济失调等。须满足下列全部条件：</w:t>
            </w:r>
          </w:p>
          <w:p>
            <w:pPr>
              <w:pStyle w:val="TableParagraph"/>
              <w:spacing w:before="7"/>
              <w:ind w:left="108"/>
              <w:rPr>
                <w:sz w:val="21"/>
              </w:rPr>
            </w:pPr>
            <w:r>
              <w:rPr>
                <w:sz w:val="21"/>
              </w:rPr>
              <w:t>（1）药物治疗无法控制病情；</w:t>
            </w:r>
          </w:p>
          <w:p>
            <w:pPr>
              <w:pStyle w:val="TableParagraph"/>
              <w:tabs>
                <w:tab w:pos="1013" w:val="left" w:leader="none"/>
              </w:tabs>
              <w:spacing w:line="273" w:lineRule="auto" w:before="36"/>
              <w:ind w:left="590" w:right="225" w:hanging="483"/>
              <w:rPr>
                <w:sz w:val="21"/>
              </w:rPr>
            </w:pPr>
            <w:r>
              <w:rPr>
                <w:sz w:val="21"/>
              </w:rPr>
              <w:t>（2）自主生活能力完全丧失，无法独立完成六项基本日常生活活动中的三</w:t>
              <w:tab/>
            </w:r>
            <w:r>
              <w:rPr>
                <w:spacing w:val="-3"/>
                <w:sz w:val="21"/>
              </w:rPr>
              <w:t>项</w:t>
            </w:r>
            <w:r>
              <w:rPr>
                <w:sz w:val="21"/>
              </w:rPr>
              <w:t>或</w:t>
            </w:r>
            <w:r>
              <w:rPr>
                <w:spacing w:val="-3"/>
                <w:sz w:val="21"/>
              </w:rPr>
              <w:t>三</w:t>
            </w:r>
            <w:r>
              <w:rPr>
                <w:sz w:val="21"/>
              </w:rPr>
              <w:t>项</w:t>
            </w:r>
            <w:r>
              <w:rPr>
                <w:spacing w:val="-3"/>
                <w:sz w:val="21"/>
              </w:rPr>
              <w:t>以</w:t>
            </w:r>
            <w:r>
              <w:rPr>
                <w:sz w:val="21"/>
              </w:rPr>
              <w:t>上。</w:t>
            </w:r>
          </w:p>
          <w:p>
            <w:pPr>
              <w:pStyle w:val="TableParagraph"/>
              <w:spacing w:before="7"/>
              <w:ind w:left="108"/>
              <w:rPr>
                <w:sz w:val="21"/>
              </w:rPr>
            </w:pPr>
            <w:r>
              <w:rPr>
                <w:sz w:val="21"/>
                <w:shd w:fill="DADADA" w:color="auto" w:val="clear"/>
              </w:rPr>
              <w:t>继发性帕金森综合征不在保障范围内。</w:t>
            </w:r>
          </w:p>
        </w:tc>
      </w:tr>
      <w:tr>
        <w:trPr>
          <w:trHeight w:val="1531" w:hRule="atLeast"/>
        </w:trPr>
        <w:tc>
          <w:tcPr>
            <w:tcW w:w="645" w:type="dxa"/>
          </w:tcPr>
          <w:p>
            <w:pPr>
              <w:pStyle w:val="TableParagraph"/>
              <w:spacing w:before="138"/>
              <w:ind w:left="181" w:right="212"/>
              <w:jc w:val="center"/>
              <w:rPr>
                <w:b/>
                <w:sz w:val="21"/>
              </w:rPr>
            </w:pPr>
            <w:r>
              <w:rPr>
                <w:b/>
                <w:sz w:val="21"/>
              </w:rPr>
              <w:t>35</w:t>
            </w:r>
          </w:p>
        </w:tc>
        <w:tc>
          <w:tcPr>
            <w:tcW w:w="2372" w:type="dxa"/>
          </w:tcPr>
          <w:p>
            <w:pPr>
              <w:pStyle w:val="TableParagraph"/>
              <w:spacing w:before="102"/>
              <w:ind w:left="234"/>
              <w:rPr>
                <w:rFonts w:ascii="等线" w:eastAsia="等线" w:hint="eastAsia"/>
                <w:b/>
                <w:sz w:val="24"/>
              </w:rPr>
            </w:pPr>
            <w:r>
              <w:rPr>
                <w:rFonts w:ascii="等线" w:eastAsia="等线" w:hint="eastAsia"/>
                <w:b/>
                <w:sz w:val="24"/>
              </w:rPr>
              <w:t>严重运动神经元病</w:t>
            </w:r>
          </w:p>
        </w:tc>
        <w:tc>
          <w:tcPr>
            <w:tcW w:w="7033" w:type="dxa"/>
          </w:tcPr>
          <w:p>
            <w:pPr>
              <w:pStyle w:val="TableParagraph"/>
              <w:spacing w:line="273" w:lineRule="auto" w:before="138"/>
              <w:ind w:left="108" w:right="224"/>
              <w:jc w:val="both"/>
              <w:rPr>
                <w:sz w:val="21"/>
              </w:rPr>
            </w:pPr>
            <w:r>
              <w:rPr>
                <w:spacing w:val="-5"/>
                <w:sz w:val="21"/>
              </w:rPr>
              <w:t>是一组中枢神经系统运动神经元的进行性变性疾病，包括进行性脊肌萎缩</w:t>
            </w:r>
            <w:r>
              <w:rPr>
                <w:spacing w:val="-8"/>
                <w:sz w:val="21"/>
              </w:rPr>
              <w:t>症、进行性延髓麻痹症、原发性侧索硬化症、肌萎缩性侧索硬化症。须满</w:t>
            </w:r>
            <w:r>
              <w:rPr>
                <w:spacing w:val="-7"/>
                <w:sz w:val="21"/>
              </w:rPr>
              <w:t>足自主生活能力完全丧失，无法独立完成六项基本日常生活活动中的三项</w:t>
            </w:r>
            <w:r>
              <w:rPr>
                <w:spacing w:val="-3"/>
                <w:sz w:val="21"/>
              </w:rPr>
              <w:t>或三项以上的条件。</w:t>
            </w:r>
          </w:p>
        </w:tc>
      </w:tr>
      <w:tr>
        <w:trPr>
          <w:trHeight w:val="725" w:hRule="atLeast"/>
        </w:trPr>
        <w:tc>
          <w:tcPr>
            <w:tcW w:w="645" w:type="dxa"/>
          </w:tcPr>
          <w:p>
            <w:pPr>
              <w:pStyle w:val="TableParagraph"/>
              <w:spacing w:before="138"/>
              <w:ind w:left="181" w:right="212"/>
              <w:jc w:val="center"/>
              <w:rPr>
                <w:b/>
                <w:sz w:val="21"/>
              </w:rPr>
            </w:pPr>
            <w:r>
              <w:rPr>
                <w:b/>
                <w:sz w:val="21"/>
              </w:rPr>
              <w:t>36</w:t>
            </w:r>
          </w:p>
        </w:tc>
        <w:tc>
          <w:tcPr>
            <w:tcW w:w="2372" w:type="dxa"/>
          </w:tcPr>
          <w:p>
            <w:pPr>
              <w:pStyle w:val="TableParagraph"/>
              <w:spacing w:before="102"/>
              <w:ind w:left="234"/>
              <w:rPr>
                <w:rFonts w:ascii="等线" w:eastAsia="等线" w:hint="eastAsia"/>
                <w:b/>
                <w:sz w:val="24"/>
              </w:rPr>
            </w:pPr>
            <w:r>
              <w:rPr>
                <w:rFonts w:ascii="等线" w:eastAsia="等线" w:hint="eastAsia"/>
                <w:b/>
                <w:sz w:val="24"/>
              </w:rPr>
              <w:t>严重脑损伤</w:t>
            </w:r>
          </w:p>
        </w:tc>
        <w:tc>
          <w:tcPr>
            <w:tcW w:w="7033" w:type="dxa"/>
          </w:tcPr>
          <w:p>
            <w:pPr>
              <w:pStyle w:val="TableParagraph"/>
              <w:spacing w:line="310" w:lineRule="atLeast" w:before="103"/>
              <w:ind w:left="108" w:right="226"/>
              <w:rPr>
                <w:sz w:val="21"/>
              </w:rPr>
            </w:pPr>
            <w:r>
              <w:rPr>
                <w:spacing w:val="-5"/>
                <w:sz w:val="21"/>
              </w:rPr>
              <w:t>指因头部遭受机械性外力，引起脑重要部位损伤，导致神经系统永久性的</w:t>
            </w:r>
            <w:r>
              <w:rPr>
                <w:spacing w:val="-6"/>
                <w:w w:val="100"/>
                <w:sz w:val="21"/>
              </w:rPr>
              <w:t>功能障碍。须由头颅断层扫描</w:t>
            </w:r>
            <w:r>
              <w:rPr>
                <w:spacing w:val="-1"/>
                <w:w w:val="100"/>
                <w:sz w:val="21"/>
              </w:rPr>
              <w:t>（</w:t>
            </w:r>
            <w:r>
              <w:rPr>
                <w:w w:val="100"/>
                <w:sz w:val="21"/>
              </w:rPr>
              <w:t>CT</w:t>
            </w:r>
            <w:r>
              <w:rPr>
                <w:spacing w:val="-109"/>
                <w:w w:val="100"/>
                <w:sz w:val="21"/>
              </w:rPr>
              <w:t>）</w:t>
            </w:r>
            <w:r>
              <w:rPr>
                <w:spacing w:val="-4"/>
                <w:w w:val="100"/>
                <w:sz w:val="21"/>
              </w:rPr>
              <w:t>、核磁共振检查</w:t>
            </w:r>
            <w:r>
              <w:rPr>
                <w:w w:val="100"/>
                <w:sz w:val="21"/>
              </w:rPr>
              <w:t>（MR</w:t>
            </w:r>
            <w:r>
              <w:rPr>
                <w:spacing w:val="-3"/>
                <w:w w:val="100"/>
                <w:sz w:val="21"/>
              </w:rPr>
              <w:t>I</w:t>
            </w:r>
            <w:r>
              <w:rPr>
                <w:spacing w:val="-8"/>
                <w:w w:val="100"/>
                <w:sz w:val="21"/>
              </w:rPr>
              <w:t>）</w:t>
            </w:r>
            <w:r>
              <w:rPr>
                <w:spacing w:val="-3"/>
                <w:w w:val="100"/>
                <w:sz w:val="21"/>
              </w:rPr>
              <w:t>或正电子发射</w:t>
            </w:r>
          </w:p>
        </w:tc>
      </w:tr>
    </w:tbl>
    <w:p>
      <w:pPr>
        <w:spacing w:after="0" w:line="310" w:lineRule="atLeast"/>
        <w:rPr>
          <w:sz w:val="21"/>
        </w:rPr>
        <w:sectPr>
          <w:pgSz w:w="11910" w:h="16840"/>
          <w:pgMar w:top="1140" w:bottom="280" w:left="960" w:right="68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5"/>
        <w:gridCol w:w="2372"/>
        <w:gridCol w:w="7008"/>
      </w:tblGrid>
      <w:tr>
        <w:trPr>
          <w:trHeight w:val="1967" w:hRule="atLeast"/>
        </w:trPr>
        <w:tc>
          <w:tcPr>
            <w:tcW w:w="645" w:type="dxa"/>
          </w:tcPr>
          <w:p>
            <w:pPr>
              <w:pStyle w:val="TableParagraph"/>
              <w:rPr>
                <w:rFonts w:ascii="Times New Roman"/>
                <w:sz w:val="20"/>
              </w:rPr>
            </w:pPr>
          </w:p>
        </w:tc>
        <w:tc>
          <w:tcPr>
            <w:tcW w:w="2372" w:type="dxa"/>
          </w:tcPr>
          <w:p>
            <w:pPr>
              <w:pStyle w:val="TableParagraph"/>
              <w:rPr>
                <w:rFonts w:ascii="Times New Roman"/>
                <w:sz w:val="20"/>
              </w:rPr>
            </w:pPr>
          </w:p>
        </w:tc>
        <w:tc>
          <w:tcPr>
            <w:tcW w:w="7008" w:type="dxa"/>
          </w:tcPr>
          <w:p>
            <w:pPr>
              <w:pStyle w:val="TableParagraph"/>
              <w:spacing w:line="211" w:lineRule="exact"/>
              <w:ind w:left="108"/>
              <w:rPr>
                <w:sz w:val="21"/>
              </w:rPr>
            </w:pPr>
            <w:r>
              <w:rPr>
                <w:sz w:val="21"/>
              </w:rPr>
              <w:t>断层扫描（PET）等影像学检查证实。神经系统永久性的功能障碍，指脑</w:t>
            </w:r>
          </w:p>
          <w:p>
            <w:pPr>
              <w:pStyle w:val="TableParagraph"/>
              <w:spacing w:before="37"/>
              <w:ind w:left="108"/>
              <w:rPr>
                <w:sz w:val="21"/>
              </w:rPr>
            </w:pPr>
            <w:r>
              <w:rPr>
                <w:sz w:val="21"/>
              </w:rPr>
              <w:t>损伤 180 日后，仍遗留下列一种或一种以上障碍：</w:t>
            </w:r>
          </w:p>
          <w:p>
            <w:pPr>
              <w:pStyle w:val="TableParagraph"/>
              <w:spacing w:before="37"/>
              <w:ind w:left="108"/>
              <w:rPr>
                <w:sz w:val="21"/>
              </w:rPr>
            </w:pPr>
            <w:r>
              <w:rPr>
                <w:sz w:val="21"/>
              </w:rPr>
              <w:t>（1）一肢或一肢以上肢体机能完全丧失；</w:t>
            </w:r>
          </w:p>
          <w:p>
            <w:pPr>
              <w:pStyle w:val="TableParagraph"/>
              <w:spacing w:before="37"/>
              <w:ind w:left="108"/>
              <w:rPr>
                <w:sz w:val="21"/>
              </w:rPr>
            </w:pPr>
            <w:r>
              <w:rPr>
                <w:sz w:val="21"/>
              </w:rPr>
              <w:t>（2）语言能力或咀嚼吞咽能力完全丧失；</w:t>
            </w:r>
          </w:p>
          <w:p>
            <w:pPr>
              <w:pStyle w:val="TableParagraph"/>
              <w:spacing w:line="273" w:lineRule="auto" w:before="37"/>
              <w:ind w:left="590" w:right="200" w:hanging="483"/>
              <w:rPr>
                <w:sz w:val="21"/>
              </w:rPr>
            </w:pPr>
            <w:r>
              <w:rPr>
                <w:sz w:val="21"/>
              </w:rPr>
              <w:t>（3）自主生活能力完全丧失，无法独立完成六项基本日常生活活动中的三项或三项以上。</w:t>
            </w:r>
          </w:p>
        </w:tc>
      </w:tr>
      <w:tr>
        <w:trPr>
          <w:trHeight w:val="2496" w:hRule="atLeast"/>
        </w:trPr>
        <w:tc>
          <w:tcPr>
            <w:tcW w:w="645" w:type="dxa"/>
          </w:tcPr>
          <w:p>
            <w:pPr>
              <w:pStyle w:val="TableParagraph"/>
              <w:spacing w:before="153"/>
              <w:ind w:left="181" w:right="212"/>
              <w:jc w:val="center"/>
              <w:rPr>
                <w:b/>
                <w:sz w:val="21"/>
              </w:rPr>
            </w:pPr>
            <w:r>
              <w:rPr>
                <w:b/>
                <w:sz w:val="21"/>
              </w:rPr>
              <w:t>37</w:t>
            </w:r>
          </w:p>
        </w:tc>
        <w:tc>
          <w:tcPr>
            <w:tcW w:w="2372" w:type="dxa"/>
          </w:tcPr>
          <w:p>
            <w:pPr>
              <w:pStyle w:val="TableParagraph"/>
              <w:spacing w:line="235" w:lineRule="auto" w:before="123"/>
              <w:ind w:left="234" w:right="105"/>
              <w:rPr>
                <w:rFonts w:ascii="等线" w:eastAsia="等线" w:hint="eastAsia"/>
                <w:b/>
                <w:sz w:val="24"/>
              </w:rPr>
            </w:pPr>
            <w:r>
              <w:rPr>
                <w:rFonts w:ascii="等线" w:eastAsia="等线" w:hint="eastAsia"/>
                <w:b/>
                <w:sz w:val="24"/>
              </w:rPr>
              <w:t>非阿尔茨海默病所致严重痴呆</w:t>
            </w:r>
          </w:p>
        </w:tc>
        <w:tc>
          <w:tcPr>
            <w:tcW w:w="7008" w:type="dxa"/>
          </w:tcPr>
          <w:p>
            <w:pPr>
              <w:pStyle w:val="TableParagraph"/>
              <w:spacing w:line="273" w:lineRule="auto" w:before="153"/>
              <w:ind w:left="108" w:right="197"/>
              <w:jc w:val="both"/>
              <w:rPr>
                <w:sz w:val="21"/>
              </w:rPr>
            </w:pPr>
            <w:r>
              <w:rPr>
                <w:spacing w:val="1"/>
                <w:sz w:val="21"/>
              </w:rPr>
              <w:t>指因阿尔茨海默病以外的脑的器质性疾病造成脑功能衰竭导致永久不可</w:t>
            </w:r>
            <w:r>
              <w:rPr>
                <w:spacing w:val="-5"/>
                <w:sz w:val="21"/>
              </w:rPr>
              <w:t>逆性的严重痴呆，临床表现为明显的认知能力障碍、行为异常和社交能力</w:t>
            </w:r>
            <w:r>
              <w:rPr>
                <w:spacing w:val="-7"/>
                <w:sz w:val="21"/>
              </w:rPr>
              <w:t>减退。被保险人自主生活能力完全丧失，无法独立完成六项基本日常生活活动中的三项或三项以上，日常生活必须持续受到他人监护。导致痴呆的疾病必须经专科医生明确诊断，并且由完整的临床、实验室和影像学检查</w:t>
            </w:r>
            <w:r>
              <w:rPr>
                <w:spacing w:val="-4"/>
                <w:sz w:val="21"/>
              </w:rPr>
              <w:t>结果证实。</w:t>
            </w:r>
          </w:p>
          <w:p>
            <w:pPr>
              <w:pStyle w:val="TableParagraph"/>
              <w:spacing w:before="8"/>
              <w:ind w:left="108"/>
              <w:jc w:val="both"/>
              <w:rPr>
                <w:sz w:val="21"/>
              </w:rPr>
            </w:pPr>
            <w:r>
              <w:rPr>
                <w:sz w:val="21"/>
                <w:shd w:fill="DADADA" w:color="auto" w:val="clear"/>
              </w:rPr>
              <w:t>神经官能症、精神疾病及酒精中毒所致脑损害不在保障范围内。</w:t>
            </w:r>
          </w:p>
        </w:tc>
      </w:tr>
      <w:tr>
        <w:trPr>
          <w:trHeight w:val="1570" w:hRule="atLeast"/>
        </w:trPr>
        <w:tc>
          <w:tcPr>
            <w:tcW w:w="645" w:type="dxa"/>
          </w:tcPr>
          <w:p>
            <w:pPr>
              <w:pStyle w:val="TableParagraph"/>
              <w:spacing w:before="152"/>
              <w:ind w:left="181" w:right="212"/>
              <w:jc w:val="center"/>
              <w:rPr>
                <w:b/>
                <w:sz w:val="21"/>
              </w:rPr>
            </w:pPr>
            <w:r>
              <w:rPr>
                <w:b/>
                <w:sz w:val="21"/>
              </w:rPr>
              <w:t>38</w:t>
            </w:r>
          </w:p>
        </w:tc>
        <w:tc>
          <w:tcPr>
            <w:tcW w:w="2372" w:type="dxa"/>
          </w:tcPr>
          <w:p>
            <w:pPr>
              <w:pStyle w:val="TableParagraph"/>
              <w:spacing w:before="116"/>
              <w:ind w:left="234"/>
              <w:rPr>
                <w:rFonts w:ascii="等线" w:eastAsia="等线" w:hint="eastAsia"/>
                <w:b/>
                <w:sz w:val="24"/>
              </w:rPr>
            </w:pPr>
            <w:r>
              <w:rPr>
                <w:rFonts w:ascii="等线" w:eastAsia="等线" w:hint="eastAsia"/>
                <w:b/>
                <w:sz w:val="24"/>
              </w:rPr>
              <w:t>植物人状态</w:t>
            </w:r>
          </w:p>
        </w:tc>
        <w:tc>
          <w:tcPr>
            <w:tcW w:w="7008" w:type="dxa"/>
          </w:tcPr>
          <w:p>
            <w:pPr>
              <w:pStyle w:val="TableParagraph"/>
              <w:spacing w:line="273" w:lineRule="auto" w:before="152"/>
              <w:ind w:left="108" w:right="201"/>
              <w:jc w:val="both"/>
              <w:rPr>
                <w:sz w:val="21"/>
              </w:rPr>
            </w:pPr>
            <w:r>
              <w:rPr>
                <w:spacing w:val="-6"/>
                <w:sz w:val="21"/>
              </w:rPr>
              <w:t>指经专科医师确诊，由于意外事故或疾病所致大脑皮质全面坏死，意识完</w:t>
            </w:r>
            <w:r>
              <w:rPr>
                <w:spacing w:val="-7"/>
                <w:sz w:val="21"/>
              </w:rPr>
              <w:t>全丧失，但脑干及脑干以下中枢神经功能仍保持完好，且此情况持续一个</w:t>
            </w:r>
            <w:r>
              <w:rPr>
                <w:spacing w:val="-4"/>
                <w:sz w:val="21"/>
              </w:rPr>
              <w:t>月或以上。</w:t>
            </w:r>
          </w:p>
          <w:p>
            <w:pPr>
              <w:pStyle w:val="TableParagraph"/>
              <w:spacing w:before="7"/>
              <w:ind w:left="108"/>
              <w:jc w:val="both"/>
              <w:rPr>
                <w:sz w:val="21"/>
              </w:rPr>
            </w:pPr>
            <w:r>
              <w:rPr>
                <w:sz w:val="21"/>
                <w:shd w:fill="DADADA" w:color="auto" w:val="clear"/>
              </w:rPr>
              <w:t>由于酗酒或滥用药物所致的植物人状态不在保障范围内。</w:t>
            </w:r>
          </w:p>
        </w:tc>
      </w:tr>
      <w:tr>
        <w:trPr>
          <w:trHeight w:val="613" w:hRule="atLeast"/>
        </w:trPr>
        <w:tc>
          <w:tcPr>
            <w:tcW w:w="645" w:type="dxa"/>
          </w:tcPr>
          <w:p>
            <w:pPr>
              <w:pStyle w:val="TableParagraph"/>
              <w:rPr>
                <w:rFonts w:ascii="Times New Roman"/>
                <w:sz w:val="20"/>
              </w:rPr>
            </w:pPr>
          </w:p>
        </w:tc>
        <w:tc>
          <w:tcPr>
            <w:tcW w:w="2372" w:type="dxa"/>
          </w:tcPr>
          <w:p>
            <w:pPr>
              <w:pStyle w:val="TableParagraph"/>
              <w:spacing w:before="142"/>
              <w:ind w:left="234"/>
              <w:rPr>
                <w:b/>
                <w:sz w:val="21"/>
              </w:rPr>
            </w:pPr>
            <w:r>
              <w:rPr>
                <w:b/>
                <w:sz w:val="21"/>
              </w:rPr>
              <w:t>第 5 类：</w:t>
            </w:r>
          </w:p>
        </w:tc>
        <w:tc>
          <w:tcPr>
            <w:tcW w:w="7008" w:type="dxa"/>
          </w:tcPr>
          <w:p>
            <w:pPr>
              <w:pStyle w:val="TableParagraph"/>
              <w:spacing w:before="142"/>
              <w:ind w:left="108"/>
              <w:rPr>
                <w:b/>
                <w:sz w:val="21"/>
              </w:rPr>
            </w:pPr>
            <w:r>
              <w:rPr>
                <w:b/>
                <w:sz w:val="21"/>
              </w:rPr>
              <w:t>其他重大疾病</w:t>
            </w:r>
          </w:p>
        </w:tc>
      </w:tr>
      <w:tr>
        <w:trPr>
          <w:trHeight w:val="935" w:hRule="atLeast"/>
        </w:trPr>
        <w:tc>
          <w:tcPr>
            <w:tcW w:w="645" w:type="dxa"/>
          </w:tcPr>
          <w:p>
            <w:pPr>
              <w:pStyle w:val="TableParagraph"/>
              <w:spacing w:before="152"/>
              <w:ind w:left="181" w:right="212"/>
              <w:jc w:val="center"/>
              <w:rPr>
                <w:b/>
                <w:sz w:val="21"/>
              </w:rPr>
            </w:pPr>
            <w:r>
              <w:rPr>
                <w:b/>
                <w:sz w:val="21"/>
              </w:rPr>
              <w:t>39</w:t>
            </w:r>
          </w:p>
        </w:tc>
        <w:tc>
          <w:tcPr>
            <w:tcW w:w="2372" w:type="dxa"/>
          </w:tcPr>
          <w:p>
            <w:pPr>
              <w:pStyle w:val="TableParagraph"/>
              <w:spacing w:before="116"/>
              <w:ind w:left="234"/>
              <w:rPr>
                <w:rFonts w:ascii="等线" w:eastAsia="等线" w:hint="eastAsia"/>
                <w:b/>
                <w:sz w:val="24"/>
              </w:rPr>
            </w:pPr>
            <w:r>
              <w:rPr>
                <w:rFonts w:ascii="等线" w:eastAsia="等线" w:hint="eastAsia"/>
                <w:b/>
                <w:sz w:val="24"/>
              </w:rPr>
              <w:t>多个肢体缺失</w:t>
            </w:r>
          </w:p>
        </w:tc>
        <w:tc>
          <w:tcPr>
            <w:tcW w:w="7008" w:type="dxa"/>
          </w:tcPr>
          <w:p>
            <w:pPr>
              <w:pStyle w:val="TableParagraph"/>
              <w:spacing w:line="273" w:lineRule="auto" w:before="152"/>
              <w:ind w:left="108" w:right="149"/>
              <w:rPr>
                <w:sz w:val="21"/>
              </w:rPr>
            </w:pPr>
            <w:r>
              <w:rPr>
                <w:sz w:val="21"/>
              </w:rPr>
              <w:t>指因疾病或意外伤害导致两个或两个以上肢体自腕关节或踝关节近端（靠近躯干端）以上完全性断离。</w:t>
            </w:r>
          </w:p>
        </w:tc>
      </w:tr>
      <w:tr>
        <w:trPr>
          <w:trHeight w:val="2495" w:hRule="atLeast"/>
        </w:trPr>
        <w:tc>
          <w:tcPr>
            <w:tcW w:w="645" w:type="dxa"/>
          </w:tcPr>
          <w:p>
            <w:pPr>
              <w:pStyle w:val="TableParagraph"/>
              <w:spacing w:before="152"/>
              <w:ind w:left="181" w:right="212"/>
              <w:jc w:val="center"/>
              <w:rPr>
                <w:b/>
                <w:sz w:val="21"/>
              </w:rPr>
            </w:pPr>
            <w:r>
              <w:rPr>
                <w:b/>
                <w:sz w:val="21"/>
              </w:rPr>
              <w:t>40</w:t>
            </w:r>
          </w:p>
        </w:tc>
        <w:tc>
          <w:tcPr>
            <w:tcW w:w="2372" w:type="dxa"/>
          </w:tcPr>
          <w:p>
            <w:pPr>
              <w:pStyle w:val="TableParagraph"/>
              <w:spacing w:before="116"/>
              <w:ind w:left="234"/>
              <w:rPr>
                <w:rFonts w:ascii="等线" w:eastAsia="等线" w:hint="eastAsia"/>
                <w:b/>
                <w:sz w:val="24"/>
              </w:rPr>
            </w:pPr>
            <w:r>
              <w:rPr>
                <w:rFonts w:ascii="等线" w:eastAsia="等线" w:hint="eastAsia"/>
                <w:b/>
                <w:sz w:val="24"/>
              </w:rPr>
              <w:t>严重的 1 型糖尿病</w:t>
            </w:r>
          </w:p>
        </w:tc>
        <w:tc>
          <w:tcPr>
            <w:tcW w:w="7008" w:type="dxa"/>
          </w:tcPr>
          <w:p>
            <w:pPr>
              <w:pStyle w:val="TableParagraph"/>
              <w:spacing w:line="273" w:lineRule="auto" w:before="152"/>
              <w:ind w:left="108" w:right="201"/>
              <w:jc w:val="both"/>
              <w:rPr>
                <w:sz w:val="21"/>
              </w:rPr>
            </w:pPr>
            <w:r>
              <w:rPr>
                <w:spacing w:val="-5"/>
                <w:sz w:val="21"/>
              </w:rPr>
              <w:t>指由于胰岛素分泌绝对不足引起的慢性血糖升高，且已经持续性地依赖外</w:t>
            </w:r>
            <w:r>
              <w:rPr>
                <w:spacing w:val="-10"/>
                <w:sz w:val="21"/>
              </w:rPr>
              <w:t>源性胰岛素维持 </w:t>
            </w:r>
            <w:r>
              <w:rPr>
                <w:sz w:val="21"/>
              </w:rPr>
              <w:t>180</w:t>
            </w:r>
            <w:r>
              <w:rPr>
                <w:spacing w:val="-14"/>
                <w:sz w:val="21"/>
              </w:rPr>
              <w:t> 日以上。须经血胰岛素测定、血 </w:t>
            </w:r>
            <w:r>
              <w:rPr>
                <w:sz w:val="21"/>
              </w:rPr>
              <w:t>C</w:t>
            </w:r>
            <w:r>
              <w:rPr>
                <w:spacing w:val="-17"/>
                <w:sz w:val="21"/>
              </w:rPr>
              <w:t> 肽测定或尿 </w:t>
            </w:r>
            <w:r>
              <w:rPr>
                <w:sz w:val="21"/>
              </w:rPr>
              <w:t>C</w:t>
            </w:r>
            <w:r>
              <w:rPr>
                <w:spacing w:val="-19"/>
                <w:sz w:val="21"/>
              </w:rPr>
              <w:t> 肽测</w:t>
            </w:r>
            <w:r>
              <w:rPr>
                <w:spacing w:val="-6"/>
                <w:sz w:val="21"/>
              </w:rPr>
              <w:t>定，结果异常，并由内分泌科专科医生明确诊断。并须在本附加险合同保</w:t>
            </w:r>
            <w:r>
              <w:rPr>
                <w:spacing w:val="-8"/>
                <w:sz w:val="21"/>
              </w:rPr>
              <w:t>险期间内，满足下述至少 </w:t>
            </w:r>
            <w:r>
              <w:rPr>
                <w:sz w:val="21"/>
              </w:rPr>
              <w:t>1</w:t>
            </w:r>
            <w:r>
              <w:rPr>
                <w:spacing w:val="-10"/>
                <w:sz w:val="21"/>
              </w:rPr>
              <w:t> 个条件：</w:t>
            </w:r>
          </w:p>
          <w:p>
            <w:pPr>
              <w:pStyle w:val="TableParagraph"/>
              <w:spacing w:before="7"/>
              <w:ind w:left="108"/>
              <w:jc w:val="both"/>
              <w:rPr>
                <w:sz w:val="21"/>
              </w:rPr>
            </w:pPr>
            <w:r>
              <w:rPr>
                <w:sz w:val="21"/>
              </w:rPr>
              <w:t>（1）已出现增殖性视网膜病变；</w:t>
            </w:r>
          </w:p>
          <w:p>
            <w:pPr>
              <w:pStyle w:val="TableParagraph"/>
              <w:spacing w:before="37"/>
              <w:ind w:left="108"/>
              <w:jc w:val="both"/>
              <w:rPr>
                <w:sz w:val="21"/>
              </w:rPr>
            </w:pPr>
            <w:r>
              <w:rPr>
                <w:sz w:val="21"/>
              </w:rPr>
              <w:t>（2）须植入心脏起搏器治疗心脏病；</w:t>
            </w:r>
          </w:p>
          <w:p>
            <w:pPr>
              <w:pStyle w:val="TableParagraph"/>
              <w:spacing w:before="37"/>
              <w:ind w:left="108"/>
              <w:jc w:val="both"/>
              <w:rPr>
                <w:sz w:val="21"/>
              </w:rPr>
            </w:pPr>
            <w:r>
              <w:rPr>
                <w:sz w:val="21"/>
              </w:rPr>
              <w:t>（3）因坏疽需切除至少一个脚趾。</w:t>
            </w:r>
          </w:p>
        </w:tc>
      </w:tr>
      <w:tr>
        <w:trPr>
          <w:trHeight w:val="936" w:hRule="atLeast"/>
        </w:trPr>
        <w:tc>
          <w:tcPr>
            <w:tcW w:w="645" w:type="dxa"/>
          </w:tcPr>
          <w:p>
            <w:pPr>
              <w:pStyle w:val="TableParagraph"/>
              <w:spacing w:before="153"/>
              <w:ind w:left="181" w:right="212"/>
              <w:jc w:val="center"/>
              <w:rPr>
                <w:b/>
                <w:sz w:val="21"/>
              </w:rPr>
            </w:pPr>
            <w:r>
              <w:rPr>
                <w:b/>
                <w:sz w:val="21"/>
              </w:rPr>
              <w:t>41</w:t>
            </w:r>
          </w:p>
        </w:tc>
        <w:tc>
          <w:tcPr>
            <w:tcW w:w="2372" w:type="dxa"/>
          </w:tcPr>
          <w:p>
            <w:pPr>
              <w:pStyle w:val="TableParagraph"/>
              <w:spacing w:before="117"/>
              <w:ind w:left="234"/>
              <w:rPr>
                <w:rFonts w:ascii="等线" w:hAnsi="等线" w:eastAsia="等线" w:hint="eastAsia"/>
                <w:b/>
                <w:sz w:val="24"/>
              </w:rPr>
            </w:pPr>
            <w:r>
              <w:rPr>
                <w:rFonts w:ascii="等线" w:hAnsi="等线" w:eastAsia="等线" w:hint="eastAsia"/>
                <w:b/>
                <w:sz w:val="24"/>
              </w:rPr>
              <w:t>严重Ⅲ度烧伤</w:t>
            </w:r>
          </w:p>
        </w:tc>
        <w:tc>
          <w:tcPr>
            <w:tcW w:w="7008" w:type="dxa"/>
          </w:tcPr>
          <w:p>
            <w:pPr>
              <w:pStyle w:val="TableParagraph"/>
              <w:spacing w:line="273" w:lineRule="auto" w:before="153"/>
              <w:ind w:left="108" w:right="149" w:hanging="1"/>
              <w:rPr>
                <w:sz w:val="21"/>
              </w:rPr>
            </w:pPr>
            <w:r>
              <w:rPr>
                <w:sz w:val="21"/>
              </w:rPr>
              <w:t>指烧伤程度为Ⅲ度，且Ⅲ度烧伤的面积达到全身体表面积的 20%或 20%以上。体表面积根据《中国新九分法》计算。</w:t>
            </w:r>
          </w:p>
        </w:tc>
      </w:tr>
      <w:tr>
        <w:trPr>
          <w:trHeight w:val="3235" w:hRule="atLeast"/>
        </w:trPr>
        <w:tc>
          <w:tcPr>
            <w:tcW w:w="645" w:type="dxa"/>
          </w:tcPr>
          <w:p>
            <w:pPr>
              <w:pStyle w:val="TableParagraph"/>
              <w:spacing w:before="152"/>
              <w:ind w:left="181" w:right="212"/>
              <w:jc w:val="center"/>
              <w:rPr>
                <w:b/>
                <w:sz w:val="21"/>
              </w:rPr>
            </w:pPr>
            <w:r>
              <w:rPr>
                <w:b/>
                <w:sz w:val="21"/>
              </w:rPr>
              <w:t>42</w:t>
            </w:r>
          </w:p>
        </w:tc>
        <w:tc>
          <w:tcPr>
            <w:tcW w:w="2372" w:type="dxa"/>
          </w:tcPr>
          <w:p>
            <w:pPr>
              <w:pStyle w:val="TableParagraph"/>
              <w:spacing w:line="235" w:lineRule="auto" w:before="123"/>
              <w:ind w:left="234" w:right="105"/>
              <w:rPr>
                <w:rFonts w:ascii="等线" w:eastAsia="等线" w:hint="eastAsia"/>
                <w:b/>
                <w:sz w:val="24"/>
              </w:rPr>
            </w:pPr>
            <w:r>
              <w:rPr>
                <w:rFonts w:ascii="等线" w:eastAsia="等线" w:hint="eastAsia"/>
                <w:b/>
                <w:sz w:val="24"/>
              </w:rPr>
              <w:t>严重类风湿性关节炎</w:t>
            </w:r>
          </w:p>
        </w:tc>
        <w:tc>
          <w:tcPr>
            <w:tcW w:w="7008" w:type="dxa"/>
          </w:tcPr>
          <w:p>
            <w:pPr>
              <w:pStyle w:val="TableParagraph"/>
              <w:spacing w:line="273" w:lineRule="auto" w:before="152"/>
              <w:ind w:left="108" w:right="201"/>
              <w:jc w:val="both"/>
              <w:rPr>
                <w:sz w:val="21"/>
              </w:rPr>
            </w:pPr>
            <w:r>
              <w:rPr>
                <w:spacing w:val="-5"/>
                <w:sz w:val="21"/>
              </w:rPr>
              <w:t>指广泛分布的慢性进行性多关节病变，表现为关节严重变形，侵犯至少三个主要关节或关节组（如:双手（多手指）关节、双足（多足趾）关节、双腕关节、双膝关节和双髋关节</w:t>
            </w:r>
            <w:r>
              <w:rPr>
                <w:spacing w:val="-10"/>
                <w:sz w:val="21"/>
              </w:rPr>
              <w:t>）</w:t>
            </w:r>
            <w:r>
              <w:rPr>
                <w:spacing w:val="-4"/>
                <w:sz w:val="21"/>
              </w:rPr>
              <w:t>。被保人所患的类风湿性关节炎必须明</w:t>
            </w:r>
            <w:r>
              <w:rPr>
                <w:spacing w:val="-3"/>
                <w:sz w:val="21"/>
              </w:rPr>
              <w:t>确诊断并且已经达到类风湿性关节炎功能分级 </w:t>
            </w:r>
            <w:r>
              <w:rPr>
                <w:sz w:val="21"/>
              </w:rPr>
              <w:t>IV</w:t>
            </w:r>
            <w:r>
              <w:rPr>
                <w:spacing w:val="-3"/>
                <w:sz w:val="21"/>
              </w:rPr>
              <w:t> 级的永久不可逆性关节</w:t>
            </w:r>
            <w:r>
              <w:rPr>
                <w:spacing w:val="-1"/>
                <w:sz w:val="21"/>
              </w:rPr>
              <w:t>功能障碍</w:t>
            </w:r>
            <w:r>
              <w:rPr>
                <w:spacing w:val="-3"/>
                <w:sz w:val="21"/>
              </w:rPr>
              <w:t>（生活不能自理，且丧失工作能力）并须满足下列全部条件：</w:t>
            </w:r>
          </w:p>
          <w:p>
            <w:pPr>
              <w:pStyle w:val="TableParagraph"/>
              <w:spacing w:before="7"/>
              <w:ind w:left="108"/>
              <w:jc w:val="both"/>
              <w:rPr>
                <w:sz w:val="21"/>
              </w:rPr>
            </w:pPr>
            <w:r>
              <w:rPr>
                <w:sz w:val="21"/>
              </w:rPr>
              <w:t>（1）晨僵；</w:t>
            </w:r>
          </w:p>
          <w:p>
            <w:pPr>
              <w:pStyle w:val="TableParagraph"/>
              <w:spacing w:before="37"/>
              <w:ind w:left="108"/>
              <w:jc w:val="both"/>
              <w:rPr>
                <w:sz w:val="21"/>
              </w:rPr>
            </w:pPr>
            <w:r>
              <w:rPr>
                <w:sz w:val="21"/>
              </w:rPr>
              <w:t>（2）对称性关节炎；</w:t>
            </w:r>
          </w:p>
          <w:p>
            <w:pPr>
              <w:pStyle w:val="TableParagraph"/>
              <w:spacing w:before="37"/>
              <w:ind w:left="108"/>
              <w:jc w:val="both"/>
              <w:rPr>
                <w:sz w:val="21"/>
              </w:rPr>
            </w:pPr>
            <w:r>
              <w:rPr>
                <w:sz w:val="21"/>
              </w:rPr>
              <w:t>（3）类风湿性皮下结节；</w:t>
            </w:r>
          </w:p>
          <w:p>
            <w:pPr>
              <w:pStyle w:val="TableParagraph"/>
              <w:spacing w:before="37"/>
              <w:ind w:left="108"/>
              <w:jc w:val="both"/>
              <w:rPr>
                <w:sz w:val="21"/>
              </w:rPr>
            </w:pPr>
            <w:r>
              <w:rPr>
                <w:sz w:val="21"/>
              </w:rPr>
              <w:t>（4）类风湿因子滴度升高；</w:t>
            </w:r>
          </w:p>
          <w:p>
            <w:pPr>
              <w:pStyle w:val="TableParagraph"/>
              <w:spacing w:line="255" w:lineRule="exact" w:before="37"/>
              <w:ind w:left="108"/>
              <w:jc w:val="both"/>
              <w:rPr>
                <w:sz w:val="21"/>
              </w:rPr>
            </w:pPr>
            <w:r>
              <w:rPr>
                <w:sz w:val="21"/>
              </w:rPr>
              <w:t>（5）X 线显示严重的关节（软骨和骨）破坏和关节畸形。</w:t>
            </w:r>
          </w:p>
        </w:tc>
      </w:tr>
    </w:tbl>
    <w:p>
      <w:pPr>
        <w:spacing w:after="0" w:line="255" w:lineRule="exact"/>
        <w:jc w:val="both"/>
        <w:rPr>
          <w:sz w:val="21"/>
        </w:rPr>
        <w:sectPr>
          <w:pgSz w:w="11910" w:h="16840"/>
          <w:pgMar w:top="1160" w:bottom="280" w:left="960" w:right="7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2342"/>
        <w:gridCol w:w="6900"/>
      </w:tblGrid>
      <w:tr>
        <w:trPr>
          <w:trHeight w:val="1642" w:hRule="atLeast"/>
        </w:trPr>
        <w:tc>
          <w:tcPr>
            <w:tcW w:w="837" w:type="dxa"/>
          </w:tcPr>
          <w:p>
            <w:pPr>
              <w:pStyle w:val="TableParagraph"/>
              <w:rPr>
                <w:rFonts w:ascii="Times New Roman"/>
                <w:sz w:val="20"/>
              </w:rPr>
            </w:pPr>
          </w:p>
        </w:tc>
        <w:tc>
          <w:tcPr>
            <w:tcW w:w="2342" w:type="dxa"/>
          </w:tcPr>
          <w:p>
            <w:pPr>
              <w:pStyle w:val="TableParagraph"/>
              <w:rPr>
                <w:rFonts w:ascii="Times New Roman"/>
                <w:sz w:val="20"/>
              </w:rPr>
            </w:pPr>
          </w:p>
        </w:tc>
        <w:tc>
          <w:tcPr>
            <w:tcW w:w="6900" w:type="dxa"/>
          </w:tcPr>
          <w:p>
            <w:pPr>
              <w:pStyle w:val="TableParagraph"/>
              <w:spacing w:line="211" w:lineRule="exact"/>
              <w:ind w:left="101"/>
              <w:rPr>
                <w:sz w:val="21"/>
              </w:rPr>
            </w:pPr>
            <w:r>
              <w:rPr>
                <w:sz w:val="21"/>
              </w:rPr>
              <w:t>类风湿性关节炎功能分级标准：</w:t>
            </w:r>
          </w:p>
          <w:p>
            <w:pPr>
              <w:pStyle w:val="TableParagraph"/>
              <w:spacing w:before="37"/>
              <w:ind w:left="101"/>
              <w:rPr>
                <w:sz w:val="21"/>
              </w:rPr>
            </w:pPr>
            <w:r>
              <w:rPr>
                <w:w w:val="100"/>
                <w:sz w:val="21"/>
              </w:rPr>
              <w:t>Ⅰ级</w:t>
            </w:r>
            <w:r>
              <w:rPr>
                <w:spacing w:val="-2"/>
                <w:sz w:val="21"/>
              </w:rPr>
              <w:t> </w:t>
            </w:r>
            <w:r>
              <w:rPr>
                <w:spacing w:val="-3"/>
                <w:w w:val="100"/>
                <w:sz w:val="21"/>
              </w:rPr>
              <w:t>胜任日常生活各项活动</w:t>
            </w:r>
            <w:r>
              <w:rPr>
                <w:w w:val="100"/>
                <w:sz w:val="21"/>
              </w:rPr>
              <w:t>（</w:t>
            </w:r>
            <w:r>
              <w:rPr>
                <w:spacing w:val="-3"/>
                <w:w w:val="100"/>
                <w:sz w:val="21"/>
              </w:rPr>
              <w:t>包括生活自理，职业和非职业活动</w:t>
            </w:r>
            <w:r>
              <w:rPr>
                <w:spacing w:val="-108"/>
                <w:w w:val="100"/>
                <w:sz w:val="21"/>
              </w:rPr>
              <w:t>）</w:t>
            </w:r>
            <w:r>
              <w:rPr>
                <w:w w:val="100"/>
                <w:sz w:val="21"/>
              </w:rPr>
              <w:t>；</w:t>
            </w:r>
          </w:p>
          <w:p>
            <w:pPr>
              <w:pStyle w:val="TableParagraph"/>
              <w:spacing w:before="37"/>
              <w:ind w:left="101"/>
              <w:rPr>
                <w:sz w:val="21"/>
              </w:rPr>
            </w:pPr>
            <w:r>
              <w:rPr>
                <w:sz w:val="21"/>
              </w:rPr>
              <w:t>Ⅱ级 生活自理和工作，非职业活动受限；</w:t>
            </w:r>
          </w:p>
          <w:p>
            <w:pPr>
              <w:pStyle w:val="TableParagraph"/>
              <w:spacing w:before="37"/>
              <w:ind w:left="101"/>
              <w:rPr>
                <w:sz w:val="21"/>
              </w:rPr>
            </w:pPr>
            <w:r>
              <w:rPr>
                <w:sz w:val="21"/>
              </w:rPr>
              <w:t>Ⅲ级 生活自理和工作，职业和非职业活动受限；</w:t>
            </w:r>
          </w:p>
          <w:p>
            <w:pPr>
              <w:pStyle w:val="TableParagraph"/>
              <w:spacing w:before="37"/>
              <w:ind w:left="101"/>
              <w:rPr>
                <w:sz w:val="21"/>
              </w:rPr>
            </w:pPr>
            <w:r>
              <w:rPr>
                <w:sz w:val="21"/>
              </w:rPr>
              <w:t>Ⅳ级 生活不能自理，且丧失工作能力。</w:t>
            </w:r>
          </w:p>
        </w:tc>
      </w:tr>
      <w:tr>
        <w:trPr>
          <w:trHeight w:val="1220" w:hRule="atLeast"/>
        </w:trPr>
        <w:tc>
          <w:tcPr>
            <w:tcW w:w="837" w:type="dxa"/>
          </w:tcPr>
          <w:p>
            <w:pPr>
              <w:pStyle w:val="TableParagraph"/>
              <w:spacing w:before="139"/>
              <w:ind w:left="355"/>
              <w:rPr>
                <w:b/>
                <w:sz w:val="21"/>
              </w:rPr>
            </w:pPr>
            <w:r>
              <w:rPr>
                <w:b/>
                <w:sz w:val="21"/>
              </w:rPr>
              <w:t>43</w:t>
            </w:r>
          </w:p>
        </w:tc>
        <w:tc>
          <w:tcPr>
            <w:tcW w:w="2342" w:type="dxa"/>
          </w:tcPr>
          <w:p>
            <w:pPr>
              <w:pStyle w:val="TableParagraph"/>
              <w:spacing w:before="103"/>
              <w:ind w:left="197"/>
              <w:rPr>
                <w:rFonts w:ascii="等线" w:eastAsia="等线" w:hint="eastAsia"/>
                <w:b/>
                <w:sz w:val="24"/>
              </w:rPr>
            </w:pPr>
            <w:r>
              <w:rPr>
                <w:rFonts w:ascii="等线" w:eastAsia="等线" w:hint="eastAsia"/>
                <w:b/>
                <w:sz w:val="24"/>
              </w:rPr>
              <w:t>象皮病</w:t>
            </w:r>
          </w:p>
        </w:tc>
        <w:tc>
          <w:tcPr>
            <w:tcW w:w="6900" w:type="dxa"/>
          </w:tcPr>
          <w:p>
            <w:pPr>
              <w:pStyle w:val="TableParagraph"/>
              <w:spacing w:line="273" w:lineRule="auto" w:before="139"/>
              <w:ind w:left="101" w:right="100"/>
              <w:jc w:val="both"/>
              <w:rPr>
                <w:sz w:val="21"/>
              </w:rPr>
            </w:pPr>
            <w:r>
              <w:rPr>
                <w:spacing w:val="-6"/>
                <w:sz w:val="21"/>
              </w:rPr>
              <w:t>指末期丝虫病，已经到达国际淋巴学会分级为三度淋巴水肿，其临床表现为肢体非凹陷性水肿伴畸形增大、硬皮症和疣状增生。此病症须经专科医</w:t>
            </w:r>
            <w:r>
              <w:rPr>
                <w:spacing w:val="-4"/>
                <w:sz w:val="21"/>
              </w:rPr>
              <w:t>生根据临床表现和微丝蚴的化验结果确诊。</w:t>
            </w:r>
          </w:p>
        </w:tc>
      </w:tr>
      <w:tr>
        <w:trPr>
          <w:trHeight w:val="3076" w:hRule="atLeast"/>
        </w:trPr>
        <w:tc>
          <w:tcPr>
            <w:tcW w:w="837" w:type="dxa"/>
          </w:tcPr>
          <w:p>
            <w:pPr>
              <w:pStyle w:val="TableParagraph"/>
              <w:spacing w:before="138"/>
              <w:ind w:left="355"/>
              <w:rPr>
                <w:b/>
                <w:sz w:val="21"/>
              </w:rPr>
            </w:pPr>
            <w:r>
              <w:rPr>
                <w:b/>
                <w:sz w:val="21"/>
              </w:rPr>
              <w:t>44</w:t>
            </w:r>
          </w:p>
        </w:tc>
        <w:tc>
          <w:tcPr>
            <w:tcW w:w="2342" w:type="dxa"/>
          </w:tcPr>
          <w:p>
            <w:pPr>
              <w:pStyle w:val="TableParagraph"/>
              <w:spacing w:line="232" w:lineRule="auto" w:before="112"/>
              <w:ind w:left="197" w:right="97"/>
              <w:jc w:val="both"/>
              <w:rPr>
                <w:rFonts w:ascii="等线" w:eastAsia="等线" w:hint="eastAsia"/>
                <w:b/>
                <w:sz w:val="24"/>
              </w:rPr>
            </w:pPr>
            <w:r>
              <w:rPr>
                <w:rFonts w:ascii="等线" w:eastAsia="等线" w:hint="eastAsia"/>
                <w:b/>
                <w:sz w:val="24"/>
              </w:rPr>
              <w:t>经输血导致的艾滋病病毒感染或患艾滋病</w:t>
            </w:r>
          </w:p>
        </w:tc>
        <w:tc>
          <w:tcPr>
            <w:tcW w:w="6900" w:type="dxa"/>
          </w:tcPr>
          <w:p>
            <w:pPr>
              <w:pStyle w:val="TableParagraph"/>
              <w:spacing w:line="273" w:lineRule="auto" w:before="138"/>
              <w:ind w:left="101" w:right="100"/>
              <w:rPr>
                <w:sz w:val="21"/>
              </w:rPr>
            </w:pPr>
            <w:r>
              <w:rPr>
                <w:sz w:val="21"/>
              </w:rPr>
              <w:t>指被保险人因输血而感染上人类免疫缺陷病毒（HIV）或患艾滋病必须满足以下全部条件：</w:t>
            </w:r>
          </w:p>
          <w:p>
            <w:pPr>
              <w:pStyle w:val="TableParagraph"/>
              <w:spacing w:before="7"/>
              <w:ind w:left="101"/>
              <w:rPr>
                <w:sz w:val="21"/>
              </w:rPr>
            </w:pPr>
            <w:r>
              <w:rPr>
                <w:sz w:val="21"/>
              </w:rPr>
              <w:t>（1）被保险人因输血而感染 HIV 或患艾滋病；</w:t>
            </w:r>
          </w:p>
          <w:p>
            <w:pPr>
              <w:pStyle w:val="TableParagraph"/>
              <w:spacing w:line="273" w:lineRule="auto" w:before="36"/>
              <w:ind w:left="627" w:right="99" w:hanging="526"/>
              <w:rPr>
                <w:sz w:val="21"/>
              </w:rPr>
            </w:pPr>
            <w:r>
              <w:rPr>
                <w:sz w:val="21"/>
              </w:rPr>
              <w:t>（2）提供输血治疗的输血中心或医院出具该项输血感染属医疗责任事故的报告，或者法院终审裁定为医疗责任；</w:t>
            </w:r>
          </w:p>
          <w:p>
            <w:pPr>
              <w:pStyle w:val="TableParagraph"/>
              <w:spacing w:before="7"/>
              <w:ind w:left="101"/>
              <w:rPr>
                <w:sz w:val="21"/>
              </w:rPr>
            </w:pPr>
            <w:r>
              <w:rPr>
                <w:sz w:val="21"/>
              </w:rPr>
              <w:t>（3）受感染的被保险人不是血友病患者。</w:t>
            </w:r>
          </w:p>
          <w:p>
            <w:pPr>
              <w:pStyle w:val="TableParagraph"/>
              <w:spacing w:line="273" w:lineRule="auto" w:before="37"/>
              <w:ind w:left="101" w:right="101"/>
              <w:jc w:val="both"/>
              <w:rPr>
                <w:sz w:val="21"/>
              </w:rPr>
            </w:pPr>
            <w:r>
              <w:rPr>
                <w:spacing w:val="-5"/>
                <w:sz w:val="21"/>
                <w:shd w:fill="DADADA" w:color="auto" w:val="clear"/>
              </w:rPr>
              <w:t>任何因其他传播方式</w:t>
            </w:r>
            <w:r>
              <w:rPr>
                <w:sz w:val="21"/>
                <w:shd w:fill="DADADA" w:color="auto" w:val="clear"/>
              </w:rPr>
              <w:t>（</w:t>
            </w:r>
            <w:r>
              <w:rPr>
                <w:spacing w:val="-3"/>
                <w:sz w:val="21"/>
                <w:shd w:fill="DADADA" w:color="auto" w:val="clear"/>
              </w:rPr>
              <w:t>包括性传播或静脉注射毒品等</w:t>
            </w:r>
            <w:r>
              <w:rPr>
                <w:spacing w:val="-15"/>
                <w:sz w:val="21"/>
                <w:shd w:fill="DADADA" w:color="auto" w:val="clear"/>
              </w:rPr>
              <w:t>）</w:t>
            </w:r>
            <w:r>
              <w:rPr>
                <w:spacing w:val="-11"/>
                <w:sz w:val="21"/>
                <w:shd w:fill="DADADA" w:color="auto" w:val="clear"/>
              </w:rPr>
              <w:t>导致的 </w:t>
            </w:r>
            <w:r>
              <w:rPr>
                <w:sz w:val="21"/>
                <w:shd w:fill="DADADA" w:color="auto" w:val="clear"/>
              </w:rPr>
              <w:t>HIV</w:t>
            </w:r>
            <w:r>
              <w:rPr>
                <w:spacing w:val="-12"/>
                <w:sz w:val="21"/>
                <w:shd w:fill="DADADA" w:color="auto" w:val="clear"/>
              </w:rPr>
              <w:t> 感染或</w:t>
            </w:r>
            <w:r>
              <w:rPr>
                <w:spacing w:val="-5"/>
                <w:sz w:val="21"/>
                <w:shd w:fill="DADADA" w:color="auto" w:val="clear"/>
              </w:rPr>
              <w:t>患艾滋病不在保障范围内。</w:t>
            </w:r>
            <w:r>
              <w:rPr>
                <w:spacing w:val="-3"/>
                <w:sz w:val="21"/>
              </w:rPr>
              <w:t>本公司具有获得使用被保险人的所有血液样本的权利和能够对这些样本进行独立检验的权利。</w:t>
            </w:r>
          </w:p>
        </w:tc>
      </w:tr>
      <w:tr>
        <w:trPr>
          <w:trHeight w:val="2125" w:hRule="atLeast"/>
        </w:trPr>
        <w:tc>
          <w:tcPr>
            <w:tcW w:w="837" w:type="dxa"/>
          </w:tcPr>
          <w:p>
            <w:pPr>
              <w:pStyle w:val="TableParagraph"/>
              <w:spacing w:before="124"/>
              <w:ind w:left="355"/>
              <w:rPr>
                <w:b/>
                <w:sz w:val="21"/>
              </w:rPr>
            </w:pPr>
            <w:r>
              <w:rPr>
                <w:b/>
                <w:sz w:val="21"/>
              </w:rPr>
              <w:t>45</w:t>
            </w:r>
          </w:p>
        </w:tc>
        <w:tc>
          <w:tcPr>
            <w:tcW w:w="2342" w:type="dxa"/>
          </w:tcPr>
          <w:p>
            <w:pPr>
              <w:pStyle w:val="TableParagraph"/>
              <w:spacing w:before="88"/>
              <w:ind w:left="197"/>
              <w:rPr>
                <w:rFonts w:ascii="等线" w:eastAsia="等线" w:hint="eastAsia"/>
                <w:b/>
                <w:sz w:val="24"/>
              </w:rPr>
            </w:pPr>
            <w:r>
              <w:rPr>
                <w:rFonts w:ascii="等线" w:eastAsia="等线" w:hint="eastAsia"/>
                <w:b/>
                <w:sz w:val="24"/>
              </w:rPr>
              <w:t>严重ft营养不良症</w:t>
            </w:r>
          </w:p>
        </w:tc>
        <w:tc>
          <w:tcPr>
            <w:tcW w:w="6900" w:type="dxa"/>
          </w:tcPr>
          <w:p>
            <w:pPr>
              <w:pStyle w:val="TableParagraph"/>
              <w:spacing w:line="273" w:lineRule="auto" w:before="124"/>
              <w:ind w:left="101" w:right="55"/>
              <w:rPr>
                <w:sz w:val="21"/>
              </w:rPr>
            </w:pPr>
            <w:r>
              <w:rPr>
                <w:sz w:val="21"/>
              </w:rPr>
              <w:t>指一组原发于肌肉的疾病，临床表现为与神经系统无关的肌肉无力和肌肉萎缩。且须满足下列全部条件：</w:t>
            </w:r>
          </w:p>
          <w:p>
            <w:pPr>
              <w:pStyle w:val="TableParagraph"/>
              <w:spacing w:line="273" w:lineRule="auto" w:before="8"/>
              <w:ind w:left="627" w:right="99" w:hanging="526"/>
              <w:rPr>
                <w:sz w:val="21"/>
              </w:rPr>
            </w:pPr>
            <w:r>
              <w:rPr>
                <w:sz w:val="21"/>
              </w:rPr>
              <w:t>（1）肌肉组织活检结果满足肌营养不良症的肌肉细胞变性、坏死等阳性改变；</w:t>
            </w:r>
          </w:p>
          <w:p>
            <w:pPr>
              <w:pStyle w:val="TableParagraph"/>
              <w:spacing w:line="273" w:lineRule="auto" w:before="8"/>
              <w:ind w:left="627" w:right="99" w:hanging="526"/>
              <w:rPr>
                <w:sz w:val="21"/>
              </w:rPr>
            </w:pPr>
            <w:r>
              <w:rPr>
                <w:sz w:val="21"/>
              </w:rPr>
              <w:t>（2）自主生活能力完全丧失，无法独立完成六项基本日常生活活动中的三项或三项以上。</w:t>
            </w:r>
          </w:p>
        </w:tc>
      </w:tr>
      <w:tr>
        <w:trPr>
          <w:trHeight w:val="1017" w:hRule="atLeast"/>
        </w:trPr>
        <w:tc>
          <w:tcPr>
            <w:tcW w:w="837" w:type="dxa"/>
            <w:tcBorders>
              <w:bottom w:val="single" w:sz="8" w:space="0" w:color="000000"/>
            </w:tcBorders>
          </w:tcPr>
          <w:p>
            <w:pPr>
              <w:pStyle w:val="TableParagraph"/>
              <w:spacing w:before="129"/>
              <w:ind w:left="283"/>
              <w:rPr>
                <w:rFonts w:ascii="Arial" w:hAnsi="Arial"/>
                <w:b/>
                <w:sz w:val="40"/>
              </w:rPr>
            </w:pPr>
            <w:r>
              <w:rPr>
                <w:rFonts w:ascii="Arial" w:hAnsi="Arial"/>
                <w:b/>
                <w:w w:val="119"/>
                <w:sz w:val="40"/>
              </w:rPr>
              <w:t></w:t>
            </w:r>
          </w:p>
        </w:tc>
        <w:tc>
          <w:tcPr>
            <w:tcW w:w="9242" w:type="dxa"/>
            <w:gridSpan w:val="2"/>
            <w:tcBorders>
              <w:bottom w:val="single" w:sz="8" w:space="0" w:color="000000"/>
            </w:tcBorders>
          </w:tcPr>
          <w:p>
            <w:pPr>
              <w:pStyle w:val="TableParagraph"/>
              <w:spacing w:before="9"/>
              <w:rPr>
                <w:sz w:val="17"/>
              </w:rPr>
            </w:pPr>
          </w:p>
          <w:p>
            <w:pPr>
              <w:pStyle w:val="TableParagraph"/>
              <w:ind w:left="197"/>
              <w:rPr>
                <w:b/>
                <w:sz w:val="24"/>
              </w:rPr>
            </w:pPr>
            <w:r>
              <w:rPr>
                <w:b/>
                <w:w w:val="95"/>
                <w:sz w:val="24"/>
              </w:rPr>
              <w:t>需关注的其他内容</w:t>
            </w:r>
          </w:p>
          <w:p>
            <w:pPr>
              <w:pStyle w:val="TableParagraph"/>
              <w:spacing w:before="86"/>
              <w:ind w:left="197"/>
              <w:rPr>
                <w:sz w:val="24"/>
              </w:rPr>
            </w:pPr>
            <w:r>
              <w:rPr>
                <w:sz w:val="24"/>
              </w:rPr>
              <w:t>这部分讲的是您应当注意的其他事项。</w:t>
            </w:r>
          </w:p>
        </w:tc>
      </w:tr>
      <w:tr>
        <w:trPr>
          <w:trHeight w:val="674" w:hRule="atLeast"/>
        </w:trPr>
        <w:tc>
          <w:tcPr>
            <w:tcW w:w="837" w:type="dxa"/>
            <w:tcBorders>
              <w:top w:val="single" w:sz="8" w:space="0" w:color="000000"/>
            </w:tcBorders>
          </w:tcPr>
          <w:p>
            <w:pPr>
              <w:pStyle w:val="TableParagraph"/>
              <w:spacing w:before="12"/>
              <w:rPr>
                <w:sz w:val="16"/>
              </w:rPr>
            </w:pPr>
          </w:p>
          <w:p>
            <w:pPr>
              <w:pStyle w:val="TableParagraph"/>
              <w:spacing w:before="1"/>
              <w:ind w:left="302"/>
              <w:rPr>
                <w:b/>
                <w:sz w:val="21"/>
              </w:rPr>
            </w:pPr>
            <w:r>
              <w:rPr>
                <w:b/>
                <w:sz w:val="21"/>
              </w:rPr>
              <w:t>8.1</w:t>
            </w:r>
          </w:p>
        </w:tc>
        <w:tc>
          <w:tcPr>
            <w:tcW w:w="2342" w:type="dxa"/>
            <w:tcBorders>
              <w:top w:val="single" w:sz="8" w:space="0" w:color="000000"/>
            </w:tcBorders>
          </w:tcPr>
          <w:p>
            <w:pPr>
              <w:pStyle w:val="TableParagraph"/>
              <w:spacing w:before="12"/>
              <w:rPr>
                <w:sz w:val="16"/>
              </w:rPr>
            </w:pPr>
          </w:p>
          <w:p>
            <w:pPr>
              <w:pStyle w:val="TableParagraph"/>
              <w:spacing w:before="1"/>
              <w:ind w:left="197"/>
              <w:rPr>
                <w:b/>
                <w:sz w:val="21"/>
              </w:rPr>
            </w:pPr>
            <w:r>
              <w:rPr>
                <w:b/>
                <w:sz w:val="21"/>
              </w:rPr>
              <w:t>合同订立</w:t>
            </w:r>
          </w:p>
        </w:tc>
        <w:tc>
          <w:tcPr>
            <w:tcW w:w="6900" w:type="dxa"/>
            <w:tcBorders>
              <w:top w:val="single" w:sz="8" w:space="0" w:color="000000"/>
            </w:tcBorders>
          </w:tcPr>
          <w:p>
            <w:pPr>
              <w:pStyle w:val="TableParagraph"/>
              <w:spacing w:before="12"/>
              <w:rPr>
                <w:sz w:val="16"/>
              </w:rPr>
            </w:pPr>
          </w:p>
          <w:p>
            <w:pPr>
              <w:pStyle w:val="TableParagraph"/>
              <w:spacing w:before="1"/>
              <w:ind w:left="101"/>
              <w:rPr>
                <w:sz w:val="21"/>
              </w:rPr>
            </w:pPr>
            <w:r>
              <w:rPr>
                <w:sz w:val="21"/>
              </w:rPr>
              <w:t>本附加险合同由主险合同投保人提出申请，经我们同意而订立。</w:t>
            </w:r>
          </w:p>
        </w:tc>
      </w:tr>
      <w:tr>
        <w:trPr>
          <w:trHeight w:val="1191" w:hRule="atLeast"/>
        </w:trPr>
        <w:tc>
          <w:tcPr>
            <w:tcW w:w="837" w:type="dxa"/>
          </w:tcPr>
          <w:p>
            <w:pPr>
              <w:pStyle w:val="TableParagraph"/>
              <w:spacing w:before="114"/>
              <w:ind w:left="302"/>
              <w:rPr>
                <w:b/>
                <w:sz w:val="21"/>
              </w:rPr>
            </w:pPr>
            <w:r>
              <w:rPr>
                <w:b/>
                <w:sz w:val="21"/>
              </w:rPr>
              <w:t>8.2</w:t>
            </w:r>
          </w:p>
        </w:tc>
        <w:tc>
          <w:tcPr>
            <w:tcW w:w="2342" w:type="dxa"/>
          </w:tcPr>
          <w:p>
            <w:pPr>
              <w:pStyle w:val="TableParagraph"/>
              <w:spacing w:before="114"/>
              <w:ind w:left="197"/>
              <w:rPr>
                <w:b/>
                <w:sz w:val="21"/>
              </w:rPr>
            </w:pPr>
            <w:r>
              <w:rPr>
                <w:b/>
                <w:sz w:val="21"/>
              </w:rPr>
              <w:t>合同生效</w:t>
            </w:r>
          </w:p>
        </w:tc>
        <w:tc>
          <w:tcPr>
            <w:tcW w:w="6900" w:type="dxa"/>
          </w:tcPr>
          <w:p>
            <w:pPr>
              <w:pStyle w:val="TableParagraph"/>
              <w:spacing w:line="273" w:lineRule="auto" w:before="114"/>
              <w:ind w:left="101" w:right="3011"/>
              <w:rPr>
                <w:sz w:val="21"/>
              </w:rPr>
            </w:pPr>
            <w:r>
              <w:rPr>
                <w:spacing w:val="-3"/>
                <w:sz w:val="21"/>
              </w:rPr>
              <w:t>本附加险合同须与主险合同同时投保。 本附加险合同的生效日与主险合同相同。</w:t>
            </w:r>
          </w:p>
          <w:p>
            <w:pPr>
              <w:pStyle w:val="TableParagraph"/>
              <w:spacing w:before="8"/>
              <w:ind w:left="101"/>
              <w:rPr>
                <w:sz w:val="21"/>
              </w:rPr>
            </w:pPr>
            <w:r>
              <w:rPr>
                <w:sz w:val="21"/>
              </w:rPr>
              <w:t>本附加险合同的保单周年日同主险合同的保单周年日。</w:t>
            </w:r>
          </w:p>
        </w:tc>
      </w:tr>
      <w:tr>
        <w:trPr>
          <w:trHeight w:val="1191" w:hRule="atLeast"/>
        </w:trPr>
        <w:tc>
          <w:tcPr>
            <w:tcW w:w="837" w:type="dxa"/>
          </w:tcPr>
          <w:p>
            <w:pPr>
              <w:pStyle w:val="TableParagraph"/>
              <w:spacing w:before="115"/>
              <w:ind w:left="302"/>
              <w:rPr>
                <w:b/>
                <w:sz w:val="21"/>
              </w:rPr>
            </w:pPr>
            <w:r>
              <w:rPr>
                <w:b/>
                <w:sz w:val="21"/>
              </w:rPr>
              <w:t>8.3</w:t>
            </w:r>
          </w:p>
        </w:tc>
        <w:tc>
          <w:tcPr>
            <w:tcW w:w="2342" w:type="dxa"/>
          </w:tcPr>
          <w:p>
            <w:pPr>
              <w:pStyle w:val="TableParagraph"/>
              <w:spacing w:before="115"/>
              <w:ind w:left="197"/>
              <w:rPr>
                <w:b/>
                <w:sz w:val="21"/>
              </w:rPr>
            </w:pPr>
            <w:r>
              <w:rPr>
                <w:b/>
                <w:sz w:val="21"/>
              </w:rPr>
              <w:t>投保年龄</w:t>
            </w:r>
          </w:p>
        </w:tc>
        <w:tc>
          <w:tcPr>
            <w:tcW w:w="6900" w:type="dxa"/>
          </w:tcPr>
          <w:p>
            <w:pPr>
              <w:pStyle w:val="TableParagraph"/>
              <w:spacing w:line="273" w:lineRule="auto" w:before="115"/>
              <w:ind w:left="101" w:right="100"/>
              <w:rPr>
                <w:sz w:val="21"/>
              </w:rPr>
            </w:pPr>
            <w:r>
              <w:rPr>
                <w:spacing w:val="-5"/>
                <w:sz w:val="21"/>
              </w:rPr>
              <w:t>指投保时被保险人的年龄，投保年龄以周岁计算。本附加险合同接受的投</w:t>
            </w:r>
            <w:r>
              <w:rPr>
                <w:spacing w:val="-11"/>
                <w:sz w:val="21"/>
              </w:rPr>
              <w:t>保年龄为 </w:t>
            </w:r>
            <w:r>
              <w:rPr>
                <w:sz w:val="21"/>
              </w:rPr>
              <w:t>0</w:t>
            </w:r>
            <w:r>
              <w:rPr>
                <w:spacing w:val="-15"/>
                <w:sz w:val="21"/>
              </w:rPr>
              <w:t> 周岁至 </w:t>
            </w:r>
            <w:r>
              <w:rPr>
                <w:sz w:val="21"/>
              </w:rPr>
              <w:t>55</w:t>
            </w:r>
            <w:r>
              <w:rPr>
                <w:spacing w:val="-11"/>
                <w:sz w:val="21"/>
              </w:rPr>
              <w:t> 周岁，投保时被保险人为 </w:t>
            </w:r>
            <w:r>
              <w:rPr>
                <w:sz w:val="21"/>
              </w:rPr>
              <w:t>0</w:t>
            </w:r>
            <w:r>
              <w:rPr>
                <w:spacing w:val="-7"/>
                <w:sz w:val="21"/>
              </w:rPr>
              <w:t> 周岁的，应当为出生满</w:t>
            </w:r>
          </w:p>
          <w:p>
            <w:pPr>
              <w:pStyle w:val="TableParagraph"/>
              <w:spacing w:before="7"/>
              <w:ind w:left="101"/>
              <w:rPr>
                <w:sz w:val="21"/>
              </w:rPr>
            </w:pPr>
            <w:r>
              <w:rPr>
                <w:sz w:val="21"/>
              </w:rPr>
              <w:t>28 日且已健康出院的婴儿。</w:t>
            </w:r>
          </w:p>
        </w:tc>
      </w:tr>
      <w:tr>
        <w:trPr>
          <w:trHeight w:val="2260" w:hRule="atLeast"/>
        </w:trPr>
        <w:tc>
          <w:tcPr>
            <w:tcW w:w="837" w:type="dxa"/>
          </w:tcPr>
          <w:p>
            <w:pPr>
              <w:pStyle w:val="TableParagraph"/>
              <w:spacing w:before="114"/>
              <w:ind w:left="302"/>
              <w:rPr>
                <w:b/>
                <w:sz w:val="21"/>
              </w:rPr>
            </w:pPr>
            <w:r>
              <w:rPr>
                <w:b/>
                <w:sz w:val="21"/>
              </w:rPr>
              <w:t>8.4</w:t>
            </w:r>
          </w:p>
        </w:tc>
        <w:tc>
          <w:tcPr>
            <w:tcW w:w="2342" w:type="dxa"/>
          </w:tcPr>
          <w:p>
            <w:pPr>
              <w:pStyle w:val="TableParagraph"/>
              <w:spacing w:before="114"/>
              <w:ind w:left="197"/>
              <w:rPr>
                <w:b/>
                <w:sz w:val="21"/>
              </w:rPr>
            </w:pPr>
            <w:r>
              <w:rPr>
                <w:b/>
                <w:sz w:val="21"/>
              </w:rPr>
              <w:t>年龄错误</w:t>
            </w:r>
          </w:p>
        </w:tc>
        <w:tc>
          <w:tcPr>
            <w:tcW w:w="6900" w:type="dxa"/>
          </w:tcPr>
          <w:p>
            <w:pPr>
              <w:pStyle w:val="TableParagraph"/>
              <w:spacing w:line="273" w:lineRule="auto" w:before="114"/>
              <w:ind w:left="101" w:right="100" w:firstLine="2"/>
              <w:rPr>
                <w:sz w:val="21"/>
              </w:rPr>
            </w:pPr>
            <w:r>
              <w:rPr>
                <w:spacing w:val="-7"/>
                <w:sz w:val="21"/>
              </w:rPr>
              <w:t>您在申请投保时，应将与有效身份证件相符的被保险人的出生日期在投保</w:t>
            </w:r>
            <w:r>
              <w:rPr>
                <w:spacing w:val="-5"/>
                <w:sz w:val="21"/>
              </w:rPr>
              <w:t>书上填明，如果发生错误按照下列方式办理：</w:t>
            </w:r>
          </w:p>
          <w:p>
            <w:pPr>
              <w:pStyle w:val="TableParagraph"/>
              <w:spacing w:line="273" w:lineRule="auto" w:before="8"/>
              <w:ind w:left="605" w:right="98" w:hanging="504"/>
              <w:jc w:val="both"/>
              <w:rPr>
                <w:sz w:val="21"/>
              </w:rPr>
            </w:pPr>
            <w:r>
              <w:rPr>
                <w:sz w:val="21"/>
              </w:rPr>
              <w:t>（1）您申报的被保险人年龄不真实，并且其真实年龄不符合本附加险合同约定投保年龄限制的，我们有权解除合同，并向您退还本附加险合同的现金价值。我们行使合同解除权适用“8.6（2）明确说明与如实告知”中合同解除权限制的规定；</w:t>
            </w:r>
          </w:p>
          <w:p>
            <w:pPr>
              <w:pStyle w:val="TableParagraph"/>
              <w:spacing w:line="255" w:lineRule="exact" w:before="8"/>
              <w:ind w:left="101"/>
              <w:rPr>
                <w:sz w:val="21"/>
              </w:rPr>
            </w:pPr>
            <w:r>
              <w:rPr>
                <w:sz w:val="21"/>
              </w:rPr>
              <w:t>（2）您申报的被保险人年龄不真实，致使您实付保险费少于应付保险费</w:t>
            </w:r>
          </w:p>
        </w:tc>
      </w:tr>
    </w:tbl>
    <w:p>
      <w:pPr>
        <w:spacing w:after="0" w:line="255" w:lineRule="exact"/>
        <w:rPr>
          <w:sz w:val="21"/>
        </w:rPr>
        <w:sectPr>
          <w:pgSz w:w="11910" w:h="16840"/>
          <w:pgMar w:top="1160" w:bottom="280" w:left="800" w:right="80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4"/>
        <w:gridCol w:w="2175"/>
        <w:gridCol w:w="7175"/>
      </w:tblGrid>
      <w:tr>
        <w:trPr>
          <w:trHeight w:val="1325" w:hRule="atLeast"/>
        </w:trPr>
        <w:tc>
          <w:tcPr>
            <w:tcW w:w="724" w:type="dxa"/>
          </w:tcPr>
          <w:p>
            <w:pPr>
              <w:pStyle w:val="TableParagraph"/>
              <w:rPr>
                <w:rFonts w:ascii="Times New Roman"/>
                <w:sz w:val="20"/>
              </w:rPr>
            </w:pPr>
          </w:p>
        </w:tc>
        <w:tc>
          <w:tcPr>
            <w:tcW w:w="2175" w:type="dxa"/>
          </w:tcPr>
          <w:p>
            <w:pPr>
              <w:pStyle w:val="TableParagraph"/>
              <w:rPr>
                <w:rFonts w:ascii="Times New Roman"/>
                <w:sz w:val="20"/>
              </w:rPr>
            </w:pPr>
          </w:p>
        </w:tc>
        <w:tc>
          <w:tcPr>
            <w:tcW w:w="7175" w:type="dxa"/>
          </w:tcPr>
          <w:p>
            <w:pPr>
              <w:pStyle w:val="TableParagraph"/>
              <w:spacing w:line="211" w:lineRule="exact"/>
              <w:ind w:left="783"/>
              <w:rPr>
                <w:sz w:val="21"/>
              </w:rPr>
            </w:pPr>
            <w:r>
              <w:rPr>
                <w:sz w:val="21"/>
              </w:rPr>
              <w:t>的，我们有权更正并要求您补交保险费或在给付保险金时扣除您欠</w:t>
            </w:r>
          </w:p>
          <w:p>
            <w:pPr>
              <w:pStyle w:val="TableParagraph"/>
              <w:spacing w:before="37"/>
              <w:ind w:left="783"/>
              <w:rPr>
                <w:sz w:val="21"/>
              </w:rPr>
            </w:pPr>
            <w:r>
              <w:rPr>
                <w:sz w:val="21"/>
              </w:rPr>
              <w:t>交的保险费；</w:t>
            </w:r>
          </w:p>
          <w:p>
            <w:pPr>
              <w:pStyle w:val="TableParagraph"/>
              <w:spacing w:line="273" w:lineRule="auto" w:before="37"/>
              <w:ind w:left="783" w:right="196" w:hanging="504"/>
              <w:rPr>
                <w:sz w:val="21"/>
              </w:rPr>
            </w:pPr>
            <w:r>
              <w:rPr>
                <w:sz w:val="21"/>
              </w:rPr>
              <w:t>（3）您申报的被保险人年龄不真实，致使您实付保险费多于应付保险费的，我们会将多收的保险费退还给您。</w:t>
            </w:r>
          </w:p>
        </w:tc>
      </w:tr>
      <w:tr>
        <w:trPr>
          <w:trHeight w:val="1191" w:hRule="atLeast"/>
        </w:trPr>
        <w:tc>
          <w:tcPr>
            <w:tcW w:w="724" w:type="dxa"/>
          </w:tcPr>
          <w:p>
            <w:pPr>
              <w:pStyle w:val="TableParagraph"/>
              <w:spacing w:before="115"/>
              <w:ind w:left="200"/>
              <w:rPr>
                <w:b/>
                <w:sz w:val="21"/>
              </w:rPr>
            </w:pPr>
            <w:r>
              <w:rPr>
                <w:b/>
                <w:sz w:val="21"/>
              </w:rPr>
              <w:t>8.5</w:t>
            </w:r>
          </w:p>
        </w:tc>
        <w:tc>
          <w:tcPr>
            <w:tcW w:w="2175" w:type="dxa"/>
          </w:tcPr>
          <w:p>
            <w:pPr>
              <w:pStyle w:val="TableParagraph"/>
              <w:spacing w:before="115"/>
              <w:ind w:left="207"/>
              <w:rPr>
                <w:b/>
                <w:sz w:val="21"/>
              </w:rPr>
            </w:pPr>
            <w:r>
              <w:rPr>
                <w:b/>
                <w:sz w:val="21"/>
              </w:rPr>
              <w:t>效力终止</w:t>
            </w:r>
          </w:p>
        </w:tc>
        <w:tc>
          <w:tcPr>
            <w:tcW w:w="7175" w:type="dxa"/>
          </w:tcPr>
          <w:p>
            <w:pPr>
              <w:pStyle w:val="TableParagraph"/>
              <w:spacing w:before="115"/>
              <w:ind w:left="279"/>
              <w:rPr>
                <w:sz w:val="21"/>
              </w:rPr>
            </w:pPr>
            <w:r>
              <w:rPr>
                <w:sz w:val="21"/>
              </w:rPr>
              <w:t>当发生下列情形之一时，本附加险合同效力终止：</w:t>
            </w:r>
          </w:p>
          <w:p>
            <w:pPr>
              <w:pStyle w:val="TableParagraph"/>
              <w:spacing w:before="37"/>
              <w:ind w:left="279"/>
              <w:rPr>
                <w:sz w:val="21"/>
              </w:rPr>
            </w:pPr>
            <w:r>
              <w:rPr>
                <w:sz w:val="21"/>
              </w:rPr>
              <w:t>（1）主险合同效力终止；</w:t>
            </w:r>
          </w:p>
          <w:p>
            <w:pPr>
              <w:pStyle w:val="TableParagraph"/>
              <w:spacing w:before="37"/>
              <w:ind w:left="279"/>
              <w:rPr>
                <w:sz w:val="21"/>
              </w:rPr>
            </w:pPr>
            <w:r>
              <w:rPr>
                <w:sz w:val="21"/>
              </w:rPr>
              <w:t>（2）您申请解除本附加险合同。</w:t>
            </w:r>
          </w:p>
        </w:tc>
      </w:tr>
      <w:tr>
        <w:trPr>
          <w:trHeight w:val="1948" w:hRule="atLeast"/>
        </w:trPr>
        <w:tc>
          <w:tcPr>
            <w:tcW w:w="724" w:type="dxa"/>
          </w:tcPr>
          <w:p>
            <w:pPr>
              <w:pStyle w:val="TableParagraph"/>
              <w:spacing w:before="114"/>
              <w:ind w:left="200"/>
              <w:rPr>
                <w:b/>
                <w:sz w:val="21"/>
              </w:rPr>
            </w:pPr>
            <w:r>
              <w:rPr>
                <w:b/>
                <w:sz w:val="21"/>
              </w:rPr>
              <w:t>8.6</w:t>
            </w:r>
          </w:p>
        </w:tc>
        <w:tc>
          <w:tcPr>
            <w:tcW w:w="2175" w:type="dxa"/>
          </w:tcPr>
          <w:p>
            <w:pPr>
              <w:pStyle w:val="TableParagraph"/>
              <w:spacing w:before="114"/>
              <w:ind w:left="207"/>
              <w:rPr>
                <w:b/>
                <w:sz w:val="21"/>
              </w:rPr>
            </w:pPr>
            <w:r>
              <w:rPr>
                <w:b/>
                <w:sz w:val="21"/>
              </w:rPr>
              <w:t>适用主险合同条款</w:t>
            </w:r>
          </w:p>
        </w:tc>
        <w:tc>
          <w:tcPr>
            <w:tcW w:w="7175" w:type="dxa"/>
          </w:tcPr>
          <w:p>
            <w:pPr>
              <w:pStyle w:val="TableParagraph"/>
              <w:spacing w:before="114"/>
              <w:ind w:left="279"/>
              <w:rPr>
                <w:sz w:val="21"/>
              </w:rPr>
            </w:pPr>
            <w:r>
              <w:rPr>
                <w:sz w:val="21"/>
              </w:rPr>
              <w:t>下列各项条款，适用主险合同条款：</w:t>
            </w:r>
          </w:p>
          <w:p>
            <w:pPr>
              <w:pStyle w:val="TableParagraph"/>
              <w:spacing w:before="37"/>
              <w:ind w:left="279"/>
              <w:rPr>
                <w:sz w:val="21"/>
              </w:rPr>
            </w:pPr>
            <w:r>
              <w:rPr>
                <w:sz w:val="21"/>
              </w:rPr>
              <w:t>（1）保险事故通知；</w:t>
            </w:r>
          </w:p>
          <w:p>
            <w:pPr>
              <w:pStyle w:val="TableParagraph"/>
              <w:spacing w:before="37"/>
              <w:ind w:left="279"/>
              <w:rPr>
                <w:sz w:val="21"/>
              </w:rPr>
            </w:pPr>
            <w:r>
              <w:rPr>
                <w:sz w:val="21"/>
              </w:rPr>
              <w:t>（2）明确说明与如实告知；</w:t>
            </w:r>
          </w:p>
          <w:p>
            <w:pPr>
              <w:pStyle w:val="TableParagraph"/>
              <w:spacing w:before="37"/>
              <w:ind w:left="279"/>
              <w:rPr>
                <w:sz w:val="21"/>
              </w:rPr>
            </w:pPr>
            <w:r>
              <w:rPr>
                <w:sz w:val="21"/>
              </w:rPr>
              <w:t>（3）未还款项；</w:t>
            </w:r>
          </w:p>
          <w:p>
            <w:pPr>
              <w:pStyle w:val="TableParagraph"/>
              <w:spacing w:before="37"/>
              <w:ind w:left="279"/>
              <w:rPr>
                <w:sz w:val="21"/>
              </w:rPr>
            </w:pPr>
            <w:r>
              <w:rPr>
                <w:sz w:val="21"/>
              </w:rPr>
              <w:t>（4）合同内容变更；</w:t>
            </w:r>
          </w:p>
          <w:p>
            <w:pPr>
              <w:pStyle w:val="TableParagraph"/>
              <w:spacing w:line="255" w:lineRule="exact" w:before="37"/>
              <w:ind w:left="279"/>
              <w:rPr>
                <w:sz w:val="21"/>
              </w:rPr>
            </w:pPr>
            <w:r>
              <w:rPr>
                <w:sz w:val="21"/>
              </w:rPr>
              <w:t>（5）争议处理。</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4"/>
        </w:rPr>
      </w:pPr>
    </w:p>
    <w:p>
      <w:pPr>
        <w:pStyle w:val="BodyText"/>
        <w:spacing w:before="1"/>
        <w:ind w:left="4877" w:right="4763"/>
        <w:jc w:val="center"/>
      </w:pPr>
      <w:r>
        <w:rPr/>
        <w:t>（完）</w:t>
      </w:r>
    </w:p>
    <w:sectPr>
      <w:pgSz w:w="11910" w:h="16840"/>
      <w:pgMar w:top="1160" w:bottom="280" w:left="90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等线">
    <w:altName w:val="等线"/>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24"/>
      <w:numFmt w:val="decimal"/>
      <w:lvlText w:val="%1"/>
      <w:lvlJc w:val="left"/>
      <w:pPr>
        <w:ind w:left="846" w:hanging="680"/>
        <w:jc w:val="left"/>
      </w:pPr>
      <w:rPr>
        <w:rFonts w:hint="default" w:ascii="宋体" w:hAnsi="宋体" w:eastAsia="宋体" w:cs="宋体"/>
        <w:b/>
        <w:bCs/>
        <w:w w:val="99"/>
        <w:sz w:val="21"/>
        <w:szCs w:val="21"/>
      </w:rPr>
    </w:lvl>
    <w:lvl w:ilvl="1">
      <w:start w:val="0"/>
      <w:numFmt w:val="bullet"/>
      <w:lvlText w:val="•"/>
      <w:lvlJc w:val="left"/>
      <w:pPr>
        <w:ind w:left="1756" w:hanging="680"/>
      </w:pPr>
      <w:rPr>
        <w:rFonts w:hint="default"/>
      </w:rPr>
    </w:lvl>
    <w:lvl w:ilvl="2">
      <w:start w:val="0"/>
      <w:numFmt w:val="bullet"/>
      <w:lvlText w:val="•"/>
      <w:lvlJc w:val="left"/>
      <w:pPr>
        <w:ind w:left="2673" w:hanging="680"/>
      </w:pPr>
      <w:rPr>
        <w:rFonts w:hint="default"/>
      </w:rPr>
    </w:lvl>
    <w:lvl w:ilvl="3">
      <w:start w:val="0"/>
      <w:numFmt w:val="bullet"/>
      <w:lvlText w:val="•"/>
      <w:lvlJc w:val="left"/>
      <w:pPr>
        <w:ind w:left="3589" w:hanging="680"/>
      </w:pPr>
      <w:rPr>
        <w:rFonts w:hint="default"/>
      </w:rPr>
    </w:lvl>
    <w:lvl w:ilvl="4">
      <w:start w:val="0"/>
      <w:numFmt w:val="bullet"/>
      <w:lvlText w:val="•"/>
      <w:lvlJc w:val="left"/>
      <w:pPr>
        <w:ind w:left="4506" w:hanging="680"/>
      </w:pPr>
      <w:rPr>
        <w:rFonts w:hint="default"/>
      </w:rPr>
    </w:lvl>
    <w:lvl w:ilvl="5">
      <w:start w:val="0"/>
      <w:numFmt w:val="bullet"/>
      <w:lvlText w:val="•"/>
      <w:lvlJc w:val="left"/>
      <w:pPr>
        <w:ind w:left="5423" w:hanging="680"/>
      </w:pPr>
      <w:rPr>
        <w:rFonts w:hint="default"/>
      </w:rPr>
    </w:lvl>
    <w:lvl w:ilvl="6">
      <w:start w:val="0"/>
      <w:numFmt w:val="bullet"/>
      <w:lvlText w:val="•"/>
      <w:lvlJc w:val="left"/>
      <w:pPr>
        <w:ind w:left="6339" w:hanging="680"/>
      </w:pPr>
      <w:rPr>
        <w:rFonts w:hint="default"/>
      </w:rPr>
    </w:lvl>
    <w:lvl w:ilvl="7">
      <w:start w:val="0"/>
      <w:numFmt w:val="bullet"/>
      <w:lvlText w:val="•"/>
      <w:lvlJc w:val="left"/>
      <w:pPr>
        <w:ind w:left="7256" w:hanging="680"/>
      </w:pPr>
      <w:rPr>
        <w:rFonts w:hint="default"/>
      </w:rPr>
    </w:lvl>
    <w:lvl w:ilvl="8">
      <w:start w:val="0"/>
      <w:numFmt w:val="bullet"/>
      <w:lvlText w:val="•"/>
      <w:lvlJc w:val="left"/>
      <w:pPr>
        <w:ind w:left="8173" w:hanging="680"/>
      </w:pPr>
      <w:rPr>
        <w:rFonts w:hint="default"/>
      </w:rPr>
    </w:lvl>
  </w:abstractNum>
  <w:abstractNum w:abstractNumId="4">
    <w:multiLevelType w:val="hybridMultilevel"/>
    <w:lvl w:ilvl="0">
      <w:start w:val="8"/>
      <w:numFmt w:val="decimal"/>
      <w:lvlText w:val="%1"/>
      <w:lvlJc w:val="left"/>
      <w:pPr>
        <w:ind w:left="1026" w:hanging="627"/>
        <w:jc w:val="left"/>
      </w:pPr>
      <w:rPr>
        <w:rFonts w:hint="default" w:ascii="宋体" w:hAnsi="宋体" w:eastAsia="宋体" w:cs="宋体"/>
        <w:b/>
        <w:bCs/>
        <w:w w:val="99"/>
        <w:sz w:val="21"/>
        <w:szCs w:val="21"/>
      </w:rPr>
    </w:lvl>
    <w:lvl w:ilvl="1">
      <w:start w:val="0"/>
      <w:numFmt w:val="bullet"/>
      <w:lvlText w:val="•"/>
      <w:lvlJc w:val="left"/>
      <w:pPr>
        <w:ind w:left="1229" w:hanging="627"/>
      </w:pPr>
      <w:rPr>
        <w:rFonts w:hint="default"/>
      </w:rPr>
    </w:lvl>
    <w:lvl w:ilvl="2">
      <w:start w:val="0"/>
      <w:numFmt w:val="bullet"/>
      <w:lvlText w:val="•"/>
      <w:lvlJc w:val="left"/>
      <w:pPr>
        <w:ind w:left="1438" w:hanging="627"/>
      </w:pPr>
      <w:rPr>
        <w:rFonts w:hint="default"/>
      </w:rPr>
    </w:lvl>
    <w:lvl w:ilvl="3">
      <w:start w:val="0"/>
      <w:numFmt w:val="bullet"/>
      <w:lvlText w:val="•"/>
      <w:lvlJc w:val="left"/>
      <w:pPr>
        <w:ind w:left="1648" w:hanging="627"/>
      </w:pPr>
      <w:rPr>
        <w:rFonts w:hint="default"/>
      </w:rPr>
    </w:lvl>
    <w:lvl w:ilvl="4">
      <w:start w:val="0"/>
      <w:numFmt w:val="bullet"/>
      <w:lvlText w:val="•"/>
      <w:lvlJc w:val="left"/>
      <w:pPr>
        <w:ind w:left="1857" w:hanging="627"/>
      </w:pPr>
      <w:rPr>
        <w:rFonts w:hint="default"/>
      </w:rPr>
    </w:lvl>
    <w:lvl w:ilvl="5">
      <w:start w:val="0"/>
      <w:numFmt w:val="bullet"/>
      <w:lvlText w:val="•"/>
      <w:lvlJc w:val="left"/>
      <w:pPr>
        <w:ind w:left="2067" w:hanging="627"/>
      </w:pPr>
      <w:rPr>
        <w:rFonts w:hint="default"/>
      </w:rPr>
    </w:lvl>
    <w:lvl w:ilvl="6">
      <w:start w:val="0"/>
      <w:numFmt w:val="bullet"/>
      <w:lvlText w:val="•"/>
      <w:lvlJc w:val="left"/>
      <w:pPr>
        <w:ind w:left="2276" w:hanging="627"/>
      </w:pPr>
      <w:rPr>
        <w:rFonts w:hint="default"/>
      </w:rPr>
    </w:lvl>
    <w:lvl w:ilvl="7">
      <w:start w:val="0"/>
      <w:numFmt w:val="bullet"/>
      <w:lvlText w:val="•"/>
      <w:lvlJc w:val="left"/>
      <w:pPr>
        <w:ind w:left="2486" w:hanging="627"/>
      </w:pPr>
      <w:rPr>
        <w:rFonts w:hint="default"/>
      </w:rPr>
    </w:lvl>
    <w:lvl w:ilvl="8">
      <w:start w:val="0"/>
      <w:numFmt w:val="bullet"/>
      <w:lvlText w:val="•"/>
      <w:lvlJc w:val="left"/>
      <w:pPr>
        <w:ind w:left="2695" w:hanging="627"/>
      </w:pPr>
      <w:rPr>
        <w:rFonts w:hint="default"/>
      </w:rPr>
    </w:lvl>
  </w:abstractNum>
  <w:abstractNum w:abstractNumId="3">
    <w:multiLevelType w:val="hybridMultilevel"/>
    <w:lvl w:ilvl="0">
      <w:start w:val="3"/>
      <w:numFmt w:val="decimal"/>
      <w:lvlText w:val="%1"/>
      <w:lvlJc w:val="left"/>
      <w:pPr>
        <w:ind w:left="683" w:hanging="423"/>
        <w:jc w:val="left"/>
      </w:pPr>
      <w:rPr>
        <w:rFonts w:hint="default"/>
      </w:rPr>
    </w:lvl>
    <w:lvl w:ilvl="1">
      <w:start w:val="2"/>
      <w:numFmt w:val="decimal"/>
      <w:lvlText w:val="%1.%2"/>
      <w:lvlJc w:val="left"/>
      <w:pPr>
        <w:ind w:left="683" w:hanging="423"/>
        <w:jc w:val="left"/>
      </w:pPr>
      <w:rPr>
        <w:rFonts w:hint="default" w:ascii="宋体" w:hAnsi="宋体" w:eastAsia="宋体" w:cs="宋体"/>
        <w:w w:val="100"/>
        <w:sz w:val="21"/>
        <w:szCs w:val="21"/>
      </w:rPr>
    </w:lvl>
    <w:lvl w:ilvl="2">
      <w:start w:val="0"/>
      <w:numFmt w:val="bullet"/>
      <w:lvlText w:val="•"/>
      <w:lvlJc w:val="left"/>
      <w:pPr>
        <w:ind w:left="1050" w:hanging="423"/>
      </w:pPr>
      <w:rPr>
        <w:rFonts w:hint="default"/>
      </w:rPr>
    </w:lvl>
    <w:lvl w:ilvl="3">
      <w:start w:val="0"/>
      <w:numFmt w:val="bullet"/>
      <w:lvlText w:val="•"/>
      <w:lvlJc w:val="left"/>
      <w:pPr>
        <w:ind w:left="1235" w:hanging="423"/>
      </w:pPr>
      <w:rPr>
        <w:rFonts w:hint="default"/>
      </w:rPr>
    </w:lvl>
    <w:lvl w:ilvl="4">
      <w:start w:val="0"/>
      <w:numFmt w:val="bullet"/>
      <w:lvlText w:val="•"/>
      <w:lvlJc w:val="left"/>
      <w:pPr>
        <w:ind w:left="1420" w:hanging="423"/>
      </w:pPr>
      <w:rPr>
        <w:rFonts w:hint="default"/>
      </w:rPr>
    </w:lvl>
    <w:lvl w:ilvl="5">
      <w:start w:val="0"/>
      <w:numFmt w:val="bullet"/>
      <w:lvlText w:val="•"/>
      <w:lvlJc w:val="left"/>
      <w:pPr>
        <w:ind w:left="1606" w:hanging="423"/>
      </w:pPr>
      <w:rPr>
        <w:rFonts w:hint="default"/>
      </w:rPr>
    </w:lvl>
    <w:lvl w:ilvl="6">
      <w:start w:val="0"/>
      <w:numFmt w:val="bullet"/>
      <w:lvlText w:val="•"/>
      <w:lvlJc w:val="left"/>
      <w:pPr>
        <w:ind w:left="1791" w:hanging="423"/>
      </w:pPr>
      <w:rPr>
        <w:rFonts w:hint="default"/>
      </w:rPr>
    </w:lvl>
    <w:lvl w:ilvl="7">
      <w:start w:val="0"/>
      <w:numFmt w:val="bullet"/>
      <w:lvlText w:val="•"/>
      <w:lvlJc w:val="left"/>
      <w:pPr>
        <w:ind w:left="1976" w:hanging="423"/>
      </w:pPr>
      <w:rPr>
        <w:rFonts w:hint="default"/>
      </w:rPr>
    </w:lvl>
    <w:lvl w:ilvl="8">
      <w:start w:val="0"/>
      <w:numFmt w:val="bullet"/>
      <w:lvlText w:val="•"/>
      <w:lvlJc w:val="left"/>
      <w:pPr>
        <w:ind w:left="2161" w:hanging="423"/>
      </w:pPr>
      <w:rPr>
        <w:rFonts w:hint="default"/>
      </w:rPr>
    </w:lvl>
  </w:abstractNum>
  <w:abstractNum w:abstractNumId="2">
    <w:multiLevelType w:val="hybridMultilevel"/>
    <w:lvl w:ilvl="0">
      <w:start w:val="4"/>
      <w:numFmt w:val="decimal"/>
      <w:lvlText w:val="%1"/>
      <w:lvlJc w:val="left"/>
      <w:pPr>
        <w:ind w:left="1344" w:hanging="423"/>
        <w:jc w:val="left"/>
      </w:pPr>
      <w:rPr>
        <w:rFonts w:hint="default"/>
      </w:rPr>
    </w:lvl>
    <w:lvl w:ilvl="1">
      <w:start w:val="1"/>
      <w:numFmt w:val="decimal"/>
      <w:lvlText w:val="%1.%2"/>
      <w:lvlJc w:val="left"/>
      <w:pPr>
        <w:ind w:left="1344" w:hanging="423"/>
        <w:jc w:val="left"/>
      </w:pPr>
      <w:rPr>
        <w:rFonts w:hint="default" w:ascii="宋体" w:hAnsi="宋体" w:eastAsia="宋体" w:cs="宋体"/>
        <w:w w:val="100"/>
        <w:sz w:val="21"/>
        <w:szCs w:val="21"/>
      </w:rPr>
    </w:lvl>
    <w:lvl w:ilvl="2">
      <w:start w:val="0"/>
      <w:numFmt w:val="bullet"/>
      <w:lvlText w:val="•"/>
      <w:lvlJc w:val="left"/>
      <w:pPr>
        <w:ind w:left="1592" w:hanging="423"/>
      </w:pPr>
      <w:rPr>
        <w:rFonts w:hint="default"/>
      </w:rPr>
    </w:lvl>
    <w:lvl w:ilvl="3">
      <w:start w:val="0"/>
      <w:numFmt w:val="bullet"/>
      <w:lvlText w:val="•"/>
      <w:lvlJc w:val="left"/>
      <w:pPr>
        <w:ind w:left="1718" w:hanging="423"/>
      </w:pPr>
      <w:rPr>
        <w:rFonts w:hint="default"/>
      </w:rPr>
    </w:lvl>
    <w:lvl w:ilvl="4">
      <w:start w:val="0"/>
      <w:numFmt w:val="bullet"/>
      <w:lvlText w:val="•"/>
      <w:lvlJc w:val="left"/>
      <w:pPr>
        <w:ind w:left="1845" w:hanging="423"/>
      </w:pPr>
      <w:rPr>
        <w:rFonts w:hint="default"/>
      </w:rPr>
    </w:lvl>
    <w:lvl w:ilvl="5">
      <w:start w:val="0"/>
      <w:numFmt w:val="bullet"/>
      <w:lvlText w:val="•"/>
      <w:lvlJc w:val="left"/>
      <w:pPr>
        <w:ind w:left="1971" w:hanging="423"/>
      </w:pPr>
      <w:rPr>
        <w:rFonts w:hint="default"/>
      </w:rPr>
    </w:lvl>
    <w:lvl w:ilvl="6">
      <w:start w:val="0"/>
      <w:numFmt w:val="bullet"/>
      <w:lvlText w:val="•"/>
      <w:lvlJc w:val="left"/>
      <w:pPr>
        <w:ind w:left="2097" w:hanging="423"/>
      </w:pPr>
      <w:rPr>
        <w:rFonts w:hint="default"/>
      </w:rPr>
    </w:lvl>
    <w:lvl w:ilvl="7">
      <w:start w:val="0"/>
      <w:numFmt w:val="bullet"/>
      <w:lvlText w:val="•"/>
      <w:lvlJc w:val="left"/>
      <w:pPr>
        <w:ind w:left="2223" w:hanging="423"/>
      </w:pPr>
      <w:rPr>
        <w:rFonts w:hint="default"/>
      </w:rPr>
    </w:lvl>
    <w:lvl w:ilvl="8">
      <w:start w:val="0"/>
      <w:numFmt w:val="bullet"/>
      <w:lvlText w:val="•"/>
      <w:lvlJc w:val="left"/>
      <w:pPr>
        <w:ind w:left="2350" w:hanging="423"/>
      </w:pPr>
      <w:rPr>
        <w:rFonts w:hint="default"/>
      </w:rPr>
    </w:lvl>
  </w:abstractNum>
  <w:abstractNum w:abstractNumId="1">
    <w:multiLevelType w:val="hybridMultilevel"/>
    <w:lvl w:ilvl="0">
      <w:start w:val="1"/>
      <w:numFmt w:val="decimal"/>
      <w:lvlText w:val="%1"/>
      <w:lvlJc w:val="left"/>
      <w:pPr>
        <w:ind w:left="1817" w:hanging="423"/>
        <w:jc w:val="left"/>
      </w:pPr>
      <w:rPr>
        <w:rFonts w:hint="default"/>
      </w:rPr>
    </w:lvl>
    <w:lvl w:ilvl="1">
      <w:start w:val="1"/>
      <w:numFmt w:val="decimal"/>
      <w:lvlText w:val="%1.%2"/>
      <w:lvlJc w:val="left"/>
      <w:pPr>
        <w:ind w:left="1817" w:hanging="423"/>
        <w:jc w:val="left"/>
      </w:pPr>
      <w:rPr>
        <w:rFonts w:hint="default" w:ascii="宋体" w:hAnsi="宋体" w:eastAsia="宋体" w:cs="宋体"/>
        <w:w w:val="100"/>
        <w:sz w:val="21"/>
        <w:szCs w:val="21"/>
      </w:rPr>
    </w:lvl>
    <w:lvl w:ilvl="2">
      <w:start w:val="0"/>
      <w:numFmt w:val="bullet"/>
      <w:lvlText w:val="•"/>
      <w:lvlJc w:val="left"/>
      <w:pPr>
        <w:ind w:left="2115" w:hanging="423"/>
      </w:pPr>
      <w:rPr>
        <w:rFonts w:hint="default"/>
      </w:rPr>
    </w:lvl>
    <w:lvl w:ilvl="3">
      <w:start w:val="0"/>
      <w:numFmt w:val="bullet"/>
      <w:lvlText w:val="•"/>
      <w:lvlJc w:val="left"/>
      <w:pPr>
        <w:ind w:left="2262" w:hanging="423"/>
      </w:pPr>
      <w:rPr>
        <w:rFonts w:hint="default"/>
      </w:rPr>
    </w:lvl>
    <w:lvl w:ilvl="4">
      <w:start w:val="0"/>
      <w:numFmt w:val="bullet"/>
      <w:lvlText w:val="•"/>
      <w:lvlJc w:val="left"/>
      <w:pPr>
        <w:ind w:left="2410" w:hanging="423"/>
      </w:pPr>
      <w:rPr>
        <w:rFonts w:hint="default"/>
      </w:rPr>
    </w:lvl>
    <w:lvl w:ilvl="5">
      <w:start w:val="0"/>
      <w:numFmt w:val="bullet"/>
      <w:lvlText w:val="•"/>
      <w:lvlJc w:val="left"/>
      <w:pPr>
        <w:ind w:left="2558" w:hanging="423"/>
      </w:pPr>
      <w:rPr>
        <w:rFonts w:hint="default"/>
      </w:rPr>
    </w:lvl>
    <w:lvl w:ilvl="6">
      <w:start w:val="0"/>
      <w:numFmt w:val="bullet"/>
      <w:lvlText w:val="•"/>
      <w:lvlJc w:val="left"/>
      <w:pPr>
        <w:ind w:left="2705" w:hanging="423"/>
      </w:pPr>
      <w:rPr>
        <w:rFonts w:hint="default"/>
      </w:rPr>
    </w:lvl>
    <w:lvl w:ilvl="7">
      <w:start w:val="0"/>
      <w:numFmt w:val="bullet"/>
      <w:lvlText w:val="•"/>
      <w:lvlJc w:val="left"/>
      <w:pPr>
        <w:ind w:left="2853" w:hanging="423"/>
      </w:pPr>
      <w:rPr>
        <w:rFonts w:hint="default"/>
      </w:rPr>
    </w:lvl>
    <w:lvl w:ilvl="8">
      <w:start w:val="0"/>
      <w:numFmt w:val="bullet"/>
      <w:lvlText w:val="•"/>
      <w:lvlJc w:val="left"/>
      <w:pPr>
        <w:ind w:left="3000" w:hanging="423"/>
      </w:pPr>
      <w:rPr>
        <w:rFonts w:hint="default"/>
      </w:rPr>
    </w:lvl>
  </w:abstractNum>
  <w:abstractNum w:abstractNumId="0">
    <w:multiLevelType w:val="hybridMultilevel"/>
    <w:lvl w:ilvl="0">
      <w:start w:val="0"/>
      <w:numFmt w:val="bullet"/>
      <w:lvlText w:val=""/>
      <w:lvlJc w:val="left"/>
      <w:pPr>
        <w:ind w:left="1191" w:hanging="420"/>
      </w:pPr>
      <w:rPr>
        <w:rFonts w:hint="default" w:ascii="Wingdings" w:hAnsi="Wingdings" w:eastAsia="Wingdings" w:cs="Wingdings"/>
        <w:w w:val="100"/>
        <w:sz w:val="21"/>
        <w:szCs w:val="21"/>
      </w:rPr>
    </w:lvl>
    <w:lvl w:ilvl="1">
      <w:start w:val="0"/>
      <w:numFmt w:val="bullet"/>
      <w:lvlText w:val="•"/>
      <w:lvlJc w:val="left"/>
      <w:pPr>
        <w:ind w:left="2118" w:hanging="420"/>
      </w:pPr>
      <w:rPr>
        <w:rFonts w:hint="default"/>
      </w:rPr>
    </w:lvl>
    <w:lvl w:ilvl="2">
      <w:start w:val="0"/>
      <w:numFmt w:val="bullet"/>
      <w:lvlText w:val="•"/>
      <w:lvlJc w:val="left"/>
      <w:pPr>
        <w:ind w:left="3037" w:hanging="420"/>
      </w:pPr>
      <w:rPr>
        <w:rFonts w:hint="default"/>
      </w:rPr>
    </w:lvl>
    <w:lvl w:ilvl="3">
      <w:start w:val="0"/>
      <w:numFmt w:val="bullet"/>
      <w:lvlText w:val="•"/>
      <w:lvlJc w:val="left"/>
      <w:pPr>
        <w:ind w:left="3955" w:hanging="420"/>
      </w:pPr>
      <w:rPr>
        <w:rFonts w:hint="default"/>
      </w:rPr>
    </w:lvl>
    <w:lvl w:ilvl="4">
      <w:start w:val="0"/>
      <w:numFmt w:val="bullet"/>
      <w:lvlText w:val="•"/>
      <w:lvlJc w:val="left"/>
      <w:pPr>
        <w:ind w:left="4874" w:hanging="420"/>
      </w:pPr>
      <w:rPr>
        <w:rFonts w:hint="default"/>
      </w:rPr>
    </w:lvl>
    <w:lvl w:ilvl="5">
      <w:start w:val="0"/>
      <w:numFmt w:val="bullet"/>
      <w:lvlText w:val="•"/>
      <w:lvlJc w:val="left"/>
      <w:pPr>
        <w:ind w:left="5793" w:hanging="420"/>
      </w:pPr>
      <w:rPr>
        <w:rFonts w:hint="default"/>
      </w:rPr>
    </w:lvl>
    <w:lvl w:ilvl="6">
      <w:start w:val="0"/>
      <w:numFmt w:val="bullet"/>
      <w:lvlText w:val="•"/>
      <w:lvlJc w:val="left"/>
      <w:pPr>
        <w:ind w:left="6711" w:hanging="420"/>
      </w:pPr>
      <w:rPr>
        <w:rFonts w:hint="default"/>
      </w:rPr>
    </w:lvl>
    <w:lvl w:ilvl="7">
      <w:start w:val="0"/>
      <w:numFmt w:val="bullet"/>
      <w:lvlText w:val="•"/>
      <w:lvlJc w:val="left"/>
      <w:pPr>
        <w:ind w:left="7630" w:hanging="420"/>
      </w:pPr>
      <w:rPr>
        <w:rFonts w:hint="default"/>
      </w:rPr>
    </w:lvl>
    <w:lvl w:ilvl="8">
      <w:start w:val="0"/>
      <w:numFmt w:val="bullet"/>
      <w:lvlText w:val="•"/>
      <w:lvlJc w:val="left"/>
      <w:pPr>
        <w:ind w:left="8549" w:hanging="4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99"/>
      <w:ind w:left="2108"/>
      <w:outlineLvl w:val="1"/>
    </w:pPr>
    <w:rPr>
      <w:rFonts w:ascii="微软雅黑" w:hAnsi="微软雅黑" w:eastAsia="微软雅黑" w:cs="微软雅黑"/>
      <w:b/>
      <w:bCs/>
      <w:sz w:val="32"/>
      <w:szCs w:val="32"/>
    </w:rPr>
  </w:style>
  <w:style w:styleId="Heading2" w:type="paragraph">
    <w:name w:val="Heading 2"/>
    <w:basedOn w:val="Normal"/>
    <w:uiPriority w:val="1"/>
    <w:qFormat/>
    <w:pPr>
      <w:spacing w:line="322" w:lineRule="exact"/>
      <w:ind w:left="1026"/>
      <w:outlineLvl w:val="2"/>
    </w:pPr>
    <w:rPr>
      <w:rFonts w:ascii="等线" w:hAnsi="等线" w:eastAsia="等线" w:cs="等线"/>
      <w:b/>
      <w:bCs/>
      <w:sz w:val="24"/>
      <w:szCs w:val="24"/>
    </w:rPr>
  </w:style>
  <w:style w:styleId="Heading3" w:type="paragraph">
    <w:name w:val="Heading 3"/>
    <w:basedOn w:val="Normal"/>
    <w:uiPriority w:val="1"/>
    <w:qFormat/>
    <w:pPr>
      <w:ind w:left="245"/>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20"/>
      <w:ind w:left="1026"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2018-10-19T21:36:32Z</dcterms:created>
  <dcterms:modified xsi:type="dcterms:W3CDTF">2018-10-19T21:36:32Z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2017-06-19T00:00:00Z</vt:filetime>
  </property>
  <property fmtid="{D5CDD505-2E9C-101B-9397-08002B2CF9AE}" pid="3" name="Creator">
    <vt:lpwstr>Acrobat PDFMaker 11 Word 版</vt:lpwstr>
  </property>
  <property fmtid="{D5CDD505-2E9C-101B-9397-08002B2CF9AE}" pid="4" name="LastSaved">
    <vt:filetime>2018-10-19T00:00:00Z</vt:filetime>
  </property>
</Properties>
</file>