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253792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190 号</w:t>
      </w:r>
    </w:p>
    <w:p>
      <w:pPr>
        <w:pStyle w:val="BodyText"/>
        <w:rPr>
          <w:sz w:val="20"/>
        </w:rPr>
      </w:pPr>
    </w:p>
    <w:p>
      <w:pPr>
        <w:pStyle w:val="BodyText"/>
        <w:spacing w:before="6"/>
        <w:rPr>
          <w:sz w:val="19"/>
        </w:rPr>
      </w:pPr>
    </w:p>
    <w:p>
      <w:pPr>
        <w:pStyle w:val="Heading1"/>
        <w:spacing w:before="1"/>
        <w:ind w:left="2008"/>
      </w:pPr>
      <w:r>
        <w:rPr/>
        <w:t>泰康附加吉祥少儿多次给付重大疾病保险条款</w:t>
      </w:r>
    </w:p>
    <w:p>
      <w:pPr>
        <w:pStyle w:val="BodyText"/>
        <w:spacing w:before="15"/>
        <w:rPr>
          <w:rFonts w:ascii="微软雅黑"/>
          <w:b/>
          <w:sz w:val="6"/>
        </w:rPr>
      </w:pPr>
    </w:p>
    <w:p>
      <w:pPr>
        <w:spacing w:after="0"/>
        <w:rPr>
          <w:rFonts w:ascii="微软雅黑"/>
          <w:sz w:val="6"/>
        </w:rPr>
        <w:sectPr>
          <w:type w:val="continuous"/>
          <w:pgSz w:w="11910" w:h="16840"/>
          <w:pgMar w:top="880" w:bottom="280" w:left="74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19"/>
        <w:ind w:left="2043"/>
      </w:pPr>
      <w:r>
        <w:rPr/>
        <w:br w:type="column"/>
      </w:r>
      <w:r>
        <w:rPr/>
        <w:t>请扫描以查询验证条款</w:t>
      </w:r>
    </w:p>
    <w:p>
      <w:pPr>
        <w:spacing w:after="0"/>
        <w:sectPr>
          <w:type w:val="continuous"/>
          <w:pgSz w:w="11910" w:h="16840"/>
          <w:pgMar w:top="880" w:bottom="280" w:left="740" w:right="260"/>
          <w:cols w:num="2" w:equalWidth="0">
            <w:col w:w="6094" w:space="40"/>
            <w:col w:w="4776"/>
          </w:cols>
        </w:sectPr>
      </w:pPr>
    </w:p>
    <w:p>
      <w:pPr>
        <w:pStyle w:val="BodyText"/>
        <w:spacing w:before="110"/>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228" w:val="left" w:leader="none"/>
        </w:tabs>
        <w:spacing w:before="33"/>
        <w:ind w:left="217" w:right="0" w:firstLine="0"/>
        <w:jc w:val="left"/>
        <w:rPr>
          <w:b/>
          <w:sz w:val="21"/>
        </w:rPr>
      </w:pPr>
      <w:r>
        <w:rPr/>
        <w:pict>
          <v:group style="position:absolute;margin-left:42.240002pt;margin-top:1.797712pt;width:510.85pt;height:591.6pt;mso-position-horizontal-relative:page;mso-position-vertical-relative:paragraph;z-index:-27640"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28" w:val="left" w:leader="none"/>
        </w:tabs>
        <w:spacing w:before="22"/>
        <w:ind w:left="21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1"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1"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1"/>
        <w:ind w:left="21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8" w:val="left" w:leader="none"/>
        </w:tabs>
        <w:spacing w:before="25"/>
        <w:ind w:left="21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2"/>
        <w:gridCol w:w="4180"/>
      </w:tblGrid>
      <w:tr>
        <w:trPr>
          <w:trHeight w:val="4649" w:hRule="atLeast"/>
        </w:trPr>
        <w:tc>
          <w:tcPr>
            <w:tcW w:w="2564"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9" w:val="left" w:leader="none"/>
              </w:tabs>
              <w:spacing w:line="273"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投保年龄</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保险金额</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责任免除</w:t>
            </w:r>
          </w:p>
          <w:p>
            <w:pPr>
              <w:pStyle w:val="TableParagraph"/>
              <w:spacing w:line="272"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2"/>
                <w:sz w:val="21"/>
              </w:rPr>
              <w:t>受益人</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诉讼时效</w:t>
            </w:r>
          </w:p>
          <w:p>
            <w:pPr>
              <w:pStyle w:val="TableParagraph"/>
              <w:spacing w:line="274" w:lineRule="exact"/>
              <w:ind w:left="200"/>
              <w:rPr>
                <w:b/>
                <w:sz w:val="21"/>
              </w:rPr>
            </w:pPr>
            <w:r>
              <w:rPr>
                <w:b/>
                <w:sz w:val="21"/>
              </w:rPr>
              <w:t>4.保险费的交纳</w:t>
            </w:r>
          </w:p>
        </w:tc>
        <w:tc>
          <w:tcPr>
            <w:tcW w:w="3282" w:type="dxa"/>
          </w:tcPr>
          <w:p>
            <w:pPr>
              <w:pStyle w:val="TableParagraph"/>
              <w:numPr>
                <w:ilvl w:val="1"/>
                <w:numId w:val="5"/>
              </w:numPr>
              <w:tabs>
                <w:tab w:pos="779" w:val="left" w:leader="none"/>
              </w:tabs>
              <w:spacing w:line="209" w:lineRule="exact" w:before="0" w:after="0"/>
              <w:ind w:left="778" w:right="0" w:hanging="418"/>
              <w:jc w:val="left"/>
              <w:rPr>
                <w:sz w:val="21"/>
              </w:rPr>
            </w:pPr>
            <w:r>
              <w:rPr>
                <w:spacing w:val="-3"/>
                <w:sz w:val="21"/>
              </w:rPr>
              <w:t>保险费的交纳</w:t>
            </w:r>
          </w:p>
          <w:p>
            <w:pPr>
              <w:pStyle w:val="TableParagraph"/>
              <w:numPr>
                <w:ilvl w:val="1"/>
                <w:numId w:val="5"/>
              </w:numPr>
              <w:tabs>
                <w:tab w:pos="779" w:val="left" w:leader="none"/>
              </w:tabs>
              <w:spacing w:line="273" w:lineRule="exact" w:before="0" w:after="0"/>
              <w:ind w:left="778" w:right="0" w:hanging="418"/>
              <w:jc w:val="left"/>
              <w:rPr>
                <w:sz w:val="21"/>
              </w:rPr>
            </w:pPr>
            <w:r>
              <w:rPr>
                <w:spacing w:val="-2"/>
                <w:sz w:val="21"/>
              </w:rPr>
              <w:t>宽限期</w:t>
            </w:r>
          </w:p>
          <w:p>
            <w:pPr>
              <w:pStyle w:val="TableParagraph"/>
              <w:spacing w:line="272" w:lineRule="exact"/>
              <w:ind w:left="252"/>
              <w:rPr>
                <w:b/>
                <w:sz w:val="21"/>
              </w:rPr>
            </w:pPr>
            <w:r>
              <w:rPr>
                <w:b/>
                <w:sz w:val="21"/>
              </w:rPr>
              <w:t>5.现金价值权益</w:t>
            </w:r>
          </w:p>
          <w:p>
            <w:pPr>
              <w:pStyle w:val="TableParagraph"/>
              <w:spacing w:line="272" w:lineRule="exact"/>
              <w:ind w:left="358"/>
              <w:rPr>
                <w:sz w:val="21"/>
              </w:rPr>
            </w:pPr>
            <w:r>
              <w:rPr>
                <w:sz w:val="21"/>
              </w:rPr>
              <w:t>5.1 现金价值</w:t>
            </w:r>
          </w:p>
          <w:p>
            <w:pPr>
              <w:pStyle w:val="TableParagraph"/>
              <w:spacing w:line="272" w:lineRule="exact"/>
              <w:ind w:left="252"/>
              <w:rPr>
                <w:b/>
                <w:sz w:val="21"/>
              </w:rPr>
            </w:pPr>
            <w:r>
              <w:rPr>
                <w:b/>
                <w:sz w:val="21"/>
              </w:rPr>
              <w:t>6.合同效力的中止及恢复</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效力中止</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效力恢复</w:t>
            </w:r>
          </w:p>
          <w:p>
            <w:pPr>
              <w:pStyle w:val="TableParagraph"/>
              <w:spacing w:line="272" w:lineRule="exact"/>
              <w:ind w:left="252"/>
              <w:rPr>
                <w:b/>
                <w:sz w:val="21"/>
              </w:rPr>
            </w:pPr>
            <w:r>
              <w:rPr>
                <w:b/>
                <w:sz w:val="21"/>
              </w:rPr>
              <w:t>7.合同解除</w:t>
            </w:r>
          </w:p>
          <w:p>
            <w:pPr>
              <w:pStyle w:val="TableParagraph"/>
              <w:spacing w:line="272" w:lineRule="exact"/>
              <w:ind w:left="358"/>
              <w:rPr>
                <w:sz w:val="21"/>
              </w:rPr>
            </w:pPr>
            <w:r>
              <w:rPr>
                <w:sz w:val="21"/>
              </w:rPr>
              <w:t>7.1 您解除合同的手续及风险</w:t>
            </w:r>
          </w:p>
          <w:p>
            <w:pPr>
              <w:pStyle w:val="TableParagraph"/>
              <w:spacing w:line="272" w:lineRule="exact"/>
              <w:ind w:left="252"/>
              <w:rPr>
                <w:b/>
                <w:sz w:val="21"/>
              </w:rPr>
            </w:pPr>
            <w:r>
              <w:rPr>
                <w:b/>
                <w:sz w:val="21"/>
              </w:rPr>
              <w:t>8.其他需要关注的事项</w:t>
            </w:r>
          </w:p>
          <w:p>
            <w:pPr>
              <w:pStyle w:val="TableParagraph"/>
              <w:numPr>
                <w:ilvl w:val="1"/>
                <w:numId w:val="7"/>
              </w:numPr>
              <w:tabs>
                <w:tab w:pos="781" w:val="left" w:leader="none"/>
              </w:tabs>
              <w:spacing w:line="272" w:lineRule="exact" w:before="0" w:after="0"/>
              <w:ind w:left="781" w:right="0" w:hanging="423"/>
              <w:jc w:val="left"/>
              <w:rPr>
                <w:sz w:val="21"/>
              </w:rPr>
            </w:pPr>
            <w:r>
              <w:rPr>
                <w:spacing w:val="-3"/>
                <w:sz w:val="21"/>
              </w:rPr>
              <w:t>效力终止</w:t>
            </w:r>
          </w:p>
          <w:p>
            <w:pPr>
              <w:pStyle w:val="TableParagraph"/>
              <w:numPr>
                <w:ilvl w:val="1"/>
                <w:numId w:val="7"/>
              </w:numPr>
              <w:tabs>
                <w:tab w:pos="781" w:val="left" w:leader="none"/>
              </w:tabs>
              <w:spacing w:line="272" w:lineRule="exact" w:before="0" w:after="0"/>
              <w:ind w:left="781" w:right="0" w:hanging="423"/>
              <w:jc w:val="left"/>
              <w:rPr>
                <w:sz w:val="21"/>
              </w:rPr>
            </w:pPr>
            <w:r>
              <w:rPr>
                <w:spacing w:val="-3"/>
                <w:sz w:val="21"/>
              </w:rPr>
              <w:t>适用主合同条款</w:t>
            </w:r>
          </w:p>
          <w:p>
            <w:pPr>
              <w:pStyle w:val="TableParagraph"/>
              <w:spacing w:line="272" w:lineRule="exact"/>
              <w:ind w:left="252"/>
              <w:rPr>
                <w:b/>
                <w:sz w:val="21"/>
              </w:rPr>
            </w:pPr>
            <w:r>
              <w:rPr>
                <w:b/>
                <w:sz w:val="21"/>
              </w:rPr>
              <w:t>9.重大疾病定义</w:t>
            </w:r>
          </w:p>
          <w:p>
            <w:pPr>
              <w:pStyle w:val="TableParagraph"/>
              <w:spacing w:line="272" w:lineRule="exact"/>
              <w:ind w:left="252"/>
              <w:rPr>
                <w:b/>
                <w:sz w:val="21"/>
              </w:rPr>
            </w:pPr>
            <w:r>
              <w:rPr>
                <w:b/>
                <w:sz w:val="21"/>
              </w:rPr>
              <w:t>10.释义</w:t>
            </w:r>
          </w:p>
          <w:p>
            <w:pPr>
              <w:pStyle w:val="TableParagraph"/>
              <w:numPr>
                <w:ilvl w:val="1"/>
                <w:numId w:val="8"/>
              </w:numPr>
              <w:tabs>
                <w:tab w:pos="832" w:val="left" w:leader="none"/>
              </w:tabs>
              <w:spacing w:line="273" w:lineRule="exact" w:before="0" w:after="0"/>
              <w:ind w:left="831" w:right="0" w:hanging="473"/>
              <w:jc w:val="left"/>
              <w:rPr>
                <w:sz w:val="21"/>
              </w:rPr>
            </w:pPr>
            <w:r>
              <w:rPr>
                <w:spacing w:val="-2"/>
                <w:sz w:val="21"/>
              </w:rPr>
              <w:t>保单年度</w:t>
            </w:r>
          </w:p>
          <w:p>
            <w:pPr>
              <w:pStyle w:val="TableParagraph"/>
              <w:numPr>
                <w:ilvl w:val="1"/>
                <w:numId w:val="8"/>
              </w:numPr>
              <w:tabs>
                <w:tab w:pos="832" w:val="left" w:leader="none"/>
              </w:tabs>
              <w:spacing w:line="273" w:lineRule="exact" w:before="0" w:after="0"/>
              <w:ind w:left="831" w:right="0" w:hanging="473"/>
              <w:jc w:val="left"/>
              <w:rPr>
                <w:sz w:val="21"/>
              </w:rPr>
            </w:pPr>
            <w:r>
              <w:rPr>
                <w:spacing w:val="-3"/>
                <w:sz w:val="21"/>
              </w:rPr>
              <w:t>保险费约定交纳日</w:t>
            </w:r>
          </w:p>
          <w:p>
            <w:pPr>
              <w:pStyle w:val="TableParagraph"/>
              <w:numPr>
                <w:ilvl w:val="1"/>
                <w:numId w:val="8"/>
              </w:numPr>
              <w:tabs>
                <w:tab w:pos="832" w:val="left" w:leader="none"/>
              </w:tabs>
              <w:spacing w:line="274" w:lineRule="exact" w:before="0" w:after="0"/>
              <w:ind w:left="831" w:right="0" w:hanging="473"/>
              <w:jc w:val="left"/>
              <w:rPr>
                <w:sz w:val="21"/>
              </w:rPr>
            </w:pPr>
            <w:r>
              <w:rPr>
                <w:sz w:val="21"/>
              </w:rPr>
              <w:t>周岁</w:t>
            </w:r>
          </w:p>
        </w:tc>
        <w:tc>
          <w:tcPr>
            <w:tcW w:w="4180" w:type="dxa"/>
          </w:tcPr>
          <w:p>
            <w:pPr>
              <w:pStyle w:val="TableParagraph"/>
              <w:numPr>
                <w:ilvl w:val="1"/>
                <w:numId w:val="9"/>
              </w:numPr>
              <w:tabs>
                <w:tab w:pos="721" w:val="left" w:leader="none"/>
              </w:tabs>
              <w:spacing w:line="209" w:lineRule="exact" w:before="0" w:after="0"/>
              <w:ind w:left="720" w:right="0" w:hanging="526"/>
              <w:jc w:val="left"/>
              <w:rPr>
                <w:sz w:val="21"/>
              </w:rPr>
            </w:pPr>
            <w:r>
              <w:rPr>
                <w:spacing w:val="-3"/>
                <w:sz w:val="21"/>
              </w:rPr>
              <w:t>有效身份证件</w:t>
            </w:r>
          </w:p>
          <w:p>
            <w:pPr>
              <w:pStyle w:val="TableParagraph"/>
              <w:numPr>
                <w:ilvl w:val="1"/>
                <w:numId w:val="9"/>
              </w:numPr>
              <w:tabs>
                <w:tab w:pos="721" w:val="left" w:leader="none"/>
              </w:tabs>
              <w:spacing w:line="273" w:lineRule="exact" w:before="0" w:after="0"/>
              <w:ind w:left="720" w:right="0" w:hanging="526"/>
              <w:jc w:val="left"/>
              <w:rPr>
                <w:sz w:val="21"/>
              </w:rPr>
            </w:pPr>
            <w:r>
              <w:rPr>
                <w:sz w:val="21"/>
              </w:rPr>
              <w:t>医院</w:t>
            </w:r>
          </w:p>
          <w:p>
            <w:pPr>
              <w:pStyle w:val="TableParagraph"/>
              <w:numPr>
                <w:ilvl w:val="1"/>
                <w:numId w:val="9"/>
              </w:numPr>
              <w:tabs>
                <w:tab w:pos="721" w:val="left" w:leader="none"/>
              </w:tabs>
              <w:spacing w:line="272" w:lineRule="exact" w:before="0" w:after="0"/>
              <w:ind w:left="720" w:right="0" w:hanging="526"/>
              <w:jc w:val="left"/>
              <w:rPr>
                <w:sz w:val="21"/>
              </w:rPr>
            </w:pPr>
            <w:r>
              <w:rPr>
                <w:spacing w:val="-2"/>
                <w:sz w:val="21"/>
              </w:rPr>
              <w:t>意外伤害</w:t>
            </w:r>
          </w:p>
          <w:p>
            <w:pPr>
              <w:pStyle w:val="TableParagraph"/>
              <w:numPr>
                <w:ilvl w:val="1"/>
                <w:numId w:val="9"/>
              </w:numPr>
              <w:tabs>
                <w:tab w:pos="721" w:val="left" w:leader="none"/>
              </w:tabs>
              <w:spacing w:line="272" w:lineRule="exact" w:before="0" w:after="0"/>
              <w:ind w:left="720" w:right="0" w:hanging="526"/>
              <w:jc w:val="left"/>
              <w:rPr>
                <w:sz w:val="21"/>
              </w:rPr>
            </w:pPr>
            <w:r>
              <w:rPr>
                <w:spacing w:val="-2"/>
                <w:sz w:val="21"/>
              </w:rPr>
              <w:t>现金价值</w:t>
            </w:r>
          </w:p>
          <w:p>
            <w:pPr>
              <w:pStyle w:val="TableParagraph"/>
              <w:numPr>
                <w:ilvl w:val="1"/>
                <w:numId w:val="9"/>
              </w:numPr>
              <w:tabs>
                <w:tab w:pos="721" w:val="left" w:leader="none"/>
              </w:tabs>
              <w:spacing w:line="272" w:lineRule="exact" w:before="0" w:after="0"/>
              <w:ind w:left="720" w:right="0" w:hanging="526"/>
              <w:jc w:val="left"/>
              <w:rPr>
                <w:sz w:val="21"/>
              </w:rPr>
            </w:pPr>
            <w:r>
              <w:rPr>
                <w:sz w:val="21"/>
              </w:rPr>
              <w:t>毒品</w:t>
            </w:r>
          </w:p>
          <w:p>
            <w:pPr>
              <w:pStyle w:val="TableParagraph"/>
              <w:numPr>
                <w:ilvl w:val="1"/>
                <w:numId w:val="9"/>
              </w:numPr>
              <w:tabs>
                <w:tab w:pos="721" w:val="left" w:leader="none"/>
              </w:tabs>
              <w:spacing w:line="272" w:lineRule="exact" w:before="0" w:after="0"/>
              <w:ind w:left="720" w:right="0" w:hanging="526"/>
              <w:jc w:val="left"/>
              <w:rPr>
                <w:sz w:val="21"/>
              </w:rPr>
            </w:pPr>
            <w:r>
              <w:rPr>
                <w:spacing w:val="-2"/>
                <w:sz w:val="21"/>
              </w:rPr>
              <w:t>酒后驾驶</w:t>
            </w:r>
          </w:p>
          <w:p>
            <w:pPr>
              <w:pStyle w:val="TableParagraph"/>
              <w:numPr>
                <w:ilvl w:val="1"/>
                <w:numId w:val="9"/>
              </w:numPr>
              <w:tabs>
                <w:tab w:pos="826" w:val="left" w:leader="none"/>
              </w:tabs>
              <w:spacing w:line="272" w:lineRule="exact" w:before="0" w:after="0"/>
              <w:ind w:left="825" w:right="0" w:hanging="631"/>
              <w:jc w:val="left"/>
              <w:rPr>
                <w:sz w:val="21"/>
              </w:rPr>
            </w:pPr>
            <w:r>
              <w:rPr>
                <w:spacing w:val="-3"/>
                <w:sz w:val="21"/>
              </w:rPr>
              <w:t>无合法有效驾驶证驾驶</w:t>
            </w:r>
          </w:p>
          <w:p>
            <w:pPr>
              <w:pStyle w:val="TableParagraph"/>
              <w:numPr>
                <w:ilvl w:val="1"/>
                <w:numId w:val="9"/>
              </w:numPr>
              <w:tabs>
                <w:tab w:pos="826" w:val="left" w:leader="none"/>
              </w:tabs>
              <w:spacing w:line="272" w:lineRule="exact" w:before="0" w:after="0"/>
              <w:ind w:left="825" w:right="0" w:hanging="631"/>
              <w:jc w:val="left"/>
              <w:rPr>
                <w:sz w:val="21"/>
              </w:rPr>
            </w:pPr>
            <w:r>
              <w:rPr>
                <w:spacing w:val="-3"/>
                <w:sz w:val="21"/>
              </w:rPr>
              <w:t>无有效行驶证</w:t>
            </w:r>
          </w:p>
          <w:p>
            <w:pPr>
              <w:pStyle w:val="TableParagraph"/>
              <w:numPr>
                <w:ilvl w:val="1"/>
                <w:numId w:val="9"/>
              </w:numPr>
              <w:tabs>
                <w:tab w:pos="826" w:val="left" w:leader="none"/>
              </w:tabs>
              <w:spacing w:line="272" w:lineRule="exact" w:before="0" w:after="0"/>
              <w:ind w:left="825" w:right="0" w:hanging="631"/>
              <w:jc w:val="left"/>
              <w:rPr>
                <w:sz w:val="21"/>
              </w:rPr>
            </w:pPr>
            <w:r>
              <w:rPr>
                <w:spacing w:val="-2"/>
                <w:sz w:val="21"/>
              </w:rPr>
              <w:t>机动车</w:t>
            </w:r>
          </w:p>
          <w:p>
            <w:pPr>
              <w:pStyle w:val="TableParagraph"/>
              <w:numPr>
                <w:ilvl w:val="1"/>
                <w:numId w:val="9"/>
              </w:numPr>
              <w:tabs>
                <w:tab w:pos="826" w:val="left" w:leader="none"/>
              </w:tabs>
              <w:spacing w:line="272" w:lineRule="exact" w:before="0" w:after="0"/>
              <w:ind w:left="825" w:right="0" w:hanging="631"/>
              <w:jc w:val="left"/>
              <w:rPr>
                <w:sz w:val="21"/>
              </w:rPr>
            </w:pPr>
            <w:r>
              <w:rPr>
                <w:spacing w:val="-3"/>
                <w:sz w:val="21"/>
              </w:rPr>
              <w:t>感染艾滋病病毒或患艾滋病</w:t>
            </w:r>
          </w:p>
          <w:p>
            <w:pPr>
              <w:pStyle w:val="TableParagraph"/>
              <w:numPr>
                <w:ilvl w:val="1"/>
                <w:numId w:val="9"/>
              </w:numPr>
              <w:tabs>
                <w:tab w:pos="826" w:val="left" w:leader="none"/>
              </w:tabs>
              <w:spacing w:line="272" w:lineRule="exact" w:before="0" w:after="0"/>
              <w:ind w:left="825" w:right="0" w:hanging="631"/>
              <w:jc w:val="left"/>
              <w:rPr>
                <w:sz w:val="21"/>
              </w:rPr>
            </w:pPr>
            <w:r>
              <w:rPr>
                <w:spacing w:val="-3"/>
                <w:sz w:val="21"/>
              </w:rPr>
              <w:t>遗传性疾病</w:t>
            </w:r>
          </w:p>
          <w:p>
            <w:pPr>
              <w:pStyle w:val="TableParagraph"/>
              <w:numPr>
                <w:ilvl w:val="1"/>
                <w:numId w:val="9"/>
              </w:numPr>
              <w:tabs>
                <w:tab w:pos="826" w:val="left" w:leader="none"/>
              </w:tabs>
              <w:spacing w:line="272" w:lineRule="exact" w:before="0" w:after="0"/>
              <w:ind w:left="825" w:right="0" w:hanging="631"/>
              <w:jc w:val="left"/>
              <w:rPr>
                <w:sz w:val="21"/>
              </w:rPr>
            </w:pPr>
            <w:r>
              <w:rPr>
                <w:spacing w:val="-3"/>
                <w:sz w:val="21"/>
              </w:rPr>
              <w:t>先天性畸形、变形或染色体异常</w:t>
            </w:r>
          </w:p>
          <w:p>
            <w:pPr>
              <w:pStyle w:val="TableParagraph"/>
              <w:numPr>
                <w:ilvl w:val="1"/>
                <w:numId w:val="9"/>
              </w:numPr>
              <w:tabs>
                <w:tab w:pos="826" w:val="left" w:leader="none"/>
              </w:tabs>
              <w:spacing w:line="272" w:lineRule="exact" w:before="0" w:after="0"/>
              <w:ind w:left="825" w:right="0" w:hanging="631"/>
              <w:jc w:val="left"/>
              <w:rPr>
                <w:sz w:val="21"/>
              </w:rPr>
            </w:pPr>
            <w:r>
              <w:rPr>
                <w:spacing w:val="-2"/>
                <w:sz w:val="21"/>
              </w:rPr>
              <w:t>专科医生</w:t>
            </w:r>
          </w:p>
          <w:p>
            <w:pPr>
              <w:pStyle w:val="TableParagraph"/>
              <w:numPr>
                <w:ilvl w:val="1"/>
                <w:numId w:val="9"/>
              </w:numPr>
              <w:tabs>
                <w:tab w:pos="826" w:val="left" w:leader="none"/>
              </w:tabs>
              <w:spacing w:line="273" w:lineRule="exact" w:before="0" w:after="0"/>
              <w:ind w:left="825" w:right="0" w:hanging="631"/>
              <w:jc w:val="left"/>
              <w:rPr>
                <w:sz w:val="21"/>
              </w:rPr>
            </w:pPr>
            <w:r>
              <w:rPr>
                <w:spacing w:val="-3"/>
                <w:sz w:val="21"/>
              </w:rPr>
              <w:t>永久不可逆</w:t>
            </w:r>
          </w:p>
          <w:p>
            <w:pPr>
              <w:pStyle w:val="TableParagraph"/>
              <w:numPr>
                <w:ilvl w:val="1"/>
                <w:numId w:val="9"/>
              </w:numPr>
              <w:tabs>
                <w:tab w:pos="821" w:val="left" w:leader="none"/>
              </w:tabs>
              <w:spacing w:line="240" w:lineRule="auto" w:before="20" w:after="0"/>
              <w:ind w:left="821" w:right="0" w:hanging="632"/>
              <w:jc w:val="left"/>
              <w:rPr>
                <w:sz w:val="21"/>
              </w:rPr>
            </w:pPr>
            <w:r>
              <w:rPr>
                <w:spacing w:val="-3"/>
                <w:sz w:val="21"/>
              </w:rPr>
              <w:t>肢体机能完全丧失</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语言能力或咀嚼吞咽能力完全丧失</w:t>
            </w:r>
          </w:p>
          <w:p>
            <w:pPr>
              <w:pStyle w:val="TableParagraph"/>
              <w:numPr>
                <w:ilvl w:val="1"/>
                <w:numId w:val="9"/>
              </w:numPr>
              <w:tabs>
                <w:tab w:pos="826" w:val="left" w:leader="none"/>
              </w:tabs>
              <w:spacing w:line="255" w:lineRule="exact" w:before="15" w:after="0"/>
              <w:ind w:left="825" w:right="0" w:hanging="631"/>
              <w:jc w:val="left"/>
              <w:rPr>
                <w:sz w:val="21"/>
              </w:rPr>
            </w:pPr>
            <w:r>
              <w:rPr>
                <w:spacing w:val="-3"/>
                <w:sz w:val="21"/>
              </w:rPr>
              <w:t>六项基本日常生活活动</w:t>
            </w:r>
          </w:p>
        </w:tc>
      </w:tr>
    </w:tbl>
    <w:p>
      <w:pPr>
        <w:spacing w:after="0" w:line="255" w:lineRule="exact"/>
        <w:jc w:val="left"/>
        <w:rPr>
          <w:sz w:val="21"/>
        </w:rPr>
        <w:sectPr>
          <w:type w:val="continuous"/>
          <w:pgSz w:w="11910" w:h="16840"/>
          <w:pgMar w:top="880" w:bottom="280" w:left="740" w:right="26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泰康附加吉祥少儿多次给付重大疾病保险条款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分公司，“本附加合同”指您与我们之间订立的“泰康附加吉祥少儿多次给付重大疾病保险合同”，“被保险</w:t>
      </w:r>
      <w:r>
        <w:rPr>
          <w:spacing w:val="-3"/>
        </w:rPr>
        <w:t>人”指本附加合同的被保险人，投保人、被保险人的姓名在保险单上载明。</w:t>
      </w:r>
    </w:p>
    <w:p>
      <w:pPr>
        <w:pStyle w:val="BodyText"/>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40" w:lineRule="exact"/>
              <w:rPr>
                <w:b/>
                <w:sz w:val="24"/>
              </w:rPr>
            </w:pPr>
            <w:r>
              <w:rPr>
                <w:b/>
                <w:sz w:val="24"/>
              </w:rPr>
              <w:t>1.</w:t>
            </w:r>
          </w:p>
        </w:tc>
        <w:tc>
          <w:tcPr>
            <w:tcW w:w="9472"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1"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1.1</w:t>
            </w:r>
          </w:p>
        </w:tc>
        <w:tc>
          <w:tcPr>
            <w:tcW w:w="1949"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合同构成</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left="148" w:right="106"/>
              <w:jc w:val="both"/>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89"/>
              <w:ind w:left="148" w:right="101"/>
              <w:jc w:val="both"/>
              <w:rPr>
                <w:sz w:val="21"/>
              </w:rPr>
            </w:pPr>
            <w:r>
              <w:rPr>
                <w:spacing w:val="-7"/>
                <w:sz w:val="21"/>
              </w:rPr>
              <w:t>本附加合同是您与我们约定保险权利义务关系的协议，包括本保险条款、保险单</w:t>
            </w:r>
            <w:r>
              <w:rPr>
                <w:spacing w:val="-12"/>
                <w:sz w:val="21"/>
              </w:rPr>
              <w:t>或其他保险凭证、投保单、与本附加合同有关的投保文件、合法有效的声明、批</w:t>
            </w:r>
            <w:r>
              <w:rPr>
                <w:spacing w:val="-6"/>
                <w:sz w:val="21"/>
              </w:rPr>
              <w:t>注、批单及其他您与我们共同认可的书面协议。</w:t>
            </w:r>
          </w:p>
        </w:tc>
      </w:tr>
      <w:tr>
        <w:trPr>
          <w:trHeight w:val="1573" w:hRule="atLeast"/>
        </w:trPr>
        <w:tc>
          <w:tcPr>
            <w:tcW w:w="747" w:type="dxa"/>
          </w:tcPr>
          <w:p>
            <w:pPr>
              <w:pStyle w:val="TableParagraph"/>
              <w:spacing w:before="110"/>
              <w:rPr>
                <w:b/>
                <w:sz w:val="21"/>
              </w:rPr>
            </w:pPr>
            <w:r>
              <w:rPr>
                <w:b/>
                <w:sz w:val="21"/>
              </w:rPr>
              <w:t>1.2</w:t>
            </w:r>
          </w:p>
        </w:tc>
        <w:tc>
          <w:tcPr>
            <w:tcW w:w="1949" w:type="dxa"/>
          </w:tcPr>
          <w:p>
            <w:pPr>
              <w:pStyle w:val="TableParagraph"/>
              <w:spacing w:before="110"/>
              <w:ind w:left="321"/>
              <w:rPr>
                <w:b/>
                <w:sz w:val="21"/>
              </w:rPr>
            </w:pPr>
            <w:r>
              <w:rPr>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71" w:lineRule="auto" w:before="86"/>
              <w:ind w:left="148" w:right="104"/>
              <w:rPr>
                <w:sz w:val="21"/>
              </w:rPr>
            </w:pPr>
            <w:r>
              <w:rPr>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tc>
      </w:tr>
      <w:tr>
        <w:trPr>
          <w:trHeight w:val="561" w:hRule="atLeast"/>
        </w:trPr>
        <w:tc>
          <w:tcPr>
            <w:tcW w:w="747" w:type="dxa"/>
          </w:tcPr>
          <w:p>
            <w:pPr>
              <w:pStyle w:val="TableParagraph"/>
              <w:spacing w:before="111"/>
              <w:rPr>
                <w:b/>
                <w:sz w:val="21"/>
              </w:rPr>
            </w:pPr>
            <w:r>
              <w:rPr>
                <w:b/>
                <w:sz w:val="21"/>
              </w:rPr>
              <w:t>1.3</w:t>
            </w:r>
          </w:p>
        </w:tc>
        <w:tc>
          <w:tcPr>
            <w:tcW w:w="1949" w:type="dxa"/>
          </w:tcPr>
          <w:p>
            <w:pPr>
              <w:pStyle w:val="TableParagraph"/>
              <w:spacing w:before="111"/>
              <w:ind w:left="321"/>
              <w:rPr>
                <w:b/>
                <w:sz w:val="21"/>
              </w:rPr>
            </w:pPr>
            <w:r>
              <w:rPr>
                <w:b/>
                <w:sz w:val="21"/>
              </w:rPr>
              <w:t>投保年龄</w:t>
            </w:r>
          </w:p>
        </w:tc>
        <w:tc>
          <w:tcPr>
            <w:tcW w:w="7523" w:type="dxa"/>
          </w:tcPr>
          <w:p>
            <w:pPr>
              <w:pStyle w:val="TableParagraph"/>
              <w:spacing w:before="111"/>
              <w:ind w:left="148"/>
              <w:rPr>
                <w:sz w:val="21"/>
              </w:rPr>
            </w:pPr>
            <w:r>
              <w:rPr>
                <w:sz w:val="21"/>
              </w:rPr>
              <w:t>投保年龄指您投保时被保险人的年龄，以</w:t>
            </w:r>
            <w:r>
              <w:rPr>
                <w:b/>
                <w:sz w:val="21"/>
              </w:rPr>
              <w:t>周岁</w:t>
            </w:r>
            <w:r>
              <w:rPr>
                <w:sz w:val="21"/>
              </w:rPr>
              <w:t>（见 10.3）计算。</w:t>
            </w:r>
          </w:p>
        </w:tc>
      </w:tr>
      <w:tr>
        <w:trPr>
          <w:trHeight w:val="2526" w:hRule="atLeast"/>
        </w:trPr>
        <w:tc>
          <w:tcPr>
            <w:tcW w:w="747" w:type="dxa"/>
          </w:tcPr>
          <w:p>
            <w:pPr>
              <w:pStyle w:val="TableParagraph"/>
              <w:spacing w:before="111"/>
              <w:rPr>
                <w:b/>
                <w:sz w:val="21"/>
              </w:rPr>
            </w:pPr>
            <w:r>
              <w:rPr>
                <w:b/>
                <w:sz w:val="21"/>
              </w:rPr>
              <w:t>1.4</w:t>
            </w:r>
          </w:p>
        </w:tc>
        <w:tc>
          <w:tcPr>
            <w:tcW w:w="1949" w:type="dxa"/>
          </w:tcPr>
          <w:p>
            <w:pPr>
              <w:pStyle w:val="TableParagraph"/>
              <w:spacing w:before="111"/>
              <w:ind w:left="321"/>
              <w:rPr>
                <w:b/>
                <w:sz w:val="21"/>
              </w:rPr>
            </w:pPr>
            <w:r>
              <w:rPr>
                <w:b/>
                <w:sz w:val="21"/>
              </w:rPr>
              <w:t>犹豫期</w:t>
            </w:r>
          </w:p>
        </w:tc>
        <w:tc>
          <w:tcPr>
            <w:tcW w:w="7523" w:type="dxa"/>
          </w:tcPr>
          <w:p>
            <w:pPr>
              <w:pStyle w:val="TableParagraph"/>
              <w:spacing w:line="271" w:lineRule="auto" w:before="111"/>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附加合同，我们将向您无息退还所交纳的保险费。</w:t>
            </w:r>
          </w:p>
          <w:p>
            <w:pPr>
              <w:pStyle w:val="TableParagraph"/>
              <w:spacing w:line="273" w:lineRule="auto" w:before="88"/>
              <w:ind w:left="148" w:right="101"/>
              <w:jc w:val="both"/>
              <w:rPr>
                <w:rFonts w:ascii="黑体" w:eastAsia="黑体" w:hint="eastAsia"/>
                <w:sz w:val="21"/>
              </w:rPr>
            </w:pPr>
            <w:r>
              <w:rPr>
                <w:spacing w:val="-9"/>
                <w:sz w:val="21"/>
              </w:rPr>
              <w:t>解除本附加合同时，您须填写解除合同申请书，并提供本附加合同、您的</w:t>
            </w:r>
            <w:r>
              <w:rPr>
                <w:b/>
                <w:sz w:val="21"/>
              </w:rPr>
              <w:t>有效身份证件</w:t>
            </w:r>
            <w:r>
              <w:rPr>
                <w:spacing w:val="-3"/>
                <w:sz w:val="21"/>
              </w:rPr>
              <w:t>（</w:t>
            </w:r>
            <w:r>
              <w:rPr>
                <w:spacing w:val="15"/>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r>
              <w:rPr>
                <w:rFonts w:ascii="黑体" w:eastAsia="黑体" w:hint="eastAsia"/>
                <w:spacing w:val="-5"/>
                <w:sz w:val="21"/>
              </w:rPr>
              <w:t>给付保险金的责任。</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2.</w:t>
            </w:r>
          </w:p>
        </w:tc>
        <w:tc>
          <w:tcPr>
            <w:tcW w:w="9472" w:type="dxa"/>
            <w:gridSpan w:val="2"/>
            <w:tcBorders>
              <w:bottom w:val="single" w:sz="8" w:space="0" w:color="000000"/>
            </w:tcBorders>
          </w:tcPr>
          <w:p>
            <w:pPr>
              <w:pStyle w:val="TableParagraph"/>
              <w:spacing w:before="116"/>
              <w:ind w:left="321"/>
              <w:rPr>
                <w:b/>
                <w:sz w:val="24"/>
              </w:rPr>
            </w:pPr>
            <w:r>
              <w:rPr>
                <w:b/>
                <w:w w:val="95"/>
                <w:sz w:val="24"/>
              </w:rPr>
              <w:t>我们提供的保障</w:t>
            </w:r>
          </w:p>
        </w:tc>
      </w:tr>
      <w:tr>
        <w:trPr>
          <w:trHeight w:val="665"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2.1</w:t>
            </w:r>
          </w:p>
        </w:tc>
        <w:tc>
          <w:tcPr>
            <w:tcW w:w="1949"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保险金额</w:t>
            </w:r>
          </w:p>
        </w:tc>
        <w:tc>
          <w:tcPr>
            <w:tcW w:w="7523" w:type="dxa"/>
            <w:tcBorders>
              <w:top w:val="single" w:sz="8" w:space="0" w:color="000000"/>
            </w:tcBorders>
          </w:tcPr>
          <w:p>
            <w:pPr>
              <w:pStyle w:val="TableParagraph"/>
              <w:spacing w:before="5"/>
              <w:ind w:left="0"/>
              <w:rPr>
                <w:sz w:val="16"/>
              </w:rPr>
            </w:pPr>
          </w:p>
          <w:p>
            <w:pPr>
              <w:pStyle w:val="TableParagraph"/>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111"/>
              <w:rPr>
                <w:b/>
                <w:sz w:val="21"/>
              </w:rPr>
            </w:pPr>
            <w:r>
              <w:rPr>
                <w:b/>
                <w:sz w:val="21"/>
              </w:rPr>
              <w:t>2.2</w:t>
            </w:r>
          </w:p>
        </w:tc>
        <w:tc>
          <w:tcPr>
            <w:tcW w:w="1949" w:type="dxa"/>
          </w:tcPr>
          <w:p>
            <w:pPr>
              <w:pStyle w:val="TableParagraph"/>
              <w:spacing w:before="111"/>
              <w:ind w:left="321"/>
              <w:rPr>
                <w:b/>
                <w:sz w:val="21"/>
              </w:rPr>
            </w:pPr>
            <w:r>
              <w:rPr>
                <w:b/>
                <w:sz w:val="21"/>
              </w:rPr>
              <w:t>保险期间</w:t>
            </w:r>
          </w:p>
        </w:tc>
        <w:tc>
          <w:tcPr>
            <w:tcW w:w="7523" w:type="dxa"/>
          </w:tcPr>
          <w:p>
            <w:pPr>
              <w:pStyle w:val="TableParagraph"/>
              <w:spacing w:before="111"/>
              <w:ind w:left="148"/>
              <w:rPr>
                <w:sz w:val="21"/>
              </w:rPr>
            </w:pPr>
            <w:r>
              <w:rPr>
                <w:sz w:val="21"/>
              </w:rPr>
              <w:t>本附加合同的保险期间与主合同的保险期间相同，并在保险单上载明。</w:t>
            </w:r>
          </w:p>
        </w:tc>
      </w:tr>
      <w:tr>
        <w:trPr>
          <w:trHeight w:val="559" w:hRule="atLeast"/>
        </w:trPr>
        <w:tc>
          <w:tcPr>
            <w:tcW w:w="747" w:type="dxa"/>
          </w:tcPr>
          <w:p>
            <w:pPr>
              <w:pStyle w:val="TableParagraph"/>
              <w:spacing w:before="110"/>
              <w:rPr>
                <w:b/>
                <w:sz w:val="21"/>
              </w:rPr>
            </w:pPr>
            <w:r>
              <w:rPr>
                <w:b/>
                <w:sz w:val="21"/>
              </w:rPr>
              <w:t>2.3</w:t>
            </w:r>
          </w:p>
        </w:tc>
        <w:tc>
          <w:tcPr>
            <w:tcW w:w="1949" w:type="dxa"/>
          </w:tcPr>
          <w:p>
            <w:pPr>
              <w:pStyle w:val="TableParagraph"/>
              <w:spacing w:before="110"/>
              <w:ind w:left="321"/>
              <w:rPr>
                <w:b/>
                <w:sz w:val="21"/>
              </w:rPr>
            </w:pPr>
            <w:r>
              <w:rPr>
                <w:b/>
                <w:sz w:val="21"/>
              </w:rPr>
              <w:t>保险责任</w:t>
            </w:r>
          </w:p>
        </w:tc>
        <w:tc>
          <w:tcPr>
            <w:tcW w:w="7523" w:type="dxa"/>
          </w:tcPr>
          <w:p>
            <w:pPr>
              <w:pStyle w:val="TableParagraph"/>
              <w:spacing w:before="110"/>
              <w:ind w:left="148"/>
              <w:rPr>
                <w:sz w:val="21"/>
              </w:rPr>
            </w:pPr>
            <w:r>
              <w:rPr>
                <w:sz w:val="21"/>
              </w:rPr>
              <w:t>在本附加合同保险期间内，我们承担下列保险责任：</w:t>
            </w:r>
          </w:p>
        </w:tc>
      </w:tr>
      <w:tr>
        <w:trPr>
          <w:trHeight w:val="1712" w:hRule="atLeast"/>
        </w:trPr>
        <w:tc>
          <w:tcPr>
            <w:tcW w:w="747" w:type="dxa"/>
          </w:tcPr>
          <w:p>
            <w:pPr>
              <w:pStyle w:val="TableParagraph"/>
              <w:ind w:left="0"/>
              <w:rPr>
                <w:rFonts w:ascii="Times New Roman"/>
                <w:sz w:val="20"/>
              </w:rPr>
            </w:pPr>
          </w:p>
        </w:tc>
        <w:tc>
          <w:tcPr>
            <w:tcW w:w="1949" w:type="dxa"/>
          </w:tcPr>
          <w:p>
            <w:pPr>
              <w:pStyle w:val="TableParagraph"/>
              <w:spacing w:line="211" w:lineRule="auto" w:before="109"/>
              <w:ind w:left="321" w:right="147"/>
              <w:rPr>
                <w:rFonts w:ascii="Microsoft JhengHei" w:eastAsia="Microsoft JhengHei" w:hint="eastAsia"/>
                <w:b/>
                <w:sz w:val="21"/>
              </w:rPr>
            </w:pPr>
            <w:r>
              <w:rPr>
                <w:rFonts w:ascii="Microsoft JhengHei" w:eastAsia="Microsoft JhengHei" w:hint="eastAsia"/>
                <w:b/>
                <w:sz w:val="21"/>
              </w:rPr>
              <w:t>首次重大疾病保险金</w:t>
            </w:r>
          </w:p>
        </w:tc>
        <w:tc>
          <w:tcPr>
            <w:tcW w:w="7523" w:type="dxa"/>
          </w:tcPr>
          <w:p>
            <w:pPr>
              <w:pStyle w:val="TableParagraph"/>
              <w:spacing w:line="273" w:lineRule="auto" w:before="110"/>
              <w:ind w:left="148" w:right="103"/>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日内经</w:t>
            </w:r>
            <w:r>
              <w:rPr>
                <w:b/>
                <w:sz w:val="21"/>
              </w:rPr>
              <w:t>医院</w:t>
            </w:r>
            <w:r>
              <w:rPr>
                <w:spacing w:val="-12"/>
                <w:sz w:val="21"/>
              </w:rPr>
              <w:t>(见 </w:t>
            </w:r>
            <w:r>
              <w:rPr>
                <w:sz w:val="21"/>
              </w:rPr>
              <w:t>10.5</w:t>
            </w:r>
            <w:r>
              <w:rPr>
                <w:spacing w:val="-3"/>
                <w:sz w:val="21"/>
              </w:rPr>
              <w:t>)初次确诊非因</w:t>
            </w:r>
            <w:r>
              <w:rPr>
                <w:b/>
                <w:sz w:val="21"/>
              </w:rPr>
              <w:t>意外伤害</w:t>
            </w:r>
            <w:r>
              <w:rPr>
                <w:spacing w:val="-12"/>
                <w:sz w:val="21"/>
              </w:rPr>
              <w:t>(见 </w:t>
            </w:r>
            <w:r>
              <w:rPr>
                <w:sz w:val="21"/>
              </w:rPr>
              <w:t>10.6)</w:t>
            </w:r>
            <w:r>
              <w:rPr>
                <w:spacing w:val="-3"/>
                <w:sz w:val="21"/>
              </w:rPr>
              <w:t>导致罹患本附加合同所定</w:t>
            </w:r>
            <w:r>
              <w:rPr>
                <w:spacing w:val="-11"/>
                <w:sz w:val="21"/>
              </w:rPr>
              <w:t>义的任何一种重大疾病，我们按您已交纳的本附加合同的保险费数额向重大疾病</w:t>
            </w:r>
            <w:r>
              <w:rPr>
                <w:spacing w:val="-6"/>
                <w:sz w:val="21"/>
              </w:rPr>
              <w:t>保险金受益人给付首次重大疾病保险金，本附加合同终止。</w:t>
            </w:r>
          </w:p>
          <w:p>
            <w:pPr>
              <w:pStyle w:val="TableParagraph"/>
              <w:spacing w:line="255" w:lineRule="exact" w:before="86"/>
              <w:ind w:left="148"/>
              <w:jc w:val="both"/>
              <w:rPr>
                <w:sz w:val="21"/>
              </w:rPr>
            </w:pPr>
            <w:r>
              <w:rPr>
                <w:sz w:val="21"/>
              </w:rPr>
              <w:t>被保险人经医院初次确诊因意外伤害或于本附加合同生效（若曾复效，则自本附</w:t>
            </w:r>
          </w:p>
        </w:tc>
      </w:tr>
    </w:tbl>
    <w:p>
      <w:pPr>
        <w:spacing w:after="0" w:line="255" w:lineRule="exact"/>
        <w:jc w:val="both"/>
        <w:rPr>
          <w:sz w:val="21"/>
        </w:rPr>
        <w:sectPr>
          <w:pgSz w:w="11910" w:h="16840"/>
          <w:pgMar w:top="11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1"/>
      </w:tblGrid>
      <w:tr>
        <w:trPr>
          <w:trHeight w:val="1634"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1" w:type="dxa"/>
          </w:tcPr>
          <w:p>
            <w:pPr>
              <w:pStyle w:val="TableParagraph"/>
              <w:spacing w:line="211" w:lineRule="exact"/>
              <w:ind w:left="148"/>
              <w:rPr>
                <w:sz w:val="21"/>
              </w:rPr>
            </w:pPr>
            <w:r>
              <w:rPr>
                <w:sz w:val="21"/>
              </w:rPr>
              <w:t>加合同最后复效）之日起 90 日后经医院初次确诊非因意外伤害导致罹患本附加</w:t>
            </w:r>
          </w:p>
          <w:p>
            <w:pPr>
              <w:pStyle w:val="TableParagraph"/>
              <w:spacing w:line="273" w:lineRule="auto" w:before="37"/>
              <w:ind w:left="148" w:right="279"/>
              <w:jc w:val="both"/>
              <w:rPr>
                <w:sz w:val="21"/>
              </w:rPr>
            </w:pPr>
            <w:r>
              <w:rPr>
                <w:spacing w:val="-9"/>
                <w:sz w:val="21"/>
              </w:rPr>
              <w:t>合同所定义的任何一种重大疾病，我们按保险金额向重大疾病保险金受益人给付</w:t>
            </w:r>
            <w:r>
              <w:rPr>
                <w:spacing w:val="-10"/>
                <w:sz w:val="21"/>
              </w:rPr>
              <w:t>首次重大疾病保险金，同时该次理赔的重大疾病所属组别的保险责任终止</w:t>
            </w:r>
            <w:r>
              <w:rPr>
                <w:spacing w:val="-3"/>
                <w:sz w:val="21"/>
              </w:rPr>
              <w:t>（</w:t>
            </w:r>
            <w:r>
              <w:rPr>
                <w:sz w:val="21"/>
              </w:rPr>
              <w:t>重大</w:t>
            </w:r>
            <w:r>
              <w:rPr>
                <w:spacing w:val="-12"/>
                <w:sz w:val="21"/>
              </w:rPr>
              <w:t>疾病的分组详见附表一《重大疾病分组表》</w:t>
            </w:r>
            <w:r>
              <w:rPr>
                <w:spacing w:val="-106"/>
                <w:sz w:val="21"/>
              </w:rPr>
              <w:t>）</w:t>
            </w:r>
            <w:r>
              <w:rPr>
                <w:spacing w:val="-9"/>
                <w:sz w:val="21"/>
              </w:rPr>
              <w:t>。本附加合同继续有效，同时本附加合同的</w:t>
            </w:r>
            <w:r>
              <w:rPr>
                <w:b/>
                <w:spacing w:val="-9"/>
                <w:sz w:val="21"/>
              </w:rPr>
              <w:t>现金价值</w:t>
            </w:r>
            <w:r>
              <w:rPr>
                <w:spacing w:val="-3"/>
                <w:sz w:val="21"/>
              </w:rPr>
              <w:t>（</w:t>
            </w:r>
            <w:r>
              <w:rPr>
                <w:spacing w:val="-24"/>
                <w:sz w:val="21"/>
              </w:rPr>
              <w:t>见 </w:t>
            </w:r>
            <w:r>
              <w:rPr>
                <w:sz w:val="21"/>
              </w:rPr>
              <w:t>10.7）</w:t>
            </w:r>
            <w:r>
              <w:rPr>
                <w:spacing w:val="-1"/>
                <w:sz w:val="21"/>
              </w:rPr>
              <w:t>减少至零。</w:t>
            </w:r>
          </w:p>
        </w:tc>
      </w:tr>
      <w:tr>
        <w:trPr>
          <w:trHeight w:val="2121" w:hRule="atLeast"/>
        </w:trPr>
        <w:tc>
          <w:tcPr>
            <w:tcW w:w="839" w:type="dxa"/>
          </w:tcPr>
          <w:p>
            <w:pPr>
              <w:pStyle w:val="TableParagraph"/>
              <w:ind w:left="0"/>
              <w:rPr>
                <w:rFonts w:ascii="Times New Roman"/>
                <w:sz w:val="20"/>
              </w:rPr>
            </w:pPr>
          </w:p>
        </w:tc>
        <w:tc>
          <w:tcPr>
            <w:tcW w:w="1949" w:type="dxa"/>
          </w:tcPr>
          <w:p>
            <w:pPr>
              <w:pStyle w:val="TableParagraph"/>
              <w:spacing w:line="204" w:lineRule="auto" w:before="99"/>
              <w:ind w:left="321" w:right="147"/>
              <w:rPr>
                <w:rFonts w:ascii="Microsoft JhengHei" w:eastAsia="Microsoft JhengHei" w:hint="eastAsia"/>
                <w:b/>
                <w:sz w:val="21"/>
              </w:rPr>
            </w:pPr>
            <w:r>
              <w:rPr>
                <w:rFonts w:ascii="Microsoft JhengHei" w:eastAsia="Microsoft JhengHei" w:hint="eastAsia"/>
                <w:b/>
                <w:sz w:val="21"/>
              </w:rPr>
              <w:t>第二次重大疾病保险金</w:t>
            </w:r>
          </w:p>
        </w:tc>
        <w:tc>
          <w:tcPr>
            <w:tcW w:w="7701" w:type="dxa"/>
          </w:tcPr>
          <w:p>
            <w:pPr>
              <w:pStyle w:val="TableParagraph"/>
              <w:spacing w:line="273" w:lineRule="auto" w:before="111"/>
              <w:ind w:left="148" w:right="279"/>
              <w:jc w:val="both"/>
              <w:rPr>
                <w:sz w:val="21"/>
              </w:rPr>
            </w:pPr>
            <w:r>
              <w:rPr>
                <w:spacing w:val="-9"/>
                <w:sz w:val="21"/>
              </w:rPr>
              <w:t>若被保险人自首次重大疾病确诊之日</w:t>
            </w:r>
            <w:r>
              <w:rPr>
                <w:spacing w:val="-3"/>
                <w:sz w:val="21"/>
              </w:rPr>
              <w:t>（若曾复效且最后复效日大于首次重大疾病确诊日，则自本附加合同最后复效日</w:t>
            </w:r>
            <w:r>
              <w:rPr>
                <w:sz w:val="21"/>
              </w:rPr>
              <w:t>）</w:t>
            </w:r>
            <w:r>
              <w:rPr>
                <w:spacing w:val="-11"/>
                <w:sz w:val="21"/>
              </w:rPr>
              <w:t>起满 </w:t>
            </w:r>
            <w:r>
              <w:rPr>
                <w:sz w:val="21"/>
              </w:rPr>
              <w:t>90</w:t>
            </w:r>
            <w:r>
              <w:rPr>
                <w:spacing w:val="-7"/>
                <w:sz w:val="21"/>
              </w:rPr>
              <w:t> 日后经医院初次确诊罹患首次重大疾病所属组别以外其他三组中的任何一种重大疾病</w:t>
            </w:r>
            <w:r>
              <w:rPr>
                <w:spacing w:val="-3"/>
                <w:sz w:val="21"/>
              </w:rPr>
              <w:t>（重大疾病的分组详见附表</w:t>
            </w:r>
            <w:r>
              <w:rPr>
                <w:spacing w:val="-14"/>
                <w:sz w:val="21"/>
              </w:rPr>
              <w:t>一《重大疾病分组表》</w:t>
            </w:r>
            <w:r>
              <w:rPr>
                <w:spacing w:val="-3"/>
                <w:sz w:val="21"/>
              </w:rPr>
              <w:t>），我们将按保险金额向重大疾病保险金受益人给付第二</w:t>
            </w:r>
            <w:r>
              <w:rPr>
                <w:spacing w:val="-10"/>
                <w:sz w:val="21"/>
              </w:rPr>
              <w:t>次重大疾病保险金，同时该次理赔的重大疾病所属组别的保险责任终止。本附加</w:t>
            </w:r>
            <w:r>
              <w:rPr>
                <w:spacing w:val="-5"/>
                <w:sz w:val="21"/>
              </w:rPr>
              <w:t>合同继续有效。</w:t>
            </w:r>
          </w:p>
        </w:tc>
      </w:tr>
      <w:tr>
        <w:trPr>
          <w:trHeight w:val="2119" w:hRule="atLeast"/>
        </w:trPr>
        <w:tc>
          <w:tcPr>
            <w:tcW w:w="839" w:type="dxa"/>
          </w:tcPr>
          <w:p>
            <w:pPr>
              <w:pStyle w:val="TableParagraph"/>
              <w:ind w:left="0"/>
              <w:rPr>
                <w:rFonts w:ascii="Times New Roman"/>
                <w:sz w:val="20"/>
              </w:rPr>
            </w:pPr>
          </w:p>
        </w:tc>
        <w:tc>
          <w:tcPr>
            <w:tcW w:w="1949" w:type="dxa"/>
          </w:tcPr>
          <w:p>
            <w:pPr>
              <w:pStyle w:val="TableParagraph"/>
              <w:spacing w:line="208" w:lineRule="auto" w:before="113"/>
              <w:ind w:left="321" w:right="147"/>
              <w:rPr>
                <w:rFonts w:ascii="Microsoft JhengHei" w:eastAsia="Microsoft JhengHei" w:hint="eastAsia"/>
                <w:b/>
                <w:sz w:val="21"/>
              </w:rPr>
            </w:pPr>
            <w:r>
              <w:rPr>
                <w:rFonts w:ascii="Microsoft JhengHei" w:eastAsia="Microsoft JhengHei" w:hint="eastAsia"/>
                <w:b/>
                <w:sz w:val="21"/>
              </w:rPr>
              <w:t>第三次重大疾病保险金</w:t>
            </w:r>
          </w:p>
        </w:tc>
        <w:tc>
          <w:tcPr>
            <w:tcW w:w="7701" w:type="dxa"/>
          </w:tcPr>
          <w:p>
            <w:pPr>
              <w:pStyle w:val="TableParagraph"/>
              <w:spacing w:line="271" w:lineRule="auto" w:before="111"/>
              <w:ind w:left="148" w:right="279"/>
              <w:jc w:val="both"/>
              <w:rPr>
                <w:sz w:val="21"/>
              </w:rPr>
            </w:pPr>
            <w:r>
              <w:rPr>
                <w:spacing w:val="-8"/>
                <w:sz w:val="21"/>
              </w:rPr>
              <w:t>若被保险人自第二次重大疾病确诊之日</w:t>
            </w:r>
            <w:r>
              <w:rPr>
                <w:sz w:val="21"/>
              </w:rPr>
              <w:t>（</w:t>
            </w:r>
            <w:r>
              <w:rPr>
                <w:spacing w:val="-3"/>
                <w:sz w:val="21"/>
              </w:rPr>
              <w:t>若曾复效且最后复效日大于第二次重大疾病确诊日，则自本附加合同最后复效日</w:t>
            </w:r>
            <w:r>
              <w:rPr>
                <w:sz w:val="21"/>
              </w:rPr>
              <w:t>）</w:t>
            </w:r>
            <w:r>
              <w:rPr>
                <w:spacing w:val="-11"/>
                <w:sz w:val="21"/>
              </w:rPr>
              <w:t>起满 </w:t>
            </w:r>
            <w:r>
              <w:rPr>
                <w:sz w:val="21"/>
              </w:rPr>
              <w:t>90</w:t>
            </w:r>
            <w:r>
              <w:rPr>
                <w:spacing w:val="-6"/>
                <w:sz w:val="21"/>
              </w:rPr>
              <w:t> 日后经医院初次确诊罹患前</w:t>
            </w:r>
            <w:r>
              <w:rPr>
                <w:spacing w:val="-8"/>
                <w:sz w:val="21"/>
              </w:rPr>
              <w:t>两次重大疾病所属组别以外其他两组中的任何一种重大疾病</w:t>
            </w:r>
            <w:r>
              <w:rPr>
                <w:sz w:val="21"/>
              </w:rPr>
              <w:t>（</w:t>
            </w:r>
            <w:r>
              <w:rPr>
                <w:spacing w:val="-3"/>
                <w:sz w:val="21"/>
              </w:rPr>
              <w:t>重大疾病的分组详</w:t>
            </w:r>
            <w:r>
              <w:rPr>
                <w:spacing w:val="-11"/>
                <w:sz w:val="21"/>
              </w:rPr>
              <w:t>见附表一《重大疾病分组表》</w:t>
            </w:r>
            <w:r>
              <w:rPr>
                <w:sz w:val="21"/>
              </w:rPr>
              <w:t>）</w:t>
            </w:r>
            <w:r>
              <w:rPr>
                <w:spacing w:val="-3"/>
                <w:sz w:val="21"/>
              </w:rPr>
              <w:t>，我们按保险金额向重大疾病保险金受益人给付</w:t>
            </w:r>
            <w:r>
              <w:rPr>
                <w:spacing w:val="-9"/>
                <w:sz w:val="21"/>
              </w:rPr>
              <w:t>第三次重大疾病保险金，同时该次理赔的重大疾病所属组别的保险责任终止。本</w:t>
            </w:r>
            <w:r>
              <w:rPr>
                <w:spacing w:val="-5"/>
                <w:sz w:val="21"/>
              </w:rPr>
              <w:t>附加合同继续有效。</w:t>
            </w:r>
          </w:p>
        </w:tc>
      </w:tr>
      <w:tr>
        <w:trPr>
          <w:trHeight w:val="1807" w:hRule="atLeast"/>
        </w:trPr>
        <w:tc>
          <w:tcPr>
            <w:tcW w:w="839" w:type="dxa"/>
          </w:tcPr>
          <w:p>
            <w:pPr>
              <w:pStyle w:val="TableParagraph"/>
              <w:ind w:left="0"/>
              <w:rPr>
                <w:rFonts w:ascii="Times New Roman"/>
                <w:sz w:val="20"/>
              </w:rPr>
            </w:pPr>
          </w:p>
        </w:tc>
        <w:tc>
          <w:tcPr>
            <w:tcW w:w="1949" w:type="dxa"/>
          </w:tcPr>
          <w:p>
            <w:pPr>
              <w:pStyle w:val="TableParagraph"/>
              <w:spacing w:line="211" w:lineRule="auto" w:before="110"/>
              <w:ind w:left="321" w:right="147"/>
              <w:rPr>
                <w:rFonts w:ascii="Microsoft JhengHei" w:eastAsia="Microsoft JhengHei" w:hint="eastAsia"/>
                <w:b/>
                <w:sz w:val="21"/>
              </w:rPr>
            </w:pPr>
            <w:r>
              <w:rPr>
                <w:rFonts w:ascii="Microsoft JhengHei" w:eastAsia="Microsoft JhengHei" w:hint="eastAsia"/>
                <w:b/>
                <w:sz w:val="21"/>
              </w:rPr>
              <w:t>第四次重大疾病保险金</w:t>
            </w:r>
          </w:p>
        </w:tc>
        <w:tc>
          <w:tcPr>
            <w:tcW w:w="7701" w:type="dxa"/>
          </w:tcPr>
          <w:p>
            <w:pPr>
              <w:pStyle w:val="TableParagraph"/>
              <w:spacing w:line="271" w:lineRule="auto" w:before="111"/>
              <w:ind w:left="148" w:right="281"/>
              <w:jc w:val="both"/>
              <w:rPr>
                <w:sz w:val="21"/>
              </w:rPr>
            </w:pPr>
            <w:r>
              <w:rPr>
                <w:spacing w:val="-8"/>
                <w:sz w:val="21"/>
              </w:rPr>
              <w:t>若被保险人自第三次重大疾病确诊之日</w:t>
            </w:r>
            <w:r>
              <w:rPr>
                <w:sz w:val="21"/>
              </w:rPr>
              <w:t>（</w:t>
            </w:r>
            <w:r>
              <w:rPr>
                <w:spacing w:val="-3"/>
                <w:sz w:val="21"/>
              </w:rPr>
              <w:t>若曾复效且最后复效日大于第三次重大疾病确诊日，则自本附加合同最后复效日</w:t>
            </w:r>
            <w:r>
              <w:rPr>
                <w:sz w:val="21"/>
              </w:rPr>
              <w:t>）</w:t>
            </w:r>
            <w:r>
              <w:rPr>
                <w:spacing w:val="-10"/>
                <w:sz w:val="21"/>
              </w:rPr>
              <w:t>起满 </w:t>
            </w:r>
            <w:r>
              <w:rPr>
                <w:sz w:val="21"/>
              </w:rPr>
              <w:t>90</w:t>
            </w:r>
            <w:r>
              <w:rPr>
                <w:spacing w:val="-6"/>
                <w:sz w:val="21"/>
              </w:rPr>
              <w:t> 日后经医院初次确诊罹患前</w:t>
            </w:r>
            <w:r>
              <w:rPr>
                <w:spacing w:val="-5"/>
                <w:sz w:val="21"/>
              </w:rPr>
              <w:t>三次重大疾病所属组别以外的任何一种重大疾病</w:t>
            </w:r>
            <w:r>
              <w:rPr>
                <w:sz w:val="21"/>
              </w:rPr>
              <w:t>（重大疾病的分组详见附表一</w:t>
            </w:r>
          </w:p>
          <w:p>
            <w:pPr>
              <w:pStyle w:val="TableParagraph"/>
              <w:spacing w:line="273" w:lineRule="auto" w:before="9"/>
              <w:ind w:left="148" w:right="286"/>
              <w:jc w:val="both"/>
              <w:rPr>
                <w:sz w:val="21"/>
              </w:rPr>
            </w:pPr>
            <w:r>
              <w:rPr>
                <w:spacing w:val="-14"/>
                <w:sz w:val="21"/>
              </w:rPr>
              <w:t>《重大疾病分组表》</w:t>
            </w:r>
            <w:r>
              <w:rPr>
                <w:sz w:val="21"/>
              </w:rPr>
              <w:t>）</w:t>
            </w:r>
            <w:r>
              <w:rPr>
                <w:spacing w:val="-3"/>
                <w:sz w:val="21"/>
              </w:rPr>
              <w:t>，我们按保险金额向重大疾病保险金受益人给付第四次重大疾病保险金，本附加合同终止。</w:t>
            </w:r>
          </w:p>
        </w:tc>
      </w:tr>
      <w:tr>
        <w:trPr>
          <w:trHeight w:val="1886"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1" w:type="dxa"/>
          </w:tcPr>
          <w:p>
            <w:pPr>
              <w:pStyle w:val="TableParagraph"/>
              <w:spacing w:before="111"/>
              <w:ind w:left="148"/>
              <w:rPr>
                <w:rFonts w:ascii="黑体" w:hAnsi="黑体" w:eastAsia="黑体" w:hint="eastAsia"/>
                <w:sz w:val="21"/>
              </w:rPr>
            </w:pPr>
            <w:r>
              <w:rPr>
                <w:rFonts w:ascii="黑体" w:hAnsi="黑体" w:eastAsia="黑体" w:hint="eastAsia"/>
                <w:sz w:val="21"/>
              </w:rPr>
              <w:t>本附加合同所定义的重大疾病载明于本附加合同“9.重大疾病定义”。</w:t>
            </w:r>
          </w:p>
          <w:p>
            <w:pPr>
              <w:pStyle w:val="TableParagraph"/>
              <w:spacing w:line="271" w:lineRule="auto" w:before="116"/>
              <w:ind w:left="148" w:right="281"/>
              <w:jc w:val="both"/>
              <w:rPr>
                <w:sz w:val="21"/>
              </w:rPr>
            </w:pPr>
            <w:r>
              <w:rPr>
                <w:spacing w:val="-7"/>
                <w:sz w:val="21"/>
              </w:rPr>
              <w:t>若被保险人经医院初次确诊罹患两种或两种以上重大疾病</w:t>
            </w:r>
            <w:r>
              <w:rPr>
                <w:spacing w:val="-3"/>
                <w:sz w:val="21"/>
              </w:rPr>
              <w:t>（该两种或两种以上重大疾病所属组别的保险责任尚未终止</w:t>
            </w:r>
            <w:r>
              <w:rPr>
                <w:spacing w:val="-44"/>
                <w:sz w:val="21"/>
              </w:rPr>
              <w:t>），</w:t>
            </w:r>
            <w:r>
              <w:rPr>
                <w:spacing w:val="-3"/>
                <w:sz w:val="21"/>
              </w:rPr>
              <w:t>且该两种或两种以上重大疾病的初次确</w:t>
            </w:r>
            <w:r>
              <w:rPr>
                <w:spacing w:val="-7"/>
                <w:sz w:val="21"/>
              </w:rPr>
              <w:t>诊日间隔小于 </w:t>
            </w:r>
            <w:r>
              <w:rPr>
                <w:sz w:val="21"/>
              </w:rPr>
              <w:t>90</w:t>
            </w:r>
            <w:r>
              <w:rPr>
                <w:spacing w:val="-6"/>
                <w:sz w:val="21"/>
              </w:rPr>
              <w:t> 日，我们仅按保险金额向重大疾病保险金受益人给付单次重大</w:t>
            </w:r>
            <w:r>
              <w:rPr>
                <w:spacing w:val="-4"/>
                <w:sz w:val="21"/>
              </w:rPr>
              <w:t>疾病保险金。</w:t>
            </w:r>
          </w:p>
        </w:tc>
      </w:tr>
      <w:tr>
        <w:trPr>
          <w:trHeight w:val="4786" w:hRule="atLeast"/>
        </w:trPr>
        <w:tc>
          <w:tcPr>
            <w:tcW w:w="839" w:type="dxa"/>
          </w:tcPr>
          <w:p>
            <w:pPr>
              <w:pStyle w:val="TableParagraph"/>
              <w:spacing w:before="111"/>
              <w:ind w:left="200"/>
              <w:rPr>
                <w:b/>
                <w:sz w:val="21"/>
              </w:rPr>
            </w:pPr>
            <w:r>
              <w:rPr>
                <w:rFonts w:ascii="黑体"/>
                <w:b/>
                <w:sz w:val="21"/>
              </w:rPr>
              <w:t>2</w:t>
            </w:r>
            <w:r>
              <w:rPr>
                <w:b/>
                <w:sz w:val="21"/>
              </w:rPr>
              <w:t>.4</w:t>
            </w:r>
          </w:p>
        </w:tc>
        <w:tc>
          <w:tcPr>
            <w:tcW w:w="1949" w:type="dxa"/>
          </w:tcPr>
          <w:p>
            <w:pPr>
              <w:pStyle w:val="TableParagraph"/>
              <w:spacing w:before="111"/>
              <w:ind w:left="321"/>
              <w:rPr>
                <w:rFonts w:ascii="黑体" w:eastAsia="黑体" w:hint="eastAsia"/>
                <w:b/>
                <w:sz w:val="21"/>
              </w:rPr>
            </w:pPr>
            <w:r>
              <w:rPr>
                <w:rFonts w:ascii="黑体" w:eastAsia="黑体" w:hint="eastAsia"/>
                <w:b/>
                <w:sz w:val="21"/>
              </w:rPr>
              <w:t>责任免除</w:t>
            </w:r>
          </w:p>
        </w:tc>
        <w:tc>
          <w:tcPr>
            <w:tcW w:w="7701" w:type="dxa"/>
          </w:tcPr>
          <w:p>
            <w:pPr>
              <w:pStyle w:val="TableParagraph"/>
              <w:spacing w:line="273" w:lineRule="auto" w:before="111"/>
              <w:ind w:left="148" w:right="281"/>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869" w:val="left" w:leader="none"/>
              </w:tabs>
              <w:spacing w:line="240" w:lineRule="auto" w:before="86" w:after="0"/>
              <w:ind w:left="869"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869" w:val="left" w:leader="none"/>
              </w:tabs>
              <w:spacing w:line="240" w:lineRule="auto" w:before="89" w:after="0"/>
              <w:ind w:left="869"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314"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869" w:val="left" w:leader="none"/>
              </w:tabs>
              <w:spacing w:line="240" w:lineRule="auto" w:before="73" w:after="0"/>
              <w:ind w:left="869"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869" w:val="left" w:leader="none"/>
              </w:tabs>
              <w:spacing w:line="240" w:lineRule="auto" w:before="75" w:after="0"/>
              <w:ind w:left="869" w:right="207" w:hanging="721"/>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w:t>
            </w:r>
            <w:r>
              <w:rPr>
                <w:rFonts w:ascii="黑体" w:eastAsia="黑体" w:hint="eastAsia"/>
                <w:spacing w:val="-5"/>
                <w:w w:val="100"/>
                <w:sz w:val="21"/>
              </w:rPr>
              <w:t>、</w:t>
            </w:r>
            <w:r>
              <w:rPr>
                <w:rFonts w:ascii="黑体" w:eastAsia="黑体" w:hint="eastAsia"/>
                <w:b/>
                <w:spacing w:val="-2"/>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310" w:lineRule="atLeast" w:before="64"/>
              <w:ind w:left="148" w:right="198"/>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因上述第（1）项情形导致被保险人发Th本附加合同定义的重大疾病的，本附加合同终止，我们向重大疾病保险金受益人给付本附加合同终止之日的现金价值。</w:t>
            </w:r>
          </w:p>
        </w:tc>
      </w:tr>
    </w:tbl>
    <w:p>
      <w:pPr>
        <w:spacing w:after="0" w:line="310" w:lineRule="atLeast"/>
        <w:rPr>
          <w:rFonts w:ascii="黑体" w:eastAsia="黑体" w:hint="eastAsia"/>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713"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rFonts w:ascii="黑体" w:eastAsia="黑体" w:hint="eastAsia"/>
                <w:sz w:val="21"/>
              </w:rPr>
            </w:pPr>
            <w:r>
              <w:rPr>
                <w:rFonts w:ascii="黑体" w:eastAsia="黑体" w:hint="eastAsia"/>
                <w:sz w:val="21"/>
              </w:rPr>
              <w:t>因上述其他情形导致被保险人发Th本附加合同定义的重大疾病的，本附加合同终</w:t>
            </w:r>
          </w:p>
          <w:p>
            <w:pPr>
              <w:pStyle w:val="TableParagraph"/>
              <w:spacing w:before="37"/>
              <w:ind w:left="253"/>
              <w:rPr>
                <w:rFonts w:ascii="黑体" w:eastAsia="黑体" w:hint="eastAsia"/>
                <w:sz w:val="21"/>
              </w:rPr>
            </w:pPr>
            <w:r>
              <w:rPr>
                <w:rFonts w:ascii="黑体" w:eastAsia="黑体" w:hint="eastAsia"/>
                <w:sz w:val="21"/>
              </w:rPr>
              <w:t>止，我们将向您退还本附加合同终止之日的现金价值。</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3.</w:t>
            </w:r>
          </w:p>
        </w:tc>
        <w:tc>
          <w:tcPr>
            <w:tcW w:w="1844" w:type="dxa"/>
            <w:tcBorders>
              <w:bottom w:val="single" w:sz="8" w:space="0" w:color="000000"/>
            </w:tcBorders>
          </w:tcPr>
          <w:p>
            <w:pPr>
              <w:pStyle w:val="TableParagraph"/>
              <w:spacing w:before="116"/>
              <w:ind w:left="321"/>
              <w:rPr>
                <w:b/>
                <w:sz w:val="24"/>
              </w:rPr>
            </w:pPr>
            <w:r>
              <w:rPr>
                <w:b/>
                <w:w w:val="95"/>
                <w:sz w:val="24"/>
              </w:rPr>
              <w:t>保险金的申请</w:t>
            </w:r>
          </w:p>
        </w:tc>
        <w:tc>
          <w:tcPr>
            <w:tcW w:w="7629" w:type="dxa"/>
            <w:tcBorders>
              <w:bottom w:val="single" w:sz="8" w:space="0" w:color="000000"/>
            </w:tcBorders>
          </w:tcPr>
          <w:p>
            <w:pPr>
              <w:pStyle w:val="TableParagraph"/>
              <w:ind w:left="0"/>
              <w:rPr>
                <w:rFonts w:ascii="Times New Roman"/>
                <w:sz w:val="20"/>
              </w:rPr>
            </w:pPr>
          </w:p>
        </w:tc>
      </w:tr>
      <w:tr>
        <w:trPr>
          <w:trHeight w:val="661"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3.1</w:t>
            </w:r>
          </w:p>
        </w:tc>
        <w:tc>
          <w:tcPr>
            <w:tcW w:w="184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受益人</w:t>
            </w:r>
          </w:p>
        </w:tc>
        <w:tc>
          <w:tcPr>
            <w:tcW w:w="7629" w:type="dxa"/>
            <w:tcBorders>
              <w:top w:val="single" w:sz="8" w:space="0" w:color="000000"/>
            </w:tcBorders>
          </w:tcPr>
          <w:p>
            <w:pPr>
              <w:pStyle w:val="TableParagraph"/>
              <w:spacing w:before="8"/>
              <w:ind w:left="0"/>
              <w:rPr>
                <w:sz w:val="16"/>
              </w:rPr>
            </w:pPr>
          </w:p>
          <w:p>
            <w:pPr>
              <w:pStyle w:val="TableParagraph"/>
              <w:ind w:left="253"/>
              <w:rPr>
                <w:sz w:val="21"/>
              </w:rPr>
            </w:pPr>
            <w:r>
              <w:rPr>
                <w:sz w:val="21"/>
              </w:rPr>
              <w:t>除另有指定外，重大疾病保险金的受益人为被保险人本人。</w:t>
            </w:r>
          </w:p>
        </w:tc>
      </w:tr>
      <w:tr>
        <w:trPr>
          <w:trHeight w:val="1813" w:hRule="atLeast"/>
        </w:trPr>
        <w:tc>
          <w:tcPr>
            <w:tcW w:w="747" w:type="dxa"/>
          </w:tcPr>
          <w:p>
            <w:pPr>
              <w:pStyle w:val="TableParagraph"/>
              <w:spacing w:before="115"/>
              <w:rPr>
                <w:b/>
                <w:sz w:val="21"/>
              </w:rPr>
            </w:pPr>
            <w:r>
              <w:rPr>
                <w:b/>
                <w:sz w:val="21"/>
              </w:rPr>
              <w:t>3.2</w:t>
            </w:r>
          </w:p>
        </w:tc>
        <w:tc>
          <w:tcPr>
            <w:tcW w:w="1844" w:type="dxa"/>
          </w:tcPr>
          <w:p>
            <w:pPr>
              <w:pStyle w:val="TableParagraph"/>
              <w:spacing w:before="115"/>
              <w:ind w:left="321"/>
              <w:rPr>
                <w:b/>
                <w:sz w:val="21"/>
              </w:rPr>
            </w:pPr>
            <w:r>
              <w:rPr>
                <w:b/>
                <w:sz w:val="21"/>
              </w:rPr>
              <w:t>保险事故通知</w:t>
            </w:r>
          </w:p>
        </w:tc>
        <w:tc>
          <w:tcPr>
            <w:tcW w:w="7629" w:type="dxa"/>
          </w:tcPr>
          <w:p>
            <w:pPr>
              <w:pStyle w:val="TableParagraph"/>
              <w:spacing w:line="271" w:lineRule="auto" w:before="103"/>
              <w:ind w:left="253" w:right="102"/>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pacing w:val="-3"/>
                <w:sz w:val="22"/>
              </w:rPr>
              <w:t>。</w:t>
            </w:r>
            <w:r>
              <w:rPr>
                <w:rFonts w:ascii="黑体" w:eastAsia="黑体" w:hint="eastAsia"/>
                <w:spacing w:val="-3"/>
                <w:sz w:val="21"/>
              </w:rPr>
              <w:t>故意或者因重大过失</w:t>
            </w:r>
            <w:r>
              <w:rPr>
                <w:rFonts w:ascii="黑体" w:eastAsia="黑体" w:hint="eastAsia"/>
                <w:spacing w:val="-11"/>
                <w:sz w:val="21"/>
              </w:rPr>
              <w:t>未及时通知，致使保险事故的性质、原因、损失程度等难以确定的，我们对无法</w:t>
            </w:r>
            <w:r>
              <w:rPr>
                <w:rFonts w:ascii="黑体" w:eastAsia="黑体" w:hint="eastAsia"/>
                <w:spacing w:val="-12"/>
                <w:sz w:val="21"/>
              </w:rPr>
              <w:t>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7190" w:hRule="atLeast"/>
        </w:trPr>
        <w:tc>
          <w:tcPr>
            <w:tcW w:w="747" w:type="dxa"/>
          </w:tcPr>
          <w:p>
            <w:pPr>
              <w:pStyle w:val="TableParagraph"/>
              <w:spacing w:before="111"/>
              <w:rPr>
                <w:b/>
                <w:sz w:val="21"/>
              </w:rPr>
            </w:pPr>
            <w:r>
              <w:rPr>
                <w:b/>
                <w:sz w:val="21"/>
              </w:rPr>
              <w:t>3.3</w:t>
            </w:r>
          </w:p>
        </w:tc>
        <w:tc>
          <w:tcPr>
            <w:tcW w:w="1844" w:type="dxa"/>
          </w:tcPr>
          <w:p>
            <w:pPr>
              <w:pStyle w:val="TableParagraph"/>
              <w:spacing w:before="111"/>
              <w:ind w:left="321"/>
              <w:rPr>
                <w:b/>
                <w:sz w:val="21"/>
              </w:rPr>
            </w:pPr>
            <w:r>
              <w:rPr>
                <w:b/>
                <w:sz w:val="21"/>
              </w:rPr>
              <w:t>保险金申请</w:t>
            </w:r>
          </w:p>
        </w:tc>
        <w:tc>
          <w:tcPr>
            <w:tcW w:w="7629" w:type="dxa"/>
          </w:tcPr>
          <w:p>
            <w:pPr>
              <w:pStyle w:val="TableParagraph"/>
              <w:spacing w:line="271" w:lineRule="auto" w:before="111"/>
              <w:ind w:left="253" w:right="1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11"/>
              </w:numPr>
              <w:tabs>
                <w:tab w:pos="974" w:val="left" w:leader="none"/>
              </w:tabs>
              <w:spacing w:line="240" w:lineRule="auto" w:before="88" w:after="0"/>
              <w:ind w:left="974" w:right="0" w:hanging="721"/>
              <w:jc w:val="left"/>
              <w:rPr>
                <w:sz w:val="21"/>
              </w:rPr>
            </w:pPr>
            <w:r>
              <w:rPr>
                <w:spacing w:val="-2"/>
                <w:sz w:val="21"/>
              </w:rPr>
              <w:t>本附加合同；</w:t>
            </w:r>
          </w:p>
          <w:p>
            <w:pPr>
              <w:pStyle w:val="TableParagraph"/>
              <w:numPr>
                <w:ilvl w:val="0"/>
                <w:numId w:val="11"/>
              </w:numPr>
              <w:tabs>
                <w:tab w:pos="974" w:val="left" w:leader="none"/>
              </w:tabs>
              <w:spacing w:line="240" w:lineRule="auto" w:before="115" w:after="0"/>
              <w:ind w:left="974" w:right="0" w:hanging="721"/>
              <w:jc w:val="left"/>
              <w:rPr>
                <w:sz w:val="21"/>
              </w:rPr>
            </w:pPr>
            <w:r>
              <w:rPr>
                <w:spacing w:val="-3"/>
                <w:sz w:val="21"/>
              </w:rPr>
              <w:t>重大疾病保险金受益人的有效身份证件；</w:t>
            </w:r>
          </w:p>
          <w:p>
            <w:pPr>
              <w:pStyle w:val="TableParagraph"/>
              <w:numPr>
                <w:ilvl w:val="0"/>
                <w:numId w:val="11"/>
              </w:numPr>
              <w:tabs>
                <w:tab w:pos="974" w:val="left" w:leader="none"/>
              </w:tabs>
              <w:spacing w:line="273" w:lineRule="auto" w:before="113" w:after="0"/>
              <w:ind w:left="974" w:right="105" w:hanging="721"/>
              <w:jc w:val="both"/>
              <w:rPr>
                <w:sz w:val="21"/>
              </w:rPr>
            </w:pPr>
            <w:r>
              <w:rPr>
                <w:sz w:val="21"/>
              </w:rPr>
              <w:t>由医院</w:t>
            </w:r>
            <w:r>
              <w:rPr>
                <w:b/>
                <w:sz w:val="21"/>
              </w:rPr>
              <w:t>专科医生</w:t>
            </w:r>
            <w:r>
              <w:rPr>
                <w:sz w:val="21"/>
              </w:rPr>
              <w:t>（</w:t>
            </w:r>
            <w:r>
              <w:rPr>
                <w:spacing w:val="13"/>
                <w:sz w:val="21"/>
              </w:rPr>
              <w:t>见 </w:t>
            </w:r>
            <w:r>
              <w:rPr>
                <w:sz w:val="21"/>
              </w:rPr>
              <w:t>10.16）出具的疾病诊断证明书以及由医院出具的与该疾病诊断证明书相关的病理显微镜检查、血液检验及其他科学方法</w:t>
            </w:r>
            <w:r>
              <w:rPr>
                <w:spacing w:val="-1"/>
                <w:sz w:val="21"/>
              </w:rPr>
              <w:t>检验报告；</w:t>
            </w:r>
          </w:p>
          <w:p>
            <w:pPr>
              <w:pStyle w:val="TableParagraph"/>
              <w:numPr>
                <w:ilvl w:val="0"/>
                <w:numId w:val="11"/>
              </w:numPr>
              <w:tabs>
                <w:tab w:pos="974" w:val="left" w:leader="none"/>
              </w:tabs>
              <w:spacing w:line="240" w:lineRule="auto" w:before="86" w:after="0"/>
              <w:ind w:left="974"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8"/>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6"/>
              <w:ind w:left="253" w:right="104"/>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73" w:lineRule="auto" w:before="89"/>
              <w:ind w:left="253" w:right="103"/>
              <w:jc w:val="both"/>
              <w:rPr>
                <w:sz w:val="21"/>
              </w:rPr>
            </w:pPr>
            <w:r>
              <w:rPr>
                <w:spacing w:val="-7"/>
                <w:sz w:val="21"/>
              </w:rPr>
              <w:t>如果被保险人已向我们书面申领重大疾病保险金，但在实际领取重大疾病保险金</w:t>
            </w:r>
            <w:r>
              <w:rPr>
                <w:spacing w:val="-11"/>
                <w:sz w:val="21"/>
              </w:rPr>
              <w:t>前身故，重大疾病保险金将作为被保险人的遗产，由我们向被保险人的合法继承</w:t>
            </w:r>
            <w:r>
              <w:rPr>
                <w:spacing w:val="-7"/>
                <w:sz w:val="21"/>
              </w:rPr>
              <w:t>人给付。</w:t>
            </w:r>
          </w:p>
        </w:tc>
      </w:tr>
      <w:tr>
        <w:trPr>
          <w:trHeight w:val="3116" w:hRule="atLeast"/>
        </w:trPr>
        <w:tc>
          <w:tcPr>
            <w:tcW w:w="747" w:type="dxa"/>
          </w:tcPr>
          <w:p>
            <w:pPr>
              <w:pStyle w:val="TableParagraph"/>
              <w:spacing w:before="110"/>
              <w:rPr>
                <w:b/>
                <w:sz w:val="21"/>
              </w:rPr>
            </w:pPr>
            <w:r>
              <w:rPr>
                <w:b/>
                <w:sz w:val="21"/>
              </w:rPr>
              <w:t>3.4</w:t>
            </w:r>
          </w:p>
        </w:tc>
        <w:tc>
          <w:tcPr>
            <w:tcW w:w="1844" w:type="dxa"/>
          </w:tcPr>
          <w:p>
            <w:pPr>
              <w:pStyle w:val="TableParagraph"/>
              <w:spacing w:before="110"/>
              <w:ind w:left="321"/>
              <w:rPr>
                <w:b/>
                <w:sz w:val="21"/>
              </w:rPr>
            </w:pPr>
            <w:r>
              <w:rPr>
                <w:b/>
                <w:sz w:val="21"/>
              </w:rPr>
              <w:t>保险金给付</w:t>
            </w:r>
          </w:p>
        </w:tc>
        <w:tc>
          <w:tcPr>
            <w:tcW w:w="7629" w:type="dxa"/>
          </w:tcPr>
          <w:p>
            <w:pPr>
              <w:pStyle w:val="TableParagraph"/>
              <w:spacing w:before="110"/>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7"/>
              <w:ind w:left="253"/>
              <w:rPr>
                <w:sz w:val="21"/>
              </w:rPr>
            </w:pPr>
            <w:r>
              <w:rPr>
                <w:sz w:val="21"/>
              </w:rPr>
              <w:t>出核定；情形复杂的，在 30 日内作出核定。对属于保险责任的，我们在与受益</w:t>
            </w:r>
          </w:p>
          <w:p>
            <w:pPr>
              <w:pStyle w:val="TableParagraph"/>
              <w:spacing w:before="38"/>
              <w:ind w:left="253"/>
              <w:rPr>
                <w:sz w:val="21"/>
              </w:rPr>
            </w:pPr>
            <w:r>
              <w:rPr>
                <w:sz w:val="21"/>
              </w:rPr>
              <w:t>人达成给付保险金的协议后 10 日内，履行给付保险金义务。</w:t>
            </w:r>
          </w:p>
          <w:p>
            <w:pPr>
              <w:pStyle w:val="TableParagraph"/>
              <w:spacing w:line="271"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8"/>
              <w:ind w:left="253" w:right="104"/>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55" w:lineRule="exact" w:before="86"/>
              <w:ind w:left="253"/>
              <w:rPr>
                <w:sz w:val="21"/>
              </w:rPr>
            </w:pPr>
            <w:r>
              <w:rPr>
                <w:sz w:val="21"/>
              </w:rPr>
              <w:t>我们在收到领取保险金申请书及有关证明和资料之日起 60 日内，对给付保险金</w:t>
            </w:r>
          </w:p>
        </w:tc>
      </w:tr>
    </w:tbl>
    <w:p>
      <w:pPr>
        <w:spacing w:after="0" w:line="255" w:lineRule="exact"/>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97"/>
        <w:gridCol w:w="7577"/>
      </w:tblGrid>
      <w:tr>
        <w:trPr>
          <w:trHeight w:val="698" w:hRule="atLeast"/>
        </w:trPr>
        <w:tc>
          <w:tcPr>
            <w:tcW w:w="747" w:type="dxa"/>
          </w:tcPr>
          <w:p>
            <w:pPr>
              <w:pStyle w:val="TableParagraph"/>
              <w:ind w:left="0"/>
              <w:rPr>
                <w:rFonts w:ascii="Times New Roman"/>
                <w:sz w:val="20"/>
              </w:rPr>
            </w:pPr>
          </w:p>
        </w:tc>
        <w:tc>
          <w:tcPr>
            <w:tcW w:w="1897" w:type="dxa"/>
          </w:tcPr>
          <w:p>
            <w:pPr>
              <w:pStyle w:val="TableParagraph"/>
              <w:ind w:left="0"/>
              <w:rPr>
                <w:rFonts w:ascii="Times New Roman"/>
                <w:sz w:val="20"/>
              </w:rPr>
            </w:pPr>
          </w:p>
        </w:tc>
        <w:tc>
          <w:tcPr>
            <w:tcW w:w="7577" w:type="dxa"/>
          </w:tcPr>
          <w:p>
            <w:pPr>
              <w:pStyle w:val="TableParagraph"/>
              <w:spacing w:line="211" w:lineRule="exact"/>
              <w:ind w:left="200"/>
              <w:rPr>
                <w:sz w:val="21"/>
              </w:rPr>
            </w:pPr>
            <w:r>
              <w:rPr>
                <w:sz w:val="21"/>
              </w:rPr>
              <w:t>的数额不能确定的，根据已有证明和资料可以确定的数额先予支付；我们最终确</w:t>
            </w:r>
          </w:p>
          <w:p>
            <w:pPr>
              <w:pStyle w:val="TableParagraph"/>
              <w:spacing w:before="37"/>
              <w:ind w:left="200"/>
              <w:rPr>
                <w:sz w:val="21"/>
              </w:rPr>
            </w:pPr>
            <w:r>
              <w:rPr>
                <w:sz w:val="21"/>
              </w:rPr>
              <w:t>定给付保险金的数额后，将支付相应的差额。</w:t>
            </w:r>
          </w:p>
        </w:tc>
      </w:tr>
      <w:tr>
        <w:trPr>
          <w:trHeight w:val="889" w:hRule="atLeast"/>
        </w:trPr>
        <w:tc>
          <w:tcPr>
            <w:tcW w:w="747" w:type="dxa"/>
          </w:tcPr>
          <w:p>
            <w:pPr>
              <w:pStyle w:val="TableParagraph"/>
              <w:spacing w:before="111"/>
              <w:rPr>
                <w:b/>
                <w:sz w:val="21"/>
              </w:rPr>
            </w:pPr>
            <w:r>
              <w:rPr>
                <w:b/>
                <w:sz w:val="21"/>
              </w:rPr>
              <w:t>3.5</w:t>
            </w:r>
          </w:p>
        </w:tc>
        <w:tc>
          <w:tcPr>
            <w:tcW w:w="1897" w:type="dxa"/>
          </w:tcPr>
          <w:p>
            <w:pPr>
              <w:pStyle w:val="TableParagraph"/>
              <w:spacing w:before="111"/>
              <w:ind w:left="321"/>
              <w:rPr>
                <w:b/>
                <w:sz w:val="21"/>
              </w:rPr>
            </w:pPr>
            <w:r>
              <w:rPr>
                <w:b/>
                <w:sz w:val="21"/>
              </w:rPr>
              <w:t>诉讼时效</w:t>
            </w:r>
          </w:p>
        </w:tc>
        <w:tc>
          <w:tcPr>
            <w:tcW w:w="7577" w:type="dxa"/>
          </w:tcPr>
          <w:p>
            <w:pPr>
              <w:pStyle w:val="TableParagraph"/>
              <w:spacing w:line="273" w:lineRule="auto" w:before="111"/>
              <w:ind w:left="200" w:right="105"/>
              <w:rPr>
                <w:sz w:val="21"/>
              </w:rPr>
            </w:pPr>
            <w:r>
              <w:rPr>
                <w:spacing w:val="-5"/>
                <w:sz w:val="21"/>
              </w:rPr>
              <w:t>受益人向我们申请给付保险金的诉讼时效期间为 </w:t>
            </w:r>
            <w:r>
              <w:rPr>
                <w:sz w:val="21"/>
              </w:rPr>
              <w:t>2</w:t>
            </w:r>
            <w:r>
              <w:rPr>
                <w:spacing w:val="-14"/>
                <w:sz w:val="21"/>
              </w:rPr>
              <w:t> 年，自其知道或者应当知道保</w:t>
            </w:r>
            <w:r>
              <w:rPr>
                <w:spacing w:val="-7"/>
                <w:sz w:val="21"/>
              </w:rPr>
              <w:t>险事故发生之日起计算。</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4.</w:t>
            </w:r>
          </w:p>
        </w:tc>
        <w:tc>
          <w:tcPr>
            <w:tcW w:w="1897" w:type="dxa"/>
            <w:tcBorders>
              <w:bottom w:val="single" w:sz="8" w:space="0" w:color="000000"/>
            </w:tcBorders>
          </w:tcPr>
          <w:p>
            <w:pPr>
              <w:pStyle w:val="TableParagraph"/>
              <w:spacing w:before="116"/>
              <w:ind w:left="321"/>
              <w:rPr>
                <w:b/>
                <w:sz w:val="24"/>
              </w:rPr>
            </w:pPr>
            <w:r>
              <w:rPr>
                <w:b/>
                <w:w w:val="95"/>
                <w:sz w:val="24"/>
              </w:rPr>
              <w:t>保险费的交纳</w:t>
            </w:r>
          </w:p>
        </w:tc>
        <w:tc>
          <w:tcPr>
            <w:tcW w:w="7577" w:type="dxa"/>
            <w:tcBorders>
              <w:bottom w:val="single" w:sz="8" w:space="0" w:color="000000"/>
            </w:tcBorders>
          </w:tcPr>
          <w:p>
            <w:pPr>
              <w:pStyle w:val="TableParagraph"/>
              <w:ind w:left="0"/>
              <w:rPr>
                <w:rFonts w:ascii="Times New Roman"/>
                <w:sz w:val="20"/>
              </w:rPr>
            </w:pPr>
          </w:p>
        </w:tc>
      </w:tr>
      <w:tr>
        <w:trPr>
          <w:trHeight w:val="1680"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4.1</w:t>
            </w:r>
          </w:p>
        </w:tc>
        <w:tc>
          <w:tcPr>
            <w:tcW w:w="1897"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保险费的交纳</w:t>
            </w:r>
          </w:p>
        </w:tc>
        <w:tc>
          <w:tcPr>
            <w:tcW w:w="7577" w:type="dxa"/>
            <w:tcBorders>
              <w:top w:val="single" w:sz="8" w:space="0" w:color="000000"/>
            </w:tcBorders>
          </w:tcPr>
          <w:p>
            <w:pPr>
              <w:pStyle w:val="TableParagraph"/>
              <w:spacing w:before="8"/>
              <w:ind w:left="0"/>
              <w:rPr>
                <w:sz w:val="16"/>
              </w:rPr>
            </w:pPr>
          </w:p>
          <w:p>
            <w:pPr>
              <w:pStyle w:val="TableParagraph"/>
              <w:spacing w:line="271" w:lineRule="auto"/>
              <w:ind w:left="200" w:right="103"/>
              <w:rPr>
                <w:sz w:val="21"/>
              </w:rPr>
            </w:pPr>
            <w:r>
              <w:rPr>
                <w:sz w:val="21"/>
              </w:rPr>
              <w:t>本附加合同的交费方式和交费期间由您在投保时与我们约定，并在保险单上载明。</w:t>
            </w:r>
          </w:p>
          <w:p>
            <w:pPr>
              <w:pStyle w:val="TableParagraph"/>
              <w:spacing w:line="273" w:lineRule="auto" w:before="89"/>
              <w:ind w:left="200" w:right="103"/>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902" w:hRule="atLeast"/>
        </w:trPr>
        <w:tc>
          <w:tcPr>
            <w:tcW w:w="747" w:type="dxa"/>
          </w:tcPr>
          <w:p>
            <w:pPr>
              <w:pStyle w:val="TableParagraph"/>
              <w:spacing w:before="111"/>
              <w:rPr>
                <w:b/>
                <w:sz w:val="21"/>
              </w:rPr>
            </w:pPr>
            <w:r>
              <w:rPr>
                <w:b/>
                <w:sz w:val="21"/>
              </w:rPr>
              <w:t>4.2</w:t>
            </w:r>
          </w:p>
        </w:tc>
        <w:tc>
          <w:tcPr>
            <w:tcW w:w="1897" w:type="dxa"/>
          </w:tcPr>
          <w:p>
            <w:pPr>
              <w:pStyle w:val="TableParagraph"/>
              <w:spacing w:before="111"/>
              <w:ind w:left="321"/>
              <w:rPr>
                <w:b/>
                <w:sz w:val="21"/>
              </w:rPr>
            </w:pPr>
            <w:r>
              <w:rPr>
                <w:b/>
                <w:sz w:val="21"/>
              </w:rPr>
              <w:t>宽限期</w:t>
            </w:r>
          </w:p>
        </w:tc>
        <w:tc>
          <w:tcPr>
            <w:tcW w:w="7577" w:type="dxa"/>
          </w:tcPr>
          <w:p>
            <w:pPr>
              <w:pStyle w:val="TableParagraph"/>
              <w:spacing w:line="271" w:lineRule="auto" w:before="111"/>
              <w:ind w:left="200" w:right="105"/>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273" w:lineRule="auto" w:before="88"/>
              <w:ind w:left="200" w:right="106"/>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5.</w:t>
            </w:r>
          </w:p>
        </w:tc>
        <w:tc>
          <w:tcPr>
            <w:tcW w:w="1897" w:type="dxa"/>
            <w:tcBorders>
              <w:bottom w:val="single" w:sz="8" w:space="0" w:color="000000"/>
            </w:tcBorders>
          </w:tcPr>
          <w:p>
            <w:pPr>
              <w:pStyle w:val="TableParagraph"/>
              <w:spacing w:before="116"/>
              <w:ind w:left="321"/>
              <w:rPr>
                <w:b/>
                <w:sz w:val="24"/>
              </w:rPr>
            </w:pPr>
            <w:r>
              <w:rPr>
                <w:b/>
                <w:w w:val="95"/>
                <w:sz w:val="24"/>
              </w:rPr>
              <w:t>现金价值权益</w:t>
            </w:r>
          </w:p>
        </w:tc>
        <w:tc>
          <w:tcPr>
            <w:tcW w:w="7577" w:type="dxa"/>
            <w:tcBorders>
              <w:bottom w:val="single" w:sz="8" w:space="0" w:color="000000"/>
            </w:tcBorders>
          </w:tcPr>
          <w:p>
            <w:pPr>
              <w:pStyle w:val="TableParagraph"/>
              <w:ind w:left="0"/>
              <w:rPr>
                <w:rFonts w:ascii="Times New Roman"/>
                <w:sz w:val="20"/>
              </w:rPr>
            </w:pPr>
          </w:p>
        </w:tc>
      </w:tr>
      <w:tr>
        <w:trPr>
          <w:trHeight w:val="1713"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5.1</w:t>
            </w:r>
          </w:p>
        </w:tc>
        <w:tc>
          <w:tcPr>
            <w:tcW w:w="1897"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现金价值</w:t>
            </w:r>
          </w:p>
        </w:tc>
        <w:tc>
          <w:tcPr>
            <w:tcW w:w="7577" w:type="dxa"/>
            <w:tcBorders>
              <w:top w:val="single" w:sz="8" w:space="0" w:color="000000"/>
            </w:tcBorders>
          </w:tcPr>
          <w:p>
            <w:pPr>
              <w:pStyle w:val="TableParagraph"/>
              <w:spacing w:before="5"/>
              <w:ind w:left="0"/>
              <w:rPr>
                <w:sz w:val="16"/>
              </w:rPr>
            </w:pPr>
          </w:p>
          <w:p>
            <w:pPr>
              <w:pStyle w:val="TableParagraph"/>
              <w:ind w:left="94"/>
              <w:rPr>
                <w:sz w:val="21"/>
              </w:rPr>
            </w:pPr>
            <w:r>
              <w:rPr>
                <w:sz w:val="21"/>
              </w:rPr>
              <w:t>本附加合同的现金价值在保险单上载明。</w:t>
            </w:r>
          </w:p>
          <w:p>
            <w:pPr>
              <w:pStyle w:val="TableParagraph"/>
              <w:spacing w:line="271" w:lineRule="auto" w:before="115"/>
              <w:ind w:left="94" w:right="103"/>
              <w:jc w:val="both"/>
              <w:rPr>
                <w:sz w:val="21"/>
              </w:rPr>
            </w:pPr>
            <w:r>
              <w:rPr>
                <w:spacing w:val="-6"/>
                <w:sz w:val="21"/>
              </w:rPr>
              <w:t>若我们已按本附加合同 </w:t>
            </w:r>
            <w:r>
              <w:rPr>
                <w:sz w:val="21"/>
              </w:rPr>
              <w:t>2.3</w:t>
            </w:r>
            <w:r>
              <w:rPr>
                <w:spacing w:val="-7"/>
                <w:sz w:val="21"/>
              </w:rPr>
              <w:t> 条第一款的约定向重大疾病保险金受益人给付首次重大疾病保险金，则自给付首次重大疾病保险金开始至本附加合同效力终止，本附</w:t>
            </w:r>
            <w:r>
              <w:rPr>
                <w:spacing w:val="-3"/>
                <w:sz w:val="21"/>
              </w:rPr>
              <w:t>加合同的现金价值均为零。</w:t>
            </w:r>
          </w:p>
        </w:tc>
      </w:tr>
      <w:tr>
        <w:trPr>
          <w:trHeight w:val="577" w:hRule="atLeast"/>
        </w:trPr>
        <w:tc>
          <w:tcPr>
            <w:tcW w:w="747" w:type="dxa"/>
            <w:tcBorders>
              <w:bottom w:val="single" w:sz="8" w:space="0" w:color="000000"/>
            </w:tcBorders>
          </w:tcPr>
          <w:p>
            <w:pPr>
              <w:pStyle w:val="TableParagraph"/>
              <w:spacing w:before="137"/>
              <w:rPr>
                <w:b/>
                <w:sz w:val="24"/>
              </w:rPr>
            </w:pPr>
            <w:r>
              <w:rPr>
                <w:b/>
                <w:sz w:val="24"/>
              </w:rPr>
              <w:t>6.</w:t>
            </w:r>
          </w:p>
        </w:tc>
        <w:tc>
          <w:tcPr>
            <w:tcW w:w="9474" w:type="dxa"/>
            <w:gridSpan w:val="2"/>
            <w:tcBorders>
              <w:bottom w:val="single" w:sz="8" w:space="0" w:color="000000"/>
            </w:tcBorders>
          </w:tcPr>
          <w:p>
            <w:pPr>
              <w:pStyle w:val="TableParagraph"/>
              <w:spacing w:before="137"/>
              <w:ind w:left="321"/>
              <w:rPr>
                <w:b/>
                <w:sz w:val="24"/>
              </w:rPr>
            </w:pPr>
            <w:r>
              <w:rPr>
                <w:b/>
                <w:w w:val="95"/>
                <w:sz w:val="24"/>
              </w:rPr>
              <w:t>合同效力的中止及恢复</w:t>
            </w:r>
          </w:p>
        </w:tc>
      </w:tr>
      <w:tr>
        <w:trPr>
          <w:trHeight w:val="665"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6.1</w:t>
            </w:r>
          </w:p>
        </w:tc>
        <w:tc>
          <w:tcPr>
            <w:tcW w:w="1897"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效力中止</w:t>
            </w:r>
          </w:p>
        </w:tc>
        <w:tc>
          <w:tcPr>
            <w:tcW w:w="7577" w:type="dxa"/>
            <w:tcBorders>
              <w:top w:val="single" w:sz="8" w:space="0" w:color="000000"/>
            </w:tcBorders>
          </w:tcPr>
          <w:p>
            <w:pPr>
              <w:pStyle w:val="TableParagraph"/>
              <w:spacing w:before="5"/>
              <w:ind w:left="0"/>
              <w:rPr>
                <w:sz w:val="16"/>
              </w:rPr>
            </w:pPr>
          </w:p>
          <w:p>
            <w:pPr>
              <w:pStyle w:val="TableParagraph"/>
              <w:ind w:left="200"/>
              <w:rPr>
                <w:rFonts w:ascii="黑体" w:eastAsia="黑体" w:hint="eastAsia"/>
                <w:sz w:val="21"/>
              </w:rPr>
            </w:pPr>
            <w:r>
              <w:rPr>
                <w:rFonts w:ascii="黑体" w:eastAsia="黑体" w:hint="eastAsia"/>
                <w:sz w:val="21"/>
              </w:rPr>
              <w:t>在本附加合同效力中止期间，我们不承担保险责任。</w:t>
            </w:r>
          </w:p>
        </w:tc>
      </w:tr>
      <w:tr>
        <w:trPr>
          <w:trHeight w:val="1901" w:hRule="atLeast"/>
        </w:trPr>
        <w:tc>
          <w:tcPr>
            <w:tcW w:w="747" w:type="dxa"/>
          </w:tcPr>
          <w:p>
            <w:pPr>
              <w:pStyle w:val="TableParagraph"/>
              <w:spacing w:before="111"/>
              <w:rPr>
                <w:b/>
                <w:sz w:val="21"/>
              </w:rPr>
            </w:pPr>
            <w:r>
              <w:rPr>
                <w:b/>
                <w:sz w:val="21"/>
              </w:rPr>
              <w:t>6.2</w:t>
            </w:r>
          </w:p>
        </w:tc>
        <w:tc>
          <w:tcPr>
            <w:tcW w:w="1897" w:type="dxa"/>
          </w:tcPr>
          <w:p>
            <w:pPr>
              <w:pStyle w:val="TableParagraph"/>
              <w:spacing w:before="111"/>
              <w:ind w:left="321"/>
              <w:rPr>
                <w:b/>
                <w:sz w:val="21"/>
              </w:rPr>
            </w:pPr>
            <w:r>
              <w:rPr>
                <w:b/>
                <w:sz w:val="21"/>
              </w:rPr>
              <w:t>效力恢复</w:t>
            </w:r>
          </w:p>
        </w:tc>
        <w:tc>
          <w:tcPr>
            <w:tcW w:w="7577" w:type="dxa"/>
          </w:tcPr>
          <w:p>
            <w:pPr>
              <w:pStyle w:val="TableParagraph"/>
              <w:spacing w:line="271" w:lineRule="auto" w:before="111"/>
              <w:ind w:left="200" w:right="103"/>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273" w:lineRule="auto" w:before="88"/>
              <w:ind w:left="200" w:right="103"/>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7.</w:t>
            </w:r>
          </w:p>
        </w:tc>
        <w:tc>
          <w:tcPr>
            <w:tcW w:w="1897" w:type="dxa"/>
            <w:tcBorders>
              <w:bottom w:val="single" w:sz="8" w:space="0" w:color="000000"/>
            </w:tcBorders>
          </w:tcPr>
          <w:p>
            <w:pPr>
              <w:pStyle w:val="TableParagraph"/>
              <w:spacing w:before="116"/>
              <w:ind w:left="321"/>
              <w:rPr>
                <w:b/>
                <w:sz w:val="24"/>
              </w:rPr>
            </w:pPr>
            <w:r>
              <w:rPr>
                <w:b/>
                <w:sz w:val="24"/>
              </w:rPr>
              <w:t>合同解除</w:t>
            </w:r>
          </w:p>
        </w:tc>
        <w:tc>
          <w:tcPr>
            <w:tcW w:w="7577" w:type="dxa"/>
            <w:tcBorders>
              <w:bottom w:val="single" w:sz="8" w:space="0" w:color="000000"/>
            </w:tcBorders>
          </w:tcPr>
          <w:p>
            <w:pPr>
              <w:pStyle w:val="TableParagraph"/>
              <w:ind w:left="0"/>
              <w:rPr>
                <w:rFonts w:ascii="Times New Roman"/>
                <w:sz w:val="20"/>
              </w:rPr>
            </w:pPr>
          </w:p>
        </w:tc>
      </w:tr>
      <w:tr>
        <w:trPr>
          <w:trHeight w:val="2345"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7.1</w:t>
            </w:r>
          </w:p>
        </w:tc>
        <w:tc>
          <w:tcPr>
            <w:tcW w:w="1897" w:type="dxa"/>
            <w:tcBorders>
              <w:top w:val="single" w:sz="8" w:space="0" w:color="000000"/>
            </w:tcBorders>
          </w:tcPr>
          <w:p>
            <w:pPr>
              <w:pStyle w:val="TableParagraph"/>
              <w:spacing w:before="8"/>
              <w:ind w:left="0"/>
              <w:rPr>
                <w:sz w:val="16"/>
              </w:rPr>
            </w:pPr>
          </w:p>
          <w:p>
            <w:pPr>
              <w:pStyle w:val="TableParagraph"/>
              <w:spacing w:line="271" w:lineRule="auto"/>
              <w:ind w:left="321" w:right="95"/>
              <w:rPr>
                <w:b/>
                <w:sz w:val="21"/>
              </w:rPr>
            </w:pPr>
            <w:r>
              <w:rPr>
                <w:b/>
                <w:sz w:val="21"/>
              </w:rPr>
              <w:t>您解除合同的手续及风险</w:t>
            </w:r>
          </w:p>
        </w:tc>
        <w:tc>
          <w:tcPr>
            <w:tcW w:w="7577" w:type="dxa"/>
            <w:tcBorders>
              <w:top w:val="single" w:sz="8" w:space="0" w:color="000000"/>
            </w:tcBorders>
          </w:tcPr>
          <w:p>
            <w:pPr>
              <w:pStyle w:val="TableParagraph"/>
              <w:spacing w:before="10"/>
              <w:ind w:left="0"/>
              <w:rPr>
                <w:sz w:val="17"/>
              </w:rPr>
            </w:pPr>
          </w:p>
          <w:p>
            <w:pPr>
              <w:pStyle w:val="TableParagraph"/>
              <w:spacing w:line="271" w:lineRule="auto"/>
              <w:ind w:left="200" w:right="103"/>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2"/>
              </w:numPr>
              <w:tabs>
                <w:tab w:pos="921" w:val="left" w:leader="none"/>
              </w:tabs>
              <w:spacing w:line="240" w:lineRule="auto" w:before="103" w:after="0"/>
              <w:ind w:left="921" w:right="0" w:hanging="721"/>
              <w:jc w:val="left"/>
              <w:rPr>
                <w:sz w:val="21"/>
              </w:rPr>
            </w:pPr>
            <w:r>
              <w:rPr>
                <w:spacing w:val="-2"/>
                <w:sz w:val="21"/>
              </w:rPr>
              <w:t>本附加合同；</w:t>
            </w:r>
          </w:p>
          <w:p>
            <w:pPr>
              <w:pStyle w:val="TableParagraph"/>
              <w:numPr>
                <w:ilvl w:val="0"/>
                <w:numId w:val="12"/>
              </w:numPr>
              <w:tabs>
                <w:tab w:pos="921" w:val="left" w:leader="none"/>
              </w:tabs>
              <w:spacing w:line="240" w:lineRule="auto" w:before="130" w:after="0"/>
              <w:ind w:left="921" w:right="0" w:hanging="721"/>
              <w:jc w:val="left"/>
              <w:rPr>
                <w:sz w:val="21"/>
              </w:rPr>
            </w:pPr>
            <w:r>
              <w:rPr>
                <w:spacing w:val="-3"/>
                <w:sz w:val="21"/>
              </w:rPr>
              <w:t>您的有效身份证件。</w:t>
            </w:r>
          </w:p>
          <w:p>
            <w:pPr>
              <w:pStyle w:val="TableParagraph"/>
              <w:spacing w:line="310" w:lineRule="atLeast" w:before="95"/>
              <w:ind w:left="200" w:right="106"/>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tc>
      </w:tr>
    </w:tbl>
    <w:p>
      <w:pPr>
        <w:spacing w:after="0" w:line="310" w:lineRule="atLeast"/>
        <w:rPr>
          <w:sz w:val="21"/>
        </w:rPr>
        <w:sectPr>
          <w:pgSz w:w="11910" w:h="16840"/>
          <w:pgMar w:top="116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1"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211" w:lineRule="exact"/>
              <w:ind w:left="148"/>
              <w:rPr>
                <w:sz w:val="21"/>
              </w:rPr>
            </w:pPr>
            <w:r>
              <w:rPr>
                <w:sz w:val="21"/>
              </w:rPr>
              <w:t>您在犹豫期后解除合同会遭受一定损失。</w:t>
            </w:r>
          </w:p>
        </w:tc>
      </w:tr>
      <w:tr>
        <w:trPr>
          <w:trHeight w:val="595" w:hRule="atLeast"/>
        </w:trPr>
        <w:tc>
          <w:tcPr>
            <w:tcW w:w="747" w:type="dxa"/>
            <w:tcBorders>
              <w:bottom w:val="single" w:sz="4" w:space="0" w:color="000000"/>
            </w:tcBorders>
          </w:tcPr>
          <w:p>
            <w:pPr>
              <w:pStyle w:val="TableParagraph"/>
              <w:spacing w:before="116"/>
              <w:rPr>
                <w:b/>
                <w:sz w:val="24"/>
              </w:rPr>
            </w:pPr>
            <w:r>
              <w:rPr>
                <w:b/>
                <w:sz w:val="24"/>
              </w:rPr>
              <w:t>8.</w:t>
            </w:r>
          </w:p>
        </w:tc>
        <w:tc>
          <w:tcPr>
            <w:tcW w:w="9472" w:type="dxa"/>
            <w:gridSpan w:val="2"/>
            <w:tcBorders>
              <w:bottom w:val="single" w:sz="4" w:space="0" w:color="000000"/>
            </w:tcBorders>
          </w:tcPr>
          <w:p>
            <w:pPr>
              <w:pStyle w:val="TableParagraph"/>
              <w:spacing w:before="116"/>
              <w:ind w:left="321"/>
              <w:rPr>
                <w:b/>
                <w:sz w:val="24"/>
              </w:rPr>
            </w:pPr>
            <w:r>
              <w:rPr>
                <w:b/>
                <w:w w:val="95"/>
                <w:sz w:val="24"/>
              </w:rPr>
              <w:t>其他需要关注的事项</w:t>
            </w:r>
          </w:p>
        </w:tc>
      </w:tr>
      <w:tr>
        <w:trPr>
          <w:trHeight w:val="1501" w:hRule="atLeast"/>
        </w:trPr>
        <w:tc>
          <w:tcPr>
            <w:tcW w:w="747" w:type="dxa"/>
            <w:tcBorders>
              <w:top w:val="single" w:sz="4" w:space="0" w:color="000000"/>
            </w:tcBorders>
          </w:tcPr>
          <w:p>
            <w:pPr>
              <w:pStyle w:val="TableParagraph"/>
              <w:spacing w:before="6"/>
              <w:ind w:left="0"/>
              <w:rPr>
                <w:sz w:val="18"/>
              </w:rPr>
            </w:pPr>
          </w:p>
          <w:p>
            <w:pPr>
              <w:pStyle w:val="TableParagraph"/>
              <w:rPr>
                <w:b/>
                <w:sz w:val="21"/>
              </w:rPr>
            </w:pPr>
            <w:r>
              <w:rPr>
                <w:b/>
                <w:sz w:val="21"/>
              </w:rPr>
              <w:t>8.1</w:t>
            </w:r>
          </w:p>
        </w:tc>
        <w:tc>
          <w:tcPr>
            <w:tcW w:w="1949" w:type="dxa"/>
            <w:tcBorders>
              <w:top w:val="single" w:sz="4" w:space="0" w:color="000000"/>
            </w:tcBorders>
          </w:tcPr>
          <w:p>
            <w:pPr>
              <w:pStyle w:val="TableParagraph"/>
              <w:spacing w:before="4"/>
              <w:ind w:left="0"/>
              <w:rPr>
                <w:sz w:val="17"/>
              </w:rPr>
            </w:pPr>
          </w:p>
          <w:p>
            <w:pPr>
              <w:pStyle w:val="TableParagraph"/>
              <w:spacing w:before="1"/>
              <w:ind w:left="321"/>
              <w:rPr>
                <w:b/>
                <w:sz w:val="21"/>
              </w:rPr>
            </w:pPr>
            <w:r>
              <w:rPr>
                <w:b/>
                <w:sz w:val="21"/>
              </w:rPr>
              <w:t>效力终止</w:t>
            </w:r>
          </w:p>
        </w:tc>
        <w:tc>
          <w:tcPr>
            <w:tcW w:w="7523" w:type="dxa"/>
            <w:tcBorders>
              <w:top w:val="single" w:sz="4" w:space="0" w:color="000000"/>
            </w:tcBorders>
          </w:tcPr>
          <w:p>
            <w:pPr>
              <w:pStyle w:val="TableParagraph"/>
              <w:spacing w:before="6"/>
              <w:ind w:left="0"/>
              <w:rPr>
                <w:sz w:val="18"/>
              </w:rPr>
            </w:pPr>
          </w:p>
          <w:p>
            <w:pPr>
              <w:pStyle w:val="TableParagraph"/>
              <w:ind w:left="148"/>
              <w:rPr>
                <w:sz w:val="21"/>
              </w:rPr>
            </w:pPr>
            <w:r>
              <w:rPr>
                <w:sz w:val="21"/>
              </w:rPr>
              <w:t>发生下列情况之一时，本附加合同效力终止：</w:t>
            </w:r>
          </w:p>
          <w:p>
            <w:pPr>
              <w:pStyle w:val="TableParagraph"/>
              <w:numPr>
                <w:ilvl w:val="0"/>
                <w:numId w:val="13"/>
              </w:numPr>
              <w:tabs>
                <w:tab w:pos="869" w:val="left" w:leader="none"/>
              </w:tabs>
              <w:spacing w:line="240" w:lineRule="auto" w:before="130" w:after="0"/>
              <w:ind w:left="869" w:right="0" w:hanging="721"/>
              <w:jc w:val="left"/>
              <w:rPr>
                <w:sz w:val="21"/>
              </w:rPr>
            </w:pPr>
            <w:r>
              <w:rPr>
                <w:spacing w:val="-3"/>
                <w:sz w:val="21"/>
              </w:rPr>
              <w:t>主合同效力终止；</w:t>
            </w:r>
          </w:p>
          <w:p>
            <w:pPr>
              <w:pStyle w:val="TableParagraph"/>
              <w:numPr>
                <w:ilvl w:val="0"/>
                <w:numId w:val="13"/>
              </w:numPr>
              <w:tabs>
                <w:tab w:pos="869" w:val="left" w:leader="none"/>
              </w:tabs>
              <w:spacing w:line="240" w:lineRule="auto" w:before="130" w:after="0"/>
              <w:ind w:left="869" w:right="0" w:hanging="721"/>
              <w:jc w:val="left"/>
              <w:rPr>
                <w:sz w:val="21"/>
              </w:rPr>
            </w:pPr>
            <w:r>
              <w:rPr>
                <w:spacing w:val="-3"/>
                <w:sz w:val="21"/>
              </w:rPr>
              <w:t>本附加合同约定的合同效力终止情况。</w:t>
            </w:r>
          </w:p>
        </w:tc>
      </w:tr>
      <w:tr>
        <w:trPr>
          <w:trHeight w:val="3830" w:hRule="atLeast"/>
        </w:trPr>
        <w:tc>
          <w:tcPr>
            <w:tcW w:w="747" w:type="dxa"/>
          </w:tcPr>
          <w:p>
            <w:pPr>
              <w:pStyle w:val="TableParagraph"/>
              <w:spacing w:before="124"/>
              <w:rPr>
                <w:b/>
                <w:sz w:val="21"/>
              </w:rPr>
            </w:pPr>
            <w:r>
              <w:rPr>
                <w:b/>
                <w:sz w:val="21"/>
              </w:rPr>
              <w:t>8.2</w:t>
            </w:r>
          </w:p>
        </w:tc>
        <w:tc>
          <w:tcPr>
            <w:tcW w:w="1949" w:type="dxa"/>
          </w:tcPr>
          <w:p>
            <w:pPr>
              <w:pStyle w:val="TableParagraph"/>
              <w:spacing w:before="110"/>
              <w:ind w:left="321"/>
              <w:rPr>
                <w:b/>
                <w:sz w:val="21"/>
              </w:rPr>
            </w:pPr>
            <w:r>
              <w:rPr>
                <w:b/>
                <w:sz w:val="21"/>
              </w:rPr>
              <w:t>适用主合同条款</w:t>
            </w:r>
          </w:p>
        </w:tc>
        <w:tc>
          <w:tcPr>
            <w:tcW w:w="7523" w:type="dxa"/>
          </w:tcPr>
          <w:p>
            <w:pPr>
              <w:pStyle w:val="TableParagraph"/>
              <w:spacing w:before="124"/>
              <w:ind w:left="148"/>
              <w:rPr>
                <w:sz w:val="21"/>
              </w:rPr>
            </w:pPr>
            <w:r>
              <w:rPr>
                <w:sz w:val="21"/>
              </w:rPr>
              <w:t>主合同订立的下列各项条款适用于本附加合同：</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明确说明与如实告知；</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我们合同解除权的限制；</w:t>
            </w:r>
          </w:p>
          <w:p>
            <w:pPr>
              <w:pStyle w:val="TableParagraph"/>
              <w:numPr>
                <w:ilvl w:val="0"/>
                <w:numId w:val="14"/>
              </w:numPr>
              <w:tabs>
                <w:tab w:pos="869" w:val="left" w:leader="none"/>
              </w:tabs>
              <w:spacing w:line="240" w:lineRule="auto" w:before="127" w:after="0"/>
              <w:ind w:left="869" w:right="0" w:hanging="721"/>
              <w:jc w:val="left"/>
              <w:rPr>
                <w:sz w:val="21"/>
              </w:rPr>
            </w:pPr>
            <w:r>
              <w:rPr>
                <w:spacing w:val="-2"/>
                <w:sz w:val="21"/>
              </w:rPr>
              <w:t>年龄性别错误；</w:t>
            </w:r>
          </w:p>
          <w:p>
            <w:pPr>
              <w:pStyle w:val="TableParagraph"/>
              <w:numPr>
                <w:ilvl w:val="0"/>
                <w:numId w:val="14"/>
              </w:numPr>
              <w:tabs>
                <w:tab w:pos="869" w:val="left" w:leader="none"/>
              </w:tabs>
              <w:spacing w:line="240" w:lineRule="auto" w:before="130" w:after="0"/>
              <w:ind w:left="869" w:right="0" w:hanging="721"/>
              <w:jc w:val="left"/>
              <w:rPr>
                <w:sz w:val="21"/>
              </w:rPr>
            </w:pPr>
            <w:r>
              <w:rPr>
                <w:spacing w:val="-1"/>
                <w:sz w:val="21"/>
              </w:rPr>
              <w:t>未还款项；</w:t>
            </w:r>
          </w:p>
          <w:p>
            <w:pPr>
              <w:pStyle w:val="TableParagraph"/>
              <w:numPr>
                <w:ilvl w:val="0"/>
                <w:numId w:val="14"/>
              </w:numPr>
              <w:tabs>
                <w:tab w:pos="869" w:val="left" w:leader="none"/>
              </w:tabs>
              <w:spacing w:line="240" w:lineRule="auto" w:before="130" w:after="0"/>
              <w:ind w:left="869" w:right="0" w:hanging="721"/>
              <w:jc w:val="left"/>
              <w:rPr>
                <w:sz w:val="21"/>
              </w:rPr>
            </w:pPr>
            <w:r>
              <w:rPr>
                <w:spacing w:val="-2"/>
                <w:sz w:val="21"/>
              </w:rPr>
              <w:t>合同内容变更；</w:t>
            </w:r>
          </w:p>
          <w:p>
            <w:pPr>
              <w:pStyle w:val="TableParagraph"/>
              <w:numPr>
                <w:ilvl w:val="0"/>
                <w:numId w:val="14"/>
              </w:numPr>
              <w:tabs>
                <w:tab w:pos="869" w:val="left" w:leader="none"/>
              </w:tabs>
              <w:spacing w:line="240" w:lineRule="auto" w:before="130" w:after="0"/>
              <w:ind w:left="869" w:right="0" w:hanging="721"/>
              <w:jc w:val="left"/>
              <w:rPr>
                <w:sz w:val="21"/>
              </w:rPr>
            </w:pPr>
            <w:r>
              <w:rPr>
                <w:spacing w:val="-2"/>
                <w:sz w:val="21"/>
              </w:rPr>
              <w:t>联系方式变更；</w:t>
            </w:r>
          </w:p>
          <w:p>
            <w:pPr>
              <w:pStyle w:val="TableParagraph"/>
              <w:numPr>
                <w:ilvl w:val="0"/>
                <w:numId w:val="14"/>
              </w:numPr>
              <w:tabs>
                <w:tab w:pos="869" w:val="left" w:leader="none"/>
              </w:tabs>
              <w:spacing w:line="240" w:lineRule="auto" w:before="127" w:after="0"/>
              <w:ind w:left="869" w:right="0" w:hanging="721"/>
              <w:jc w:val="left"/>
              <w:rPr>
                <w:sz w:val="21"/>
              </w:rPr>
            </w:pPr>
            <w:r>
              <w:rPr>
                <w:spacing w:val="-2"/>
                <w:sz w:val="21"/>
              </w:rPr>
              <w:t>争议处理；</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保险事故鉴定。</w:t>
            </w:r>
          </w:p>
        </w:tc>
      </w:tr>
      <w:tr>
        <w:trPr>
          <w:trHeight w:val="595" w:hRule="atLeast"/>
        </w:trPr>
        <w:tc>
          <w:tcPr>
            <w:tcW w:w="747" w:type="dxa"/>
            <w:tcBorders>
              <w:bottom w:val="single" w:sz="4" w:space="0" w:color="000000"/>
            </w:tcBorders>
          </w:tcPr>
          <w:p>
            <w:pPr>
              <w:pStyle w:val="TableParagraph"/>
              <w:spacing w:before="116"/>
              <w:rPr>
                <w:b/>
                <w:sz w:val="24"/>
              </w:rPr>
            </w:pPr>
            <w:r>
              <w:rPr>
                <w:b/>
                <w:sz w:val="24"/>
              </w:rPr>
              <w:t>9.</w:t>
            </w:r>
          </w:p>
        </w:tc>
        <w:tc>
          <w:tcPr>
            <w:tcW w:w="1949" w:type="dxa"/>
            <w:tcBorders>
              <w:bottom w:val="single" w:sz="4" w:space="0" w:color="000000"/>
            </w:tcBorders>
          </w:tcPr>
          <w:p>
            <w:pPr>
              <w:pStyle w:val="TableParagraph"/>
              <w:spacing w:before="116"/>
              <w:ind w:left="321"/>
              <w:rPr>
                <w:b/>
                <w:sz w:val="24"/>
              </w:rPr>
            </w:pPr>
            <w:r>
              <w:rPr>
                <w:b/>
                <w:w w:val="95"/>
                <w:sz w:val="24"/>
              </w:rPr>
              <w:t>重大疾病定义</w:t>
            </w:r>
          </w:p>
        </w:tc>
        <w:tc>
          <w:tcPr>
            <w:tcW w:w="752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3"/>
              <w:jc w:val="both"/>
              <w:rPr>
                <w:sz w:val="21"/>
              </w:rPr>
            </w:pPr>
            <w:r>
              <w:rPr>
                <w:spacing w:val="-6"/>
                <w:sz w:val="21"/>
              </w:rPr>
              <w:t>本附加合同所定义的重大疾病共有 </w:t>
            </w:r>
            <w:r>
              <w:rPr>
                <w:sz w:val="21"/>
              </w:rPr>
              <w:t>17</w:t>
            </w:r>
            <w:r>
              <w:rPr>
                <w:spacing w:val="-29"/>
                <w:sz w:val="21"/>
              </w:rPr>
              <w:t> 种，其中第 </w:t>
            </w:r>
            <w:r>
              <w:rPr>
                <w:sz w:val="21"/>
              </w:rPr>
              <w:t>1</w:t>
            </w:r>
            <w:r>
              <w:rPr>
                <w:spacing w:val="-33"/>
                <w:sz w:val="21"/>
              </w:rPr>
              <w:t> 至 </w:t>
            </w:r>
            <w:r>
              <w:rPr>
                <w:sz w:val="21"/>
              </w:rPr>
              <w:t>12</w:t>
            </w:r>
            <w:r>
              <w:rPr>
                <w:spacing w:val="-8"/>
                <w:sz w:val="21"/>
              </w:rPr>
              <w:t> 种重大疾病为中国保险</w:t>
            </w:r>
            <w:r>
              <w:rPr>
                <w:spacing w:val="-12"/>
                <w:sz w:val="21"/>
              </w:rPr>
              <w:t>行业协会颁布的《重大疾病保险的疾病定义使用规范》</w:t>
            </w:r>
            <w:r>
              <w:rPr>
                <w:sz w:val="21"/>
              </w:rPr>
              <w:t>（</w:t>
            </w:r>
            <w:r>
              <w:rPr>
                <w:spacing w:val="-1"/>
                <w:sz w:val="21"/>
              </w:rPr>
              <w:t>以下简称“规范</w:t>
            </w:r>
            <w:r>
              <w:rPr>
                <w:spacing w:val="-3"/>
                <w:sz w:val="21"/>
              </w:rPr>
              <w:t>”）规</w:t>
            </w:r>
            <w:r>
              <w:rPr>
                <w:spacing w:val="-16"/>
                <w:sz w:val="21"/>
              </w:rPr>
              <w:t>定的疾病，且疾病名称和疾病定义与“规范”一致，第</w:t>
            </w:r>
            <w:r>
              <w:rPr>
                <w:sz w:val="21"/>
              </w:rPr>
              <w:t>13</w:t>
            </w:r>
            <w:r>
              <w:rPr>
                <w:spacing w:val="-13"/>
                <w:sz w:val="21"/>
              </w:rPr>
              <w:t> 至</w:t>
            </w:r>
            <w:r>
              <w:rPr>
                <w:sz w:val="21"/>
              </w:rPr>
              <w:t>17</w:t>
            </w:r>
            <w:r>
              <w:rPr>
                <w:spacing w:val="-10"/>
                <w:sz w:val="21"/>
              </w:rPr>
              <w:t> 种重大疾病为“规</w:t>
            </w:r>
            <w:r>
              <w:rPr>
                <w:spacing w:val="-5"/>
                <w:sz w:val="21"/>
              </w:rPr>
              <w:t>范”规定范围之外的疾病。</w:t>
            </w:r>
          </w:p>
        </w:tc>
      </w:tr>
      <w:tr>
        <w:trPr>
          <w:trHeight w:val="4316" w:hRule="atLeast"/>
        </w:trPr>
        <w:tc>
          <w:tcPr>
            <w:tcW w:w="747" w:type="dxa"/>
          </w:tcPr>
          <w:p>
            <w:pPr>
              <w:pStyle w:val="TableParagraph"/>
              <w:spacing w:before="111"/>
              <w:rPr>
                <w:b/>
                <w:sz w:val="21"/>
              </w:rPr>
            </w:pPr>
            <w:r>
              <w:rPr>
                <w:b/>
                <w:sz w:val="21"/>
              </w:rPr>
              <w:t>9.1</w:t>
            </w:r>
          </w:p>
        </w:tc>
        <w:tc>
          <w:tcPr>
            <w:tcW w:w="1949" w:type="dxa"/>
          </w:tcPr>
          <w:p>
            <w:pPr>
              <w:pStyle w:val="TableParagraph"/>
              <w:spacing w:before="111"/>
              <w:ind w:left="321"/>
              <w:rPr>
                <w:b/>
                <w:sz w:val="21"/>
              </w:rPr>
            </w:pPr>
            <w:r>
              <w:rPr>
                <w:b/>
                <w:sz w:val="21"/>
              </w:rPr>
              <w:t>恶性肿瘤</w:t>
            </w:r>
          </w:p>
        </w:tc>
        <w:tc>
          <w:tcPr>
            <w:tcW w:w="7523" w:type="dxa"/>
          </w:tcPr>
          <w:p>
            <w:pPr>
              <w:pStyle w:val="TableParagraph"/>
              <w:spacing w:line="273" w:lineRule="auto" w:before="126"/>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101"/>
              <w:ind w:left="14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85" w:val="left" w:leader="none"/>
                <w:tab w:pos="886" w:val="left" w:leader="none"/>
              </w:tabs>
              <w:spacing w:line="240" w:lineRule="auto" w:before="128"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85" w:val="left" w:leader="none"/>
                <w:tab w:pos="886" w:val="left" w:leader="none"/>
              </w:tabs>
              <w:spacing w:line="240" w:lineRule="auto" w:before="131"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85" w:val="left" w:leader="none"/>
                <w:tab w:pos="886" w:val="left" w:leader="none"/>
              </w:tabs>
              <w:spacing w:line="240" w:lineRule="auto" w:before="114"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381" w:hRule="atLeast"/>
        </w:trPr>
        <w:tc>
          <w:tcPr>
            <w:tcW w:w="747" w:type="dxa"/>
          </w:tcPr>
          <w:p>
            <w:pPr>
              <w:pStyle w:val="TableParagraph"/>
              <w:spacing w:before="127"/>
              <w:rPr>
                <w:b/>
                <w:sz w:val="21"/>
              </w:rPr>
            </w:pPr>
            <w:r>
              <w:rPr>
                <w:b/>
                <w:sz w:val="21"/>
              </w:rPr>
              <w:t>9.2</w:t>
            </w:r>
          </w:p>
        </w:tc>
        <w:tc>
          <w:tcPr>
            <w:tcW w:w="1949" w:type="dxa"/>
          </w:tcPr>
          <w:p>
            <w:pPr>
              <w:pStyle w:val="TableParagraph"/>
              <w:spacing w:line="271" w:lineRule="auto" w:before="127"/>
              <w:ind w:left="321" w:right="147"/>
              <w:jc w:val="both"/>
              <w:rPr>
                <w:b/>
                <w:sz w:val="21"/>
              </w:rPr>
            </w:pPr>
            <w:r>
              <w:rPr>
                <w:b/>
                <w:sz w:val="21"/>
              </w:rPr>
              <w:t>重大器官移植术或造血干细胞移植术</w:t>
            </w:r>
          </w:p>
        </w:tc>
        <w:tc>
          <w:tcPr>
            <w:tcW w:w="7523" w:type="dxa"/>
          </w:tcPr>
          <w:p>
            <w:pPr>
              <w:pStyle w:val="TableParagraph"/>
              <w:spacing w:line="271" w:lineRule="auto" w:before="96"/>
              <w:ind w:left="148" w:right="101"/>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310" w:lineRule="atLeast" w:before="54"/>
              <w:ind w:left="148" w:right="101"/>
              <w:rPr>
                <w:sz w:val="21"/>
              </w:rPr>
            </w:pPr>
            <w:r>
              <w:rPr>
                <w:spacing w:val="-10"/>
                <w:sz w:val="21"/>
              </w:rPr>
              <w:t>造血干细胞移植术，指因造血功能损害或造血系统恶性肿瘤，已经实施了造血干</w:t>
            </w:r>
            <w:r>
              <w:rPr>
                <w:spacing w:val="-15"/>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w:t>
            </w:r>
          </w:p>
        </w:tc>
      </w:tr>
    </w:tbl>
    <w:p>
      <w:pPr>
        <w:spacing w:after="0" w:line="310" w:lineRule="atLeast"/>
        <w:rPr>
          <w:sz w:val="21"/>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spacing w:line="211" w:lineRule="exact"/>
              <w:ind w:left="149"/>
              <w:rPr>
                <w:sz w:val="21"/>
              </w:rPr>
            </w:pPr>
            <w:r>
              <w:rPr>
                <w:sz w:val="21"/>
              </w:rPr>
              <w:t>手术。</w:t>
            </w:r>
          </w:p>
        </w:tc>
      </w:tr>
      <w:tr>
        <w:trPr>
          <w:trHeight w:val="1185" w:hRule="atLeast"/>
        </w:trPr>
        <w:tc>
          <w:tcPr>
            <w:tcW w:w="891" w:type="dxa"/>
          </w:tcPr>
          <w:p>
            <w:pPr>
              <w:pStyle w:val="TableParagraph"/>
              <w:spacing w:before="111"/>
              <w:ind w:left="74" w:right="246"/>
              <w:jc w:val="center"/>
              <w:rPr>
                <w:b/>
                <w:sz w:val="21"/>
              </w:rPr>
            </w:pPr>
            <w:r>
              <w:rPr>
                <w:b/>
                <w:sz w:val="21"/>
              </w:rPr>
              <w:t>9.3</w:t>
            </w:r>
          </w:p>
        </w:tc>
        <w:tc>
          <w:tcPr>
            <w:tcW w:w="1896" w:type="dxa"/>
          </w:tcPr>
          <w:p>
            <w:pPr>
              <w:pStyle w:val="TableParagraph"/>
              <w:spacing w:line="273" w:lineRule="auto" w:before="111"/>
              <w:ind w:left="269" w:right="146"/>
              <w:jc w:val="both"/>
              <w:rPr>
                <w:b/>
                <w:sz w:val="21"/>
              </w:rPr>
            </w:pPr>
            <w:r>
              <w:rPr>
                <w:b/>
                <w:sz w:val="21"/>
              </w:rPr>
              <w:t>终末期肾病（或称慢性肾功能衰竭尿毒症期）</w:t>
            </w:r>
          </w:p>
        </w:tc>
        <w:tc>
          <w:tcPr>
            <w:tcW w:w="7723" w:type="dxa"/>
          </w:tcPr>
          <w:p>
            <w:pPr>
              <w:pStyle w:val="TableParagraph"/>
              <w:spacing w:line="273" w:lineRule="auto" w:before="111"/>
              <w:ind w:left="149" w:right="220" w:firstLine="2"/>
              <w:rPr>
                <w:sz w:val="21"/>
              </w:rPr>
            </w:pPr>
            <w:r>
              <w:rPr>
                <w:sz w:val="21"/>
              </w:rPr>
              <w:t>功能慢性不可逆性衰竭，达到尿毒症期，经诊断后已经进行了至少 90 天的规律性透析治疗或实施了肾脏移植手术。</w:t>
            </w:r>
          </w:p>
        </w:tc>
      </w:tr>
      <w:tr>
        <w:trPr>
          <w:trHeight w:val="2320" w:hRule="atLeast"/>
        </w:trPr>
        <w:tc>
          <w:tcPr>
            <w:tcW w:w="891" w:type="dxa"/>
          </w:tcPr>
          <w:p>
            <w:pPr>
              <w:pStyle w:val="TableParagraph"/>
              <w:spacing w:before="111"/>
              <w:ind w:left="74" w:right="246"/>
              <w:jc w:val="center"/>
              <w:rPr>
                <w:b/>
                <w:sz w:val="21"/>
              </w:rPr>
            </w:pPr>
            <w:r>
              <w:rPr>
                <w:b/>
                <w:sz w:val="21"/>
              </w:rPr>
              <w:t>9.4</w:t>
            </w:r>
          </w:p>
        </w:tc>
        <w:tc>
          <w:tcPr>
            <w:tcW w:w="1896" w:type="dxa"/>
          </w:tcPr>
          <w:p>
            <w:pPr>
              <w:pStyle w:val="TableParagraph"/>
              <w:spacing w:line="271" w:lineRule="auto" w:before="111"/>
              <w:ind w:left="269" w:right="146"/>
              <w:rPr>
                <w:b/>
                <w:sz w:val="21"/>
              </w:rPr>
            </w:pPr>
            <w:r>
              <w:rPr>
                <w:b/>
                <w:sz w:val="21"/>
              </w:rPr>
              <w:t>急性或亚急性重症肝炎</w:t>
            </w:r>
          </w:p>
        </w:tc>
        <w:tc>
          <w:tcPr>
            <w:tcW w:w="7723" w:type="dxa"/>
          </w:tcPr>
          <w:p>
            <w:pPr>
              <w:pStyle w:val="TableParagraph"/>
              <w:spacing w:line="271" w:lineRule="auto" w:before="111"/>
              <w:ind w:left="149" w:right="301"/>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6"/>
              </w:numPr>
              <w:tabs>
                <w:tab w:pos="886" w:val="left" w:leader="none"/>
                <w:tab w:pos="887" w:val="left" w:leader="none"/>
              </w:tabs>
              <w:spacing w:line="240" w:lineRule="auto" w:before="57" w:after="0"/>
              <w:ind w:left="886" w:right="0" w:hanging="737"/>
              <w:jc w:val="left"/>
              <w:rPr>
                <w:sz w:val="21"/>
              </w:rPr>
            </w:pPr>
            <w:r>
              <w:rPr>
                <w:spacing w:val="-3"/>
                <w:sz w:val="21"/>
              </w:rPr>
              <w:t>重度黄疸或黄疸迅速加重；</w:t>
            </w:r>
          </w:p>
          <w:p>
            <w:pPr>
              <w:pStyle w:val="TableParagraph"/>
              <w:numPr>
                <w:ilvl w:val="0"/>
                <w:numId w:val="16"/>
              </w:numPr>
              <w:tabs>
                <w:tab w:pos="886" w:val="left" w:leader="none"/>
                <w:tab w:pos="887" w:val="left" w:leader="none"/>
              </w:tabs>
              <w:spacing w:line="240" w:lineRule="auto" w:before="82" w:after="0"/>
              <w:ind w:left="886" w:right="0" w:hanging="737"/>
              <w:jc w:val="left"/>
              <w:rPr>
                <w:sz w:val="21"/>
              </w:rPr>
            </w:pPr>
            <w:r>
              <w:rPr>
                <w:spacing w:val="-3"/>
                <w:sz w:val="21"/>
              </w:rPr>
              <w:t>肝性脑病；</w:t>
            </w:r>
          </w:p>
          <w:p>
            <w:pPr>
              <w:pStyle w:val="TableParagraph"/>
              <w:numPr>
                <w:ilvl w:val="0"/>
                <w:numId w:val="16"/>
              </w:numPr>
              <w:tabs>
                <w:tab w:pos="886" w:val="left" w:leader="none"/>
                <w:tab w:pos="887" w:val="left" w:leader="none"/>
              </w:tabs>
              <w:spacing w:line="240" w:lineRule="auto" w:before="82" w:after="0"/>
              <w:ind w:left="886" w:right="0" w:hanging="737"/>
              <w:jc w:val="left"/>
              <w:rPr>
                <w:sz w:val="21"/>
              </w:rPr>
            </w:pPr>
            <w:r>
              <w:rPr>
                <w:sz w:val="21"/>
              </w:rPr>
              <w:t>B</w:t>
            </w:r>
            <w:r>
              <w:rPr>
                <w:spacing w:val="-7"/>
                <w:sz w:val="21"/>
              </w:rPr>
              <w:t> 超或其它影像学检查显示肝脏体积急速萎缩；</w:t>
            </w:r>
          </w:p>
          <w:p>
            <w:pPr>
              <w:pStyle w:val="TableParagraph"/>
              <w:numPr>
                <w:ilvl w:val="0"/>
                <w:numId w:val="16"/>
              </w:numPr>
              <w:tabs>
                <w:tab w:pos="886" w:val="left" w:leader="none"/>
                <w:tab w:pos="887" w:val="left" w:leader="none"/>
              </w:tabs>
              <w:spacing w:line="240" w:lineRule="auto" w:before="116" w:after="0"/>
              <w:ind w:left="886" w:right="0" w:hanging="737"/>
              <w:jc w:val="left"/>
              <w:rPr>
                <w:sz w:val="21"/>
              </w:rPr>
            </w:pPr>
            <w:r>
              <w:rPr>
                <w:spacing w:val="-3"/>
                <w:sz w:val="21"/>
              </w:rPr>
              <w:t>肝功能指标进行性恶化。</w:t>
            </w:r>
          </w:p>
        </w:tc>
      </w:tr>
      <w:tr>
        <w:trPr>
          <w:trHeight w:val="2585" w:hRule="atLeast"/>
        </w:trPr>
        <w:tc>
          <w:tcPr>
            <w:tcW w:w="891" w:type="dxa"/>
          </w:tcPr>
          <w:p>
            <w:pPr>
              <w:pStyle w:val="TableParagraph"/>
              <w:spacing w:before="126"/>
              <w:ind w:left="74" w:right="246"/>
              <w:jc w:val="center"/>
              <w:rPr>
                <w:b/>
                <w:sz w:val="21"/>
              </w:rPr>
            </w:pPr>
            <w:r>
              <w:rPr>
                <w:b/>
                <w:sz w:val="21"/>
              </w:rPr>
              <w:t>9.5</w:t>
            </w:r>
          </w:p>
        </w:tc>
        <w:tc>
          <w:tcPr>
            <w:tcW w:w="1896" w:type="dxa"/>
          </w:tcPr>
          <w:p>
            <w:pPr>
              <w:pStyle w:val="TableParagraph"/>
              <w:spacing w:before="126"/>
              <w:ind w:left="269"/>
              <w:rPr>
                <w:b/>
                <w:sz w:val="21"/>
              </w:rPr>
            </w:pPr>
            <w:r>
              <w:rPr>
                <w:b/>
                <w:sz w:val="21"/>
              </w:rPr>
              <w:t>良性脑肿瘤</w:t>
            </w:r>
          </w:p>
        </w:tc>
        <w:tc>
          <w:tcPr>
            <w:tcW w:w="7723" w:type="dxa"/>
          </w:tcPr>
          <w:p>
            <w:pPr>
              <w:pStyle w:val="TableParagraph"/>
              <w:spacing w:line="271" w:lineRule="auto" w:before="94"/>
              <w:ind w:left="149" w:right="197"/>
              <w:rPr>
                <w:sz w:val="21"/>
              </w:rPr>
            </w:pPr>
            <w:r>
              <w:rPr>
                <w:spacing w:val="-15"/>
                <w:sz w:val="21"/>
              </w:rPr>
              <w:t>指脑的良性肿瘤，已经引起颅内压增高，临床表现为视神经乳头水肿、精神症状、</w:t>
            </w:r>
            <w:r>
              <w:rPr>
                <w:spacing w:val="-10"/>
                <w:w w:val="100"/>
                <w:sz w:val="21"/>
              </w:rPr>
              <w:t>癫痫及运动感觉障碍等，并危及生命。须由头颅断层扫描</w:t>
            </w:r>
            <w:r>
              <w:rPr>
                <w:w w:val="100"/>
                <w:sz w:val="21"/>
              </w:rPr>
              <w:t>（CT</w:t>
            </w:r>
            <w:r>
              <w:rPr>
                <w:spacing w:val="-106"/>
                <w:w w:val="100"/>
                <w:sz w:val="21"/>
              </w:rPr>
              <w:t>）</w:t>
            </w:r>
            <w:r>
              <w:rPr>
                <w:spacing w:val="-3"/>
                <w:w w:val="100"/>
                <w:sz w:val="21"/>
              </w:rPr>
              <w:t>、核磁共振检查</w:t>
            </w:r>
          </w:p>
          <w:p>
            <w:pPr>
              <w:pStyle w:val="TableParagraph"/>
              <w:spacing w:line="273" w:lineRule="auto" w:before="9"/>
              <w:ind w:left="149" w:right="303"/>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7"/>
              </w:numPr>
              <w:tabs>
                <w:tab w:pos="886" w:val="left" w:leader="none"/>
                <w:tab w:pos="887" w:val="left" w:leader="none"/>
              </w:tabs>
              <w:spacing w:line="240" w:lineRule="auto" w:before="55" w:after="0"/>
              <w:ind w:left="886" w:right="0" w:hanging="737"/>
              <w:jc w:val="left"/>
              <w:rPr>
                <w:sz w:val="21"/>
              </w:rPr>
            </w:pPr>
            <w:r>
              <w:rPr>
                <w:spacing w:val="-3"/>
                <w:sz w:val="21"/>
              </w:rPr>
              <w:t>实际实施了开颅进行的脑肿瘤完全切除或部分切除的手术；</w:t>
            </w:r>
          </w:p>
          <w:p>
            <w:pPr>
              <w:pStyle w:val="TableParagraph"/>
              <w:numPr>
                <w:ilvl w:val="0"/>
                <w:numId w:val="17"/>
              </w:numPr>
              <w:tabs>
                <w:tab w:pos="886" w:val="left" w:leader="none"/>
                <w:tab w:pos="887" w:val="left" w:leader="none"/>
              </w:tabs>
              <w:spacing w:line="240" w:lineRule="auto" w:before="82" w:after="0"/>
              <w:ind w:left="886" w:right="0" w:hanging="737"/>
              <w:jc w:val="left"/>
              <w:rPr>
                <w:sz w:val="21"/>
              </w:rPr>
            </w:pPr>
            <w:r>
              <w:rPr>
                <w:spacing w:val="-3"/>
                <w:sz w:val="21"/>
              </w:rPr>
              <w:t>实际实施了对脑肿瘤进行的放射治疗。</w:t>
            </w:r>
          </w:p>
          <w:p>
            <w:pPr>
              <w:pStyle w:val="TableParagraph"/>
              <w:spacing w:before="113"/>
              <w:ind w:left="149"/>
              <w:rPr>
                <w:rFonts w:ascii="黑体" w:eastAsia="黑体" w:hint="eastAsia"/>
                <w:sz w:val="21"/>
              </w:rPr>
            </w:pPr>
            <w:r>
              <w:rPr>
                <w:rFonts w:ascii="黑体" w:eastAsia="黑体" w:hint="eastAsia"/>
                <w:sz w:val="21"/>
              </w:rPr>
              <w:t>脑垂体瘤、脑囊肿、脑血管性疾病不在保障范围内。</w:t>
            </w:r>
          </w:p>
        </w:tc>
      </w:tr>
      <w:tr>
        <w:trPr>
          <w:trHeight w:val="1167" w:hRule="atLeast"/>
        </w:trPr>
        <w:tc>
          <w:tcPr>
            <w:tcW w:w="891" w:type="dxa"/>
          </w:tcPr>
          <w:p>
            <w:pPr>
              <w:pStyle w:val="TableParagraph"/>
              <w:spacing w:before="111"/>
              <w:ind w:left="74" w:right="246"/>
              <w:jc w:val="center"/>
              <w:rPr>
                <w:b/>
                <w:sz w:val="21"/>
              </w:rPr>
            </w:pPr>
            <w:r>
              <w:rPr>
                <w:b/>
                <w:sz w:val="21"/>
              </w:rPr>
              <w:t>9.6</w:t>
            </w:r>
          </w:p>
        </w:tc>
        <w:tc>
          <w:tcPr>
            <w:tcW w:w="1896" w:type="dxa"/>
          </w:tcPr>
          <w:p>
            <w:pPr>
              <w:pStyle w:val="TableParagraph"/>
              <w:spacing w:before="111"/>
              <w:ind w:left="269"/>
              <w:rPr>
                <w:b/>
                <w:sz w:val="21"/>
              </w:rPr>
            </w:pPr>
            <w:r>
              <w:rPr>
                <w:b/>
                <w:sz w:val="21"/>
              </w:rPr>
              <w:t>双耳失聪</w:t>
            </w:r>
          </w:p>
        </w:tc>
        <w:tc>
          <w:tcPr>
            <w:tcW w:w="7723" w:type="dxa"/>
          </w:tcPr>
          <w:p>
            <w:pPr>
              <w:pStyle w:val="TableParagraph"/>
              <w:spacing w:before="111"/>
              <w:ind w:left="149"/>
              <w:rPr>
                <w:sz w:val="21"/>
              </w:rPr>
            </w:pPr>
            <w:r>
              <w:rPr>
                <w:sz w:val="21"/>
              </w:rPr>
              <w:t>指因疾病或意外伤害导致双耳听力</w:t>
            </w:r>
            <w:r>
              <w:rPr>
                <w:b/>
                <w:sz w:val="21"/>
              </w:rPr>
              <w:t>永久不可逆</w:t>
            </w:r>
            <w:r>
              <w:rPr>
                <w:sz w:val="21"/>
              </w:rPr>
              <w:t>(见 10.17)性丧失，在 500 赫兹、</w:t>
            </w:r>
          </w:p>
          <w:p>
            <w:pPr>
              <w:pStyle w:val="TableParagraph"/>
              <w:spacing w:line="273" w:lineRule="auto" w:before="34"/>
              <w:ind w:left="149" w:right="199"/>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275" w:hRule="atLeast"/>
        </w:trPr>
        <w:tc>
          <w:tcPr>
            <w:tcW w:w="891" w:type="dxa"/>
          </w:tcPr>
          <w:p>
            <w:pPr>
              <w:pStyle w:val="TableParagraph"/>
              <w:spacing w:before="127"/>
              <w:ind w:left="74" w:right="246"/>
              <w:jc w:val="center"/>
              <w:rPr>
                <w:b/>
                <w:sz w:val="21"/>
              </w:rPr>
            </w:pPr>
            <w:r>
              <w:rPr>
                <w:b/>
                <w:sz w:val="21"/>
              </w:rPr>
              <w:t>9.7</w:t>
            </w:r>
          </w:p>
        </w:tc>
        <w:tc>
          <w:tcPr>
            <w:tcW w:w="1896" w:type="dxa"/>
          </w:tcPr>
          <w:p>
            <w:pPr>
              <w:pStyle w:val="TableParagraph"/>
              <w:spacing w:before="127"/>
              <w:ind w:left="269"/>
              <w:rPr>
                <w:b/>
                <w:sz w:val="21"/>
              </w:rPr>
            </w:pPr>
            <w:r>
              <w:rPr>
                <w:b/>
                <w:sz w:val="21"/>
              </w:rPr>
              <w:t>双目失明</w:t>
            </w:r>
          </w:p>
        </w:tc>
        <w:tc>
          <w:tcPr>
            <w:tcW w:w="7723" w:type="dxa"/>
          </w:tcPr>
          <w:p>
            <w:pPr>
              <w:pStyle w:val="TableParagraph"/>
              <w:spacing w:line="271" w:lineRule="auto" w:before="96"/>
              <w:ind w:left="149" w:right="303"/>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18"/>
              </w:numPr>
              <w:tabs>
                <w:tab w:pos="886" w:val="left" w:leader="none"/>
                <w:tab w:pos="887" w:val="left" w:leader="none"/>
              </w:tabs>
              <w:spacing w:line="240" w:lineRule="auto" w:before="58" w:after="0"/>
              <w:ind w:left="870" w:right="0" w:hanging="721"/>
              <w:jc w:val="left"/>
              <w:rPr>
                <w:sz w:val="21"/>
              </w:rPr>
            </w:pPr>
            <w:r>
              <w:rPr>
                <w:spacing w:val="-3"/>
                <w:sz w:val="21"/>
              </w:rPr>
              <w:t>眼球缺失或摘除；</w:t>
            </w:r>
          </w:p>
          <w:p>
            <w:pPr>
              <w:pStyle w:val="TableParagraph"/>
              <w:numPr>
                <w:ilvl w:val="0"/>
                <w:numId w:val="18"/>
              </w:numPr>
              <w:tabs>
                <w:tab w:pos="875" w:val="left" w:leader="none"/>
              </w:tabs>
              <w:spacing w:line="273" w:lineRule="auto" w:before="82" w:after="0"/>
              <w:ind w:left="870" w:right="303"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18"/>
              </w:numPr>
              <w:tabs>
                <w:tab w:pos="886" w:val="left" w:leader="none"/>
                <w:tab w:pos="887" w:val="left" w:leader="none"/>
              </w:tabs>
              <w:spacing w:line="240" w:lineRule="auto" w:before="86" w:after="0"/>
              <w:ind w:left="870" w:right="0" w:hanging="721"/>
              <w:jc w:val="left"/>
              <w:rPr>
                <w:sz w:val="21"/>
              </w:rPr>
            </w:pPr>
            <w:r>
              <w:rPr>
                <w:spacing w:val="-10"/>
                <w:sz w:val="21"/>
              </w:rPr>
              <w:t>视野半径小于 </w:t>
            </w:r>
            <w:r>
              <w:rPr>
                <w:sz w:val="21"/>
              </w:rPr>
              <w:t>5</w:t>
            </w:r>
            <w:r>
              <w:rPr>
                <w:spacing w:val="-19"/>
                <w:sz w:val="21"/>
              </w:rPr>
              <w:t> 度。</w:t>
            </w:r>
          </w:p>
        </w:tc>
      </w:tr>
      <w:tr>
        <w:trPr>
          <w:trHeight w:val="1167" w:hRule="atLeast"/>
        </w:trPr>
        <w:tc>
          <w:tcPr>
            <w:tcW w:w="891" w:type="dxa"/>
          </w:tcPr>
          <w:p>
            <w:pPr>
              <w:pStyle w:val="TableParagraph"/>
              <w:spacing w:before="110"/>
              <w:ind w:left="74" w:right="246"/>
              <w:jc w:val="center"/>
              <w:rPr>
                <w:b/>
                <w:sz w:val="21"/>
              </w:rPr>
            </w:pPr>
            <w:r>
              <w:rPr>
                <w:b/>
                <w:sz w:val="21"/>
              </w:rPr>
              <w:t>9.8</w:t>
            </w:r>
          </w:p>
        </w:tc>
        <w:tc>
          <w:tcPr>
            <w:tcW w:w="1896" w:type="dxa"/>
          </w:tcPr>
          <w:p>
            <w:pPr>
              <w:pStyle w:val="TableParagraph"/>
              <w:spacing w:before="110"/>
              <w:ind w:left="269"/>
              <w:rPr>
                <w:b/>
                <w:sz w:val="21"/>
              </w:rPr>
            </w:pPr>
            <w:r>
              <w:rPr>
                <w:b/>
                <w:sz w:val="21"/>
              </w:rPr>
              <w:t>瘫痪</w:t>
            </w:r>
          </w:p>
        </w:tc>
        <w:tc>
          <w:tcPr>
            <w:tcW w:w="7723" w:type="dxa"/>
          </w:tcPr>
          <w:p>
            <w:pPr>
              <w:pStyle w:val="TableParagraph"/>
              <w:spacing w:line="271" w:lineRule="auto" w:before="110"/>
              <w:ind w:left="149" w:right="303"/>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2965" w:hRule="atLeast"/>
        </w:trPr>
        <w:tc>
          <w:tcPr>
            <w:tcW w:w="891" w:type="dxa"/>
          </w:tcPr>
          <w:p>
            <w:pPr>
              <w:pStyle w:val="TableParagraph"/>
              <w:spacing w:before="126"/>
              <w:ind w:left="74" w:right="246"/>
              <w:jc w:val="center"/>
              <w:rPr>
                <w:b/>
                <w:sz w:val="21"/>
              </w:rPr>
            </w:pPr>
            <w:r>
              <w:rPr>
                <w:b/>
                <w:sz w:val="21"/>
              </w:rPr>
              <w:t>9.9</w:t>
            </w:r>
          </w:p>
        </w:tc>
        <w:tc>
          <w:tcPr>
            <w:tcW w:w="1896" w:type="dxa"/>
          </w:tcPr>
          <w:p>
            <w:pPr>
              <w:pStyle w:val="TableParagraph"/>
              <w:spacing w:before="126"/>
              <w:ind w:left="269"/>
              <w:rPr>
                <w:b/>
                <w:sz w:val="21"/>
              </w:rPr>
            </w:pPr>
            <w:r>
              <w:rPr>
                <w:b/>
                <w:sz w:val="21"/>
              </w:rPr>
              <w:t>严重脑损伤</w:t>
            </w:r>
          </w:p>
        </w:tc>
        <w:tc>
          <w:tcPr>
            <w:tcW w:w="7723" w:type="dxa"/>
          </w:tcPr>
          <w:p>
            <w:pPr>
              <w:pStyle w:val="TableParagraph"/>
              <w:spacing w:line="273" w:lineRule="auto" w:before="97"/>
              <w:ind w:left="149" w:right="197"/>
              <w:rPr>
                <w:sz w:val="21"/>
              </w:rPr>
            </w:pPr>
            <w:r>
              <w:rPr>
                <w:spacing w:val="-9"/>
                <w:sz w:val="21"/>
              </w:rPr>
              <w:t>指因头部遭受机械性外力，引起脑重要部位损伤，导致神经系统永久性的功能障</w:t>
            </w:r>
            <w:r>
              <w:rPr>
                <w:spacing w:val="-14"/>
                <w:w w:val="100"/>
                <w:sz w:val="21"/>
              </w:rPr>
              <w:t>碍。须由头颅断层扫描</w:t>
            </w:r>
            <w:r>
              <w:rPr>
                <w:spacing w:val="-2"/>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48"/>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3"/>
                <w:sz w:val="21"/>
              </w:rPr>
              <w:t>等影像学检查证实。神经系统永久性的功能障碍，指脑损伤 </w:t>
            </w:r>
            <w:r>
              <w:rPr>
                <w:sz w:val="21"/>
              </w:rPr>
              <w:t>180 天后，仍遗留</w:t>
            </w:r>
            <w:r>
              <w:rPr>
                <w:spacing w:val="-3"/>
                <w:sz w:val="21"/>
              </w:rPr>
              <w:t>下列一种或一种以上障碍：</w:t>
            </w:r>
          </w:p>
          <w:p>
            <w:pPr>
              <w:pStyle w:val="TableParagraph"/>
              <w:numPr>
                <w:ilvl w:val="0"/>
                <w:numId w:val="19"/>
              </w:numPr>
              <w:tabs>
                <w:tab w:pos="886" w:val="left" w:leader="none"/>
                <w:tab w:pos="887" w:val="left" w:leader="none"/>
              </w:tabs>
              <w:spacing w:line="240" w:lineRule="auto" w:before="87" w:after="0"/>
              <w:ind w:left="834" w:right="0" w:hanging="685"/>
              <w:jc w:val="left"/>
              <w:rPr>
                <w:sz w:val="21"/>
              </w:rPr>
            </w:pP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3"/>
                <w:w w:val="100"/>
                <w:sz w:val="21"/>
              </w:rPr>
              <w:t>1</w:t>
            </w:r>
            <w:r>
              <w:rPr>
                <w:w w:val="100"/>
                <w:sz w:val="21"/>
              </w:rPr>
              <w:t>8</w:t>
            </w:r>
            <w:r>
              <w:rPr>
                <w:spacing w:val="-106"/>
                <w:w w:val="100"/>
                <w:sz w:val="21"/>
              </w:rPr>
              <w:t>）</w:t>
            </w:r>
            <w:r>
              <w:rPr>
                <w:w w:val="100"/>
                <w:sz w:val="21"/>
              </w:rPr>
              <w:t>；</w:t>
            </w:r>
          </w:p>
          <w:p>
            <w:pPr>
              <w:pStyle w:val="TableParagraph"/>
              <w:numPr>
                <w:ilvl w:val="0"/>
                <w:numId w:val="19"/>
              </w:numPr>
              <w:tabs>
                <w:tab w:pos="884" w:val="left" w:leader="none"/>
                <w:tab w:pos="885" w:val="left" w:leader="none"/>
              </w:tabs>
              <w:spacing w:line="240" w:lineRule="auto" w:before="116" w:after="0"/>
              <w:ind w:left="884" w:right="0" w:hanging="735"/>
              <w:jc w:val="left"/>
              <w:rPr>
                <w:sz w:val="21"/>
              </w:rPr>
            </w:pPr>
            <w:r>
              <w:rPr>
                <w:b/>
                <w:spacing w:val="-1"/>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3"/>
                <w:w w:val="100"/>
                <w:sz w:val="21"/>
              </w:rPr>
              <w:t>1</w:t>
            </w:r>
            <w:r>
              <w:rPr>
                <w:w w:val="100"/>
                <w:sz w:val="21"/>
              </w:rPr>
              <w:t>9</w:t>
            </w:r>
            <w:r>
              <w:rPr>
                <w:spacing w:val="-106"/>
                <w:w w:val="100"/>
                <w:sz w:val="21"/>
              </w:rPr>
              <w:t>）</w:t>
            </w:r>
            <w:r>
              <w:rPr>
                <w:w w:val="100"/>
                <w:sz w:val="21"/>
              </w:rPr>
              <w:t>；</w:t>
            </w:r>
          </w:p>
          <w:p>
            <w:pPr>
              <w:pStyle w:val="TableParagraph"/>
              <w:numPr>
                <w:ilvl w:val="0"/>
                <w:numId w:val="19"/>
              </w:numPr>
              <w:tabs>
                <w:tab w:pos="803" w:val="left" w:leader="none"/>
              </w:tabs>
              <w:spacing w:line="273" w:lineRule="auto" w:before="113" w:after="0"/>
              <w:ind w:left="834" w:right="197" w:hanging="685"/>
              <w:jc w:val="left"/>
              <w:rPr>
                <w:sz w:val="21"/>
              </w:rPr>
            </w:pPr>
            <w:r>
              <w:rPr>
                <w:spacing w:val="-11"/>
                <w:sz w:val="21"/>
              </w:rPr>
              <w:t>自主生活能力完全丧失，无法独立完成</w:t>
            </w:r>
            <w:r>
              <w:rPr>
                <w:b/>
                <w:spacing w:val="-10"/>
                <w:sz w:val="21"/>
              </w:rPr>
              <w:t>六项基本日常生活活动</w:t>
            </w:r>
            <w:r>
              <w:rPr>
                <w:spacing w:val="-3"/>
                <w:sz w:val="21"/>
              </w:rPr>
              <w:t>（</w:t>
            </w:r>
            <w:r>
              <w:rPr>
                <w:spacing w:val="-17"/>
                <w:sz w:val="21"/>
              </w:rPr>
              <w:t>见 </w:t>
            </w:r>
            <w:r>
              <w:rPr>
                <w:sz w:val="21"/>
              </w:rPr>
              <w:t>10.20） </w:t>
            </w:r>
            <w:r>
              <w:rPr>
                <w:spacing w:val="-3"/>
                <w:sz w:val="21"/>
              </w:rPr>
              <w:t>中的三项或三项以上。</w:t>
            </w:r>
          </w:p>
        </w:tc>
      </w:tr>
      <w:tr>
        <w:trPr>
          <w:trHeight w:val="385" w:hRule="atLeast"/>
        </w:trPr>
        <w:tc>
          <w:tcPr>
            <w:tcW w:w="891" w:type="dxa"/>
          </w:tcPr>
          <w:p>
            <w:pPr>
              <w:pStyle w:val="TableParagraph"/>
              <w:spacing w:line="255" w:lineRule="exact" w:before="110"/>
              <w:ind w:left="180" w:right="246"/>
              <w:jc w:val="center"/>
              <w:rPr>
                <w:b/>
                <w:sz w:val="21"/>
              </w:rPr>
            </w:pPr>
            <w:r>
              <w:rPr>
                <w:b/>
                <w:sz w:val="21"/>
              </w:rPr>
              <w:t>9.10</w:t>
            </w:r>
          </w:p>
        </w:tc>
        <w:tc>
          <w:tcPr>
            <w:tcW w:w="1896" w:type="dxa"/>
          </w:tcPr>
          <w:p>
            <w:pPr>
              <w:pStyle w:val="TableParagraph"/>
              <w:spacing w:line="255" w:lineRule="exact" w:before="110"/>
              <w:ind w:left="269"/>
              <w:rPr>
                <w:b/>
                <w:sz w:val="21"/>
              </w:rPr>
            </w:pPr>
            <w:r>
              <w:rPr>
                <w:b/>
                <w:sz w:val="21"/>
              </w:rPr>
              <w:t>严重Ⅲ度烧伤</w:t>
            </w:r>
          </w:p>
        </w:tc>
        <w:tc>
          <w:tcPr>
            <w:tcW w:w="7723" w:type="dxa"/>
          </w:tcPr>
          <w:p>
            <w:pPr>
              <w:pStyle w:val="TableParagraph"/>
              <w:spacing w:line="255" w:lineRule="exact" w:before="110"/>
              <w:ind w:left="149"/>
              <w:rPr>
                <w:sz w:val="21"/>
              </w:rPr>
            </w:pPr>
            <w:r>
              <w:rPr>
                <w:sz w:val="21"/>
              </w:rPr>
              <w:t>指烧伤程度为Ⅲ度，且Ⅲ度烧伤的面积达到全身体表面积的 20％或 20％以上。</w:t>
            </w:r>
          </w:p>
        </w:tc>
      </w:tr>
    </w:tbl>
    <w:p>
      <w:pPr>
        <w:spacing w:after="0" w:line="255" w:lineRule="exact"/>
        <w:rPr>
          <w:sz w:val="21"/>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4"/>
        <w:gridCol w:w="7526"/>
      </w:tblGrid>
      <w:tr>
        <w:trPr>
          <w:trHeight w:val="371" w:hRule="atLeast"/>
        </w:trPr>
        <w:tc>
          <w:tcPr>
            <w:tcW w:w="800"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526" w:type="dxa"/>
          </w:tcPr>
          <w:p>
            <w:pPr>
              <w:pStyle w:val="TableParagraph"/>
              <w:spacing w:line="211" w:lineRule="exact"/>
              <w:ind w:left="150"/>
              <w:rPr>
                <w:sz w:val="21"/>
              </w:rPr>
            </w:pPr>
            <w:r>
              <w:rPr>
                <w:sz w:val="21"/>
              </w:rPr>
              <w:t>体表面积根据《中国新九分法》计算。</w:t>
            </w:r>
          </w:p>
        </w:tc>
      </w:tr>
      <w:tr>
        <w:trPr>
          <w:trHeight w:val="2662" w:hRule="atLeast"/>
        </w:trPr>
        <w:tc>
          <w:tcPr>
            <w:tcW w:w="800" w:type="dxa"/>
          </w:tcPr>
          <w:p>
            <w:pPr>
              <w:pStyle w:val="TableParagraph"/>
              <w:spacing w:before="127"/>
              <w:rPr>
                <w:b/>
                <w:sz w:val="21"/>
              </w:rPr>
            </w:pPr>
            <w:r>
              <w:rPr>
                <w:b/>
                <w:sz w:val="21"/>
              </w:rPr>
              <w:t>9.11</w:t>
            </w:r>
          </w:p>
        </w:tc>
        <w:tc>
          <w:tcPr>
            <w:tcW w:w="1894" w:type="dxa"/>
          </w:tcPr>
          <w:p>
            <w:pPr>
              <w:pStyle w:val="TableParagraph"/>
              <w:spacing w:line="273" w:lineRule="auto" w:before="127"/>
              <w:ind w:left="268" w:right="145"/>
              <w:rPr>
                <w:b/>
                <w:sz w:val="21"/>
              </w:rPr>
            </w:pPr>
            <w:r>
              <w:rPr>
                <w:b/>
                <w:sz w:val="21"/>
              </w:rPr>
              <w:t>重型再生障碍性贫血</w:t>
            </w:r>
          </w:p>
        </w:tc>
        <w:tc>
          <w:tcPr>
            <w:tcW w:w="7526" w:type="dxa"/>
          </w:tcPr>
          <w:p>
            <w:pPr>
              <w:pStyle w:val="TableParagraph"/>
              <w:spacing w:line="271" w:lineRule="auto" w:before="96"/>
              <w:ind w:left="150" w:right="18"/>
              <w:rPr>
                <w:sz w:val="21"/>
              </w:rPr>
            </w:pPr>
            <w:r>
              <w:rPr>
                <w:sz w:val="21"/>
              </w:rPr>
              <w:t>指因骨髓造血功能慢性持续性衰竭导致的贫血、中性粒细胞减少及血小板减少。须满足下列全部条件：</w:t>
            </w:r>
          </w:p>
          <w:p>
            <w:pPr>
              <w:pStyle w:val="TableParagraph"/>
              <w:numPr>
                <w:ilvl w:val="0"/>
                <w:numId w:val="20"/>
              </w:numPr>
              <w:tabs>
                <w:tab w:pos="887" w:val="left" w:leader="none"/>
                <w:tab w:pos="888" w:val="left" w:leader="none"/>
              </w:tabs>
              <w:spacing w:line="240" w:lineRule="auto" w:before="58" w:after="0"/>
              <w:ind w:left="887" w:right="0" w:hanging="737"/>
              <w:jc w:val="left"/>
              <w:rPr>
                <w:sz w:val="21"/>
              </w:rPr>
            </w:pPr>
            <w:r>
              <w:rPr>
                <w:spacing w:val="-3"/>
                <w:sz w:val="21"/>
              </w:rPr>
              <w:t>骨髓穿刺检查或骨髓活检结果支持诊断；</w:t>
            </w:r>
          </w:p>
          <w:p>
            <w:pPr>
              <w:pStyle w:val="TableParagraph"/>
              <w:numPr>
                <w:ilvl w:val="0"/>
                <w:numId w:val="20"/>
              </w:numPr>
              <w:tabs>
                <w:tab w:pos="887" w:val="left" w:leader="none"/>
                <w:tab w:pos="888" w:val="left" w:leader="none"/>
              </w:tabs>
              <w:spacing w:line="240" w:lineRule="auto" w:before="85" w:after="0"/>
              <w:ind w:left="887" w:right="0" w:hanging="737"/>
              <w:jc w:val="left"/>
              <w:rPr>
                <w:sz w:val="21"/>
              </w:rPr>
            </w:pPr>
            <w:r>
              <w:rPr>
                <w:spacing w:val="-3"/>
                <w:sz w:val="21"/>
              </w:rPr>
              <w:t>外周血象须具备以下三项条件：</w:t>
            </w:r>
          </w:p>
          <w:p>
            <w:pPr>
              <w:pStyle w:val="TableParagraph"/>
              <w:spacing w:before="82"/>
              <w:ind w:left="863"/>
              <w:rPr>
                <w:sz w:val="21"/>
              </w:rPr>
            </w:pPr>
            <w:r>
              <w:rPr>
                <w:sz w:val="21"/>
              </w:rPr>
              <w:t>① 中性粒细胞绝对值≤0.5×10</w:t>
            </w:r>
            <w:r>
              <w:rPr>
                <w:position w:val="11"/>
                <w:sz w:val="11"/>
              </w:rPr>
              <w:t>9</w:t>
            </w:r>
            <w:r>
              <w:rPr>
                <w:sz w:val="21"/>
              </w:rPr>
              <w:t>/L ；</w:t>
            </w:r>
          </w:p>
          <w:p>
            <w:pPr>
              <w:pStyle w:val="TableParagraph"/>
              <w:spacing w:before="82"/>
              <w:ind w:left="863"/>
              <w:rPr>
                <w:sz w:val="21"/>
              </w:rPr>
            </w:pPr>
            <w:r>
              <w:rPr>
                <w:sz w:val="21"/>
              </w:rPr>
              <w:t>② 网织红细胞＜1%；</w:t>
            </w:r>
          </w:p>
          <w:p>
            <w:pPr>
              <w:pStyle w:val="TableParagraph"/>
              <w:spacing w:before="113"/>
              <w:ind w:left="885"/>
              <w:rPr>
                <w:sz w:val="21"/>
              </w:rPr>
            </w:pPr>
            <w:r>
              <w:rPr>
                <w:sz w:val="21"/>
              </w:rPr>
              <w:t>③ 血小板绝对值≤20×10</w:t>
            </w:r>
            <w:r>
              <w:rPr>
                <w:position w:val="11"/>
                <w:sz w:val="11"/>
              </w:rPr>
              <w:t>9</w:t>
            </w:r>
            <w:r>
              <w:rPr>
                <w:sz w:val="21"/>
              </w:rPr>
              <w:t>/L。</w:t>
            </w:r>
          </w:p>
        </w:tc>
      </w:tr>
      <w:tr>
        <w:trPr>
          <w:trHeight w:val="1543" w:hRule="atLeast"/>
        </w:trPr>
        <w:tc>
          <w:tcPr>
            <w:tcW w:w="800" w:type="dxa"/>
          </w:tcPr>
          <w:p>
            <w:pPr>
              <w:pStyle w:val="TableParagraph"/>
              <w:spacing w:before="126"/>
              <w:rPr>
                <w:b/>
                <w:sz w:val="21"/>
              </w:rPr>
            </w:pPr>
            <w:r>
              <w:rPr>
                <w:b/>
                <w:sz w:val="21"/>
              </w:rPr>
              <w:t>9.12</w:t>
            </w:r>
          </w:p>
        </w:tc>
        <w:tc>
          <w:tcPr>
            <w:tcW w:w="1894" w:type="dxa"/>
          </w:tcPr>
          <w:p>
            <w:pPr>
              <w:pStyle w:val="TableParagraph"/>
              <w:spacing w:before="126"/>
              <w:ind w:left="268"/>
              <w:rPr>
                <w:b/>
                <w:sz w:val="21"/>
              </w:rPr>
            </w:pPr>
            <w:r>
              <w:rPr>
                <w:b/>
                <w:sz w:val="21"/>
              </w:rPr>
              <w:t>主动脉手术</w:t>
            </w:r>
          </w:p>
        </w:tc>
        <w:tc>
          <w:tcPr>
            <w:tcW w:w="7526" w:type="dxa"/>
          </w:tcPr>
          <w:p>
            <w:pPr>
              <w:pStyle w:val="TableParagraph"/>
              <w:spacing w:line="273" w:lineRule="auto" w:before="94"/>
              <w:ind w:left="150" w:right="102"/>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6"/>
              <w:ind w:left="150"/>
              <w:jc w:val="both"/>
              <w:rPr>
                <w:rFonts w:ascii="黑体" w:eastAsia="黑体" w:hint="eastAsia"/>
                <w:sz w:val="21"/>
              </w:rPr>
            </w:pPr>
            <w:r>
              <w:rPr>
                <w:rFonts w:ascii="黑体" w:eastAsia="黑体" w:hint="eastAsia"/>
                <w:sz w:val="21"/>
              </w:rPr>
              <w:t>动脉内血管成形术不在保障范围内。</w:t>
            </w:r>
          </w:p>
        </w:tc>
      </w:tr>
      <w:tr>
        <w:trPr>
          <w:trHeight w:val="1825" w:hRule="atLeast"/>
        </w:trPr>
        <w:tc>
          <w:tcPr>
            <w:tcW w:w="800" w:type="dxa"/>
          </w:tcPr>
          <w:p>
            <w:pPr>
              <w:pStyle w:val="TableParagraph"/>
              <w:spacing w:before="126"/>
              <w:rPr>
                <w:b/>
                <w:sz w:val="21"/>
              </w:rPr>
            </w:pPr>
            <w:r>
              <w:rPr>
                <w:b/>
                <w:sz w:val="21"/>
              </w:rPr>
              <w:t>9.13</w:t>
            </w:r>
          </w:p>
        </w:tc>
        <w:tc>
          <w:tcPr>
            <w:tcW w:w="1894" w:type="dxa"/>
          </w:tcPr>
          <w:p>
            <w:pPr>
              <w:pStyle w:val="TableParagraph"/>
              <w:spacing w:line="271" w:lineRule="auto" w:before="126"/>
              <w:ind w:left="268" w:right="145"/>
              <w:rPr>
                <w:b/>
                <w:sz w:val="21"/>
              </w:rPr>
            </w:pPr>
            <w:r>
              <w:rPr>
                <w:b/>
                <w:sz w:val="21"/>
              </w:rPr>
              <w:t>细菌性脑脊髓膜炎</w:t>
            </w:r>
          </w:p>
        </w:tc>
        <w:tc>
          <w:tcPr>
            <w:tcW w:w="7526" w:type="dxa"/>
          </w:tcPr>
          <w:p>
            <w:pPr>
              <w:pStyle w:val="TableParagraph"/>
              <w:spacing w:line="271" w:lineRule="auto" w:before="95"/>
              <w:ind w:left="150" w:right="103"/>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3" w:lineRule="auto" w:before="60"/>
              <w:ind w:left="150" w:right="102"/>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1868" w:hRule="atLeast"/>
        </w:trPr>
        <w:tc>
          <w:tcPr>
            <w:tcW w:w="800" w:type="dxa"/>
          </w:tcPr>
          <w:p>
            <w:pPr>
              <w:pStyle w:val="TableParagraph"/>
              <w:spacing w:before="127"/>
              <w:rPr>
                <w:b/>
                <w:sz w:val="21"/>
              </w:rPr>
            </w:pPr>
            <w:r>
              <w:rPr>
                <w:b/>
                <w:sz w:val="21"/>
              </w:rPr>
              <w:t>9.14</w:t>
            </w:r>
          </w:p>
        </w:tc>
        <w:tc>
          <w:tcPr>
            <w:tcW w:w="1894" w:type="dxa"/>
          </w:tcPr>
          <w:p>
            <w:pPr>
              <w:pStyle w:val="TableParagraph"/>
              <w:spacing w:before="127"/>
              <w:ind w:left="268"/>
              <w:rPr>
                <w:b/>
                <w:sz w:val="21"/>
              </w:rPr>
            </w:pPr>
            <w:r>
              <w:rPr>
                <w:b/>
                <w:sz w:val="21"/>
              </w:rPr>
              <w:t>植物人状态</w:t>
            </w:r>
          </w:p>
        </w:tc>
        <w:tc>
          <w:tcPr>
            <w:tcW w:w="7526" w:type="dxa"/>
          </w:tcPr>
          <w:p>
            <w:pPr>
              <w:pStyle w:val="TableParagraph"/>
              <w:spacing w:line="271" w:lineRule="auto" w:before="96"/>
              <w:ind w:left="150" w:right="2" w:hanging="5"/>
              <w:rPr>
                <w:sz w:val="21"/>
              </w:rPr>
            </w:pPr>
            <w:r>
              <w:rPr>
                <w:spacing w:val="-9"/>
                <w:sz w:val="21"/>
              </w:rPr>
              <w:t>一种丧失生理、意识和交流功能后的临床依赖状态。可以是由脑外伤、缺氧持续</w:t>
            </w:r>
            <w:r>
              <w:rPr>
                <w:spacing w:val="-18"/>
                <w:sz w:val="21"/>
              </w:rPr>
              <w:t>状态、严重的脑炎或者某种神经毒素造成。患者无法从事主动或者有目的的活动， </w:t>
            </w:r>
            <w:r>
              <w:rPr>
                <w:spacing w:val="-7"/>
                <w:sz w:val="21"/>
              </w:rPr>
              <w:t>而只能对疼痛刺激产生反应。被保险人需要在医院使用辅助机器维持生命。</w:t>
            </w:r>
          </w:p>
          <w:p>
            <w:pPr>
              <w:pStyle w:val="TableParagraph"/>
              <w:spacing w:line="271" w:lineRule="auto" w:before="89"/>
              <w:ind w:left="150" w:right="107"/>
              <w:rPr>
                <w:rFonts w:ascii="黑体" w:eastAsia="黑体" w:hint="eastAsia"/>
                <w:sz w:val="21"/>
              </w:rPr>
            </w:pPr>
            <w:r>
              <w:rPr>
                <w:rFonts w:ascii="黑体" w:eastAsia="黑体" w:hint="eastAsia"/>
                <w:sz w:val="21"/>
              </w:rPr>
              <w:t>只有在因植物人状态住院 180 天以后并且必须有神经科专科医Th的医学诊断证明的情况下才能得到理赔。</w:t>
            </w:r>
          </w:p>
        </w:tc>
      </w:tr>
      <w:tr>
        <w:trPr>
          <w:trHeight w:val="873" w:hRule="atLeast"/>
        </w:trPr>
        <w:tc>
          <w:tcPr>
            <w:tcW w:w="800" w:type="dxa"/>
          </w:tcPr>
          <w:p>
            <w:pPr>
              <w:pStyle w:val="TableParagraph"/>
              <w:spacing w:before="111"/>
              <w:rPr>
                <w:b/>
                <w:sz w:val="21"/>
              </w:rPr>
            </w:pPr>
            <w:r>
              <w:rPr>
                <w:b/>
                <w:sz w:val="21"/>
              </w:rPr>
              <w:t>9.15</w:t>
            </w:r>
          </w:p>
        </w:tc>
        <w:tc>
          <w:tcPr>
            <w:tcW w:w="1894" w:type="dxa"/>
          </w:tcPr>
          <w:p>
            <w:pPr>
              <w:pStyle w:val="TableParagraph"/>
              <w:spacing w:before="111"/>
              <w:ind w:left="268"/>
              <w:rPr>
                <w:b/>
                <w:sz w:val="21"/>
              </w:rPr>
            </w:pPr>
            <w:r>
              <w:rPr>
                <w:b/>
                <w:sz w:val="21"/>
              </w:rPr>
              <w:t>Ｉ型糖尿病</w:t>
            </w:r>
          </w:p>
        </w:tc>
        <w:tc>
          <w:tcPr>
            <w:tcW w:w="7526" w:type="dxa"/>
          </w:tcPr>
          <w:p>
            <w:pPr>
              <w:pStyle w:val="TableParagraph"/>
              <w:spacing w:line="273" w:lineRule="auto" w:before="111"/>
              <w:ind w:left="150" w:right="105"/>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871" w:hRule="atLeast"/>
        </w:trPr>
        <w:tc>
          <w:tcPr>
            <w:tcW w:w="800" w:type="dxa"/>
          </w:tcPr>
          <w:p>
            <w:pPr>
              <w:pStyle w:val="TableParagraph"/>
              <w:spacing w:before="111"/>
              <w:rPr>
                <w:b/>
                <w:sz w:val="21"/>
              </w:rPr>
            </w:pPr>
            <w:r>
              <w:rPr>
                <w:b/>
                <w:sz w:val="21"/>
              </w:rPr>
              <w:t>9.16</w:t>
            </w:r>
          </w:p>
        </w:tc>
        <w:tc>
          <w:tcPr>
            <w:tcW w:w="1894" w:type="dxa"/>
          </w:tcPr>
          <w:p>
            <w:pPr>
              <w:pStyle w:val="TableParagraph"/>
              <w:spacing w:before="111"/>
              <w:ind w:left="268"/>
              <w:rPr>
                <w:b/>
                <w:sz w:val="21"/>
              </w:rPr>
            </w:pPr>
            <w:r>
              <w:rPr>
                <w:b/>
                <w:sz w:val="21"/>
              </w:rPr>
              <w:t>严重胃肠炎</w:t>
            </w:r>
          </w:p>
        </w:tc>
        <w:tc>
          <w:tcPr>
            <w:tcW w:w="7526" w:type="dxa"/>
          </w:tcPr>
          <w:p>
            <w:pPr>
              <w:pStyle w:val="TableParagraph"/>
              <w:spacing w:line="271" w:lineRule="auto" w:before="111"/>
              <w:ind w:left="150" w:right="103"/>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1198" w:hRule="atLeast"/>
        </w:trPr>
        <w:tc>
          <w:tcPr>
            <w:tcW w:w="800" w:type="dxa"/>
          </w:tcPr>
          <w:p>
            <w:pPr>
              <w:pStyle w:val="TableParagraph"/>
              <w:spacing w:before="111"/>
              <w:rPr>
                <w:b/>
                <w:sz w:val="21"/>
              </w:rPr>
            </w:pPr>
            <w:r>
              <w:rPr>
                <w:b/>
                <w:sz w:val="21"/>
              </w:rPr>
              <w:t>9.17</w:t>
            </w:r>
          </w:p>
        </w:tc>
        <w:tc>
          <w:tcPr>
            <w:tcW w:w="1894" w:type="dxa"/>
          </w:tcPr>
          <w:p>
            <w:pPr>
              <w:pStyle w:val="TableParagraph"/>
              <w:spacing w:before="111"/>
              <w:ind w:left="268"/>
              <w:rPr>
                <w:b/>
                <w:sz w:val="21"/>
              </w:rPr>
            </w:pPr>
            <w:r>
              <w:rPr>
                <w:b/>
                <w:sz w:val="21"/>
              </w:rPr>
              <w:t>严重心肌炎</w:t>
            </w:r>
          </w:p>
        </w:tc>
        <w:tc>
          <w:tcPr>
            <w:tcW w:w="7526" w:type="dxa"/>
          </w:tcPr>
          <w:p>
            <w:pPr>
              <w:pStyle w:val="TableParagraph"/>
              <w:spacing w:line="271" w:lineRule="auto" w:before="111"/>
              <w:ind w:left="150" w:right="104"/>
              <w:jc w:val="both"/>
              <w:rPr>
                <w:sz w:val="21"/>
              </w:rPr>
            </w:pPr>
            <w:r>
              <w:rPr>
                <w:spacing w:val="-6"/>
                <w:sz w:val="21"/>
              </w:rPr>
              <w:t>心肌的严重感染而导致至少持续 </w:t>
            </w:r>
            <w:r>
              <w:rPr>
                <w:sz w:val="21"/>
              </w:rPr>
              <w:t>6</w:t>
            </w:r>
            <w:r>
              <w:rPr>
                <w:spacing w:val="-13"/>
                <w:sz w:val="21"/>
              </w:rPr>
              <w:t> 个月的心功能损害。严重的心功能损害必须具</w:t>
            </w:r>
            <w:r>
              <w:rPr>
                <w:spacing w:val="-9"/>
                <w:sz w:val="21"/>
              </w:rPr>
              <w:t>备如下条件：左室腔扩大至少达到正常值上限的 </w:t>
            </w:r>
            <w:r>
              <w:rPr>
                <w:spacing w:val="-5"/>
                <w:sz w:val="21"/>
              </w:rPr>
              <w:t>120％</w:t>
            </w:r>
            <w:r>
              <w:rPr>
                <w:spacing w:val="-3"/>
                <w:sz w:val="21"/>
              </w:rPr>
              <w:t>，且左室射血分数持续性</w:t>
            </w:r>
            <w:r>
              <w:rPr>
                <w:spacing w:val="-20"/>
                <w:sz w:val="21"/>
              </w:rPr>
              <w:t>低于 </w:t>
            </w:r>
            <w:r>
              <w:rPr>
                <w:sz w:val="21"/>
              </w:rPr>
              <w:t>40</w:t>
            </w:r>
            <w:r>
              <w:rPr>
                <w:spacing w:val="-2"/>
                <w:sz w:val="21"/>
              </w:rPr>
              <w:t>％。</w:t>
            </w:r>
          </w:p>
        </w:tc>
      </w:tr>
      <w:tr>
        <w:trPr>
          <w:trHeight w:val="598" w:hRule="atLeast"/>
        </w:trPr>
        <w:tc>
          <w:tcPr>
            <w:tcW w:w="800" w:type="dxa"/>
            <w:tcBorders>
              <w:bottom w:val="single" w:sz="4" w:space="0" w:color="000000"/>
            </w:tcBorders>
          </w:tcPr>
          <w:p>
            <w:pPr>
              <w:pStyle w:val="TableParagraph"/>
              <w:spacing w:before="116"/>
              <w:rPr>
                <w:b/>
                <w:sz w:val="24"/>
              </w:rPr>
            </w:pPr>
            <w:r>
              <w:rPr>
                <w:b/>
                <w:sz w:val="24"/>
              </w:rPr>
              <w:t>10.</w:t>
            </w:r>
          </w:p>
        </w:tc>
        <w:tc>
          <w:tcPr>
            <w:tcW w:w="1894" w:type="dxa"/>
            <w:tcBorders>
              <w:bottom w:val="single" w:sz="4" w:space="0" w:color="000000"/>
            </w:tcBorders>
          </w:tcPr>
          <w:p>
            <w:pPr>
              <w:pStyle w:val="TableParagraph"/>
              <w:spacing w:before="116"/>
              <w:ind w:left="268"/>
              <w:rPr>
                <w:b/>
                <w:sz w:val="24"/>
              </w:rPr>
            </w:pPr>
            <w:r>
              <w:rPr>
                <w:b/>
                <w:sz w:val="24"/>
              </w:rPr>
              <w:t>释义</w:t>
            </w:r>
          </w:p>
        </w:tc>
        <w:tc>
          <w:tcPr>
            <w:tcW w:w="7526" w:type="dxa"/>
            <w:tcBorders>
              <w:bottom w:val="single" w:sz="4" w:space="0" w:color="000000"/>
            </w:tcBorders>
          </w:tcPr>
          <w:p>
            <w:pPr>
              <w:pStyle w:val="TableParagraph"/>
              <w:ind w:left="0"/>
              <w:rPr>
                <w:rFonts w:ascii="Times New Roman"/>
                <w:sz w:val="20"/>
              </w:rPr>
            </w:pPr>
          </w:p>
        </w:tc>
      </w:tr>
      <w:tr>
        <w:trPr>
          <w:trHeight w:val="868" w:hRule="atLeast"/>
        </w:trPr>
        <w:tc>
          <w:tcPr>
            <w:tcW w:w="800" w:type="dxa"/>
            <w:tcBorders>
              <w:top w:val="single" w:sz="4" w:space="0" w:color="000000"/>
            </w:tcBorders>
          </w:tcPr>
          <w:p>
            <w:pPr>
              <w:pStyle w:val="TableParagraph"/>
              <w:spacing w:before="146"/>
              <w:rPr>
                <w:b/>
                <w:sz w:val="21"/>
              </w:rPr>
            </w:pPr>
            <w:r>
              <w:rPr>
                <w:b/>
                <w:sz w:val="21"/>
              </w:rPr>
              <w:t>10.1</w:t>
            </w:r>
          </w:p>
        </w:tc>
        <w:tc>
          <w:tcPr>
            <w:tcW w:w="1894" w:type="dxa"/>
            <w:tcBorders>
              <w:top w:val="single" w:sz="4" w:space="0" w:color="000000"/>
            </w:tcBorders>
          </w:tcPr>
          <w:p>
            <w:pPr>
              <w:pStyle w:val="TableParagraph"/>
              <w:spacing w:before="146"/>
              <w:ind w:left="268"/>
              <w:rPr>
                <w:b/>
                <w:sz w:val="21"/>
              </w:rPr>
            </w:pPr>
            <w:r>
              <w:rPr>
                <w:b/>
                <w:sz w:val="21"/>
              </w:rPr>
              <w:t>保单年度</w:t>
            </w:r>
          </w:p>
        </w:tc>
        <w:tc>
          <w:tcPr>
            <w:tcW w:w="7526" w:type="dxa"/>
            <w:tcBorders>
              <w:top w:val="single" w:sz="4" w:space="0" w:color="000000"/>
            </w:tcBorders>
          </w:tcPr>
          <w:p>
            <w:pPr>
              <w:pStyle w:val="TableParagraph"/>
              <w:spacing w:line="273" w:lineRule="auto" w:before="146"/>
              <w:ind w:left="150" w:right="115"/>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94" w:hRule="atLeast"/>
        </w:trPr>
        <w:tc>
          <w:tcPr>
            <w:tcW w:w="800" w:type="dxa"/>
          </w:tcPr>
          <w:p>
            <w:pPr>
              <w:pStyle w:val="TableParagraph"/>
              <w:spacing w:before="72"/>
              <w:rPr>
                <w:b/>
                <w:sz w:val="21"/>
              </w:rPr>
            </w:pPr>
            <w:r>
              <w:rPr>
                <w:b/>
                <w:sz w:val="21"/>
              </w:rPr>
              <w:t>10.2</w:t>
            </w:r>
          </w:p>
        </w:tc>
        <w:tc>
          <w:tcPr>
            <w:tcW w:w="1894" w:type="dxa"/>
          </w:tcPr>
          <w:p>
            <w:pPr>
              <w:pStyle w:val="TableParagraph"/>
              <w:spacing w:line="273" w:lineRule="auto" w:before="72"/>
              <w:ind w:left="268" w:right="145"/>
              <w:rPr>
                <w:b/>
                <w:sz w:val="21"/>
              </w:rPr>
            </w:pPr>
            <w:r>
              <w:rPr>
                <w:b/>
                <w:sz w:val="21"/>
              </w:rPr>
              <w:t>保险费约定交纳日</w:t>
            </w:r>
          </w:p>
        </w:tc>
        <w:tc>
          <w:tcPr>
            <w:tcW w:w="7526" w:type="dxa"/>
          </w:tcPr>
          <w:p>
            <w:pPr>
              <w:pStyle w:val="TableParagraph"/>
              <w:spacing w:line="273" w:lineRule="auto" w:before="72"/>
              <w:ind w:left="150" w:right="18"/>
              <w:rPr>
                <w:sz w:val="21"/>
              </w:rPr>
            </w:pPr>
            <w:r>
              <w:rPr>
                <w:sz w:val="21"/>
              </w:rPr>
              <w:t>保险合同生效日在每月、每季、每半年或每年（根据交费方式确定）的对应日。如果当月无对应的同一日，则以该月最后一日为对应日。</w:t>
            </w:r>
          </w:p>
        </w:tc>
      </w:tr>
      <w:tr>
        <w:trPr>
          <w:trHeight w:val="970" w:hRule="atLeast"/>
        </w:trPr>
        <w:tc>
          <w:tcPr>
            <w:tcW w:w="800" w:type="dxa"/>
          </w:tcPr>
          <w:p>
            <w:pPr>
              <w:pStyle w:val="TableParagraph"/>
              <w:spacing w:before="71"/>
              <w:rPr>
                <w:b/>
                <w:sz w:val="21"/>
              </w:rPr>
            </w:pPr>
            <w:r>
              <w:rPr>
                <w:b/>
                <w:sz w:val="21"/>
              </w:rPr>
              <w:t>10.3</w:t>
            </w:r>
          </w:p>
        </w:tc>
        <w:tc>
          <w:tcPr>
            <w:tcW w:w="1894" w:type="dxa"/>
          </w:tcPr>
          <w:p>
            <w:pPr>
              <w:pStyle w:val="TableParagraph"/>
              <w:spacing w:before="71"/>
              <w:ind w:left="268"/>
              <w:rPr>
                <w:b/>
                <w:sz w:val="21"/>
              </w:rPr>
            </w:pPr>
            <w:r>
              <w:rPr>
                <w:b/>
                <w:sz w:val="21"/>
              </w:rPr>
              <w:t>周岁</w:t>
            </w:r>
          </w:p>
        </w:tc>
        <w:tc>
          <w:tcPr>
            <w:tcW w:w="7526" w:type="dxa"/>
          </w:tcPr>
          <w:p>
            <w:pPr>
              <w:pStyle w:val="TableParagraph"/>
              <w:spacing w:line="273" w:lineRule="auto" w:before="71"/>
              <w:ind w:left="150" w:right="103"/>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line="255" w:lineRule="exact" w:before="7"/>
              <w:ind w:left="150"/>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tc>
      </w:tr>
    </w:tbl>
    <w:p>
      <w:pPr>
        <w:spacing w:after="0" w:line="255" w:lineRule="exact"/>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5"/>
      </w:tblGrid>
      <w:tr>
        <w:trPr>
          <w:trHeight w:val="346" w:hRule="atLeast"/>
        </w:trPr>
        <w:tc>
          <w:tcPr>
            <w:tcW w:w="944" w:type="dxa"/>
          </w:tcPr>
          <w:p>
            <w:pPr>
              <w:pStyle w:val="TableParagraph"/>
              <w:ind w:left="0"/>
              <w:rPr>
                <w:rFonts w:ascii="Times New Roman"/>
                <w:sz w:val="20"/>
              </w:rPr>
            </w:pPr>
          </w:p>
        </w:tc>
        <w:tc>
          <w:tcPr>
            <w:tcW w:w="1843" w:type="dxa"/>
          </w:tcPr>
          <w:p>
            <w:pPr>
              <w:pStyle w:val="TableParagraph"/>
              <w:ind w:left="0"/>
              <w:rPr>
                <w:rFonts w:ascii="Times New Roman"/>
                <w:sz w:val="20"/>
              </w:rPr>
            </w:pPr>
          </w:p>
        </w:tc>
        <w:tc>
          <w:tcPr>
            <w:tcW w:w="7725" w:type="dxa"/>
          </w:tcPr>
          <w:p>
            <w:pPr>
              <w:pStyle w:val="TableParagraph"/>
              <w:spacing w:line="211" w:lineRule="exact"/>
              <w:ind w:left="149"/>
              <w:rPr>
                <w:sz w:val="21"/>
              </w:rPr>
            </w:pPr>
            <w:r>
              <w:rPr>
                <w:sz w:val="21"/>
              </w:rPr>
              <w:t>31 日期间为 1 周岁，依此类推。</w:t>
            </w:r>
          </w:p>
        </w:tc>
      </w:tr>
      <w:tr>
        <w:trPr>
          <w:trHeight w:val="794" w:hRule="atLeast"/>
        </w:trPr>
        <w:tc>
          <w:tcPr>
            <w:tcW w:w="944" w:type="dxa"/>
          </w:tcPr>
          <w:p>
            <w:pPr>
              <w:pStyle w:val="TableParagraph"/>
              <w:spacing w:before="72"/>
              <w:ind w:left="200"/>
              <w:rPr>
                <w:b/>
                <w:sz w:val="21"/>
              </w:rPr>
            </w:pPr>
            <w:r>
              <w:rPr>
                <w:b/>
                <w:sz w:val="21"/>
              </w:rPr>
              <w:t>10.4</w:t>
            </w:r>
          </w:p>
        </w:tc>
        <w:tc>
          <w:tcPr>
            <w:tcW w:w="1843" w:type="dxa"/>
          </w:tcPr>
          <w:p>
            <w:pPr>
              <w:pStyle w:val="TableParagraph"/>
              <w:spacing w:before="72"/>
              <w:ind w:left="216"/>
              <w:rPr>
                <w:b/>
                <w:sz w:val="21"/>
              </w:rPr>
            </w:pPr>
            <w:r>
              <w:rPr>
                <w:b/>
                <w:sz w:val="21"/>
              </w:rPr>
              <w:t>有效身份证件</w:t>
            </w:r>
          </w:p>
        </w:tc>
        <w:tc>
          <w:tcPr>
            <w:tcW w:w="7725" w:type="dxa"/>
          </w:tcPr>
          <w:p>
            <w:pPr>
              <w:pStyle w:val="TableParagraph"/>
              <w:spacing w:line="273" w:lineRule="auto" w:before="72"/>
              <w:ind w:left="149" w:right="302"/>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794" w:hRule="atLeast"/>
        </w:trPr>
        <w:tc>
          <w:tcPr>
            <w:tcW w:w="944" w:type="dxa"/>
          </w:tcPr>
          <w:p>
            <w:pPr>
              <w:pStyle w:val="TableParagraph"/>
              <w:spacing w:before="72"/>
              <w:ind w:left="200"/>
              <w:rPr>
                <w:b/>
                <w:sz w:val="21"/>
              </w:rPr>
            </w:pPr>
            <w:r>
              <w:rPr>
                <w:b/>
                <w:sz w:val="21"/>
              </w:rPr>
              <w:t>10.5</w:t>
            </w:r>
          </w:p>
        </w:tc>
        <w:tc>
          <w:tcPr>
            <w:tcW w:w="1843" w:type="dxa"/>
          </w:tcPr>
          <w:p>
            <w:pPr>
              <w:pStyle w:val="TableParagraph"/>
              <w:spacing w:before="72"/>
              <w:ind w:left="216"/>
              <w:rPr>
                <w:b/>
                <w:sz w:val="21"/>
              </w:rPr>
            </w:pPr>
            <w:r>
              <w:rPr>
                <w:b/>
                <w:sz w:val="21"/>
              </w:rPr>
              <w:t>医院</w:t>
            </w:r>
          </w:p>
        </w:tc>
        <w:tc>
          <w:tcPr>
            <w:tcW w:w="7725" w:type="dxa"/>
          </w:tcPr>
          <w:p>
            <w:pPr>
              <w:pStyle w:val="TableParagraph"/>
              <w:spacing w:line="273" w:lineRule="auto" w:before="72"/>
              <w:ind w:left="149" w:right="224"/>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06" w:hRule="atLeast"/>
        </w:trPr>
        <w:tc>
          <w:tcPr>
            <w:tcW w:w="944" w:type="dxa"/>
          </w:tcPr>
          <w:p>
            <w:pPr>
              <w:pStyle w:val="TableParagraph"/>
              <w:spacing w:before="72"/>
              <w:ind w:left="200"/>
              <w:rPr>
                <w:b/>
                <w:sz w:val="21"/>
              </w:rPr>
            </w:pPr>
            <w:r>
              <w:rPr>
                <w:b/>
                <w:sz w:val="21"/>
              </w:rPr>
              <w:t>10.6</w:t>
            </w:r>
          </w:p>
        </w:tc>
        <w:tc>
          <w:tcPr>
            <w:tcW w:w="1843" w:type="dxa"/>
          </w:tcPr>
          <w:p>
            <w:pPr>
              <w:pStyle w:val="TableParagraph"/>
              <w:spacing w:before="72"/>
              <w:ind w:left="216"/>
              <w:rPr>
                <w:b/>
                <w:sz w:val="21"/>
              </w:rPr>
            </w:pPr>
            <w:r>
              <w:rPr>
                <w:b/>
                <w:sz w:val="21"/>
              </w:rPr>
              <w:t>意外伤害</w:t>
            </w:r>
          </w:p>
        </w:tc>
        <w:tc>
          <w:tcPr>
            <w:tcW w:w="7725" w:type="dxa"/>
          </w:tcPr>
          <w:p>
            <w:pPr>
              <w:pStyle w:val="TableParagraph"/>
              <w:spacing w:line="273" w:lineRule="auto" w:before="72"/>
              <w:ind w:left="149" w:right="218"/>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794" w:hRule="atLeast"/>
        </w:trPr>
        <w:tc>
          <w:tcPr>
            <w:tcW w:w="944" w:type="dxa"/>
          </w:tcPr>
          <w:p>
            <w:pPr>
              <w:pStyle w:val="TableParagraph"/>
              <w:spacing w:before="72"/>
              <w:ind w:left="200"/>
              <w:rPr>
                <w:b/>
                <w:sz w:val="21"/>
              </w:rPr>
            </w:pPr>
            <w:r>
              <w:rPr>
                <w:b/>
                <w:sz w:val="21"/>
              </w:rPr>
              <w:t>10.7</w:t>
            </w:r>
          </w:p>
        </w:tc>
        <w:tc>
          <w:tcPr>
            <w:tcW w:w="1843" w:type="dxa"/>
          </w:tcPr>
          <w:p>
            <w:pPr>
              <w:pStyle w:val="TableParagraph"/>
              <w:spacing w:before="72"/>
              <w:ind w:left="216"/>
              <w:rPr>
                <w:b/>
                <w:sz w:val="21"/>
              </w:rPr>
            </w:pPr>
            <w:r>
              <w:rPr>
                <w:b/>
                <w:sz w:val="21"/>
              </w:rPr>
              <w:t>现金价值</w:t>
            </w:r>
          </w:p>
        </w:tc>
        <w:tc>
          <w:tcPr>
            <w:tcW w:w="7725" w:type="dxa"/>
          </w:tcPr>
          <w:p>
            <w:pPr>
              <w:pStyle w:val="TableParagraph"/>
              <w:spacing w:line="273" w:lineRule="auto" w:before="72"/>
              <w:ind w:left="149" w:right="302"/>
              <w:rPr>
                <w:sz w:val="21"/>
              </w:rPr>
            </w:pPr>
            <w:r>
              <w:rPr>
                <w:spacing w:val="-8"/>
                <w:sz w:val="21"/>
              </w:rPr>
              <w:t>指保险合同所具有的价值，通常体现为解除合同时，根据精算原理计算的，由我</w:t>
            </w:r>
            <w:r>
              <w:rPr>
                <w:spacing w:val="-5"/>
                <w:sz w:val="21"/>
              </w:rPr>
              <w:t>们退还的那部分金额。</w:t>
            </w:r>
          </w:p>
        </w:tc>
      </w:tr>
      <w:tr>
        <w:trPr>
          <w:trHeight w:val="1105" w:hRule="atLeast"/>
        </w:trPr>
        <w:tc>
          <w:tcPr>
            <w:tcW w:w="944" w:type="dxa"/>
          </w:tcPr>
          <w:p>
            <w:pPr>
              <w:pStyle w:val="TableParagraph"/>
              <w:spacing w:before="72"/>
              <w:ind w:left="200"/>
              <w:rPr>
                <w:b/>
                <w:sz w:val="21"/>
              </w:rPr>
            </w:pPr>
            <w:r>
              <w:rPr>
                <w:b/>
                <w:sz w:val="21"/>
              </w:rPr>
              <w:t>10.8</w:t>
            </w:r>
          </w:p>
        </w:tc>
        <w:tc>
          <w:tcPr>
            <w:tcW w:w="1843" w:type="dxa"/>
          </w:tcPr>
          <w:p>
            <w:pPr>
              <w:pStyle w:val="TableParagraph"/>
              <w:spacing w:before="72"/>
              <w:ind w:left="216"/>
              <w:rPr>
                <w:b/>
                <w:sz w:val="21"/>
              </w:rPr>
            </w:pPr>
            <w:r>
              <w:rPr>
                <w:b/>
                <w:sz w:val="21"/>
              </w:rPr>
              <w:t>毒品</w:t>
            </w:r>
          </w:p>
        </w:tc>
        <w:tc>
          <w:tcPr>
            <w:tcW w:w="7725" w:type="dxa"/>
          </w:tcPr>
          <w:p>
            <w:pPr>
              <w:pStyle w:val="TableParagraph"/>
              <w:spacing w:line="273" w:lineRule="auto" w:before="72"/>
              <w:ind w:left="149" w:right="199"/>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05" w:hRule="atLeast"/>
        </w:trPr>
        <w:tc>
          <w:tcPr>
            <w:tcW w:w="944" w:type="dxa"/>
          </w:tcPr>
          <w:p>
            <w:pPr>
              <w:pStyle w:val="TableParagraph"/>
              <w:spacing w:before="70"/>
              <w:ind w:left="200"/>
              <w:rPr>
                <w:b/>
                <w:sz w:val="21"/>
              </w:rPr>
            </w:pPr>
            <w:r>
              <w:rPr>
                <w:b/>
                <w:sz w:val="21"/>
              </w:rPr>
              <w:t>10.9</w:t>
            </w:r>
          </w:p>
        </w:tc>
        <w:tc>
          <w:tcPr>
            <w:tcW w:w="1843" w:type="dxa"/>
          </w:tcPr>
          <w:p>
            <w:pPr>
              <w:pStyle w:val="TableParagraph"/>
              <w:spacing w:before="70"/>
              <w:ind w:left="216"/>
              <w:rPr>
                <w:b/>
                <w:sz w:val="21"/>
              </w:rPr>
            </w:pPr>
            <w:r>
              <w:rPr>
                <w:b/>
                <w:sz w:val="21"/>
              </w:rPr>
              <w:t>酒后驾驶</w:t>
            </w:r>
          </w:p>
        </w:tc>
        <w:tc>
          <w:tcPr>
            <w:tcW w:w="7725" w:type="dxa"/>
          </w:tcPr>
          <w:p>
            <w:pPr>
              <w:pStyle w:val="TableParagraph"/>
              <w:spacing w:line="273" w:lineRule="auto" w:before="70"/>
              <w:ind w:left="149" w:right="302"/>
              <w:jc w:val="both"/>
              <w:rPr>
                <w:sz w:val="21"/>
              </w:rPr>
            </w:pPr>
            <w:r>
              <w:rPr>
                <w:spacing w:val="-11"/>
                <w:sz w:val="21"/>
              </w:rPr>
              <w:t>指经检测或鉴定，发生事故时车辆驾驶人员每百毫升血液中的酒精含量达到或超</w:t>
            </w:r>
            <w:r>
              <w:rPr>
                <w:spacing w:val="-12"/>
                <w:sz w:val="21"/>
              </w:rPr>
              <w:t>过一定的标准，公安机关交通管理部门依据《道路交通安全法》的规定认定为饮</w:t>
            </w:r>
            <w:r>
              <w:rPr>
                <w:spacing w:val="-6"/>
                <w:sz w:val="21"/>
              </w:rPr>
              <w:t>酒后驾驶或醉酒后驾驶。</w:t>
            </w:r>
          </w:p>
        </w:tc>
      </w:tr>
      <w:tr>
        <w:trPr>
          <w:trHeight w:val="2042" w:hRule="atLeast"/>
        </w:trPr>
        <w:tc>
          <w:tcPr>
            <w:tcW w:w="944" w:type="dxa"/>
          </w:tcPr>
          <w:p>
            <w:pPr>
              <w:pStyle w:val="TableParagraph"/>
              <w:spacing w:before="72"/>
              <w:ind w:left="200"/>
              <w:rPr>
                <w:b/>
                <w:sz w:val="21"/>
              </w:rPr>
            </w:pPr>
            <w:r>
              <w:rPr>
                <w:b/>
                <w:sz w:val="21"/>
              </w:rPr>
              <w:t>10.10</w:t>
            </w:r>
          </w:p>
        </w:tc>
        <w:tc>
          <w:tcPr>
            <w:tcW w:w="1843" w:type="dxa"/>
          </w:tcPr>
          <w:p>
            <w:pPr>
              <w:pStyle w:val="TableParagraph"/>
              <w:spacing w:line="273" w:lineRule="auto" w:before="72"/>
              <w:ind w:left="216" w:right="146"/>
              <w:rPr>
                <w:b/>
                <w:sz w:val="21"/>
              </w:rPr>
            </w:pPr>
            <w:r>
              <w:rPr>
                <w:b/>
                <w:sz w:val="21"/>
              </w:rPr>
              <w:t>无合法有效驾驶证驾驶</w:t>
            </w:r>
          </w:p>
        </w:tc>
        <w:tc>
          <w:tcPr>
            <w:tcW w:w="7725" w:type="dxa"/>
          </w:tcPr>
          <w:p>
            <w:pPr>
              <w:pStyle w:val="TableParagraph"/>
              <w:spacing w:before="72"/>
              <w:ind w:left="149"/>
              <w:rPr>
                <w:sz w:val="21"/>
              </w:rPr>
            </w:pPr>
            <w:r>
              <w:rPr>
                <w:sz w:val="21"/>
              </w:rPr>
              <w:t>指下列情形之一：</w:t>
            </w:r>
          </w:p>
          <w:p>
            <w:pPr>
              <w:pStyle w:val="TableParagraph"/>
              <w:numPr>
                <w:ilvl w:val="0"/>
                <w:numId w:val="21"/>
              </w:numPr>
              <w:tabs>
                <w:tab w:pos="886" w:val="left" w:leader="none"/>
                <w:tab w:pos="887" w:val="left" w:leader="none"/>
              </w:tabs>
              <w:spacing w:line="240" w:lineRule="auto" w:before="37" w:after="0"/>
              <w:ind w:left="879" w:right="0" w:hanging="730"/>
              <w:jc w:val="left"/>
              <w:rPr>
                <w:sz w:val="21"/>
              </w:rPr>
            </w:pPr>
            <w:r>
              <w:rPr>
                <w:spacing w:val="-3"/>
                <w:sz w:val="21"/>
              </w:rPr>
              <w:t>没有取得驾驶资格；</w:t>
            </w:r>
          </w:p>
          <w:p>
            <w:pPr>
              <w:pStyle w:val="TableParagraph"/>
              <w:numPr>
                <w:ilvl w:val="0"/>
                <w:numId w:val="21"/>
              </w:numPr>
              <w:tabs>
                <w:tab w:pos="886" w:val="left" w:leader="none"/>
                <w:tab w:pos="887" w:val="left" w:leader="none"/>
              </w:tabs>
              <w:spacing w:line="240" w:lineRule="auto" w:before="37" w:after="0"/>
              <w:ind w:left="879" w:right="0" w:hanging="730"/>
              <w:jc w:val="left"/>
              <w:rPr>
                <w:sz w:val="21"/>
              </w:rPr>
            </w:pPr>
            <w:r>
              <w:rPr>
                <w:spacing w:val="-3"/>
                <w:sz w:val="21"/>
              </w:rPr>
              <w:t>驾驶与驾驶证准驾车型不相符合的车辆；</w:t>
            </w:r>
          </w:p>
          <w:p>
            <w:pPr>
              <w:pStyle w:val="TableParagraph"/>
              <w:numPr>
                <w:ilvl w:val="0"/>
                <w:numId w:val="21"/>
              </w:numPr>
              <w:tabs>
                <w:tab w:pos="886" w:val="left" w:leader="none"/>
                <w:tab w:pos="887" w:val="left" w:leader="none"/>
              </w:tabs>
              <w:spacing w:line="240" w:lineRule="auto" w:before="37" w:after="0"/>
              <w:ind w:left="879" w:right="0" w:hanging="730"/>
              <w:jc w:val="left"/>
              <w:rPr>
                <w:sz w:val="21"/>
              </w:rPr>
            </w:pPr>
            <w:r>
              <w:rPr>
                <w:spacing w:val="-3"/>
                <w:sz w:val="21"/>
              </w:rPr>
              <w:t>持审验不合格的驾驶证驾驶；</w:t>
            </w:r>
          </w:p>
          <w:p>
            <w:pPr>
              <w:pStyle w:val="TableParagraph"/>
              <w:numPr>
                <w:ilvl w:val="0"/>
                <w:numId w:val="21"/>
              </w:numPr>
              <w:tabs>
                <w:tab w:pos="889" w:val="left" w:leader="none"/>
                <w:tab w:pos="890" w:val="left" w:leader="none"/>
              </w:tabs>
              <w:spacing w:line="273" w:lineRule="auto" w:before="37" w:after="0"/>
              <w:ind w:left="879" w:right="307" w:hanging="730"/>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944" w:type="dxa"/>
          </w:tcPr>
          <w:p>
            <w:pPr>
              <w:pStyle w:val="TableParagraph"/>
              <w:spacing w:before="72"/>
              <w:ind w:left="200"/>
              <w:rPr>
                <w:b/>
                <w:sz w:val="21"/>
              </w:rPr>
            </w:pPr>
            <w:r>
              <w:rPr>
                <w:b/>
                <w:sz w:val="21"/>
              </w:rPr>
              <w:t>10.11</w:t>
            </w:r>
          </w:p>
        </w:tc>
        <w:tc>
          <w:tcPr>
            <w:tcW w:w="1843" w:type="dxa"/>
          </w:tcPr>
          <w:p>
            <w:pPr>
              <w:pStyle w:val="TableParagraph"/>
              <w:spacing w:before="72"/>
              <w:ind w:left="216"/>
              <w:rPr>
                <w:b/>
                <w:sz w:val="21"/>
              </w:rPr>
            </w:pPr>
            <w:r>
              <w:rPr>
                <w:b/>
                <w:sz w:val="21"/>
              </w:rPr>
              <w:t>无有效行驶证</w:t>
            </w:r>
          </w:p>
        </w:tc>
        <w:tc>
          <w:tcPr>
            <w:tcW w:w="7725" w:type="dxa"/>
          </w:tcPr>
          <w:p>
            <w:pPr>
              <w:pStyle w:val="TableParagraph"/>
              <w:spacing w:before="72"/>
              <w:ind w:left="149"/>
              <w:rPr>
                <w:sz w:val="21"/>
              </w:rPr>
            </w:pPr>
            <w:r>
              <w:rPr>
                <w:sz w:val="21"/>
              </w:rPr>
              <w:t>指下列情形之一：</w:t>
            </w:r>
          </w:p>
          <w:p>
            <w:pPr>
              <w:pStyle w:val="TableParagraph"/>
              <w:numPr>
                <w:ilvl w:val="0"/>
                <w:numId w:val="22"/>
              </w:numPr>
              <w:tabs>
                <w:tab w:pos="886" w:val="left" w:leader="none"/>
                <w:tab w:pos="887" w:val="left" w:leader="none"/>
              </w:tabs>
              <w:spacing w:line="240" w:lineRule="auto" w:before="37" w:after="0"/>
              <w:ind w:left="886" w:right="0" w:hanging="737"/>
              <w:jc w:val="left"/>
              <w:rPr>
                <w:sz w:val="21"/>
              </w:rPr>
            </w:pPr>
            <w:r>
              <w:rPr>
                <w:spacing w:val="-3"/>
                <w:sz w:val="21"/>
              </w:rPr>
              <w:t>机动车被依法注销登记的；</w:t>
            </w:r>
          </w:p>
          <w:p>
            <w:pPr>
              <w:pStyle w:val="TableParagraph"/>
              <w:numPr>
                <w:ilvl w:val="0"/>
                <w:numId w:val="22"/>
              </w:numPr>
              <w:tabs>
                <w:tab w:pos="886" w:val="left" w:leader="none"/>
                <w:tab w:pos="887" w:val="left" w:leader="none"/>
              </w:tabs>
              <w:spacing w:line="240" w:lineRule="auto" w:before="37" w:after="0"/>
              <w:ind w:left="886" w:right="0" w:hanging="737"/>
              <w:jc w:val="left"/>
              <w:rPr>
                <w:sz w:val="21"/>
              </w:rPr>
            </w:pPr>
            <w:r>
              <w:rPr>
                <w:spacing w:val="-3"/>
                <w:sz w:val="21"/>
              </w:rPr>
              <w:t>未依法按时进行或通过机动车安全技术检验。</w:t>
            </w:r>
          </w:p>
        </w:tc>
      </w:tr>
      <w:tr>
        <w:trPr>
          <w:trHeight w:val="794" w:hRule="atLeast"/>
        </w:trPr>
        <w:tc>
          <w:tcPr>
            <w:tcW w:w="944" w:type="dxa"/>
          </w:tcPr>
          <w:p>
            <w:pPr>
              <w:pStyle w:val="TableParagraph"/>
              <w:spacing w:before="72"/>
              <w:ind w:left="200"/>
              <w:rPr>
                <w:b/>
                <w:sz w:val="21"/>
              </w:rPr>
            </w:pPr>
            <w:r>
              <w:rPr>
                <w:b/>
                <w:sz w:val="21"/>
              </w:rPr>
              <w:t>10.12</w:t>
            </w:r>
          </w:p>
        </w:tc>
        <w:tc>
          <w:tcPr>
            <w:tcW w:w="1843" w:type="dxa"/>
          </w:tcPr>
          <w:p>
            <w:pPr>
              <w:pStyle w:val="TableParagraph"/>
              <w:spacing w:before="72"/>
              <w:ind w:left="216"/>
              <w:rPr>
                <w:b/>
                <w:sz w:val="21"/>
              </w:rPr>
            </w:pPr>
            <w:r>
              <w:rPr>
                <w:b/>
                <w:sz w:val="21"/>
              </w:rPr>
              <w:t>机动车</w:t>
            </w:r>
          </w:p>
        </w:tc>
        <w:tc>
          <w:tcPr>
            <w:tcW w:w="7725" w:type="dxa"/>
          </w:tcPr>
          <w:p>
            <w:pPr>
              <w:pStyle w:val="TableParagraph"/>
              <w:spacing w:line="273" w:lineRule="auto" w:before="72"/>
              <w:ind w:left="149" w:right="305"/>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1807" w:hRule="atLeast"/>
        </w:trPr>
        <w:tc>
          <w:tcPr>
            <w:tcW w:w="944" w:type="dxa"/>
          </w:tcPr>
          <w:p>
            <w:pPr>
              <w:pStyle w:val="TableParagraph"/>
              <w:spacing w:before="72"/>
              <w:ind w:left="200"/>
              <w:rPr>
                <w:b/>
                <w:sz w:val="21"/>
              </w:rPr>
            </w:pPr>
            <w:r>
              <w:rPr>
                <w:b/>
                <w:sz w:val="21"/>
              </w:rPr>
              <w:t>10.13</w:t>
            </w:r>
          </w:p>
        </w:tc>
        <w:tc>
          <w:tcPr>
            <w:tcW w:w="1843" w:type="dxa"/>
          </w:tcPr>
          <w:p>
            <w:pPr>
              <w:pStyle w:val="TableParagraph"/>
              <w:spacing w:line="273" w:lineRule="auto" w:before="72"/>
              <w:ind w:left="216" w:right="146"/>
              <w:rPr>
                <w:b/>
                <w:sz w:val="21"/>
              </w:rPr>
            </w:pPr>
            <w:r>
              <w:rPr>
                <w:b/>
                <w:sz w:val="21"/>
              </w:rPr>
              <w:t>感染艾滋病病毒或患艾滋病</w:t>
            </w:r>
          </w:p>
        </w:tc>
        <w:tc>
          <w:tcPr>
            <w:tcW w:w="7725" w:type="dxa"/>
          </w:tcPr>
          <w:p>
            <w:pPr>
              <w:pStyle w:val="TableParagraph"/>
              <w:spacing w:line="273" w:lineRule="auto" w:before="72"/>
              <w:ind w:left="149" w:right="304"/>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引起的获得性免疫缺陷综合征，英文缩写为 </w:t>
            </w:r>
            <w:r>
              <w:rPr>
                <w:sz w:val="21"/>
              </w:rPr>
              <w:t>AIDS。</w:t>
            </w:r>
          </w:p>
          <w:p>
            <w:pPr>
              <w:pStyle w:val="TableParagraph"/>
              <w:spacing w:line="271" w:lineRule="auto" w:before="87"/>
              <w:ind w:left="149" w:right="3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794" w:hRule="atLeast"/>
        </w:trPr>
        <w:tc>
          <w:tcPr>
            <w:tcW w:w="944" w:type="dxa"/>
          </w:tcPr>
          <w:p>
            <w:pPr>
              <w:pStyle w:val="TableParagraph"/>
              <w:spacing w:before="72"/>
              <w:ind w:left="200"/>
              <w:rPr>
                <w:b/>
                <w:sz w:val="21"/>
              </w:rPr>
            </w:pPr>
            <w:r>
              <w:rPr>
                <w:b/>
                <w:sz w:val="21"/>
              </w:rPr>
              <w:t>10.14</w:t>
            </w:r>
          </w:p>
        </w:tc>
        <w:tc>
          <w:tcPr>
            <w:tcW w:w="1843" w:type="dxa"/>
          </w:tcPr>
          <w:p>
            <w:pPr>
              <w:pStyle w:val="TableParagraph"/>
              <w:spacing w:before="72"/>
              <w:ind w:left="216"/>
              <w:rPr>
                <w:b/>
                <w:sz w:val="21"/>
              </w:rPr>
            </w:pPr>
            <w:r>
              <w:rPr>
                <w:b/>
                <w:sz w:val="21"/>
              </w:rPr>
              <w:t>遗传性疾病</w:t>
            </w:r>
          </w:p>
        </w:tc>
        <w:tc>
          <w:tcPr>
            <w:tcW w:w="7725" w:type="dxa"/>
          </w:tcPr>
          <w:p>
            <w:pPr>
              <w:pStyle w:val="TableParagraph"/>
              <w:spacing w:line="273" w:lineRule="auto" w:before="72"/>
              <w:ind w:left="149" w:right="197"/>
              <w:rPr>
                <w:sz w:val="21"/>
              </w:rPr>
            </w:pPr>
            <w:r>
              <w:rPr>
                <w:spacing w:val="-10"/>
                <w:sz w:val="21"/>
              </w:rPr>
              <w:t>指生殖细胞或受精卵的遗传物质</w:t>
            </w:r>
            <w:r>
              <w:rPr>
                <w:sz w:val="21"/>
              </w:rPr>
              <w:t>（</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106" w:hRule="atLeast"/>
        </w:trPr>
        <w:tc>
          <w:tcPr>
            <w:tcW w:w="944" w:type="dxa"/>
          </w:tcPr>
          <w:p>
            <w:pPr>
              <w:pStyle w:val="TableParagraph"/>
              <w:spacing w:before="72"/>
              <w:ind w:left="200"/>
              <w:rPr>
                <w:b/>
                <w:sz w:val="21"/>
              </w:rPr>
            </w:pPr>
            <w:r>
              <w:rPr>
                <w:b/>
                <w:sz w:val="21"/>
              </w:rPr>
              <w:t>10.15</w:t>
            </w:r>
          </w:p>
        </w:tc>
        <w:tc>
          <w:tcPr>
            <w:tcW w:w="1843" w:type="dxa"/>
          </w:tcPr>
          <w:p>
            <w:pPr>
              <w:pStyle w:val="TableParagraph"/>
              <w:spacing w:line="273" w:lineRule="auto" w:before="72"/>
              <w:ind w:left="216" w:right="146"/>
              <w:rPr>
                <w:b/>
                <w:sz w:val="21"/>
              </w:rPr>
            </w:pPr>
            <w:r>
              <w:rPr>
                <w:b/>
                <w:sz w:val="21"/>
              </w:rPr>
              <w:t>先天性畸形、变形或染色体异常</w:t>
            </w:r>
          </w:p>
        </w:tc>
        <w:tc>
          <w:tcPr>
            <w:tcW w:w="7725" w:type="dxa"/>
          </w:tcPr>
          <w:p>
            <w:pPr>
              <w:pStyle w:val="TableParagraph"/>
              <w:spacing w:line="273" w:lineRule="auto" w:before="72"/>
              <w:ind w:left="149" w:right="302"/>
              <w:jc w:val="both"/>
              <w:rPr>
                <w:sz w:val="21"/>
              </w:rPr>
            </w:pPr>
            <w:r>
              <w:rPr>
                <w:spacing w:val="-7"/>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w:t>
            </w:r>
            <w:r>
              <w:rPr>
                <w:spacing w:val="-3"/>
                <w:sz w:val="21"/>
              </w:rPr>
              <w:t>确</w:t>
            </w:r>
            <w:r>
              <w:rPr>
                <w:sz w:val="21"/>
              </w:rPr>
              <w:t>定。</w:t>
            </w:r>
          </w:p>
        </w:tc>
      </w:tr>
      <w:tr>
        <w:trPr>
          <w:trHeight w:val="658" w:hRule="atLeast"/>
        </w:trPr>
        <w:tc>
          <w:tcPr>
            <w:tcW w:w="944" w:type="dxa"/>
          </w:tcPr>
          <w:p>
            <w:pPr>
              <w:pStyle w:val="TableParagraph"/>
              <w:spacing w:before="71"/>
              <w:ind w:left="200"/>
              <w:rPr>
                <w:b/>
                <w:sz w:val="21"/>
              </w:rPr>
            </w:pPr>
            <w:r>
              <w:rPr>
                <w:b/>
                <w:sz w:val="21"/>
              </w:rPr>
              <w:t>10.16</w:t>
            </w:r>
          </w:p>
        </w:tc>
        <w:tc>
          <w:tcPr>
            <w:tcW w:w="1843" w:type="dxa"/>
          </w:tcPr>
          <w:p>
            <w:pPr>
              <w:pStyle w:val="TableParagraph"/>
              <w:spacing w:before="71"/>
              <w:ind w:left="216"/>
              <w:rPr>
                <w:b/>
                <w:sz w:val="21"/>
              </w:rPr>
            </w:pPr>
            <w:r>
              <w:rPr>
                <w:b/>
                <w:sz w:val="21"/>
              </w:rPr>
              <w:t>专科医生</w:t>
            </w:r>
          </w:p>
        </w:tc>
        <w:tc>
          <w:tcPr>
            <w:tcW w:w="7725" w:type="dxa"/>
          </w:tcPr>
          <w:p>
            <w:pPr>
              <w:pStyle w:val="TableParagraph"/>
              <w:spacing w:before="71"/>
              <w:ind w:left="149"/>
              <w:rPr>
                <w:sz w:val="21"/>
              </w:rPr>
            </w:pPr>
            <w:r>
              <w:rPr>
                <w:sz w:val="21"/>
              </w:rPr>
              <w:t>专科医生应当同时满足以下四项资格条件：</w:t>
            </w:r>
          </w:p>
          <w:p>
            <w:pPr>
              <w:pStyle w:val="TableParagraph"/>
              <w:tabs>
                <w:tab w:pos="886" w:val="left" w:leader="none"/>
              </w:tabs>
              <w:spacing w:line="255" w:lineRule="exact" w:before="36"/>
              <w:ind w:left="149"/>
              <w:rPr>
                <w:sz w:val="21"/>
              </w:rPr>
            </w:pPr>
            <w:r>
              <w:rPr>
                <w:sz w:val="21"/>
              </w:rPr>
              <w:t>（1）</w:t>
              <w:tab/>
            </w:r>
            <w:r>
              <w:rPr>
                <w:spacing w:val="-9"/>
                <w:sz w:val="21"/>
              </w:rPr>
              <w:t>具有有效的中华人民共和国《医师资格证书》；</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620"/>
      </w:tblGrid>
      <w:tr>
        <w:trPr>
          <w:trHeight w:val="1595" w:hRule="atLeast"/>
        </w:trPr>
        <w:tc>
          <w:tcPr>
            <w:tcW w:w="944" w:type="dxa"/>
          </w:tcPr>
          <w:p>
            <w:pPr>
              <w:pStyle w:val="TableParagraph"/>
              <w:ind w:left="0"/>
              <w:rPr>
                <w:rFonts w:ascii="Times New Roman"/>
                <w:sz w:val="20"/>
              </w:rPr>
            </w:pPr>
          </w:p>
        </w:tc>
        <w:tc>
          <w:tcPr>
            <w:tcW w:w="1843" w:type="dxa"/>
          </w:tcPr>
          <w:p>
            <w:pPr>
              <w:pStyle w:val="TableParagraph"/>
              <w:ind w:left="0"/>
              <w:rPr>
                <w:rFonts w:ascii="Times New Roman"/>
                <w:sz w:val="20"/>
              </w:rPr>
            </w:pPr>
          </w:p>
        </w:tc>
        <w:tc>
          <w:tcPr>
            <w:tcW w:w="7620" w:type="dxa"/>
          </w:tcPr>
          <w:p>
            <w:pPr>
              <w:pStyle w:val="TableParagraph"/>
              <w:numPr>
                <w:ilvl w:val="0"/>
                <w:numId w:val="23"/>
              </w:numPr>
              <w:tabs>
                <w:tab w:pos="858" w:val="left" w:leader="none"/>
              </w:tabs>
              <w:spacing w:line="211" w:lineRule="exact" w:before="0" w:after="0"/>
              <w:ind w:left="870" w:right="0" w:hanging="721"/>
              <w:jc w:val="left"/>
              <w:rPr>
                <w:sz w:val="21"/>
              </w:rPr>
            </w:pPr>
            <w:r>
              <w:rPr>
                <w:spacing w:val="-13"/>
                <w:sz w:val="21"/>
              </w:rPr>
              <w:t>具有有效的中华人民共和国《医师执业证书》，并按期到相关部门登记注</w:t>
            </w:r>
          </w:p>
          <w:p>
            <w:pPr>
              <w:pStyle w:val="TableParagraph"/>
              <w:spacing w:before="37"/>
              <w:ind w:left="869"/>
              <w:rPr>
                <w:sz w:val="21"/>
              </w:rPr>
            </w:pPr>
            <w:r>
              <w:rPr>
                <w:sz w:val="21"/>
              </w:rPr>
              <w:t>册；</w:t>
            </w:r>
          </w:p>
          <w:p>
            <w:pPr>
              <w:pStyle w:val="TableParagraph"/>
              <w:numPr>
                <w:ilvl w:val="0"/>
                <w:numId w:val="23"/>
              </w:numPr>
              <w:tabs>
                <w:tab w:pos="889" w:val="left" w:leader="none"/>
                <w:tab w:pos="890" w:val="left" w:leader="none"/>
              </w:tabs>
              <w:spacing w:line="273" w:lineRule="auto" w:before="37" w:after="0"/>
              <w:ind w:left="870" w:right="202"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23"/>
              </w:numPr>
              <w:tabs>
                <w:tab w:pos="886" w:val="left" w:leader="none"/>
                <w:tab w:pos="887" w:val="left" w:leader="none"/>
              </w:tabs>
              <w:spacing w:line="240" w:lineRule="auto" w:before="7" w:after="0"/>
              <w:ind w:left="886" w:right="0" w:hanging="737"/>
              <w:jc w:val="left"/>
              <w:rPr>
                <w:sz w:val="21"/>
              </w:rPr>
            </w:pPr>
            <w:r>
              <w:rPr>
                <w:spacing w:val="-3"/>
                <w:sz w:val="21"/>
              </w:rPr>
              <w:t>在二级或二级以上医院的相应科室从事临床工作三年以上。</w:t>
            </w:r>
          </w:p>
        </w:tc>
      </w:tr>
      <w:tr>
        <w:trPr>
          <w:trHeight w:val="794" w:hRule="atLeast"/>
        </w:trPr>
        <w:tc>
          <w:tcPr>
            <w:tcW w:w="944" w:type="dxa"/>
          </w:tcPr>
          <w:p>
            <w:pPr>
              <w:pStyle w:val="TableParagraph"/>
              <w:spacing w:before="72"/>
              <w:ind w:left="180" w:right="193"/>
              <w:jc w:val="center"/>
              <w:rPr>
                <w:b/>
                <w:sz w:val="21"/>
              </w:rPr>
            </w:pPr>
            <w:r>
              <w:rPr>
                <w:b/>
                <w:sz w:val="21"/>
              </w:rPr>
              <w:t>10.17</w:t>
            </w:r>
          </w:p>
        </w:tc>
        <w:tc>
          <w:tcPr>
            <w:tcW w:w="1843" w:type="dxa"/>
          </w:tcPr>
          <w:p>
            <w:pPr>
              <w:pStyle w:val="TableParagraph"/>
              <w:spacing w:before="72"/>
              <w:ind w:left="216"/>
              <w:rPr>
                <w:b/>
                <w:sz w:val="21"/>
              </w:rPr>
            </w:pPr>
            <w:r>
              <w:rPr>
                <w:b/>
                <w:sz w:val="21"/>
              </w:rPr>
              <w:t>永久不可逆</w:t>
            </w:r>
          </w:p>
        </w:tc>
        <w:tc>
          <w:tcPr>
            <w:tcW w:w="7620" w:type="dxa"/>
          </w:tcPr>
          <w:p>
            <w:pPr>
              <w:pStyle w:val="TableParagraph"/>
              <w:spacing w:line="273" w:lineRule="auto" w:before="72"/>
              <w:ind w:left="149" w:right="197"/>
              <w:rPr>
                <w:sz w:val="21"/>
              </w:rPr>
            </w:pPr>
            <w:r>
              <w:rPr>
                <w:spacing w:val="-8"/>
                <w:sz w:val="21"/>
              </w:rPr>
              <w:t>指自疾病确诊或意外伤害发生之日起，经过积极治疗 </w:t>
            </w:r>
            <w:r>
              <w:rPr>
                <w:sz w:val="21"/>
              </w:rPr>
              <w:t>180</w:t>
            </w:r>
            <w:r>
              <w:rPr>
                <w:spacing w:val="-11"/>
                <w:sz w:val="21"/>
              </w:rPr>
              <w:t> 天后，仍无法通过现有</w:t>
            </w:r>
            <w:r>
              <w:rPr>
                <w:spacing w:val="-6"/>
                <w:sz w:val="21"/>
              </w:rPr>
              <w:t>医疗手段恢复。</w:t>
            </w:r>
          </w:p>
        </w:tc>
      </w:tr>
      <w:tr>
        <w:trPr>
          <w:trHeight w:val="794" w:hRule="atLeast"/>
        </w:trPr>
        <w:tc>
          <w:tcPr>
            <w:tcW w:w="944" w:type="dxa"/>
          </w:tcPr>
          <w:p>
            <w:pPr>
              <w:pStyle w:val="TableParagraph"/>
              <w:spacing w:before="72"/>
              <w:ind w:left="180" w:right="193"/>
              <w:jc w:val="center"/>
              <w:rPr>
                <w:b/>
                <w:sz w:val="21"/>
              </w:rPr>
            </w:pPr>
            <w:r>
              <w:rPr>
                <w:b/>
                <w:sz w:val="21"/>
              </w:rPr>
              <w:t>10.18</w:t>
            </w:r>
          </w:p>
        </w:tc>
        <w:tc>
          <w:tcPr>
            <w:tcW w:w="1843" w:type="dxa"/>
          </w:tcPr>
          <w:p>
            <w:pPr>
              <w:pStyle w:val="TableParagraph"/>
              <w:spacing w:line="273" w:lineRule="auto" w:before="72"/>
              <w:ind w:left="216" w:right="146"/>
              <w:rPr>
                <w:b/>
                <w:sz w:val="21"/>
              </w:rPr>
            </w:pPr>
            <w:r>
              <w:rPr>
                <w:b/>
                <w:sz w:val="21"/>
              </w:rPr>
              <w:t>肢体机能完全丧失</w:t>
            </w:r>
          </w:p>
        </w:tc>
        <w:tc>
          <w:tcPr>
            <w:tcW w:w="7620" w:type="dxa"/>
          </w:tcPr>
          <w:p>
            <w:pPr>
              <w:pStyle w:val="TableParagraph"/>
              <w:spacing w:line="273" w:lineRule="auto" w:before="72"/>
              <w:ind w:left="149" w:right="198"/>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18" w:hRule="atLeast"/>
        </w:trPr>
        <w:tc>
          <w:tcPr>
            <w:tcW w:w="944" w:type="dxa"/>
          </w:tcPr>
          <w:p>
            <w:pPr>
              <w:pStyle w:val="TableParagraph"/>
              <w:spacing w:before="72"/>
              <w:ind w:left="180" w:right="193"/>
              <w:jc w:val="center"/>
              <w:rPr>
                <w:b/>
                <w:sz w:val="21"/>
              </w:rPr>
            </w:pPr>
            <w:r>
              <w:rPr>
                <w:b/>
                <w:sz w:val="21"/>
              </w:rPr>
              <w:t>10.19</w:t>
            </w:r>
          </w:p>
        </w:tc>
        <w:tc>
          <w:tcPr>
            <w:tcW w:w="1843" w:type="dxa"/>
          </w:tcPr>
          <w:p>
            <w:pPr>
              <w:pStyle w:val="TableParagraph"/>
              <w:spacing w:line="273" w:lineRule="auto" w:before="72"/>
              <w:ind w:left="216" w:right="146"/>
              <w:jc w:val="both"/>
              <w:rPr>
                <w:b/>
                <w:sz w:val="21"/>
              </w:rPr>
            </w:pPr>
            <w:r>
              <w:rPr>
                <w:b/>
                <w:sz w:val="21"/>
              </w:rPr>
              <w:t>语言能力或咀嚼吞咽能力完全丧失</w:t>
            </w:r>
          </w:p>
        </w:tc>
        <w:tc>
          <w:tcPr>
            <w:tcW w:w="7620" w:type="dxa"/>
          </w:tcPr>
          <w:p>
            <w:pPr>
              <w:pStyle w:val="TableParagraph"/>
              <w:spacing w:line="273" w:lineRule="auto" w:before="72"/>
              <w:ind w:left="149" w:right="197"/>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1"/>
                <w:sz w:val="21"/>
              </w:rPr>
              <w:t>嚼吞咽能力完全丧失，指因牙齿以外的原因导致器质障碍或机能障碍，以致不能</w:t>
            </w:r>
            <w:r>
              <w:rPr>
                <w:spacing w:val="-6"/>
                <w:sz w:val="21"/>
              </w:rPr>
              <w:t>作咀嚼吞咽运动，除流质食物外不能摄取或吞咽的状态。</w:t>
            </w:r>
          </w:p>
        </w:tc>
      </w:tr>
      <w:tr>
        <w:trPr>
          <w:trHeight w:val="2219" w:hRule="atLeast"/>
        </w:trPr>
        <w:tc>
          <w:tcPr>
            <w:tcW w:w="944" w:type="dxa"/>
          </w:tcPr>
          <w:p>
            <w:pPr>
              <w:pStyle w:val="TableParagraph"/>
              <w:spacing w:before="72"/>
              <w:ind w:left="180" w:right="193"/>
              <w:jc w:val="center"/>
              <w:rPr>
                <w:b/>
                <w:sz w:val="21"/>
              </w:rPr>
            </w:pPr>
            <w:r>
              <w:rPr>
                <w:b/>
                <w:sz w:val="21"/>
              </w:rPr>
              <w:t>10.20</w:t>
            </w:r>
          </w:p>
        </w:tc>
        <w:tc>
          <w:tcPr>
            <w:tcW w:w="1843" w:type="dxa"/>
          </w:tcPr>
          <w:p>
            <w:pPr>
              <w:pStyle w:val="TableParagraph"/>
              <w:spacing w:line="273" w:lineRule="auto" w:before="72"/>
              <w:ind w:left="216" w:right="146"/>
              <w:rPr>
                <w:b/>
                <w:sz w:val="21"/>
              </w:rPr>
            </w:pPr>
            <w:r>
              <w:rPr>
                <w:b/>
                <w:sz w:val="21"/>
              </w:rPr>
              <w:t>六项基本日常生活活动</w:t>
            </w:r>
          </w:p>
        </w:tc>
        <w:tc>
          <w:tcPr>
            <w:tcW w:w="7620" w:type="dxa"/>
          </w:tcPr>
          <w:p>
            <w:pPr>
              <w:pStyle w:val="TableParagraph"/>
              <w:spacing w:before="72"/>
              <w:ind w:left="149"/>
              <w:rPr>
                <w:sz w:val="21"/>
              </w:rPr>
            </w:pPr>
            <w:r>
              <w:rPr>
                <w:sz w:val="21"/>
              </w:rPr>
              <w:t>六项基本日常生活活动是指：</w:t>
            </w:r>
          </w:p>
          <w:p>
            <w:pPr>
              <w:pStyle w:val="TableParagraph"/>
              <w:numPr>
                <w:ilvl w:val="0"/>
                <w:numId w:val="24"/>
              </w:numPr>
              <w:tabs>
                <w:tab w:pos="886" w:val="left" w:leader="none"/>
                <w:tab w:pos="887" w:val="left" w:leader="none"/>
              </w:tabs>
              <w:spacing w:line="240" w:lineRule="auto" w:before="37" w:after="0"/>
              <w:ind w:left="886" w:right="0" w:hanging="737"/>
              <w:jc w:val="left"/>
              <w:rPr>
                <w:sz w:val="21"/>
              </w:rPr>
            </w:pPr>
            <w:r>
              <w:rPr>
                <w:spacing w:val="-3"/>
                <w:sz w:val="21"/>
              </w:rPr>
              <w:t>穿衣：自己能够穿衣及脱衣；</w:t>
            </w:r>
          </w:p>
          <w:p>
            <w:pPr>
              <w:pStyle w:val="TableParagraph"/>
              <w:numPr>
                <w:ilvl w:val="0"/>
                <w:numId w:val="24"/>
              </w:numPr>
              <w:tabs>
                <w:tab w:pos="886" w:val="left" w:leader="none"/>
                <w:tab w:pos="887" w:val="left" w:leader="none"/>
              </w:tabs>
              <w:spacing w:line="240" w:lineRule="auto" w:before="37" w:after="0"/>
              <w:ind w:left="886" w:right="0" w:hanging="737"/>
              <w:jc w:val="left"/>
              <w:rPr>
                <w:sz w:val="21"/>
              </w:rPr>
            </w:pPr>
            <w:r>
              <w:rPr>
                <w:spacing w:val="-3"/>
                <w:sz w:val="21"/>
              </w:rPr>
              <w:t>移动：自己从一个房间到另一个房间；</w:t>
            </w:r>
          </w:p>
          <w:p>
            <w:pPr>
              <w:pStyle w:val="TableParagraph"/>
              <w:numPr>
                <w:ilvl w:val="0"/>
                <w:numId w:val="24"/>
              </w:numPr>
              <w:tabs>
                <w:tab w:pos="886" w:val="left" w:leader="none"/>
                <w:tab w:pos="887" w:val="left" w:leader="none"/>
              </w:tabs>
              <w:spacing w:line="240" w:lineRule="auto" w:before="37" w:after="0"/>
              <w:ind w:left="886" w:right="0" w:hanging="737"/>
              <w:jc w:val="left"/>
              <w:rPr>
                <w:sz w:val="21"/>
              </w:rPr>
            </w:pPr>
            <w:r>
              <w:rPr>
                <w:spacing w:val="-3"/>
                <w:sz w:val="21"/>
              </w:rPr>
              <w:t>行动：自己上下床或上下轮椅；</w:t>
            </w:r>
          </w:p>
          <w:p>
            <w:pPr>
              <w:pStyle w:val="TableParagraph"/>
              <w:numPr>
                <w:ilvl w:val="0"/>
                <w:numId w:val="24"/>
              </w:numPr>
              <w:tabs>
                <w:tab w:pos="886" w:val="left" w:leader="none"/>
                <w:tab w:pos="887" w:val="left" w:leader="none"/>
              </w:tabs>
              <w:spacing w:line="240" w:lineRule="auto" w:before="37" w:after="0"/>
              <w:ind w:left="886" w:right="0" w:hanging="737"/>
              <w:jc w:val="left"/>
              <w:rPr>
                <w:sz w:val="21"/>
              </w:rPr>
            </w:pPr>
            <w:r>
              <w:rPr>
                <w:spacing w:val="-3"/>
                <w:sz w:val="21"/>
              </w:rPr>
              <w:t>如厕：自己控制进行大小便；</w:t>
            </w:r>
          </w:p>
          <w:p>
            <w:pPr>
              <w:pStyle w:val="TableParagraph"/>
              <w:numPr>
                <w:ilvl w:val="0"/>
                <w:numId w:val="24"/>
              </w:numPr>
              <w:tabs>
                <w:tab w:pos="886" w:val="left" w:leader="none"/>
                <w:tab w:pos="887" w:val="left" w:leader="none"/>
              </w:tabs>
              <w:spacing w:line="240" w:lineRule="auto" w:before="37" w:after="0"/>
              <w:ind w:left="886" w:right="0" w:hanging="737"/>
              <w:jc w:val="left"/>
              <w:rPr>
                <w:sz w:val="21"/>
              </w:rPr>
            </w:pPr>
            <w:r>
              <w:rPr>
                <w:spacing w:val="-3"/>
                <w:sz w:val="21"/>
              </w:rPr>
              <w:t>进食：自己从已准备好的碗或碟中取食物放入口中；</w:t>
            </w:r>
          </w:p>
          <w:p>
            <w:pPr>
              <w:pStyle w:val="TableParagraph"/>
              <w:numPr>
                <w:ilvl w:val="0"/>
                <w:numId w:val="24"/>
              </w:numPr>
              <w:tabs>
                <w:tab w:pos="886" w:val="left" w:leader="none"/>
                <w:tab w:pos="887" w:val="left" w:leader="none"/>
              </w:tabs>
              <w:spacing w:line="255" w:lineRule="exact" w:before="37" w:after="0"/>
              <w:ind w:left="886" w:right="0" w:hanging="737"/>
              <w:jc w:val="left"/>
              <w:rPr>
                <w:sz w:val="21"/>
              </w:rPr>
            </w:pPr>
            <w:r>
              <w:rPr>
                <w:spacing w:val="-3"/>
                <w:sz w:val="21"/>
              </w:rPr>
              <w:t>洗澡：自己进行淋浴或盆浴。</w:t>
            </w:r>
          </w:p>
        </w:tc>
      </w:tr>
    </w:tbl>
    <w:p>
      <w:pPr>
        <w:spacing w:after="0" w:line="255" w:lineRule="exact"/>
        <w:jc w:val="left"/>
        <w:rPr>
          <w:sz w:val="21"/>
        </w:rPr>
        <w:sectPr>
          <w:pgSz w:w="11910" w:h="16840"/>
          <w:pgMar w:top="1160" w:bottom="280" w:left="720" w:right="560"/>
        </w:sectPr>
      </w:pPr>
    </w:p>
    <w:p>
      <w:pPr>
        <w:pStyle w:val="BodyText"/>
        <w:tabs>
          <w:tab w:pos="842" w:val="left" w:leader="none"/>
        </w:tabs>
        <w:spacing w:before="22"/>
        <w:jc w:val="center"/>
      </w:pPr>
      <w:r>
        <w:rPr/>
        <w:t>附表一</w:t>
        <w:tab/>
      </w:r>
      <w:r>
        <w:rPr>
          <w:spacing w:val="-3"/>
        </w:rPr>
        <w:t>重</w:t>
      </w:r>
      <w:r>
        <w:rPr/>
        <w:t>大</w:t>
      </w:r>
      <w:r>
        <w:rPr>
          <w:spacing w:val="-3"/>
        </w:rPr>
        <w:t>疾</w:t>
      </w:r>
      <w:r>
        <w:rPr/>
        <w:t>病</w:t>
      </w:r>
      <w:r>
        <w:rPr>
          <w:spacing w:val="-3"/>
        </w:rPr>
        <w:t>分</w:t>
      </w:r>
      <w:r>
        <w:rPr/>
        <w:t>组表</w:t>
      </w:r>
    </w:p>
    <w:p>
      <w:pPr>
        <w:pStyle w:val="BodyText"/>
        <w:spacing w:before="8"/>
        <w:rPr>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2408"/>
        <w:gridCol w:w="2554"/>
        <w:gridCol w:w="2175"/>
      </w:tblGrid>
      <w:tr>
        <w:trPr>
          <w:trHeight w:val="314" w:hRule="atLeast"/>
        </w:trPr>
        <w:tc>
          <w:tcPr>
            <w:tcW w:w="2945" w:type="dxa"/>
          </w:tcPr>
          <w:p>
            <w:pPr>
              <w:pStyle w:val="TableParagraph"/>
              <w:spacing w:line="265" w:lineRule="exact"/>
              <w:ind w:left="1243" w:right="1231"/>
              <w:jc w:val="center"/>
              <w:rPr>
                <w:sz w:val="21"/>
              </w:rPr>
            </w:pPr>
            <w:r>
              <w:rPr>
                <w:sz w:val="21"/>
              </w:rPr>
              <w:t>A 组</w:t>
            </w:r>
          </w:p>
        </w:tc>
        <w:tc>
          <w:tcPr>
            <w:tcW w:w="2408" w:type="dxa"/>
          </w:tcPr>
          <w:p>
            <w:pPr>
              <w:pStyle w:val="TableParagraph"/>
              <w:spacing w:line="265" w:lineRule="exact"/>
              <w:ind w:left="975" w:right="963"/>
              <w:jc w:val="center"/>
              <w:rPr>
                <w:sz w:val="21"/>
              </w:rPr>
            </w:pPr>
            <w:r>
              <w:rPr>
                <w:sz w:val="21"/>
              </w:rPr>
              <w:t>B 组</w:t>
            </w:r>
          </w:p>
        </w:tc>
        <w:tc>
          <w:tcPr>
            <w:tcW w:w="2554" w:type="dxa"/>
          </w:tcPr>
          <w:p>
            <w:pPr>
              <w:pStyle w:val="TableParagraph"/>
              <w:spacing w:line="265" w:lineRule="exact"/>
              <w:ind w:left="1049" w:right="1035"/>
              <w:jc w:val="center"/>
              <w:rPr>
                <w:sz w:val="21"/>
              </w:rPr>
            </w:pPr>
            <w:r>
              <w:rPr>
                <w:sz w:val="21"/>
              </w:rPr>
              <w:t>C 组</w:t>
            </w:r>
          </w:p>
        </w:tc>
        <w:tc>
          <w:tcPr>
            <w:tcW w:w="2175" w:type="dxa"/>
          </w:tcPr>
          <w:p>
            <w:pPr>
              <w:pStyle w:val="TableParagraph"/>
              <w:spacing w:line="265" w:lineRule="exact"/>
              <w:ind w:left="857" w:right="847"/>
              <w:jc w:val="center"/>
              <w:rPr>
                <w:sz w:val="21"/>
              </w:rPr>
            </w:pPr>
            <w:r>
              <w:rPr>
                <w:sz w:val="21"/>
              </w:rPr>
              <w:t>D 组</w:t>
            </w:r>
          </w:p>
        </w:tc>
      </w:tr>
      <w:tr>
        <w:trPr>
          <w:trHeight w:val="2183" w:hRule="atLeast"/>
        </w:trPr>
        <w:tc>
          <w:tcPr>
            <w:tcW w:w="2945" w:type="dxa"/>
          </w:tcPr>
          <w:p>
            <w:pPr>
              <w:pStyle w:val="TableParagraph"/>
              <w:spacing w:line="262" w:lineRule="exact"/>
              <w:rPr>
                <w:sz w:val="21"/>
              </w:rPr>
            </w:pPr>
            <w:r>
              <w:rPr>
                <w:sz w:val="21"/>
              </w:rPr>
              <w:t>1、恶性肿瘤；</w:t>
            </w:r>
          </w:p>
          <w:p>
            <w:pPr>
              <w:pStyle w:val="TableParagraph"/>
              <w:spacing w:line="273" w:lineRule="auto" w:before="37"/>
              <w:ind w:right="96"/>
              <w:rPr>
                <w:sz w:val="21"/>
              </w:rPr>
            </w:pPr>
            <w:r>
              <w:rPr>
                <w:sz w:val="21"/>
              </w:rPr>
              <w:t>2、重大器官移植术或造血干细胞移植术；</w:t>
            </w:r>
          </w:p>
          <w:p>
            <w:pPr>
              <w:pStyle w:val="TableParagraph"/>
              <w:spacing w:line="273" w:lineRule="auto" w:before="7"/>
              <w:ind w:right="95"/>
              <w:rPr>
                <w:sz w:val="21"/>
              </w:rPr>
            </w:pPr>
            <w:r>
              <w:rPr>
                <w:spacing w:val="5"/>
                <w:sz w:val="21"/>
              </w:rPr>
              <w:t>3</w:t>
            </w:r>
            <w:r>
              <w:rPr>
                <w:spacing w:val="5"/>
                <w:sz w:val="21"/>
              </w:rPr>
              <w:t>、终末期肾病（</w:t>
            </w:r>
            <w:r>
              <w:rPr>
                <w:spacing w:val="3"/>
                <w:sz w:val="21"/>
              </w:rPr>
              <w:t>或称慢性肾</w:t>
            </w:r>
            <w:r>
              <w:rPr>
                <w:spacing w:val="-2"/>
                <w:w w:val="100"/>
                <w:sz w:val="21"/>
              </w:rPr>
              <w:t>功能衰竭尿毒症期</w:t>
            </w:r>
            <w:r>
              <w:rPr>
                <w:spacing w:val="-108"/>
                <w:w w:val="100"/>
                <w:sz w:val="21"/>
              </w:rPr>
              <w:t>）</w:t>
            </w:r>
            <w:r>
              <w:rPr>
                <w:w w:val="100"/>
                <w:sz w:val="21"/>
              </w:rPr>
              <w:t>；</w:t>
            </w:r>
          </w:p>
          <w:p>
            <w:pPr>
              <w:pStyle w:val="TableParagraph"/>
              <w:spacing w:before="7"/>
              <w:rPr>
                <w:sz w:val="21"/>
              </w:rPr>
            </w:pPr>
            <w:r>
              <w:rPr>
                <w:sz w:val="21"/>
              </w:rPr>
              <w:t>4、I 型糖尿病。</w:t>
            </w:r>
          </w:p>
        </w:tc>
        <w:tc>
          <w:tcPr>
            <w:tcW w:w="2408" w:type="dxa"/>
          </w:tcPr>
          <w:p>
            <w:pPr>
              <w:pStyle w:val="TableParagraph"/>
              <w:spacing w:line="262" w:lineRule="exact"/>
              <w:rPr>
                <w:sz w:val="21"/>
              </w:rPr>
            </w:pPr>
            <w:r>
              <w:rPr>
                <w:sz w:val="21"/>
              </w:rPr>
              <w:t>1、良性脑肿瘤；</w:t>
            </w:r>
          </w:p>
          <w:p>
            <w:pPr>
              <w:pStyle w:val="TableParagraph"/>
              <w:spacing w:before="37"/>
              <w:rPr>
                <w:sz w:val="21"/>
              </w:rPr>
            </w:pPr>
            <w:r>
              <w:rPr>
                <w:sz w:val="21"/>
              </w:rPr>
              <w:t>2、细菌性脑脊髓膜炎；</w:t>
            </w:r>
          </w:p>
          <w:p>
            <w:pPr>
              <w:pStyle w:val="TableParagraph"/>
              <w:spacing w:before="37"/>
              <w:rPr>
                <w:sz w:val="21"/>
              </w:rPr>
            </w:pPr>
            <w:r>
              <w:rPr>
                <w:sz w:val="21"/>
              </w:rPr>
              <w:t>3、瘫痪；</w:t>
            </w:r>
          </w:p>
          <w:p>
            <w:pPr>
              <w:pStyle w:val="TableParagraph"/>
              <w:spacing w:before="37"/>
              <w:rPr>
                <w:sz w:val="21"/>
              </w:rPr>
            </w:pPr>
            <w:r>
              <w:rPr>
                <w:sz w:val="21"/>
              </w:rPr>
              <w:t>4、严重脑损伤；</w:t>
            </w:r>
          </w:p>
          <w:p>
            <w:pPr>
              <w:pStyle w:val="TableParagraph"/>
              <w:spacing w:before="37"/>
              <w:rPr>
                <w:sz w:val="21"/>
              </w:rPr>
            </w:pPr>
            <w:r>
              <w:rPr>
                <w:sz w:val="21"/>
              </w:rPr>
              <w:t>5、植物人状态。</w:t>
            </w:r>
          </w:p>
        </w:tc>
        <w:tc>
          <w:tcPr>
            <w:tcW w:w="2554" w:type="dxa"/>
          </w:tcPr>
          <w:p>
            <w:pPr>
              <w:pStyle w:val="TableParagraph"/>
              <w:spacing w:line="262" w:lineRule="exact"/>
              <w:ind w:left="110"/>
              <w:rPr>
                <w:sz w:val="21"/>
              </w:rPr>
            </w:pPr>
            <w:r>
              <w:rPr>
                <w:sz w:val="21"/>
              </w:rPr>
              <w:t>1、主动脉手术；</w:t>
            </w:r>
          </w:p>
          <w:p>
            <w:pPr>
              <w:pStyle w:val="TableParagraph"/>
              <w:spacing w:before="37"/>
              <w:ind w:left="110"/>
              <w:rPr>
                <w:sz w:val="21"/>
              </w:rPr>
            </w:pPr>
            <w:r>
              <w:rPr>
                <w:sz w:val="21"/>
              </w:rPr>
              <w:t>2、严重心肌炎；</w:t>
            </w:r>
          </w:p>
          <w:p>
            <w:pPr>
              <w:pStyle w:val="TableParagraph"/>
              <w:spacing w:before="37"/>
              <w:ind w:left="110"/>
              <w:rPr>
                <w:sz w:val="21"/>
              </w:rPr>
            </w:pPr>
            <w:r>
              <w:rPr>
                <w:sz w:val="21"/>
              </w:rPr>
              <w:t>3、严重胃肠炎。</w:t>
            </w:r>
          </w:p>
        </w:tc>
        <w:tc>
          <w:tcPr>
            <w:tcW w:w="2175" w:type="dxa"/>
          </w:tcPr>
          <w:p>
            <w:pPr>
              <w:pStyle w:val="TableParagraph"/>
              <w:spacing w:line="273" w:lineRule="auto"/>
              <w:ind w:right="37"/>
              <w:rPr>
                <w:sz w:val="21"/>
              </w:rPr>
            </w:pPr>
            <w:r>
              <w:rPr>
                <w:sz w:val="21"/>
              </w:rPr>
              <w:t>1、急性或亚急性重症肝炎；</w:t>
            </w:r>
          </w:p>
          <w:p>
            <w:pPr>
              <w:pStyle w:val="TableParagraph"/>
              <w:spacing w:line="273" w:lineRule="auto" w:before="20"/>
              <w:ind w:right="37"/>
              <w:rPr>
                <w:sz w:val="21"/>
              </w:rPr>
            </w:pPr>
            <w:r>
              <w:rPr>
                <w:sz w:val="21"/>
              </w:rPr>
              <w:t>2、重型再生障碍性贫血；</w:t>
            </w:r>
          </w:p>
          <w:p>
            <w:pPr>
              <w:pStyle w:val="TableParagraph"/>
              <w:spacing w:before="7"/>
              <w:rPr>
                <w:sz w:val="21"/>
              </w:rPr>
            </w:pPr>
            <w:r>
              <w:rPr>
                <w:sz w:val="21"/>
              </w:rPr>
              <w:t>3</w:t>
            </w:r>
            <w:r>
              <w:rPr>
                <w:spacing w:val="-14"/>
                <w:sz w:val="21"/>
              </w:rPr>
              <w:t>、严重 </w:t>
            </w:r>
            <w:r>
              <w:rPr>
                <w:sz w:val="21"/>
              </w:rPr>
              <w:t>III</w:t>
            </w:r>
            <w:r>
              <w:rPr>
                <w:spacing w:val="-12"/>
                <w:sz w:val="21"/>
              </w:rPr>
              <w:t> 度烧伤；</w:t>
            </w:r>
          </w:p>
          <w:p>
            <w:pPr>
              <w:pStyle w:val="TableParagraph"/>
              <w:spacing w:before="37"/>
              <w:rPr>
                <w:sz w:val="21"/>
              </w:rPr>
            </w:pPr>
            <w:r>
              <w:rPr>
                <w:sz w:val="21"/>
              </w:rPr>
              <w:t>4、双耳失聪；</w:t>
            </w:r>
          </w:p>
          <w:p>
            <w:pPr>
              <w:pStyle w:val="TableParagraph"/>
              <w:spacing w:before="37"/>
              <w:rPr>
                <w:sz w:val="21"/>
              </w:rPr>
            </w:pPr>
            <w:r>
              <w:rPr>
                <w:sz w:val="21"/>
              </w:rPr>
              <w:t>5、双目失明。</w:t>
            </w:r>
          </w:p>
        </w:tc>
      </w:tr>
    </w:tbl>
    <w:sectPr>
      <w:pgSz w:w="11910" w:h="16840"/>
      <w:pgMar w:top="10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5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02" w:hanging="738"/>
      </w:pPr>
      <w:rPr>
        <w:rFonts w:hint="default"/>
      </w:rPr>
    </w:lvl>
    <w:lvl w:ilvl="4">
      <w:start w:val="0"/>
      <w:numFmt w:val="bullet"/>
      <w:lvlText w:val="•"/>
      <w:lvlJc w:val="left"/>
      <w:pPr>
        <w:ind w:left="3576" w:hanging="738"/>
      </w:pPr>
      <w:rPr>
        <w:rFonts w:hint="default"/>
      </w:rPr>
    </w:lvl>
    <w:lvl w:ilvl="5">
      <w:start w:val="0"/>
      <w:numFmt w:val="bullet"/>
      <w:lvlText w:val="•"/>
      <w:lvlJc w:val="left"/>
      <w:pPr>
        <w:ind w:left="4250" w:hanging="738"/>
      </w:pPr>
      <w:rPr>
        <w:rFonts w:hint="default"/>
      </w:rPr>
    </w:lvl>
    <w:lvl w:ilvl="6">
      <w:start w:val="0"/>
      <w:numFmt w:val="bullet"/>
      <w:lvlText w:val="•"/>
      <w:lvlJc w:val="left"/>
      <w:pPr>
        <w:ind w:left="4924" w:hanging="738"/>
      </w:pPr>
      <w:rPr>
        <w:rFonts w:hint="default"/>
      </w:rPr>
    </w:lvl>
    <w:lvl w:ilvl="7">
      <w:start w:val="0"/>
      <w:numFmt w:val="bullet"/>
      <w:lvlText w:val="•"/>
      <w:lvlJc w:val="left"/>
      <w:pPr>
        <w:ind w:left="5598" w:hanging="738"/>
      </w:pPr>
      <w:rPr>
        <w:rFonts w:hint="default"/>
      </w:rPr>
    </w:lvl>
    <w:lvl w:ilvl="8">
      <w:start w:val="0"/>
      <w:numFmt w:val="bullet"/>
      <w:lvlText w:val="•"/>
      <w:lvlJc w:val="left"/>
      <w:pPr>
        <w:ind w:left="6272" w:hanging="738"/>
      </w:pPr>
      <w:rPr>
        <w:rFonts w:hint="default"/>
      </w:rPr>
    </w:lvl>
  </w:abstractNum>
  <w:abstractNum w:abstractNumId="22">
    <w:multiLevelType w:val="hybridMultilevel"/>
    <w:lvl w:ilvl="0">
      <w:start w:val="2"/>
      <w:numFmt w:val="decimal"/>
      <w:lvlText w:val="（%1）"/>
      <w:lvlJc w:val="left"/>
      <w:pPr>
        <w:ind w:left="870" w:hanging="709"/>
        <w:jc w:val="left"/>
      </w:pPr>
      <w:rPr>
        <w:rFonts w:hint="default" w:ascii="宋体" w:hAnsi="宋体" w:eastAsia="宋体" w:cs="宋体"/>
        <w:w w:val="100"/>
        <w:sz w:val="21"/>
        <w:szCs w:val="21"/>
      </w:rPr>
    </w:lvl>
    <w:lvl w:ilvl="1">
      <w:start w:val="0"/>
      <w:numFmt w:val="bullet"/>
      <w:lvlText w:val="•"/>
      <w:lvlJc w:val="left"/>
      <w:pPr>
        <w:ind w:left="1536" w:hanging="709"/>
      </w:pPr>
      <w:rPr>
        <w:rFonts w:hint="default"/>
      </w:rPr>
    </w:lvl>
    <w:lvl w:ilvl="2">
      <w:start w:val="0"/>
      <w:numFmt w:val="bullet"/>
      <w:lvlText w:val="•"/>
      <w:lvlJc w:val="left"/>
      <w:pPr>
        <w:ind w:left="2212" w:hanging="709"/>
      </w:pPr>
      <w:rPr>
        <w:rFonts w:hint="default"/>
      </w:rPr>
    </w:lvl>
    <w:lvl w:ilvl="3">
      <w:start w:val="0"/>
      <w:numFmt w:val="bullet"/>
      <w:lvlText w:val="•"/>
      <w:lvlJc w:val="left"/>
      <w:pPr>
        <w:ind w:left="2888" w:hanging="709"/>
      </w:pPr>
      <w:rPr>
        <w:rFonts w:hint="default"/>
      </w:rPr>
    </w:lvl>
    <w:lvl w:ilvl="4">
      <w:start w:val="0"/>
      <w:numFmt w:val="bullet"/>
      <w:lvlText w:val="•"/>
      <w:lvlJc w:val="left"/>
      <w:pPr>
        <w:ind w:left="3564" w:hanging="709"/>
      </w:pPr>
      <w:rPr>
        <w:rFonts w:hint="default"/>
      </w:rPr>
    </w:lvl>
    <w:lvl w:ilvl="5">
      <w:start w:val="0"/>
      <w:numFmt w:val="bullet"/>
      <w:lvlText w:val="•"/>
      <w:lvlJc w:val="left"/>
      <w:pPr>
        <w:ind w:left="4240" w:hanging="709"/>
      </w:pPr>
      <w:rPr>
        <w:rFonts w:hint="default"/>
      </w:rPr>
    </w:lvl>
    <w:lvl w:ilvl="6">
      <w:start w:val="0"/>
      <w:numFmt w:val="bullet"/>
      <w:lvlText w:val="•"/>
      <w:lvlJc w:val="left"/>
      <w:pPr>
        <w:ind w:left="4916" w:hanging="709"/>
      </w:pPr>
      <w:rPr>
        <w:rFonts w:hint="default"/>
      </w:rPr>
    </w:lvl>
    <w:lvl w:ilvl="7">
      <w:start w:val="0"/>
      <w:numFmt w:val="bullet"/>
      <w:lvlText w:val="•"/>
      <w:lvlJc w:val="left"/>
      <w:pPr>
        <w:ind w:left="5592" w:hanging="709"/>
      </w:pPr>
      <w:rPr>
        <w:rFonts w:hint="default"/>
      </w:rPr>
    </w:lvl>
    <w:lvl w:ilvl="8">
      <w:start w:val="0"/>
      <w:numFmt w:val="bullet"/>
      <w:lvlText w:val="•"/>
      <w:lvlJc w:val="left"/>
      <w:pPr>
        <w:ind w:left="6268" w:hanging="709"/>
      </w:pPr>
      <w:rPr>
        <w:rFonts w:hint="default"/>
      </w:rPr>
    </w:lvl>
  </w:abstractNum>
  <w:abstractNum w:abstractNumId="21">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2"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1" w:hanging="738"/>
      </w:pPr>
      <w:rPr>
        <w:rFonts w:hint="default"/>
      </w:rPr>
    </w:lvl>
    <w:lvl w:ilvl="8">
      <w:start w:val="0"/>
      <w:numFmt w:val="bullet"/>
      <w:lvlText w:val="•"/>
      <w:lvlJc w:val="left"/>
      <w:pPr>
        <w:ind w:left="6356" w:hanging="738"/>
      </w:pPr>
      <w:rPr>
        <w:rFonts w:hint="default"/>
      </w:rPr>
    </w:lvl>
  </w:abstractNum>
  <w:abstractNum w:abstractNumId="20">
    <w:multiLevelType w:val="hybridMultilevel"/>
    <w:lvl w:ilvl="0">
      <w:start w:val="1"/>
      <w:numFmt w:val="decimal"/>
      <w:lvlText w:val="（%1）"/>
      <w:lvlJc w:val="left"/>
      <w:pPr>
        <w:ind w:left="87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2"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1" w:hanging="738"/>
      </w:pPr>
      <w:rPr>
        <w:rFonts w:hint="default"/>
      </w:rPr>
    </w:lvl>
    <w:lvl w:ilvl="8">
      <w:start w:val="0"/>
      <w:numFmt w:val="bullet"/>
      <w:lvlText w:val="•"/>
      <w:lvlJc w:val="left"/>
      <w:pPr>
        <w:ind w:left="6356" w:hanging="738"/>
      </w:pPr>
      <w:rPr>
        <w:rFonts w:hint="default"/>
      </w:rPr>
    </w:lvl>
  </w:abstractNum>
  <w:abstractNum w:abstractNumId="19">
    <w:multiLevelType w:val="hybridMultilevel"/>
    <w:lvl w:ilvl="0">
      <w:start w:val="1"/>
      <w:numFmt w:val="decimal"/>
      <w:lvlText w:val="（%1）"/>
      <w:lvlJc w:val="left"/>
      <w:pPr>
        <w:ind w:left="887"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873" w:hanging="738"/>
      </w:pPr>
      <w:rPr>
        <w:rFonts w:hint="default"/>
      </w:rPr>
    </w:lvl>
    <w:lvl w:ilvl="4">
      <w:start w:val="0"/>
      <w:numFmt w:val="bullet"/>
      <w:lvlText w:val="•"/>
      <w:lvlJc w:val="left"/>
      <w:pPr>
        <w:ind w:left="3538" w:hanging="738"/>
      </w:pPr>
      <w:rPr>
        <w:rFonts w:hint="default"/>
      </w:rPr>
    </w:lvl>
    <w:lvl w:ilvl="5">
      <w:start w:val="0"/>
      <w:numFmt w:val="bullet"/>
      <w:lvlText w:val="•"/>
      <w:lvlJc w:val="left"/>
      <w:pPr>
        <w:ind w:left="4203" w:hanging="738"/>
      </w:pPr>
      <w:rPr>
        <w:rFonts w:hint="default"/>
      </w:rPr>
    </w:lvl>
    <w:lvl w:ilvl="6">
      <w:start w:val="0"/>
      <w:numFmt w:val="bullet"/>
      <w:lvlText w:val="•"/>
      <w:lvlJc w:val="left"/>
      <w:pPr>
        <w:ind w:left="4867" w:hanging="738"/>
      </w:pPr>
      <w:rPr>
        <w:rFonts w:hint="default"/>
      </w:rPr>
    </w:lvl>
    <w:lvl w:ilvl="7">
      <w:start w:val="0"/>
      <w:numFmt w:val="bullet"/>
      <w:lvlText w:val="•"/>
      <w:lvlJc w:val="left"/>
      <w:pPr>
        <w:ind w:left="5532" w:hanging="738"/>
      </w:pPr>
      <w:rPr>
        <w:rFonts w:hint="default"/>
      </w:rPr>
    </w:lvl>
    <w:lvl w:ilvl="8">
      <w:start w:val="0"/>
      <w:numFmt w:val="bullet"/>
      <w:lvlText w:val="•"/>
      <w:lvlJc w:val="left"/>
      <w:pPr>
        <w:ind w:left="6196" w:hanging="738"/>
      </w:pPr>
      <w:rPr>
        <w:rFonts w:hint="default"/>
      </w:rPr>
    </w:lvl>
  </w:abstractNum>
  <w:abstractNum w:abstractNumId="18">
    <w:multiLevelType w:val="hybridMultilevel"/>
    <w:lvl w:ilvl="0">
      <w:start w:val="1"/>
      <w:numFmt w:val="decimal"/>
      <w:lvlText w:val="（%1）"/>
      <w:lvlJc w:val="left"/>
      <w:pPr>
        <w:ind w:left="834" w:hanging="738"/>
        <w:jc w:val="left"/>
      </w:pPr>
      <w:rPr>
        <w:rFonts w:hint="default" w:ascii="宋体" w:hAnsi="宋体" w:eastAsia="宋体" w:cs="宋体"/>
        <w:w w:val="100"/>
        <w:sz w:val="21"/>
        <w:szCs w:val="21"/>
      </w:rPr>
    </w:lvl>
    <w:lvl w:ilvl="1">
      <w:start w:val="0"/>
      <w:numFmt w:val="bullet"/>
      <w:lvlText w:val="•"/>
      <w:lvlJc w:val="left"/>
      <w:pPr>
        <w:ind w:left="1528" w:hanging="738"/>
      </w:pPr>
      <w:rPr>
        <w:rFonts w:hint="default"/>
      </w:rPr>
    </w:lvl>
    <w:lvl w:ilvl="2">
      <w:start w:val="0"/>
      <w:numFmt w:val="bullet"/>
      <w:lvlText w:val="•"/>
      <w:lvlJc w:val="left"/>
      <w:pPr>
        <w:ind w:left="2216" w:hanging="738"/>
      </w:pPr>
      <w:rPr>
        <w:rFonts w:hint="default"/>
      </w:rPr>
    </w:lvl>
    <w:lvl w:ilvl="3">
      <w:start w:val="0"/>
      <w:numFmt w:val="bullet"/>
      <w:lvlText w:val="•"/>
      <w:lvlJc w:val="left"/>
      <w:pPr>
        <w:ind w:left="2904" w:hanging="738"/>
      </w:pPr>
      <w:rPr>
        <w:rFonts w:hint="default"/>
      </w:rPr>
    </w:lvl>
    <w:lvl w:ilvl="4">
      <w:start w:val="0"/>
      <w:numFmt w:val="bullet"/>
      <w:lvlText w:val="•"/>
      <w:lvlJc w:val="left"/>
      <w:pPr>
        <w:ind w:left="3593" w:hanging="738"/>
      </w:pPr>
      <w:rPr>
        <w:rFonts w:hint="default"/>
      </w:rPr>
    </w:lvl>
    <w:lvl w:ilvl="5">
      <w:start w:val="0"/>
      <w:numFmt w:val="bullet"/>
      <w:lvlText w:val="•"/>
      <w:lvlJc w:val="left"/>
      <w:pPr>
        <w:ind w:left="4281" w:hanging="738"/>
      </w:pPr>
      <w:rPr>
        <w:rFonts w:hint="default"/>
      </w:rPr>
    </w:lvl>
    <w:lvl w:ilvl="6">
      <w:start w:val="0"/>
      <w:numFmt w:val="bullet"/>
      <w:lvlText w:val="•"/>
      <w:lvlJc w:val="left"/>
      <w:pPr>
        <w:ind w:left="4969" w:hanging="738"/>
      </w:pPr>
      <w:rPr>
        <w:rFonts w:hint="default"/>
      </w:rPr>
    </w:lvl>
    <w:lvl w:ilvl="7">
      <w:start w:val="0"/>
      <w:numFmt w:val="bullet"/>
      <w:lvlText w:val="•"/>
      <w:lvlJc w:val="left"/>
      <w:pPr>
        <w:ind w:left="5658" w:hanging="738"/>
      </w:pPr>
      <w:rPr>
        <w:rFonts w:hint="default"/>
      </w:rPr>
    </w:lvl>
    <w:lvl w:ilvl="8">
      <w:start w:val="0"/>
      <w:numFmt w:val="bullet"/>
      <w:lvlText w:val="•"/>
      <w:lvlJc w:val="left"/>
      <w:pPr>
        <w:ind w:left="6346" w:hanging="738"/>
      </w:pPr>
      <w:rPr>
        <w:rFonts w:hint="default"/>
      </w:rPr>
    </w:lvl>
  </w:abstractNum>
  <w:abstractNum w:abstractNumId="17">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6">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5">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4">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921"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5" w:hanging="721"/>
      </w:pPr>
      <w:rPr>
        <w:rFonts w:hint="default"/>
      </w:rPr>
    </w:lvl>
  </w:abstractNum>
  <w:abstractNum w:abstractNumId="10">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869" w:hanging="721"/>
        <w:jc w:val="left"/>
      </w:pPr>
      <w:rPr>
        <w:rFonts w:hint="default" w:ascii="黑体" w:hAnsi="黑体" w:eastAsia="黑体" w:cs="黑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6" w:hanging="721"/>
      </w:pPr>
      <w:rPr>
        <w:rFonts w:hint="default"/>
      </w:rPr>
    </w:lvl>
    <w:lvl w:ilvl="5">
      <w:start w:val="0"/>
      <w:numFmt w:val="bullet"/>
      <w:lvlText w:val="•"/>
      <w:lvlJc w:val="left"/>
      <w:pPr>
        <w:ind w:left="4280" w:hanging="721"/>
      </w:pPr>
      <w:rPr>
        <w:rFonts w:hint="default"/>
      </w:rPr>
    </w:lvl>
    <w:lvl w:ilvl="6">
      <w:start w:val="0"/>
      <w:numFmt w:val="bullet"/>
      <w:lvlText w:val="•"/>
      <w:lvlJc w:val="left"/>
      <w:pPr>
        <w:ind w:left="4964" w:hanging="721"/>
      </w:pPr>
      <w:rPr>
        <w:rFonts w:hint="default"/>
      </w:rPr>
    </w:lvl>
    <w:lvl w:ilvl="7">
      <w:start w:val="0"/>
      <w:numFmt w:val="bullet"/>
      <w:lvlText w:val="•"/>
      <w:lvlJc w:val="left"/>
      <w:pPr>
        <w:ind w:left="5648" w:hanging="721"/>
      </w:pPr>
      <w:rPr>
        <w:rFonts w:hint="default"/>
      </w:rPr>
    </w:lvl>
    <w:lvl w:ilvl="8">
      <w:start w:val="0"/>
      <w:numFmt w:val="bullet"/>
      <w:lvlText w:val="•"/>
      <w:lvlJc w:val="left"/>
      <w:pPr>
        <w:ind w:left="6332" w:hanging="721"/>
      </w:pPr>
      <w:rPr>
        <w:rFonts w:hint="default"/>
      </w:rPr>
    </w:lvl>
  </w:abstractNum>
  <w:abstractNum w:abstractNumId="8">
    <w:multiLevelType w:val="hybridMultilevel"/>
    <w:lvl w:ilvl="0">
      <w:start w:val="10"/>
      <w:numFmt w:val="decimal"/>
      <w:lvlText w:val="%1"/>
      <w:lvlJc w:val="left"/>
      <w:pPr>
        <w:ind w:left="720" w:hanging="526"/>
        <w:jc w:val="left"/>
      </w:pPr>
      <w:rPr>
        <w:rFonts w:hint="default"/>
      </w:rPr>
    </w:lvl>
    <w:lvl w:ilvl="1">
      <w:start w:val="4"/>
      <w:numFmt w:val="decimal"/>
      <w:lvlText w:val="%1.%2"/>
      <w:lvlJc w:val="left"/>
      <w:pPr>
        <w:ind w:left="720" w:hanging="526"/>
        <w:jc w:val="left"/>
      </w:pPr>
      <w:rPr>
        <w:rFonts w:hint="default" w:ascii="宋体" w:hAnsi="宋体" w:eastAsia="宋体" w:cs="宋体"/>
        <w:w w:val="100"/>
        <w:sz w:val="21"/>
        <w:szCs w:val="21"/>
      </w:rPr>
    </w:lvl>
    <w:lvl w:ilvl="2">
      <w:start w:val="0"/>
      <w:numFmt w:val="bullet"/>
      <w:lvlText w:val="•"/>
      <w:lvlJc w:val="left"/>
      <w:pPr>
        <w:ind w:left="1412" w:hanging="526"/>
      </w:pPr>
      <w:rPr>
        <w:rFonts w:hint="default"/>
      </w:rPr>
    </w:lvl>
    <w:lvl w:ilvl="3">
      <w:start w:val="0"/>
      <w:numFmt w:val="bullet"/>
      <w:lvlText w:val="•"/>
      <w:lvlJc w:val="left"/>
      <w:pPr>
        <w:ind w:left="1758" w:hanging="526"/>
      </w:pPr>
      <w:rPr>
        <w:rFonts w:hint="default"/>
      </w:rPr>
    </w:lvl>
    <w:lvl w:ilvl="4">
      <w:start w:val="0"/>
      <w:numFmt w:val="bullet"/>
      <w:lvlText w:val="•"/>
      <w:lvlJc w:val="left"/>
      <w:pPr>
        <w:ind w:left="2104" w:hanging="526"/>
      </w:pPr>
      <w:rPr>
        <w:rFonts w:hint="default"/>
      </w:rPr>
    </w:lvl>
    <w:lvl w:ilvl="5">
      <w:start w:val="0"/>
      <w:numFmt w:val="bullet"/>
      <w:lvlText w:val="•"/>
      <w:lvlJc w:val="left"/>
      <w:pPr>
        <w:ind w:left="2450" w:hanging="526"/>
      </w:pPr>
      <w:rPr>
        <w:rFonts w:hint="default"/>
      </w:rPr>
    </w:lvl>
    <w:lvl w:ilvl="6">
      <w:start w:val="0"/>
      <w:numFmt w:val="bullet"/>
      <w:lvlText w:val="•"/>
      <w:lvlJc w:val="left"/>
      <w:pPr>
        <w:ind w:left="2796"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488" w:hanging="526"/>
      </w:pPr>
      <w:rPr>
        <w:rFonts w:hint="default"/>
      </w:rPr>
    </w:lvl>
  </w:abstractNum>
  <w:abstractNum w:abstractNumId="7">
    <w:multiLevelType w:val="hybridMultilevel"/>
    <w:lvl w:ilvl="0">
      <w:start w:val="10"/>
      <w:numFmt w:val="decimal"/>
      <w:lvlText w:val="%1"/>
      <w:lvlJc w:val="left"/>
      <w:pPr>
        <w:ind w:left="831" w:hanging="474"/>
        <w:jc w:val="left"/>
      </w:pPr>
      <w:rPr>
        <w:rFonts w:hint="default"/>
      </w:rPr>
    </w:lvl>
    <w:lvl w:ilvl="1">
      <w:start w:val="1"/>
      <w:numFmt w:val="decimal"/>
      <w:lvlText w:val="%1.%2"/>
      <w:lvlJc w:val="left"/>
      <w:pPr>
        <w:ind w:left="831" w:hanging="474"/>
        <w:jc w:val="left"/>
      </w:pPr>
      <w:rPr>
        <w:rFonts w:hint="default" w:ascii="宋体" w:hAnsi="宋体" w:eastAsia="宋体" w:cs="宋体"/>
        <w:w w:val="100"/>
        <w:sz w:val="21"/>
        <w:szCs w:val="21"/>
      </w:rPr>
    </w:lvl>
    <w:lvl w:ilvl="2">
      <w:start w:val="0"/>
      <w:numFmt w:val="bullet"/>
      <w:lvlText w:val="•"/>
      <w:lvlJc w:val="left"/>
      <w:pPr>
        <w:ind w:left="1328" w:hanging="474"/>
      </w:pPr>
      <w:rPr>
        <w:rFonts w:hint="default"/>
      </w:rPr>
    </w:lvl>
    <w:lvl w:ilvl="3">
      <w:start w:val="0"/>
      <w:numFmt w:val="bullet"/>
      <w:lvlText w:val="•"/>
      <w:lvlJc w:val="left"/>
      <w:pPr>
        <w:ind w:left="1572" w:hanging="474"/>
      </w:pPr>
      <w:rPr>
        <w:rFonts w:hint="default"/>
      </w:rPr>
    </w:lvl>
    <w:lvl w:ilvl="4">
      <w:start w:val="0"/>
      <w:numFmt w:val="bullet"/>
      <w:lvlText w:val="•"/>
      <w:lvlJc w:val="left"/>
      <w:pPr>
        <w:ind w:left="1816" w:hanging="474"/>
      </w:pPr>
      <w:rPr>
        <w:rFonts w:hint="default"/>
      </w:rPr>
    </w:lvl>
    <w:lvl w:ilvl="5">
      <w:start w:val="0"/>
      <w:numFmt w:val="bullet"/>
      <w:lvlText w:val="•"/>
      <w:lvlJc w:val="left"/>
      <w:pPr>
        <w:ind w:left="2061" w:hanging="474"/>
      </w:pPr>
      <w:rPr>
        <w:rFonts w:hint="default"/>
      </w:rPr>
    </w:lvl>
    <w:lvl w:ilvl="6">
      <w:start w:val="0"/>
      <w:numFmt w:val="bullet"/>
      <w:lvlText w:val="•"/>
      <w:lvlJc w:val="left"/>
      <w:pPr>
        <w:ind w:left="2305" w:hanging="474"/>
      </w:pPr>
      <w:rPr>
        <w:rFonts w:hint="default"/>
      </w:rPr>
    </w:lvl>
    <w:lvl w:ilvl="7">
      <w:start w:val="0"/>
      <w:numFmt w:val="bullet"/>
      <w:lvlText w:val="•"/>
      <w:lvlJc w:val="left"/>
      <w:pPr>
        <w:ind w:left="2549" w:hanging="474"/>
      </w:pPr>
      <w:rPr>
        <w:rFonts w:hint="default"/>
      </w:rPr>
    </w:lvl>
    <w:lvl w:ilvl="8">
      <w:start w:val="0"/>
      <w:numFmt w:val="bullet"/>
      <w:lvlText w:val="•"/>
      <w:lvlJc w:val="left"/>
      <w:pPr>
        <w:ind w:left="2793" w:hanging="474"/>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4">
    <w:multiLevelType w:val="hybridMultilevel"/>
    <w:lvl w:ilvl="0">
      <w:start w:val="4"/>
      <w:numFmt w:val="decimal"/>
      <w:lvlText w:val="%1"/>
      <w:lvlJc w:val="left"/>
      <w:pPr>
        <w:ind w:left="778" w:hanging="419"/>
        <w:jc w:val="left"/>
      </w:pPr>
      <w:rPr>
        <w:rFonts w:hint="default"/>
      </w:rPr>
    </w:lvl>
    <w:lvl w:ilvl="1">
      <w:start w:val="1"/>
      <w:numFmt w:val="decimal"/>
      <w:lvlText w:val="%1.%2"/>
      <w:lvlJc w:val="left"/>
      <w:pPr>
        <w:ind w:left="778" w:hanging="419"/>
        <w:jc w:val="left"/>
      </w:pPr>
      <w:rPr>
        <w:rFonts w:hint="default" w:ascii="宋体" w:hAnsi="宋体" w:eastAsia="宋体" w:cs="宋体"/>
        <w:spacing w:val="-3"/>
        <w:w w:val="100"/>
        <w:sz w:val="21"/>
        <w:szCs w:val="21"/>
      </w:rPr>
    </w:lvl>
    <w:lvl w:ilvl="2">
      <w:start w:val="0"/>
      <w:numFmt w:val="bullet"/>
      <w:lvlText w:val="•"/>
      <w:lvlJc w:val="left"/>
      <w:pPr>
        <w:ind w:left="1280" w:hanging="419"/>
      </w:pPr>
      <w:rPr>
        <w:rFonts w:hint="default"/>
      </w:rPr>
    </w:lvl>
    <w:lvl w:ilvl="3">
      <w:start w:val="0"/>
      <w:numFmt w:val="bullet"/>
      <w:lvlText w:val="•"/>
      <w:lvlJc w:val="left"/>
      <w:pPr>
        <w:ind w:left="1530" w:hanging="419"/>
      </w:pPr>
      <w:rPr>
        <w:rFonts w:hint="default"/>
      </w:rPr>
    </w:lvl>
    <w:lvl w:ilvl="4">
      <w:start w:val="0"/>
      <w:numFmt w:val="bullet"/>
      <w:lvlText w:val="•"/>
      <w:lvlJc w:val="left"/>
      <w:pPr>
        <w:ind w:left="1780" w:hanging="419"/>
      </w:pPr>
      <w:rPr>
        <w:rFonts w:hint="default"/>
      </w:rPr>
    </w:lvl>
    <w:lvl w:ilvl="5">
      <w:start w:val="0"/>
      <w:numFmt w:val="bullet"/>
      <w:lvlText w:val="•"/>
      <w:lvlJc w:val="left"/>
      <w:pPr>
        <w:ind w:left="2031" w:hanging="419"/>
      </w:pPr>
      <w:rPr>
        <w:rFonts w:hint="default"/>
      </w:rPr>
    </w:lvl>
    <w:lvl w:ilvl="6">
      <w:start w:val="0"/>
      <w:numFmt w:val="bullet"/>
      <w:lvlText w:val="•"/>
      <w:lvlJc w:val="left"/>
      <w:pPr>
        <w:ind w:left="2281" w:hanging="419"/>
      </w:pPr>
      <w:rPr>
        <w:rFonts w:hint="default"/>
      </w:rPr>
    </w:lvl>
    <w:lvl w:ilvl="7">
      <w:start w:val="0"/>
      <w:numFmt w:val="bullet"/>
      <w:lvlText w:val="•"/>
      <w:lvlJc w:val="left"/>
      <w:pPr>
        <w:ind w:left="2531" w:hanging="419"/>
      </w:pPr>
      <w:rPr>
        <w:rFonts w:hint="default"/>
      </w:rPr>
    </w:lvl>
    <w:lvl w:ilvl="8">
      <w:start w:val="0"/>
      <w:numFmt w:val="bullet"/>
      <w:lvlText w:val="•"/>
      <w:lvlJc w:val="left"/>
      <w:pPr>
        <w:ind w:left="2781" w:hanging="419"/>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2018-10-19T21:39:27Z</dcterms:created>
  <dcterms:modified xsi:type="dcterms:W3CDTF">2018-10-19T21:39:27Z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