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8"/>
        <w:ind w:left="0" w:right="99" w:firstLine="0"/>
        <w:jc w:val="right"/>
        <w:rPr>
          <w:sz w:val="12"/>
        </w:rPr>
      </w:pPr>
      <w:r>
        <w:rPr/>
        <w:drawing>
          <wp:anchor distT="0" distB="0" distL="0" distR="0" allowOverlap="1" layoutInCell="1" locked="0" behindDoc="0" simplePos="0" relativeHeight="1120">
            <wp:simplePos x="0" y="0"/>
            <wp:positionH relativeFrom="page">
              <wp:posOffset>6458584</wp:posOffset>
            </wp:positionH>
            <wp:positionV relativeFrom="paragraph">
              <wp:posOffset>179931</wp:posOffset>
            </wp:positionV>
            <wp:extent cx="723899"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anchor>
        </w:drawing>
      </w:r>
      <w:r>
        <w:rPr>
          <w:sz w:val="12"/>
        </w:rPr>
        <w:t>国联人寿〔2015〕疾病保险 065 号</w:t>
      </w:r>
    </w:p>
    <w:p>
      <w:pPr>
        <w:pStyle w:val="BodyText"/>
        <w:rPr>
          <w:sz w:val="20"/>
        </w:rPr>
      </w:pPr>
    </w:p>
    <w:p>
      <w:pPr>
        <w:pStyle w:val="BodyText"/>
        <w:rPr>
          <w:sz w:val="20"/>
        </w:rPr>
      </w:pPr>
    </w:p>
    <w:p>
      <w:pPr>
        <w:pStyle w:val="BodyText"/>
        <w:rPr>
          <w:sz w:val="20"/>
        </w:rPr>
      </w:pPr>
    </w:p>
    <w:p>
      <w:pPr>
        <w:pStyle w:val="BodyText"/>
        <w:spacing w:before="3"/>
        <w:rPr>
          <w:sz w:val="16"/>
        </w:rPr>
      </w:pPr>
    </w:p>
    <w:p>
      <w:pPr>
        <w:spacing w:after="0"/>
        <w:rPr>
          <w:sz w:val="16"/>
        </w:rPr>
        <w:sectPr>
          <w:type w:val="continuous"/>
          <w:pgSz w:w="11910" w:h="16840"/>
          <w:pgMar w:top="120" w:bottom="280" w:left="1340" w:right="160"/>
        </w:sectPr>
      </w:pPr>
    </w:p>
    <w:p>
      <w:pPr>
        <w:pStyle w:val="Heading1"/>
        <w:spacing w:line="225" w:lineRule="auto"/>
        <w:jc w:val="center"/>
      </w:pPr>
      <w:r>
        <w:rPr>
          <w:w w:val="95"/>
        </w:rPr>
        <w:t>国联人寿保险股份有限公司附加个人重大疾病保险条款</w:t>
      </w:r>
    </w:p>
    <w:p>
      <w:pPr>
        <w:spacing w:before="107"/>
        <w:ind w:left="1826" w:right="0" w:firstLine="0"/>
        <w:jc w:val="center"/>
        <w:rPr>
          <w:rFonts w:ascii="黑体" w:eastAsia="黑体" w:hint="eastAsia"/>
          <w:b/>
          <w:sz w:val="28"/>
        </w:rPr>
      </w:pPr>
      <w:r>
        <w:rPr>
          <w:rFonts w:ascii="黑体" w:eastAsia="黑体" w:hint="eastAsia"/>
          <w:b/>
          <w:sz w:val="28"/>
        </w:rPr>
        <w:t>阅 读 指 引</w:t>
      </w:r>
    </w:p>
    <w:p>
      <w:pPr>
        <w:pStyle w:val="BodyText"/>
        <w:spacing w:before="11"/>
        <w:ind w:left="1823"/>
        <w:jc w:val="center"/>
      </w:pPr>
      <w:r>
        <w:rPr>
          <w:spacing w:val="-128"/>
        </w:rPr>
        <w:t>本</w:t>
      </w:r>
      <w:r>
        <w:rPr>
          <w:spacing w:val="-53"/>
          <w:position w:val="-6"/>
        </w:rPr>
        <w:t>．</w:t>
      </w:r>
      <w:r>
        <w:rPr>
          <w:spacing w:val="-128"/>
        </w:rPr>
        <w:t>阅</w:t>
      </w:r>
      <w:r>
        <w:rPr>
          <w:spacing w:val="-53"/>
          <w:position w:val="-6"/>
        </w:rPr>
        <w:t>．</w:t>
      </w:r>
      <w:r>
        <w:rPr>
          <w:spacing w:val="-128"/>
        </w:rPr>
        <w:t>读</w:t>
      </w:r>
      <w:r>
        <w:rPr>
          <w:spacing w:val="-53"/>
          <w:position w:val="-6"/>
        </w:rPr>
        <w:t>．</w:t>
      </w:r>
      <w:r>
        <w:rPr>
          <w:spacing w:val="-128"/>
        </w:rPr>
        <w:t>指</w:t>
      </w:r>
      <w:r>
        <w:rPr>
          <w:spacing w:val="-53"/>
          <w:position w:val="-6"/>
        </w:rPr>
        <w:t>．</w:t>
      </w:r>
      <w:r>
        <w:rPr>
          <w:spacing w:val="-127"/>
        </w:rPr>
        <w:t>引</w:t>
      </w:r>
      <w:r>
        <w:rPr>
          <w:spacing w:val="-54"/>
          <w:position w:val="-6"/>
        </w:rPr>
        <w:t>．</w:t>
      </w:r>
      <w:r>
        <w:rPr>
          <w:spacing w:val="-127"/>
        </w:rPr>
        <w:t>有</w:t>
      </w:r>
      <w:r>
        <w:rPr>
          <w:spacing w:val="-54"/>
          <w:position w:val="-6"/>
        </w:rPr>
        <w:t>．</w:t>
      </w:r>
      <w:r>
        <w:rPr>
          <w:spacing w:val="-127"/>
        </w:rPr>
        <w:t>助</w:t>
      </w:r>
      <w:r>
        <w:rPr>
          <w:spacing w:val="-54"/>
          <w:position w:val="-6"/>
        </w:rPr>
        <w:t>．</w:t>
      </w:r>
      <w:r>
        <w:rPr>
          <w:spacing w:val="-127"/>
        </w:rPr>
        <w:t>于</w:t>
      </w:r>
      <w:r>
        <w:rPr>
          <w:spacing w:val="-54"/>
          <w:position w:val="-6"/>
        </w:rPr>
        <w:t>．</w:t>
      </w:r>
      <w:r>
        <w:rPr>
          <w:spacing w:val="-127"/>
        </w:rPr>
        <w:t>理</w:t>
      </w:r>
      <w:r>
        <w:rPr>
          <w:spacing w:val="-54"/>
          <w:position w:val="-6"/>
        </w:rPr>
        <w:t>．</w:t>
      </w:r>
      <w:r>
        <w:rPr>
          <w:spacing w:val="-127"/>
        </w:rPr>
        <w:t>解</w:t>
      </w:r>
      <w:r>
        <w:rPr>
          <w:spacing w:val="-54"/>
          <w:position w:val="-6"/>
        </w:rPr>
        <w:t>．</w:t>
      </w:r>
      <w:r>
        <w:rPr>
          <w:spacing w:val="-127"/>
        </w:rPr>
        <w:t>条</w:t>
      </w:r>
      <w:r>
        <w:rPr>
          <w:spacing w:val="-54"/>
          <w:position w:val="-6"/>
        </w:rPr>
        <w:t>．</w:t>
      </w:r>
      <w:r>
        <w:rPr>
          <w:spacing w:val="-127"/>
        </w:rPr>
        <w:t>款</w:t>
      </w:r>
      <w:r>
        <w:rPr>
          <w:spacing w:val="-54"/>
          <w:position w:val="-6"/>
        </w:rPr>
        <w:t>．</w:t>
      </w:r>
      <w:r>
        <w:rPr>
          <w:spacing w:val="-127"/>
        </w:rPr>
        <w:t>，</w:t>
      </w:r>
      <w:r>
        <w:rPr>
          <w:spacing w:val="-54"/>
          <w:position w:val="-6"/>
        </w:rPr>
        <w:t>．</w:t>
      </w:r>
      <w:r>
        <w:rPr>
          <w:spacing w:val="-127"/>
        </w:rPr>
        <w:t>对</w:t>
      </w:r>
      <w:r>
        <w:rPr>
          <w:spacing w:val="-53"/>
          <w:position w:val="-6"/>
        </w:rPr>
        <w:t>．</w:t>
      </w:r>
      <w:r>
        <w:rPr>
          <w:spacing w:val="-128"/>
        </w:rPr>
        <w:t>本</w:t>
      </w:r>
      <w:r>
        <w:rPr>
          <w:spacing w:val="-53"/>
          <w:position w:val="-6"/>
        </w:rPr>
        <w:t>．</w:t>
      </w:r>
      <w:r>
        <w:rPr>
          <w:spacing w:val="-128"/>
        </w:rPr>
        <w:t>附</w:t>
      </w:r>
      <w:r>
        <w:rPr>
          <w:spacing w:val="-53"/>
          <w:position w:val="-6"/>
        </w:rPr>
        <w:t>．</w:t>
      </w:r>
      <w:r>
        <w:rPr>
          <w:spacing w:val="-128"/>
        </w:rPr>
        <w:t>加</w:t>
      </w:r>
      <w:r>
        <w:rPr>
          <w:spacing w:val="-53"/>
          <w:position w:val="-6"/>
        </w:rPr>
        <w:t>．</w:t>
      </w:r>
      <w:r>
        <w:rPr>
          <w:spacing w:val="-128"/>
        </w:rPr>
        <w:t>险</w:t>
      </w:r>
      <w:r>
        <w:rPr>
          <w:spacing w:val="-53"/>
          <w:position w:val="-6"/>
        </w:rPr>
        <w:t>．</w:t>
      </w:r>
      <w:r>
        <w:rPr>
          <w:spacing w:val="-127"/>
        </w:rPr>
        <w:t>合</w:t>
      </w:r>
      <w:r>
        <w:rPr>
          <w:spacing w:val="-54"/>
          <w:position w:val="-6"/>
        </w:rPr>
        <w:t>．</w:t>
      </w:r>
      <w:r>
        <w:rPr>
          <w:spacing w:val="-127"/>
        </w:rPr>
        <w:t>同</w:t>
      </w:r>
      <w:r>
        <w:rPr>
          <w:spacing w:val="-53"/>
          <w:position w:val="-6"/>
        </w:rPr>
        <w:t>．</w:t>
      </w:r>
      <w:r>
        <w:rPr>
          <w:spacing w:val="-128"/>
        </w:rPr>
        <w:t>内</w:t>
      </w:r>
      <w:r>
        <w:rPr>
          <w:spacing w:val="-53"/>
          <w:position w:val="-6"/>
        </w:rPr>
        <w:t>．</w:t>
      </w:r>
      <w:r>
        <w:rPr>
          <w:spacing w:val="-128"/>
        </w:rPr>
        <w:t>容</w:t>
      </w:r>
      <w:r>
        <w:rPr>
          <w:spacing w:val="-53"/>
          <w:position w:val="-6"/>
        </w:rPr>
        <w:t>．</w:t>
      </w:r>
      <w:r>
        <w:rPr>
          <w:spacing w:val="-128"/>
        </w:rPr>
        <w:t>的</w:t>
      </w:r>
      <w:r>
        <w:rPr>
          <w:spacing w:val="-53"/>
          <w:position w:val="-6"/>
        </w:rPr>
        <w:t>．</w:t>
      </w:r>
      <w:r>
        <w:rPr>
          <w:spacing w:val="-128"/>
        </w:rPr>
        <w:t>解</w:t>
      </w:r>
      <w:r>
        <w:rPr>
          <w:spacing w:val="-53"/>
          <w:position w:val="-6"/>
        </w:rPr>
        <w:t>．</w:t>
      </w:r>
      <w:r>
        <w:rPr>
          <w:spacing w:val="-128"/>
        </w:rPr>
        <w:t>释</w:t>
      </w:r>
      <w:r>
        <w:rPr>
          <w:spacing w:val="-53"/>
          <w:position w:val="-6"/>
        </w:rPr>
        <w:t>．</w:t>
      </w:r>
      <w:r>
        <w:rPr>
          <w:spacing w:val="-128"/>
        </w:rPr>
        <w:t>以</w:t>
      </w:r>
      <w:r>
        <w:rPr>
          <w:spacing w:val="-53"/>
          <w:position w:val="-6"/>
        </w:rPr>
        <w:t>．</w:t>
      </w:r>
      <w:r>
        <w:rPr>
          <w:spacing w:val="-128"/>
        </w:rPr>
        <w:t>条</w:t>
      </w:r>
      <w:r>
        <w:rPr>
          <w:spacing w:val="-53"/>
          <w:position w:val="-6"/>
        </w:rPr>
        <w:t>．</w:t>
      </w:r>
      <w:r>
        <w:rPr>
          <w:spacing w:val="-128"/>
        </w:rPr>
        <w:t>款</w:t>
      </w:r>
      <w:r>
        <w:rPr>
          <w:spacing w:val="-53"/>
          <w:position w:val="-6"/>
        </w:rPr>
        <w:t>．</w:t>
      </w:r>
      <w:r>
        <w:rPr>
          <w:spacing w:val="-128"/>
        </w:rPr>
        <w:t>为</w:t>
      </w:r>
      <w:r>
        <w:rPr>
          <w:spacing w:val="-53"/>
          <w:position w:val="-6"/>
        </w:rPr>
        <w:t>．</w:t>
      </w:r>
      <w:r>
        <w:rPr>
          <w:spacing w:val="-128"/>
        </w:rPr>
        <w:t>准</w:t>
      </w:r>
      <w:r>
        <w:rPr>
          <w:spacing w:val="-53"/>
          <w:position w:val="-6"/>
        </w:rPr>
        <w:t>．</w:t>
      </w:r>
      <w:r>
        <w:rPr/>
        <w:t>。</w:t>
      </w:r>
    </w:p>
    <w:p>
      <w:pPr>
        <w:tabs>
          <w:tab w:pos="762" w:val="left" w:leader="none"/>
        </w:tabs>
        <w:spacing w:line="524" w:lineRule="exact" w:before="126"/>
        <w:ind w:left="100" w:right="0" w:firstLine="0"/>
        <w:jc w:val="left"/>
        <w:rPr>
          <w:rFonts w:ascii="黑体" w:hAnsi="黑体" w:eastAsia="黑体" w:hint="eastAsia"/>
          <w:b/>
          <w:sz w:val="21"/>
        </w:rPr>
      </w:pPr>
      <w:r>
        <w:rPr/>
        <w:drawing>
          <wp:anchor distT="0" distB="0" distL="0" distR="0" allowOverlap="1" layoutInCell="1" locked="0" behindDoc="1" simplePos="0" relativeHeight="268408583">
            <wp:simplePos x="0" y="0"/>
            <wp:positionH relativeFrom="page">
              <wp:posOffset>1202740</wp:posOffset>
            </wp:positionH>
            <wp:positionV relativeFrom="paragraph">
              <wp:posOffset>222653</wp:posOffset>
            </wp:positionV>
            <wp:extent cx="265175" cy="179831"/>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65175" cy="179831"/>
                    </a:xfrm>
                    <a:prstGeom prst="rect">
                      <a:avLst/>
                    </a:prstGeom>
                  </pic:spPr>
                </pic:pic>
              </a:graphicData>
            </a:graphic>
          </wp:anchor>
        </w:drawing>
      </w:r>
      <w:r>
        <w:rPr>
          <w:rFonts w:ascii="Arial" w:hAnsi="Arial" w:eastAsia="Arial"/>
          <w:b/>
          <w:w w:val="105"/>
          <w:position w:val="-11"/>
          <w:sz w:val="48"/>
        </w:rPr>
        <w:t></w:t>
        <w:tab/>
      </w:r>
      <w:r>
        <w:rPr>
          <w:rFonts w:ascii="黑体" w:hAnsi="黑体" w:eastAsia="黑体" w:hint="eastAsia"/>
          <w:b/>
          <w:sz w:val="21"/>
        </w:rPr>
        <w:t>您拥有的重要权益</w:t>
      </w:r>
    </w:p>
    <w:p>
      <w:pPr>
        <w:pStyle w:val="BodyText"/>
        <w:rPr>
          <w:rFonts w:ascii="黑体"/>
          <w:b/>
          <w:sz w:val="12"/>
        </w:rPr>
      </w:pPr>
      <w:r>
        <w:rPr/>
        <w:br w:type="column"/>
      </w:r>
      <w:r>
        <w:rPr>
          <w:rFonts w:ascii="黑体"/>
          <w:b/>
          <w:sz w:val="12"/>
        </w:rPr>
      </w:r>
    </w:p>
    <w:p>
      <w:pPr>
        <w:pStyle w:val="BodyText"/>
        <w:spacing w:before="4"/>
        <w:rPr>
          <w:rFonts w:ascii="黑体"/>
          <w:b/>
          <w:sz w:val="8"/>
        </w:rPr>
      </w:pPr>
    </w:p>
    <w:p>
      <w:pPr>
        <w:spacing w:before="0"/>
        <w:ind w:left="100" w:right="0" w:firstLine="0"/>
        <w:jc w:val="left"/>
        <w:rPr>
          <w:sz w:val="12"/>
        </w:rPr>
      </w:pPr>
      <w:r>
        <w:rPr>
          <w:sz w:val="12"/>
        </w:rPr>
        <w:t>请扫描以查询验证条款</w:t>
      </w:r>
    </w:p>
    <w:p>
      <w:pPr>
        <w:spacing w:after="0"/>
        <w:jc w:val="left"/>
        <w:rPr>
          <w:sz w:val="12"/>
        </w:rPr>
        <w:sectPr>
          <w:type w:val="continuous"/>
          <w:pgSz w:w="11910" w:h="16840"/>
          <w:pgMar w:top="120" w:bottom="280" w:left="1340" w:right="160"/>
          <w:cols w:num="2" w:equalWidth="0">
            <w:col w:w="7405" w:space="1296"/>
            <w:col w:w="1709"/>
          </w:cols>
        </w:sectPr>
      </w:pPr>
    </w:p>
    <w:p>
      <w:pPr>
        <w:pStyle w:val="ListParagraph"/>
        <w:numPr>
          <w:ilvl w:val="0"/>
          <w:numId w:val="1"/>
        </w:numPr>
        <w:tabs>
          <w:tab w:pos="823" w:val="left" w:leader="none"/>
          <w:tab w:pos="9287" w:val="right" w:leader="dot"/>
        </w:tabs>
        <w:spacing w:line="200" w:lineRule="exact" w:before="0" w:after="0"/>
        <w:ind w:left="822" w:right="0" w:hanging="357"/>
        <w:jc w:val="left"/>
        <w:rPr>
          <w:sz w:val="18"/>
        </w:rPr>
      </w:pPr>
      <w:r>
        <w:rPr>
          <w:sz w:val="18"/>
        </w:rPr>
        <w:t>本附加险合同提供的保障在保险责任条款中列明</w:t>
        <w:tab/>
        <w:t>2.3</w:t>
      </w:r>
    </w:p>
    <w:p>
      <w:pPr>
        <w:pStyle w:val="ListParagraph"/>
        <w:numPr>
          <w:ilvl w:val="0"/>
          <w:numId w:val="1"/>
        </w:numPr>
        <w:tabs>
          <w:tab w:pos="823" w:val="left" w:leader="none"/>
          <w:tab w:pos="9289" w:val="right" w:leader="dot"/>
        </w:tabs>
        <w:spacing w:line="235" w:lineRule="exact" w:before="85" w:after="0"/>
        <w:ind w:left="822" w:right="0" w:hanging="357"/>
        <w:jc w:val="left"/>
        <w:rPr>
          <w:sz w:val="18"/>
        </w:rPr>
      </w:pPr>
      <w:r>
        <w:rPr>
          <w:sz w:val="18"/>
        </w:rPr>
        <w:t>您有退保的权利</w:t>
        <w:tab/>
        <w:t>5.1</w:t>
      </w:r>
    </w:p>
    <w:p>
      <w:pPr>
        <w:tabs>
          <w:tab w:pos="762" w:val="left" w:leader="none"/>
        </w:tabs>
        <w:spacing w:line="485" w:lineRule="exact" w:before="0"/>
        <w:ind w:left="100" w:right="0" w:firstLine="0"/>
        <w:jc w:val="left"/>
        <w:rPr>
          <w:rFonts w:ascii="黑体" w:hAnsi="黑体" w:eastAsia="黑体" w:hint="eastAsia"/>
          <w:b/>
          <w:sz w:val="21"/>
        </w:rPr>
      </w:pPr>
      <w:r>
        <w:rPr/>
        <w:drawing>
          <wp:anchor distT="0" distB="0" distL="0" distR="0" allowOverlap="1" layoutInCell="1" locked="0" behindDoc="1" simplePos="0" relativeHeight="268408607">
            <wp:simplePos x="0" y="0"/>
            <wp:positionH relativeFrom="page">
              <wp:posOffset>1202740</wp:posOffset>
            </wp:positionH>
            <wp:positionV relativeFrom="paragraph">
              <wp:posOffset>133942</wp:posOffset>
            </wp:positionV>
            <wp:extent cx="265175" cy="179831"/>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265175" cy="179831"/>
                    </a:xfrm>
                    <a:prstGeom prst="rect">
                      <a:avLst/>
                    </a:prstGeom>
                  </pic:spPr>
                </pic:pic>
              </a:graphicData>
            </a:graphic>
          </wp:anchor>
        </w:drawing>
      </w:r>
      <w:r>
        <w:rPr>
          <w:rFonts w:ascii="Arial" w:hAnsi="Arial" w:eastAsia="Arial"/>
          <w:b/>
          <w:w w:val="105"/>
          <w:position w:val="-11"/>
          <w:sz w:val="48"/>
        </w:rPr>
        <w:t></w:t>
        <w:tab/>
      </w:r>
      <w:r>
        <w:rPr>
          <w:rFonts w:ascii="黑体" w:hAnsi="黑体" w:eastAsia="黑体" w:hint="eastAsia"/>
          <w:b/>
          <w:spacing w:val="-1"/>
          <w:sz w:val="21"/>
        </w:rPr>
        <w:t>您应当特别注意的事项</w:t>
      </w:r>
    </w:p>
    <w:p>
      <w:pPr>
        <w:pStyle w:val="ListParagraph"/>
        <w:numPr>
          <w:ilvl w:val="0"/>
          <w:numId w:val="1"/>
        </w:numPr>
        <w:tabs>
          <w:tab w:pos="823" w:val="left" w:leader="none"/>
          <w:tab w:pos="9287" w:val="right" w:leader="dot"/>
        </w:tabs>
        <w:spacing w:line="195" w:lineRule="exact" w:before="0" w:after="0"/>
        <w:ind w:left="822" w:right="0" w:hanging="357"/>
        <w:jc w:val="left"/>
        <w:rPr>
          <w:sz w:val="18"/>
        </w:rPr>
      </w:pPr>
      <w:r>
        <w:rPr>
          <w:sz w:val="18"/>
        </w:rPr>
        <w:t>本附加险合同有责任免除条款，请注意</w:t>
        <w:tab/>
        <w:t>2.4</w:t>
      </w:r>
    </w:p>
    <w:p>
      <w:pPr>
        <w:pStyle w:val="ListParagraph"/>
        <w:numPr>
          <w:ilvl w:val="0"/>
          <w:numId w:val="1"/>
        </w:numPr>
        <w:tabs>
          <w:tab w:pos="823" w:val="left" w:leader="none"/>
          <w:tab w:pos="9289" w:val="right" w:leader="dot"/>
        </w:tabs>
        <w:spacing w:line="240" w:lineRule="auto" w:before="70" w:after="0"/>
        <w:ind w:left="822" w:right="0" w:hanging="357"/>
        <w:jc w:val="left"/>
        <w:rPr>
          <w:sz w:val="18"/>
        </w:rPr>
      </w:pPr>
      <w:r>
        <w:rPr>
          <w:sz w:val="18"/>
        </w:rPr>
        <w:t>退保会给您造成一定的损失，请慎重决策</w:t>
        <w:tab/>
        <w:t>5.1</w:t>
      </w:r>
    </w:p>
    <w:p>
      <w:pPr>
        <w:pStyle w:val="ListParagraph"/>
        <w:numPr>
          <w:ilvl w:val="0"/>
          <w:numId w:val="1"/>
        </w:numPr>
        <w:tabs>
          <w:tab w:pos="823" w:val="left" w:leader="none"/>
          <w:tab w:pos="9287" w:val="right" w:leader="dot"/>
        </w:tabs>
        <w:spacing w:line="240" w:lineRule="auto" w:before="70" w:after="0"/>
        <w:ind w:left="822" w:right="0" w:hanging="357"/>
        <w:jc w:val="left"/>
        <w:rPr>
          <w:sz w:val="18"/>
        </w:rPr>
      </w:pPr>
      <w:r>
        <w:rPr>
          <w:sz w:val="18"/>
        </w:rPr>
        <w:t>本附加险合同的某些事项适用主险合同条款，请注意</w:t>
        <w:tab/>
        <w:t>6.2</w:t>
      </w:r>
    </w:p>
    <w:p>
      <w:pPr>
        <w:pStyle w:val="ListParagraph"/>
        <w:numPr>
          <w:ilvl w:val="0"/>
          <w:numId w:val="1"/>
        </w:numPr>
        <w:tabs>
          <w:tab w:pos="823" w:val="left" w:leader="none"/>
          <w:tab w:pos="9287" w:val="right" w:leader="dot"/>
        </w:tabs>
        <w:spacing w:line="231" w:lineRule="exact" w:before="73" w:after="0"/>
        <w:ind w:left="822" w:right="0" w:hanging="357"/>
        <w:jc w:val="left"/>
        <w:rPr>
          <w:sz w:val="18"/>
        </w:rPr>
      </w:pPr>
      <w:r>
        <w:rPr>
          <w:sz w:val="18"/>
        </w:rPr>
        <w:t>我们对一些重要术语进行了解释，并作了显著标识，请注意</w:t>
        <w:tab/>
        <w:t>8</w:t>
      </w:r>
    </w:p>
    <w:p>
      <w:pPr>
        <w:tabs>
          <w:tab w:pos="762" w:val="left" w:leader="none"/>
        </w:tabs>
        <w:spacing w:line="429" w:lineRule="exact" w:before="0"/>
        <w:ind w:left="100" w:right="0" w:firstLine="0"/>
        <w:jc w:val="left"/>
        <w:rPr>
          <w:rFonts w:ascii="黑体" w:hAnsi="黑体" w:eastAsia="黑体" w:hint="eastAsia"/>
          <w:b/>
          <w:sz w:val="21"/>
        </w:rPr>
      </w:pPr>
      <w:r>
        <w:rPr/>
        <w:drawing>
          <wp:anchor distT="0" distB="0" distL="0" distR="0" allowOverlap="1" layoutInCell="1" locked="0" behindDoc="1" simplePos="0" relativeHeight="268408631">
            <wp:simplePos x="0" y="0"/>
            <wp:positionH relativeFrom="page">
              <wp:posOffset>1201216</wp:posOffset>
            </wp:positionH>
            <wp:positionV relativeFrom="paragraph">
              <wp:posOffset>159088</wp:posOffset>
            </wp:positionV>
            <wp:extent cx="268224" cy="134111"/>
            <wp:effectExtent l="0" t="0" r="0" b="0"/>
            <wp:wrapNone/>
            <wp:docPr id="7" name="image3.png" descr=""/>
            <wp:cNvGraphicFramePr>
              <a:graphicFrameLocks noChangeAspect="1"/>
            </wp:cNvGraphicFramePr>
            <a:graphic>
              <a:graphicData uri="http://schemas.openxmlformats.org/drawingml/2006/picture">
                <pic:pic>
                  <pic:nvPicPr>
                    <pic:cNvPr id="8" name="image3.png"/>
                    <pic:cNvPicPr/>
                  </pic:nvPicPr>
                  <pic:blipFill>
                    <a:blip r:embed="rId7" cstate="print"/>
                    <a:stretch>
                      <a:fillRect/>
                    </a:stretch>
                  </pic:blipFill>
                  <pic:spPr>
                    <a:xfrm>
                      <a:off x="0" y="0"/>
                      <a:ext cx="268224" cy="134111"/>
                    </a:xfrm>
                    <a:prstGeom prst="rect">
                      <a:avLst/>
                    </a:prstGeom>
                  </pic:spPr>
                </pic:pic>
              </a:graphicData>
            </a:graphic>
          </wp:anchor>
        </w:drawing>
      </w:r>
      <w:r>
        <w:rPr>
          <w:rFonts w:ascii="Arial" w:hAnsi="Arial" w:eastAsia="Arial"/>
          <w:b/>
          <w:w w:val="105"/>
          <w:position w:val="-11"/>
          <w:sz w:val="48"/>
        </w:rPr>
        <w:t></w:t>
        <w:tab/>
      </w:r>
      <w:r>
        <w:rPr>
          <w:rFonts w:ascii="黑体" w:hAnsi="黑体" w:eastAsia="黑体" w:hint="eastAsia"/>
          <w:b/>
          <w:spacing w:val="-3"/>
          <w:sz w:val="21"/>
        </w:rPr>
        <w:t>保险条款是保险合同的重要内容，为充分保障您的权益，请仔细阅读本附加险条款。</w:t>
      </w:r>
    </w:p>
    <w:p>
      <w:pPr>
        <w:tabs>
          <w:tab w:pos="762" w:val="left" w:leader="none"/>
        </w:tabs>
        <w:spacing w:line="446" w:lineRule="exact" w:before="0"/>
        <w:ind w:left="100" w:right="0" w:firstLine="0"/>
        <w:jc w:val="left"/>
        <w:rPr>
          <w:rFonts w:ascii="黑体" w:hAnsi="黑体" w:eastAsia="黑体" w:hint="eastAsia"/>
          <w:b/>
          <w:sz w:val="21"/>
        </w:rPr>
      </w:pPr>
      <w:r>
        <w:rPr/>
        <w:drawing>
          <wp:anchor distT="0" distB="0" distL="0" distR="0" allowOverlap="1" layoutInCell="1" locked="0" behindDoc="1" simplePos="0" relativeHeight="268408655">
            <wp:simplePos x="0" y="0"/>
            <wp:positionH relativeFrom="page">
              <wp:posOffset>1202740</wp:posOffset>
            </wp:positionH>
            <wp:positionV relativeFrom="paragraph">
              <wp:posOffset>75601</wp:posOffset>
            </wp:positionV>
            <wp:extent cx="265175" cy="179831"/>
            <wp:effectExtent l="0" t="0" r="0" b="0"/>
            <wp:wrapNone/>
            <wp:docPr id="9" name="image2.png" descr=""/>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265175" cy="179831"/>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74.543999pt;margin-top:14.592888pt;width:443.05pt;height:183.85pt;mso-position-horizontal-relative:page;mso-position-vertical-relative:paragraph;z-index:11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6"/>
                    <w:gridCol w:w="3170"/>
                    <w:gridCol w:w="3564"/>
                  </w:tblGrid>
                  <w:tr>
                    <w:trPr>
                      <w:trHeight w:val="311" w:hRule="atLeast"/>
                    </w:trPr>
                    <w:tc>
                      <w:tcPr>
                        <w:tcW w:w="2126" w:type="dxa"/>
                        <w:shd w:val="clear" w:color="auto" w:fill="A6A6A6"/>
                      </w:tcPr>
                      <w:p>
                        <w:pPr>
                          <w:pStyle w:val="TableParagraph"/>
                          <w:spacing w:before="8"/>
                          <w:ind w:left="108"/>
                          <w:rPr>
                            <w:rFonts w:ascii="黑体" w:eastAsia="黑体" w:hint="eastAsia"/>
                            <w:sz w:val="18"/>
                          </w:rPr>
                        </w:pPr>
                        <w:r>
                          <w:rPr>
                            <w:rFonts w:ascii="黑体" w:eastAsia="黑体" w:hint="eastAsia"/>
                            <w:sz w:val="18"/>
                          </w:rPr>
                          <w:t>1．您与我们订立的合同</w:t>
                        </w:r>
                      </w:p>
                    </w:tc>
                    <w:tc>
                      <w:tcPr>
                        <w:tcW w:w="3170" w:type="dxa"/>
                      </w:tcPr>
                      <w:p>
                        <w:pPr>
                          <w:pStyle w:val="TableParagraph"/>
                          <w:spacing w:before="8"/>
                          <w:ind w:left="392"/>
                          <w:rPr>
                            <w:rFonts w:ascii="黑体" w:eastAsia="黑体" w:hint="eastAsia"/>
                            <w:sz w:val="18"/>
                          </w:rPr>
                        </w:pPr>
                        <w:r>
                          <w:rPr>
                            <w:rFonts w:ascii="黑体" w:eastAsia="黑体" w:hint="eastAsia"/>
                            <w:sz w:val="18"/>
                          </w:rPr>
                          <w:t>3.3 保险金给付</w:t>
                        </w:r>
                      </w:p>
                    </w:tc>
                    <w:tc>
                      <w:tcPr>
                        <w:tcW w:w="3564" w:type="dxa"/>
                      </w:tcPr>
                      <w:p>
                        <w:pPr>
                          <w:pStyle w:val="TableParagraph"/>
                          <w:spacing w:before="8"/>
                          <w:ind w:left="484"/>
                          <w:rPr>
                            <w:rFonts w:ascii="黑体" w:eastAsia="黑体" w:hint="eastAsia"/>
                            <w:sz w:val="18"/>
                          </w:rPr>
                        </w:pPr>
                        <w:r>
                          <w:rPr>
                            <w:rFonts w:ascii="黑体" w:eastAsia="黑体" w:hint="eastAsia"/>
                            <w:sz w:val="18"/>
                          </w:rPr>
                          <w:t>8.1 意外伤害</w:t>
                        </w:r>
                      </w:p>
                    </w:tc>
                  </w:tr>
                  <w:tr>
                    <w:trPr>
                      <w:trHeight w:val="309" w:hRule="atLeast"/>
                    </w:trPr>
                    <w:tc>
                      <w:tcPr>
                        <w:tcW w:w="2126" w:type="dxa"/>
                      </w:tcPr>
                      <w:p>
                        <w:pPr>
                          <w:pStyle w:val="TableParagraph"/>
                          <w:spacing w:before="8"/>
                          <w:ind w:left="108"/>
                          <w:rPr>
                            <w:rFonts w:ascii="黑体" w:eastAsia="黑体" w:hint="eastAsia"/>
                            <w:sz w:val="18"/>
                          </w:rPr>
                        </w:pPr>
                        <w:r>
                          <w:rPr>
                            <w:rFonts w:ascii="黑体" w:eastAsia="黑体" w:hint="eastAsia"/>
                            <w:sz w:val="18"/>
                          </w:rPr>
                          <w:t>1.1 合同构成</w:t>
                        </w:r>
                      </w:p>
                    </w:tc>
                    <w:tc>
                      <w:tcPr>
                        <w:tcW w:w="3170" w:type="dxa"/>
                      </w:tcPr>
                      <w:p>
                        <w:pPr>
                          <w:pStyle w:val="TableParagraph"/>
                          <w:spacing w:before="8"/>
                          <w:ind w:left="392"/>
                          <w:rPr>
                            <w:rFonts w:ascii="黑体" w:eastAsia="黑体" w:hint="eastAsia"/>
                            <w:sz w:val="18"/>
                          </w:rPr>
                        </w:pPr>
                        <w:r>
                          <w:rPr>
                            <w:rFonts w:ascii="黑体" w:eastAsia="黑体" w:hint="eastAsia"/>
                            <w:sz w:val="18"/>
                          </w:rPr>
                          <w:t>3.4 诉讼时效</w:t>
                        </w:r>
                      </w:p>
                    </w:tc>
                    <w:tc>
                      <w:tcPr>
                        <w:tcW w:w="3564" w:type="dxa"/>
                      </w:tcPr>
                      <w:p>
                        <w:pPr>
                          <w:pStyle w:val="TableParagraph"/>
                          <w:spacing w:before="8"/>
                          <w:ind w:left="484"/>
                          <w:rPr>
                            <w:rFonts w:ascii="黑体" w:eastAsia="黑体" w:hint="eastAsia"/>
                            <w:sz w:val="18"/>
                          </w:rPr>
                        </w:pPr>
                        <w:r>
                          <w:rPr>
                            <w:rFonts w:ascii="黑体" w:eastAsia="黑体" w:hint="eastAsia"/>
                            <w:sz w:val="18"/>
                          </w:rPr>
                          <w:t>8.2 毒品</w:t>
                        </w:r>
                      </w:p>
                    </w:tc>
                  </w:tr>
                  <w:tr>
                    <w:trPr>
                      <w:trHeight w:val="312" w:hRule="atLeast"/>
                    </w:trPr>
                    <w:tc>
                      <w:tcPr>
                        <w:tcW w:w="2126" w:type="dxa"/>
                      </w:tcPr>
                      <w:p>
                        <w:pPr>
                          <w:pStyle w:val="TableParagraph"/>
                          <w:spacing w:before="10"/>
                          <w:ind w:left="108"/>
                          <w:rPr>
                            <w:rFonts w:ascii="黑体" w:eastAsia="黑体" w:hint="eastAsia"/>
                            <w:sz w:val="18"/>
                          </w:rPr>
                        </w:pPr>
                        <w:r>
                          <w:rPr>
                            <w:rFonts w:ascii="黑体" w:eastAsia="黑体" w:hint="eastAsia"/>
                            <w:sz w:val="18"/>
                          </w:rPr>
                          <w:t>1.2 合同成立与Th效</w:t>
                        </w:r>
                      </w:p>
                    </w:tc>
                    <w:tc>
                      <w:tcPr>
                        <w:tcW w:w="3170" w:type="dxa"/>
                      </w:tcPr>
                      <w:p>
                        <w:pPr>
                          <w:pStyle w:val="TableParagraph"/>
                          <w:tabs>
                            <w:tab w:pos="3260" w:val="left" w:leader="none"/>
                          </w:tabs>
                          <w:spacing w:before="10"/>
                          <w:ind w:left="284" w:right="-101"/>
                          <w:rPr>
                            <w:rFonts w:ascii="黑体" w:eastAsia="黑体" w:hint="eastAsia"/>
                            <w:sz w:val="18"/>
                          </w:rPr>
                        </w:pPr>
                        <w:r>
                          <w:rPr>
                            <w:rFonts w:ascii="黑体" w:eastAsia="黑体" w:hint="eastAsia"/>
                            <w:sz w:val="18"/>
                            <w:shd w:fill="A6A6A6" w:color="auto" w:val="clear"/>
                          </w:rPr>
                          <w:t> </w:t>
                        </w:r>
                        <w:r>
                          <w:rPr>
                            <w:rFonts w:ascii="黑体" w:eastAsia="黑体" w:hint="eastAsia"/>
                            <w:spacing w:val="-72"/>
                            <w:sz w:val="18"/>
                            <w:shd w:fill="A6A6A6" w:color="auto" w:val="clear"/>
                          </w:rPr>
                          <w:t> </w:t>
                        </w:r>
                        <w:r>
                          <w:rPr>
                            <w:rFonts w:ascii="黑体" w:eastAsia="黑体" w:hint="eastAsia"/>
                            <w:sz w:val="18"/>
                            <w:shd w:fill="A6A6A6" w:color="auto" w:val="clear"/>
                          </w:rPr>
                          <w:t>4．如何支付保险费</w:t>
                          <w:tab/>
                        </w:r>
                      </w:p>
                    </w:tc>
                    <w:tc>
                      <w:tcPr>
                        <w:tcW w:w="3564" w:type="dxa"/>
                      </w:tcPr>
                      <w:p>
                        <w:pPr>
                          <w:pStyle w:val="TableParagraph"/>
                          <w:spacing w:before="10"/>
                          <w:ind w:left="484"/>
                          <w:rPr>
                            <w:rFonts w:ascii="黑体" w:eastAsia="黑体" w:hint="eastAsia"/>
                            <w:sz w:val="18"/>
                          </w:rPr>
                        </w:pPr>
                        <w:r>
                          <w:rPr>
                            <w:rFonts w:ascii="黑体" w:eastAsia="黑体" w:hint="eastAsia"/>
                            <w:sz w:val="18"/>
                          </w:rPr>
                          <w:t>8.3 酒后驾驶</w:t>
                        </w:r>
                      </w:p>
                    </w:tc>
                  </w:tr>
                  <w:tr>
                    <w:trPr>
                      <w:trHeight w:val="312" w:hRule="atLeast"/>
                    </w:trPr>
                    <w:tc>
                      <w:tcPr>
                        <w:tcW w:w="2126" w:type="dxa"/>
                      </w:tcPr>
                      <w:p>
                        <w:pPr>
                          <w:pStyle w:val="TableParagraph"/>
                          <w:spacing w:before="10"/>
                          <w:ind w:left="108"/>
                          <w:rPr>
                            <w:rFonts w:ascii="黑体" w:eastAsia="黑体" w:hint="eastAsia"/>
                            <w:sz w:val="18"/>
                          </w:rPr>
                        </w:pPr>
                        <w:r>
                          <w:rPr>
                            <w:rFonts w:ascii="黑体" w:eastAsia="黑体" w:hint="eastAsia"/>
                            <w:sz w:val="18"/>
                          </w:rPr>
                          <w:t>1.3 投保年龄</w:t>
                        </w:r>
                      </w:p>
                    </w:tc>
                    <w:tc>
                      <w:tcPr>
                        <w:tcW w:w="3170" w:type="dxa"/>
                      </w:tcPr>
                      <w:p>
                        <w:pPr>
                          <w:pStyle w:val="TableParagraph"/>
                          <w:spacing w:before="10"/>
                          <w:ind w:left="392"/>
                          <w:rPr>
                            <w:rFonts w:ascii="黑体" w:eastAsia="黑体" w:hint="eastAsia"/>
                            <w:sz w:val="18"/>
                          </w:rPr>
                        </w:pPr>
                        <w:r>
                          <w:rPr>
                            <w:rFonts w:ascii="黑体" w:eastAsia="黑体" w:hint="eastAsia"/>
                            <w:sz w:val="18"/>
                          </w:rPr>
                          <w:t>4.1 保险费的支付</w:t>
                        </w:r>
                      </w:p>
                    </w:tc>
                    <w:tc>
                      <w:tcPr>
                        <w:tcW w:w="3564" w:type="dxa"/>
                      </w:tcPr>
                      <w:p>
                        <w:pPr>
                          <w:pStyle w:val="TableParagraph"/>
                          <w:spacing w:before="10"/>
                          <w:ind w:left="484"/>
                          <w:rPr>
                            <w:rFonts w:ascii="黑体" w:eastAsia="黑体" w:hint="eastAsia"/>
                            <w:sz w:val="18"/>
                          </w:rPr>
                        </w:pPr>
                        <w:r>
                          <w:rPr>
                            <w:rFonts w:ascii="黑体" w:eastAsia="黑体" w:hint="eastAsia"/>
                            <w:sz w:val="18"/>
                          </w:rPr>
                          <w:t>8.7 无合法有效驾驶证驾驶</w:t>
                        </w:r>
                      </w:p>
                    </w:tc>
                  </w:tr>
                  <w:tr>
                    <w:trPr>
                      <w:trHeight w:val="311" w:hRule="atLeast"/>
                    </w:trPr>
                    <w:tc>
                      <w:tcPr>
                        <w:tcW w:w="2126" w:type="dxa"/>
                      </w:tcPr>
                      <w:p>
                        <w:pPr>
                          <w:pStyle w:val="TableParagraph"/>
                          <w:tabs>
                            <w:tab w:pos="2126" w:val="left" w:leader="none"/>
                          </w:tabs>
                          <w:spacing w:before="10"/>
                          <w:ind w:left="0" w:right="-15"/>
                          <w:rPr>
                            <w:rFonts w:ascii="黑体" w:eastAsia="黑体" w:hint="eastAsia"/>
                            <w:sz w:val="18"/>
                          </w:rPr>
                        </w:pPr>
                        <w:r>
                          <w:rPr>
                            <w:rFonts w:ascii="黑体" w:eastAsia="黑体" w:hint="eastAsia"/>
                            <w:sz w:val="18"/>
                            <w:shd w:fill="A6A6A6" w:color="auto" w:val="clear"/>
                          </w:rPr>
                          <w:t> </w:t>
                        </w:r>
                        <w:r>
                          <w:rPr>
                            <w:rFonts w:ascii="黑体" w:eastAsia="黑体" w:hint="eastAsia"/>
                            <w:spacing w:val="-72"/>
                            <w:sz w:val="18"/>
                            <w:shd w:fill="A6A6A6" w:color="auto" w:val="clear"/>
                          </w:rPr>
                          <w:t> </w:t>
                        </w:r>
                        <w:r>
                          <w:rPr>
                            <w:rFonts w:ascii="黑体" w:eastAsia="黑体" w:hint="eastAsia"/>
                            <w:sz w:val="18"/>
                            <w:shd w:fill="A6A6A6" w:color="auto" w:val="clear"/>
                          </w:rPr>
                          <w:t>2．我们提供的保障</w:t>
                          <w:tab/>
                        </w:r>
                      </w:p>
                    </w:tc>
                    <w:tc>
                      <w:tcPr>
                        <w:tcW w:w="3170" w:type="dxa"/>
                      </w:tcPr>
                      <w:p>
                        <w:pPr>
                          <w:pStyle w:val="TableParagraph"/>
                          <w:tabs>
                            <w:tab w:pos="3260" w:val="left" w:leader="none"/>
                          </w:tabs>
                          <w:spacing w:before="10"/>
                          <w:ind w:left="284" w:right="-101"/>
                          <w:rPr>
                            <w:rFonts w:ascii="黑体" w:eastAsia="黑体" w:hint="eastAsia"/>
                            <w:sz w:val="18"/>
                          </w:rPr>
                        </w:pPr>
                        <w:r>
                          <w:rPr>
                            <w:rFonts w:ascii="黑体" w:eastAsia="黑体" w:hint="eastAsia"/>
                            <w:sz w:val="18"/>
                            <w:shd w:fill="A6A6A6" w:color="auto" w:val="clear"/>
                          </w:rPr>
                          <w:t> </w:t>
                        </w:r>
                        <w:r>
                          <w:rPr>
                            <w:rFonts w:ascii="黑体" w:eastAsia="黑体" w:hint="eastAsia"/>
                            <w:spacing w:val="-72"/>
                            <w:sz w:val="18"/>
                            <w:shd w:fill="A6A6A6" w:color="auto" w:val="clear"/>
                          </w:rPr>
                          <w:t> </w:t>
                        </w:r>
                        <w:r>
                          <w:rPr>
                            <w:rFonts w:ascii="黑体" w:eastAsia="黑体" w:hint="eastAsia"/>
                            <w:sz w:val="18"/>
                            <w:shd w:fill="A6A6A6" w:color="auto" w:val="clear"/>
                          </w:rPr>
                          <w:t>5．如何解除保险合同</w:t>
                          <w:tab/>
                        </w:r>
                      </w:p>
                    </w:tc>
                    <w:tc>
                      <w:tcPr>
                        <w:tcW w:w="3564" w:type="dxa"/>
                      </w:tcPr>
                      <w:p>
                        <w:pPr>
                          <w:pStyle w:val="TableParagraph"/>
                          <w:spacing w:before="10"/>
                          <w:ind w:left="484"/>
                          <w:rPr>
                            <w:rFonts w:ascii="黑体" w:eastAsia="黑体" w:hint="eastAsia"/>
                            <w:sz w:val="18"/>
                          </w:rPr>
                        </w:pPr>
                        <w:r>
                          <w:rPr>
                            <w:rFonts w:ascii="黑体" w:eastAsia="黑体" w:hint="eastAsia"/>
                            <w:sz w:val="18"/>
                          </w:rPr>
                          <w:t>8.5 无有效行驶证</w:t>
                        </w:r>
                      </w:p>
                    </w:tc>
                  </w:tr>
                  <w:tr>
                    <w:trPr>
                      <w:trHeight w:val="311" w:hRule="atLeast"/>
                    </w:trPr>
                    <w:tc>
                      <w:tcPr>
                        <w:tcW w:w="2126" w:type="dxa"/>
                      </w:tcPr>
                      <w:p>
                        <w:pPr>
                          <w:pStyle w:val="TableParagraph"/>
                          <w:spacing w:before="10"/>
                          <w:ind w:left="108"/>
                          <w:rPr>
                            <w:rFonts w:ascii="黑体" w:eastAsia="黑体" w:hint="eastAsia"/>
                            <w:sz w:val="18"/>
                          </w:rPr>
                        </w:pPr>
                        <w:r>
                          <w:rPr>
                            <w:rFonts w:ascii="黑体" w:eastAsia="黑体" w:hint="eastAsia"/>
                            <w:sz w:val="18"/>
                          </w:rPr>
                          <w:t>2.1 保险金额</w:t>
                        </w:r>
                      </w:p>
                    </w:tc>
                    <w:tc>
                      <w:tcPr>
                        <w:tcW w:w="3170" w:type="dxa"/>
                      </w:tcPr>
                      <w:p>
                        <w:pPr>
                          <w:pStyle w:val="TableParagraph"/>
                          <w:spacing w:before="10"/>
                          <w:ind w:left="392"/>
                          <w:rPr>
                            <w:rFonts w:ascii="黑体" w:eastAsia="黑体" w:hint="eastAsia"/>
                            <w:sz w:val="18"/>
                          </w:rPr>
                        </w:pPr>
                        <w:r>
                          <w:rPr>
                            <w:rFonts w:ascii="黑体" w:eastAsia="黑体" w:hint="eastAsia"/>
                            <w:sz w:val="18"/>
                          </w:rPr>
                          <w:t>5.1 您解除合同的手续及风险</w:t>
                        </w:r>
                      </w:p>
                    </w:tc>
                    <w:tc>
                      <w:tcPr>
                        <w:tcW w:w="3564" w:type="dxa"/>
                      </w:tcPr>
                      <w:p>
                        <w:pPr>
                          <w:pStyle w:val="TableParagraph"/>
                          <w:spacing w:before="10"/>
                          <w:ind w:left="484"/>
                          <w:rPr>
                            <w:rFonts w:ascii="黑体" w:eastAsia="黑体" w:hint="eastAsia"/>
                            <w:sz w:val="18"/>
                          </w:rPr>
                        </w:pPr>
                        <w:r>
                          <w:rPr>
                            <w:rFonts w:ascii="黑体" w:eastAsia="黑体" w:hint="eastAsia"/>
                            <w:sz w:val="18"/>
                          </w:rPr>
                          <w:t>8.6 机动车</w:t>
                        </w:r>
                      </w:p>
                    </w:tc>
                  </w:tr>
                  <w:tr>
                    <w:trPr>
                      <w:trHeight w:val="312" w:hRule="atLeast"/>
                    </w:trPr>
                    <w:tc>
                      <w:tcPr>
                        <w:tcW w:w="2126" w:type="dxa"/>
                      </w:tcPr>
                      <w:p>
                        <w:pPr>
                          <w:pStyle w:val="TableParagraph"/>
                          <w:spacing w:before="10"/>
                          <w:ind w:left="108"/>
                          <w:rPr>
                            <w:rFonts w:ascii="黑体" w:eastAsia="黑体" w:hint="eastAsia"/>
                            <w:sz w:val="18"/>
                          </w:rPr>
                        </w:pPr>
                        <w:r>
                          <w:rPr>
                            <w:rFonts w:ascii="黑体" w:eastAsia="黑体" w:hint="eastAsia"/>
                            <w:sz w:val="18"/>
                          </w:rPr>
                          <w:t>2.2 保险期间和续保</w:t>
                        </w:r>
                      </w:p>
                    </w:tc>
                    <w:tc>
                      <w:tcPr>
                        <w:tcW w:w="3170" w:type="dxa"/>
                      </w:tcPr>
                      <w:p>
                        <w:pPr>
                          <w:pStyle w:val="TableParagraph"/>
                          <w:tabs>
                            <w:tab w:pos="3260" w:val="left" w:leader="none"/>
                          </w:tabs>
                          <w:spacing w:before="10"/>
                          <w:ind w:left="284" w:right="-101"/>
                          <w:rPr>
                            <w:rFonts w:ascii="黑体" w:eastAsia="黑体" w:hint="eastAsia"/>
                            <w:sz w:val="18"/>
                          </w:rPr>
                        </w:pPr>
                        <w:r>
                          <w:rPr>
                            <w:rFonts w:ascii="黑体" w:eastAsia="黑体" w:hint="eastAsia"/>
                            <w:sz w:val="18"/>
                            <w:shd w:fill="A6A6A6" w:color="auto" w:val="clear"/>
                          </w:rPr>
                          <w:t> </w:t>
                        </w:r>
                        <w:r>
                          <w:rPr>
                            <w:rFonts w:ascii="黑体" w:eastAsia="黑体" w:hint="eastAsia"/>
                            <w:spacing w:val="-72"/>
                            <w:sz w:val="18"/>
                            <w:shd w:fill="A6A6A6" w:color="auto" w:val="clear"/>
                          </w:rPr>
                          <w:t> </w:t>
                        </w:r>
                        <w:r>
                          <w:rPr>
                            <w:rFonts w:ascii="黑体" w:eastAsia="黑体" w:hint="eastAsia"/>
                            <w:sz w:val="18"/>
                            <w:shd w:fill="A6A6A6" w:color="auto" w:val="clear"/>
                          </w:rPr>
                          <w:t>6．其他需要关注的事项</w:t>
                          <w:tab/>
                        </w:r>
                      </w:p>
                    </w:tc>
                    <w:tc>
                      <w:tcPr>
                        <w:tcW w:w="3564" w:type="dxa"/>
                      </w:tcPr>
                      <w:p>
                        <w:pPr>
                          <w:pStyle w:val="TableParagraph"/>
                          <w:spacing w:before="10"/>
                          <w:ind w:left="484"/>
                          <w:rPr>
                            <w:rFonts w:ascii="黑体" w:eastAsia="黑体" w:hint="eastAsia"/>
                            <w:sz w:val="18"/>
                          </w:rPr>
                        </w:pPr>
                        <w:r>
                          <w:rPr>
                            <w:rFonts w:ascii="黑体" w:eastAsia="黑体" w:hint="eastAsia"/>
                            <w:sz w:val="18"/>
                          </w:rPr>
                          <w:t>8.7 遗传性疾病</w:t>
                        </w:r>
                      </w:p>
                    </w:tc>
                  </w:tr>
                  <w:tr>
                    <w:trPr>
                      <w:trHeight w:val="312" w:hRule="atLeast"/>
                    </w:trPr>
                    <w:tc>
                      <w:tcPr>
                        <w:tcW w:w="2126" w:type="dxa"/>
                      </w:tcPr>
                      <w:p>
                        <w:pPr>
                          <w:pStyle w:val="TableParagraph"/>
                          <w:spacing w:before="10"/>
                          <w:ind w:left="108"/>
                          <w:rPr>
                            <w:rFonts w:ascii="黑体" w:eastAsia="黑体" w:hint="eastAsia"/>
                            <w:sz w:val="18"/>
                          </w:rPr>
                        </w:pPr>
                        <w:r>
                          <w:rPr>
                            <w:rFonts w:ascii="黑体" w:eastAsia="黑体" w:hint="eastAsia"/>
                            <w:sz w:val="18"/>
                          </w:rPr>
                          <w:t>2.3 保险责任</w:t>
                        </w:r>
                      </w:p>
                    </w:tc>
                    <w:tc>
                      <w:tcPr>
                        <w:tcW w:w="3170" w:type="dxa"/>
                      </w:tcPr>
                      <w:p>
                        <w:pPr>
                          <w:pStyle w:val="TableParagraph"/>
                          <w:spacing w:before="10"/>
                          <w:ind w:left="392"/>
                          <w:rPr>
                            <w:rFonts w:ascii="黑体" w:eastAsia="黑体" w:hint="eastAsia"/>
                            <w:sz w:val="18"/>
                          </w:rPr>
                        </w:pPr>
                        <w:r>
                          <w:rPr>
                            <w:rFonts w:ascii="黑体" w:eastAsia="黑体" w:hint="eastAsia"/>
                            <w:sz w:val="18"/>
                          </w:rPr>
                          <w:t>6.1 与主险合同效力的关系</w:t>
                        </w:r>
                      </w:p>
                    </w:tc>
                    <w:tc>
                      <w:tcPr>
                        <w:tcW w:w="3564" w:type="dxa"/>
                      </w:tcPr>
                      <w:p>
                        <w:pPr>
                          <w:pStyle w:val="TableParagraph"/>
                          <w:spacing w:before="10"/>
                          <w:ind w:left="484"/>
                          <w:rPr>
                            <w:rFonts w:ascii="黑体" w:eastAsia="黑体" w:hint="eastAsia"/>
                            <w:sz w:val="18"/>
                          </w:rPr>
                        </w:pPr>
                        <w:r>
                          <w:rPr>
                            <w:rFonts w:ascii="黑体" w:eastAsia="黑体" w:hint="eastAsia"/>
                            <w:sz w:val="18"/>
                          </w:rPr>
                          <w:t>8.8 先天性畸形、变形或染色体异常</w:t>
                        </w:r>
                      </w:p>
                    </w:tc>
                  </w:tr>
                  <w:tr>
                    <w:trPr>
                      <w:trHeight w:val="312" w:hRule="atLeast"/>
                    </w:trPr>
                    <w:tc>
                      <w:tcPr>
                        <w:tcW w:w="2126" w:type="dxa"/>
                      </w:tcPr>
                      <w:p>
                        <w:pPr>
                          <w:pStyle w:val="TableParagraph"/>
                          <w:spacing w:before="10"/>
                          <w:ind w:left="108"/>
                          <w:rPr>
                            <w:rFonts w:ascii="黑体" w:eastAsia="黑体" w:hint="eastAsia"/>
                            <w:sz w:val="18"/>
                          </w:rPr>
                        </w:pPr>
                        <w:r>
                          <w:rPr>
                            <w:rFonts w:ascii="黑体" w:eastAsia="黑体" w:hint="eastAsia"/>
                            <w:sz w:val="18"/>
                          </w:rPr>
                          <w:t>2.4 责任免除</w:t>
                        </w:r>
                      </w:p>
                    </w:tc>
                    <w:tc>
                      <w:tcPr>
                        <w:tcW w:w="3170" w:type="dxa"/>
                      </w:tcPr>
                      <w:p>
                        <w:pPr>
                          <w:pStyle w:val="TableParagraph"/>
                          <w:spacing w:before="10"/>
                          <w:ind w:left="392"/>
                          <w:rPr>
                            <w:rFonts w:ascii="黑体" w:eastAsia="黑体" w:hint="eastAsia"/>
                            <w:sz w:val="18"/>
                          </w:rPr>
                        </w:pPr>
                        <w:r>
                          <w:rPr>
                            <w:rFonts w:ascii="黑体" w:eastAsia="黑体" w:hint="eastAsia"/>
                            <w:sz w:val="18"/>
                          </w:rPr>
                          <w:t>6.2 适用主险合同条款</w:t>
                        </w:r>
                      </w:p>
                    </w:tc>
                    <w:tc>
                      <w:tcPr>
                        <w:tcW w:w="3564" w:type="dxa"/>
                      </w:tcPr>
                      <w:p>
                        <w:pPr>
                          <w:pStyle w:val="TableParagraph"/>
                          <w:spacing w:before="10"/>
                          <w:ind w:left="484"/>
                          <w:rPr>
                            <w:rFonts w:ascii="黑体" w:eastAsia="黑体" w:hint="eastAsia"/>
                            <w:sz w:val="18"/>
                          </w:rPr>
                        </w:pPr>
                        <w:r>
                          <w:rPr>
                            <w:rFonts w:ascii="黑体" w:eastAsia="黑体" w:hint="eastAsia"/>
                            <w:sz w:val="18"/>
                          </w:rPr>
                          <w:t>8.9 感染艾滋病病毒或患艾滋病</w:t>
                        </w:r>
                      </w:p>
                    </w:tc>
                  </w:tr>
                  <w:tr>
                    <w:trPr>
                      <w:trHeight w:val="312" w:hRule="atLeast"/>
                    </w:trPr>
                    <w:tc>
                      <w:tcPr>
                        <w:tcW w:w="2126" w:type="dxa"/>
                      </w:tcPr>
                      <w:p>
                        <w:pPr>
                          <w:pStyle w:val="TableParagraph"/>
                          <w:spacing w:before="10"/>
                          <w:ind w:left="0" w:right="-15"/>
                          <w:rPr>
                            <w:rFonts w:ascii="黑体" w:eastAsia="黑体" w:hint="eastAsia"/>
                            <w:sz w:val="18"/>
                          </w:rPr>
                        </w:pPr>
                        <w:r>
                          <w:rPr>
                            <w:rFonts w:ascii="黑体" w:eastAsia="黑体" w:hint="eastAsia"/>
                            <w:sz w:val="18"/>
                            <w:shd w:fill="A6A6A6" w:color="auto" w:val="clear"/>
                          </w:rPr>
                          <w:t> </w:t>
                        </w:r>
                        <w:r>
                          <w:rPr>
                            <w:rFonts w:ascii="黑体" w:eastAsia="黑体" w:hint="eastAsia"/>
                            <w:spacing w:val="-72"/>
                            <w:sz w:val="18"/>
                            <w:shd w:fill="A6A6A6" w:color="auto" w:val="clear"/>
                          </w:rPr>
                          <w:t> </w:t>
                        </w:r>
                        <w:r>
                          <w:rPr>
                            <w:rFonts w:ascii="黑体" w:eastAsia="黑体" w:hint="eastAsia"/>
                            <w:sz w:val="18"/>
                            <w:shd w:fill="A6A6A6" w:color="auto" w:val="clear"/>
                          </w:rPr>
                          <w:t>3．如何申请领取保险金</w:t>
                        </w:r>
                        <w:r>
                          <w:rPr>
                            <w:rFonts w:ascii="黑体" w:eastAsia="黑体" w:hint="eastAsia"/>
                            <w:spacing w:val="36"/>
                            <w:sz w:val="18"/>
                            <w:shd w:fill="A6A6A6" w:color="auto" w:val="clear"/>
                          </w:rPr>
                          <w:t> </w:t>
                        </w:r>
                      </w:p>
                    </w:tc>
                    <w:tc>
                      <w:tcPr>
                        <w:tcW w:w="3170" w:type="dxa"/>
                      </w:tcPr>
                      <w:p>
                        <w:pPr>
                          <w:pStyle w:val="TableParagraph"/>
                          <w:tabs>
                            <w:tab w:pos="3260" w:val="left" w:leader="none"/>
                          </w:tabs>
                          <w:spacing w:before="10"/>
                          <w:ind w:left="284" w:right="-101"/>
                          <w:rPr>
                            <w:rFonts w:ascii="黑体" w:eastAsia="黑体" w:hint="eastAsia"/>
                            <w:sz w:val="18"/>
                          </w:rPr>
                        </w:pPr>
                        <w:r>
                          <w:rPr>
                            <w:rFonts w:ascii="黑体" w:eastAsia="黑体" w:hint="eastAsia"/>
                            <w:sz w:val="18"/>
                            <w:shd w:fill="A6A6A6" w:color="auto" w:val="clear"/>
                          </w:rPr>
                          <w:t> </w:t>
                        </w:r>
                        <w:r>
                          <w:rPr>
                            <w:rFonts w:ascii="黑体" w:eastAsia="黑体" w:hint="eastAsia"/>
                            <w:spacing w:val="-72"/>
                            <w:sz w:val="18"/>
                            <w:shd w:fill="A6A6A6" w:color="auto" w:val="clear"/>
                          </w:rPr>
                          <w:t> </w:t>
                        </w:r>
                        <w:r>
                          <w:rPr>
                            <w:rFonts w:ascii="黑体" w:eastAsia="黑体" w:hint="eastAsia"/>
                            <w:spacing w:val="-1"/>
                            <w:sz w:val="18"/>
                            <w:shd w:fill="A6A6A6" w:color="auto" w:val="clear"/>
                          </w:rPr>
                          <w:t>7.</w:t>
                        </w:r>
                        <w:r>
                          <w:rPr>
                            <w:rFonts w:ascii="黑体" w:eastAsia="黑体" w:hint="eastAsia"/>
                            <w:sz w:val="18"/>
                            <w:shd w:fill="A6A6A6" w:color="auto" w:val="clear"/>
                          </w:rPr>
                          <w:t>重大疾病</w:t>
                          <w:tab/>
                        </w:r>
                      </w:p>
                    </w:tc>
                    <w:tc>
                      <w:tcPr>
                        <w:tcW w:w="3564" w:type="dxa"/>
                      </w:tcPr>
                      <w:p>
                        <w:pPr>
                          <w:pStyle w:val="TableParagraph"/>
                          <w:spacing w:before="10"/>
                          <w:ind w:left="484"/>
                          <w:rPr>
                            <w:rFonts w:ascii="黑体" w:eastAsia="黑体" w:hint="eastAsia"/>
                            <w:sz w:val="18"/>
                          </w:rPr>
                        </w:pPr>
                        <w:r>
                          <w:rPr>
                            <w:rFonts w:ascii="黑体" w:eastAsia="黑体" w:hint="eastAsia"/>
                            <w:sz w:val="18"/>
                          </w:rPr>
                          <w:t>8.10 有效身份证件</w:t>
                        </w:r>
                      </w:p>
                    </w:tc>
                  </w:tr>
                  <w:tr>
                    <w:trPr>
                      <w:trHeight w:val="311" w:hRule="atLeast"/>
                    </w:trPr>
                    <w:tc>
                      <w:tcPr>
                        <w:tcW w:w="2126" w:type="dxa"/>
                      </w:tcPr>
                      <w:p>
                        <w:pPr>
                          <w:pStyle w:val="TableParagraph"/>
                          <w:spacing w:before="10"/>
                          <w:ind w:left="108"/>
                          <w:rPr>
                            <w:rFonts w:ascii="黑体" w:eastAsia="黑体" w:hint="eastAsia"/>
                            <w:sz w:val="18"/>
                          </w:rPr>
                        </w:pPr>
                        <w:r>
                          <w:rPr>
                            <w:rFonts w:ascii="黑体" w:eastAsia="黑体" w:hint="eastAsia"/>
                            <w:sz w:val="18"/>
                          </w:rPr>
                          <w:t>3.1 受益人</w:t>
                        </w:r>
                      </w:p>
                    </w:tc>
                    <w:tc>
                      <w:tcPr>
                        <w:tcW w:w="3170" w:type="dxa"/>
                      </w:tcPr>
                      <w:p>
                        <w:pPr>
                          <w:pStyle w:val="TableParagraph"/>
                          <w:spacing w:before="10"/>
                          <w:ind w:left="392"/>
                          <w:rPr>
                            <w:rFonts w:ascii="黑体" w:eastAsia="黑体" w:hint="eastAsia"/>
                            <w:sz w:val="18"/>
                          </w:rPr>
                        </w:pPr>
                        <w:r>
                          <w:rPr>
                            <w:rFonts w:ascii="黑体" w:eastAsia="黑体" w:hint="eastAsia"/>
                            <w:sz w:val="18"/>
                          </w:rPr>
                          <w:t>7.1 重大疾病的范围及定义</w:t>
                        </w:r>
                      </w:p>
                    </w:tc>
                    <w:tc>
                      <w:tcPr>
                        <w:tcW w:w="3564" w:type="dxa"/>
                      </w:tcPr>
                      <w:p>
                        <w:pPr>
                          <w:pStyle w:val="TableParagraph"/>
                          <w:spacing w:before="10"/>
                          <w:ind w:left="484"/>
                          <w:rPr>
                            <w:rFonts w:ascii="黑体" w:eastAsia="黑体" w:hint="eastAsia"/>
                            <w:sz w:val="18"/>
                          </w:rPr>
                        </w:pPr>
                        <w:r>
                          <w:rPr>
                            <w:rFonts w:ascii="黑体" w:eastAsia="黑体" w:hint="eastAsia"/>
                            <w:sz w:val="18"/>
                          </w:rPr>
                          <w:t>8.11 现金价值</w:t>
                        </w:r>
                      </w:p>
                    </w:tc>
                  </w:tr>
                  <w:tr>
                    <w:trPr>
                      <w:trHeight w:val="246" w:hRule="atLeast"/>
                    </w:trPr>
                    <w:tc>
                      <w:tcPr>
                        <w:tcW w:w="2126" w:type="dxa"/>
                      </w:tcPr>
                      <w:p>
                        <w:pPr>
                          <w:pStyle w:val="TableParagraph"/>
                          <w:spacing w:line="216" w:lineRule="exact" w:before="10"/>
                          <w:ind w:left="108"/>
                          <w:rPr>
                            <w:rFonts w:ascii="黑体" w:eastAsia="黑体" w:hint="eastAsia"/>
                            <w:sz w:val="18"/>
                          </w:rPr>
                        </w:pPr>
                        <w:r>
                          <w:rPr>
                            <w:rFonts w:ascii="黑体" w:eastAsia="黑体" w:hint="eastAsia"/>
                            <w:sz w:val="18"/>
                          </w:rPr>
                          <w:t>3.2 保险金申请</w:t>
                        </w:r>
                      </w:p>
                    </w:tc>
                    <w:tc>
                      <w:tcPr>
                        <w:tcW w:w="3170" w:type="dxa"/>
                      </w:tcPr>
                      <w:p>
                        <w:pPr>
                          <w:pStyle w:val="TableParagraph"/>
                          <w:tabs>
                            <w:tab w:pos="3260" w:val="left" w:leader="none"/>
                          </w:tabs>
                          <w:spacing w:line="216" w:lineRule="exact" w:before="10"/>
                          <w:ind w:left="284" w:right="-101"/>
                          <w:rPr>
                            <w:rFonts w:ascii="黑体" w:eastAsia="黑体" w:hint="eastAsia"/>
                            <w:sz w:val="18"/>
                          </w:rPr>
                        </w:pPr>
                        <w:r>
                          <w:rPr>
                            <w:rFonts w:ascii="黑体" w:eastAsia="黑体" w:hint="eastAsia"/>
                            <w:sz w:val="18"/>
                            <w:shd w:fill="A6A6A6" w:color="auto" w:val="clear"/>
                          </w:rPr>
                          <w:t> </w:t>
                        </w:r>
                        <w:r>
                          <w:rPr>
                            <w:rFonts w:ascii="黑体" w:eastAsia="黑体" w:hint="eastAsia"/>
                            <w:spacing w:val="-72"/>
                            <w:sz w:val="18"/>
                            <w:shd w:fill="A6A6A6" w:color="auto" w:val="clear"/>
                          </w:rPr>
                          <w:t> </w:t>
                        </w:r>
                        <w:r>
                          <w:rPr>
                            <w:rFonts w:ascii="黑体" w:eastAsia="黑体" w:hint="eastAsia"/>
                            <w:sz w:val="18"/>
                            <w:shd w:fill="A6A6A6" w:color="auto" w:val="clear"/>
                          </w:rPr>
                          <w:t>8．释义</w:t>
                          <w:tab/>
                        </w:r>
                      </w:p>
                    </w:tc>
                    <w:tc>
                      <w:tcPr>
                        <w:tcW w:w="3564" w:type="dxa"/>
                      </w:tcPr>
                      <w:p>
                        <w:pPr>
                          <w:pStyle w:val="TableParagraph"/>
                          <w:ind w:left="0"/>
                          <w:rPr>
                            <w:rFonts w:ascii="Times New Roman"/>
                            <w:sz w:val="16"/>
                          </w:rPr>
                        </w:pPr>
                      </w:p>
                    </w:tc>
                  </w:tr>
                </w:tbl>
                <w:p>
                  <w:pPr>
                    <w:pStyle w:val="BodyText"/>
                  </w:pPr>
                </w:p>
              </w:txbxContent>
            </v:textbox>
            <w10:wrap type="none"/>
          </v:shape>
        </w:pict>
      </w:r>
      <w:r>
        <w:rPr>
          <w:rFonts w:ascii="Arial" w:hAnsi="Arial" w:eastAsia="Arial"/>
          <w:b/>
          <w:w w:val="110"/>
          <w:position w:val="-11"/>
          <w:sz w:val="48"/>
        </w:rPr>
        <w:t></w:t>
        <w:tab/>
      </w:r>
      <w:r>
        <w:rPr>
          <w:rFonts w:ascii="黑体" w:hAnsi="黑体" w:eastAsia="黑体" w:hint="eastAsia"/>
          <w:b/>
          <w:sz w:val="21"/>
        </w:rPr>
        <w:t>条款目录</w:t>
      </w:r>
    </w:p>
    <w:p>
      <w:pPr>
        <w:spacing w:after="0" w:line="446" w:lineRule="exact"/>
        <w:jc w:val="left"/>
        <w:rPr>
          <w:rFonts w:ascii="黑体" w:hAnsi="黑体" w:eastAsia="黑体" w:hint="eastAsia"/>
          <w:sz w:val="21"/>
        </w:rPr>
        <w:sectPr>
          <w:type w:val="continuous"/>
          <w:pgSz w:w="11910" w:h="16840"/>
          <w:pgMar w:top="120" w:bottom="280" w:left="1340" w:right="160"/>
        </w:sectPr>
      </w:pPr>
    </w:p>
    <w:p>
      <w:pPr>
        <w:pStyle w:val="Heading1"/>
        <w:spacing w:line="206" w:lineRule="auto" w:before="33"/>
        <w:ind w:left="3165" w:right="3165" w:firstLine="0"/>
      </w:pPr>
      <w:r>
        <w:rPr/>
        <w:t>国联人寿保险股份有限公司</w:t>
      </w:r>
      <w:r>
        <w:rPr>
          <w:w w:val="95"/>
        </w:rPr>
        <w:t>附加个人重大疾病保险条款</w:t>
      </w:r>
    </w:p>
    <w:p>
      <w:pPr>
        <w:pStyle w:val="BodyText"/>
        <w:spacing w:before="3"/>
        <w:rPr>
          <w:rFonts w:ascii="黑体"/>
          <w:b/>
          <w:sz w:val="39"/>
        </w:rPr>
      </w:pPr>
    </w:p>
    <w:p>
      <w:pPr>
        <w:spacing w:line="278" w:lineRule="auto" w:before="0"/>
        <w:ind w:left="272" w:right="364" w:firstLine="526"/>
        <w:jc w:val="left"/>
        <w:rPr>
          <w:sz w:val="21"/>
        </w:rPr>
      </w:pPr>
      <w:r>
        <w:rPr>
          <w:spacing w:val="-16"/>
          <w:w w:val="100"/>
          <w:sz w:val="21"/>
        </w:rPr>
        <w:t>在本附加险条款中，“我们”指国联人寿保险股份有限公司，“本附加险合同”指您与我们之间订立</w:t>
      </w:r>
      <w:r>
        <w:rPr>
          <w:spacing w:val="-10"/>
          <w:sz w:val="21"/>
        </w:rPr>
        <w:t>的“附加个人重大疾病保险合同”。</w:t>
      </w:r>
    </w:p>
    <w:p>
      <w:pPr>
        <w:pStyle w:val="BodyText"/>
        <w:rPr>
          <w:sz w:val="20"/>
        </w:rPr>
      </w:pPr>
    </w:p>
    <w:p>
      <w:pPr>
        <w:pStyle w:val="BodyText"/>
        <w:spacing w:before="4"/>
        <w:rPr>
          <w:sz w:val="28"/>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2192"/>
        <w:gridCol w:w="7058"/>
      </w:tblGrid>
      <w:tr>
        <w:trPr>
          <w:trHeight w:val="319" w:hRule="atLeast"/>
        </w:trPr>
        <w:tc>
          <w:tcPr>
            <w:tcW w:w="713" w:type="dxa"/>
            <w:shd w:val="clear" w:color="auto" w:fill="A6A6A6"/>
          </w:tcPr>
          <w:p>
            <w:pPr>
              <w:pStyle w:val="TableParagraph"/>
              <w:spacing w:before="11"/>
              <w:ind w:left="107"/>
              <w:rPr>
                <w:rFonts w:ascii="黑体" w:eastAsia="黑体" w:hint="eastAsia"/>
                <w:b/>
                <w:sz w:val="21"/>
              </w:rPr>
            </w:pPr>
            <w:r>
              <w:rPr>
                <w:rFonts w:ascii="黑体" w:eastAsia="黑体" w:hint="eastAsia"/>
                <w:b/>
                <w:sz w:val="21"/>
              </w:rPr>
              <w:t>1．</w:t>
            </w:r>
          </w:p>
        </w:tc>
        <w:tc>
          <w:tcPr>
            <w:tcW w:w="2192" w:type="dxa"/>
            <w:shd w:val="clear" w:color="auto" w:fill="A6A6A6"/>
          </w:tcPr>
          <w:p>
            <w:pPr>
              <w:pStyle w:val="TableParagraph"/>
              <w:spacing w:before="11"/>
              <w:ind w:left="288"/>
              <w:rPr>
                <w:rFonts w:ascii="黑体" w:eastAsia="黑体" w:hint="eastAsia"/>
                <w:b/>
                <w:sz w:val="21"/>
              </w:rPr>
            </w:pPr>
            <w:r>
              <w:rPr>
                <w:rFonts w:ascii="黑体" w:eastAsia="黑体" w:hint="eastAsia"/>
                <w:b/>
                <w:sz w:val="21"/>
              </w:rPr>
              <w:t>您与我们订立的合同</w:t>
            </w:r>
          </w:p>
        </w:tc>
        <w:tc>
          <w:tcPr>
            <w:tcW w:w="7058" w:type="dxa"/>
            <w:shd w:val="clear" w:color="auto" w:fill="A6A6A6"/>
          </w:tcPr>
          <w:p>
            <w:pPr>
              <w:pStyle w:val="TableParagraph"/>
              <w:ind w:left="0"/>
              <w:rPr>
                <w:rFonts w:ascii="Times New Roman"/>
                <w:sz w:val="20"/>
              </w:rPr>
            </w:pPr>
          </w:p>
        </w:tc>
      </w:tr>
      <w:tr>
        <w:trPr>
          <w:trHeight w:val="483" w:hRule="atLeast"/>
        </w:trPr>
        <w:tc>
          <w:tcPr>
            <w:tcW w:w="713" w:type="dxa"/>
          </w:tcPr>
          <w:p>
            <w:pPr>
              <w:pStyle w:val="TableParagraph"/>
              <w:spacing w:before="153"/>
              <w:ind w:left="107"/>
              <w:rPr>
                <w:rFonts w:ascii="黑体"/>
                <w:sz w:val="21"/>
              </w:rPr>
            </w:pPr>
            <w:r>
              <w:rPr>
                <w:rFonts w:ascii="黑体"/>
                <w:sz w:val="21"/>
              </w:rPr>
              <w:t>1.1</w:t>
            </w:r>
          </w:p>
        </w:tc>
        <w:tc>
          <w:tcPr>
            <w:tcW w:w="2192" w:type="dxa"/>
          </w:tcPr>
          <w:p>
            <w:pPr>
              <w:pStyle w:val="TableParagraph"/>
              <w:spacing w:before="153"/>
              <w:ind w:left="288"/>
              <w:rPr>
                <w:rFonts w:ascii="黑体" w:eastAsia="黑体" w:hint="eastAsia"/>
                <w:sz w:val="21"/>
              </w:rPr>
            </w:pPr>
            <w:r>
              <w:rPr>
                <w:rFonts w:ascii="黑体" w:eastAsia="黑体" w:hint="eastAsia"/>
                <w:sz w:val="21"/>
              </w:rPr>
              <w:t>合同构成</w:t>
            </w:r>
          </w:p>
        </w:tc>
        <w:tc>
          <w:tcPr>
            <w:tcW w:w="7058" w:type="dxa"/>
          </w:tcPr>
          <w:p>
            <w:pPr>
              <w:pStyle w:val="TableParagraph"/>
              <w:spacing w:before="153"/>
              <w:ind w:left="4" w:right="-15"/>
              <w:rPr>
                <w:sz w:val="21"/>
              </w:rPr>
            </w:pPr>
            <w:r>
              <w:rPr>
                <w:spacing w:val="-7"/>
                <w:sz w:val="21"/>
              </w:rPr>
              <w:t>本附加险合同是您与我们约定保险权利义务关系的协议，包括本附加险条款、</w:t>
            </w:r>
          </w:p>
        </w:tc>
      </w:tr>
      <w:tr>
        <w:trPr>
          <w:trHeight w:val="320" w:hRule="atLeast"/>
        </w:trPr>
        <w:tc>
          <w:tcPr>
            <w:tcW w:w="713" w:type="dxa"/>
          </w:tcPr>
          <w:p>
            <w:pPr>
              <w:pStyle w:val="TableParagraph"/>
              <w:ind w:left="0"/>
              <w:rPr>
                <w:rFonts w:ascii="Times New Roman"/>
                <w:sz w:val="20"/>
              </w:rPr>
            </w:pPr>
          </w:p>
        </w:tc>
        <w:tc>
          <w:tcPr>
            <w:tcW w:w="2192" w:type="dxa"/>
          </w:tcPr>
          <w:p>
            <w:pPr>
              <w:pStyle w:val="TableParagraph"/>
              <w:ind w:left="0"/>
              <w:rPr>
                <w:rFonts w:ascii="Times New Roman"/>
                <w:sz w:val="20"/>
              </w:rPr>
            </w:pPr>
          </w:p>
        </w:tc>
        <w:tc>
          <w:tcPr>
            <w:tcW w:w="7058" w:type="dxa"/>
          </w:tcPr>
          <w:p>
            <w:pPr>
              <w:pStyle w:val="TableParagraph"/>
              <w:spacing w:line="266" w:lineRule="exact"/>
              <w:ind w:left="4"/>
              <w:rPr>
                <w:sz w:val="21"/>
              </w:rPr>
            </w:pPr>
            <w:r>
              <w:rPr>
                <w:sz w:val="21"/>
              </w:rPr>
              <w:t>保险单、投保单及其他投保文件、合法有效的声明、批注、批单及其他您与</w:t>
            </w:r>
          </w:p>
        </w:tc>
      </w:tr>
      <w:tr>
        <w:trPr>
          <w:trHeight w:val="390" w:hRule="atLeast"/>
        </w:trPr>
        <w:tc>
          <w:tcPr>
            <w:tcW w:w="713" w:type="dxa"/>
          </w:tcPr>
          <w:p>
            <w:pPr>
              <w:pStyle w:val="TableParagraph"/>
              <w:ind w:left="0"/>
              <w:rPr>
                <w:rFonts w:ascii="Times New Roman"/>
                <w:sz w:val="20"/>
              </w:rPr>
            </w:pPr>
          </w:p>
        </w:tc>
        <w:tc>
          <w:tcPr>
            <w:tcW w:w="2192" w:type="dxa"/>
          </w:tcPr>
          <w:p>
            <w:pPr>
              <w:pStyle w:val="TableParagraph"/>
              <w:ind w:left="0"/>
              <w:rPr>
                <w:rFonts w:ascii="Times New Roman"/>
                <w:sz w:val="20"/>
              </w:rPr>
            </w:pPr>
          </w:p>
        </w:tc>
        <w:tc>
          <w:tcPr>
            <w:tcW w:w="7058" w:type="dxa"/>
          </w:tcPr>
          <w:p>
            <w:pPr>
              <w:pStyle w:val="TableParagraph"/>
              <w:spacing w:line="265" w:lineRule="exact"/>
              <w:ind w:left="4"/>
              <w:rPr>
                <w:sz w:val="21"/>
              </w:rPr>
            </w:pPr>
            <w:r>
              <w:rPr>
                <w:sz w:val="21"/>
              </w:rPr>
              <w:t>我们共同签订的书面协议。</w:t>
            </w:r>
          </w:p>
        </w:tc>
      </w:tr>
      <w:tr>
        <w:trPr>
          <w:trHeight w:val="391" w:hRule="atLeast"/>
        </w:trPr>
        <w:tc>
          <w:tcPr>
            <w:tcW w:w="713" w:type="dxa"/>
          </w:tcPr>
          <w:p>
            <w:pPr>
              <w:pStyle w:val="TableParagraph"/>
              <w:spacing w:before="61"/>
              <w:ind w:left="107"/>
              <w:rPr>
                <w:rFonts w:ascii="黑体"/>
                <w:sz w:val="21"/>
              </w:rPr>
            </w:pPr>
            <w:r>
              <w:rPr>
                <w:rFonts w:ascii="黑体"/>
                <w:sz w:val="21"/>
              </w:rPr>
              <w:t>1.2</w:t>
            </w:r>
          </w:p>
        </w:tc>
        <w:tc>
          <w:tcPr>
            <w:tcW w:w="2192" w:type="dxa"/>
          </w:tcPr>
          <w:p>
            <w:pPr>
              <w:pStyle w:val="TableParagraph"/>
              <w:spacing w:before="61"/>
              <w:ind w:left="288"/>
              <w:rPr>
                <w:rFonts w:ascii="黑体" w:eastAsia="黑体" w:hint="eastAsia"/>
                <w:sz w:val="21"/>
              </w:rPr>
            </w:pPr>
            <w:r>
              <w:rPr>
                <w:rFonts w:ascii="黑体" w:eastAsia="黑体" w:hint="eastAsia"/>
                <w:sz w:val="21"/>
              </w:rPr>
              <w:t>合同成立与Th效</w:t>
            </w:r>
          </w:p>
        </w:tc>
        <w:tc>
          <w:tcPr>
            <w:tcW w:w="7058" w:type="dxa"/>
          </w:tcPr>
          <w:p>
            <w:pPr>
              <w:pStyle w:val="TableParagraph"/>
              <w:spacing w:before="61"/>
              <w:ind w:left="4"/>
              <w:rPr>
                <w:sz w:val="21"/>
              </w:rPr>
            </w:pPr>
            <w:r>
              <w:rPr>
                <w:sz w:val="21"/>
              </w:rPr>
              <w:t>您提出保险申请、我们同意承保，本附加险合同成立。</w:t>
            </w:r>
          </w:p>
        </w:tc>
      </w:tr>
      <w:tr>
        <w:trPr>
          <w:trHeight w:val="320" w:hRule="atLeast"/>
        </w:trPr>
        <w:tc>
          <w:tcPr>
            <w:tcW w:w="713" w:type="dxa"/>
          </w:tcPr>
          <w:p>
            <w:pPr>
              <w:pStyle w:val="TableParagraph"/>
              <w:ind w:left="0"/>
              <w:rPr>
                <w:rFonts w:ascii="Times New Roman"/>
                <w:sz w:val="20"/>
              </w:rPr>
            </w:pPr>
          </w:p>
        </w:tc>
        <w:tc>
          <w:tcPr>
            <w:tcW w:w="2192" w:type="dxa"/>
          </w:tcPr>
          <w:p>
            <w:pPr>
              <w:pStyle w:val="TableParagraph"/>
              <w:ind w:left="0"/>
              <w:rPr>
                <w:rFonts w:ascii="Times New Roman"/>
                <w:sz w:val="20"/>
              </w:rPr>
            </w:pPr>
          </w:p>
        </w:tc>
        <w:tc>
          <w:tcPr>
            <w:tcW w:w="7058" w:type="dxa"/>
          </w:tcPr>
          <w:p>
            <w:pPr>
              <w:pStyle w:val="TableParagraph"/>
              <w:spacing w:line="266" w:lineRule="exact"/>
              <w:ind w:left="4"/>
              <w:rPr>
                <w:sz w:val="21"/>
              </w:rPr>
            </w:pPr>
            <w:r>
              <w:rPr>
                <w:sz w:val="21"/>
              </w:rPr>
              <w:t>本附加险合同自我们同意承保、收取保险费并签发保险单后生效，具体生效</w:t>
            </w:r>
          </w:p>
        </w:tc>
      </w:tr>
      <w:tr>
        <w:trPr>
          <w:trHeight w:val="391" w:hRule="atLeast"/>
        </w:trPr>
        <w:tc>
          <w:tcPr>
            <w:tcW w:w="713" w:type="dxa"/>
          </w:tcPr>
          <w:p>
            <w:pPr>
              <w:pStyle w:val="TableParagraph"/>
              <w:ind w:left="0"/>
              <w:rPr>
                <w:rFonts w:ascii="Times New Roman"/>
                <w:sz w:val="20"/>
              </w:rPr>
            </w:pPr>
          </w:p>
        </w:tc>
        <w:tc>
          <w:tcPr>
            <w:tcW w:w="2192" w:type="dxa"/>
          </w:tcPr>
          <w:p>
            <w:pPr>
              <w:pStyle w:val="TableParagraph"/>
              <w:ind w:left="0"/>
              <w:rPr>
                <w:rFonts w:ascii="Times New Roman"/>
                <w:sz w:val="20"/>
              </w:rPr>
            </w:pPr>
          </w:p>
        </w:tc>
        <w:tc>
          <w:tcPr>
            <w:tcW w:w="7058" w:type="dxa"/>
          </w:tcPr>
          <w:p>
            <w:pPr>
              <w:pStyle w:val="TableParagraph"/>
              <w:spacing w:line="265" w:lineRule="exact"/>
              <w:ind w:left="4"/>
              <w:rPr>
                <w:sz w:val="21"/>
              </w:rPr>
            </w:pPr>
            <w:r>
              <w:rPr>
                <w:sz w:val="21"/>
              </w:rPr>
              <w:t>日以保险单所载的日期为准。</w:t>
            </w:r>
          </w:p>
        </w:tc>
      </w:tr>
      <w:tr>
        <w:trPr>
          <w:trHeight w:val="653" w:hRule="atLeast"/>
        </w:trPr>
        <w:tc>
          <w:tcPr>
            <w:tcW w:w="713" w:type="dxa"/>
          </w:tcPr>
          <w:p>
            <w:pPr>
              <w:pStyle w:val="TableParagraph"/>
              <w:spacing w:before="62"/>
              <w:ind w:left="107"/>
              <w:rPr>
                <w:rFonts w:ascii="黑体"/>
                <w:sz w:val="21"/>
              </w:rPr>
            </w:pPr>
            <w:r>
              <w:rPr>
                <w:rFonts w:ascii="黑体"/>
                <w:sz w:val="21"/>
              </w:rPr>
              <w:t>1.3</w:t>
            </w:r>
          </w:p>
        </w:tc>
        <w:tc>
          <w:tcPr>
            <w:tcW w:w="2192" w:type="dxa"/>
          </w:tcPr>
          <w:p>
            <w:pPr>
              <w:pStyle w:val="TableParagraph"/>
              <w:spacing w:before="62"/>
              <w:ind w:left="288"/>
              <w:rPr>
                <w:rFonts w:ascii="黑体" w:eastAsia="黑体" w:hint="eastAsia"/>
                <w:sz w:val="21"/>
              </w:rPr>
            </w:pPr>
            <w:r>
              <w:rPr>
                <w:rFonts w:ascii="黑体" w:eastAsia="黑体" w:hint="eastAsia"/>
                <w:sz w:val="21"/>
              </w:rPr>
              <w:t>投保年龄</w:t>
            </w:r>
          </w:p>
        </w:tc>
        <w:tc>
          <w:tcPr>
            <w:tcW w:w="7058" w:type="dxa"/>
          </w:tcPr>
          <w:p>
            <w:pPr>
              <w:pStyle w:val="TableParagraph"/>
              <w:spacing w:before="62"/>
              <w:ind w:left="4"/>
              <w:rPr>
                <w:sz w:val="21"/>
              </w:rPr>
            </w:pPr>
            <w:r>
              <w:rPr>
                <w:sz w:val="21"/>
              </w:rPr>
              <w:t>本附加险合同的投保年龄与主险合同一致。</w:t>
            </w:r>
          </w:p>
        </w:tc>
      </w:tr>
      <w:tr>
        <w:trPr>
          <w:trHeight w:val="319" w:hRule="atLeast"/>
        </w:trPr>
        <w:tc>
          <w:tcPr>
            <w:tcW w:w="713" w:type="dxa"/>
            <w:shd w:val="clear" w:color="auto" w:fill="A6A6A6"/>
          </w:tcPr>
          <w:p>
            <w:pPr>
              <w:pStyle w:val="TableParagraph"/>
              <w:spacing w:before="11"/>
              <w:ind w:left="107"/>
              <w:rPr>
                <w:rFonts w:ascii="黑体" w:eastAsia="黑体" w:hint="eastAsia"/>
                <w:b/>
                <w:sz w:val="21"/>
              </w:rPr>
            </w:pPr>
            <w:r>
              <w:rPr>
                <w:rFonts w:ascii="黑体" w:eastAsia="黑体" w:hint="eastAsia"/>
                <w:b/>
                <w:sz w:val="21"/>
              </w:rPr>
              <w:t>2．</w:t>
            </w:r>
          </w:p>
        </w:tc>
        <w:tc>
          <w:tcPr>
            <w:tcW w:w="2192" w:type="dxa"/>
            <w:shd w:val="clear" w:color="auto" w:fill="A6A6A6"/>
          </w:tcPr>
          <w:p>
            <w:pPr>
              <w:pStyle w:val="TableParagraph"/>
              <w:spacing w:before="11"/>
              <w:ind w:left="288"/>
              <w:rPr>
                <w:rFonts w:ascii="黑体" w:eastAsia="黑体" w:hint="eastAsia"/>
                <w:b/>
                <w:sz w:val="21"/>
              </w:rPr>
            </w:pPr>
            <w:r>
              <w:rPr>
                <w:rFonts w:ascii="黑体" w:eastAsia="黑体" w:hint="eastAsia"/>
                <w:b/>
                <w:sz w:val="21"/>
              </w:rPr>
              <w:t>我们提供的保障</w:t>
            </w:r>
          </w:p>
        </w:tc>
        <w:tc>
          <w:tcPr>
            <w:tcW w:w="7058" w:type="dxa"/>
            <w:shd w:val="clear" w:color="auto" w:fill="A6A6A6"/>
          </w:tcPr>
          <w:p>
            <w:pPr>
              <w:pStyle w:val="TableParagraph"/>
              <w:ind w:left="0"/>
              <w:rPr>
                <w:rFonts w:ascii="Times New Roman"/>
                <w:sz w:val="20"/>
              </w:rPr>
            </w:pPr>
          </w:p>
        </w:tc>
      </w:tr>
      <w:tr>
        <w:trPr>
          <w:trHeight w:val="531" w:hRule="atLeast"/>
        </w:trPr>
        <w:tc>
          <w:tcPr>
            <w:tcW w:w="713" w:type="dxa"/>
          </w:tcPr>
          <w:p>
            <w:pPr>
              <w:pStyle w:val="TableParagraph"/>
              <w:spacing w:before="153"/>
              <w:ind w:left="107"/>
              <w:rPr>
                <w:rFonts w:ascii="黑体"/>
                <w:sz w:val="21"/>
              </w:rPr>
            </w:pPr>
            <w:r>
              <w:rPr>
                <w:rFonts w:ascii="黑体"/>
                <w:sz w:val="21"/>
              </w:rPr>
              <w:t>2.1</w:t>
            </w:r>
          </w:p>
        </w:tc>
        <w:tc>
          <w:tcPr>
            <w:tcW w:w="2192" w:type="dxa"/>
          </w:tcPr>
          <w:p>
            <w:pPr>
              <w:pStyle w:val="TableParagraph"/>
              <w:spacing w:before="153"/>
              <w:ind w:left="288"/>
              <w:rPr>
                <w:rFonts w:ascii="黑体" w:eastAsia="黑体" w:hint="eastAsia"/>
                <w:sz w:val="21"/>
              </w:rPr>
            </w:pPr>
            <w:r>
              <w:rPr>
                <w:rFonts w:ascii="黑体" w:eastAsia="黑体" w:hint="eastAsia"/>
                <w:sz w:val="21"/>
              </w:rPr>
              <w:t>保险金额</w:t>
            </w:r>
          </w:p>
        </w:tc>
        <w:tc>
          <w:tcPr>
            <w:tcW w:w="7058" w:type="dxa"/>
          </w:tcPr>
          <w:p>
            <w:pPr>
              <w:pStyle w:val="TableParagraph"/>
              <w:spacing w:before="153"/>
              <w:ind w:left="4" w:right="-15"/>
              <w:rPr>
                <w:sz w:val="21"/>
              </w:rPr>
            </w:pPr>
            <w:r>
              <w:rPr>
                <w:spacing w:val="-7"/>
                <w:sz w:val="21"/>
              </w:rPr>
              <w:t>本附加险合同的基本保险金额由您在投保时与我们约定，并在保险单上载明。</w:t>
            </w:r>
          </w:p>
        </w:tc>
      </w:tr>
      <w:tr>
        <w:trPr>
          <w:trHeight w:val="616" w:hRule="atLeast"/>
        </w:trPr>
        <w:tc>
          <w:tcPr>
            <w:tcW w:w="713" w:type="dxa"/>
          </w:tcPr>
          <w:p>
            <w:pPr>
              <w:pStyle w:val="TableParagraph"/>
              <w:spacing w:before="85"/>
              <w:ind w:left="107"/>
              <w:rPr>
                <w:rFonts w:ascii="黑体"/>
                <w:sz w:val="21"/>
              </w:rPr>
            </w:pPr>
            <w:r>
              <w:rPr>
                <w:rFonts w:ascii="黑体"/>
                <w:sz w:val="21"/>
              </w:rPr>
              <w:t>2.2</w:t>
            </w:r>
          </w:p>
        </w:tc>
        <w:tc>
          <w:tcPr>
            <w:tcW w:w="2192" w:type="dxa"/>
          </w:tcPr>
          <w:p>
            <w:pPr>
              <w:pStyle w:val="TableParagraph"/>
              <w:spacing w:before="85"/>
              <w:ind w:left="288"/>
              <w:rPr>
                <w:rFonts w:ascii="黑体" w:eastAsia="黑体" w:hint="eastAsia"/>
                <w:sz w:val="21"/>
              </w:rPr>
            </w:pPr>
            <w:r>
              <w:rPr>
                <w:rFonts w:ascii="黑体" w:eastAsia="黑体" w:hint="eastAsia"/>
                <w:sz w:val="21"/>
              </w:rPr>
              <w:t>保险期间和续保</w:t>
            </w:r>
          </w:p>
        </w:tc>
        <w:tc>
          <w:tcPr>
            <w:tcW w:w="7058" w:type="dxa"/>
          </w:tcPr>
          <w:p>
            <w:pPr>
              <w:pStyle w:val="TableParagraph"/>
              <w:spacing w:line="237" w:lineRule="auto" w:before="42"/>
              <w:ind w:left="4" w:right="99"/>
              <w:rPr>
                <w:sz w:val="21"/>
              </w:rPr>
            </w:pPr>
            <w:r>
              <w:rPr>
                <w:spacing w:val="-5"/>
                <w:sz w:val="21"/>
              </w:rPr>
              <w:t>本附加险合同的保险期间为 </w:t>
            </w:r>
            <w:r>
              <w:rPr>
                <w:sz w:val="21"/>
              </w:rPr>
              <w:t>1</w:t>
            </w:r>
            <w:r>
              <w:rPr>
                <w:spacing w:val="-7"/>
                <w:sz w:val="21"/>
              </w:rPr>
              <w:t> 年。具体期间由您在投保时与我们约定并在保</w:t>
            </w:r>
            <w:r>
              <w:rPr>
                <w:spacing w:val="-5"/>
                <w:sz w:val="21"/>
              </w:rPr>
              <w:t>险单上载明。</w:t>
            </w:r>
          </w:p>
        </w:tc>
      </w:tr>
      <w:tr>
        <w:trPr>
          <w:trHeight w:val="272" w:hRule="atLeast"/>
        </w:trPr>
        <w:tc>
          <w:tcPr>
            <w:tcW w:w="713" w:type="dxa"/>
          </w:tcPr>
          <w:p>
            <w:pPr>
              <w:pStyle w:val="TableParagraph"/>
              <w:ind w:left="0"/>
              <w:rPr>
                <w:rFonts w:ascii="Times New Roman"/>
                <w:sz w:val="20"/>
              </w:rPr>
            </w:pPr>
          </w:p>
        </w:tc>
        <w:tc>
          <w:tcPr>
            <w:tcW w:w="2192" w:type="dxa"/>
          </w:tcPr>
          <w:p>
            <w:pPr>
              <w:pStyle w:val="TableParagraph"/>
              <w:ind w:left="0"/>
              <w:rPr>
                <w:rFonts w:ascii="Times New Roman"/>
                <w:sz w:val="20"/>
              </w:rPr>
            </w:pPr>
          </w:p>
        </w:tc>
        <w:tc>
          <w:tcPr>
            <w:tcW w:w="7058" w:type="dxa"/>
          </w:tcPr>
          <w:p>
            <w:pPr>
              <w:pStyle w:val="TableParagraph"/>
              <w:spacing w:line="242" w:lineRule="exact"/>
              <w:ind w:left="4"/>
              <w:rPr>
                <w:sz w:val="21"/>
              </w:rPr>
            </w:pPr>
            <w:r>
              <w:rPr>
                <w:spacing w:val="-10"/>
                <w:sz w:val="21"/>
              </w:rPr>
              <w:t>除另有约定外，如果您在本附加险合同届满前 </w:t>
            </w:r>
            <w:r>
              <w:rPr>
                <w:sz w:val="21"/>
              </w:rPr>
              <w:t>30</w:t>
            </w:r>
            <w:r>
              <w:rPr>
                <w:spacing w:val="-12"/>
                <w:sz w:val="21"/>
              </w:rPr>
              <w:t> 日内未提出续保申请，我们</w:t>
            </w:r>
          </w:p>
        </w:tc>
      </w:tr>
      <w:tr>
        <w:trPr>
          <w:trHeight w:val="366" w:hRule="atLeast"/>
        </w:trPr>
        <w:tc>
          <w:tcPr>
            <w:tcW w:w="713" w:type="dxa"/>
          </w:tcPr>
          <w:p>
            <w:pPr>
              <w:pStyle w:val="TableParagraph"/>
              <w:ind w:left="0"/>
              <w:rPr>
                <w:rFonts w:ascii="Times New Roman"/>
                <w:sz w:val="20"/>
              </w:rPr>
            </w:pPr>
          </w:p>
        </w:tc>
        <w:tc>
          <w:tcPr>
            <w:tcW w:w="2192" w:type="dxa"/>
          </w:tcPr>
          <w:p>
            <w:pPr>
              <w:pStyle w:val="TableParagraph"/>
              <w:ind w:left="0"/>
              <w:rPr>
                <w:rFonts w:ascii="Times New Roman"/>
                <w:sz w:val="20"/>
              </w:rPr>
            </w:pPr>
          </w:p>
        </w:tc>
        <w:tc>
          <w:tcPr>
            <w:tcW w:w="7058" w:type="dxa"/>
          </w:tcPr>
          <w:p>
            <w:pPr>
              <w:pStyle w:val="TableParagraph"/>
              <w:spacing w:line="241" w:lineRule="exact"/>
              <w:ind w:left="4"/>
              <w:rPr>
                <w:sz w:val="21"/>
              </w:rPr>
            </w:pPr>
            <w:r>
              <w:rPr>
                <w:sz w:val="21"/>
              </w:rPr>
              <w:t>视为您不申请续保本附加险合同，本附加险合同终止。</w:t>
            </w:r>
          </w:p>
        </w:tc>
      </w:tr>
      <w:tr>
        <w:trPr>
          <w:trHeight w:val="456" w:hRule="atLeast"/>
        </w:trPr>
        <w:tc>
          <w:tcPr>
            <w:tcW w:w="713" w:type="dxa"/>
          </w:tcPr>
          <w:p>
            <w:pPr>
              <w:pStyle w:val="TableParagraph"/>
              <w:spacing w:before="61"/>
              <w:ind w:left="107"/>
              <w:rPr>
                <w:rFonts w:ascii="黑体"/>
                <w:sz w:val="21"/>
              </w:rPr>
            </w:pPr>
            <w:r>
              <w:rPr>
                <w:rFonts w:ascii="黑体"/>
                <w:sz w:val="21"/>
              </w:rPr>
              <w:t>2.3</w:t>
            </w:r>
          </w:p>
        </w:tc>
        <w:tc>
          <w:tcPr>
            <w:tcW w:w="2192" w:type="dxa"/>
          </w:tcPr>
          <w:p>
            <w:pPr>
              <w:pStyle w:val="TableParagraph"/>
              <w:spacing w:before="61"/>
              <w:ind w:left="288"/>
              <w:rPr>
                <w:rFonts w:ascii="黑体" w:eastAsia="黑体" w:hint="eastAsia"/>
                <w:sz w:val="21"/>
              </w:rPr>
            </w:pPr>
            <w:r>
              <w:rPr>
                <w:rFonts w:ascii="黑体" w:eastAsia="黑体" w:hint="eastAsia"/>
                <w:sz w:val="21"/>
              </w:rPr>
              <w:t>保险责任</w:t>
            </w:r>
          </w:p>
        </w:tc>
        <w:tc>
          <w:tcPr>
            <w:tcW w:w="7058" w:type="dxa"/>
          </w:tcPr>
          <w:p>
            <w:pPr>
              <w:pStyle w:val="TableParagraph"/>
              <w:spacing w:before="61"/>
              <w:ind w:left="4"/>
              <w:rPr>
                <w:sz w:val="21"/>
              </w:rPr>
            </w:pPr>
            <w:r>
              <w:rPr>
                <w:sz w:val="21"/>
              </w:rPr>
              <w:t>在主险合同和本附加险合同均有效的保险期间内，我们承担下列保险责任：</w:t>
            </w:r>
          </w:p>
        </w:tc>
      </w:tr>
      <w:tr>
        <w:trPr>
          <w:trHeight w:val="396" w:hRule="atLeast"/>
        </w:trPr>
        <w:tc>
          <w:tcPr>
            <w:tcW w:w="713" w:type="dxa"/>
          </w:tcPr>
          <w:p>
            <w:pPr>
              <w:pStyle w:val="TableParagraph"/>
              <w:ind w:left="0"/>
              <w:rPr>
                <w:rFonts w:ascii="Times New Roman"/>
                <w:sz w:val="20"/>
              </w:rPr>
            </w:pPr>
          </w:p>
        </w:tc>
        <w:tc>
          <w:tcPr>
            <w:tcW w:w="2192" w:type="dxa"/>
          </w:tcPr>
          <w:p>
            <w:pPr>
              <w:pStyle w:val="TableParagraph"/>
              <w:spacing w:before="54"/>
              <w:ind w:left="288"/>
              <w:rPr>
                <w:rFonts w:ascii="黑体" w:eastAsia="黑体" w:hint="eastAsia"/>
                <w:i/>
                <w:sz w:val="22"/>
              </w:rPr>
            </w:pPr>
            <w:r>
              <w:rPr>
                <w:rFonts w:ascii="黑体" w:eastAsia="黑体" w:hint="eastAsia"/>
                <w:i/>
                <w:w w:val="95"/>
                <w:sz w:val="22"/>
              </w:rPr>
              <w:t>等待期</w:t>
            </w:r>
          </w:p>
        </w:tc>
        <w:tc>
          <w:tcPr>
            <w:tcW w:w="7058" w:type="dxa"/>
          </w:tcPr>
          <w:p>
            <w:pPr>
              <w:pStyle w:val="TableParagraph"/>
              <w:spacing w:before="66"/>
              <w:ind w:left="4"/>
              <w:rPr>
                <w:sz w:val="21"/>
              </w:rPr>
            </w:pPr>
            <w:r>
              <w:rPr>
                <w:spacing w:val="-6"/>
                <w:sz w:val="21"/>
                <w:shd w:fill="A6A6A6" w:color="auto" w:val="clear"/>
              </w:rPr>
              <w:t>被保险人在本附加险合同生效之日起 </w:t>
            </w:r>
            <w:r>
              <w:rPr>
                <w:sz w:val="21"/>
                <w:shd w:fill="A6A6A6" w:color="auto" w:val="clear"/>
              </w:rPr>
              <w:t>90</w:t>
            </w:r>
            <w:r>
              <w:rPr>
                <w:spacing w:val="-40"/>
                <w:sz w:val="21"/>
                <w:shd w:fill="A6A6A6" w:color="auto" w:val="clear"/>
              </w:rPr>
              <w:t> 日</w:t>
            </w:r>
            <w:r>
              <w:rPr>
                <w:sz w:val="21"/>
                <w:shd w:fill="A6A6A6" w:color="auto" w:val="clear"/>
              </w:rPr>
              <w:t>（90</w:t>
            </w:r>
            <w:r>
              <w:rPr>
                <w:spacing w:val="-8"/>
                <w:sz w:val="21"/>
                <w:shd w:fill="A6A6A6" w:color="auto" w:val="clear"/>
              </w:rPr>
              <w:t> 日为等待期,经我们审核同意</w:t>
            </w:r>
          </w:p>
        </w:tc>
      </w:tr>
      <w:tr>
        <w:trPr>
          <w:trHeight w:val="319" w:hRule="atLeast"/>
        </w:trPr>
        <w:tc>
          <w:tcPr>
            <w:tcW w:w="713" w:type="dxa"/>
          </w:tcPr>
          <w:p>
            <w:pPr>
              <w:pStyle w:val="TableParagraph"/>
              <w:ind w:left="0"/>
              <w:rPr>
                <w:rFonts w:ascii="Times New Roman"/>
                <w:sz w:val="20"/>
              </w:rPr>
            </w:pPr>
          </w:p>
        </w:tc>
        <w:tc>
          <w:tcPr>
            <w:tcW w:w="2192" w:type="dxa"/>
          </w:tcPr>
          <w:p>
            <w:pPr>
              <w:pStyle w:val="TableParagraph"/>
              <w:ind w:left="0"/>
              <w:rPr>
                <w:rFonts w:ascii="Times New Roman"/>
                <w:sz w:val="20"/>
              </w:rPr>
            </w:pPr>
          </w:p>
        </w:tc>
        <w:tc>
          <w:tcPr>
            <w:tcW w:w="7058" w:type="dxa"/>
          </w:tcPr>
          <w:p>
            <w:pPr>
              <w:pStyle w:val="TableParagraph"/>
              <w:spacing w:line="265" w:lineRule="exact"/>
              <w:ind w:left="4"/>
              <w:rPr>
                <w:sz w:val="21"/>
              </w:rPr>
            </w:pPr>
            <w:r>
              <w:rPr>
                <w:sz w:val="21"/>
                <w:shd w:fill="A6A6A6" w:color="auto" w:val="clear"/>
              </w:rPr>
              <w:t>续保的,续保时无等待期）内被确诊初次患本附加险合同约定的重大疾病（无</w:t>
            </w:r>
          </w:p>
        </w:tc>
      </w:tr>
      <w:tr>
        <w:trPr>
          <w:trHeight w:val="386" w:hRule="atLeast"/>
        </w:trPr>
        <w:tc>
          <w:tcPr>
            <w:tcW w:w="713" w:type="dxa"/>
          </w:tcPr>
          <w:p>
            <w:pPr>
              <w:pStyle w:val="TableParagraph"/>
              <w:ind w:left="0"/>
              <w:rPr>
                <w:rFonts w:ascii="Times New Roman"/>
                <w:sz w:val="20"/>
              </w:rPr>
            </w:pPr>
          </w:p>
        </w:tc>
        <w:tc>
          <w:tcPr>
            <w:tcW w:w="2192" w:type="dxa"/>
          </w:tcPr>
          <w:p>
            <w:pPr>
              <w:pStyle w:val="TableParagraph"/>
              <w:ind w:left="0"/>
              <w:rPr>
                <w:rFonts w:ascii="Times New Roman"/>
                <w:sz w:val="20"/>
              </w:rPr>
            </w:pPr>
          </w:p>
        </w:tc>
        <w:tc>
          <w:tcPr>
            <w:tcW w:w="7058" w:type="dxa"/>
          </w:tcPr>
          <w:p>
            <w:pPr>
              <w:pStyle w:val="TableParagraph"/>
              <w:spacing w:line="265" w:lineRule="exact"/>
              <w:ind w:left="4"/>
              <w:rPr>
                <w:sz w:val="21"/>
              </w:rPr>
            </w:pPr>
            <w:r>
              <w:rPr>
                <w:sz w:val="21"/>
                <w:shd w:fill="A6A6A6" w:color="auto" w:val="clear"/>
              </w:rPr>
              <w:t>论一种或多种）的，我们将无息退还您支付的保险费，本附加险合同终止。</w:t>
            </w:r>
          </w:p>
        </w:tc>
      </w:tr>
      <w:tr>
        <w:trPr>
          <w:trHeight w:val="396" w:hRule="atLeast"/>
        </w:trPr>
        <w:tc>
          <w:tcPr>
            <w:tcW w:w="713" w:type="dxa"/>
          </w:tcPr>
          <w:p>
            <w:pPr>
              <w:pStyle w:val="TableParagraph"/>
              <w:ind w:left="0"/>
              <w:rPr>
                <w:rFonts w:ascii="Times New Roman"/>
                <w:sz w:val="20"/>
              </w:rPr>
            </w:pPr>
          </w:p>
        </w:tc>
        <w:tc>
          <w:tcPr>
            <w:tcW w:w="2192" w:type="dxa"/>
          </w:tcPr>
          <w:p>
            <w:pPr>
              <w:pStyle w:val="TableParagraph"/>
              <w:spacing w:before="55"/>
              <w:ind w:left="288"/>
              <w:rPr>
                <w:rFonts w:ascii="黑体" w:eastAsia="黑体" w:hint="eastAsia"/>
                <w:i/>
                <w:sz w:val="22"/>
              </w:rPr>
            </w:pPr>
            <w:r>
              <w:rPr>
                <w:rFonts w:ascii="黑体" w:eastAsia="黑体" w:hint="eastAsia"/>
                <w:i/>
                <w:w w:val="95"/>
                <w:sz w:val="22"/>
              </w:rPr>
              <w:t>重大疾病保险金</w:t>
            </w:r>
          </w:p>
        </w:tc>
        <w:tc>
          <w:tcPr>
            <w:tcW w:w="7058" w:type="dxa"/>
          </w:tcPr>
          <w:p>
            <w:pPr>
              <w:pStyle w:val="TableParagraph"/>
              <w:spacing w:before="4"/>
              <w:ind w:left="4"/>
              <w:rPr>
                <w:sz w:val="21"/>
              </w:rPr>
            </w:pPr>
            <w:r>
              <w:rPr>
                <w:sz w:val="21"/>
              </w:rPr>
              <w:t>被保险人因遭受</w:t>
            </w:r>
            <w:r>
              <w:rPr>
                <w:rFonts w:ascii="微软雅黑" w:eastAsia="微软雅黑" w:hint="eastAsia"/>
                <w:b/>
                <w:sz w:val="21"/>
              </w:rPr>
              <w:t>意外伤害（见释义）</w:t>
            </w:r>
            <w:r>
              <w:rPr>
                <w:sz w:val="21"/>
              </w:rPr>
              <w:t>或在等待期后因意外伤害以外的原因初</w:t>
            </w:r>
          </w:p>
        </w:tc>
      </w:tr>
      <w:tr>
        <w:trPr>
          <w:trHeight w:val="318" w:hRule="atLeast"/>
        </w:trPr>
        <w:tc>
          <w:tcPr>
            <w:tcW w:w="713" w:type="dxa"/>
          </w:tcPr>
          <w:p>
            <w:pPr>
              <w:pStyle w:val="TableParagraph"/>
              <w:ind w:left="0"/>
              <w:rPr>
                <w:rFonts w:ascii="Times New Roman"/>
                <w:sz w:val="20"/>
              </w:rPr>
            </w:pPr>
          </w:p>
        </w:tc>
        <w:tc>
          <w:tcPr>
            <w:tcW w:w="2192" w:type="dxa"/>
          </w:tcPr>
          <w:p>
            <w:pPr>
              <w:pStyle w:val="TableParagraph"/>
              <w:ind w:left="0"/>
              <w:rPr>
                <w:rFonts w:ascii="Times New Roman"/>
                <w:sz w:val="20"/>
              </w:rPr>
            </w:pPr>
          </w:p>
        </w:tc>
        <w:tc>
          <w:tcPr>
            <w:tcW w:w="7058" w:type="dxa"/>
          </w:tcPr>
          <w:p>
            <w:pPr>
              <w:pStyle w:val="TableParagraph"/>
              <w:spacing w:line="264" w:lineRule="exact"/>
              <w:ind w:left="4"/>
              <w:rPr>
                <w:sz w:val="21"/>
              </w:rPr>
            </w:pPr>
            <w:r>
              <w:rPr>
                <w:sz w:val="21"/>
              </w:rPr>
              <w:t>次发生并经专科医生确诊初次患本附加险合同约定的重大疾病（无论一种或</w:t>
            </w:r>
          </w:p>
        </w:tc>
      </w:tr>
      <w:tr>
        <w:trPr>
          <w:trHeight w:val="391" w:hRule="atLeast"/>
        </w:trPr>
        <w:tc>
          <w:tcPr>
            <w:tcW w:w="713" w:type="dxa"/>
          </w:tcPr>
          <w:p>
            <w:pPr>
              <w:pStyle w:val="TableParagraph"/>
              <w:ind w:left="0"/>
              <w:rPr>
                <w:rFonts w:ascii="Times New Roman"/>
                <w:sz w:val="20"/>
              </w:rPr>
            </w:pPr>
          </w:p>
        </w:tc>
        <w:tc>
          <w:tcPr>
            <w:tcW w:w="2192" w:type="dxa"/>
          </w:tcPr>
          <w:p>
            <w:pPr>
              <w:pStyle w:val="TableParagraph"/>
              <w:ind w:left="0"/>
              <w:rPr>
                <w:rFonts w:ascii="Times New Roman"/>
                <w:sz w:val="20"/>
              </w:rPr>
            </w:pPr>
          </w:p>
        </w:tc>
        <w:tc>
          <w:tcPr>
            <w:tcW w:w="7058" w:type="dxa"/>
          </w:tcPr>
          <w:p>
            <w:pPr>
              <w:pStyle w:val="TableParagraph"/>
              <w:spacing w:line="265" w:lineRule="exact"/>
              <w:ind w:left="4"/>
              <w:rPr>
                <w:sz w:val="21"/>
              </w:rPr>
            </w:pPr>
            <w:r>
              <w:rPr>
                <w:w w:val="100"/>
                <w:sz w:val="21"/>
              </w:rPr>
              <w:t>多种</w:t>
            </w:r>
            <w:r>
              <w:rPr>
                <w:spacing w:val="-108"/>
                <w:w w:val="100"/>
                <w:sz w:val="21"/>
              </w:rPr>
              <w:t>）</w:t>
            </w:r>
            <w:r>
              <w:rPr>
                <w:spacing w:val="-3"/>
                <w:w w:val="100"/>
                <w:sz w:val="21"/>
              </w:rPr>
              <w:t>，我们按基本保险金额给付重大疾病保险金，本附加险合同终止。</w:t>
            </w:r>
          </w:p>
        </w:tc>
      </w:tr>
      <w:tr>
        <w:trPr>
          <w:trHeight w:val="391" w:hRule="atLeast"/>
        </w:trPr>
        <w:tc>
          <w:tcPr>
            <w:tcW w:w="713" w:type="dxa"/>
          </w:tcPr>
          <w:p>
            <w:pPr>
              <w:pStyle w:val="TableParagraph"/>
              <w:spacing w:before="62"/>
              <w:ind w:left="107"/>
              <w:rPr>
                <w:rFonts w:ascii="黑体"/>
                <w:sz w:val="21"/>
              </w:rPr>
            </w:pPr>
            <w:r>
              <w:rPr>
                <w:rFonts w:ascii="黑体"/>
                <w:sz w:val="21"/>
              </w:rPr>
              <w:t>2.4</w:t>
            </w:r>
          </w:p>
        </w:tc>
        <w:tc>
          <w:tcPr>
            <w:tcW w:w="2192" w:type="dxa"/>
          </w:tcPr>
          <w:p>
            <w:pPr>
              <w:pStyle w:val="TableParagraph"/>
              <w:spacing w:before="62"/>
              <w:ind w:left="288"/>
              <w:rPr>
                <w:rFonts w:ascii="黑体" w:eastAsia="黑体" w:hint="eastAsia"/>
                <w:sz w:val="21"/>
              </w:rPr>
            </w:pPr>
            <w:r>
              <w:rPr>
                <w:rFonts w:ascii="黑体" w:eastAsia="黑体" w:hint="eastAsia"/>
                <w:sz w:val="21"/>
              </w:rPr>
              <w:t>责任免除</w:t>
            </w:r>
          </w:p>
        </w:tc>
        <w:tc>
          <w:tcPr>
            <w:tcW w:w="7058" w:type="dxa"/>
          </w:tcPr>
          <w:p>
            <w:pPr>
              <w:pStyle w:val="TableParagraph"/>
              <w:spacing w:before="62"/>
              <w:ind w:left="4"/>
              <w:rPr>
                <w:sz w:val="21"/>
              </w:rPr>
            </w:pPr>
            <w:r>
              <w:rPr>
                <w:sz w:val="21"/>
                <w:shd w:fill="A6A6A6" w:color="auto" w:val="clear"/>
              </w:rPr>
              <w:t>因下列情形之一，导致被保险人发生保险事故的，我们不承担保险责任：</w:t>
            </w:r>
          </w:p>
        </w:tc>
      </w:tr>
      <w:tr>
        <w:trPr>
          <w:trHeight w:val="319" w:hRule="atLeast"/>
        </w:trPr>
        <w:tc>
          <w:tcPr>
            <w:tcW w:w="2905" w:type="dxa"/>
            <w:gridSpan w:val="2"/>
            <w:vMerge w:val="restart"/>
          </w:tcPr>
          <w:p>
            <w:pPr>
              <w:pStyle w:val="TableParagraph"/>
              <w:ind w:left="0"/>
              <w:rPr>
                <w:rFonts w:ascii="Times New Roman"/>
                <w:sz w:val="20"/>
              </w:rPr>
            </w:pPr>
          </w:p>
        </w:tc>
        <w:tc>
          <w:tcPr>
            <w:tcW w:w="7058" w:type="dxa"/>
          </w:tcPr>
          <w:p>
            <w:pPr>
              <w:pStyle w:val="TableParagraph"/>
              <w:spacing w:line="265" w:lineRule="exact"/>
              <w:ind w:left="4"/>
              <w:rPr>
                <w:sz w:val="21"/>
              </w:rPr>
            </w:pPr>
            <w:r>
              <w:rPr>
                <w:sz w:val="21"/>
                <w:shd w:fill="A6A6A6" w:color="auto" w:val="clear"/>
              </w:rPr>
              <w:t>(1)投保人对被保险人的故意杀害、故意伤害；</w:t>
            </w:r>
          </w:p>
        </w:tc>
      </w:tr>
      <w:tr>
        <w:trPr>
          <w:trHeight w:val="320" w:hRule="atLeast"/>
        </w:trPr>
        <w:tc>
          <w:tcPr>
            <w:tcW w:w="2905" w:type="dxa"/>
            <w:gridSpan w:val="2"/>
            <w:vMerge/>
            <w:tcBorders>
              <w:top w:val="nil"/>
            </w:tcBorders>
          </w:tcPr>
          <w:p>
            <w:pPr>
              <w:rPr>
                <w:sz w:val="2"/>
                <w:szCs w:val="2"/>
              </w:rPr>
            </w:pPr>
          </w:p>
        </w:tc>
        <w:tc>
          <w:tcPr>
            <w:tcW w:w="7058" w:type="dxa"/>
          </w:tcPr>
          <w:p>
            <w:pPr>
              <w:pStyle w:val="TableParagraph"/>
              <w:spacing w:line="265" w:lineRule="exact"/>
              <w:ind w:left="4"/>
              <w:rPr>
                <w:sz w:val="21"/>
              </w:rPr>
            </w:pPr>
            <w:r>
              <w:rPr>
                <w:sz w:val="21"/>
                <w:shd w:fill="A6A6A6" w:color="auto" w:val="clear"/>
              </w:rPr>
              <w:t>(2)被保险人故意自伤、故意犯罪或者抗拒依法采取的刑事强制措施；</w:t>
            </w:r>
          </w:p>
        </w:tc>
      </w:tr>
      <w:tr>
        <w:trPr>
          <w:trHeight w:val="320" w:hRule="atLeast"/>
        </w:trPr>
        <w:tc>
          <w:tcPr>
            <w:tcW w:w="2905" w:type="dxa"/>
            <w:gridSpan w:val="2"/>
            <w:vMerge/>
            <w:tcBorders>
              <w:top w:val="nil"/>
            </w:tcBorders>
          </w:tcPr>
          <w:p>
            <w:pPr>
              <w:rPr>
                <w:sz w:val="2"/>
                <w:szCs w:val="2"/>
              </w:rPr>
            </w:pPr>
          </w:p>
        </w:tc>
        <w:tc>
          <w:tcPr>
            <w:tcW w:w="7058" w:type="dxa"/>
          </w:tcPr>
          <w:p>
            <w:pPr>
              <w:pStyle w:val="TableParagraph"/>
              <w:spacing w:line="292" w:lineRule="exact"/>
              <w:ind w:left="4"/>
              <w:rPr>
                <w:sz w:val="21"/>
              </w:rPr>
            </w:pPr>
            <w:r>
              <w:rPr>
                <w:w w:val="100"/>
                <w:sz w:val="21"/>
                <w:shd w:fill="A6A6A6" w:color="auto" w:val="clear"/>
              </w:rPr>
              <w:t>(3)</w:t>
            </w:r>
            <w:r>
              <w:rPr>
                <w:spacing w:val="-3"/>
                <w:w w:val="100"/>
                <w:sz w:val="21"/>
                <w:shd w:fill="A6A6A6" w:color="auto" w:val="clear"/>
              </w:rPr>
              <w:t>被保险人服用、吸食或注射</w:t>
            </w:r>
            <w:r>
              <w:rPr>
                <w:rFonts w:ascii="微软雅黑" w:eastAsia="微软雅黑" w:hint="eastAsia"/>
                <w:b/>
                <w:w w:val="100"/>
                <w:sz w:val="21"/>
                <w:shd w:fill="A6A6A6" w:color="auto" w:val="clear"/>
              </w:rPr>
              <w:t>毒品（见释义</w:t>
            </w:r>
            <w:r>
              <w:rPr>
                <w:rFonts w:ascii="微软雅黑" w:eastAsia="微软雅黑" w:hint="eastAsia"/>
                <w:b/>
                <w:spacing w:val="-106"/>
                <w:w w:val="100"/>
                <w:sz w:val="21"/>
                <w:shd w:fill="A6A6A6" w:color="auto" w:val="clear"/>
              </w:rPr>
              <w:t>）</w:t>
            </w:r>
            <w:r>
              <w:rPr>
                <w:w w:val="100"/>
                <w:sz w:val="21"/>
                <w:shd w:fill="A6A6A6" w:color="auto" w:val="clear"/>
              </w:rPr>
              <w:t>；</w:t>
            </w:r>
          </w:p>
        </w:tc>
      </w:tr>
      <w:tr>
        <w:trPr>
          <w:trHeight w:val="319" w:hRule="atLeast"/>
        </w:trPr>
        <w:tc>
          <w:tcPr>
            <w:tcW w:w="2905" w:type="dxa"/>
            <w:gridSpan w:val="2"/>
            <w:vMerge/>
            <w:tcBorders>
              <w:top w:val="nil"/>
            </w:tcBorders>
          </w:tcPr>
          <w:p>
            <w:pPr>
              <w:rPr>
                <w:sz w:val="2"/>
                <w:szCs w:val="2"/>
              </w:rPr>
            </w:pPr>
          </w:p>
        </w:tc>
        <w:tc>
          <w:tcPr>
            <w:tcW w:w="7058" w:type="dxa"/>
          </w:tcPr>
          <w:p>
            <w:pPr>
              <w:pStyle w:val="TableParagraph"/>
              <w:spacing w:line="291" w:lineRule="exact"/>
              <w:ind w:left="4"/>
              <w:rPr>
                <w:sz w:val="21"/>
              </w:rPr>
            </w:pPr>
            <w:r>
              <w:rPr>
                <w:w w:val="100"/>
                <w:sz w:val="21"/>
                <w:shd w:fill="A6A6A6" w:color="auto" w:val="clear"/>
              </w:rPr>
              <w:t>(4)被保险人</w:t>
            </w:r>
            <w:r>
              <w:rPr>
                <w:rFonts w:ascii="微软雅黑" w:eastAsia="微软雅黑" w:hint="eastAsia"/>
                <w:b/>
                <w:w w:val="100"/>
                <w:sz w:val="21"/>
                <w:shd w:fill="A6A6A6" w:color="auto" w:val="clear"/>
              </w:rPr>
              <w:t>酒后驾驶</w:t>
            </w:r>
            <w:r>
              <w:rPr>
                <w:rFonts w:ascii="微软雅黑" w:eastAsia="微软雅黑" w:hint="eastAsia"/>
                <w:b/>
                <w:spacing w:val="1"/>
                <w:w w:val="100"/>
                <w:sz w:val="21"/>
                <w:shd w:fill="A6A6A6" w:color="auto" w:val="clear"/>
              </w:rPr>
              <w:t>（见释义</w:t>
            </w:r>
            <w:r>
              <w:rPr>
                <w:rFonts w:ascii="微软雅黑" w:eastAsia="微软雅黑" w:hint="eastAsia"/>
                <w:b/>
                <w:spacing w:val="-102"/>
                <w:w w:val="100"/>
                <w:sz w:val="21"/>
                <w:shd w:fill="A6A6A6" w:color="auto" w:val="clear"/>
              </w:rPr>
              <w:t>）</w:t>
            </w:r>
            <w:r>
              <w:rPr>
                <w:spacing w:val="1"/>
                <w:w w:val="100"/>
                <w:sz w:val="21"/>
                <w:shd w:fill="A6A6A6" w:color="auto" w:val="clear"/>
              </w:rPr>
              <w:t>，</w:t>
            </w:r>
            <w:r>
              <w:rPr>
                <w:rFonts w:ascii="微软雅黑" w:eastAsia="微软雅黑" w:hint="eastAsia"/>
                <w:b/>
                <w:w w:val="100"/>
                <w:sz w:val="21"/>
                <w:shd w:fill="A6A6A6" w:color="auto" w:val="clear"/>
              </w:rPr>
              <w:t>无合法有效驾驶证驾驶</w:t>
            </w:r>
            <w:r>
              <w:rPr>
                <w:rFonts w:ascii="微软雅黑" w:eastAsia="微软雅黑" w:hint="eastAsia"/>
                <w:b/>
                <w:spacing w:val="1"/>
                <w:w w:val="100"/>
                <w:sz w:val="21"/>
                <w:shd w:fill="A6A6A6" w:color="auto" w:val="clear"/>
              </w:rPr>
              <w:t>（见释义</w:t>
            </w:r>
            <w:r>
              <w:rPr>
                <w:rFonts w:ascii="微软雅黑" w:eastAsia="微软雅黑" w:hint="eastAsia"/>
                <w:b/>
                <w:spacing w:val="-101"/>
                <w:w w:val="100"/>
                <w:sz w:val="21"/>
                <w:shd w:fill="A6A6A6" w:color="auto" w:val="clear"/>
              </w:rPr>
              <w:t>）</w:t>
            </w:r>
            <w:r>
              <w:rPr>
                <w:spacing w:val="1"/>
                <w:w w:val="100"/>
                <w:sz w:val="21"/>
                <w:shd w:fill="A6A6A6" w:color="auto" w:val="clear"/>
              </w:rPr>
              <w:t>，或驾</w:t>
            </w:r>
          </w:p>
        </w:tc>
      </w:tr>
      <w:tr>
        <w:trPr>
          <w:trHeight w:val="320" w:hRule="atLeast"/>
        </w:trPr>
        <w:tc>
          <w:tcPr>
            <w:tcW w:w="2905" w:type="dxa"/>
            <w:gridSpan w:val="2"/>
            <w:vMerge/>
            <w:tcBorders>
              <w:top w:val="nil"/>
            </w:tcBorders>
          </w:tcPr>
          <w:p>
            <w:pPr>
              <w:rPr>
                <w:sz w:val="2"/>
                <w:szCs w:val="2"/>
              </w:rPr>
            </w:pPr>
          </w:p>
        </w:tc>
        <w:tc>
          <w:tcPr>
            <w:tcW w:w="7058" w:type="dxa"/>
          </w:tcPr>
          <w:p>
            <w:pPr>
              <w:pStyle w:val="TableParagraph"/>
              <w:spacing w:line="290" w:lineRule="exact"/>
              <w:ind w:left="4"/>
              <w:rPr>
                <w:sz w:val="21"/>
              </w:rPr>
            </w:pPr>
            <w:r>
              <w:rPr>
                <w:spacing w:val="-3"/>
                <w:w w:val="100"/>
                <w:sz w:val="21"/>
                <w:shd w:fill="A6A6A6" w:color="auto" w:val="clear"/>
              </w:rPr>
              <w:t>驶</w:t>
            </w:r>
            <w:r>
              <w:rPr>
                <w:rFonts w:ascii="微软雅黑" w:eastAsia="微软雅黑" w:hint="eastAsia"/>
                <w:b/>
                <w:w w:val="100"/>
                <w:sz w:val="21"/>
                <w:shd w:fill="A6A6A6" w:color="auto" w:val="clear"/>
              </w:rPr>
              <w:t>无有效行驶证（</w:t>
            </w:r>
            <w:r>
              <w:rPr>
                <w:rFonts w:ascii="微软雅黑" w:eastAsia="微软雅黑" w:hint="eastAsia"/>
                <w:b/>
                <w:spacing w:val="-1"/>
                <w:w w:val="100"/>
                <w:sz w:val="21"/>
                <w:shd w:fill="A6A6A6" w:color="auto" w:val="clear"/>
              </w:rPr>
              <w:t>见释义</w:t>
            </w:r>
            <w:r>
              <w:rPr>
                <w:rFonts w:ascii="微软雅黑" w:eastAsia="微软雅黑" w:hint="eastAsia"/>
                <w:b/>
                <w:w w:val="100"/>
                <w:sz w:val="21"/>
                <w:shd w:fill="A6A6A6" w:color="auto" w:val="clear"/>
              </w:rPr>
              <w:t>）</w:t>
            </w:r>
            <w:r>
              <w:rPr>
                <w:spacing w:val="-3"/>
                <w:w w:val="100"/>
                <w:sz w:val="21"/>
                <w:shd w:fill="A6A6A6" w:color="auto" w:val="clear"/>
              </w:rPr>
              <w:t>的</w:t>
            </w:r>
            <w:r>
              <w:rPr>
                <w:rFonts w:ascii="微软雅黑" w:eastAsia="微软雅黑" w:hint="eastAsia"/>
                <w:b/>
                <w:w w:val="100"/>
                <w:sz w:val="21"/>
                <w:shd w:fill="A6A6A6" w:color="auto" w:val="clear"/>
              </w:rPr>
              <w:t>机动车（见释义</w:t>
            </w:r>
            <w:r>
              <w:rPr>
                <w:rFonts w:ascii="微软雅黑" w:eastAsia="微软雅黑" w:hint="eastAsia"/>
                <w:b/>
                <w:spacing w:val="-106"/>
                <w:w w:val="100"/>
                <w:sz w:val="21"/>
                <w:shd w:fill="A6A6A6" w:color="auto" w:val="clear"/>
              </w:rPr>
              <w:t>）</w:t>
            </w:r>
            <w:r>
              <w:rPr>
                <w:w w:val="100"/>
                <w:sz w:val="21"/>
                <w:shd w:fill="A6A6A6" w:color="auto" w:val="clear"/>
              </w:rPr>
              <w:t>；</w:t>
            </w:r>
          </w:p>
        </w:tc>
      </w:tr>
      <w:tr>
        <w:trPr>
          <w:trHeight w:val="320" w:hRule="atLeast"/>
        </w:trPr>
        <w:tc>
          <w:tcPr>
            <w:tcW w:w="2905" w:type="dxa"/>
            <w:gridSpan w:val="2"/>
            <w:vMerge/>
            <w:tcBorders>
              <w:top w:val="nil"/>
            </w:tcBorders>
          </w:tcPr>
          <w:p>
            <w:pPr>
              <w:rPr>
                <w:sz w:val="2"/>
                <w:szCs w:val="2"/>
              </w:rPr>
            </w:pPr>
          </w:p>
        </w:tc>
        <w:tc>
          <w:tcPr>
            <w:tcW w:w="7058" w:type="dxa"/>
          </w:tcPr>
          <w:p>
            <w:pPr>
              <w:pStyle w:val="TableParagraph"/>
              <w:spacing w:line="292" w:lineRule="exact"/>
              <w:ind w:left="4"/>
              <w:rPr>
                <w:rFonts w:ascii="微软雅黑" w:eastAsia="微软雅黑" w:hint="eastAsia"/>
                <w:b/>
                <w:sz w:val="21"/>
              </w:rPr>
            </w:pPr>
            <w:r>
              <w:rPr>
                <w:sz w:val="21"/>
                <w:shd w:fill="A6A6A6" w:color="auto" w:val="clear"/>
              </w:rPr>
              <w:t>(5)</w:t>
            </w:r>
            <w:r>
              <w:rPr>
                <w:spacing w:val="-3"/>
                <w:sz w:val="21"/>
                <w:shd w:fill="A6A6A6" w:color="auto" w:val="clear"/>
              </w:rPr>
              <w:t>被保险人所患</w:t>
            </w:r>
            <w:r>
              <w:rPr>
                <w:rFonts w:ascii="微软雅黑" w:eastAsia="微软雅黑" w:hint="eastAsia"/>
                <w:b/>
                <w:spacing w:val="-11"/>
                <w:sz w:val="21"/>
                <w:shd w:fill="A6A6A6" w:color="auto" w:val="clear"/>
              </w:rPr>
              <w:t>遗传性疾病</w:t>
            </w:r>
            <w:r>
              <w:rPr>
                <w:rFonts w:ascii="微软雅黑" w:eastAsia="微软雅黑" w:hint="eastAsia"/>
                <w:b/>
                <w:sz w:val="21"/>
                <w:shd w:fill="A6A6A6" w:color="auto" w:val="clear"/>
              </w:rPr>
              <w:t>（见释义</w:t>
            </w:r>
            <w:r>
              <w:rPr>
                <w:rFonts w:ascii="微软雅黑" w:eastAsia="微软雅黑" w:hint="eastAsia"/>
                <w:b/>
                <w:spacing w:val="-81"/>
                <w:sz w:val="21"/>
                <w:shd w:fill="A6A6A6" w:color="auto" w:val="clear"/>
              </w:rPr>
              <w:t>）</w:t>
            </w:r>
            <w:r>
              <w:rPr>
                <w:spacing w:val="-81"/>
                <w:sz w:val="21"/>
                <w:shd w:fill="A6A6A6" w:color="auto" w:val="clear"/>
              </w:rPr>
              <w:t>，</w:t>
            </w:r>
            <w:r>
              <w:rPr>
                <w:rFonts w:ascii="微软雅黑" w:eastAsia="微软雅黑" w:hint="eastAsia"/>
                <w:b/>
                <w:spacing w:val="-12"/>
                <w:sz w:val="21"/>
                <w:shd w:fill="A6A6A6" w:color="auto" w:val="clear"/>
              </w:rPr>
              <w:t>先天性畸形、变形或染色体异常</w:t>
            </w:r>
            <w:r>
              <w:rPr>
                <w:rFonts w:ascii="微软雅黑" w:eastAsia="微软雅黑" w:hint="eastAsia"/>
                <w:b/>
                <w:spacing w:val="-3"/>
                <w:sz w:val="21"/>
                <w:shd w:fill="A6A6A6" w:color="auto" w:val="clear"/>
              </w:rPr>
              <w:t>（见</w:t>
            </w:r>
          </w:p>
        </w:tc>
      </w:tr>
      <w:tr>
        <w:trPr>
          <w:trHeight w:val="319" w:hRule="atLeast"/>
        </w:trPr>
        <w:tc>
          <w:tcPr>
            <w:tcW w:w="2905" w:type="dxa"/>
            <w:gridSpan w:val="2"/>
            <w:vMerge/>
            <w:tcBorders>
              <w:top w:val="nil"/>
            </w:tcBorders>
          </w:tcPr>
          <w:p>
            <w:pPr>
              <w:rPr>
                <w:sz w:val="2"/>
                <w:szCs w:val="2"/>
              </w:rPr>
            </w:pPr>
          </w:p>
        </w:tc>
        <w:tc>
          <w:tcPr>
            <w:tcW w:w="7058" w:type="dxa"/>
          </w:tcPr>
          <w:p>
            <w:pPr>
              <w:pStyle w:val="TableParagraph"/>
              <w:spacing w:line="290" w:lineRule="exact"/>
              <w:ind w:left="4"/>
              <w:rPr>
                <w:sz w:val="21"/>
              </w:rPr>
            </w:pPr>
            <w:r>
              <w:rPr>
                <w:rFonts w:ascii="微软雅黑" w:eastAsia="微软雅黑" w:hint="eastAsia"/>
                <w:b/>
                <w:w w:val="100"/>
                <w:sz w:val="21"/>
                <w:shd w:fill="A6A6A6" w:color="auto" w:val="clear"/>
              </w:rPr>
              <w:t>释义</w:t>
            </w:r>
            <w:r>
              <w:rPr>
                <w:rFonts w:ascii="微软雅黑" w:eastAsia="微软雅黑" w:hint="eastAsia"/>
                <w:b/>
                <w:spacing w:val="-106"/>
                <w:w w:val="100"/>
                <w:sz w:val="21"/>
                <w:shd w:fill="A6A6A6" w:color="auto" w:val="clear"/>
              </w:rPr>
              <w:t>）</w:t>
            </w:r>
            <w:r>
              <w:rPr>
                <w:w w:val="100"/>
                <w:sz w:val="21"/>
                <w:shd w:fill="A6A6A6" w:color="auto" w:val="clear"/>
              </w:rPr>
              <w:t>；</w:t>
            </w:r>
          </w:p>
        </w:tc>
      </w:tr>
      <w:tr>
        <w:trPr>
          <w:trHeight w:val="320" w:hRule="atLeast"/>
        </w:trPr>
        <w:tc>
          <w:tcPr>
            <w:tcW w:w="2905" w:type="dxa"/>
            <w:gridSpan w:val="2"/>
            <w:vMerge/>
            <w:tcBorders>
              <w:top w:val="nil"/>
            </w:tcBorders>
          </w:tcPr>
          <w:p>
            <w:pPr>
              <w:rPr>
                <w:sz w:val="2"/>
                <w:szCs w:val="2"/>
              </w:rPr>
            </w:pPr>
          </w:p>
        </w:tc>
        <w:tc>
          <w:tcPr>
            <w:tcW w:w="7058" w:type="dxa"/>
          </w:tcPr>
          <w:p>
            <w:pPr>
              <w:pStyle w:val="TableParagraph"/>
              <w:spacing w:line="290" w:lineRule="exact"/>
              <w:ind w:left="4"/>
              <w:rPr>
                <w:sz w:val="21"/>
              </w:rPr>
            </w:pPr>
            <w:r>
              <w:rPr>
                <w:sz w:val="21"/>
                <w:shd w:fill="A6A6A6" w:color="auto" w:val="clear"/>
              </w:rPr>
              <w:t>(6)被保险人</w:t>
            </w:r>
            <w:r>
              <w:rPr>
                <w:rFonts w:ascii="微软雅黑" w:eastAsia="微软雅黑" w:hint="eastAsia"/>
                <w:b/>
                <w:sz w:val="21"/>
                <w:shd w:fill="A6A6A6" w:color="auto" w:val="clear"/>
              </w:rPr>
              <w:t>感染艾滋病病毒或患艾滋病（见释义）</w:t>
            </w:r>
            <w:r>
              <w:rPr>
                <w:sz w:val="21"/>
                <w:shd w:fill="A6A6A6" w:color="auto" w:val="clear"/>
              </w:rPr>
              <w:t>期间；</w:t>
            </w:r>
          </w:p>
        </w:tc>
      </w:tr>
      <w:tr>
        <w:trPr>
          <w:trHeight w:val="266" w:hRule="atLeast"/>
        </w:trPr>
        <w:tc>
          <w:tcPr>
            <w:tcW w:w="2905" w:type="dxa"/>
            <w:gridSpan w:val="2"/>
            <w:vMerge/>
            <w:tcBorders>
              <w:top w:val="nil"/>
            </w:tcBorders>
          </w:tcPr>
          <w:p>
            <w:pPr>
              <w:rPr>
                <w:sz w:val="2"/>
                <w:szCs w:val="2"/>
              </w:rPr>
            </w:pPr>
          </w:p>
        </w:tc>
        <w:tc>
          <w:tcPr>
            <w:tcW w:w="7058" w:type="dxa"/>
          </w:tcPr>
          <w:p>
            <w:pPr>
              <w:pStyle w:val="TableParagraph"/>
              <w:spacing w:line="246" w:lineRule="exact"/>
              <w:ind w:left="4"/>
              <w:rPr>
                <w:sz w:val="21"/>
              </w:rPr>
            </w:pPr>
            <w:r>
              <w:rPr>
                <w:sz w:val="21"/>
                <w:shd w:fill="A6A6A6" w:color="auto" w:val="clear"/>
              </w:rPr>
              <w:t>(7)战争、军事冲突、暴乱或武装叛乱；</w:t>
            </w:r>
          </w:p>
        </w:tc>
      </w:tr>
    </w:tbl>
    <w:p>
      <w:pPr>
        <w:spacing w:after="0" w:line="246" w:lineRule="exact"/>
        <w:rPr>
          <w:sz w:val="21"/>
        </w:rPr>
        <w:sectPr>
          <w:pgSz w:w="11910" w:h="16840"/>
          <w:pgMar w:top="1340" w:bottom="280" w:left="860" w:right="8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2083"/>
        <w:gridCol w:w="7167"/>
      </w:tblGrid>
      <w:tr>
        <w:trPr>
          <w:trHeight w:val="529" w:hRule="atLeast"/>
        </w:trPr>
        <w:tc>
          <w:tcPr>
            <w:tcW w:w="713" w:type="dxa"/>
          </w:tcPr>
          <w:p>
            <w:pPr>
              <w:pStyle w:val="TableParagraph"/>
              <w:ind w:left="0"/>
              <w:rPr>
                <w:rFonts w:ascii="Times New Roman"/>
                <w:sz w:val="20"/>
              </w:rPr>
            </w:pPr>
          </w:p>
        </w:tc>
        <w:tc>
          <w:tcPr>
            <w:tcW w:w="2083" w:type="dxa"/>
          </w:tcPr>
          <w:p>
            <w:pPr>
              <w:pStyle w:val="TableParagraph"/>
              <w:ind w:left="0"/>
              <w:rPr>
                <w:rFonts w:ascii="Times New Roman"/>
                <w:sz w:val="20"/>
              </w:rPr>
            </w:pPr>
          </w:p>
        </w:tc>
        <w:tc>
          <w:tcPr>
            <w:tcW w:w="7167" w:type="dxa"/>
          </w:tcPr>
          <w:p>
            <w:pPr>
              <w:pStyle w:val="TableParagraph"/>
              <w:spacing w:line="206" w:lineRule="exact"/>
              <w:ind w:left="113"/>
              <w:rPr>
                <w:sz w:val="21"/>
              </w:rPr>
            </w:pPr>
            <w:r>
              <w:rPr>
                <w:sz w:val="21"/>
                <w:shd w:fill="A6A6A6" w:color="auto" w:val="clear"/>
              </w:rPr>
              <w:t>(8)核爆炸、核辐射或核污染。</w:t>
            </w:r>
          </w:p>
        </w:tc>
      </w:tr>
      <w:tr>
        <w:trPr>
          <w:trHeight w:val="316" w:hRule="atLeast"/>
        </w:trPr>
        <w:tc>
          <w:tcPr>
            <w:tcW w:w="713" w:type="dxa"/>
            <w:shd w:val="clear" w:color="auto" w:fill="A6A6A6"/>
          </w:tcPr>
          <w:p>
            <w:pPr>
              <w:pStyle w:val="TableParagraph"/>
              <w:spacing w:before="7"/>
              <w:ind w:left="107"/>
              <w:rPr>
                <w:rFonts w:ascii="黑体" w:eastAsia="黑体" w:hint="eastAsia"/>
                <w:b/>
                <w:sz w:val="21"/>
              </w:rPr>
            </w:pPr>
            <w:r>
              <w:rPr>
                <w:rFonts w:ascii="黑体" w:eastAsia="黑体" w:hint="eastAsia"/>
                <w:b/>
                <w:sz w:val="21"/>
              </w:rPr>
              <w:t>3．</w:t>
            </w:r>
          </w:p>
        </w:tc>
        <w:tc>
          <w:tcPr>
            <w:tcW w:w="9250" w:type="dxa"/>
            <w:gridSpan w:val="2"/>
            <w:shd w:val="clear" w:color="auto" w:fill="A6A6A6"/>
          </w:tcPr>
          <w:p>
            <w:pPr>
              <w:pStyle w:val="TableParagraph"/>
              <w:spacing w:before="7"/>
              <w:ind w:left="288"/>
              <w:rPr>
                <w:rFonts w:ascii="黑体" w:eastAsia="黑体" w:hint="eastAsia"/>
                <w:b/>
                <w:sz w:val="21"/>
              </w:rPr>
            </w:pPr>
            <w:r>
              <w:rPr>
                <w:rFonts w:ascii="黑体" w:eastAsia="黑体" w:hint="eastAsia"/>
                <w:b/>
                <w:sz w:val="21"/>
              </w:rPr>
              <w:t>如何申请领取保险金</w:t>
            </w:r>
          </w:p>
        </w:tc>
      </w:tr>
      <w:tr>
        <w:trPr>
          <w:trHeight w:val="555" w:hRule="atLeast"/>
        </w:trPr>
        <w:tc>
          <w:tcPr>
            <w:tcW w:w="713" w:type="dxa"/>
          </w:tcPr>
          <w:p>
            <w:pPr>
              <w:pStyle w:val="TableParagraph"/>
              <w:spacing w:before="151"/>
              <w:ind w:left="107"/>
              <w:rPr>
                <w:rFonts w:ascii="黑体"/>
                <w:sz w:val="21"/>
              </w:rPr>
            </w:pPr>
            <w:r>
              <w:rPr>
                <w:rFonts w:ascii="黑体"/>
                <w:sz w:val="21"/>
              </w:rPr>
              <w:t>3.1</w:t>
            </w:r>
          </w:p>
        </w:tc>
        <w:tc>
          <w:tcPr>
            <w:tcW w:w="2083" w:type="dxa"/>
          </w:tcPr>
          <w:p>
            <w:pPr>
              <w:pStyle w:val="TableParagraph"/>
              <w:spacing w:before="151"/>
              <w:ind w:left="288"/>
              <w:rPr>
                <w:rFonts w:ascii="黑体" w:eastAsia="黑体" w:hint="eastAsia"/>
                <w:sz w:val="21"/>
              </w:rPr>
            </w:pPr>
            <w:r>
              <w:rPr>
                <w:rFonts w:ascii="黑体" w:eastAsia="黑体" w:hint="eastAsia"/>
                <w:sz w:val="21"/>
              </w:rPr>
              <w:t>受益人</w:t>
            </w:r>
          </w:p>
        </w:tc>
        <w:tc>
          <w:tcPr>
            <w:tcW w:w="7167" w:type="dxa"/>
          </w:tcPr>
          <w:p>
            <w:pPr>
              <w:pStyle w:val="TableParagraph"/>
              <w:spacing w:before="151"/>
              <w:ind w:left="113"/>
              <w:rPr>
                <w:sz w:val="21"/>
              </w:rPr>
            </w:pPr>
            <w:r>
              <w:rPr>
                <w:sz w:val="21"/>
              </w:rPr>
              <w:t>除另有指定外，本附加险合同保险金的受益人为被保险人本人。</w:t>
            </w:r>
          </w:p>
        </w:tc>
      </w:tr>
      <w:tr>
        <w:trPr>
          <w:trHeight w:val="457" w:hRule="atLeast"/>
        </w:trPr>
        <w:tc>
          <w:tcPr>
            <w:tcW w:w="713" w:type="dxa"/>
          </w:tcPr>
          <w:p>
            <w:pPr>
              <w:pStyle w:val="TableParagraph"/>
              <w:spacing w:before="56"/>
              <w:ind w:left="107"/>
              <w:rPr>
                <w:rFonts w:ascii="黑体"/>
                <w:sz w:val="21"/>
              </w:rPr>
            </w:pPr>
            <w:r>
              <w:rPr>
                <w:rFonts w:ascii="黑体"/>
                <w:sz w:val="21"/>
              </w:rPr>
              <w:t>3.2</w:t>
            </w:r>
          </w:p>
        </w:tc>
        <w:tc>
          <w:tcPr>
            <w:tcW w:w="2083" w:type="dxa"/>
          </w:tcPr>
          <w:p>
            <w:pPr>
              <w:pStyle w:val="TableParagraph"/>
              <w:spacing w:before="56"/>
              <w:ind w:left="288"/>
              <w:rPr>
                <w:rFonts w:ascii="黑体" w:eastAsia="黑体" w:hint="eastAsia"/>
                <w:sz w:val="21"/>
              </w:rPr>
            </w:pPr>
            <w:r>
              <w:rPr>
                <w:rFonts w:ascii="黑体" w:eastAsia="黑体" w:hint="eastAsia"/>
                <w:sz w:val="21"/>
              </w:rPr>
              <w:t>保险金申请</w:t>
            </w:r>
          </w:p>
        </w:tc>
        <w:tc>
          <w:tcPr>
            <w:tcW w:w="7167" w:type="dxa"/>
          </w:tcPr>
          <w:p>
            <w:pPr>
              <w:pStyle w:val="TableParagraph"/>
              <w:spacing w:before="56"/>
              <w:ind w:left="113"/>
              <w:rPr>
                <w:sz w:val="21"/>
              </w:rPr>
            </w:pPr>
            <w:r>
              <w:rPr>
                <w:sz w:val="21"/>
              </w:rPr>
              <w:t>在申请保险金时，请按照下列方式办理：</w:t>
            </w:r>
          </w:p>
        </w:tc>
      </w:tr>
      <w:tr>
        <w:trPr>
          <w:trHeight w:val="3666" w:hRule="atLeast"/>
        </w:trPr>
        <w:tc>
          <w:tcPr>
            <w:tcW w:w="713" w:type="dxa"/>
          </w:tcPr>
          <w:p>
            <w:pPr>
              <w:pStyle w:val="TableParagraph"/>
              <w:ind w:left="0"/>
              <w:rPr>
                <w:rFonts w:ascii="Times New Roman"/>
                <w:sz w:val="20"/>
              </w:rPr>
            </w:pPr>
          </w:p>
        </w:tc>
        <w:tc>
          <w:tcPr>
            <w:tcW w:w="2083" w:type="dxa"/>
          </w:tcPr>
          <w:p>
            <w:pPr>
              <w:pStyle w:val="TableParagraph"/>
              <w:spacing w:line="266" w:lineRule="auto" w:before="50"/>
              <w:ind w:left="288" w:right="110"/>
              <w:rPr>
                <w:rFonts w:ascii="黑体" w:eastAsia="黑体" w:hint="eastAsia"/>
                <w:i/>
                <w:sz w:val="22"/>
              </w:rPr>
            </w:pPr>
            <w:r>
              <w:rPr>
                <w:rFonts w:ascii="黑体" w:eastAsia="黑体" w:hint="eastAsia"/>
                <w:i/>
                <w:w w:val="95"/>
                <w:sz w:val="22"/>
              </w:rPr>
              <w:t>重大疾病保险金的申请</w:t>
            </w:r>
          </w:p>
        </w:tc>
        <w:tc>
          <w:tcPr>
            <w:tcW w:w="7167" w:type="dxa"/>
          </w:tcPr>
          <w:p>
            <w:pPr>
              <w:pStyle w:val="TableParagraph"/>
              <w:spacing w:before="62"/>
              <w:ind w:left="113"/>
              <w:rPr>
                <w:sz w:val="21"/>
              </w:rPr>
            </w:pPr>
            <w:r>
              <w:rPr>
                <w:sz w:val="21"/>
              </w:rPr>
              <w:t>受益人须填写保险金给付申请书，并提供下列证明和资料：</w:t>
            </w:r>
          </w:p>
          <w:p>
            <w:pPr>
              <w:pStyle w:val="TableParagraph"/>
              <w:spacing w:line="266" w:lineRule="exact" w:before="44"/>
              <w:ind w:left="113"/>
              <w:rPr>
                <w:sz w:val="21"/>
              </w:rPr>
            </w:pPr>
            <w:r>
              <w:rPr>
                <w:sz w:val="21"/>
              </w:rPr>
              <w:t>(1)保险合同；</w:t>
            </w:r>
          </w:p>
          <w:p>
            <w:pPr>
              <w:pStyle w:val="TableParagraph"/>
              <w:spacing w:line="354" w:lineRule="exact"/>
              <w:ind w:left="113"/>
              <w:rPr>
                <w:sz w:val="21"/>
              </w:rPr>
            </w:pPr>
            <w:r>
              <w:rPr>
                <w:w w:val="100"/>
                <w:sz w:val="21"/>
              </w:rPr>
              <w:t>(2)</w:t>
            </w:r>
            <w:r>
              <w:rPr>
                <w:spacing w:val="-3"/>
                <w:w w:val="100"/>
                <w:sz w:val="21"/>
              </w:rPr>
              <w:t>受益人的</w:t>
            </w:r>
            <w:r>
              <w:rPr>
                <w:rFonts w:ascii="微软雅黑" w:eastAsia="微软雅黑" w:hint="eastAsia"/>
                <w:b/>
                <w:spacing w:val="-1"/>
                <w:w w:val="100"/>
                <w:sz w:val="21"/>
              </w:rPr>
              <w:t>有效身份证件</w:t>
            </w:r>
            <w:r>
              <w:rPr>
                <w:rFonts w:ascii="微软雅黑" w:eastAsia="微软雅黑" w:hint="eastAsia"/>
                <w:b/>
                <w:w w:val="100"/>
                <w:sz w:val="21"/>
              </w:rPr>
              <w:t>（见释义</w:t>
            </w:r>
            <w:r>
              <w:rPr>
                <w:rFonts w:ascii="微软雅黑" w:eastAsia="微软雅黑" w:hint="eastAsia"/>
                <w:b/>
                <w:spacing w:val="-106"/>
                <w:w w:val="100"/>
                <w:sz w:val="21"/>
              </w:rPr>
              <w:t>）</w:t>
            </w:r>
            <w:r>
              <w:rPr>
                <w:w w:val="100"/>
                <w:sz w:val="21"/>
              </w:rPr>
              <w:t>；</w:t>
            </w:r>
          </w:p>
          <w:p>
            <w:pPr>
              <w:pStyle w:val="TableParagraph"/>
              <w:spacing w:line="278" w:lineRule="auto" w:before="21"/>
              <w:ind w:left="113" w:right="102"/>
              <w:rPr>
                <w:sz w:val="21"/>
              </w:rPr>
            </w:pPr>
            <w:r>
              <w:rPr>
                <w:sz w:val="21"/>
              </w:rPr>
              <w:t>(3)</w:t>
            </w:r>
            <w:r>
              <w:rPr>
                <w:spacing w:val="-6"/>
                <w:sz w:val="21"/>
              </w:rPr>
              <w:t>卫生行政部门认定的二级以上公立医院出具的附有病理显微镜检查、血液</w:t>
            </w:r>
            <w:r>
              <w:rPr>
                <w:spacing w:val="-4"/>
                <w:sz w:val="21"/>
              </w:rPr>
              <w:t>检验及其它科学方法检验报告的疾病诊断证明书；</w:t>
            </w:r>
          </w:p>
          <w:p>
            <w:pPr>
              <w:pStyle w:val="TableParagraph"/>
              <w:spacing w:line="280" w:lineRule="auto" w:before="10"/>
              <w:ind w:left="113" w:right="114"/>
              <w:rPr>
                <w:sz w:val="21"/>
              </w:rPr>
            </w:pPr>
            <w:r>
              <w:rPr>
                <w:sz w:val="21"/>
              </w:rPr>
              <w:t>(4)</w:t>
            </w:r>
            <w:r>
              <w:rPr>
                <w:spacing w:val="-3"/>
                <w:sz w:val="21"/>
              </w:rPr>
              <w:t>所能提供的与确认保险事故的性质、原因等有关的其他证明和资料。  若申请人为未成年人或无民事行为能力人时，由其合法监护人代其申请领取保险金，其合法监护人还必须提供申请人为未成年人或无民事行为能力人的证明和监护人具有合法监护权的证明。</w:t>
            </w:r>
          </w:p>
          <w:p>
            <w:pPr>
              <w:pStyle w:val="TableParagraph"/>
              <w:spacing w:line="278" w:lineRule="auto" w:before="10"/>
              <w:ind w:left="113" w:right="99"/>
              <w:rPr>
                <w:sz w:val="21"/>
              </w:rPr>
            </w:pPr>
            <w:r>
              <w:rPr>
                <w:sz w:val="21"/>
              </w:rPr>
              <w:t>以上保险金申请的证明和资料不完整的，我们将及时一次性通知受益人补充提供有关证明和资料。</w:t>
            </w:r>
          </w:p>
        </w:tc>
      </w:tr>
      <w:tr>
        <w:trPr>
          <w:trHeight w:val="3662" w:hRule="atLeast"/>
        </w:trPr>
        <w:tc>
          <w:tcPr>
            <w:tcW w:w="713" w:type="dxa"/>
          </w:tcPr>
          <w:p>
            <w:pPr>
              <w:pStyle w:val="TableParagraph"/>
              <w:spacing w:before="56"/>
              <w:ind w:left="107"/>
              <w:rPr>
                <w:rFonts w:ascii="黑体"/>
                <w:sz w:val="21"/>
              </w:rPr>
            </w:pPr>
            <w:r>
              <w:rPr>
                <w:rFonts w:ascii="黑体"/>
                <w:sz w:val="21"/>
              </w:rPr>
              <w:t>3.3</w:t>
            </w:r>
          </w:p>
        </w:tc>
        <w:tc>
          <w:tcPr>
            <w:tcW w:w="2083" w:type="dxa"/>
          </w:tcPr>
          <w:p>
            <w:pPr>
              <w:pStyle w:val="TableParagraph"/>
              <w:spacing w:before="56"/>
              <w:ind w:left="288"/>
              <w:rPr>
                <w:rFonts w:ascii="黑体" w:eastAsia="黑体" w:hint="eastAsia"/>
                <w:sz w:val="21"/>
              </w:rPr>
            </w:pPr>
            <w:r>
              <w:rPr>
                <w:rFonts w:ascii="黑体" w:eastAsia="黑体" w:hint="eastAsia"/>
                <w:sz w:val="21"/>
              </w:rPr>
              <w:t>保险金给付</w:t>
            </w:r>
          </w:p>
        </w:tc>
        <w:tc>
          <w:tcPr>
            <w:tcW w:w="7167" w:type="dxa"/>
          </w:tcPr>
          <w:p>
            <w:pPr>
              <w:pStyle w:val="TableParagraph"/>
              <w:spacing w:before="56"/>
              <w:ind w:left="113"/>
              <w:rPr>
                <w:sz w:val="21"/>
              </w:rPr>
            </w:pPr>
            <w:r>
              <w:rPr>
                <w:sz w:val="21"/>
              </w:rPr>
              <w:t>我们在收到保险金给付申请书及合同约定的证明和资料后，将在 5 日内作出</w:t>
            </w:r>
          </w:p>
          <w:p>
            <w:pPr>
              <w:pStyle w:val="TableParagraph"/>
              <w:spacing w:before="46"/>
              <w:ind w:left="113"/>
              <w:rPr>
                <w:sz w:val="21"/>
              </w:rPr>
            </w:pPr>
            <w:r>
              <w:rPr>
                <w:spacing w:val="-12"/>
                <w:sz w:val="21"/>
              </w:rPr>
              <w:t>核定；情形复杂的，在 </w:t>
            </w:r>
            <w:r>
              <w:rPr>
                <w:sz w:val="21"/>
              </w:rPr>
              <w:t>30</w:t>
            </w:r>
            <w:r>
              <w:rPr>
                <w:spacing w:val="-10"/>
                <w:sz w:val="21"/>
              </w:rPr>
              <w:t> 日内作出核定。对属于保险责任的，我们在与受益</w:t>
            </w:r>
          </w:p>
          <w:p>
            <w:pPr>
              <w:pStyle w:val="TableParagraph"/>
              <w:spacing w:before="44"/>
              <w:ind w:left="113"/>
              <w:rPr>
                <w:sz w:val="21"/>
              </w:rPr>
            </w:pPr>
            <w:r>
              <w:rPr>
                <w:sz w:val="21"/>
              </w:rPr>
              <w:t>人达成给付保险金的协议后 10 日内，履行给付保险金义务。</w:t>
            </w:r>
          </w:p>
          <w:p>
            <w:pPr>
              <w:pStyle w:val="TableParagraph"/>
              <w:spacing w:line="280" w:lineRule="auto" w:before="44"/>
              <w:ind w:left="113" w:right="100"/>
              <w:jc w:val="both"/>
              <w:rPr>
                <w:sz w:val="21"/>
              </w:rPr>
            </w:pPr>
            <w:r>
              <w:rPr>
                <w:sz w:val="21"/>
              </w:rPr>
              <w:t>我们未及时履行前款规定义务的，除支付保险金外，应当赔偿受益人因此受到的损失。前述“损失”是指根据中国人民银行公布的同期人民币活期存款基准利率计算的利息损失。</w:t>
            </w:r>
          </w:p>
          <w:p>
            <w:pPr>
              <w:pStyle w:val="TableParagraph"/>
              <w:spacing w:line="280" w:lineRule="auto" w:before="8"/>
              <w:ind w:left="113" w:right="100"/>
              <w:jc w:val="both"/>
              <w:rPr>
                <w:sz w:val="21"/>
              </w:rPr>
            </w:pPr>
            <w:r>
              <w:rPr>
                <w:spacing w:val="-5"/>
                <w:sz w:val="21"/>
              </w:rPr>
              <w:t>对不属于保险责任的，我们自作出核定之日起 </w:t>
            </w:r>
            <w:r>
              <w:rPr>
                <w:sz w:val="21"/>
              </w:rPr>
              <w:t>3</w:t>
            </w:r>
            <w:r>
              <w:rPr>
                <w:spacing w:val="-7"/>
                <w:sz w:val="21"/>
              </w:rPr>
              <w:t> 日内向受益人发出拒绝给付</w:t>
            </w:r>
            <w:r>
              <w:rPr>
                <w:spacing w:val="-5"/>
                <w:sz w:val="21"/>
              </w:rPr>
              <w:t>保险金通知书并说明理由。</w:t>
            </w:r>
          </w:p>
          <w:p>
            <w:pPr>
              <w:pStyle w:val="TableParagraph"/>
              <w:spacing w:line="280" w:lineRule="auto" w:before="8"/>
              <w:ind w:left="113" w:right="99"/>
              <w:jc w:val="both"/>
              <w:rPr>
                <w:sz w:val="21"/>
              </w:rPr>
            </w:pPr>
            <w:r>
              <w:rPr>
                <w:spacing w:val="-5"/>
                <w:sz w:val="21"/>
              </w:rPr>
              <w:t>我们在收到保险金给付申请书及有关证明和资料之日起 </w:t>
            </w:r>
            <w:r>
              <w:rPr>
                <w:sz w:val="21"/>
              </w:rPr>
              <w:t>60</w:t>
            </w:r>
            <w:r>
              <w:rPr>
                <w:spacing w:val="-17"/>
                <w:sz w:val="21"/>
              </w:rPr>
              <w:t> 日内，对给付保险</w:t>
            </w:r>
            <w:r>
              <w:rPr>
                <w:spacing w:val="-9"/>
                <w:sz w:val="21"/>
              </w:rPr>
              <w:t>金的数额不能确定的，根据已有证明和资料可以确定的数额先予支付；我们</w:t>
            </w:r>
            <w:r>
              <w:rPr>
                <w:spacing w:val="-5"/>
                <w:sz w:val="21"/>
              </w:rPr>
              <w:t>最终确定给付保险金的数额后，将支付相应的差额。</w:t>
            </w:r>
          </w:p>
        </w:tc>
      </w:tr>
      <w:tr>
        <w:trPr>
          <w:trHeight w:val="973" w:hRule="atLeast"/>
        </w:trPr>
        <w:tc>
          <w:tcPr>
            <w:tcW w:w="713" w:type="dxa"/>
          </w:tcPr>
          <w:p>
            <w:pPr>
              <w:pStyle w:val="TableParagraph"/>
              <w:spacing w:before="56"/>
              <w:ind w:left="107"/>
              <w:rPr>
                <w:rFonts w:ascii="黑体"/>
                <w:sz w:val="21"/>
              </w:rPr>
            </w:pPr>
            <w:r>
              <w:rPr>
                <w:rFonts w:ascii="黑体"/>
                <w:sz w:val="21"/>
              </w:rPr>
              <w:t>3.4</w:t>
            </w:r>
          </w:p>
        </w:tc>
        <w:tc>
          <w:tcPr>
            <w:tcW w:w="2083" w:type="dxa"/>
          </w:tcPr>
          <w:p>
            <w:pPr>
              <w:pStyle w:val="TableParagraph"/>
              <w:spacing w:before="56"/>
              <w:ind w:left="288"/>
              <w:rPr>
                <w:rFonts w:ascii="黑体" w:eastAsia="黑体" w:hint="eastAsia"/>
                <w:sz w:val="21"/>
              </w:rPr>
            </w:pPr>
            <w:r>
              <w:rPr>
                <w:rFonts w:ascii="黑体" w:eastAsia="黑体" w:hint="eastAsia"/>
                <w:sz w:val="21"/>
              </w:rPr>
              <w:t>诉讼时效</w:t>
            </w:r>
          </w:p>
        </w:tc>
        <w:tc>
          <w:tcPr>
            <w:tcW w:w="7167" w:type="dxa"/>
          </w:tcPr>
          <w:p>
            <w:pPr>
              <w:pStyle w:val="TableParagraph"/>
              <w:spacing w:line="280" w:lineRule="auto" w:before="56"/>
              <w:ind w:left="113" w:right="100"/>
              <w:rPr>
                <w:sz w:val="21"/>
              </w:rPr>
            </w:pPr>
            <w:r>
              <w:rPr>
                <w:spacing w:val="-5"/>
                <w:sz w:val="21"/>
              </w:rPr>
              <w:t>受益人向我们请求给付保险金的诉讼时效期间为 </w:t>
            </w:r>
            <w:r>
              <w:rPr>
                <w:sz w:val="21"/>
              </w:rPr>
              <w:t>2</w:t>
            </w:r>
            <w:r>
              <w:rPr>
                <w:spacing w:val="-7"/>
                <w:sz w:val="21"/>
              </w:rPr>
              <w:t> 年，自其知道或者应当知</w:t>
            </w:r>
            <w:r>
              <w:rPr>
                <w:spacing w:val="-5"/>
                <w:sz w:val="21"/>
              </w:rPr>
              <w:t>道保险事故发生之日起计算。</w:t>
            </w:r>
          </w:p>
        </w:tc>
      </w:tr>
      <w:tr>
        <w:trPr>
          <w:trHeight w:val="319" w:hRule="atLeast"/>
        </w:trPr>
        <w:tc>
          <w:tcPr>
            <w:tcW w:w="713" w:type="dxa"/>
            <w:shd w:val="clear" w:color="auto" w:fill="A6A6A6"/>
          </w:tcPr>
          <w:p>
            <w:pPr>
              <w:pStyle w:val="TableParagraph"/>
              <w:spacing w:before="7"/>
              <w:ind w:left="107"/>
              <w:rPr>
                <w:rFonts w:ascii="黑体" w:eastAsia="黑体" w:hint="eastAsia"/>
                <w:b/>
                <w:sz w:val="21"/>
              </w:rPr>
            </w:pPr>
            <w:r>
              <w:rPr>
                <w:rFonts w:ascii="黑体" w:eastAsia="黑体" w:hint="eastAsia"/>
                <w:b/>
                <w:sz w:val="21"/>
              </w:rPr>
              <w:t>4．</w:t>
            </w:r>
          </w:p>
        </w:tc>
        <w:tc>
          <w:tcPr>
            <w:tcW w:w="2083" w:type="dxa"/>
            <w:shd w:val="clear" w:color="auto" w:fill="A6A6A6"/>
          </w:tcPr>
          <w:p>
            <w:pPr>
              <w:pStyle w:val="TableParagraph"/>
              <w:spacing w:before="7"/>
              <w:ind w:left="288"/>
              <w:rPr>
                <w:rFonts w:ascii="黑体" w:eastAsia="黑体" w:hint="eastAsia"/>
                <w:b/>
                <w:sz w:val="21"/>
              </w:rPr>
            </w:pPr>
            <w:r>
              <w:rPr>
                <w:rFonts w:ascii="黑体" w:eastAsia="黑体" w:hint="eastAsia"/>
                <w:b/>
                <w:sz w:val="21"/>
              </w:rPr>
              <w:t>如何支付保险费</w:t>
            </w:r>
          </w:p>
        </w:tc>
        <w:tc>
          <w:tcPr>
            <w:tcW w:w="7167" w:type="dxa"/>
            <w:shd w:val="clear" w:color="auto" w:fill="A6A6A6"/>
          </w:tcPr>
          <w:p>
            <w:pPr>
              <w:pStyle w:val="TableParagraph"/>
              <w:ind w:left="0"/>
              <w:rPr>
                <w:rFonts w:ascii="Times New Roman"/>
                <w:sz w:val="20"/>
              </w:rPr>
            </w:pPr>
          </w:p>
        </w:tc>
      </w:tr>
      <w:tr>
        <w:trPr>
          <w:trHeight w:val="746" w:hRule="atLeast"/>
        </w:trPr>
        <w:tc>
          <w:tcPr>
            <w:tcW w:w="713" w:type="dxa"/>
          </w:tcPr>
          <w:p>
            <w:pPr>
              <w:pStyle w:val="TableParagraph"/>
              <w:spacing w:before="148"/>
              <w:ind w:left="107"/>
              <w:rPr>
                <w:rFonts w:ascii="黑体"/>
                <w:sz w:val="21"/>
              </w:rPr>
            </w:pPr>
            <w:r>
              <w:rPr>
                <w:rFonts w:ascii="黑体"/>
                <w:sz w:val="21"/>
              </w:rPr>
              <w:t>4.1</w:t>
            </w:r>
          </w:p>
        </w:tc>
        <w:tc>
          <w:tcPr>
            <w:tcW w:w="2083" w:type="dxa"/>
          </w:tcPr>
          <w:p>
            <w:pPr>
              <w:pStyle w:val="TableParagraph"/>
              <w:spacing w:before="148"/>
              <w:ind w:left="288"/>
              <w:rPr>
                <w:rFonts w:ascii="黑体" w:eastAsia="黑体" w:hint="eastAsia"/>
                <w:sz w:val="21"/>
              </w:rPr>
            </w:pPr>
            <w:r>
              <w:rPr>
                <w:rFonts w:ascii="黑体" w:eastAsia="黑体" w:hint="eastAsia"/>
                <w:sz w:val="21"/>
              </w:rPr>
              <w:t>保险费的支付</w:t>
            </w:r>
          </w:p>
        </w:tc>
        <w:tc>
          <w:tcPr>
            <w:tcW w:w="7167" w:type="dxa"/>
          </w:tcPr>
          <w:p>
            <w:pPr>
              <w:pStyle w:val="TableParagraph"/>
              <w:spacing w:before="148"/>
              <w:ind w:left="113"/>
              <w:rPr>
                <w:sz w:val="21"/>
              </w:rPr>
            </w:pPr>
            <w:r>
              <w:rPr>
                <w:sz w:val="21"/>
              </w:rPr>
              <w:t>您应于投保时一次性交清全部保险费。</w:t>
            </w:r>
          </w:p>
        </w:tc>
      </w:tr>
      <w:tr>
        <w:trPr>
          <w:trHeight w:val="319" w:hRule="atLeast"/>
        </w:trPr>
        <w:tc>
          <w:tcPr>
            <w:tcW w:w="713" w:type="dxa"/>
            <w:shd w:val="clear" w:color="auto" w:fill="A6A6A6"/>
          </w:tcPr>
          <w:p>
            <w:pPr>
              <w:pStyle w:val="TableParagraph"/>
              <w:spacing w:before="7"/>
              <w:ind w:left="107"/>
              <w:rPr>
                <w:rFonts w:ascii="黑体" w:eastAsia="黑体" w:hint="eastAsia"/>
                <w:b/>
                <w:sz w:val="21"/>
              </w:rPr>
            </w:pPr>
            <w:r>
              <w:rPr>
                <w:rFonts w:ascii="黑体" w:eastAsia="黑体" w:hint="eastAsia"/>
                <w:b/>
                <w:sz w:val="21"/>
              </w:rPr>
              <w:t>5．</w:t>
            </w:r>
          </w:p>
        </w:tc>
        <w:tc>
          <w:tcPr>
            <w:tcW w:w="2083" w:type="dxa"/>
            <w:shd w:val="clear" w:color="auto" w:fill="A6A6A6"/>
          </w:tcPr>
          <w:p>
            <w:pPr>
              <w:pStyle w:val="TableParagraph"/>
              <w:spacing w:before="7"/>
              <w:ind w:left="288"/>
              <w:rPr>
                <w:rFonts w:ascii="黑体" w:eastAsia="黑体" w:hint="eastAsia"/>
                <w:b/>
                <w:sz w:val="21"/>
              </w:rPr>
            </w:pPr>
            <w:r>
              <w:rPr>
                <w:rFonts w:ascii="黑体" w:eastAsia="黑体" w:hint="eastAsia"/>
                <w:b/>
                <w:sz w:val="21"/>
              </w:rPr>
              <w:t>如何解除保险合同</w:t>
            </w:r>
          </w:p>
        </w:tc>
        <w:tc>
          <w:tcPr>
            <w:tcW w:w="7167" w:type="dxa"/>
            <w:shd w:val="clear" w:color="auto" w:fill="A6A6A6"/>
          </w:tcPr>
          <w:p>
            <w:pPr>
              <w:pStyle w:val="TableParagraph"/>
              <w:ind w:left="0"/>
              <w:rPr>
                <w:rFonts w:ascii="Times New Roman"/>
                <w:sz w:val="20"/>
              </w:rPr>
            </w:pPr>
          </w:p>
        </w:tc>
      </w:tr>
      <w:tr>
        <w:trPr>
          <w:trHeight w:val="2029" w:hRule="atLeast"/>
        </w:trPr>
        <w:tc>
          <w:tcPr>
            <w:tcW w:w="713" w:type="dxa"/>
          </w:tcPr>
          <w:p>
            <w:pPr>
              <w:pStyle w:val="TableParagraph"/>
              <w:spacing w:before="149"/>
              <w:ind w:left="107"/>
              <w:rPr>
                <w:rFonts w:ascii="黑体"/>
                <w:sz w:val="21"/>
              </w:rPr>
            </w:pPr>
            <w:r>
              <w:rPr>
                <w:rFonts w:ascii="黑体"/>
                <w:sz w:val="21"/>
              </w:rPr>
              <w:t>5.1</w:t>
            </w:r>
          </w:p>
        </w:tc>
        <w:tc>
          <w:tcPr>
            <w:tcW w:w="2083" w:type="dxa"/>
          </w:tcPr>
          <w:p>
            <w:pPr>
              <w:pStyle w:val="TableParagraph"/>
              <w:spacing w:line="278" w:lineRule="auto" w:before="149"/>
              <w:ind w:left="288" w:right="110"/>
              <w:rPr>
                <w:rFonts w:ascii="黑体" w:eastAsia="黑体" w:hint="eastAsia"/>
                <w:sz w:val="21"/>
              </w:rPr>
            </w:pPr>
            <w:r>
              <w:rPr>
                <w:rFonts w:ascii="黑体" w:eastAsia="黑体" w:hint="eastAsia"/>
                <w:sz w:val="21"/>
              </w:rPr>
              <w:t>您解除合同的手续及风险</w:t>
            </w:r>
          </w:p>
        </w:tc>
        <w:tc>
          <w:tcPr>
            <w:tcW w:w="7167" w:type="dxa"/>
          </w:tcPr>
          <w:p>
            <w:pPr>
              <w:pStyle w:val="TableParagraph"/>
              <w:spacing w:before="149"/>
              <w:ind w:left="113" w:right="-15"/>
              <w:rPr>
                <w:sz w:val="21"/>
              </w:rPr>
            </w:pPr>
            <w:r>
              <w:rPr>
                <w:spacing w:val="-10"/>
                <w:sz w:val="21"/>
              </w:rPr>
              <w:t>如您申请解除本附加险合同，请填写解除合同申请书并向我们提供下列资料：</w:t>
            </w:r>
          </w:p>
          <w:p>
            <w:pPr>
              <w:pStyle w:val="TableParagraph"/>
              <w:spacing w:before="44"/>
              <w:ind w:left="113"/>
              <w:rPr>
                <w:sz w:val="21"/>
              </w:rPr>
            </w:pPr>
            <w:r>
              <w:rPr>
                <w:sz w:val="21"/>
              </w:rPr>
              <w:t>(1)保险合同；</w:t>
            </w:r>
          </w:p>
          <w:p>
            <w:pPr>
              <w:pStyle w:val="TableParagraph"/>
              <w:spacing w:before="46"/>
              <w:ind w:left="113"/>
              <w:rPr>
                <w:sz w:val="21"/>
              </w:rPr>
            </w:pPr>
            <w:r>
              <w:rPr>
                <w:sz w:val="21"/>
              </w:rPr>
              <w:t>(2)您的有效身份证件。</w:t>
            </w:r>
          </w:p>
          <w:p>
            <w:pPr>
              <w:pStyle w:val="TableParagraph"/>
              <w:spacing w:line="228" w:lineRule="auto" w:before="57"/>
              <w:ind w:left="113" w:right="113"/>
              <w:rPr>
                <w:sz w:val="21"/>
              </w:rPr>
            </w:pPr>
            <w:r>
              <w:rPr>
                <w:spacing w:val="-3"/>
                <w:sz w:val="21"/>
              </w:rPr>
              <w:t>自我们收到解除合同申请书时起，本附加险合同终止。我们自收到解除合同</w:t>
            </w:r>
            <w:r>
              <w:rPr>
                <w:spacing w:val="-9"/>
                <w:sz w:val="21"/>
              </w:rPr>
              <w:t>申请书之日起 </w:t>
            </w:r>
            <w:r>
              <w:rPr>
                <w:sz w:val="21"/>
              </w:rPr>
              <w:t>30</w:t>
            </w:r>
            <w:r>
              <w:rPr>
                <w:spacing w:val="-8"/>
                <w:sz w:val="21"/>
              </w:rPr>
              <w:t> 日内向您退还保险单的</w:t>
            </w:r>
            <w:r>
              <w:rPr>
                <w:rFonts w:ascii="微软雅黑" w:eastAsia="微软雅黑" w:hint="eastAsia"/>
                <w:b/>
                <w:sz w:val="21"/>
              </w:rPr>
              <w:t>现金价值</w:t>
            </w:r>
            <w:r>
              <w:rPr>
                <w:rFonts w:ascii="微软雅黑" w:eastAsia="微软雅黑" w:hint="eastAsia"/>
                <w:b/>
                <w:spacing w:val="-3"/>
                <w:sz w:val="21"/>
              </w:rPr>
              <w:t>（</w:t>
            </w:r>
            <w:r>
              <w:rPr>
                <w:rFonts w:ascii="微软雅黑" w:eastAsia="微软雅黑" w:hint="eastAsia"/>
                <w:b/>
                <w:sz w:val="21"/>
              </w:rPr>
              <w:t>见释义</w:t>
            </w:r>
            <w:r>
              <w:rPr>
                <w:rFonts w:ascii="微软雅黑" w:eastAsia="微软雅黑" w:hint="eastAsia"/>
                <w:b/>
                <w:spacing w:val="-106"/>
                <w:sz w:val="21"/>
              </w:rPr>
              <w:t>）</w:t>
            </w:r>
            <w:r>
              <w:rPr>
                <w:sz w:val="21"/>
              </w:rPr>
              <w:t>。</w:t>
            </w:r>
          </w:p>
          <w:p>
            <w:pPr>
              <w:pStyle w:val="TableParagraph"/>
              <w:spacing w:line="260" w:lineRule="exact" w:before="20"/>
              <w:ind w:left="113"/>
              <w:rPr>
                <w:sz w:val="21"/>
              </w:rPr>
            </w:pPr>
            <w:r>
              <w:rPr>
                <w:sz w:val="21"/>
              </w:rPr>
              <w:t>您解除合同会遭受一定损失。</w:t>
            </w:r>
          </w:p>
        </w:tc>
      </w:tr>
    </w:tbl>
    <w:p>
      <w:pPr>
        <w:spacing w:after="0" w:line="260" w:lineRule="exact"/>
        <w:rPr>
          <w:sz w:val="21"/>
        </w:rPr>
        <w:sectPr>
          <w:pgSz w:w="11910" w:h="16840"/>
          <w:pgMar w:top="1480" w:bottom="280" w:left="860" w:right="8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2084"/>
        <w:gridCol w:w="7168"/>
      </w:tblGrid>
      <w:tr>
        <w:trPr>
          <w:trHeight w:val="319" w:hRule="atLeast"/>
        </w:trPr>
        <w:tc>
          <w:tcPr>
            <w:tcW w:w="713" w:type="dxa"/>
            <w:shd w:val="clear" w:color="auto" w:fill="A6A6A6"/>
          </w:tcPr>
          <w:p>
            <w:pPr>
              <w:pStyle w:val="TableParagraph"/>
              <w:spacing w:before="11"/>
              <w:ind w:left="107"/>
              <w:rPr>
                <w:rFonts w:ascii="黑体" w:eastAsia="黑体" w:hint="eastAsia"/>
                <w:b/>
                <w:sz w:val="21"/>
              </w:rPr>
            </w:pPr>
            <w:r>
              <w:rPr>
                <w:rFonts w:ascii="黑体" w:eastAsia="黑体" w:hint="eastAsia"/>
                <w:b/>
                <w:sz w:val="21"/>
              </w:rPr>
              <w:t>6．</w:t>
            </w:r>
          </w:p>
        </w:tc>
        <w:tc>
          <w:tcPr>
            <w:tcW w:w="9252" w:type="dxa"/>
            <w:gridSpan w:val="2"/>
            <w:shd w:val="clear" w:color="auto" w:fill="A6A6A6"/>
          </w:tcPr>
          <w:p>
            <w:pPr>
              <w:pStyle w:val="TableParagraph"/>
              <w:spacing w:before="11"/>
              <w:ind w:left="288"/>
              <w:rPr>
                <w:rFonts w:ascii="黑体" w:eastAsia="黑体" w:hint="eastAsia"/>
                <w:b/>
                <w:sz w:val="21"/>
              </w:rPr>
            </w:pPr>
            <w:r>
              <w:rPr>
                <w:rFonts w:ascii="黑体" w:eastAsia="黑体" w:hint="eastAsia"/>
                <w:b/>
                <w:sz w:val="21"/>
              </w:rPr>
              <w:t>其他需要关注的事项</w:t>
            </w:r>
          </w:p>
        </w:tc>
      </w:tr>
      <w:tr>
        <w:trPr>
          <w:trHeight w:val="873" w:hRule="atLeast"/>
        </w:trPr>
        <w:tc>
          <w:tcPr>
            <w:tcW w:w="713" w:type="dxa"/>
          </w:tcPr>
          <w:p>
            <w:pPr>
              <w:pStyle w:val="TableParagraph"/>
              <w:spacing w:before="153"/>
              <w:ind w:left="107"/>
              <w:rPr>
                <w:rFonts w:ascii="黑体"/>
                <w:sz w:val="21"/>
              </w:rPr>
            </w:pPr>
            <w:r>
              <w:rPr>
                <w:rFonts w:ascii="黑体"/>
                <w:sz w:val="21"/>
              </w:rPr>
              <w:t>6.1</w:t>
            </w:r>
          </w:p>
        </w:tc>
        <w:tc>
          <w:tcPr>
            <w:tcW w:w="2084" w:type="dxa"/>
          </w:tcPr>
          <w:p>
            <w:pPr>
              <w:pStyle w:val="TableParagraph"/>
              <w:spacing w:line="278" w:lineRule="auto" w:before="153"/>
              <w:ind w:left="288" w:right="111"/>
              <w:rPr>
                <w:rFonts w:ascii="黑体" w:eastAsia="黑体" w:hint="eastAsia"/>
                <w:sz w:val="21"/>
              </w:rPr>
            </w:pPr>
            <w:r>
              <w:rPr>
                <w:rFonts w:ascii="黑体" w:eastAsia="黑体" w:hint="eastAsia"/>
                <w:sz w:val="21"/>
              </w:rPr>
              <w:t>与主险合同效力的关系</w:t>
            </w:r>
          </w:p>
        </w:tc>
        <w:tc>
          <w:tcPr>
            <w:tcW w:w="7168" w:type="dxa"/>
          </w:tcPr>
          <w:p>
            <w:pPr>
              <w:pStyle w:val="TableParagraph"/>
              <w:spacing w:line="278" w:lineRule="auto" w:before="153"/>
              <w:ind w:left="112" w:right="116"/>
              <w:rPr>
                <w:sz w:val="21"/>
              </w:rPr>
            </w:pPr>
            <w:r>
              <w:rPr>
                <w:sz w:val="21"/>
              </w:rPr>
              <w:t>除本附加险合同另有约定外，主险合同效力终止，本附加险合同效力同时终止。</w:t>
            </w:r>
          </w:p>
        </w:tc>
      </w:tr>
      <w:tr>
        <w:trPr>
          <w:trHeight w:val="2894" w:hRule="atLeast"/>
        </w:trPr>
        <w:tc>
          <w:tcPr>
            <w:tcW w:w="713" w:type="dxa"/>
          </w:tcPr>
          <w:p>
            <w:pPr>
              <w:pStyle w:val="TableParagraph"/>
              <w:spacing w:before="62"/>
              <w:ind w:left="107"/>
              <w:rPr>
                <w:rFonts w:ascii="黑体"/>
                <w:sz w:val="21"/>
              </w:rPr>
            </w:pPr>
            <w:r>
              <w:rPr>
                <w:rFonts w:ascii="黑体"/>
                <w:sz w:val="21"/>
              </w:rPr>
              <w:t>6.2</w:t>
            </w:r>
          </w:p>
        </w:tc>
        <w:tc>
          <w:tcPr>
            <w:tcW w:w="2084" w:type="dxa"/>
          </w:tcPr>
          <w:p>
            <w:pPr>
              <w:pStyle w:val="TableParagraph"/>
              <w:spacing w:before="62"/>
              <w:ind w:left="288"/>
              <w:rPr>
                <w:rFonts w:ascii="黑体" w:eastAsia="黑体" w:hint="eastAsia"/>
                <w:sz w:val="21"/>
              </w:rPr>
            </w:pPr>
            <w:r>
              <w:rPr>
                <w:rFonts w:ascii="黑体" w:eastAsia="黑体" w:hint="eastAsia"/>
                <w:sz w:val="21"/>
              </w:rPr>
              <w:t>适用主险合同条款</w:t>
            </w:r>
          </w:p>
        </w:tc>
        <w:tc>
          <w:tcPr>
            <w:tcW w:w="7168" w:type="dxa"/>
          </w:tcPr>
          <w:p>
            <w:pPr>
              <w:pStyle w:val="TableParagraph"/>
              <w:spacing w:before="62"/>
              <w:ind w:left="112"/>
              <w:rPr>
                <w:sz w:val="21"/>
              </w:rPr>
            </w:pPr>
            <w:r>
              <w:rPr>
                <w:sz w:val="21"/>
              </w:rPr>
              <w:t>下列条款适用主险合同条款：</w:t>
            </w:r>
          </w:p>
          <w:p>
            <w:pPr>
              <w:pStyle w:val="TableParagraph"/>
              <w:spacing w:before="44"/>
              <w:ind w:left="112"/>
              <w:rPr>
                <w:sz w:val="21"/>
              </w:rPr>
            </w:pPr>
            <w:r>
              <w:rPr>
                <w:sz w:val="21"/>
              </w:rPr>
              <w:t>(1)保险事故通知；</w:t>
            </w:r>
          </w:p>
          <w:p>
            <w:pPr>
              <w:pStyle w:val="TableParagraph"/>
              <w:spacing w:before="44"/>
              <w:ind w:left="112"/>
              <w:rPr>
                <w:sz w:val="21"/>
              </w:rPr>
            </w:pPr>
            <w:r>
              <w:rPr>
                <w:sz w:val="21"/>
              </w:rPr>
              <w:t>(2)明确说明与如实告知；</w:t>
            </w:r>
          </w:p>
          <w:p>
            <w:pPr>
              <w:pStyle w:val="TableParagraph"/>
              <w:spacing w:before="46"/>
              <w:ind w:left="112"/>
              <w:rPr>
                <w:sz w:val="21"/>
              </w:rPr>
            </w:pPr>
            <w:r>
              <w:rPr>
                <w:sz w:val="21"/>
              </w:rPr>
              <w:t>(3)我们合同解除权的限制；</w:t>
            </w:r>
          </w:p>
          <w:p>
            <w:pPr>
              <w:pStyle w:val="TableParagraph"/>
              <w:spacing w:before="44"/>
              <w:ind w:left="112"/>
              <w:rPr>
                <w:sz w:val="21"/>
              </w:rPr>
            </w:pPr>
            <w:r>
              <w:rPr>
                <w:sz w:val="21"/>
              </w:rPr>
              <w:t>(4)年龄和性别确定与错误处理</w:t>
            </w:r>
          </w:p>
          <w:p>
            <w:pPr>
              <w:pStyle w:val="TableParagraph"/>
              <w:spacing w:before="44"/>
              <w:ind w:left="112"/>
              <w:rPr>
                <w:sz w:val="21"/>
              </w:rPr>
            </w:pPr>
            <w:r>
              <w:rPr>
                <w:sz w:val="21"/>
              </w:rPr>
              <w:t>(5)合同内容变更；</w:t>
            </w:r>
          </w:p>
          <w:p>
            <w:pPr>
              <w:pStyle w:val="TableParagraph"/>
              <w:spacing w:before="46"/>
              <w:ind w:left="112"/>
              <w:rPr>
                <w:sz w:val="21"/>
              </w:rPr>
            </w:pPr>
            <w:r>
              <w:rPr>
                <w:sz w:val="21"/>
              </w:rPr>
              <w:t>(6)联系方式变更；</w:t>
            </w:r>
          </w:p>
          <w:p>
            <w:pPr>
              <w:pStyle w:val="TableParagraph"/>
              <w:spacing w:before="44"/>
              <w:ind w:left="112"/>
              <w:rPr>
                <w:sz w:val="21"/>
              </w:rPr>
            </w:pPr>
            <w:r>
              <w:rPr>
                <w:sz w:val="21"/>
              </w:rPr>
              <w:t>(7)争议处理。</w:t>
            </w:r>
          </w:p>
        </w:tc>
      </w:tr>
      <w:tr>
        <w:trPr>
          <w:trHeight w:val="319" w:hRule="atLeast"/>
        </w:trPr>
        <w:tc>
          <w:tcPr>
            <w:tcW w:w="713" w:type="dxa"/>
            <w:shd w:val="clear" w:color="auto" w:fill="A6A6A6"/>
          </w:tcPr>
          <w:p>
            <w:pPr>
              <w:pStyle w:val="TableParagraph"/>
              <w:spacing w:before="12"/>
              <w:ind w:left="107"/>
              <w:rPr>
                <w:rFonts w:ascii="黑体" w:eastAsia="黑体" w:hint="eastAsia"/>
                <w:b/>
                <w:sz w:val="21"/>
              </w:rPr>
            </w:pPr>
            <w:r>
              <w:rPr>
                <w:rFonts w:ascii="黑体" w:eastAsia="黑体" w:hint="eastAsia"/>
                <w:b/>
                <w:sz w:val="21"/>
              </w:rPr>
              <w:t>7．</w:t>
            </w:r>
          </w:p>
        </w:tc>
        <w:tc>
          <w:tcPr>
            <w:tcW w:w="2084" w:type="dxa"/>
            <w:shd w:val="clear" w:color="auto" w:fill="A6A6A6"/>
          </w:tcPr>
          <w:p>
            <w:pPr>
              <w:pStyle w:val="TableParagraph"/>
              <w:spacing w:before="12"/>
              <w:ind w:left="288"/>
              <w:rPr>
                <w:rFonts w:ascii="黑体" w:eastAsia="黑体" w:hint="eastAsia"/>
                <w:b/>
                <w:sz w:val="21"/>
              </w:rPr>
            </w:pPr>
            <w:r>
              <w:rPr>
                <w:rFonts w:ascii="黑体" w:eastAsia="黑体" w:hint="eastAsia"/>
                <w:b/>
                <w:sz w:val="21"/>
              </w:rPr>
              <w:t>重大疾病</w:t>
            </w:r>
          </w:p>
        </w:tc>
        <w:tc>
          <w:tcPr>
            <w:tcW w:w="7168" w:type="dxa"/>
            <w:shd w:val="clear" w:color="auto" w:fill="A6A6A6"/>
          </w:tcPr>
          <w:p>
            <w:pPr>
              <w:pStyle w:val="TableParagraph"/>
              <w:ind w:left="0"/>
              <w:rPr>
                <w:rFonts w:ascii="Times New Roman"/>
                <w:sz w:val="20"/>
              </w:rPr>
            </w:pPr>
          </w:p>
        </w:tc>
      </w:tr>
      <w:tr>
        <w:trPr>
          <w:trHeight w:val="2153" w:hRule="atLeast"/>
        </w:trPr>
        <w:tc>
          <w:tcPr>
            <w:tcW w:w="713" w:type="dxa"/>
          </w:tcPr>
          <w:p>
            <w:pPr>
              <w:pStyle w:val="TableParagraph"/>
              <w:spacing w:before="153"/>
              <w:ind w:left="107"/>
              <w:rPr>
                <w:rFonts w:ascii="黑体"/>
                <w:sz w:val="21"/>
              </w:rPr>
            </w:pPr>
            <w:r>
              <w:rPr>
                <w:rFonts w:ascii="黑体"/>
                <w:sz w:val="21"/>
              </w:rPr>
              <w:t>7.1</w:t>
            </w:r>
          </w:p>
        </w:tc>
        <w:tc>
          <w:tcPr>
            <w:tcW w:w="2084" w:type="dxa"/>
          </w:tcPr>
          <w:p>
            <w:pPr>
              <w:pStyle w:val="TableParagraph"/>
              <w:spacing w:line="278" w:lineRule="auto" w:before="153"/>
              <w:ind w:left="288" w:right="111"/>
              <w:rPr>
                <w:rFonts w:ascii="黑体" w:eastAsia="黑体" w:hint="eastAsia"/>
                <w:sz w:val="21"/>
              </w:rPr>
            </w:pPr>
            <w:r>
              <w:rPr>
                <w:rFonts w:ascii="黑体" w:eastAsia="黑体" w:hint="eastAsia"/>
                <w:sz w:val="21"/>
              </w:rPr>
              <w:t>重大疾病的范围及定义</w:t>
            </w:r>
          </w:p>
        </w:tc>
        <w:tc>
          <w:tcPr>
            <w:tcW w:w="7168" w:type="dxa"/>
          </w:tcPr>
          <w:p>
            <w:pPr>
              <w:pStyle w:val="TableParagraph"/>
              <w:spacing w:line="242" w:lineRule="auto" w:before="153"/>
              <w:ind w:left="112" w:right="102"/>
              <w:jc w:val="both"/>
              <w:rPr>
                <w:sz w:val="21"/>
              </w:rPr>
            </w:pPr>
            <w:r>
              <w:rPr>
                <w:sz w:val="21"/>
              </w:rPr>
              <w:t>指被保险人初次发生符合下列定义的疾病，或初次接受符合下列所定义的手术。该疾病或手术由</w:t>
            </w:r>
            <w:r>
              <w:rPr>
                <w:rFonts w:ascii="微软雅黑" w:eastAsia="微软雅黑" w:hint="eastAsia"/>
                <w:b/>
                <w:sz w:val="21"/>
              </w:rPr>
              <w:t>专科医生</w:t>
            </w:r>
            <w:r>
              <w:rPr>
                <w:sz w:val="21"/>
              </w:rPr>
              <w:t>明确诊断。以下是本附加险合同所附三十种重大疾病的定义，其中第一种至第二十五种重大疾病是中国保险业行业协会制</w:t>
            </w:r>
          </w:p>
          <w:p>
            <w:pPr>
              <w:pStyle w:val="TableParagraph"/>
              <w:spacing w:line="280" w:lineRule="auto" w:before="42"/>
              <w:ind w:left="112" w:right="102"/>
              <w:jc w:val="both"/>
              <w:rPr>
                <w:sz w:val="21"/>
              </w:rPr>
            </w:pPr>
            <w:r>
              <w:rPr>
                <w:sz w:val="21"/>
              </w:rPr>
              <w:t>定的《重大疾病保险的疾病定义使用规范》中列明的疾病，第二十六种至第三十五种重大疾病是我们在中国保险行业协会与中国医师协会制定了规范定义的疾病范围之外增加的疾病。</w:t>
            </w:r>
          </w:p>
        </w:tc>
      </w:tr>
      <w:tr>
        <w:trPr>
          <w:trHeight w:val="3982" w:hRule="atLeast"/>
        </w:trPr>
        <w:tc>
          <w:tcPr>
            <w:tcW w:w="713" w:type="dxa"/>
          </w:tcPr>
          <w:p>
            <w:pPr>
              <w:pStyle w:val="TableParagraph"/>
              <w:ind w:left="0"/>
              <w:rPr>
                <w:rFonts w:ascii="Times New Roman"/>
                <w:sz w:val="20"/>
              </w:rPr>
            </w:pPr>
          </w:p>
        </w:tc>
        <w:tc>
          <w:tcPr>
            <w:tcW w:w="2084" w:type="dxa"/>
          </w:tcPr>
          <w:p>
            <w:pPr>
              <w:pStyle w:val="TableParagraph"/>
              <w:ind w:left="0"/>
              <w:rPr>
                <w:rFonts w:ascii="Times New Roman"/>
                <w:sz w:val="20"/>
              </w:rPr>
            </w:pPr>
          </w:p>
        </w:tc>
        <w:tc>
          <w:tcPr>
            <w:tcW w:w="7168" w:type="dxa"/>
          </w:tcPr>
          <w:p>
            <w:pPr>
              <w:pStyle w:val="TableParagraph"/>
              <w:spacing w:before="61"/>
              <w:ind w:left="112"/>
              <w:rPr>
                <w:sz w:val="21"/>
              </w:rPr>
            </w:pPr>
            <w:r>
              <w:rPr>
                <w:sz w:val="21"/>
              </w:rPr>
              <w:t>（一）恶性肿瘤</w:t>
            </w:r>
          </w:p>
          <w:p>
            <w:pPr>
              <w:pStyle w:val="TableParagraph"/>
              <w:spacing w:line="278" w:lineRule="auto" w:before="44"/>
              <w:ind w:left="112" w:right="102"/>
              <w:jc w:val="both"/>
              <w:rPr>
                <w:sz w:val="21"/>
              </w:rPr>
            </w:pPr>
            <w:r>
              <w:rPr>
                <w:spacing w:val="-3"/>
                <w:sz w:val="21"/>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w:t>
            </w:r>
            <w:r>
              <w:rPr>
                <w:spacing w:val="-54"/>
                <w:sz w:val="21"/>
              </w:rPr>
              <w:t>类》</w:t>
            </w:r>
            <w:r>
              <w:rPr>
                <w:spacing w:val="-1"/>
                <w:sz w:val="21"/>
              </w:rPr>
              <w:t>（ICD-10）</w:t>
            </w:r>
            <w:r>
              <w:rPr>
                <w:spacing w:val="-3"/>
                <w:sz w:val="21"/>
              </w:rPr>
              <w:t>的恶性肿瘤范畴。</w:t>
            </w:r>
          </w:p>
          <w:p>
            <w:pPr>
              <w:pStyle w:val="TableParagraph"/>
              <w:spacing w:before="13"/>
              <w:ind w:left="112"/>
              <w:jc w:val="both"/>
              <w:rPr>
                <w:sz w:val="21"/>
              </w:rPr>
            </w:pPr>
            <w:r>
              <w:rPr>
                <w:sz w:val="21"/>
                <w:shd w:fill="A6A6A6" w:color="auto" w:val="clear"/>
              </w:rPr>
              <w:t>下列疾病不在保障范围内：</w:t>
            </w:r>
          </w:p>
          <w:p>
            <w:pPr>
              <w:pStyle w:val="TableParagraph"/>
              <w:spacing w:before="44"/>
              <w:ind w:left="112"/>
              <w:jc w:val="both"/>
              <w:rPr>
                <w:sz w:val="21"/>
              </w:rPr>
            </w:pPr>
            <w:r>
              <w:rPr>
                <w:sz w:val="21"/>
                <w:shd w:fill="A6A6A6" w:color="auto" w:val="clear"/>
              </w:rPr>
              <w:t>(1)原位癌；</w:t>
            </w:r>
          </w:p>
          <w:p>
            <w:pPr>
              <w:pStyle w:val="TableParagraph"/>
              <w:spacing w:before="44"/>
              <w:ind w:left="112"/>
              <w:jc w:val="both"/>
              <w:rPr>
                <w:sz w:val="21"/>
              </w:rPr>
            </w:pPr>
            <w:r>
              <w:rPr>
                <w:sz w:val="21"/>
                <w:shd w:fill="A6A6A6" w:color="auto" w:val="clear"/>
              </w:rPr>
              <w:t>(2)相当于 Binet 分期方案 A 期程度的慢性淋巴细胞白血病；</w:t>
            </w:r>
          </w:p>
          <w:p>
            <w:pPr>
              <w:pStyle w:val="TableParagraph"/>
              <w:spacing w:before="47"/>
              <w:ind w:left="112"/>
              <w:jc w:val="both"/>
              <w:rPr>
                <w:sz w:val="21"/>
              </w:rPr>
            </w:pPr>
            <w:r>
              <w:rPr>
                <w:sz w:val="21"/>
                <w:shd w:fill="A6A6A6" w:color="auto" w:val="clear"/>
              </w:rPr>
              <w:t>(3)相当于 Ann Arbor 分期方案 I 期程度的何杰金氏病；</w:t>
            </w:r>
          </w:p>
          <w:p>
            <w:pPr>
              <w:pStyle w:val="TableParagraph"/>
              <w:spacing w:before="44"/>
              <w:ind w:left="112"/>
              <w:jc w:val="both"/>
              <w:rPr>
                <w:sz w:val="21"/>
              </w:rPr>
            </w:pPr>
            <w:r>
              <w:rPr>
                <w:w w:val="100"/>
                <w:sz w:val="21"/>
                <w:shd w:fill="A6A6A6" w:color="auto" w:val="clear"/>
              </w:rPr>
              <w:t>(4)</w:t>
            </w:r>
            <w:r>
              <w:rPr>
                <w:spacing w:val="-3"/>
                <w:w w:val="100"/>
                <w:sz w:val="21"/>
                <w:shd w:fill="A6A6A6" w:color="auto" w:val="clear"/>
              </w:rPr>
              <w:t>皮肤癌</w:t>
            </w:r>
            <w:r>
              <w:rPr>
                <w:w w:val="100"/>
                <w:sz w:val="21"/>
                <w:shd w:fill="A6A6A6" w:color="auto" w:val="clear"/>
              </w:rPr>
              <w:t>（</w:t>
            </w:r>
            <w:r>
              <w:rPr>
                <w:spacing w:val="-3"/>
                <w:w w:val="100"/>
                <w:sz w:val="21"/>
                <w:shd w:fill="A6A6A6" w:color="auto" w:val="clear"/>
              </w:rPr>
              <w:t>不包括恶性黑色素瘤及已发生转移的皮肤癌</w:t>
            </w:r>
            <w:r>
              <w:rPr>
                <w:spacing w:val="-108"/>
                <w:w w:val="100"/>
                <w:sz w:val="21"/>
                <w:shd w:fill="A6A6A6" w:color="auto" w:val="clear"/>
              </w:rPr>
              <w:t>）</w:t>
            </w:r>
            <w:r>
              <w:rPr>
                <w:w w:val="100"/>
                <w:sz w:val="21"/>
                <w:shd w:fill="A6A6A6" w:color="auto" w:val="clear"/>
              </w:rPr>
              <w:t>；</w:t>
            </w:r>
          </w:p>
          <w:p>
            <w:pPr>
              <w:pStyle w:val="TableParagraph"/>
              <w:spacing w:before="44"/>
              <w:ind w:left="112"/>
              <w:jc w:val="both"/>
              <w:rPr>
                <w:sz w:val="21"/>
              </w:rPr>
            </w:pPr>
            <w:r>
              <w:rPr>
                <w:sz w:val="21"/>
                <w:shd w:fill="A6A6A6" w:color="auto" w:val="clear"/>
              </w:rPr>
              <w:t>(5)TNM 分期为 T1N0M0 期或更轻分期的前列腺癌；</w:t>
            </w:r>
          </w:p>
          <w:p>
            <w:pPr>
              <w:pStyle w:val="TableParagraph"/>
              <w:spacing w:before="47"/>
              <w:ind w:left="112"/>
              <w:jc w:val="both"/>
              <w:rPr>
                <w:sz w:val="21"/>
              </w:rPr>
            </w:pPr>
            <w:r>
              <w:rPr>
                <w:sz w:val="21"/>
                <w:shd w:fill="A6A6A6" w:color="auto" w:val="clear"/>
              </w:rPr>
              <w:t>(6)感染艾滋病病毒或患艾滋病期间所患恶性肿瘤。</w:t>
            </w:r>
          </w:p>
        </w:tc>
      </w:tr>
      <w:tr>
        <w:trPr>
          <w:trHeight w:val="2702" w:hRule="atLeast"/>
        </w:trPr>
        <w:tc>
          <w:tcPr>
            <w:tcW w:w="713" w:type="dxa"/>
          </w:tcPr>
          <w:p>
            <w:pPr>
              <w:pStyle w:val="TableParagraph"/>
              <w:ind w:left="0"/>
              <w:rPr>
                <w:rFonts w:ascii="Times New Roman"/>
                <w:sz w:val="20"/>
              </w:rPr>
            </w:pPr>
          </w:p>
        </w:tc>
        <w:tc>
          <w:tcPr>
            <w:tcW w:w="2084" w:type="dxa"/>
          </w:tcPr>
          <w:p>
            <w:pPr>
              <w:pStyle w:val="TableParagraph"/>
              <w:ind w:left="0"/>
              <w:rPr>
                <w:rFonts w:ascii="Times New Roman"/>
                <w:sz w:val="20"/>
              </w:rPr>
            </w:pPr>
          </w:p>
        </w:tc>
        <w:tc>
          <w:tcPr>
            <w:tcW w:w="7168" w:type="dxa"/>
          </w:tcPr>
          <w:p>
            <w:pPr>
              <w:pStyle w:val="TableParagraph"/>
              <w:spacing w:before="61"/>
              <w:ind w:left="112"/>
              <w:rPr>
                <w:sz w:val="21"/>
              </w:rPr>
            </w:pPr>
            <w:r>
              <w:rPr>
                <w:sz w:val="21"/>
              </w:rPr>
              <w:t>（二）急性心肌梗塞</w:t>
            </w:r>
          </w:p>
          <w:p>
            <w:pPr>
              <w:pStyle w:val="TableParagraph"/>
              <w:spacing w:line="278" w:lineRule="auto" w:before="46"/>
              <w:ind w:left="112" w:right="102"/>
              <w:rPr>
                <w:sz w:val="21"/>
              </w:rPr>
            </w:pPr>
            <w:r>
              <w:rPr>
                <w:sz w:val="21"/>
              </w:rPr>
              <w:t>指因冠状动脉阻塞导致的相应区域供血不足造成部分心肌坏死。须满足下列至少三项条件：</w:t>
            </w:r>
          </w:p>
          <w:p>
            <w:pPr>
              <w:pStyle w:val="TableParagraph"/>
              <w:spacing w:before="10"/>
              <w:ind w:left="112"/>
              <w:rPr>
                <w:sz w:val="21"/>
              </w:rPr>
            </w:pPr>
            <w:r>
              <w:rPr>
                <w:sz w:val="21"/>
              </w:rPr>
              <w:t>(1)典型临床表现，例如急性胸痛等；</w:t>
            </w:r>
          </w:p>
          <w:p>
            <w:pPr>
              <w:pStyle w:val="TableParagraph"/>
              <w:spacing w:before="46"/>
              <w:ind w:left="112"/>
              <w:rPr>
                <w:sz w:val="21"/>
              </w:rPr>
            </w:pPr>
            <w:r>
              <w:rPr>
                <w:sz w:val="21"/>
              </w:rPr>
              <w:t>(2)新近的心电图改变提示急性心肌梗塞；</w:t>
            </w:r>
          </w:p>
          <w:p>
            <w:pPr>
              <w:pStyle w:val="TableParagraph"/>
              <w:spacing w:line="278" w:lineRule="auto" w:before="44"/>
              <w:ind w:left="427" w:right="103" w:hanging="315"/>
              <w:rPr>
                <w:sz w:val="21"/>
              </w:rPr>
            </w:pPr>
            <w:r>
              <w:rPr>
                <w:sz w:val="21"/>
              </w:rPr>
              <w:t>(3)</w:t>
            </w:r>
            <w:r>
              <w:rPr>
                <w:spacing w:val="-9"/>
                <w:sz w:val="21"/>
              </w:rPr>
              <w:t>心肌酶或肌钙蛋白有诊断意义的升高，或呈符合急性心肌梗塞的动态性变化；</w:t>
            </w:r>
          </w:p>
          <w:p>
            <w:pPr>
              <w:pStyle w:val="TableParagraph"/>
              <w:spacing w:before="13"/>
              <w:ind w:left="112"/>
              <w:rPr>
                <w:sz w:val="21"/>
              </w:rPr>
            </w:pPr>
            <w:r>
              <w:rPr>
                <w:sz w:val="21"/>
              </w:rPr>
              <w:t>(4)</w:t>
            </w:r>
            <w:r>
              <w:rPr>
                <w:spacing w:val="-15"/>
                <w:sz w:val="21"/>
              </w:rPr>
              <w:t>发病 </w:t>
            </w:r>
            <w:r>
              <w:rPr>
                <w:sz w:val="21"/>
              </w:rPr>
              <w:t>90</w:t>
            </w:r>
            <w:r>
              <w:rPr>
                <w:spacing w:val="-13"/>
                <w:sz w:val="21"/>
              </w:rPr>
              <w:t> 天后，经检查证实左心室功能降低，如左心室射血分数低于 </w:t>
            </w:r>
            <w:r>
              <w:rPr>
                <w:sz w:val="21"/>
              </w:rPr>
              <w:t>50</w:t>
            </w:r>
            <w:r>
              <w:rPr>
                <w:spacing w:val="-102"/>
                <w:sz w:val="21"/>
              </w:rPr>
              <w:t>。</w:t>
            </w:r>
          </w:p>
        </w:tc>
      </w:tr>
      <w:tr>
        <w:trPr>
          <w:trHeight w:val="655" w:hRule="atLeast"/>
        </w:trPr>
        <w:tc>
          <w:tcPr>
            <w:tcW w:w="713" w:type="dxa"/>
          </w:tcPr>
          <w:p>
            <w:pPr>
              <w:pStyle w:val="TableParagraph"/>
              <w:ind w:left="0"/>
              <w:rPr>
                <w:rFonts w:ascii="Times New Roman"/>
                <w:sz w:val="20"/>
              </w:rPr>
            </w:pPr>
          </w:p>
        </w:tc>
        <w:tc>
          <w:tcPr>
            <w:tcW w:w="2084" w:type="dxa"/>
          </w:tcPr>
          <w:p>
            <w:pPr>
              <w:pStyle w:val="TableParagraph"/>
              <w:ind w:left="0"/>
              <w:rPr>
                <w:rFonts w:ascii="Times New Roman"/>
                <w:sz w:val="20"/>
              </w:rPr>
            </w:pPr>
          </w:p>
        </w:tc>
        <w:tc>
          <w:tcPr>
            <w:tcW w:w="7168" w:type="dxa"/>
          </w:tcPr>
          <w:p>
            <w:pPr>
              <w:pStyle w:val="TableParagraph"/>
              <w:spacing w:before="61"/>
              <w:ind w:left="112"/>
              <w:rPr>
                <w:sz w:val="21"/>
              </w:rPr>
            </w:pPr>
            <w:r>
              <w:rPr>
                <w:sz w:val="21"/>
              </w:rPr>
              <w:t>（三）脑中风后遗症</w:t>
            </w:r>
          </w:p>
          <w:p>
            <w:pPr>
              <w:pStyle w:val="TableParagraph"/>
              <w:spacing w:line="255" w:lineRule="exact" w:before="44"/>
              <w:ind w:left="112"/>
              <w:rPr>
                <w:sz w:val="21"/>
              </w:rPr>
            </w:pPr>
            <w:r>
              <w:rPr>
                <w:sz w:val="21"/>
              </w:rPr>
              <w:t>指因脑血管的突发病变引起脑血管出血、栓塞或梗塞，并导致神经系统永久</w:t>
            </w:r>
          </w:p>
        </w:tc>
      </w:tr>
    </w:tbl>
    <w:p>
      <w:pPr>
        <w:rPr>
          <w:sz w:val="2"/>
          <w:szCs w:val="2"/>
        </w:rPr>
      </w:pPr>
      <w:r>
        <w:rPr/>
        <w:drawing>
          <wp:anchor distT="0" distB="0" distL="0" distR="0" allowOverlap="1" layoutInCell="1" locked="0" behindDoc="1" simplePos="0" relativeHeight="268408727">
            <wp:simplePos x="0" y="0"/>
            <wp:positionH relativeFrom="page">
              <wp:posOffset>6748144</wp:posOffset>
            </wp:positionH>
            <wp:positionV relativeFrom="page">
              <wp:posOffset>9112250</wp:posOffset>
            </wp:positionV>
            <wp:extent cx="59721" cy="103727"/>
            <wp:effectExtent l="0" t="0" r="0" b="0"/>
            <wp:wrapNone/>
            <wp:docPr id="11" name="image4.png" descr=""/>
            <wp:cNvGraphicFramePr>
              <a:graphicFrameLocks noChangeAspect="1"/>
            </wp:cNvGraphicFramePr>
            <a:graphic>
              <a:graphicData uri="http://schemas.openxmlformats.org/drawingml/2006/picture">
                <pic:pic>
                  <pic:nvPicPr>
                    <pic:cNvPr id="12" name="image4.png"/>
                    <pic:cNvPicPr/>
                  </pic:nvPicPr>
                  <pic:blipFill>
                    <a:blip r:embed="rId8" cstate="print"/>
                    <a:stretch>
                      <a:fillRect/>
                    </a:stretch>
                  </pic:blipFill>
                  <pic:spPr>
                    <a:xfrm>
                      <a:off x="0" y="0"/>
                      <a:ext cx="59721" cy="103727"/>
                    </a:xfrm>
                    <a:prstGeom prst="rect">
                      <a:avLst/>
                    </a:prstGeom>
                  </pic:spPr>
                </pic:pic>
              </a:graphicData>
            </a:graphic>
          </wp:anchor>
        </w:drawing>
      </w:r>
    </w:p>
    <w:p>
      <w:pPr>
        <w:spacing w:after="0"/>
        <w:rPr>
          <w:sz w:val="2"/>
          <w:szCs w:val="2"/>
        </w:rPr>
        <w:sectPr>
          <w:pgSz w:w="11910" w:h="16840"/>
          <w:pgMar w:top="1400" w:bottom="280" w:left="860" w:right="860"/>
        </w:sectPr>
      </w:pPr>
    </w:p>
    <w:tbl>
      <w:tblPr>
        <w:tblW w:w="0" w:type="auto"/>
        <w:jc w:val="left"/>
        <w:tblInd w:w="20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2"/>
      </w:tblGrid>
      <w:tr>
        <w:trPr>
          <w:trHeight w:val="1936" w:hRule="atLeast"/>
        </w:trPr>
        <w:tc>
          <w:tcPr>
            <w:tcW w:w="7352" w:type="dxa"/>
          </w:tcPr>
          <w:p>
            <w:pPr>
              <w:pStyle w:val="TableParagraph"/>
              <w:spacing w:line="206" w:lineRule="exact"/>
              <w:rPr>
                <w:sz w:val="21"/>
              </w:rPr>
            </w:pPr>
            <w:r>
              <w:rPr>
                <w:sz w:val="21"/>
              </w:rPr>
              <w:t>性的功能障碍。神经系统永久性的功能障碍，指疾病确诊 180 天后，仍遗留</w:t>
            </w:r>
          </w:p>
          <w:p>
            <w:pPr>
              <w:pStyle w:val="TableParagraph"/>
              <w:spacing w:line="266" w:lineRule="exact" w:before="44"/>
              <w:rPr>
                <w:sz w:val="21"/>
              </w:rPr>
            </w:pPr>
            <w:r>
              <w:rPr>
                <w:sz w:val="21"/>
              </w:rPr>
              <w:t>下列一种或一种以上障碍：</w:t>
            </w:r>
          </w:p>
          <w:p>
            <w:pPr>
              <w:pStyle w:val="TableParagraph"/>
              <w:spacing w:line="333" w:lineRule="exact"/>
              <w:rPr>
                <w:sz w:val="21"/>
              </w:rPr>
            </w:pPr>
            <w:r>
              <w:rPr>
                <w:sz w:val="21"/>
              </w:rPr>
              <w:t>(1)一肢或一肢以上</w:t>
            </w:r>
            <w:r>
              <w:rPr>
                <w:rFonts w:ascii="微软雅黑" w:eastAsia="微软雅黑" w:hint="eastAsia"/>
                <w:b/>
                <w:sz w:val="21"/>
              </w:rPr>
              <w:t>肢体机能完全丧失</w:t>
            </w:r>
            <w:r>
              <w:rPr>
                <w:sz w:val="21"/>
              </w:rPr>
              <w:t>；</w:t>
            </w:r>
          </w:p>
          <w:p>
            <w:pPr>
              <w:pStyle w:val="TableParagraph"/>
              <w:spacing w:line="320" w:lineRule="exact"/>
              <w:rPr>
                <w:sz w:val="21"/>
              </w:rPr>
            </w:pPr>
            <w:r>
              <w:rPr>
                <w:sz w:val="21"/>
              </w:rPr>
              <w:t>(2)</w:t>
            </w:r>
            <w:r>
              <w:rPr>
                <w:rFonts w:ascii="微软雅黑" w:eastAsia="微软雅黑" w:hint="eastAsia"/>
                <w:b/>
                <w:sz w:val="21"/>
              </w:rPr>
              <w:t>语言能力或咀嚼吞咽能力完全丧失</w:t>
            </w:r>
            <w:r>
              <w:rPr>
                <w:sz w:val="21"/>
              </w:rPr>
              <w:t>；</w:t>
            </w:r>
          </w:p>
          <w:p>
            <w:pPr>
              <w:pStyle w:val="TableParagraph"/>
              <w:spacing w:line="320" w:lineRule="exact" w:before="29"/>
              <w:ind w:right="200"/>
              <w:rPr>
                <w:sz w:val="21"/>
              </w:rPr>
            </w:pPr>
            <w:r>
              <w:rPr>
                <w:sz w:val="21"/>
              </w:rPr>
              <w:t>(3)</w:t>
            </w:r>
            <w:r>
              <w:rPr>
                <w:spacing w:val="-11"/>
                <w:sz w:val="21"/>
              </w:rPr>
              <w:t>自主生活能力完全丧失，无法独立完成</w:t>
            </w:r>
            <w:r>
              <w:rPr>
                <w:rFonts w:ascii="微软雅黑" w:eastAsia="微软雅黑" w:hint="eastAsia"/>
                <w:b/>
                <w:spacing w:val="-1"/>
                <w:sz w:val="21"/>
              </w:rPr>
              <w:t>六项基本日常生活活动</w:t>
            </w:r>
            <w:r>
              <w:rPr>
                <w:spacing w:val="-3"/>
                <w:sz w:val="21"/>
              </w:rPr>
              <w:t>中的三项或</w:t>
            </w:r>
            <w:r>
              <w:rPr>
                <w:spacing w:val="-2"/>
                <w:sz w:val="21"/>
              </w:rPr>
              <w:t>三项以上。</w:t>
            </w:r>
          </w:p>
        </w:tc>
      </w:tr>
      <w:tr>
        <w:trPr>
          <w:trHeight w:val="2063" w:hRule="atLeast"/>
        </w:trPr>
        <w:tc>
          <w:tcPr>
            <w:tcW w:w="7352" w:type="dxa"/>
          </w:tcPr>
          <w:p>
            <w:pPr>
              <w:pStyle w:val="TableParagraph"/>
              <w:spacing w:before="57"/>
              <w:rPr>
                <w:sz w:val="21"/>
              </w:rPr>
            </w:pPr>
            <w:r>
              <w:rPr>
                <w:sz w:val="21"/>
              </w:rPr>
              <w:t>（四）重大器官移植术或造血干细胞移植术</w:t>
            </w:r>
          </w:p>
          <w:p>
            <w:pPr>
              <w:pStyle w:val="TableParagraph"/>
              <w:spacing w:line="280" w:lineRule="auto" w:before="44"/>
              <w:ind w:right="198"/>
              <w:jc w:val="both"/>
              <w:rPr>
                <w:sz w:val="21"/>
              </w:rPr>
            </w:pPr>
            <w:r>
              <w:rPr>
                <w:sz w:val="21"/>
              </w:rPr>
              <w:t>重大器官移植术，指因相应器官功能衰竭，已经实施了肾脏、肝脏、心脏或肺脏的异体移植手术。</w:t>
            </w:r>
          </w:p>
          <w:p>
            <w:pPr>
              <w:pStyle w:val="TableParagraph"/>
              <w:spacing w:line="280" w:lineRule="auto" w:before="9"/>
              <w:ind w:right="198"/>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742" w:hRule="atLeast"/>
        </w:trPr>
        <w:tc>
          <w:tcPr>
            <w:tcW w:w="7352" w:type="dxa"/>
          </w:tcPr>
          <w:p>
            <w:pPr>
              <w:pStyle w:val="TableParagraph"/>
              <w:spacing w:before="56"/>
              <w:rPr>
                <w:sz w:val="21"/>
              </w:rPr>
            </w:pPr>
            <w:r>
              <w:rPr>
                <w:sz w:val="21"/>
              </w:rPr>
              <w:t>（五）冠状动脉搭桥术（或称冠状动脉旁路移植术）</w:t>
            </w:r>
          </w:p>
          <w:p>
            <w:pPr>
              <w:pStyle w:val="TableParagraph"/>
              <w:spacing w:line="278" w:lineRule="auto" w:before="46"/>
              <w:ind w:right="198"/>
              <w:rPr>
                <w:sz w:val="21"/>
              </w:rPr>
            </w:pPr>
            <w:r>
              <w:rPr>
                <w:sz w:val="21"/>
              </w:rPr>
              <w:t>指为治疗严重的冠心病，实际实施了开胸进行的冠状动脉血管旁路移植的手术。</w:t>
            </w:r>
          </w:p>
          <w:p>
            <w:pPr>
              <w:pStyle w:val="TableParagraph"/>
              <w:spacing w:line="280" w:lineRule="auto" w:before="10"/>
              <w:ind w:right="198"/>
              <w:rPr>
                <w:sz w:val="21"/>
              </w:rPr>
            </w:pPr>
            <w:r>
              <w:rPr>
                <w:spacing w:val="-3"/>
                <w:sz w:val="21"/>
                <w:shd w:fill="A6A6A6" w:color="auto" w:val="clear"/>
              </w:rPr>
              <w:t>冠状动脉支架植入术、心导管球囊扩张术、激光射频技术及其他非开胸的介入手</w:t>
            </w:r>
            <w:r>
              <w:rPr>
                <w:spacing w:val="-212"/>
                <w:sz w:val="21"/>
                <w:shd w:fill="A6A6A6" w:color="auto" w:val="clear"/>
              </w:rPr>
              <w:t>术</w:t>
            </w:r>
            <w:r>
              <w:rPr>
                <w:spacing w:val="-3"/>
                <w:sz w:val="21"/>
                <w:shd w:fill="A6A6A6" w:color="auto" w:val="clear"/>
              </w:rPr>
              <w:t>、腔镜手术不在保障范围内。</w:t>
            </w:r>
          </w:p>
        </w:tc>
      </w:tr>
      <w:tr>
        <w:trPr>
          <w:trHeight w:val="1101" w:hRule="atLeast"/>
        </w:trPr>
        <w:tc>
          <w:tcPr>
            <w:tcW w:w="7352" w:type="dxa"/>
          </w:tcPr>
          <w:p>
            <w:pPr>
              <w:pStyle w:val="TableParagraph"/>
              <w:spacing w:before="56"/>
              <w:rPr>
                <w:sz w:val="21"/>
              </w:rPr>
            </w:pPr>
            <w:r>
              <w:rPr>
                <w:sz w:val="21"/>
              </w:rPr>
              <w:t>（六）终末期肾病（或称慢性肾功能衰竭尿毒症期）</w:t>
            </w:r>
          </w:p>
          <w:p>
            <w:pPr>
              <w:pStyle w:val="TableParagraph"/>
              <w:spacing w:line="280" w:lineRule="auto" w:before="44"/>
              <w:ind w:right="203"/>
              <w:rPr>
                <w:sz w:val="21"/>
              </w:rPr>
            </w:pPr>
            <w:r>
              <w:rPr>
                <w:spacing w:val="-7"/>
                <w:sz w:val="21"/>
              </w:rPr>
              <w:t>指双肾功能慢性不可逆性衰竭，达到尿毒症期，经诊断后已经进行了至少 </w:t>
            </w:r>
            <w:r>
              <w:rPr>
                <w:spacing w:val="-3"/>
                <w:sz w:val="21"/>
              </w:rPr>
              <w:t>90 天的规律性透析治疗或实施了肾脏移植手术。</w:t>
            </w:r>
          </w:p>
        </w:tc>
      </w:tr>
      <w:tr>
        <w:trPr>
          <w:trHeight w:val="1101" w:hRule="atLeast"/>
        </w:trPr>
        <w:tc>
          <w:tcPr>
            <w:tcW w:w="7352" w:type="dxa"/>
          </w:tcPr>
          <w:p>
            <w:pPr>
              <w:pStyle w:val="TableParagraph"/>
              <w:spacing w:before="56"/>
              <w:rPr>
                <w:sz w:val="21"/>
              </w:rPr>
            </w:pPr>
            <w:r>
              <w:rPr>
                <w:sz w:val="21"/>
              </w:rPr>
              <w:t>（七）多个肢体缺失</w:t>
            </w:r>
          </w:p>
          <w:p>
            <w:pPr>
              <w:pStyle w:val="TableParagraph"/>
              <w:spacing w:line="278" w:lineRule="auto" w:before="46"/>
              <w:ind w:right="198"/>
              <w:rPr>
                <w:sz w:val="21"/>
              </w:rPr>
            </w:pPr>
            <w:r>
              <w:rPr>
                <w:sz w:val="21"/>
              </w:rPr>
              <w:t>指因疾病或意外伤害导致两个或两个以上肢体自腕关节或踝关节近端（靠近躯干端）以上完全性断离。</w:t>
            </w:r>
          </w:p>
        </w:tc>
      </w:tr>
      <w:tr>
        <w:trPr>
          <w:trHeight w:val="2382" w:hRule="atLeast"/>
        </w:trPr>
        <w:tc>
          <w:tcPr>
            <w:tcW w:w="7352" w:type="dxa"/>
          </w:tcPr>
          <w:p>
            <w:pPr>
              <w:pStyle w:val="TableParagraph"/>
              <w:spacing w:before="56"/>
              <w:rPr>
                <w:sz w:val="21"/>
              </w:rPr>
            </w:pPr>
            <w:r>
              <w:rPr>
                <w:sz w:val="21"/>
              </w:rPr>
              <w:t>（八）急性或亚急性重症肝炎</w:t>
            </w:r>
          </w:p>
          <w:p>
            <w:pPr>
              <w:pStyle w:val="TableParagraph"/>
              <w:spacing w:line="278" w:lineRule="auto" w:before="46"/>
              <w:ind w:right="198"/>
              <w:rPr>
                <w:sz w:val="21"/>
              </w:rPr>
            </w:pPr>
            <w:r>
              <w:rPr>
                <w:sz w:val="21"/>
              </w:rPr>
              <w:t>指因肝炎病毒感染引起肝脏组织弥漫性坏死，导致急性肝功能衰竭，且经血清学或病毒学检查证实，并须满足下列全部条件：</w:t>
            </w:r>
          </w:p>
          <w:p>
            <w:pPr>
              <w:pStyle w:val="TableParagraph"/>
              <w:spacing w:before="10"/>
              <w:rPr>
                <w:sz w:val="21"/>
              </w:rPr>
            </w:pPr>
            <w:r>
              <w:rPr>
                <w:sz w:val="21"/>
              </w:rPr>
              <w:t>(1)重度黄疸或黄疸迅速加重；</w:t>
            </w:r>
          </w:p>
          <w:p>
            <w:pPr>
              <w:pStyle w:val="TableParagraph"/>
              <w:spacing w:before="46"/>
              <w:rPr>
                <w:sz w:val="21"/>
              </w:rPr>
            </w:pPr>
            <w:r>
              <w:rPr>
                <w:sz w:val="21"/>
              </w:rPr>
              <w:t>(2)肝性脑病；</w:t>
            </w:r>
          </w:p>
          <w:p>
            <w:pPr>
              <w:pStyle w:val="TableParagraph"/>
              <w:spacing w:before="44"/>
              <w:rPr>
                <w:sz w:val="21"/>
              </w:rPr>
            </w:pPr>
            <w:r>
              <w:rPr>
                <w:sz w:val="21"/>
              </w:rPr>
              <w:t>(3)B 超或其他影像学检查显示肝脏体积急速萎缩；</w:t>
            </w:r>
          </w:p>
          <w:p>
            <w:pPr>
              <w:pStyle w:val="TableParagraph"/>
              <w:spacing w:before="44"/>
              <w:rPr>
                <w:sz w:val="21"/>
              </w:rPr>
            </w:pPr>
            <w:r>
              <w:rPr>
                <w:sz w:val="21"/>
              </w:rPr>
              <w:t>(4)肝功能指标进行性恶化。</w:t>
            </w:r>
          </w:p>
        </w:tc>
      </w:tr>
      <w:tr>
        <w:trPr>
          <w:trHeight w:val="2702" w:hRule="atLeast"/>
        </w:trPr>
        <w:tc>
          <w:tcPr>
            <w:tcW w:w="7352" w:type="dxa"/>
          </w:tcPr>
          <w:p>
            <w:pPr>
              <w:pStyle w:val="TableParagraph"/>
              <w:spacing w:before="57"/>
              <w:rPr>
                <w:sz w:val="21"/>
              </w:rPr>
            </w:pPr>
            <w:r>
              <w:rPr>
                <w:sz w:val="21"/>
              </w:rPr>
              <w:t>（九）良性脑肿瘤</w:t>
            </w:r>
          </w:p>
          <w:p>
            <w:pPr>
              <w:pStyle w:val="TableParagraph"/>
              <w:spacing w:line="280" w:lineRule="auto" w:before="44"/>
              <w:ind w:right="198"/>
              <w:jc w:val="both"/>
              <w:rPr>
                <w:sz w:val="21"/>
              </w:rPr>
            </w:pPr>
            <w:r>
              <w:rPr>
                <w:spacing w:val="-3"/>
                <w:sz w:val="21"/>
              </w:rPr>
              <w:t>指脑的良性肿瘤，已经引起颅内压增高，临床表现为视神经乳头水肿、精神</w:t>
            </w:r>
            <w:r>
              <w:rPr>
                <w:spacing w:val="-9"/>
                <w:w w:val="100"/>
                <w:sz w:val="21"/>
              </w:rPr>
              <w:t>症状、癫痫及运动感觉障碍等，并危及生命。须由头颅断层扫描</w:t>
            </w:r>
            <w:r>
              <w:rPr>
                <w:w w:val="100"/>
                <w:sz w:val="21"/>
              </w:rPr>
              <w:t>（C</w:t>
            </w:r>
            <w:r>
              <w:rPr>
                <w:spacing w:val="-3"/>
                <w:w w:val="100"/>
                <w:sz w:val="21"/>
              </w:rPr>
              <w:t>T</w:t>
            </w:r>
            <w:r>
              <w:rPr>
                <w:spacing w:val="-108"/>
                <w:w w:val="100"/>
                <w:sz w:val="21"/>
              </w:rPr>
              <w:t>）</w:t>
            </w:r>
            <w:r>
              <w:rPr>
                <w:spacing w:val="-7"/>
                <w:w w:val="100"/>
                <w:sz w:val="21"/>
              </w:rPr>
              <w:t>、核磁</w:t>
            </w:r>
            <w:r>
              <w:rPr>
                <w:spacing w:val="-1"/>
                <w:sz w:val="21"/>
              </w:rPr>
              <w:t>共振检查</w:t>
            </w:r>
            <w:r>
              <w:rPr>
                <w:sz w:val="21"/>
              </w:rPr>
              <w:t>（MRI）</w:t>
            </w:r>
            <w:r>
              <w:rPr>
                <w:spacing w:val="-3"/>
                <w:sz w:val="21"/>
              </w:rPr>
              <w:t>或正电子发射断层扫描</w:t>
            </w:r>
            <w:r>
              <w:rPr>
                <w:sz w:val="21"/>
              </w:rPr>
              <w:t>（PET）</w:t>
            </w:r>
            <w:r>
              <w:rPr>
                <w:spacing w:val="-3"/>
                <w:sz w:val="21"/>
              </w:rPr>
              <w:t>等影像学检查证实，并须满足下列至少一项条件：</w:t>
            </w:r>
          </w:p>
          <w:p>
            <w:pPr>
              <w:pStyle w:val="TableParagraph"/>
              <w:spacing w:before="11"/>
              <w:jc w:val="both"/>
              <w:rPr>
                <w:sz w:val="21"/>
              </w:rPr>
            </w:pPr>
            <w:r>
              <w:rPr>
                <w:sz w:val="21"/>
              </w:rPr>
              <w:t>(1)实际实施了开颅进行的脑肿瘤完全切除或部分切除的手术；</w:t>
            </w:r>
          </w:p>
          <w:p>
            <w:pPr>
              <w:pStyle w:val="TableParagraph"/>
              <w:spacing w:before="44"/>
              <w:jc w:val="both"/>
              <w:rPr>
                <w:sz w:val="21"/>
              </w:rPr>
            </w:pPr>
            <w:r>
              <w:rPr>
                <w:sz w:val="21"/>
              </w:rPr>
              <w:t>(2)实际实施了对脑肿瘤进行的放射治疗。</w:t>
            </w:r>
          </w:p>
          <w:p>
            <w:pPr>
              <w:pStyle w:val="TableParagraph"/>
              <w:spacing w:before="44"/>
              <w:jc w:val="both"/>
              <w:rPr>
                <w:sz w:val="21"/>
              </w:rPr>
            </w:pPr>
            <w:r>
              <w:rPr>
                <w:sz w:val="21"/>
                <w:shd w:fill="A6A6A6" w:color="auto" w:val="clear"/>
              </w:rPr>
              <w:t>脑垂体瘤、脑囊肿、脑血管性疾病不在保障范围内。</w:t>
            </w:r>
          </w:p>
        </w:tc>
      </w:tr>
      <w:tr>
        <w:trPr>
          <w:trHeight w:val="656" w:hRule="atLeast"/>
        </w:trPr>
        <w:tc>
          <w:tcPr>
            <w:tcW w:w="7352" w:type="dxa"/>
          </w:tcPr>
          <w:p>
            <w:pPr>
              <w:pStyle w:val="TableParagraph"/>
              <w:spacing w:before="57"/>
              <w:rPr>
                <w:sz w:val="21"/>
              </w:rPr>
            </w:pPr>
            <w:r>
              <w:rPr>
                <w:sz w:val="21"/>
              </w:rPr>
              <w:t>（十）慢性肝功能衰竭失代偿期</w:t>
            </w:r>
          </w:p>
          <w:p>
            <w:pPr>
              <w:pStyle w:val="TableParagraph"/>
              <w:spacing w:line="260" w:lineRule="exact" w:before="43"/>
              <w:rPr>
                <w:sz w:val="21"/>
              </w:rPr>
            </w:pPr>
            <w:r>
              <w:rPr>
                <w:sz w:val="21"/>
              </w:rPr>
              <w:t>指因慢性肝脏疾病导致肝功能衰竭。须满足下列全部条件：</w:t>
            </w:r>
          </w:p>
        </w:tc>
      </w:tr>
    </w:tbl>
    <w:p>
      <w:pPr>
        <w:spacing w:after="0" w:line="260" w:lineRule="exact"/>
        <w:rPr>
          <w:sz w:val="21"/>
        </w:rPr>
        <w:sectPr>
          <w:pgSz w:w="11910" w:h="16840"/>
          <w:pgMar w:top="1480" w:bottom="280" w:left="1680" w:right="760"/>
        </w:sectPr>
      </w:pPr>
    </w:p>
    <w:tbl>
      <w:tblPr>
        <w:tblW w:w="0" w:type="auto"/>
        <w:jc w:val="left"/>
        <w:tblInd w:w="20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55"/>
      </w:tblGrid>
      <w:tr>
        <w:trPr>
          <w:trHeight w:val="1616" w:hRule="atLeast"/>
        </w:trPr>
        <w:tc>
          <w:tcPr>
            <w:tcW w:w="7455" w:type="dxa"/>
          </w:tcPr>
          <w:p>
            <w:pPr>
              <w:pStyle w:val="TableParagraph"/>
              <w:spacing w:line="206" w:lineRule="exact"/>
              <w:rPr>
                <w:sz w:val="21"/>
              </w:rPr>
            </w:pPr>
            <w:r>
              <w:rPr>
                <w:sz w:val="21"/>
              </w:rPr>
              <w:t>(1)持续性黄疸；</w:t>
            </w:r>
          </w:p>
          <w:p>
            <w:pPr>
              <w:pStyle w:val="TableParagraph"/>
              <w:spacing w:before="44"/>
              <w:rPr>
                <w:sz w:val="21"/>
              </w:rPr>
            </w:pPr>
            <w:r>
              <w:rPr>
                <w:sz w:val="21"/>
              </w:rPr>
              <w:t>(2)腹水；</w:t>
            </w:r>
          </w:p>
          <w:p>
            <w:pPr>
              <w:pStyle w:val="TableParagraph"/>
              <w:spacing w:before="43"/>
              <w:rPr>
                <w:sz w:val="21"/>
              </w:rPr>
            </w:pPr>
            <w:r>
              <w:rPr>
                <w:sz w:val="21"/>
              </w:rPr>
              <w:t>(3)肝性脑病；</w:t>
            </w:r>
          </w:p>
          <w:p>
            <w:pPr>
              <w:pStyle w:val="TableParagraph"/>
              <w:spacing w:line="278" w:lineRule="auto" w:before="46"/>
              <w:ind w:right="2207"/>
              <w:rPr>
                <w:sz w:val="21"/>
              </w:rPr>
            </w:pPr>
            <w:r>
              <w:rPr>
                <w:sz w:val="21"/>
              </w:rPr>
              <w:t>(4)充血性脾肿大伴脾功能亢进或食管胃底静脉曲张。</w:t>
            </w:r>
            <w:r>
              <w:rPr>
                <w:sz w:val="21"/>
                <w:shd w:fill="A6A6A6" w:color="auto" w:val="clear"/>
              </w:rPr>
              <w:t>因酗酒或药物滥用导致的肝功能衰竭不在保障范围内。</w:t>
            </w:r>
          </w:p>
        </w:tc>
      </w:tr>
      <w:tr>
        <w:trPr>
          <w:trHeight w:val="2382" w:hRule="atLeast"/>
        </w:trPr>
        <w:tc>
          <w:tcPr>
            <w:tcW w:w="7455" w:type="dxa"/>
          </w:tcPr>
          <w:p>
            <w:pPr>
              <w:pStyle w:val="TableParagraph"/>
              <w:spacing w:before="57"/>
              <w:rPr>
                <w:sz w:val="21"/>
              </w:rPr>
            </w:pPr>
            <w:r>
              <w:rPr>
                <w:sz w:val="21"/>
              </w:rPr>
              <w:t>（十一）脑炎后遗症或脑膜炎后遗症</w:t>
            </w:r>
          </w:p>
          <w:p>
            <w:pPr>
              <w:pStyle w:val="TableParagraph"/>
              <w:spacing w:line="278" w:lineRule="auto" w:before="44"/>
              <w:ind w:right="315"/>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13"/>
              <w:rPr>
                <w:sz w:val="21"/>
              </w:rPr>
            </w:pPr>
            <w:r>
              <w:rPr>
                <w:sz w:val="21"/>
              </w:rPr>
              <w:t>(1)一肢或一肢以上肢体机能完全丧失；</w:t>
            </w:r>
          </w:p>
          <w:p>
            <w:pPr>
              <w:pStyle w:val="TableParagraph"/>
              <w:spacing w:before="44"/>
              <w:rPr>
                <w:sz w:val="21"/>
              </w:rPr>
            </w:pPr>
            <w:r>
              <w:rPr>
                <w:sz w:val="21"/>
              </w:rPr>
              <w:t>(2)语言能力或咀嚼吞咽能力完全丧失；</w:t>
            </w:r>
          </w:p>
          <w:p>
            <w:pPr>
              <w:pStyle w:val="TableParagraph"/>
              <w:spacing w:line="280" w:lineRule="auto" w:before="44"/>
              <w:ind w:right="303"/>
              <w:rPr>
                <w:sz w:val="21"/>
              </w:rPr>
            </w:pPr>
            <w:r>
              <w:rPr>
                <w:sz w:val="21"/>
              </w:rPr>
              <w:t>(3)</w:t>
            </w:r>
            <w:r>
              <w:rPr>
                <w:spacing w:val="-11"/>
                <w:sz w:val="21"/>
              </w:rPr>
              <w:t>自主生活能力完全丧失，无法独立完成六项基本日常生活活动中的三项或</w:t>
            </w:r>
            <w:r>
              <w:rPr>
                <w:spacing w:val="-6"/>
                <w:sz w:val="21"/>
              </w:rPr>
              <w:t>三项以上。</w:t>
            </w:r>
          </w:p>
        </w:tc>
      </w:tr>
      <w:tr>
        <w:trPr>
          <w:trHeight w:val="1742" w:hRule="atLeast"/>
        </w:trPr>
        <w:tc>
          <w:tcPr>
            <w:tcW w:w="7455" w:type="dxa"/>
          </w:tcPr>
          <w:p>
            <w:pPr>
              <w:pStyle w:val="TableParagraph"/>
              <w:spacing w:before="56"/>
              <w:rPr>
                <w:sz w:val="21"/>
              </w:rPr>
            </w:pPr>
            <w:r>
              <w:rPr>
                <w:sz w:val="21"/>
              </w:rPr>
              <w:t>（十二）深度昏迷</w:t>
            </w:r>
          </w:p>
          <w:p>
            <w:pPr>
              <w:pStyle w:val="TableParagraph"/>
              <w:spacing w:line="278" w:lineRule="auto" w:before="46"/>
              <w:ind w:right="301"/>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4"/>
                <w:sz w:val="21"/>
              </w:rPr>
              <w:t>结果为 </w:t>
            </w:r>
            <w:r>
              <w:rPr>
                <w:sz w:val="21"/>
              </w:rPr>
              <w:t>5</w:t>
            </w:r>
            <w:r>
              <w:rPr>
                <w:spacing w:val="-24"/>
                <w:sz w:val="21"/>
              </w:rPr>
              <w:t> 分或 </w:t>
            </w:r>
            <w:r>
              <w:rPr>
                <w:sz w:val="21"/>
              </w:rPr>
              <w:t>5</w:t>
            </w:r>
            <w:r>
              <w:rPr>
                <w:spacing w:val="-11"/>
                <w:sz w:val="21"/>
              </w:rPr>
              <w:t> 分以下， </w:t>
            </w:r>
            <w:r>
              <w:rPr>
                <w:spacing w:val="-8"/>
                <w:sz w:val="21"/>
              </w:rPr>
              <w:t>且已经持续使用呼吸机及其他生命维持系统 </w:t>
            </w:r>
            <w:r>
              <w:rPr>
                <w:sz w:val="21"/>
              </w:rPr>
              <w:t>96</w:t>
            </w:r>
            <w:r>
              <w:rPr>
                <w:spacing w:val="-9"/>
                <w:sz w:val="21"/>
              </w:rPr>
              <w:t> 小时以上。</w:t>
            </w:r>
          </w:p>
          <w:p>
            <w:pPr>
              <w:pStyle w:val="TableParagraph"/>
              <w:spacing w:before="13"/>
              <w:jc w:val="both"/>
              <w:rPr>
                <w:sz w:val="21"/>
              </w:rPr>
            </w:pPr>
            <w:r>
              <w:rPr>
                <w:sz w:val="21"/>
                <w:shd w:fill="A6A6A6" w:color="auto" w:val="clear"/>
              </w:rPr>
              <w:t>因酗酒或药物滥用导致的深度昏迷不在保障范围内。</w:t>
            </w:r>
          </w:p>
        </w:tc>
      </w:tr>
      <w:tr>
        <w:trPr>
          <w:trHeight w:val="2061" w:hRule="atLeast"/>
        </w:trPr>
        <w:tc>
          <w:tcPr>
            <w:tcW w:w="7455" w:type="dxa"/>
          </w:tcPr>
          <w:p>
            <w:pPr>
              <w:pStyle w:val="TableParagraph"/>
              <w:spacing w:line="266" w:lineRule="exact" w:before="56"/>
              <w:rPr>
                <w:sz w:val="21"/>
              </w:rPr>
            </w:pPr>
            <w:r>
              <w:rPr>
                <w:sz w:val="21"/>
              </w:rPr>
              <w:t>（十三）双耳失聪</w:t>
            </w:r>
          </w:p>
          <w:p>
            <w:pPr>
              <w:pStyle w:val="TableParagraph"/>
              <w:spacing w:line="264" w:lineRule="auto"/>
              <w:ind w:right="301"/>
              <w:jc w:val="both"/>
              <w:rPr>
                <w:sz w:val="21"/>
              </w:rPr>
            </w:pPr>
            <w:r>
              <w:rPr>
                <w:spacing w:val="-3"/>
                <w:sz w:val="21"/>
              </w:rPr>
              <w:t>指因疾病或意外伤害导致双耳听力</w:t>
            </w:r>
            <w:r>
              <w:rPr>
                <w:rFonts w:ascii="微软雅黑" w:eastAsia="微软雅黑" w:hint="eastAsia"/>
                <w:b/>
                <w:sz w:val="21"/>
              </w:rPr>
              <w:t>永久不可逆</w:t>
            </w:r>
            <w:r>
              <w:rPr>
                <w:spacing w:val="-12"/>
                <w:sz w:val="21"/>
              </w:rPr>
              <w:t>性丧失，在 </w:t>
            </w:r>
            <w:r>
              <w:rPr>
                <w:sz w:val="21"/>
              </w:rPr>
              <w:t>500</w:t>
            </w:r>
            <w:r>
              <w:rPr>
                <w:spacing w:val="-18"/>
                <w:sz w:val="21"/>
              </w:rPr>
              <w:t> 赫兹、</w:t>
            </w:r>
            <w:r>
              <w:rPr>
                <w:sz w:val="21"/>
              </w:rPr>
              <w:t>1000</w:t>
            </w:r>
            <w:r>
              <w:rPr>
                <w:spacing w:val="-22"/>
                <w:sz w:val="21"/>
              </w:rPr>
              <w:t> 赫</w:t>
            </w:r>
            <w:r>
              <w:rPr>
                <w:spacing w:val="-29"/>
                <w:sz w:val="21"/>
              </w:rPr>
              <w:t>兹和 </w:t>
            </w:r>
            <w:r>
              <w:rPr>
                <w:sz w:val="21"/>
              </w:rPr>
              <w:t>2000</w:t>
            </w:r>
            <w:r>
              <w:rPr>
                <w:spacing w:val="-11"/>
                <w:sz w:val="21"/>
              </w:rPr>
              <w:t> 赫兹语音频率下，平均听阈大于 </w:t>
            </w:r>
            <w:r>
              <w:rPr>
                <w:sz w:val="21"/>
              </w:rPr>
              <w:t>90</w:t>
            </w:r>
            <w:r>
              <w:rPr>
                <w:spacing w:val="-7"/>
                <w:sz w:val="21"/>
              </w:rPr>
              <w:t> 分贝，且经纯音听力测试、声</w:t>
            </w:r>
            <w:r>
              <w:rPr>
                <w:spacing w:val="-5"/>
                <w:sz w:val="21"/>
              </w:rPr>
              <w:t>导抗检测或听觉诱发电位检测等证实。</w:t>
            </w:r>
          </w:p>
          <w:p>
            <w:pPr>
              <w:pStyle w:val="TableParagraph"/>
              <w:spacing w:line="280" w:lineRule="auto" w:before="32"/>
              <w:ind w:right="301"/>
              <w:jc w:val="both"/>
              <w:rPr>
                <w:sz w:val="21"/>
              </w:rPr>
            </w:pPr>
            <w:r>
              <w:rPr>
                <w:spacing w:val="-3"/>
                <w:sz w:val="21"/>
                <w:shd w:fill="A6A6A6" w:color="auto" w:val="clear"/>
              </w:rPr>
              <w:t>被保险人申请理赔时年龄必须在三周岁以上，并且提供理赔当时双耳失聪的诊断</w:t>
            </w:r>
            <w:r>
              <w:rPr>
                <w:spacing w:val="-212"/>
                <w:sz w:val="21"/>
                <w:shd w:fill="A6A6A6" w:color="auto" w:val="clear"/>
              </w:rPr>
              <w:t>及</w:t>
            </w:r>
            <w:r>
              <w:rPr>
                <w:spacing w:val="-3"/>
                <w:sz w:val="21"/>
                <w:shd w:fill="A6A6A6" w:color="auto" w:val="clear"/>
              </w:rPr>
              <w:t>检查证明和资料。</w:t>
            </w:r>
          </w:p>
        </w:tc>
      </w:tr>
      <w:tr>
        <w:trPr>
          <w:trHeight w:val="3021" w:hRule="atLeast"/>
        </w:trPr>
        <w:tc>
          <w:tcPr>
            <w:tcW w:w="7455" w:type="dxa"/>
          </w:tcPr>
          <w:p>
            <w:pPr>
              <w:pStyle w:val="TableParagraph"/>
              <w:spacing w:before="56"/>
              <w:rPr>
                <w:sz w:val="21"/>
              </w:rPr>
            </w:pPr>
            <w:r>
              <w:rPr>
                <w:sz w:val="21"/>
              </w:rPr>
              <w:t>（十四）双目失明</w:t>
            </w:r>
          </w:p>
          <w:p>
            <w:pPr>
              <w:pStyle w:val="TableParagraph"/>
              <w:spacing w:line="278" w:lineRule="auto" w:before="46"/>
              <w:ind w:right="301"/>
              <w:rPr>
                <w:sz w:val="21"/>
              </w:rPr>
            </w:pPr>
            <w:r>
              <w:rPr>
                <w:sz w:val="21"/>
              </w:rPr>
              <w:t>指因疾病或意外伤害导致双眼视力永久不可逆性丧失，双眼中较好眼须满足下列至少一项条件：</w:t>
            </w:r>
          </w:p>
          <w:p>
            <w:pPr>
              <w:pStyle w:val="TableParagraph"/>
              <w:spacing w:before="10"/>
              <w:rPr>
                <w:sz w:val="21"/>
              </w:rPr>
            </w:pPr>
            <w:r>
              <w:rPr>
                <w:sz w:val="21"/>
              </w:rPr>
              <w:t>(1)眼球缺失或摘除；</w:t>
            </w:r>
          </w:p>
          <w:p>
            <w:pPr>
              <w:pStyle w:val="TableParagraph"/>
              <w:spacing w:line="278" w:lineRule="auto" w:before="46"/>
              <w:ind w:left="514" w:right="302" w:hanging="315"/>
              <w:rPr>
                <w:sz w:val="21"/>
              </w:rPr>
            </w:pPr>
            <w:r>
              <w:rPr>
                <w:sz w:val="21"/>
              </w:rPr>
              <w:t>(2)</w:t>
            </w:r>
            <w:r>
              <w:rPr>
                <w:spacing w:val="2"/>
                <w:sz w:val="21"/>
              </w:rPr>
              <w:t>矫正视力低于 </w:t>
            </w:r>
            <w:r>
              <w:rPr>
                <w:sz w:val="21"/>
              </w:rPr>
              <w:t>0.02（</w:t>
            </w:r>
            <w:r>
              <w:rPr>
                <w:spacing w:val="-3"/>
                <w:sz w:val="21"/>
              </w:rPr>
              <w:t>采用国际标准视力表，如果使用其他视力表应进行</w:t>
            </w:r>
            <w:r>
              <w:rPr>
                <w:spacing w:val="-3"/>
                <w:w w:val="100"/>
                <w:sz w:val="21"/>
              </w:rPr>
              <w:t>换算</w:t>
            </w:r>
            <w:r>
              <w:rPr>
                <w:spacing w:val="-108"/>
                <w:w w:val="100"/>
                <w:sz w:val="21"/>
              </w:rPr>
              <w:t>）</w:t>
            </w:r>
            <w:r>
              <w:rPr>
                <w:w w:val="100"/>
                <w:sz w:val="21"/>
              </w:rPr>
              <w:t>；</w:t>
            </w:r>
          </w:p>
          <w:p>
            <w:pPr>
              <w:pStyle w:val="TableParagraph"/>
              <w:spacing w:before="10"/>
              <w:rPr>
                <w:sz w:val="21"/>
              </w:rPr>
            </w:pPr>
            <w:r>
              <w:rPr>
                <w:sz w:val="21"/>
              </w:rPr>
              <w:t>(3)视野半径小于 5 度。</w:t>
            </w:r>
          </w:p>
          <w:p>
            <w:pPr>
              <w:pStyle w:val="TableParagraph"/>
              <w:spacing w:line="278" w:lineRule="auto" w:before="46"/>
              <w:ind w:right="301"/>
              <w:rPr>
                <w:sz w:val="21"/>
              </w:rPr>
            </w:pPr>
            <w:r>
              <w:rPr>
                <w:spacing w:val="-3"/>
                <w:sz w:val="21"/>
                <w:shd w:fill="A6A6A6" w:color="auto" w:val="clear"/>
              </w:rPr>
              <w:t>被保险人申请理赔时年龄必须在三周岁以上，并且提供理赔当时双目失明的</w:t>
            </w:r>
            <w:r>
              <w:rPr>
                <w:spacing w:val="-212"/>
                <w:sz w:val="21"/>
                <w:shd w:fill="A6A6A6" w:color="auto" w:val="clear"/>
              </w:rPr>
              <w:t>诊</w:t>
            </w:r>
            <w:r>
              <w:rPr>
                <w:spacing w:val="-3"/>
                <w:sz w:val="21"/>
                <w:shd w:fill="A6A6A6" w:color="auto" w:val="clear"/>
              </w:rPr>
              <w:t>断及检查证明和资料。</w:t>
            </w:r>
          </w:p>
        </w:tc>
      </w:tr>
      <w:tr>
        <w:trPr>
          <w:trHeight w:val="1422" w:hRule="atLeast"/>
        </w:trPr>
        <w:tc>
          <w:tcPr>
            <w:tcW w:w="7455" w:type="dxa"/>
          </w:tcPr>
          <w:p>
            <w:pPr>
              <w:pStyle w:val="TableParagraph"/>
              <w:spacing w:before="56"/>
              <w:rPr>
                <w:sz w:val="21"/>
              </w:rPr>
            </w:pPr>
            <w:r>
              <w:rPr>
                <w:sz w:val="21"/>
              </w:rPr>
              <w:t>（十五）瘫痪</w:t>
            </w:r>
          </w:p>
          <w:p>
            <w:pPr>
              <w:pStyle w:val="TableParagraph"/>
              <w:spacing w:line="278" w:lineRule="auto" w:before="46"/>
              <w:ind w:right="301"/>
              <w:jc w:val="both"/>
              <w:rPr>
                <w:sz w:val="21"/>
              </w:rPr>
            </w:pPr>
            <w:r>
              <w:rPr>
                <w:spacing w:val="-3"/>
                <w:sz w:val="21"/>
              </w:rPr>
              <w:t>指因疾病或意外伤害导致两肢或两肢以上肢体机能永久完全丧失。肢体机能</w:t>
            </w:r>
            <w:r>
              <w:rPr>
                <w:spacing w:val="-6"/>
                <w:sz w:val="21"/>
              </w:rPr>
              <w:t>永久完全丧失，指疾病确诊 </w:t>
            </w:r>
            <w:r>
              <w:rPr>
                <w:sz w:val="21"/>
              </w:rPr>
              <w:t>180</w:t>
            </w:r>
            <w:r>
              <w:rPr>
                <w:spacing w:val="-11"/>
                <w:sz w:val="21"/>
              </w:rPr>
              <w:t> 天后或意外伤害发生 </w:t>
            </w:r>
            <w:r>
              <w:rPr>
                <w:sz w:val="21"/>
              </w:rPr>
              <w:t>180</w:t>
            </w:r>
            <w:r>
              <w:rPr>
                <w:spacing w:val="-8"/>
                <w:sz w:val="21"/>
              </w:rPr>
              <w:t> 天后，每肢三大关</w:t>
            </w:r>
            <w:r>
              <w:rPr>
                <w:spacing w:val="-5"/>
                <w:sz w:val="21"/>
              </w:rPr>
              <w:t>节中的两大关节仍然完全僵硬，或不能随意识活动。</w:t>
            </w:r>
          </w:p>
        </w:tc>
      </w:tr>
      <w:tr>
        <w:trPr>
          <w:trHeight w:val="782" w:hRule="atLeast"/>
        </w:trPr>
        <w:tc>
          <w:tcPr>
            <w:tcW w:w="7455" w:type="dxa"/>
          </w:tcPr>
          <w:p>
            <w:pPr>
              <w:pStyle w:val="TableParagraph"/>
              <w:spacing w:before="57"/>
              <w:rPr>
                <w:sz w:val="21"/>
              </w:rPr>
            </w:pPr>
            <w:r>
              <w:rPr>
                <w:sz w:val="21"/>
              </w:rPr>
              <w:t>（十六）心脏瓣膜手术</w:t>
            </w:r>
          </w:p>
          <w:p>
            <w:pPr>
              <w:pStyle w:val="TableParagraph"/>
              <w:spacing w:before="44"/>
              <w:rPr>
                <w:sz w:val="21"/>
              </w:rPr>
            </w:pPr>
            <w:r>
              <w:rPr>
                <w:sz w:val="21"/>
              </w:rPr>
              <w:t>指为治疗心脏瓣膜疾病，实际实施了开胸进行的心脏瓣膜置换或修复的手术。</w:t>
            </w:r>
          </w:p>
        </w:tc>
      </w:tr>
      <w:tr>
        <w:trPr>
          <w:trHeight w:val="656" w:hRule="atLeast"/>
        </w:trPr>
        <w:tc>
          <w:tcPr>
            <w:tcW w:w="7455" w:type="dxa"/>
          </w:tcPr>
          <w:p>
            <w:pPr>
              <w:pStyle w:val="TableParagraph"/>
              <w:spacing w:before="57"/>
              <w:rPr>
                <w:sz w:val="21"/>
              </w:rPr>
            </w:pPr>
            <w:r>
              <w:rPr>
                <w:sz w:val="21"/>
              </w:rPr>
              <w:t>（十七）严重阿尔茨海默病</w:t>
            </w:r>
          </w:p>
          <w:p>
            <w:pPr>
              <w:pStyle w:val="TableParagraph"/>
              <w:spacing w:line="260" w:lineRule="exact" w:before="43"/>
              <w:rPr>
                <w:sz w:val="21"/>
              </w:rPr>
            </w:pPr>
            <w:r>
              <w:rPr>
                <w:sz w:val="21"/>
              </w:rPr>
              <w:t>指因大脑进行性、不可逆性改变导致智能严重衰退或丧失，临床表现为明显</w:t>
            </w:r>
          </w:p>
        </w:tc>
      </w:tr>
    </w:tbl>
    <w:p>
      <w:pPr>
        <w:spacing w:after="0" w:line="260" w:lineRule="exact"/>
        <w:rPr>
          <w:sz w:val="21"/>
        </w:rPr>
        <w:sectPr>
          <w:pgSz w:w="11910" w:h="16840"/>
          <w:pgMar w:top="1480" w:bottom="280" w:left="1680" w:right="660"/>
        </w:sectPr>
      </w:pPr>
    </w:p>
    <w:tbl>
      <w:tblPr>
        <w:tblW w:w="0" w:type="auto"/>
        <w:jc w:val="left"/>
        <w:tblInd w:w="20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57"/>
      </w:tblGrid>
      <w:tr>
        <w:trPr>
          <w:trHeight w:val="1616" w:hRule="atLeast"/>
        </w:trPr>
        <w:tc>
          <w:tcPr>
            <w:tcW w:w="7457" w:type="dxa"/>
          </w:tcPr>
          <w:p>
            <w:pPr>
              <w:pStyle w:val="TableParagraph"/>
              <w:spacing w:line="206" w:lineRule="exact"/>
              <w:rPr>
                <w:sz w:val="21"/>
              </w:rPr>
            </w:pPr>
            <w:r>
              <w:rPr>
                <w:sz w:val="21"/>
              </w:rPr>
              <w:t>的认知能力障碍、行为异常和社交能力减退，其日常生活必须持续受到他人</w:t>
            </w:r>
          </w:p>
          <w:p>
            <w:pPr>
              <w:pStyle w:val="TableParagraph"/>
              <w:spacing w:line="280" w:lineRule="auto" w:before="44"/>
              <w:ind w:right="304"/>
              <w:jc w:val="both"/>
              <w:rPr>
                <w:sz w:val="21"/>
              </w:rPr>
            </w:pPr>
            <w:r>
              <w:rPr>
                <w:spacing w:val="-3"/>
                <w:w w:val="100"/>
                <w:sz w:val="21"/>
              </w:rPr>
              <w:t>监护。须由头颅断层扫描</w:t>
            </w:r>
            <w:r>
              <w:rPr>
                <w:w w:val="100"/>
                <w:sz w:val="21"/>
              </w:rPr>
              <w:t>（CT</w:t>
            </w:r>
            <w:r>
              <w:rPr>
                <w:spacing w:val="-106"/>
                <w:w w:val="100"/>
                <w:sz w:val="21"/>
              </w:rPr>
              <w:t>）</w:t>
            </w:r>
            <w:r>
              <w:rPr>
                <w:spacing w:val="-2"/>
                <w:w w:val="100"/>
                <w:sz w:val="21"/>
              </w:rPr>
              <w:t>、核磁共振检查</w:t>
            </w:r>
            <w:r>
              <w:rPr>
                <w:spacing w:val="-1"/>
                <w:w w:val="100"/>
                <w:sz w:val="21"/>
              </w:rPr>
              <w:t>（</w:t>
            </w:r>
            <w:r>
              <w:rPr>
                <w:w w:val="100"/>
                <w:sz w:val="21"/>
              </w:rPr>
              <w:t>M</w:t>
            </w:r>
            <w:r>
              <w:rPr>
                <w:spacing w:val="-3"/>
                <w:w w:val="100"/>
                <w:sz w:val="21"/>
              </w:rPr>
              <w:t>R</w:t>
            </w:r>
            <w:r>
              <w:rPr>
                <w:w w:val="100"/>
                <w:sz w:val="21"/>
              </w:rPr>
              <w:t>I）</w:t>
            </w:r>
            <w:r>
              <w:rPr>
                <w:spacing w:val="-2"/>
                <w:w w:val="100"/>
                <w:sz w:val="21"/>
              </w:rPr>
              <w:t>或正电子发射断层扫</w:t>
            </w:r>
            <w:r>
              <w:rPr>
                <w:spacing w:val="-22"/>
                <w:sz w:val="21"/>
              </w:rPr>
              <w:t>描</w:t>
            </w:r>
            <w:r>
              <w:rPr>
                <w:spacing w:val="-6"/>
                <w:sz w:val="21"/>
              </w:rPr>
              <w:t>（PET）</w:t>
            </w:r>
            <w:r>
              <w:rPr>
                <w:spacing w:val="-7"/>
                <w:sz w:val="21"/>
              </w:rPr>
              <w:t>等影像学检查证实，且自主生活能力完全丧失，无法独立完成六项</w:t>
            </w:r>
            <w:r>
              <w:rPr>
                <w:spacing w:val="-5"/>
                <w:sz w:val="21"/>
              </w:rPr>
              <w:t>基本日常生活活动中的三项或三项以上。</w:t>
            </w:r>
          </w:p>
          <w:p>
            <w:pPr>
              <w:pStyle w:val="TableParagraph"/>
              <w:spacing w:before="8"/>
              <w:jc w:val="both"/>
              <w:rPr>
                <w:sz w:val="21"/>
              </w:rPr>
            </w:pPr>
            <w:r>
              <w:rPr>
                <w:sz w:val="21"/>
                <w:shd w:fill="A6A6A6" w:color="auto" w:val="clear"/>
              </w:rPr>
              <w:t>神经官能症和精神疾病不在保障范围内。</w:t>
            </w:r>
          </w:p>
        </w:tc>
      </w:tr>
      <w:tr>
        <w:trPr>
          <w:trHeight w:val="3022" w:hRule="atLeast"/>
        </w:trPr>
        <w:tc>
          <w:tcPr>
            <w:tcW w:w="7457" w:type="dxa"/>
          </w:tcPr>
          <w:p>
            <w:pPr>
              <w:pStyle w:val="TableParagraph"/>
              <w:spacing w:before="57"/>
              <w:rPr>
                <w:sz w:val="21"/>
              </w:rPr>
            </w:pPr>
            <w:r>
              <w:rPr>
                <w:sz w:val="21"/>
              </w:rPr>
              <w:t>（十八）严重脑损伤</w:t>
            </w:r>
          </w:p>
          <w:p>
            <w:pPr>
              <w:pStyle w:val="TableParagraph"/>
              <w:spacing w:line="278" w:lineRule="auto" w:before="44"/>
              <w:ind w:right="303"/>
              <w:jc w:val="both"/>
              <w:rPr>
                <w:sz w:val="21"/>
              </w:rPr>
            </w:pPr>
            <w:r>
              <w:rPr>
                <w:spacing w:val="-3"/>
                <w:sz w:val="21"/>
              </w:rPr>
              <w:t>指因头部遭受机械性外力，引起脑重要部位损伤，导致神经系统永久性的功</w:t>
            </w:r>
            <w:r>
              <w:rPr>
                <w:spacing w:val="-3"/>
                <w:w w:val="100"/>
                <w:sz w:val="21"/>
              </w:rPr>
              <w:t>能障碍。须由头颅断层扫描</w:t>
            </w:r>
            <w:r>
              <w:rPr>
                <w:w w:val="100"/>
                <w:sz w:val="21"/>
              </w:rPr>
              <w:t>（CT</w:t>
            </w:r>
            <w:r>
              <w:rPr>
                <w:spacing w:val="-106"/>
                <w:w w:val="100"/>
                <w:sz w:val="21"/>
              </w:rPr>
              <w:t>）</w:t>
            </w:r>
            <w:r>
              <w:rPr>
                <w:spacing w:val="-3"/>
                <w:w w:val="100"/>
                <w:sz w:val="21"/>
              </w:rPr>
              <w:t>、核磁共振检查（</w:t>
            </w:r>
            <w:r>
              <w:rPr>
                <w:w w:val="100"/>
                <w:sz w:val="21"/>
              </w:rPr>
              <w:t>MRI）</w:t>
            </w:r>
            <w:r>
              <w:rPr>
                <w:spacing w:val="-3"/>
                <w:w w:val="100"/>
                <w:sz w:val="21"/>
              </w:rPr>
              <w:t>或正电子发射断层</w:t>
            </w:r>
            <w:r>
              <w:rPr>
                <w:spacing w:val="-7"/>
                <w:sz w:val="21"/>
              </w:rPr>
              <w:t>扫描</w:t>
            </w:r>
            <w:r>
              <w:rPr>
                <w:spacing w:val="-4"/>
                <w:sz w:val="21"/>
              </w:rPr>
              <w:t>（PET）</w:t>
            </w:r>
            <w:r>
              <w:rPr>
                <w:spacing w:val="-7"/>
                <w:sz w:val="21"/>
              </w:rPr>
              <w:t>等影像学检查证实。神经系统永久性的功能障碍，指脑损伤 </w:t>
            </w:r>
            <w:r>
              <w:rPr>
                <w:sz w:val="21"/>
              </w:rPr>
              <w:t>180 </w:t>
            </w:r>
            <w:r>
              <w:rPr>
                <w:spacing w:val="-3"/>
                <w:sz w:val="21"/>
              </w:rPr>
              <w:t>天后，仍遗留下列一种或一种以上障碍：</w:t>
            </w:r>
          </w:p>
          <w:p>
            <w:pPr>
              <w:pStyle w:val="TableParagraph"/>
              <w:spacing w:before="11"/>
              <w:rPr>
                <w:sz w:val="21"/>
              </w:rPr>
            </w:pPr>
            <w:r>
              <w:rPr>
                <w:sz w:val="21"/>
              </w:rPr>
              <w:t>(1)一肢或一肢以上肢体机能完全丧失；</w:t>
            </w:r>
          </w:p>
          <w:p>
            <w:pPr>
              <w:pStyle w:val="TableParagraph"/>
              <w:spacing w:before="47"/>
              <w:rPr>
                <w:sz w:val="21"/>
              </w:rPr>
            </w:pPr>
            <w:r>
              <w:rPr>
                <w:sz w:val="21"/>
              </w:rPr>
              <w:t>(2)语言能力或咀嚼吞咽能力完全丧失；</w:t>
            </w:r>
          </w:p>
          <w:p>
            <w:pPr>
              <w:pStyle w:val="TableParagraph"/>
              <w:spacing w:line="278" w:lineRule="auto" w:before="44"/>
              <w:ind w:right="305"/>
              <w:rPr>
                <w:sz w:val="21"/>
              </w:rPr>
            </w:pPr>
            <w:r>
              <w:rPr>
                <w:sz w:val="21"/>
              </w:rPr>
              <w:t>(3)</w:t>
            </w:r>
            <w:r>
              <w:rPr>
                <w:spacing w:val="-11"/>
                <w:sz w:val="21"/>
              </w:rPr>
              <w:t>自主生活能力完全丧失，无法独立完成六项基本日常生活活动中的三项或</w:t>
            </w:r>
            <w:r>
              <w:rPr>
                <w:spacing w:val="-6"/>
                <w:sz w:val="21"/>
              </w:rPr>
              <w:t>三项以上。</w:t>
            </w:r>
          </w:p>
        </w:tc>
      </w:tr>
      <w:tr>
        <w:trPr>
          <w:trHeight w:val="2382" w:hRule="atLeast"/>
        </w:trPr>
        <w:tc>
          <w:tcPr>
            <w:tcW w:w="7457" w:type="dxa"/>
          </w:tcPr>
          <w:p>
            <w:pPr>
              <w:pStyle w:val="TableParagraph"/>
              <w:spacing w:before="57"/>
              <w:rPr>
                <w:sz w:val="21"/>
              </w:rPr>
            </w:pPr>
            <w:r>
              <w:rPr>
                <w:sz w:val="21"/>
              </w:rPr>
              <w:t>（十九）严重帕金森病</w:t>
            </w:r>
          </w:p>
          <w:p>
            <w:pPr>
              <w:pStyle w:val="TableParagraph"/>
              <w:spacing w:line="280" w:lineRule="auto" w:before="44"/>
              <w:ind w:right="303"/>
              <w:rPr>
                <w:sz w:val="21"/>
              </w:rPr>
            </w:pPr>
            <w:r>
              <w:rPr>
                <w:sz w:val="21"/>
              </w:rPr>
              <w:t>是一种中枢神经系统的退行性疾病，临床表现为震颤麻痹、共济失调等。须满足下列全部条件：</w:t>
            </w:r>
          </w:p>
          <w:p>
            <w:pPr>
              <w:pStyle w:val="TableParagraph"/>
              <w:spacing w:before="9"/>
              <w:rPr>
                <w:sz w:val="21"/>
              </w:rPr>
            </w:pPr>
            <w:r>
              <w:rPr>
                <w:sz w:val="21"/>
              </w:rPr>
              <w:t>(1)药物治疗无法控制病情；</w:t>
            </w:r>
          </w:p>
          <w:p>
            <w:pPr>
              <w:pStyle w:val="TableParagraph"/>
              <w:spacing w:line="280" w:lineRule="auto" w:before="44"/>
              <w:ind w:left="514" w:right="305" w:hanging="315"/>
              <w:rPr>
                <w:sz w:val="21"/>
              </w:rPr>
            </w:pPr>
            <w:r>
              <w:rPr>
                <w:sz w:val="21"/>
              </w:rPr>
              <w:t>(2)</w:t>
            </w:r>
            <w:r>
              <w:rPr>
                <w:spacing w:val="-11"/>
                <w:sz w:val="21"/>
              </w:rPr>
              <w:t>自主生活能力完全丧失，无法独立完成六项基本日常生活活动中的三项或</w:t>
            </w:r>
            <w:r>
              <w:rPr>
                <w:spacing w:val="-6"/>
                <w:sz w:val="21"/>
              </w:rPr>
              <w:t>三项以上。</w:t>
            </w:r>
          </w:p>
          <w:p>
            <w:pPr>
              <w:pStyle w:val="TableParagraph"/>
              <w:spacing w:before="8"/>
              <w:rPr>
                <w:sz w:val="21"/>
              </w:rPr>
            </w:pPr>
            <w:r>
              <w:rPr>
                <w:sz w:val="21"/>
                <w:shd w:fill="A6A6A6" w:color="auto" w:val="clear"/>
              </w:rPr>
              <w:t>继发性帕金森综合征不在保障范围内。</w:t>
            </w:r>
          </w:p>
        </w:tc>
      </w:tr>
      <w:tr>
        <w:trPr>
          <w:trHeight w:val="1103" w:hRule="atLeast"/>
        </w:trPr>
        <w:tc>
          <w:tcPr>
            <w:tcW w:w="7457" w:type="dxa"/>
          </w:tcPr>
          <w:p>
            <w:pPr>
              <w:pStyle w:val="TableParagraph"/>
              <w:spacing w:before="56"/>
              <w:rPr>
                <w:sz w:val="21"/>
              </w:rPr>
            </w:pPr>
            <w:r>
              <w:rPr>
                <w:sz w:val="21"/>
              </w:rPr>
              <w:t>（二十）严重Ⅲ度烧伤</w:t>
            </w:r>
          </w:p>
          <w:p>
            <w:pPr>
              <w:pStyle w:val="TableParagraph"/>
              <w:spacing w:line="278" w:lineRule="auto" w:before="46"/>
              <w:ind w:right="308"/>
              <w:rPr>
                <w:sz w:val="21"/>
              </w:rPr>
            </w:pPr>
            <w:r>
              <w:rPr>
                <w:sz w:val="21"/>
              </w:rPr>
              <w:t>指烧伤程度为Ⅲ度，且Ⅲ度烧伤的面积达到全身体表面积的 20％或 20％以上。体表面积根据《中国新九分法》计算。</w:t>
            </w:r>
          </w:p>
        </w:tc>
      </w:tr>
      <w:tr>
        <w:trPr>
          <w:trHeight w:val="1422" w:hRule="atLeast"/>
        </w:trPr>
        <w:tc>
          <w:tcPr>
            <w:tcW w:w="7457" w:type="dxa"/>
          </w:tcPr>
          <w:p>
            <w:pPr>
              <w:pStyle w:val="TableParagraph"/>
              <w:spacing w:before="57"/>
              <w:rPr>
                <w:sz w:val="21"/>
              </w:rPr>
            </w:pPr>
            <w:r>
              <w:rPr>
                <w:sz w:val="21"/>
              </w:rPr>
              <w:t>（二十一）严重原发性肺动脉高压</w:t>
            </w:r>
          </w:p>
          <w:p>
            <w:pPr>
              <w:pStyle w:val="TableParagraph"/>
              <w:spacing w:line="280" w:lineRule="auto" w:before="44"/>
              <w:ind w:right="303"/>
              <w:jc w:val="both"/>
              <w:rPr>
                <w:sz w:val="21"/>
              </w:rPr>
            </w:pPr>
            <w:r>
              <w:rPr>
                <w:sz w:val="21"/>
              </w:rPr>
              <w:t>指不明原因的肺动脉压力持续性增高，进行性发展而导致的慢性疾病，已经造成永久不可逆性的体力活动能力受限，达到美国纽约心脏病学会心功能状态分级 IV 级，且静息状态下肺动脉平均压超过 30mmHg。</w:t>
            </w:r>
          </w:p>
        </w:tc>
      </w:tr>
      <w:tr>
        <w:trPr>
          <w:trHeight w:val="1741" w:hRule="atLeast"/>
        </w:trPr>
        <w:tc>
          <w:tcPr>
            <w:tcW w:w="7457" w:type="dxa"/>
          </w:tcPr>
          <w:p>
            <w:pPr>
              <w:pStyle w:val="TableParagraph"/>
              <w:spacing w:before="56"/>
              <w:rPr>
                <w:sz w:val="21"/>
              </w:rPr>
            </w:pPr>
            <w:r>
              <w:rPr>
                <w:sz w:val="21"/>
              </w:rPr>
              <w:t>（二十二）严重运动神经元病</w:t>
            </w:r>
          </w:p>
          <w:p>
            <w:pPr>
              <w:pStyle w:val="TableParagraph"/>
              <w:spacing w:line="278" w:lineRule="auto" w:before="44"/>
              <w:ind w:right="197"/>
              <w:rPr>
                <w:sz w:val="21"/>
              </w:rPr>
            </w:pPr>
            <w:r>
              <w:rPr>
                <w:spacing w:val="-7"/>
                <w:sz w:val="21"/>
              </w:rPr>
              <w:t>是一组中枢神经系统运动神经元的进行性变性疾病，包括进行性脊肌萎缩症、</w:t>
            </w:r>
            <w:r>
              <w:rPr>
                <w:spacing w:val="-6"/>
                <w:sz w:val="21"/>
              </w:rPr>
              <w:t>进行性延髓麻痹症、原发性侧索硬化症、肌萎缩性侧索硬化症。须满足自主</w:t>
            </w:r>
            <w:r>
              <w:rPr>
                <w:spacing w:val="-5"/>
                <w:sz w:val="21"/>
              </w:rPr>
              <w:t>生活能力完全丧失，无法独立完成六项基本日常生活活动中的三项或三项以</w:t>
            </w:r>
            <w:r>
              <w:rPr>
                <w:spacing w:val="-4"/>
                <w:sz w:val="21"/>
              </w:rPr>
              <w:t>上的条件。</w:t>
            </w:r>
          </w:p>
        </w:tc>
      </w:tr>
      <w:tr>
        <w:trPr>
          <w:trHeight w:val="2063" w:hRule="atLeast"/>
        </w:trPr>
        <w:tc>
          <w:tcPr>
            <w:tcW w:w="7457" w:type="dxa"/>
          </w:tcPr>
          <w:p>
            <w:pPr>
              <w:pStyle w:val="TableParagraph"/>
              <w:spacing w:before="57"/>
              <w:rPr>
                <w:sz w:val="21"/>
              </w:rPr>
            </w:pPr>
            <w:r>
              <w:rPr>
                <w:sz w:val="21"/>
              </w:rPr>
              <w:t>（二十三）语言能力丧失</w:t>
            </w:r>
          </w:p>
          <w:p>
            <w:pPr>
              <w:pStyle w:val="TableParagraph"/>
              <w:spacing w:line="280" w:lineRule="auto" w:before="44"/>
              <w:ind w:right="303"/>
              <w:rPr>
                <w:sz w:val="21"/>
              </w:rPr>
            </w:pPr>
            <w:r>
              <w:rPr>
                <w:spacing w:val="-8"/>
                <w:sz w:val="21"/>
              </w:rPr>
              <w:t>指因疾病或意外伤害导致完全丧失语言能力，经过积极治疗至少 </w:t>
            </w:r>
            <w:r>
              <w:rPr>
                <w:sz w:val="21"/>
              </w:rPr>
              <w:t>12</w:t>
            </w:r>
            <w:r>
              <w:rPr>
                <w:spacing w:val="-29"/>
                <w:sz w:val="21"/>
              </w:rPr>
              <w:t> 个月</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8"/>
              <w:rPr>
                <w:sz w:val="21"/>
              </w:rPr>
            </w:pPr>
            <w:r>
              <w:rPr>
                <w:sz w:val="21"/>
                <w:shd w:fill="A6A6A6" w:color="auto" w:val="clear"/>
              </w:rPr>
              <w:t>精神心理因素所致的语言能力丧失不在保障范围内。</w:t>
            </w:r>
          </w:p>
          <w:p>
            <w:pPr>
              <w:pStyle w:val="TableParagraph"/>
              <w:spacing w:line="280" w:lineRule="auto" w:before="44"/>
              <w:ind w:right="303"/>
              <w:rPr>
                <w:sz w:val="21"/>
              </w:rPr>
            </w:pPr>
            <w:r>
              <w:rPr>
                <w:sz w:val="21"/>
                <w:shd w:fill="A6A6A6" w:color="auto" w:val="clear"/>
              </w:rPr>
              <w:t>被保险人申请理赔时年龄必须在三周岁以上，并且提供理赔当时语言能力丧失的诊断及检查证明和资料。</w:t>
            </w:r>
          </w:p>
        </w:tc>
      </w:tr>
      <w:tr>
        <w:trPr>
          <w:trHeight w:val="335" w:hRule="atLeast"/>
        </w:trPr>
        <w:tc>
          <w:tcPr>
            <w:tcW w:w="7457" w:type="dxa"/>
          </w:tcPr>
          <w:p>
            <w:pPr>
              <w:pStyle w:val="TableParagraph"/>
              <w:spacing w:line="260" w:lineRule="exact" w:before="56"/>
              <w:rPr>
                <w:sz w:val="21"/>
              </w:rPr>
            </w:pPr>
            <w:r>
              <w:rPr>
                <w:sz w:val="21"/>
              </w:rPr>
              <w:t>（二十四）重型再生障碍性贫血</w:t>
            </w:r>
          </w:p>
        </w:tc>
      </w:tr>
    </w:tbl>
    <w:p>
      <w:pPr>
        <w:spacing w:after="0" w:line="260" w:lineRule="exact"/>
        <w:rPr>
          <w:sz w:val="21"/>
        </w:rPr>
        <w:sectPr>
          <w:pgSz w:w="11910" w:h="16840"/>
          <w:pgMar w:top="1480" w:bottom="280" w:left="1680" w:right="660"/>
        </w:sectPr>
      </w:pPr>
    </w:p>
    <w:tbl>
      <w:tblPr>
        <w:tblW w:w="0" w:type="auto"/>
        <w:jc w:val="left"/>
        <w:tblInd w:w="20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2"/>
      </w:tblGrid>
      <w:tr>
        <w:trPr>
          <w:trHeight w:val="2256" w:hRule="atLeast"/>
        </w:trPr>
        <w:tc>
          <w:tcPr>
            <w:tcW w:w="7352" w:type="dxa"/>
          </w:tcPr>
          <w:p>
            <w:pPr>
              <w:pStyle w:val="TableParagraph"/>
              <w:spacing w:line="206" w:lineRule="exact"/>
              <w:rPr>
                <w:sz w:val="21"/>
              </w:rPr>
            </w:pPr>
            <w:r>
              <w:rPr>
                <w:sz w:val="21"/>
              </w:rPr>
              <w:t>指因骨髓造血功能慢性持续性衰竭导致的贫血、中性粒细胞减少及血小板减</w:t>
            </w:r>
          </w:p>
          <w:p>
            <w:pPr>
              <w:pStyle w:val="TableParagraph"/>
              <w:spacing w:before="44"/>
              <w:rPr>
                <w:sz w:val="21"/>
              </w:rPr>
            </w:pPr>
            <w:r>
              <w:rPr>
                <w:sz w:val="21"/>
              </w:rPr>
              <w:t>少。须满足下列全部条件：</w:t>
            </w:r>
          </w:p>
          <w:p>
            <w:pPr>
              <w:pStyle w:val="TableParagraph"/>
              <w:spacing w:before="43"/>
              <w:rPr>
                <w:sz w:val="21"/>
              </w:rPr>
            </w:pPr>
            <w:r>
              <w:rPr>
                <w:sz w:val="21"/>
              </w:rPr>
              <w:t>(1)骨髓穿刺检查或骨髓活检结果支持诊断；</w:t>
            </w:r>
          </w:p>
          <w:p>
            <w:pPr>
              <w:pStyle w:val="TableParagraph"/>
              <w:spacing w:before="46"/>
              <w:rPr>
                <w:sz w:val="21"/>
              </w:rPr>
            </w:pPr>
            <w:r>
              <w:rPr>
                <w:sz w:val="21"/>
              </w:rPr>
              <w:t>(2)外周血象须具备以下三项条件：</w:t>
            </w:r>
          </w:p>
          <w:p>
            <w:pPr>
              <w:pStyle w:val="TableParagraph"/>
              <w:spacing w:before="44"/>
              <w:ind w:left="514"/>
              <w:rPr>
                <w:sz w:val="21"/>
              </w:rPr>
            </w:pPr>
            <w:r>
              <w:rPr>
                <w:sz w:val="21"/>
              </w:rPr>
              <w:t>①中性粒细胞绝对值≤0.5×10</w:t>
            </w:r>
            <w:r>
              <w:rPr>
                <w:position w:val="11"/>
                <w:sz w:val="11"/>
              </w:rPr>
              <w:t>9</w:t>
            </w:r>
            <w:r>
              <w:rPr>
                <w:sz w:val="21"/>
              </w:rPr>
              <w:t>/L ；</w:t>
            </w:r>
          </w:p>
          <w:p>
            <w:pPr>
              <w:pStyle w:val="TableParagraph"/>
              <w:spacing w:before="44"/>
              <w:ind w:left="495" w:right="4821"/>
              <w:jc w:val="center"/>
              <w:rPr>
                <w:sz w:val="21"/>
              </w:rPr>
            </w:pPr>
            <w:r>
              <w:rPr>
                <w:sz w:val="21"/>
              </w:rPr>
              <w:t>②网织红细胞＜1％；</w:t>
            </w:r>
          </w:p>
          <w:p>
            <w:pPr>
              <w:pStyle w:val="TableParagraph"/>
              <w:spacing w:before="46"/>
              <w:rPr>
                <w:sz w:val="21"/>
              </w:rPr>
            </w:pPr>
            <w:r>
              <w:rPr>
                <w:sz w:val="21"/>
              </w:rPr>
              <w:t>③血小板绝对值≤20×10</w:t>
            </w:r>
            <w:r>
              <w:rPr>
                <w:position w:val="11"/>
                <w:sz w:val="11"/>
              </w:rPr>
              <w:t>9</w:t>
            </w:r>
            <w:r>
              <w:rPr>
                <w:sz w:val="21"/>
              </w:rPr>
              <w:t>/L。</w:t>
            </w:r>
          </w:p>
        </w:tc>
      </w:tr>
      <w:tr>
        <w:trPr>
          <w:trHeight w:val="1742" w:hRule="atLeast"/>
        </w:trPr>
        <w:tc>
          <w:tcPr>
            <w:tcW w:w="7352" w:type="dxa"/>
          </w:tcPr>
          <w:p>
            <w:pPr>
              <w:pStyle w:val="TableParagraph"/>
              <w:spacing w:before="56"/>
              <w:rPr>
                <w:sz w:val="21"/>
              </w:rPr>
            </w:pPr>
            <w:r>
              <w:rPr>
                <w:sz w:val="21"/>
              </w:rPr>
              <w:t>（二十五）主动脉手术</w:t>
            </w:r>
          </w:p>
          <w:p>
            <w:pPr>
              <w:pStyle w:val="TableParagraph"/>
              <w:spacing w:line="278" w:lineRule="auto" w:before="46"/>
              <w:ind w:right="198"/>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12"/>
              <w:jc w:val="both"/>
              <w:rPr>
                <w:sz w:val="21"/>
              </w:rPr>
            </w:pPr>
            <w:r>
              <w:rPr>
                <w:sz w:val="21"/>
                <w:shd w:fill="A6A6A6" w:color="auto" w:val="clear"/>
              </w:rPr>
              <w:t>动脉内血管成形术不在保障范围内。</w:t>
            </w:r>
          </w:p>
        </w:tc>
      </w:tr>
      <w:tr>
        <w:trPr>
          <w:trHeight w:val="2702" w:hRule="atLeast"/>
        </w:trPr>
        <w:tc>
          <w:tcPr>
            <w:tcW w:w="7352" w:type="dxa"/>
          </w:tcPr>
          <w:p>
            <w:pPr>
              <w:pStyle w:val="TableParagraph"/>
              <w:spacing w:before="56"/>
              <w:rPr>
                <w:sz w:val="21"/>
              </w:rPr>
            </w:pPr>
            <w:r>
              <w:rPr>
                <w:sz w:val="21"/>
              </w:rPr>
              <w:t>（二十六）多发性硬化症</w:t>
            </w:r>
          </w:p>
          <w:p>
            <w:pPr>
              <w:pStyle w:val="TableParagraph"/>
              <w:spacing w:line="278" w:lineRule="auto" w:before="46"/>
              <w:ind w:right="198"/>
              <w:jc w:val="both"/>
              <w:rPr>
                <w:sz w:val="21"/>
              </w:rPr>
            </w:pPr>
            <w:r>
              <w:rPr>
                <w:spacing w:val="-3"/>
                <w:sz w:val="21"/>
              </w:rPr>
              <w:t>指因中枢神经系统脱髓鞘而导致的不可逆的身体部位的功能障碍，需由神经</w:t>
            </w:r>
            <w:r>
              <w:rPr>
                <w:spacing w:val="-6"/>
                <w:sz w:val="21"/>
              </w:rPr>
              <w:t>专科医生提供确诊，并有计算机断层扫描（CT）</w:t>
            </w:r>
            <w:r>
              <w:rPr>
                <w:spacing w:val="-7"/>
                <w:sz w:val="21"/>
              </w:rPr>
              <w:t>或核磁共振</w:t>
            </w:r>
            <w:r>
              <w:rPr>
                <w:spacing w:val="-5"/>
                <w:sz w:val="21"/>
              </w:rPr>
              <w:t>（MRI）</w:t>
            </w:r>
            <w:r>
              <w:rPr>
                <w:spacing w:val="-3"/>
                <w:sz w:val="21"/>
              </w:rPr>
              <w:t>结果报告</w:t>
            </w:r>
            <w:r>
              <w:rPr>
                <w:spacing w:val="-5"/>
                <w:sz w:val="21"/>
              </w:rPr>
              <w:t>支持本诊断。此不可逆的身体部位功能障碍需持续 </w:t>
            </w:r>
            <w:r>
              <w:rPr>
                <w:sz w:val="21"/>
              </w:rPr>
              <w:t>180</w:t>
            </w:r>
            <w:r>
              <w:rPr>
                <w:spacing w:val="-9"/>
                <w:sz w:val="21"/>
              </w:rPr>
              <w:t> 天以上。</w:t>
            </w:r>
          </w:p>
          <w:p>
            <w:pPr>
              <w:pStyle w:val="TableParagraph"/>
              <w:spacing w:before="13"/>
              <w:jc w:val="both"/>
              <w:rPr>
                <w:sz w:val="21"/>
              </w:rPr>
            </w:pPr>
            <w:r>
              <w:rPr>
                <w:sz w:val="21"/>
              </w:rPr>
              <w:t>由神经专科医生提供确诊必须包含下列内容：</w:t>
            </w:r>
          </w:p>
          <w:p>
            <w:pPr>
              <w:pStyle w:val="TableParagraph"/>
              <w:spacing w:before="44"/>
              <w:jc w:val="both"/>
              <w:rPr>
                <w:sz w:val="21"/>
              </w:rPr>
            </w:pPr>
            <w:r>
              <w:rPr>
                <w:sz w:val="21"/>
              </w:rPr>
              <w:t>(1)明确出现因视神经、脑干或脊髓损伤而导致的临床表现；</w:t>
            </w:r>
          </w:p>
          <w:p>
            <w:pPr>
              <w:pStyle w:val="TableParagraph"/>
              <w:spacing w:before="44"/>
              <w:jc w:val="both"/>
              <w:rPr>
                <w:sz w:val="21"/>
              </w:rPr>
            </w:pPr>
            <w:r>
              <w:rPr>
                <w:sz w:val="21"/>
              </w:rPr>
              <w:t>(2)散在的身体损伤的多样性；</w:t>
            </w:r>
          </w:p>
          <w:p>
            <w:pPr>
              <w:pStyle w:val="TableParagraph"/>
              <w:spacing w:before="46"/>
              <w:jc w:val="both"/>
              <w:rPr>
                <w:sz w:val="21"/>
              </w:rPr>
            </w:pPr>
            <w:r>
              <w:rPr>
                <w:sz w:val="21"/>
              </w:rPr>
              <w:t>(3)有明确的上述症状及神经损伤反复恶化与减轻的病史记录。</w:t>
            </w:r>
          </w:p>
        </w:tc>
      </w:tr>
      <w:tr>
        <w:trPr>
          <w:trHeight w:val="4942" w:hRule="atLeast"/>
        </w:trPr>
        <w:tc>
          <w:tcPr>
            <w:tcW w:w="7352" w:type="dxa"/>
          </w:tcPr>
          <w:p>
            <w:pPr>
              <w:pStyle w:val="TableParagraph"/>
              <w:spacing w:before="56"/>
              <w:rPr>
                <w:sz w:val="21"/>
              </w:rPr>
            </w:pPr>
            <w:r>
              <w:rPr>
                <w:sz w:val="21"/>
              </w:rPr>
              <w:t>（二十七）严重狼疮性肾炎</w:t>
            </w:r>
          </w:p>
          <w:p>
            <w:pPr>
              <w:pStyle w:val="TableParagraph"/>
              <w:spacing w:line="278" w:lineRule="auto" w:before="44"/>
              <w:ind w:right="212"/>
              <w:jc w:val="both"/>
              <w:rPr>
                <w:sz w:val="21"/>
              </w:rPr>
            </w:pPr>
            <w:r>
              <w:rPr>
                <w:sz w:val="21"/>
              </w:rPr>
              <w:t>狼疮性肾炎是系统性红斑狼疮的一种并发症。系统性红斑狼疮是由多种因素引起，累及多系统的自身免疫性疾病，其特点是生成自身抗体对抗多种自身抗原。狼疮性肾炎是指系统性红斑狼疮患者并发狼疮性肾炎而影响和损害肾脏功能。世界卫生组织（WHO）对狼疮性肾炎分型如下：</w:t>
            </w:r>
          </w:p>
          <w:p>
            <w:pPr>
              <w:pStyle w:val="TableParagraph"/>
              <w:numPr>
                <w:ilvl w:val="0"/>
                <w:numId w:val="2"/>
              </w:numPr>
              <w:tabs>
                <w:tab w:pos="359" w:val="left" w:leader="none"/>
              </w:tabs>
              <w:spacing w:line="240" w:lineRule="auto" w:before="13" w:after="0"/>
              <w:ind w:left="358" w:right="0" w:hanging="158"/>
              <w:jc w:val="both"/>
              <w:rPr>
                <w:sz w:val="21"/>
              </w:rPr>
            </w:pPr>
            <w:r>
              <w:rPr>
                <w:w w:val="100"/>
                <w:sz w:val="21"/>
              </w:rPr>
              <w:t>型</w:t>
            </w:r>
            <w:r>
              <w:rPr>
                <w:spacing w:val="-3"/>
                <w:w w:val="100"/>
                <w:sz w:val="21"/>
              </w:rPr>
              <w:t>（微小病变型</w:t>
            </w:r>
            <w:r>
              <w:rPr>
                <w:spacing w:val="-108"/>
                <w:w w:val="100"/>
                <w:sz w:val="21"/>
              </w:rPr>
              <w:t>）</w:t>
            </w:r>
            <w:r>
              <w:rPr>
                <w:spacing w:val="-3"/>
                <w:w w:val="100"/>
                <w:sz w:val="21"/>
              </w:rPr>
              <w:t>：镜下阴性，尿液正常</w:t>
            </w:r>
          </w:p>
          <w:p>
            <w:pPr>
              <w:pStyle w:val="TableParagraph"/>
              <w:numPr>
                <w:ilvl w:val="0"/>
                <w:numId w:val="2"/>
              </w:numPr>
              <w:tabs>
                <w:tab w:pos="464" w:val="left" w:leader="none"/>
              </w:tabs>
              <w:spacing w:line="240" w:lineRule="auto" w:before="44" w:after="0"/>
              <w:ind w:left="464" w:right="0" w:hanging="264"/>
              <w:jc w:val="both"/>
              <w:rPr>
                <w:sz w:val="21"/>
              </w:rPr>
            </w:pPr>
            <w:r>
              <w:rPr>
                <w:spacing w:val="-3"/>
                <w:w w:val="100"/>
                <w:sz w:val="21"/>
              </w:rPr>
              <w:t>型</w:t>
            </w:r>
            <w:r>
              <w:rPr>
                <w:w w:val="100"/>
                <w:sz w:val="21"/>
              </w:rPr>
              <w:t>（</w:t>
            </w:r>
            <w:r>
              <w:rPr>
                <w:spacing w:val="-3"/>
                <w:w w:val="100"/>
                <w:sz w:val="21"/>
              </w:rPr>
              <w:t>系膜病变型</w:t>
            </w:r>
            <w:r>
              <w:rPr>
                <w:spacing w:val="-108"/>
                <w:w w:val="100"/>
                <w:sz w:val="21"/>
              </w:rPr>
              <w:t>）</w:t>
            </w:r>
            <w:r>
              <w:rPr>
                <w:w w:val="100"/>
                <w:sz w:val="21"/>
              </w:rPr>
              <w:t>：</w:t>
            </w:r>
            <w:r>
              <w:rPr>
                <w:spacing w:val="-3"/>
                <w:sz w:val="21"/>
              </w:rPr>
              <w:t> </w:t>
            </w:r>
            <w:r>
              <w:rPr>
                <w:spacing w:val="-3"/>
                <w:w w:val="100"/>
                <w:sz w:val="21"/>
              </w:rPr>
              <w:t>中度蛋白尿，偶有尿沉渣改变</w:t>
            </w:r>
          </w:p>
          <w:p>
            <w:pPr>
              <w:pStyle w:val="TableParagraph"/>
              <w:numPr>
                <w:ilvl w:val="0"/>
                <w:numId w:val="2"/>
              </w:numPr>
              <w:tabs>
                <w:tab w:pos="570" w:val="left" w:leader="none"/>
              </w:tabs>
              <w:spacing w:line="240" w:lineRule="auto" w:before="44" w:after="0"/>
              <w:ind w:left="569" w:right="0" w:hanging="369"/>
              <w:jc w:val="both"/>
              <w:rPr>
                <w:sz w:val="21"/>
              </w:rPr>
            </w:pPr>
            <w:r>
              <w:rPr>
                <w:spacing w:val="-3"/>
                <w:w w:val="100"/>
                <w:sz w:val="21"/>
              </w:rPr>
              <w:t>型(局灶及节段增生型</w:t>
            </w:r>
            <w:r>
              <w:rPr>
                <w:spacing w:val="-106"/>
                <w:w w:val="100"/>
                <w:sz w:val="21"/>
              </w:rPr>
              <w:t>）</w:t>
            </w:r>
            <w:r>
              <w:rPr>
                <w:w w:val="100"/>
                <w:sz w:val="21"/>
              </w:rPr>
              <w:t>：</w:t>
            </w:r>
            <w:r>
              <w:rPr>
                <w:sz w:val="21"/>
              </w:rPr>
              <w:t> </w:t>
            </w:r>
            <w:r>
              <w:rPr>
                <w:spacing w:val="-3"/>
                <w:w w:val="100"/>
                <w:sz w:val="21"/>
              </w:rPr>
              <w:t>蛋白尿，尿沉渣改变</w:t>
            </w:r>
          </w:p>
          <w:p>
            <w:pPr>
              <w:pStyle w:val="TableParagraph"/>
              <w:numPr>
                <w:ilvl w:val="0"/>
                <w:numId w:val="2"/>
              </w:numPr>
              <w:tabs>
                <w:tab w:pos="464" w:val="left" w:leader="none"/>
              </w:tabs>
              <w:spacing w:line="240" w:lineRule="auto" w:before="46" w:after="0"/>
              <w:ind w:left="464" w:right="0" w:hanging="264"/>
              <w:jc w:val="both"/>
              <w:rPr>
                <w:sz w:val="21"/>
              </w:rPr>
            </w:pPr>
            <w:r>
              <w:rPr>
                <w:spacing w:val="-3"/>
                <w:w w:val="100"/>
                <w:sz w:val="21"/>
              </w:rPr>
              <w:t>型</w:t>
            </w:r>
            <w:r>
              <w:rPr>
                <w:w w:val="100"/>
                <w:sz w:val="21"/>
              </w:rPr>
              <w:t>（</w:t>
            </w:r>
            <w:r>
              <w:rPr>
                <w:spacing w:val="-3"/>
                <w:w w:val="100"/>
                <w:sz w:val="21"/>
              </w:rPr>
              <w:t>弥漫增生型</w:t>
            </w:r>
            <w:r>
              <w:rPr>
                <w:spacing w:val="-108"/>
                <w:w w:val="100"/>
                <w:sz w:val="21"/>
              </w:rPr>
              <w:t>）</w:t>
            </w:r>
            <w:r>
              <w:rPr>
                <w:w w:val="100"/>
                <w:sz w:val="21"/>
              </w:rPr>
              <w:t>：</w:t>
            </w:r>
            <w:r>
              <w:rPr>
                <w:spacing w:val="-3"/>
                <w:sz w:val="21"/>
              </w:rPr>
              <w:t> </w:t>
            </w:r>
            <w:r>
              <w:rPr>
                <w:spacing w:val="-3"/>
                <w:w w:val="100"/>
                <w:sz w:val="21"/>
              </w:rPr>
              <w:t>急性肾炎伴有尿沉渣改变及／或肾病综合征</w:t>
            </w:r>
          </w:p>
          <w:p>
            <w:pPr>
              <w:pStyle w:val="TableParagraph"/>
              <w:numPr>
                <w:ilvl w:val="0"/>
                <w:numId w:val="2"/>
              </w:numPr>
              <w:tabs>
                <w:tab w:pos="359" w:val="left" w:leader="none"/>
              </w:tabs>
              <w:spacing w:line="240" w:lineRule="auto" w:before="43" w:after="0"/>
              <w:ind w:left="358" w:right="0" w:hanging="158"/>
              <w:jc w:val="both"/>
              <w:rPr>
                <w:sz w:val="21"/>
              </w:rPr>
            </w:pPr>
            <w:r>
              <w:rPr>
                <w:w w:val="100"/>
                <w:sz w:val="21"/>
              </w:rPr>
              <w:t>型</w:t>
            </w:r>
            <w:r>
              <w:rPr>
                <w:spacing w:val="-3"/>
                <w:w w:val="100"/>
                <w:sz w:val="21"/>
              </w:rPr>
              <w:t>（</w:t>
            </w:r>
            <w:r>
              <w:rPr>
                <w:spacing w:val="-2"/>
                <w:w w:val="100"/>
                <w:sz w:val="21"/>
              </w:rPr>
              <w:t>膜型</w:t>
            </w:r>
            <w:r>
              <w:rPr>
                <w:spacing w:val="-106"/>
                <w:w w:val="100"/>
                <w:sz w:val="21"/>
              </w:rPr>
              <w:t>）</w:t>
            </w:r>
            <w:r>
              <w:rPr>
                <w:spacing w:val="-3"/>
                <w:w w:val="100"/>
                <w:sz w:val="21"/>
              </w:rPr>
              <w:t>：肾病综合征或重度蛋白尿</w:t>
            </w:r>
          </w:p>
          <w:p>
            <w:pPr>
              <w:pStyle w:val="TableParagraph"/>
              <w:spacing w:before="43"/>
              <w:jc w:val="both"/>
              <w:rPr>
                <w:sz w:val="21"/>
              </w:rPr>
            </w:pPr>
            <w:r>
              <w:rPr>
                <w:w w:val="100"/>
                <w:sz w:val="21"/>
              </w:rPr>
              <w:t>Ⅵ型</w:t>
            </w:r>
            <w:r>
              <w:rPr>
                <w:spacing w:val="-3"/>
                <w:w w:val="100"/>
                <w:sz w:val="21"/>
              </w:rPr>
              <w:t>（肾小球硬化型</w:t>
            </w:r>
            <w:r>
              <w:rPr>
                <w:spacing w:val="-106"/>
                <w:w w:val="100"/>
                <w:sz w:val="21"/>
              </w:rPr>
              <w:t>）</w:t>
            </w:r>
            <w:r>
              <w:rPr>
                <w:spacing w:val="-3"/>
                <w:w w:val="100"/>
                <w:sz w:val="21"/>
              </w:rPr>
              <w:t>：肾小球硬化成纤维团状，肾功能差，无法恢复</w:t>
            </w:r>
          </w:p>
          <w:p>
            <w:pPr>
              <w:pStyle w:val="TableParagraph"/>
              <w:spacing w:line="278" w:lineRule="auto" w:before="46"/>
              <w:ind w:right="198"/>
              <w:jc w:val="both"/>
              <w:rPr>
                <w:sz w:val="21"/>
              </w:rPr>
            </w:pPr>
            <w:r>
              <w:rPr>
                <w:spacing w:val="-5"/>
                <w:sz w:val="21"/>
              </w:rPr>
              <w:t>严重狼疮性肾炎是指经肾脏活检确认的，符合 </w:t>
            </w:r>
            <w:r>
              <w:rPr>
                <w:sz w:val="21"/>
              </w:rPr>
              <w:t>WHO</w:t>
            </w:r>
            <w:r>
              <w:rPr>
                <w:spacing w:val="-13"/>
                <w:sz w:val="21"/>
              </w:rPr>
              <w:t> 诊断标准定义 </w:t>
            </w:r>
            <w:r>
              <w:rPr>
                <w:sz w:val="21"/>
              </w:rPr>
              <w:t>III</w:t>
            </w:r>
            <w:r>
              <w:rPr>
                <w:spacing w:val="-15"/>
                <w:sz w:val="21"/>
              </w:rPr>
              <w:t> 型、</w:t>
            </w:r>
            <w:r>
              <w:rPr>
                <w:sz w:val="21"/>
              </w:rPr>
              <w:t>IV 型、V</w:t>
            </w:r>
            <w:r>
              <w:rPr>
                <w:spacing w:val="-8"/>
                <w:sz w:val="21"/>
              </w:rPr>
              <w:t> 型和Ⅵ型的狼疮性肾炎,且肌酐清除率持续低于 </w:t>
            </w:r>
            <w:r>
              <w:rPr>
                <w:sz w:val="21"/>
              </w:rPr>
              <w:t>30ml/</w:t>
            </w:r>
            <w:r>
              <w:rPr>
                <w:spacing w:val="-2"/>
                <w:sz w:val="21"/>
              </w:rPr>
              <w:t>分。</w:t>
            </w:r>
            <w:r>
              <w:rPr>
                <w:spacing w:val="-3"/>
                <w:sz w:val="21"/>
                <w:shd w:fill="A6A6A6" w:color="auto" w:val="clear"/>
              </w:rPr>
              <w:t>其他类型的红斑性狼疮，如盘状狼疮、仅累及</w:t>
            </w:r>
            <w:r>
              <w:rPr>
                <w:spacing w:val="-16"/>
                <w:sz w:val="21"/>
                <w:shd w:fill="A6A6A6" w:color="auto" w:val="clear"/>
              </w:rPr>
              <w:t>血液及关节的狼疮不在本主险合同保障范 围內</w:t>
            </w:r>
            <w:r>
              <w:rPr>
                <w:spacing w:val="-3"/>
                <w:sz w:val="21"/>
              </w:rPr>
              <w:t>。本病必须由免疫和风湿科专科医生确诊。</w:t>
            </w:r>
          </w:p>
        </w:tc>
      </w:tr>
      <w:tr>
        <w:trPr>
          <w:trHeight w:val="1937" w:hRule="atLeast"/>
        </w:trPr>
        <w:tc>
          <w:tcPr>
            <w:tcW w:w="7352" w:type="dxa"/>
          </w:tcPr>
          <w:p>
            <w:pPr>
              <w:pStyle w:val="TableParagraph"/>
              <w:spacing w:before="56"/>
              <w:rPr>
                <w:sz w:val="21"/>
              </w:rPr>
            </w:pPr>
            <w:r>
              <w:rPr>
                <w:sz w:val="21"/>
              </w:rPr>
              <w:t>（二十八）严重哮喘</w:t>
            </w:r>
          </w:p>
          <w:p>
            <w:pPr>
              <w:pStyle w:val="TableParagraph"/>
              <w:spacing w:line="278" w:lineRule="auto" w:before="46"/>
              <w:ind w:right="212"/>
              <w:rPr>
                <w:sz w:val="21"/>
              </w:rPr>
            </w:pPr>
            <w:r>
              <w:rPr>
                <w:sz w:val="21"/>
              </w:rPr>
              <w:t>被保险人必须在过去两年内曾发生哮喘持续状态住院治疗，并符合以下其中两项标准，我们才承担保险责任：</w:t>
            </w:r>
          </w:p>
          <w:p>
            <w:pPr>
              <w:pStyle w:val="TableParagraph"/>
              <w:numPr>
                <w:ilvl w:val="0"/>
                <w:numId w:val="3"/>
              </w:numPr>
              <w:tabs>
                <w:tab w:pos="623" w:val="left" w:leader="none"/>
              </w:tabs>
              <w:spacing w:line="240" w:lineRule="auto" w:before="10" w:after="0"/>
              <w:ind w:left="622" w:right="0" w:hanging="422"/>
              <w:jc w:val="left"/>
              <w:rPr>
                <w:sz w:val="21"/>
              </w:rPr>
            </w:pPr>
            <w:r>
              <w:rPr>
                <w:spacing w:val="-3"/>
                <w:sz w:val="21"/>
              </w:rPr>
              <w:t>运动耐受力永久并持续地减少并且轻微的运动能引起气促；</w:t>
            </w:r>
          </w:p>
          <w:p>
            <w:pPr>
              <w:pStyle w:val="TableParagraph"/>
              <w:numPr>
                <w:ilvl w:val="0"/>
                <w:numId w:val="3"/>
              </w:numPr>
              <w:tabs>
                <w:tab w:pos="623" w:val="left" w:leader="none"/>
              </w:tabs>
              <w:spacing w:line="240" w:lineRule="auto" w:before="46" w:after="0"/>
              <w:ind w:left="622" w:right="0" w:hanging="422"/>
              <w:jc w:val="left"/>
              <w:rPr>
                <w:sz w:val="21"/>
              </w:rPr>
            </w:pPr>
            <w:r>
              <w:rPr>
                <w:spacing w:val="-3"/>
                <w:sz w:val="21"/>
              </w:rPr>
              <w:t>长期胸腔过度膨胀而导致胸腔畸形；</w:t>
            </w:r>
          </w:p>
          <w:p>
            <w:pPr>
              <w:pStyle w:val="TableParagraph"/>
              <w:numPr>
                <w:ilvl w:val="0"/>
                <w:numId w:val="3"/>
              </w:numPr>
              <w:tabs>
                <w:tab w:pos="623" w:val="left" w:leader="none"/>
              </w:tabs>
              <w:spacing w:line="260" w:lineRule="exact" w:before="44" w:after="0"/>
              <w:ind w:left="622" w:right="0" w:hanging="422"/>
              <w:jc w:val="left"/>
              <w:rPr>
                <w:sz w:val="21"/>
              </w:rPr>
            </w:pPr>
            <w:r>
              <w:rPr>
                <w:spacing w:val="-3"/>
                <w:sz w:val="21"/>
              </w:rPr>
              <w:t>在家及在静息状态下需要吸氧；</w:t>
            </w:r>
          </w:p>
        </w:tc>
      </w:tr>
    </w:tbl>
    <w:p>
      <w:pPr>
        <w:spacing w:after="0" w:line="260" w:lineRule="exact"/>
        <w:jc w:val="left"/>
        <w:rPr>
          <w:sz w:val="21"/>
        </w:rPr>
        <w:sectPr>
          <w:pgSz w:w="11910" w:h="16840"/>
          <w:pgMar w:top="1480" w:bottom="280" w:left="1680" w:right="760"/>
        </w:sectPr>
      </w:pPr>
    </w:p>
    <w:tbl>
      <w:tblPr>
        <w:tblW w:w="0" w:type="auto"/>
        <w:jc w:val="left"/>
        <w:tblInd w:w="20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40"/>
      </w:tblGrid>
      <w:tr>
        <w:trPr>
          <w:trHeight w:val="336" w:hRule="atLeast"/>
        </w:trPr>
        <w:tc>
          <w:tcPr>
            <w:tcW w:w="7440" w:type="dxa"/>
          </w:tcPr>
          <w:p>
            <w:pPr>
              <w:pStyle w:val="TableParagraph"/>
              <w:spacing w:line="206" w:lineRule="exact"/>
              <w:rPr>
                <w:sz w:val="21"/>
              </w:rPr>
            </w:pPr>
            <w:r>
              <w:rPr>
                <w:sz w:val="21"/>
              </w:rPr>
              <w:t>(4) 持续的每天服用类固醇药物(至少持续六个月以上)。</w:t>
            </w:r>
          </w:p>
        </w:tc>
      </w:tr>
      <w:tr>
        <w:trPr>
          <w:trHeight w:val="2702" w:hRule="atLeast"/>
        </w:trPr>
        <w:tc>
          <w:tcPr>
            <w:tcW w:w="7440" w:type="dxa"/>
          </w:tcPr>
          <w:p>
            <w:pPr>
              <w:pStyle w:val="TableParagraph"/>
              <w:spacing w:before="56"/>
              <w:rPr>
                <w:sz w:val="21"/>
              </w:rPr>
            </w:pPr>
            <w:r>
              <w:rPr>
                <w:sz w:val="21"/>
              </w:rPr>
              <w:t>（二十九）严重的Ｉ型糖尿病</w:t>
            </w:r>
          </w:p>
          <w:p>
            <w:pPr>
              <w:pStyle w:val="TableParagraph"/>
              <w:spacing w:line="278" w:lineRule="auto" w:before="46"/>
              <w:ind w:right="286"/>
              <w:jc w:val="both"/>
              <w:rPr>
                <w:sz w:val="21"/>
              </w:rPr>
            </w:pPr>
            <w:r>
              <w:rPr>
                <w:spacing w:val="-3"/>
                <w:sz w:val="21"/>
              </w:rPr>
              <w:t>严重的Ｉ型糖尿病为由于胰岛素分泌绝对不足引起的慢性血糖升高，且已经</w:t>
            </w:r>
            <w:r>
              <w:rPr>
                <w:spacing w:val="-6"/>
                <w:sz w:val="21"/>
              </w:rPr>
              <w:t>持续性地依赖外源性胰岛素维持 </w:t>
            </w:r>
            <w:r>
              <w:rPr>
                <w:sz w:val="21"/>
              </w:rPr>
              <w:t>180</w:t>
            </w:r>
            <w:r>
              <w:rPr>
                <w:spacing w:val="-14"/>
                <w:sz w:val="21"/>
              </w:rPr>
              <w:t> 天以上。须经血胰岛素测定、血 </w:t>
            </w:r>
            <w:r>
              <w:rPr>
                <w:sz w:val="21"/>
              </w:rPr>
              <w:t>C</w:t>
            </w:r>
            <w:r>
              <w:rPr>
                <w:spacing w:val="1"/>
                <w:sz w:val="21"/>
              </w:rPr>
              <w:t> 肽测</w:t>
            </w:r>
            <w:r>
              <w:rPr>
                <w:spacing w:val="-11"/>
                <w:sz w:val="21"/>
              </w:rPr>
              <w:t>定或尿 </w:t>
            </w:r>
            <w:r>
              <w:rPr>
                <w:sz w:val="21"/>
              </w:rPr>
              <w:t>C</w:t>
            </w:r>
            <w:r>
              <w:rPr>
                <w:spacing w:val="-6"/>
                <w:sz w:val="21"/>
              </w:rPr>
              <w:t> 肽测定，结果异常，并由内分泌科专科医生明确诊断。并须在本附</w:t>
            </w:r>
            <w:r>
              <w:rPr>
                <w:spacing w:val="-7"/>
                <w:sz w:val="21"/>
              </w:rPr>
              <w:t>加险合同有效期内，满足下述至少 </w:t>
            </w:r>
            <w:r>
              <w:rPr>
                <w:sz w:val="21"/>
              </w:rPr>
              <w:t>1 个条件：</w:t>
            </w:r>
          </w:p>
          <w:p>
            <w:pPr>
              <w:pStyle w:val="TableParagraph"/>
              <w:spacing w:before="10"/>
              <w:jc w:val="both"/>
              <w:rPr>
                <w:sz w:val="21"/>
              </w:rPr>
            </w:pPr>
            <w:r>
              <w:rPr>
                <w:sz w:val="21"/>
              </w:rPr>
              <w:t>(1)已出现增殖性视网膜病变；</w:t>
            </w:r>
          </w:p>
          <w:p>
            <w:pPr>
              <w:pStyle w:val="TableParagraph"/>
              <w:spacing w:before="44"/>
              <w:jc w:val="both"/>
              <w:rPr>
                <w:sz w:val="21"/>
              </w:rPr>
            </w:pPr>
            <w:r>
              <w:rPr>
                <w:sz w:val="21"/>
              </w:rPr>
              <w:t>(2)因严重心律失常已植入心脏起搏器进行治疗；</w:t>
            </w:r>
          </w:p>
          <w:p>
            <w:pPr>
              <w:pStyle w:val="TableParagraph"/>
              <w:spacing w:before="47"/>
              <w:jc w:val="both"/>
              <w:rPr>
                <w:sz w:val="21"/>
              </w:rPr>
            </w:pPr>
            <w:r>
              <w:rPr>
                <w:sz w:val="21"/>
              </w:rPr>
              <w:t>(3)因坏疽需切除至少一个脚趾。</w:t>
            </w:r>
          </w:p>
        </w:tc>
      </w:tr>
      <w:tr>
        <w:trPr>
          <w:trHeight w:val="2382" w:hRule="atLeast"/>
        </w:trPr>
        <w:tc>
          <w:tcPr>
            <w:tcW w:w="7440" w:type="dxa"/>
          </w:tcPr>
          <w:p>
            <w:pPr>
              <w:pStyle w:val="TableParagraph"/>
              <w:spacing w:before="56"/>
              <w:rPr>
                <w:sz w:val="21"/>
              </w:rPr>
            </w:pPr>
            <w:r>
              <w:rPr>
                <w:sz w:val="21"/>
              </w:rPr>
              <w:t>（三十）植物人状态</w:t>
            </w:r>
          </w:p>
          <w:p>
            <w:pPr>
              <w:pStyle w:val="TableParagraph"/>
              <w:spacing w:line="278" w:lineRule="auto" w:before="46"/>
              <w:ind w:right="286"/>
              <w:jc w:val="both"/>
              <w:rPr>
                <w:sz w:val="21"/>
              </w:rPr>
            </w:pPr>
            <w:r>
              <w:rPr>
                <w:spacing w:val="-3"/>
                <w:sz w:val="21"/>
              </w:rPr>
              <w:t>一种丧失生理、意识和交流功能后的临床依赖状态。可以是由脑外伤、缺氧持续状态、严重的脑炎或某种神经毒素造成。患者无法从事主动或有目的的活动，而只能对疼痛刺激产生反应。被保险人需要在我们认可的医疗机构使</w:t>
            </w:r>
            <w:r>
              <w:rPr>
                <w:spacing w:val="-4"/>
                <w:sz w:val="21"/>
              </w:rPr>
              <w:t>用辅助机器维持生命。申请理赔需被保险人因植物人状态住院 </w:t>
            </w:r>
            <w:r>
              <w:rPr>
                <w:sz w:val="21"/>
              </w:rPr>
              <w:t>180</w:t>
            </w:r>
            <w:r>
              <w:rPr>
                <w:spacing w:val="-8"/>
                <w:sz w:val="21"/>
              </w:rPr>
              <w:t> 天以上并</w:t>
            </w:r>
            <w:r>
              <w:rPr>
                <w:spacing w:val="-5"/>
                <w:sz w:val="21"/>
              </w:rPr>
              <w:t>且必须有神经专科医生的医学诊断证明。</w:t>
            </w:r>
          </w:p>
          <w:p>
            <w:pPr>
              <w:pStyle w:val="TableParagraph"/>
              <w:spacing w:before="10"/>
              <w:jc w:val="both"/>
              <w:rPr>
                <w:sz w:val="21"/>
              </w:rPr>
            </w:pPr>
            <w:r>
              <w:rPr>
                <w:sz w:val="21"/>
                <w:shd w:fill="A6A6A6" w:color="auto" w:val="clear"/>
              </w:rPr>
              <w:t>由于酗酒或滥用药物所致的植物人状态除外。</w:t>
            </w:r>
          </w:p>
        </w:tc>
      </w:tr>
      <w:tr>
        <w:trPr>
          <w:trHeight w:val="2702" w:hRule="atLeast"/>
        </w:trPr>
        <w:tc>
          <w:tcPr>
            <w:tcW w:w="7440" w:type="dxa"/>
          </w:tcPr>
          <w:p>
            <w:pPr>
              <w:pStyle w:val="TableParagraph"/>
              <w:spacing w:before="57"/>
              <w:rPr>
                <w:sz w:val="21"/>
              </w:rPr>
            </w:pPr>
            <w:r>
              <w:rPr>
                <w:sz w:val="21"/>
              </w:rPr>
              <w:t>（三十一）严重慢性呼吸功能衰竭</w:t>
            </w:r>
          </w:p>
          <w:p>
            <w:pPr>
              <w:pStyle w:val="TableParagraph"/>
              <w:spacing w:line="278" w:lineRule="auto" w:before="44"/>
              <w:ind w:right="286"/>
              <w:rPr>
                <w:sz w:val="21"/>
              </w:rPr>
            </w:pPr>
            <w:r>
              <w:rPr>
                <w:sz w:val="21"/>
              </w:rPr>
              <w:t>指因慢性呼吸系统疾病导致永久不可逆性的慢性呼吸功能衰竭，且诊断必须满足以下所有条件：</w:t>
            </w:r>
          </w:p>
          <w:p>
            <w:pPr>
              <w:pStyle w:val="TableParagraph"/>
              <w:spacing w:before="13"/>
              <w:rPr>
                <w:sz w:val="21"/>
              </w:rPr>
            </w:pPr>
            <w:r>
              <w:rPr>
                <w:sz w:val="21"/>
              </w:rPr>
              <w:t>(1)第一秒末用力呼气量（FEV1）小于 1 升；</w:t>
            </w:r>
          </w:p>
          <w:p>
            <w:pPr>
              <w:pStyle w:val="TableParagraph"/>
              <w:spacing w:before="44"/>
              <w:rPr>
                <w:sz w:val="21"/>
              </w:rPr>
            </w:pPr>
            <w:r>
              <w:rPr>
                <w:sz w:val="21"/>
              </w:rPr>
              <w:t>(2)气道内阻力增加，至少达到 0.5 kPa/l/s；</w:t>
            </w:r>
          </w:p>
          <w:p>
            <w:pPr>
              <w:pStyle w:val="TableParagraph"/>
              <w:spacing w:before="47"/>
              <w:rPr>
                <w:sz w:val="21"/>
              </w:rPr>
            </w:pPr>
            <w:r>
              <w:rPr>
                <w:spacing w:val="-1"/>
                <w:sz w:val="21"/>
              </w:rPr>
              <w:t>(3)</w:t>
            </w:r>
            <w:r>
              <w:rPr>
                <w:spacing w:val="-3"/>
                <w:sz w:val="21"/>
              </w:rPr>
              <w:t>残</w:t>
            </w:r>
            <w:r>
              <w:rPr>
                <w:spacing w:val="-1"/>
                <w:sz w:val="21"/>
              </w:rPr>
              <w:t>气</w:t>
            </w:r>
            <w:r>
              <w:rPr>
                <w:spacing w:val="-3"/>
                <w:sz w:val="21"/>
              </w:rPr>
              <w:t>容</w:t>
            </w:r>
            <w:r>
              <w:rPr>
                <w:spacing w:val="-1"/>
                <w:sz w:val="21"/>
              </w:rPr>
              <w:t>积</w:t>
            </w:r>
            <w:r>
              <w:rPr>
                <w:spacing w:val="-3"/>
                <w:sz w:val="21"/>
              </w:rPr>
              <w:t>占</w:t>
            </w:r>
            <w:r>
              <w:rPr>
                <w:spacing w:val="-1"/>
                <w:sz w:val="21"/>
              </w:rPr>
              <w:t>肺</w:t>
            </w:r>
            <w:r>
              <w:rPr>
                <w:spacing w:val="-3"/>
                <w:sz w:val="21"/>
              </w:rPr>
              <w:t>总</w:t>
            </w:r>
            <w:r>
              <w:rPr>
                <w:spacing w:val="-1"/>
                <w:sz w:val="21"/>
              </w:rPr>
              <w:t>量</w:t>
            </w:r>
            <w:r>
              <w:rPr>
                <w:sz w:val="21"/>
              </w:rPr>
              <w:t>(TLC)的</w:t>
            </w:r>
            <w:r>
              <w:rPr>
                <w:spacing w:val="-38"/>
                <w:sz w:val="21"/>
              </w:rPr>
              <w:t> </w:t>
            </w:r>
            <w:r>
              <w:rPr>
                <w:spacing w:val="1"/>
                <w:w w:val="100"/>
                <w:sz w:val="21"/>
              </w:rPr>
              <w:drawing>
                <wp:inline distT="0" distB="0" distL="0" distR="0">
                  <wp:extent cx="59721" cy="103727"/>
                  <wp:effectExtent l="0" t="0" r="0" b="0"/>
                  <wp:docPr id="13" name="image4.png" descr=""/>
                  <wp:cNvGraphicFramePr>
                    <a:graphicFrameLocks noChangeAspect="1"/>
                  </wp:cNvGraphicFramePr>
                  <a:graphic>
                    <a:graphicData uri="http://schemas.openxmlformats.org/drawingml/2006/picture">
                      <pic:pic>
                        <pic:nvPicPr>
                          <pic:cNvPr id="14" name="image4.png"/>
                          <pic:cNvPicPr/>
                        </pic:nvPicPr>
                        <pic:blipFill>
                          <a:blip r:embed="rId8" cstate="print"/>
                          <a:stretch>
                            <a:fillRect/>
                          </a:stretch>
                        </pic:blipFill>
                        <pic:spPr>
                          <a:xfrm>
                            <a:off x="0" y="0"/>
                            <a:ext cx="59721" cy="103727"/>
                          </a:xfrm>
                          <a:prstGeom prst="rect">
                            <a:avLst/>
                          </a:prstGeom>
                        </pic:spPr>
                      </pic:pic>
                    </a:graphicData>
                  </a:graphic>
                </wp:inline>
              </w:drawing>
            </w:r>
            <w:r>
              <w:rPr>
                <w:spacing w:val="1"/>
                <w:w w:val="100"/>
                <w:sz w:val="21"/>
              </w:rPr>
            </w:r>
            <w:r>
              <w:rPr>
                <w:spacing w:val="-3"/>
                <w:sz w:val="21"/>
              </w:rPr>
              <w:t>以</w:t>
            </w:r>
            <w:r>
              <w:rPr>
                <w:sz w:val="21"/>
              </w:rPr>
              <w:t>上；</w:t>
            </w:r>
          </w:p>
          <w:p>
            <w:pPr>
              <w:pStyle w:val="TableParagraph"/>
              <w:spacing w:before="42"/>
              <w:rPr>
                <w:sz w:val="21"/>
              </w:rPr>
            </w:pPr>
            <w:r>
              <w:rPr>
                <w:sz w:val="21"/>
              </w:rPr>
              <w:t>(4)胸内气体容积升高，超过 170 (基值的百分比)；</w:t>
            </w:r>
          </w:p>
          <w:p>
            <w:pPr>
              <w:pStyle w:val="TableParagraph"/>
              <w:spacing w:before="44"/>
              <w:rPr>
                <w:sz w:val="21"/>
              </w:rPr>
            </w:pPr>
            <w:r>
              <w:rPr>
                <w:sz w:val="21"/>
              </w:rPr>
              <w:t>(5) PaO2&lt;60mmHg，PaCO2&gt;50mmHg。</w:t>
            </w:r>
          </w:p>
        </w:tc>
      </w:tr>
      <w:tr>
        <w:trPr>
          <w:trHeight w:val="2701" w:hRule="atLeast"/>
        </w:trPr>
        <w:tc>
          <w:tcPr>
            <w:tcW w:w="7440" w:type="dxa"/>
          </w:tcPr>
          <w:p>
            <w:pPr>
              <w:pStyle w:val="TableParagraph"/>
              <w:spacing w:before="57"/>
              <w:rPr>
                <w:sz w:val="21"/>
              </w:rPr>
            </w:pPr>
            <w:r>
              <w:rPr>
                <w:sz w:val="21"/>
              </w:rPr>
              <w:t>（三十二）严重原发性心肌病</w:t>
            </w:r>
          </w:p>
          <w:p>
            <w:pPr>
              <w:pStyle w:val="TableParagraph"/>
              <w:spacing w:line="278" w:lineRule="auto" w:before="44"/>
              <w:ind w:right="197"/>
              <w:rPr>
                <w:sz w:val="21"/>
              </w:rPr>
            </w:pPr>
            <w:r>
              <w:rPr>
                <w:spacing w:val="-3"/>
                <w:sz w:val="21"/>
              </w:rPr>
              <w:t>指不明原因引起的一类心肌病变，包括原发性扩张型心肌病、原发性肥厚型心肌病及原发性限制型心肌病三种，病变必须已造成事实上心室功能障碍而</w:t>
            </w:r>
            <w:r>
              <w:rPr>
                <w:spacing w:val="-3"/>
                <w:w w:val="100"/>
                <w:sz w:val="21"/>
              </w:rPr>
              <w:t>出现明显的心功能衰竭（美国纽约心脏协会心功能分类标准心功能达四级</w:t>
            </w:r>
            <w:r>
              <w:rPr>
                <w:spacing w:val="-108"/>
                <w:w w:val="100"/>
                <w:sz w:val="21"/>
              </w:rPr>
              <w:t>）</w:t>
            </w:r>
            <w:r>
              <w:rPr>
                <w:w w:val="100"/>
                <w:sz w:val="21"/>
              </w:rPr>
              <w:t>，</w:t>
            </w:r>
            <w:r>
              <w:rPr>
                <w:spacing w:val="-5"/>
                <w:sz w:val="21"/>
              </w:rPr>
              <w:t>且有相关住院医疗记录显示四级心功能衰竭状态持续至少 </w:t>
            </w:r>
            <w:r>
              <w:rPr>
                <w:sz w:val="21"/>
              </w:rPr>
              <w:t>180</w:t>
            </w:r>
            <w:r>
              <w:rPr>
                <w:spacing w:val="-14"/>
                <w:sz w:val="21"/>
              </w:rPr>
              <w:t> 天。</w:t>
            </w:r>
          </w:p>
          <w:p>
            <w:pPr>
              <w:pStyle w:val="TableParagraph"/>
              <w:spacing w:line="280" w:lineRule="auto" w:before="11"/>
              <w:ind w:right="286"/>
              <w:rPr>
                <w:sz w:val="21"/>
              </w:rPr>
            </w:pPr>
            <w:r>
              <w:rPr>
                <w:spacing w:val="-3"/>
                <w:sz w:val="21"/>
                <w:shd w:fill="A6A6A6" w:color="auto" w:val="clear"/>
              </w:rPr>
              <w:t>继发于全身性疾病或其它器官系统疾病造成的心肌病变不在保障范围内。</w:t>
            </w:r>
            <w:r>
              <w:rPr>
                <w:spacing w:val="-3"/>
                <w:sz w:val="21"/>
              </w:rPr>
              <w:t> 美国纽约心脏协会分类标准心功能四级是指有医院的医疗记录显示病人不能进行任何活动，休息时仍有心悸、呼吸困难等心力衰竭表现。</w:t>
            </w:r>
          </w:p>
        </w:tc>
      </w:tr>
      <w:tr>
        <w:trPr>
          <w:trHeight w:val="2897" w:hRule="atLeast"/>
        </w:trPr>
        <w:tc>
          <w:tcPr>
            <w:tcW w:w="7440" w:type="dxa"/>
          </w:tcPr>
          <w:p>
            <w:pPr>
              <w:pStyle w:val="TableParagraph"/>
              <w:spacing w:before="56"/>
              <w:rPr>
                <w:sz w:val="21"/>
              </w:rPr>
            </w:pPr>
            <w:r>
              <w:rPr>
                <w:sz w:val="21"/>
              </w:rPr>
              <w:t>（三十三）重症肌无力</w:t>
            </w:r>
          </w:p>
          <w:p>
            <w:pPr>
              <w:pStyle w:val="TableParagraph"/>
              <w:spacing w:line="280" w:lineRule="auto" w:before="46"/>
              <w:ind w:right="300"/>
              <w:jc w:val="both"/>
              <w:rPr>
                <w:sz w:val="21"/>
              </w:rPr>
            </w:pPr>
            <w:r>
              <w:rPr>
                <w:sz w:val="21"/>
              </w:rPr>
              <w:t>是指一种神经与肌肉接头部位传递障碍的自身免疫性疾病，临床特征是局部或全身横纹肌于活动时易于疲劳无力，颅神经眼外肌最易累及，也可涉及呼吸肌、下肢近端肌群乃至全身肌肉，须经神经专科医生确诊。其诊断必须同时具有下列情况：</w:t>
            </w:r>
          </w:p>
          <w:p>
            <w:pPr>
              <w:pStyle w:val="TableParagraph"/>
              <w:spacing w:before="8"/>
              <w:rPr>
                <w:sz w:val="21"/>
              </w:rPr>
            </w:pPr>
            <w:r>
              <w:rPr>
                <w:sz w:val="21"/>
              </w:rPr>
              <w:t>(1)经药物、胸腺手术治疗一年以上无法控制病情，丧失正常工作能力；</w:t>
            </w:r>
          </w:p>
          <w:p>
            <w:pPr>
              <w:pStyle w:val="TableParagraph"/>
              <w:spacing w:line="280" w:lineRule="auto" w:before="44"/>
              <w:ind w:right="288"/>
              <w:rPr>
                <w:sz w:val="21"/>
              </w:rPr>
            </w:pPr>
            <w:r>
              <w:rPr>
                <w:sz w:val="21"/>
              </w:rPr>
              <w:t>(2)</w:t>
            </w:r>
            <w:r>
              <w:rPr>
                <w:spacing w:val="-10"/>
                <w:sz w:val="21"/>
              </w:rPr>
              <w:t>出现眼睑下垂，或延髓肌受累引起的构音困难、进食呛咳，或由于肌无力</w:t>
            </w:r>
            <w:r>
              <w:rPr>
                <w:spacing w:val="-5"/>
                <w:sz w:val="21"/>
              </w:rPr>
              <w:t>累及延髓肌、呼吸肌而致机体呼吸功能不正常的危急状态即肌无力危象；</w:t>
            </w:r>
          </w:p>
          <w:p>
            <w:pPr>
              <w:pStyle w:val="TableParagraph"/>
              <w:spacing w:line="260" w:lineRule="exact" w:before="8"/>
              <w:jc w:val="both"/>
              <w:rPr>
                <w:sz w:val="21"/>
              </w:rPr>
            </w:pPr>
            <w:r>
              <w:rPr>
                <w:sz w:val="21"/>
              </w:rPr>
              <w:t>(3)症状缓解、复发及恶化交替出现，临床接受新斯的明等抗胆碱酯酶药物治</w:t>
            </w:r>
          </w:p>
        </w:tc>
      </w:tr>
    </w:tbl>
    <w:p>
      <w:pPr>
        <w:spacing w:after="0" w:line="260" w:lineRule="exact"/>
        <w:jc w:val="both"/>
        <w:rPr>
          <w:sz w:val="21"/>
        </w:rPr>
        <w:sectPr>
          <w:pgSz w:w="11910" w:h="16840"/>
          <w:pgMar w:top="1480" w:bottom="280" w:left="1680" w:right="680"/>
        </w:sectPr>
      </w:pPr>
    </w:p>
    <w:tbl>
      <w:tblPr>
        <w:tblW w:w="0" w:type="auto"/>
        <w:jc w:val="left"/>
        <w:tblInd w:w="20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2"/>
      </w:tblGrid>
      <w:tr>
        <w:trPr>
          <w:trHeight w:val="336" w:hRule="atLeast"/>
        </w:trPr>
        <w:tc>
          <w:tcPr>
            <w:tcW w:w="7352" w:type="dxa"/>
          </w:tcPr>
          <w:p>
            <w:pPr>
              <w:pStyle w:val="TableParagraph"/>
              <w:spacing w:line="206" w:lineRule="exact"/>
              <w:rPr>
                <w:sz w:val="21"/>
              </w:rPr>
            </w:pPr>
            <w:r>
              <w:rPr>
                <w:sz w:val="21"/>
              </w:rPr>
              <w:t>疗的病史。</w:t>
            </w:r>
          </w:p>
        </w:tc>
      </w:tr>
      <w:tr>
        <w:trPr>
          <w:trHeight w:val="4611" w:hRule="atLeast"/>
        </w:trPr>
        <w:tc>
          <w:tcPr>
            <w:tcW w:w="7352" w:type="dxa"/>
          </w:tcPr>
          <w:p>
            <w:pPr>
              <w:pStyle w:val="TableParagraph"/>
              <w:spacing w:before="56"/>
              <w:rPr>
                <w:sz w:val="21"/>
              </w:rPr>
            </w:pPr>
            <w:r>
              <w:rPr>
                <w:sz w:val="21"/>
              </w:rPr>
              <w:t>（三十四）经输血导致的人类免疫缺陷病毒（HIV）感染</w:t>
            </w:r>
          </w:p>
          <w:p>
            <w:pPr>
              <w:pStyle w:val="TableParagraph"/>
              <w:spacing w:before="46"/>
              <w:rPr>
                <w:sz w:val="21"/>
              </w:rPr>
            </w:pPr>
            <w:r>
              <w:rPr>
                <w:sz w:val="21"/>
              </w:rPr>
              <w:t>是指被保险人感染上人类免疫缺陷病毒并且符合下列所有条件：</w:t>
            </w:r>
          </w:p>
          <w:p>
            <w:pPr>
              <w:pStyle w:val="TableParagraph"/>
              <w:spacing w:line="278" w:lineRule="auto" w:before="44"/>
              <w:ind w:right="204"/>
              <w:rPr>
                <w:sz w:val="21"/>
              </w:rPr>
            </w:pPr>
            <w:r>
              <w:rPr>
                <w:sz w:val="21"/>
              </w:rPr>
              <w:t>(1)在本附加险合同生效或最后复效日（以较迟者为准）90 日之后，被保险人因治疗必需而接受输血，并且因输血而感染人类免疫缺陷病毒；</w:t>
            </w:r>
          </w:p>
          <w:p>
            <w:pPr>
              <w:pStyle w:val="TableParagraph"/>
              <w:spacing w:line="278" w:lineRule="auto" w:before="13"/>
              <w:ind w:right="320"/>
              <w:rPr>
                <w:sz w:val="21"/>
              </w:rPr>
            </w:pPr>
            <w:r>
              <w:rPr>
                <w:sz w:val="21"/>
              </w:rPr>
              <w:t>(2)提供输血治疗的输血中心或医院出具该项输血感染属医疗责任事故的报告，或者法院终审裁定为医疗责任并且不准上诉；</w:t>
            </w:r>
          </w:p>
          <w:p>
            <w:pPr>
              <w:pStyle w:val="TableParagraph"/>
              <w:spacing w:before="10"/>
              <w:rPr>
                <w:sz w:val="21"/>
              </w:rPr>
            </w:pPr>
            <w:r>
              <w:rPr>
                <w:sz w:val="21"/>
              </w:rPr>
              <w:t>(3)提供输血治疗的输血中心或医院必须拥有合法经营执照；</w:t>
            </w:r>
          </w:p>
          <w:p>
            <w:pPr>
              <w:pStyle w:val="TableParagraph"/>
              <w:spacing w:before="46"/>
              <w:rPr>
                <w:sz w:val="21"/>
              </w:rPr>
            </w:pPr>
            <w:r>
              <w:rPr>
                <w:sz w:val="21"/>
              </w:rPr>
              <w:t>(4)受感染的被保险人不是血友病患者；</w:t>
            </w:r>
          </w:p>
          <w:p>
            <w:pPr>
              <w:pStyle w:val="TableParagraph"/>
              <w:spacing w:line="278" w:lineRule="auto" w:before="44"/>
              <w:ind w:right="212"/>
              <w:rPr>
                <w:sz w:val="21"/>
              </w:rPr>
            </w:pPr>
            <w:r>
              <w:rPr>
                <w:spacing w:val="-3"/>
                <w:sz w:val="21"/>
                <w:shd w:fill="A6A6A6" w:color="auto" w:val="clear"/>
              </w:rPr>
              <w:t>在任何治愈艾滋病或阻止人类免疫缺陷病毒作用的疗法被发现以后，或能防</w:t>
            </w:r>
            <w:r>
              <w:rPr>
                <w:spacing w:val="-209"/>
                <w:sz w:val="21"/>
                <w:shd w:fill="A6A6A6" w:color="auto" w:val="clear"/>
              </w:rPr>
              <w:t>止</w:t>
            </w:r>
            <w:r>
              <w:rPr>
                <w:spacing w:val="-3"/>
                <w:sz w:val="21"/>
                <w:shd w:fill="A6A6A6" w:color="auto" w:val="clear"/>
              </w:rPr>
              <w:t>艾滋病发生的医疗方法被研究出来以后，本保障将不再予以赔付。</w:t>
            </w:r>
          </w:p>
          <w:p>
            <w:pPr>
              <w:pStyle w:val="TableParagraph"/>
              <w:spacing w:line="278" w:lineRule="auto" w:before="13"/>
              <w:ind w:right="212"/>
              <w:rPr>
                <w:sz w:val="21"/>
              </w:rPr>
            </w:pPr>
            <w:r>
              <w:rPr>
                <w:spacing w:val="-3"/>
                <w:sz w:val="21"/>
                <w:shd w:fill="A6A6A6" w:color="auto" w:val="clear"/>
              </w:rPr>
              <w:t>任何因其他传播方式</w:t>
            </w:r>
            <w:r>
              <w:rPr>
                <w:sz w:val="21"/>
                <w:shd w:fill="A6A6A6" w:color="auto" w:val="clear"/>
              </w:rPr>
              <w:t>（</w:t>
            </w:r>
            <w:r>
              <w:rPr>
                <w:spacing w:val="-3"/>
                <w:sz w:val="21"/>
                <w:shd w:fill="A6A6A6" w:color="auto" w:val="clear"/>
              </w:rPr>
              <w:t>包括：性传播或静脉注射毒品</w:t>
            </w:r>
            <w:r>
              <w:rPr>
                <w:sz w:val="21"/>
                <w:shd w:fill="A6A6A6" w:color="auto" w:val="clear"/>
              </w:rPr>
              <w:t>）</w:t>
            </w:r>
            <w:r>
              <w:rPr>
                <w:spacing w:val="-3"/>
                <w:sz w:val="21"/>
                <w:shd w:fill="A6A6A6" w:color="auto" w:val="clear"/>
              </w:rPr>
              <w:t>导致的人类免疫缺陷</w:t>
            </w:r>
            <w:r>
              <w:rPr>
                <w:spacing w:val="-209"/>
                <w:sz w:val="21"/>
                <w:shd w:fill="A6A6A6" w:color="auto" w:val="clear"/>
              </w:rPr>
              <w:t>病</w:t>
            </w:r>
            <w:r>
              <w:rPr>
                <w:spacing w:val="-3"/>
                <w:sz w:val="21"/>
                <w:shd w:fill="A6A6A6" w:color="auto" w:val="clear"/>
              </w:rPr>
              <w:t>毒感染不在本附加险合同保障范围内。</w:t>
            </w:r>
          </w:p>
          <w:p>
            <w:pPr>
              <w:pStyle w:val="TableParagraph"/>
              <w:spacing w:line="280" w:lineRule="auto" w:before="11"/>
              <w:ind w:right="198"/>
              <w:rPr>
                <w:sz w:val="21"/>
              </w:rPr>
            </w:pPr>
            <w:r>
              <w:rPr>
                <w:sz w:val="21"/>
              </w:rPr>
              <w:t>保险公司必须拥有获得使用被保险人的血液样本的权利和能够对这些样本进行独立检验的权利。</w:t>
            </w:r>
          </w:p>
        </w:tc>
      </w:tr>
      <w:tr>
        <w:trPr>
          <w:trHeight w:val="2665" w:hRule="atLeast"/>
        </w:trPr>
        <w:tc>
          <w:tcPr>
            <w:tcW w:w="7352" w:type="dxa"/>
          </w:tcPr>
          <w:p>
            <w:pPr>
              <w:pStyle w:val="TableParagraph"/>
              <w:spacing w:before="44"/>
              <w:rPr>
                <w:sz w:val="21"/>
              </w:rPr>
            </w:pPr>
            <w:r>
              <w:rPr>
                <w:sz w:val="21"/>
              </w:rPr>
              <w:t>（三十五）严重类风湿性关节炎</w:t>
            </w:r>
          </w:p>
          <w:p>
            <w:pPr>
              <w:pStyle w:val="TableParagraph"/>
              <w:spacing w:before="37"/>
              <w:rPr>
                <w:sz w:val="21"/>
              </w:rPr>
            </w:pPr>
            <w:r>
              <w:rPr>
                <w:sz w:val="21"/>
              </w:rPr>
              <w:t>指类风湿性关节炎患者必须符合以下三项标准:</w:t>
            </w:r>
          </w:p>
          <w:p>
            <w:pPr>
              <w:pStyle w:val="TableParagraph"/>
              <w:spacing w:line="273" w:lineRule="auto" w:before="37"/>
              <w:ind w:right="198"/>
              <w:rPr>
                <w:sz w:val="21"/>
              </w:rPr>
            </w:pPr>
            <w:r>
              <w:rPr>
                <w:sz w:val="21"/>
              </w:rPr>
              <w:t>(1)至少包括下列关节中的三组或以上有广泛受损和畸形改变:手指关节、腕关节、肘关节、膝关节、髋关节、踝关节、脊椎或脚趾关节；</w:t>
            </w:r>
          </w:p>
          <w:p>
            <w:pPr>
              <w:pStyle w:val="TableParagraph"/>
              <w:spacing w:line="273" w:lineRule="auto" w:before="7"/>
              <w:ind w:right="200"/>
              <w:rPr>
                <w:sz w:val="21"/>
              </w:rPr>
            </w:pPr>
            <w:r>
              <w:rPr>
                <w:sz w:val="21"/>
              </w:rPr>
              <w:t>(2)</w:t>
            </w:r>
            <w:r>
              <w:rPr>
                <w:spacing w:val="-8"/>
                <w:sz w:val="21"/>
              </w:rPr>
              <w:t>手和腕的后前位 </w:t>
            </w:r>
            <w:r>
              <w:rPr>
                <w:sz w:val="21"/>
              </w:rPr>
              <w:t>X</w:t>
            </w:r>
            <w:r>
              <w:rPr>
                <w:spacing w:val="-12"/>
                <w:sz w:val="21"/>
              </w:rPr>
              <w:t> 线拍片检查可见类风湿性关节炎的典型变化，包括骨质</w:t>
            </w:r>
            <w:r>
              <w:rPr>
                <w:spacing w:val="-6"/>
                <w:sz w:val="21"/>
              </w:rPr>
              <w:t>侵蚀或钙流失，位于受累关节及其邻近部位尤其明显；</w:t>
            </w:r>
          </w:p>
          <w:p>
            <w:pPr>
              <w:pStyle w:val="TableParagraph"/>
              <w:spacing w:line="278" w:lineRule="auto" w:before="31"/>
              <w:ind w:right="200"/>
              <w:rPr>
                <w:sz w:val="21"/>
              </w:rPr>
            </w:pPr>
            <w:r>
              <w:rPr>
                <w:sz w:val="21"/>
              </w:rPr>
              <w:t>(3)</w:t>
            </w:r>
            <w:r>
              <w:rPr>
                <w:spacing w:val="-6"/>
                <w:sz w:val="21"/>
              </w:rPr>
              <w:t>关节的畸形改变至少持续 </w:t>
            </w:r>
            <w:r>
              <w:rPr>
                <w:sz w:val="21"/>
              </w:rPr>
              <w:t>6</w:t>
            </w:r>
            <w:r>
              <w:rPr>
                <w:spacing w:val="-14"/>
                <w:sz w:val="21"/>
              </w:rPr>
              <w:t> 个月。必须经专科医生明确诊断，且首次已接</w:t>
            </w:r>
            <w:r>
              <w:rPr>
                <w:spacing w:val="-7"/>
                <w:sz w:val="21"/>
              </w:rPr>
              <w:t>受膝关节或髋关节置换手术。</w:t>
            </w:r>
          </w:p>
        </w:tc>
      </w:tr>
      <w:tr>
        <w:trPr>
          <w:trHeight w:val="462" w:hRule="atLeast"/>
        </w:trPr>
        <w:tc>
          <w:tcPr>
            <w:tcW w:w="7352" w:type="dxa"/>
          </w:tcPr>
          <w:p>
            <w:pPr>
              <w:pStyle w:val="TableParagraph"/>
              <w:spacing w:before="57"/>
              <w:rPr>
                <w:sz w:val="21"/>
              </w:rPr>
            </w:pPr>
            <w:r>
              <w:rPr>
                <w:sz w:val="21"/>
              </w:rPr>
              <w:t>上述重大疾病定义中部分术语释义如下：</w:t>
            </w:r>
          </w:p>
        </w:tc>
      </w:tr>
      <w:tr>
        <w:trPr>
          <w:trHeight w:val="2702" w:hRule="atLeast"/>
        </w:trPr>
        <w:tc>
          <w:tcPr>
            <w:tcW w:w="7352" w:type="dxa"/>
          </w:tcPr>
          <w:p>
            <w:pPr>
              <w:pStyle w:val="TableParagraph"/>
              <w:spacing w:before="56"/>
              <w:rPr>
                <w:sz w:val="21"/>
              </w:rPr>
            </w:pPr>
            <w:r>
              <w:rPr>
                <w:sz w:val="21"/>
              </w:rPr>
              <w:t>（一）专科医生</w:t>
            </w:r>
          </w:p>
          <w:p>
            <w:pPr>
              <w:pStyle w:val="TableParagraph"/>
              <w:spacing w:before="46"/>
              <w:rPr>
                <w:sz w:val="21"/>
              </w:rPr>
            </w:pPr>
            <w:r>
              <w:rPr>
                <w:sz w:val="21"/>
              </w:rPr>
              <w:t>专科医生应当同时满足以下四项资格条件：</w:t>
            </w:r>
          </w:p>
          <w:p>
            <w:pPr>
              <w:pStyle w:val="TableParagraph"/>
              <w:spacing w:before="44"/>
              <w:rPr>
                <w:sz w:val="21"/>
              </w:rPr>
            </w:pPr>
            <w:r>
              <w:rPr>
                <w:sz w:val="21"/>
              </w:rPr>
              <w:t>(1)具有有效的中华人民共和国《医师资格证书》；</w:t>
            </w:r>
          </w:p>
          <w:p>
            <w:pPr>
              <w:pStyle w:val="TableParagraph"/>
              <w:spacing w:line="280" w:lineRule="auto" w:before="44"/>
              <w:ind w:right="217"/>
              <w:rPr>
                <w:sz w:val="21"/>
              </w:rPr>
            </w:pPr>
            <w:r>
              <w:rPr>
                <w:sz w:val="21"/>
              </w:rPr>
              <w:t>(2)</w:t>
            </w:r>
            <w:r>
              <w:rPr>
                <w:spacing w:val="-9"/>
                <w:sz w:val="21"/>
              </w:rPr>
              <w:t>具有有效的中华人民共和国《医师执业证书》，并按期到相关部门登记注册；</w:t>
            </w:r>
          </w:p>
          <w:p>
            <w:pPr>
              <w:pStyle w:val="TableParagraph"/>
              <w:spacing w:line="278" w:lineRule="auto" w:before="8"/>
              <w:ind w:right="201"/>
              <w:rPr>
                <w:sz w:val="21"/>
              </w:rPr>
            </w:pPr>
            <w:r>
              <w:rPr>
                <w:sz w:val="21"/>
              </w:rPr>
              <w:t>(3)</w:t>
            </w:r>
            <w:r>
              <w:rPr>
                <w:spacing w:val="-7"/>
                <w:sz w:val="21"/>
              </w:rPr>
              <w:t>具有有效的中华人民共和国主治医师或主治医师以上职称的《医师职称证</w:t>
            </w:r>
            <w:r>
              <w:rPr>
                <w:spacing w:val="-38"/>
                <w:sz w:val="21"/>
              </w:rPr>
              <w:t>书》；</w:t>
            </w:r>
          </w:p>
          <w:p>
            <w:pPr>
              <w:pStyle w:val="TableParagraph"/>
              <w:spacing w:before="12"/>
              <w:rPr>
                <w:sz w:val="21"/>
              </w:rPr>
            </w:pPr>
            <w:r>
              <w:rPr>
                <w:sz w:val="21"/>
              </w:rPr>
              <w:t>(4)在二级或二级以上医院的相应科室从事临床工作三年以上。</w:t>
            </w:r>
          </w:p>
        </w:tc>
      </w:tr>
      <w:tr>
        <w:trPr>
          <w:trHeight w:val="1102" w:hRule="atLeast"/>
        </w:trPr>
        <w:tc>
          <w:tcPr>
            <w:tcW w:w="7352" w:type="dxa"/>
          </w:tcPr>
          <w:p>
            <w:pPr>
              <w:pStyle w:val="TableParagraph"/>
              <w:spacing w:before="56"/>
              <w:rPr>
                <w:sz w:val="21"/>
              </w:rPr>
            </w:pPr>
            <w:r>
              <w:rPr>
                <w:sz w:val="21"/>
              </w:rPr>
              <w:t>（二）肢体机能完全丧失</w:t>
            </w:r>
          </w:p>
          <w:p>
            <w:pPr>
              <w:pStyle w:val="TableParagraph"/>
              <w:spacing w:line="278" w:lineRule="auto" w:before="46"/>
              <w:ind w:right="198"/>
              <w:rPr>
                <w:sz w:val="21"/>
              </w:rPr>
            </w:pPr>
            <w:r>
              <w:rPr>
                <w:sz w:val="21"/>
              </w:rPr>
              <w:t>指肢体的三大关节中的两大关节僵硬，或不能随意识活动。肢体是指包括肩关节的整个上肢或包括髋关节的整个下肢。</w:t>
            </w:r>
          </w:p>
        </w:tc>
      </w:tr>
      <w:tr>
        <w:trPr>
          <w:trHeight w:val="1936" w:hRule="atLeast"/>
        </w:trPr>
        <w:tc>
          <w:tcPr>
            <w:tcW w:w="7352" w:type="dxa"/>
          </w:tcPr>
          <w:p>
            <w:pPr>
              <w:pStyle w:val="TableParagraph"/>
              <w:spacing w:before="56"/>
              <w:rPr>
                <w:sz w:val="21"/>
              </w:rPr>
            </w:pPr>
            <w:r>
              <w:rPr>
                <w:sz w:val="21"/>
              </w:rPr>
              <w:t>（三）语言能力或咀嚼吞咽能力完全丧失</w:t>
            </w:r>
          </w:p>
          <w:p>
            <w:pPr>
              <w:pStyle w:val="TableParagraph"/>
              <w:spacing w:line="278" w:lineRule="auto" w:before="46"/>
              <w:ind w:right="212"/>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320" w:lineRule="exact" w:before="2"/>
              <w:ind w:right="198"/>
              <w:jc w:val="both"/>
              <w:rPr>
                <w:sz w:val="21"/>
              </w:rPr>
            </w:pPr>
            <w:r>
              <w:rPr>
                <w:sz w:val="21"/>
              </w:rPr>
              <w:t>咀嚼吞咽能力完全丧失，指因牙齿以外的原因导致器质障碍或机能障碍，以致不能作咀嚼吞咽运动，除流质食物外不能摄取或吞咽的状态。</w:t>
            </w:r>
          </w:p>
        </w:tc>
      </w:tr>
    </w:tbl>
    <w:p>
      <w:pPr>
        <w:spacing w:after="0" w:line="320" w:lineRule="exact"/>
        <w:jc w:val="both"/>
        <w:rPr>
          <w:sz w:val="21"/>
        </w:rPr>
        <w:sectPr>
          <w:pgSz w:w="11910" w:h="16840"/>
          <w:pgMar w:top="1480" w:bottom="280" w:left="1680" w:right="760"/>
        </w:sectPr>
      </w:pPr>
    </w:p>
    <w:p>
      <w:pPr>
        <w:pStyle w:val="BodyText"/>
        <w:spacing w:before="2"/>
        <w:rPr>
          <w:rFonts w:ascii="Times New Roman"/>
          <w:sz w:val="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2083"/>
        <w:gridCol w:w="7167"/>
      </w:tblGrid>
      <w:tr>
        <w:trPr>
          <w:trHeight w:val="2576" w:hRule="atLeast"/>
        </w:trPr>
        <w:tc>
          <w:tcPr>
            <w:tcW w:w="713" w:type="dxa"/>
          </w:tcPr>
          <w:p>
            <w:pPr>
              <w:pStyle w:val="TableParagraph"/>
              <w:ind w:left="0"/>
              <w:rPr>
                <w:rFonts w:ascii="Times New Roman"/>
                <w:sz w:val="20"/>
              </w:rPr>
            </w:pPr>
          </w:p>
        </w:tc>
        <w:tc>
          <w:tcPr>
            <w:tcW w:w="2083" w:type="dxa"/>
          </w:tcPr>
          <w:p>
            <w:pPr>
              <w:pStyle w:val="TableParagraph"/>
              <w:ind w:left="0"/>
              <w:rPr>
                <w:rFonts w:ascii="Times New Roman"/>
                <w:sz w:val="20"/>
              </w:rPr>
            </w:pPr>
          </w:p>
        </w:tc>
        <w:tc>
          <w:tcPr>
            <w:tcW w:w="7167" w:type="dxa"/>
          </w:tcPr>
          <w:p>
            <w:pPr>
              <w:pStyle w:val="TableParagraph"/>
              <w:spacing w:line="211" w:lineRule="exact"/>
              <w:ind w:left="113"/>
              <w:rPr>
                <w:sz w:val="21"/>
              </w:rPr>
            </w:pPr>
            <w:r>
              <w:rPr>
                <w:sz w:val="21"/>
              </w:rPr>
              <w:t>（四）六项基本日常生活活动</w:t>
            </w:r>
          </w:p>
          <w:p>
            <w:pPr>
              <w:pStyle w:val="TableParagraph"/>
              <w:spacing w:before="44"/>
              <w:ind w:left="113"/>
              <w:rPr>
                <w:sz w:val="21"/>
              </w:rPr>
            </w:pPr>
            <w:r>
              <w:rPr>
                <w:sz w:val="21"/>
              </w:rPr>
              <w:t>六项基本日常生活活动是指：</w:t>
            </w:r>
          </w:p>
          <w:p>
            <w:pPr>
              <w:pStyle w:val="TableParagraph"/>
              <w:spacing w:before="46"/>
              <w:ind w:left="113"/>
              <w:rPr>
                <w:sz w:val="21"/>
              </w:rPr>
            </w:pPr>
            <w:r>
              <w:rPr>
                <w:sz w:val="21"/>
              </w:rPr>
              <w:t>(1)穿衣：自己能够穿衣及脱衣；</w:t>
            </w:r>
          </w:p>
          <w:p>
            <w:pPr>
              <w:pStyle w:val="TableParagraph"/>
              <w:spacing w:before="44"/>
              <w:ind w:left="113"/>
              <w:rPr>
                <w:sz w:val="21"/>
              </w:rPr>
            </w:pPr>
            <w:r>
              <w:rPr>
                <w:sz w:val="21"/>
              </w:rPr>
              <w:t>(2)移动：自己从一个房间到另一个房间；</w:t>
            </w:r>
          </w:p>
          <w:p>
            <w:pPr>
              <w:pStyle w:val="TableParagraph"/>
              <w:spacing w:before="44"/>
              <w:ind w:left="113"/>
              <w:rPr>
                <w:sz w:val="21"/>
              </w:rPr>
            </w:pPr>
            <w:r>
              <w:rPr>
                <w:sz w:val="21"/>
              </w:rPr>
              <w:t>(3)行动：自己上下床或上下轮椅；</w:t>
            </w:r>
          </w:p>
          <w:p>
            <w:pPr>
              <w:pStyle w:val="TableParagraph"/>
              <w:spacing w:before="46"/>
              <w:ind w:left="113"/>
              <w:rPr>
                <w:sz w:val="21"/>
              </w:rPr>
            </w:pPr>
            <w:r>
              <w:rPr>
                <w:sz w:val="21"/>
              </w:rPr>
              <w:t>(4)如厕：自己控制进行大小便；</w:t>
            </w:r>
          </w:p>
          <w:p>
            <w:pPr>
              <w:pStyle w:val="TableParagraph"/>
              <w:spacing w:before="43"/>
              <w:ind w:left="113"/>
              <w:rPr>
                <w:sz w:val="21"/>
              </w:rPr>
            </w:pPr>
            <w:r>
              <w:rPr>
                <w:sz w:val="21"/>
              </w:rPr>
              <w:t>(5)进食：自己从已准备好的碗或碟中取食物放入口中；</w:t>
            </w:r>
          </w:p>
          <w:p>
            <w:pPr>
              <w:pStyle w:val="TableParagraph"/>
              <w:spacing w:before="43"/>
              <w:ind w:left="113"/>
              <w:rPr>
                <w:sz w:val="21"/>
              </w:rPr>
            </w:pPr>
            <w:r>
              <w:rPr>
                <w:sz w:val="21"/>
              </w:rPr>
              <w:t>(6)洗澡：自己进行淋浴或盆浴。</w:t>
            </w:r>
          </w:p>
        </w:tc>
      </w:tr>
      <w:tr>
        <w:trPr>
          <w:trHeight w:val="1294" w:hRule="atLeast"/>
        </w:trPr>
        <w:tc>
          <w:tcPr>
            <w:tcW w:w="713" w:type="dxa"/>
          </w:tcPr>
          <w:p>
            <w:pPr>
              <w:pStyle w:val="TableParagraph"/>
              <w:ind w:left="0"/>
              <w:rPr>
                <w:rFonts w:ascii="Times New Roman"/>
                <w:sz w:val="20"/>
              </w:rPr>
            </w:pPr>
          </w:p>
        </w:tc>
        <w:tc>
          <w:tcPr>
            <w:tcW w:w="2083" w:type="dxa"/>
          </w:tcPr>
          <w:p>
            <w:pPr>
              <w:pStyle w:val="TableParagraph"/>
              <w:ind w:left="0"/>
              <w:rPr>
                <w:rFonts w:ascii="Times New Roman"/>
                <w:sz w:val="20"/>
              </w:rPr>
            </w:pPr>
          </w:p>
        </w:tc>
        <w:tc>
          <w:tcPr>
            <w:tcW w:w="7167" w:type="dxa"/>
          </w:tcPr>
          <w:p>
            <w:pPr>
              <w:pStyle w:val="TableParagraph"/>
              <w:spacing w:before="62"/>
              <w:ind w:left="113"/>
              <w:rPr>
                <w:sz w:val="21"/>
              </w:rPr>
            </w:pPr>
            <w:r>
              <w:rPr>
                <w:sz w:val="21"/>
              </w:rPr>
              <w:t>（五）永久不可逆</w:t>
            </w:r>
          </w:p>
          <w:p>
            <w:pPr>
              <w:pStyle w:val="TableParagraph"/>
              <w:spacing w:line="280" w:lineRule="auto" w:before="44"/>
              <w:ind w:left="113" w:right="99"/>
              <w:rPr>
                <w:sz w:val="21"/>
              </w:rPr>
            </w:pPr>
            <w:r>
              <w:rPr>
                <w:spacing w:val="-5"/>
                <w:sz w:val="21"/>
              </w:rPr>
              <w:t>指自疾病确诊或意外伤害发生之日起，经过积极治疗 </w:t>
            </w:r>
            <w:r>
              <w:rPr>
                <w:sz w:val="21"/>
              </w:rPr>
              <w:t>180</w:t>
            </w:r>
            <w:r>
              <w:rPr>
                <w:spacing w:val="-7"/>
                <w:sz w:val="21"/>
              </w:rPr>
              <w:t> 天后，仍无法通过</w:t>
            </w:r>
            <w:r>
              <w:rPr>
                <w:spacing w:val="-5"/>
                <w:sz w:val="21"/>
              </w:rPr>
              <w:t>现有医疗手段恢复。</w:t>
            </w:r>
          </w:p>
        </w:tc>
      </w:tr>
      <w:tr>
        <w:trPr>
          <w:trHeight w:val="319" w:hRule="atLeast"/>
        </w:trPr>
        <w:tc>
          <w:tcPr>
            <w:tcW w:w="713" w:type="dxa"/>
            <w:shd w:val="clear" w:color="auto" w:fill="A6A6A6"/>
          </w:tcPr>
          <w:p>
            <w:pPr>
              <w:pStyle w:val="TableParagraph"/>
              <w:spacing w:before="12"/>
              <w:ind w:left="107"/>
              <w:rPr>
                <w:rFonts w:ascii="黑体" w:eastAsia="黑体" w:hint="eastAsia"/>
                <w:b/>
                <w:sz w:val="21"/>
              </w:rPr>
            </w:pPr>
            <w:r>
              <w:rPr>
                <w:rFonts w:ascii="黑体" w:eastAsia="黑体" w:hint="eastAsia"/>
                <w:b/>
                <w:sz w:val="21"/>
              </w:rPr>
              <w:t>8．</w:t>
            </w:r>
          </w:p>
        </w:tc>
        <w:tc>
          <w:tcPr>
            <w:tcW w:w="2083" w:type="dxa"/>
            <w:shd w:val="clear" w:color="auto" w:fill="A6A6A6"/>
          </w:tcPr>
          <w:p>
            <w:pPr>
              <w:pStyle w:val="TableParagraph"/>
              <w:spacing w:before="12"/>
              <w:ind w:left="288"/>
              <w:rPr>
                <w:rFonts w:ascii="黑体" w:eastAsia="黑体" w:hint="eastAsia"/>
                <w:b/>
                <w:sz w:val="21"/>
              </w:rPr>
            </w:pPr>
            <w:r>
              <w:rPr>
                <w:rFonts w:ascii="黑体" w:eastAsia="黑体" w:hint="eastAsia"/>
                <w:b/>
                <w:sz w:val="21"/>
              </w:rPr>
              <w:t>释义</w:t>
            </w:r>
          </w:p>
        </w:tc>
        <w:tc>
          <w:tcPr>
            <w:tcW w:w="7167" w:type="dxa"/>
            <w:shd w:val="clear" w:color="auto" w:fill="A6A6A6"/>
          </w:tcPr>
          <w:p>
            <w:pPr>
              <w:pStyle w:val="TableParagraph"/>
              <w:ind w:left="0"/>
              <w:rPr>
                <w:rFonts w:ascii="Times New Roman"/>
                <w:sz w:val="20"/>
              </w:rPr>
            </w:pPr>
          </w:p>
        </w:tc>
      </w:tr>
      <w:tr>
        <w:trPr>
          <w:trHeight w:val="874" w:hRule="atLeast"/>
        </w:trPr>
        <w:tc>
          <w:tcPr>
            <w:tcW w:w="713" w:type="dxa"/>
          </w:tcPr>
          <w:p>
            <w:pPr>
              <w:pStyle w:val="TableParagraph"/>
              <w:spacing w:before="153"/>
              <w:ind w:left="107"/>
              <w:rPr>
                <w:rFonts w:ascii="黑体"/>
                <w:sz w:val="21"/>
              </w:rPr>
            </w:pPr>
            <w:r>
              <w:rPr>
                <w:rFonts w:ascii="黑体"/>
                <w:sz w:val="21"/>
              </w:rPr>
              <w:t>8.1</w:t>
            </w:r>
          </w:p>
        </w:tc>
        <w:tc>
          <w:tcPr>
            <w:tcW w:w="2083" w:type="dxa"/>
          </w:tcPr>
          <w:p>
            <w:pPr>
              <w:pStyle w:val="TableParagraph"/>
              <w:spacing w:before="153"/>
              <w:ind w:left="288"/>
              <w:rPr>
                <w:rFonts w:ascii="黑体" w:eastAsia="黑体" w:hint="eastAsia"/>
                <w:sz w:val="21"/>
              </w:rPr>
            </w:pPr>
            <w:r>
              <w:rPr>
                <w:rFonts w:ascii="黑体" w:eastAsia="黑体" w:hint="eastAsia"/>
                <w:sz w:val="21"/>
              </w:rPr>
              <w:t>意外伤害</w:t>
            </w:r>
          </w:p>
        </w:tc>
        <w:tc>
          <w:tcPr>
            <w:tcW w:w="7167" w:type="dxa"/>
          </w:tcPr>
          <w:p>
            <w:pPr>
              <w:pStyle w:val="TableParagraph"/>
              <w:spacing w:line="280" w:lineRule="auto" w:before="153"/>
              <w:ind w:left="113" w:right="100"/>
              <w:rPr>
                <w:sz w:val="21"/>
              </w:rPr>
            </w:pPr>
            <w:r>
              <w:rPr>
                <w:sz w:val="21"/>
              </w:rPr>
              <w:t>指遭受外来的、突发的、非本意的、非疾病的客观事件直接致使身体受到的伤害。</w:t>
            </w:r>
          </w:p>
        </w:tc>
      </w:tr>
      <w:tr>
        <w:trPr>
          <w:trHeight w:val="1422" w:hRule="atLeast"/>
        </w:trPr>
        <w:tc>
          <w:tcPr>
            <w:tcW w:w="713" w:type="dxa"/>
          </w:tcPr>
          <w:p>
            <w:pPr>
              <w:pStyle w:val="TableParagraph"/>
              <w:spacing w:before="61"/>
              <w:ind w:left="107"/>
              <w:rPr>
                <w:rFonts w:ascii="黑体"/>
                <w:sz w:val="21"/>
              </w:rPr>
            </w:pPr>
            <w:r>
              <w:rPr>
                <w:rFonts w:ascii="黑体"/>
                <w:sz w:val="21"/>
              </w:rPr>
              <w:t>8.2</w:t>
            </w:r>
          </w:p>
        </w:tc>
        <w:tc>
          <w:tcPr>
            <w:tcW w:w="2083" w:type="dxa"/>
          </w:tcPr>
          <w:p>
            <w:pPr>
              <w:pStyle w:val="TableParagraph"/>
              <w:spacing w:before="61"/>
              <w:ind w:left="288"/>
              <w:rPr>
                <w:rFonts w:ascii="黑体" w:eastAsia="黑体" w:hint="eastAsia"/>
                <w:sz w:val="21"/>
              </w:rPr>
            </w:pPr>
            <w:r>
              <w:rPr>
                <w:rFonts w:ascii="黑体" w:eastAsia="黑体" w:hint="eastAsia"/>
                <w:sz w:val="21"/>
              </w:rPr>
              <w:t>毒品</w:t>
            </w:r>
          </w:p>
        </w:tc>
        <w:tc>
          <w:tcPr>
            <w:tcW w:w="7167" w:type="dxa"/>
          </w:tcPr>
          <w:p>
            <w:pPr>
              <w:pStyle w:val="TableParagraph"/>
              <w:spacing w:line="278" w:lineRule="auto" w:before="61"/>
              <w:ind w:left="113" w:right="-15"/>
              <w:rPr>
                <w:sz w:val="21"/>
              </w:rPr>
            </w:pPr>
            <w:r>
              <w:rPr>
                <w:spacing w:val="-14"/>
                <w:sz w:val="21"/>
              </w:rPr>
              <w:t>指《中华人民共和国刑法》规定的鸦片、海洛因、甲基苯丙胺</w:t>
            </w:r>
            <w:r>
              <w:rPr>
                <w:spacing w:val="-3"/>
                <w:sz w:val="21"/>
              </w:rPr>
              <w:t>（</w:t>
            </w:r>
            <w:r>
              <w:rPr>
                <w:spacing w:val="-2"/>
                <w:sz w:val="21"/>
              </w:rPr>
              <w:t>冰毒</w:t>
            </w:r>
            <w:r>
              <w:rPr>
                <w:spacing w:val="-108"/>
                <w:sz w:val="21"/>
              </w:rPr>
              <w:t>）</w:t>
            </w:r>
            <w:r>
              <w:rPr>
                <w:spacing w:val="-9"/>
                <w:sz w:val="21"/>
              </w:rPr>
              <w:t>、吗啡、</w:t>
            </w:r>
            <w:r>
              <w:rPr>
                <w:spacing w:val="-6"/>
                <w:sz w:val="21"/>
              </w:rPr>
              <w:t>大麻、可卡因以及国家规定管制的其他能够使人形成瘾癖的麻醉药品和精神</w:t>
            </w:r>
            <w:r>
              <w:rPr>
                <w:spacing w:val="-5"/>
                <w:sz w:val="21"/>
              </w:rPr>
              <w:t>药品，但不包括由医生开具并遵医嘱使用的用于治疗疾病但含有毒品成分的</w:t>
            </w:r>
            <w:r>
              <w:rPr>
                <w:spacing w:val="-4"/>
                <w:sz w:val="21"/>
              </w:rPr>
              <w:t>处方药品。</w:t>
            </w:r>
          </w:p>
        </w:tc>
      </w:tr>
      <w:tr>
        <w:trPr>
          <w:trHeight w:val="1101" w:hRule="atLeast"/>
        </w:trPr>
        <w:tc>
          <w:tcPr>
            <w:tcW w:w="713" w:type="dxa"/>
          </w:tcPr>
          <w:p>
            <w:pPr>
              <w:pStyle w:val="TableParagraph"/>
              <w:spacing w:before="62"/>
              <w:ind w:left="107"/>
              <w:rPr>
                <w:rFonts w:ascii="黑体"/>
                <w:sz w:val="21"/>
              </w:rPr>
            </w:pPr>
            <w:r>
              <w:rPr>
                <w:rFonts w:ascii="黑体"/>
                <w:sz w:val="21"/>
              </w:rPr>
              <w:t>8.3</w:t>
            </w:r>
          </w:p>
        </w:tc>
        <w:tc>
          <w:tcPr>
            <w:tcW w:w="2083" w:type="dxa"/>
          </w:tcPr>
          <w:p>
            <w:pPr>
              <w:pStyle w:val="TableParagraph"/>
              <w:spacing w:before="62"/>
              <w:ind w:left="288"/>
              <w:rPr>
                <w:rFonts w:ascii="黑体" w:eastAsia="黑体" w:hint="eastAsia"/>
                <w:sz w:val="21"/>
              </w:rPr>
            </w:pPr>
            <w:r>
              <w:rPr>
                <w:rFonts w:ascii="黑体" w:eastAsia="黑体" w:hint="eastAsia"/>
                <w:sz w:val="21"/>
              </w:rPr>
              <w:t>酒后驾驶</w:t>
            </w:r>
          </w:p>
        </w:tc>
        <w:tc>
          <w:tcPr>
            <w:tcW w:w="7167" w:type="dxa"/>
          </w:tcPr>
          <w:p>
            <w:pPr>
              <w:pStyle w:val="TableParagraph"/>
              <w:spacing w:line="278" w:lineRule="auto" w:before="62"/>
              <w:ind w:left="113" w:right="100"/>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061" w:hRule="atLeast"/>
        </w:trPr>
        <w:tc>
          <w:tcPr>
            <w:tcW w:w="713" w:type="dxa"/>
          </w:tcPr>
          <w:p>
            <w:pPr>
              <w:pStyle w:val="TableParagraph"/>
              <w:spacing w:before="62"/>
              <w:ind w:left="107"/>
              <w:rPr>
                <w:rFonts w:ascii="黑体"/>
                <w:sz w:val="21"/>
              </w:rPr>
            </w:pPr>
            <w:r>
              <w:rPr>
                <w:rFonts w:ascii="黑体"/>
                <w:sz w:val="21"/>
              </w:rPr>
              <w:t>8.4</w:t>
            </w:r>
          </w:p>
        </w:tc>
        <w:tc>
          <w:tcPr>
            <w:tcW w:w="2083" w:type="dxa"/>
          </w:tcPr>
          <w:p>
            <w:pPr>
              <w:pStyle w:val="TableParagraph"/>
              <w:spacing w:line="278" w:lineRule="auto" w:before="62"/>
              <w:ind w:left="288" w:right="110"/>
              <w:rPr>
                <w:rFonts w:ascii="黑体" w:eastAsia="黑体" w:hint="eastAsia"/>
                <w:sz w:val="21"/>
              </w:rPr>
            </w:pPr>
            <w:r>
              <w:rPr>
                <w:rFonts w:ascii="黑体" w:eastAsia="黑体" w:hint="eastAsia"/>
                <w:sz w:val="21"/>
              </w:rPr>
              <w:t>无合法有效驾驶证驾驶</w:t>
            </w:r>
          </w:p>
        </w:tc>
        <w:tc>
          <w:tcPr>
            <w:tcW w:w="7167" w:type="dxa"/>
          </w:tcPr>
          <w:p>
            <w:pPr>
              <w:pStyle w:val="TableParagraph"/>
              <w:spacing w:before="62"/>
              <w:ind w:left="113"/>
              <w:rPr>
                <w:sz w:val="21"/>
              </w:rPr>
            </w:pPr>
            <w:r>
              <w:rPr>
                <w:sz w:val="21"/>
              </w:rPr>
              <w:t>指下列情形之一：</w:t>
            </w:r>
          </w:p>
          <w:p>
            <w:pPr>
              <w:pStyle w:val="TableParagraph"/>
              <w:spacing w:before="44"/>
              <w:ind w:left="113"/>
              <w:rPr>
                <w:sz w:val="21"/>
              </w:rPr>
            </w:pPr>
            <w:r>
              <w:rPr>
                <w:sz w:val="21"/>
              </w:rPr>
              <w:t>(1)没有取得驾驶资格；</w:t>
            </w:r>
          </w:p>
          <w:p>
            <w:pPr>
              <w:pStyle w:val="TableParagraph"/>
              <w:spacing w:before="44"/>
              <w:ind w:left="113"/>
              <w:rPr>
                <w:sz w:val="21"/>
              </w:rPr>
            </w:pPr>
            <w:r>
              <w:rPr>
                <w:sz w:val="21"/>
              </w:rPr>
              <w:t>(2)驾驶与驾驶证准驾车型不相符合的车辆；</w:t>
            </w:r>
          </w:p>
          <w:p>
            <w:pPr>
              <w:pStyle w:val="TableParagraph"/>
              <w:spacing w:before="46"/>
              <w:ind w:left="113"/>
              <w:rPr>
                <w:sz w:val="21"/>
              </w:rPr>
            </w:pPr>
            <w:r>
              <w:rPr>
                <w:sz w:val="21"/>
              </w:rPr>
              <w:t>(3)持审验不合格的驾驶证驾驶；</w:t>
            </w:r>
          </w:p>
          <w:p>
            <w:pPr>
              <w:pStyle w:val="TableParagraph"/>
              <w:spacing w:line="278" w:lineRule="auto" w:before="44"/>
              <w:ind w:left="113" w:right="102"/>
              <w:rPr>
                <w:sz w:val="21"/>
              </w:rPr>
            </w:pPr>
            <w:r>
              <w:rPr>
                <w:sz w:val="21"/>
              </w:rPr>
              <w:t>(4)</w:t>
            </w:r>
            <w:r>
              <w:rPr>
                <w:spacing w:val="-9"/>
                <w:sz w:val="21"/>
              </w:rPr>
              <w:t>持学习驾驶证学习驾车时，无教练员随车指导，或不按指定时间、路线学</w:t>
            </w:r>
            <w:r>
              <w:rPr>
                <w:spacing w:val="-6"/>
                <w:sz w:val="21"/>
              </w:rPr>
              <w:t>习驾车。</w:t>
            </w:r>
          </w:p>
        </w:tc>
      </w:tr>
      <w:tr>
        <w:trPr>
          <w:trHeight w:val="1422" w:hRule="atLeast"/>
        </w:trPr>
        <w:tc>
          <w:tcPr>
            <w:tcW w:w="713" w:type="dxa"/>
          </w:tcPr>
          <w:p>
            <w:pPr>
              <w:pStyle w:val="TableParagraph"/>
              <w:spacing w:before="62"/>
              <w:ind w:left="107"/>
              <w:rPr>
                <w:rFonts w:ascii="黑体"/>
                <w:sz w:val="21"/>
              </w:rPr>
            </w:pPr>
            <w:r>
              <w:rPr>
                <w:rFonts w:ascii="黑体"/>
                <w:sz w:val="21"/>
              </w:rPr>
              <w:t>8.5</w:t>
            </w:r>
          </w:p>
        </w:tc>
        <w:tc>
          <w:tcPr>
            <w:tcW w:w="2083" w:type="dxa"/>
          </w:tcPr>
          <w:p>
            <w:pPr>
              <w:pStyle w:val="TableParagraph"/>
              <w:spacing w:before="62"/>
              <w:ind w:left="288"/>
              <w:rPr>
                <w:rFonts w:ascii="黑体" w:eastAsia="黑体" w:hint="eastAsia"/>
                <w:sz w:val="21"/>
              </w:rPr>
            </w:pPr>
            <w:r>
              <w:rPr>
                <w:rFonts w:ascii="黑体" w:eastAsia="黑体" w:hint="eastAsia"/>
                <w:sz w:val="21"/>
              </w:rPr>
              <w:t>无有效行驶证</w:t>
            </w:r>
          </w:p>
        </w:tc>
        <w:tc>
          <w:tcPr>
            <w:tcW w:w="7167" w:type="dxa"/>
          </w:tcPr>
          <w:p>
            <w:pPr>
              <w:pStyle w:val="TableParagraph"/>
              <w:spacing w:before="62"/>
              <w:ind w:left="113"/>
              <w:rPr>
                <w:sz w:val="21"/>
              </w:rPr>
            </w:pPr>
            <w:r>
              <w:rPr>
                <w:sz w:val="21"/>
              </w:rPr>
              <w:t>指下列情形之一：</w:t>
            </w:r>
          </w:p>
          <w:p>
            <w:pPr>
              <w:pStyle w:val="TableParagraph"/>
              <w:spacing w:before="44"/>
              <w:ind w:left="113"/>
              <w:rPr>
                <w:sz w:val="21"/>
              </w:rPr>
            </w:pPr>
            <w:r>
              <w:rPr>
                <w:sz w:val="21"/>
              </w:rPr>
              <w:t>(1)未取得行驶证；</w:t>
            </w:r>
          </w:p>
          <w:p>
            <w:pPr>
              <w:pStyle w:val="TableParagraph"/>
              <w:spacing w:before="46"/>
              <w:ind w:left="113"/>
              <w:rPr>
                <w:sz w:val="21"/>
              </w:rPr>
            </w:pPr>
            <w:r>
              <w:rPr>
                <w:sz w:val="21"/>
              </w:rPr>
              <w:t>(2)机动车被依法注销登记的；</w:t>
            </w:r>
          </w:p>
          <w:p>
            <w:pPr>
              <w:pStyle w:val="TableParagraph"/>
              <w:spacing w:before="43"/>
              <w:ind w:left="113"/>
              <w:rPr>
                <w:sz w:val="21"/>
              </w:rPr>
            </w:pPr>
            <w:r>
              <w:rPr>
                <w:sz w:val="21"/>
              </w:rPr>
              <w:t>(3)未依法按时进行或通过机动车安全技术检验。</w:t>
            </w:r>
          </w:p>
        </w:tc>
      </w:tr>
      <w:tr>
        <w:trPr>
          <w:trHeight w:val="782" w:hRule="atLeast"/>
        </w:trPr>
        <w:tc>
          <w:tcPr>
            <w:tcW w:w="713" w:type="dxa"/>
          </w:tcPr>
          <w:p>
            <w:pPr>
              <w:pStyle w:val="TableParagraph"/>
              <w:spacing w:before="61"/>
              <w:ind w:left="107"/>
              <w:rPr>
                <w:rFonts w:ascii="黑体"/>
                <w:sz w:val="21"/>
              </w:rPr>
            </w:pPr>
            <w:r>
              <w:rPr>
                <w:rFonts w:ascii="黑体"/>
                <w:sz w:val="21"/>
              </w:rPr>
              <w:t>8.6</w:t>
            </w:r>
          </w:p>
        </w:tc>
        <w:tc>
          <w:tcPr>
            <w:tcW w:w="2083" w:type="dxa"/>
          </w:tcPr>
          <w:p>
            <w:pPr>
              <w:pStyle w:val="TableParagraph"/>
              <w:spacing w:before="61"/>
              <w:ind w:left="288"/>
              <w:rPr>
                <w:rFonts w:ascii="黑体" w:eastAsia="黑体" w:hint="eastAsia"/>
                <w:sz w:val="21"/>
              </w:rPr>
            </w:pPr>
            <w:r>
              <w:rPr>
                <w:rFonts w:ascii="黑体" w:eastAsia="黑体" w:hint="eastAsia"/>
                <w:sz w:val="21"/>
              </w:rPr>
              <w:t>机动车</w:t>
            </w:r>
          </w:p>
        </w:tc>
        <w:tc>
          <w:tcPr>
            <w:tcW w:w="7167" w:type="dxa"/>
          </w:tcPr>
          <w:p>
            <w:pPr>
              <w:pStyle w:val="TableParagraph"/>
              <w:spacing w:line="280" w:lineRule="auto" w:before="61"/>
              <w:ind w:left="113" w:right="100"/>
              <w:rPr>
                <w:sz w:val="21"/>
              </w:rPr>
            </w:pPr>
            <w:r>
              <w:rPr>
                <w:sz w:val="21"/>
              </w:rPr>
              <w:t>指以动力装置驱动或者牵引，上道路行驶的供人员乘用或者用于运送物品以及进行工程专项作业的轮式车辆。</w:t>
            </w:r>
          </w:p>
        </w:tc>
      </w:tr>
      <w:tr>
        <w:trPr>
          <w:trHeight w:val="782" w:hRule="atLeast"/>
        </w:trPr>
        <w:tc>
          <w:tcPr>
            <w:tcW w:w="713" w:type="dxa"/>
          </w:tcPr>
          <w:p>
            <w:pPr>
              <w:pStyle w:val="TableParagraph"/>
              <w:spacing w:before="61"/>
              <w:ind w:left="107"/>
              <w:rPr>
                <w:rFonts w:ascii="黑体"/>
                <w:sz w:val="21"/>
              </w:rPr>
            </w:pPr>
            <w:r>
              <w:rPr>
                <w:rFonts w:ascii="黑体"/>
                <w:sz w:val="21"/>
              </w:rPr>
              <w:t>8.7</w:t>
            </w:r>
          </w:p>
        </w:tc>
        <w:tc>
          <w:tcPr>
            <w:tcW w:w="2083" w:type="dxa"/>
          </w:tcPr>
          <w:p>
            <w:pPr>
              <w:pStyle w:val="TableParagraph"/>
              <w:spacing w:before="61"/>
              <w:ind w:left="288"/>
              <w:rPr>
                <w:rFonts w:ascii="黑体" w:eastAsia="黑体" w:hint="eastAsia"/>
                <w:sz w:val="21"/>
              </w:rPr>
            </w:pPr>
            <w:r>
              <w:rPr>
                <w:rFonts w:ascii="黑体" w:eastAsia="黑体" w:hint="eastAsia"/>
                <w:sz w:val="21"/>
              </w:rPr>
              <w:t>遗传性疾病</w:t>
            </w:r>
          </w:p>
        </w:tc>
        <w:tc>
          <w:tcPr>
            <w:tcW w:w="7167" w:type="dxa"/>
          </w:tcPr>
          <w:p>
            <w:pPr>
              <w:pStyle w:val="TableParagraph"/>
              <w:spacing w:line="280" w:lineRule="auto" w:before="61"/>
              <w:ind w:left="113" w:right="100"/>
              <w:rPr>
                <w:sz w:val="21"/>
              </w:rPr>
            </w:pPr>
            <w:r>
              <w:rPr>
                <w:sz w:val="21"/>
              </w:rPr>
              <w:t>指生殖细胞或受精卵的遗传物质（染色体和基因）发生突变或畸变所引起的疾病，通常具有由亲代传至后代的垂直传递的特征。</w:t>
            </w:r>
          </w:p>
        </w:tc>
      </w:tr>
      <w:tr>
        <w:trPr>
          <w:trHeight w:val="976" w:hRule="atLeast"/>
        </w:trPr>
        <w:tc>
          <w:tcPr>
            <w:tcW w:w="713" w:type="dxa"/>
          </w:tcPr>
          <w:p>
            <w:pPr>
              <w:pStyle w:val="TableParagraph"/>
              <w:spacing w:before="61"/>
              <w:ind w:left="107"/>
              <w:rPr>
                <w:rFonts w:ascii="黑体"/>
                <w:sz w:val="21"/>
              </w:rPr>
            </w:pPr>
            <w:r>
              <w:rPr>
                <w:rFonts w:ascii="黑体"/>
                <w:sz w:val="21"/>
              </w:rPr>
              <w:t>8.8</w:t>
            </w:r>
          </w:p>
        </w:tc>
        <w:tc>
          <w:tcPr>
            <w:tcW w:w="2083" w:type="dxa"/>
          </w:tcPr>
          <w:p>
            <w:pPr>
              <w:pStyle w:val="TableParagraph"/>
              <w:spacing w:line="278" w:lineRule="auto" w:before="61"/>
              <w:ind w:left="288" w:right="110"/>
              <w:rPr>
                <w:rFonts w:ascii="黑体" w:eastAsia="黑体" w:hint="eastAsia"/>
                <w:sz w:val="21"/>
              </w:rPr>
            </w:pPr>
            <w:r>
              <w:rPr>
                <w:rFonts w:ascii="黑体" w:eastAsia="黑体" w:hint="eastAsia"/>
                <w:sz w:val="21"/>
              </w:rPr>
              <w:t>先天性畸形、变形或染色体异常</w:t>
            </w:r>
          </w:p>
        </w:tc>
        <w:tc>
          <w:tcPr>
            <w:tcW w:w="7167" w:type="dxa"/>
          </w:tcPr>
          <w:p>
            <w:pPr>
              <w:pStyle w:val="TableParagraph"/>
              <w:spacing w:line="278" w:lineRule="auto" w:before="61"/>
              <w:ind w:left="113" w:right="-15"/>
              <w:rPr>
                <w:sz w:val="21"/>
              </w:rPr>
            </w:pPr>
            <w:r>
              <w:rPr>
                <w:spacing w:val="-3"/>
                <w:sz w:val="21"/>
              </w:rPr>
              <w:t>指被保险人出生时就具有的畸形、变形或染色体异常。先天性畸形、变形和</w:t>
            </w:r>
            <w:r>
              <w:rPr>
                <w:spacing w:val="13"/>
                <w:sz w:val="21"/>
              </w:rPr>
              <w:t>染色体异常依照世界卫生组织《疾病和有关健康问题的国际统计分类》</w:t>
            </w:r>
          </w:p>
          <w:p>
            <w:pPr>
              <w:pStyle w:val="TableParagraph"/>
              <w:spacing w:line="255" w:lineRule="exact" w:before="13"/>
              <w:ind w:left="113"/>
              <w:rPr>
                <w:sz w:val="21"/>
              </w:rPr>
            </w:pPr>
            <w:r>
              <w:rPr>
                <w:sz w:val="21"/>
              </w:rPr>
              <w:t>（ICD-10）确定。</w:t>
            </w:r>
          </w:p>
        </w:tc>
      </w:tr>
    </w:tbl>
    <w:p>
      <w:pPr>
        <w:spacing w:after="0" w:line="255" w:lineRule="exact"/>
        <w:rPr>
          <w:sz w:val="21"/>
        </w:rPr>
        <w:sectPr>
          <w:pgSz w:w="11910" w:h="16840"/>
          <w:pgMar w:top="1580" w:bottom="280" w:left="860" w:right="860"/>
        </w:sectPr>
      </w:pPr>
    </w:p>
    <w:p>
      <w:pPr>
        <w:pStyle w:val="BodyText"/>
        <w:spacing w:before="2"/>
        <w:rPr>
          <w:rFonts w:ascii="Times New Roman"/>
          <w:sz w:val="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8"/>
        <w:gridCol w:w="2031"/>
        <w:gridCol w:w="7368"/>
      </w:tblGrid>
      <w:tr>
        <w:trPr>
          <w:trHeight w:val="1616" w:hRule="atLeast"/>
        </w:trPr>
        <w:tc>
          <w:tcPr>
            <w:tcW w:w="858" w:type="dxa"/>
          </w:tcPr>
          <w:p>
            <w:pPr>
              <w:pStyle w:val="TableParagraph"/>
              <w:spacing w:line="211" w:lineRule="exact"/>
              <w:rPr>
                <w:rFonts w:ascii="黑体"/>
                <w:sz w:val="21"/>
              </w:rPr>
            </w:pPr>
            <w:r>
              <w:rPr>
                <w:rFonts w:ascii="黑体"/>
                <w:sz w:val="21"/>
              </w:rPr>
              <w:t>8.9</w:t>
            </w:r>
          </w:p>
        </w:tc>
        <w:tc>
          <w:tcPr>
            <w:tcW w:w="2031" w:type="dxa"/>
          </w:tcPr>
          <w:p>
            <w:pPr>
              <w:pStyle w:val="TableParagraph"/>
              <w:spacing w:line="211" w:lineRule="exact"/>
              <w:ind w:left="235"/>
              <w:rPr>
                <w:rFonts w:ascii="黑体" w:eastAsia="黑体" w:hint="eastAsia"/>
                <w:sz w:val="21"/>
              </w:rPr>
            </w:pPr>
            <w:r>
              <w:rPr>
                <w:rFonts w:ascii="黑体" w:eastAsia="黑体" w:hint="eastAsia"/>
                <w:sz w:val="21"/>
              </w:rPr>
              <w:t>感染艾滋病病毒或</w:t>
            </w:r>
          </w:p>
          <w:p>
            <w:pPr>
              <w:pStyle w:val="TableParagraph"/>
              <w:spacing w:before="44"/>
              <w:ind w:left="235"/>
              <w:rPr>
                <w:rFonts w:ascii="黑体" w:eastAsia="黑体" w:hint="eastAsia"/>
                <w:sz w:val="21"/>
              </w:rPr>
            </w:pPr>
            <w:r>
              <w:rPr>
                <w:rFonts w:ascii="黑体" w:eastAsia="黑体" w:hint="eastAsia"/>
                <w:sz w:val="21"/>
              </w:rPr>
              <w:t>患艾滋病</w:t>
            </w:r>
          </w:p>
        </w:tc>
        <w:tc>
          <w:tcPr>
            <w:tcW w:w="7368" w:type="dxa"/>
          </w:tcPr>
          <w:p>
            <w:pPr>
              <w:pStyle w:val="TableParagraph"/>
              <w:spacing w:line="211" w:lineRule="exact"/>
              <w:ind w:left="112"/>
              <w:rPr>
                <w:sz w:val="21"/>
              </w:rPr>
            </w:pPr>
            <w:r>
              <w:rPr>
                <w:sz w:val="21"/>
              </w:rPr>
              <w:t>艾滋病病毒指人类免疫缺陷病毒，英文缩写为 HIV。艾滋病指人类免疫缺陷</w:t>
            </w:r>
          </w:p>
          <w:p>
            <w:pPr>
              <w:pStyle w:val="TableParagraph"/>
              <w:spacing w:before="44"/>
              <w:ind w:left="112"/>
              <w:rPr>
                <w:sz w:val="21"/>
              </w:rPr>
            </w:pPr>
            <w:r>
              <w:rPr>
                <w:sz w:val="21"/>
              </w:rPr>
              <w:t>病毒引起的获得性免疫缺陷综合征，英文缩写为 AIDS。</w:t>
            </w:r>
          </w:p>
          <w:p>
            <w:pPr>
              <w:pStyle w:val="TableParagraph"/>
              <w:spacing w:line="278" w:lineRule="auto" w:before="46"/>
              <w:ind w:left="112" w:right="198"/>
              <w:rPr>
                <w:sz w:val="21"/>
              </w:rPr>
            </w:pPr>
            <w:r>
              <w:rPr>
                <w:spacing w:val="-3"/>
                <w:sz w:val="21"/>
              </w:rPr>
              <w:t>在人体血液或其他样本中检测到艾滋病病毒或其抗体呈阳性，没有出现临床</w:t>
            </w:r>
            <w:r>
              <w:rPr>
                <w:spacing w:val="-12"/>
                <w:sz w:val="21"/>
              </w:rPr>
              <w:t>症状或体征的，为感染艾滋病病毒；如果同时出现了明显临床症状或体征的， </w:t>
            </w:r>
            <w:r>
              <w:rPr>
                <w:spacing w:val="-6"/>
                <w:sz w:val="21"/>
              </w:rPr>
              <w:t>为患艾滋病。</w:t>
            </w:r>
          </w:p>
        </w:tc>
      </w:tr>
      <w:tr>
        <w:trPr>
          <w:trHeight w:val="782" w:hRule="atLeast"/>
        </w:trPr>
        <w:tc>
          <w:tcPr>
            <w:tcW w:w="858" w:type="dxa"/>
          </w:tcPr>
          <w:p>
            <w:pPr>
              <w:pStyle w:val="TableParagraph"/>
              <w:spacing w:before="62"/>
              <w:rPr>
                <w:rFonts w:ascii="黑体"/>
                <w:sz w:val="21"/>
              </w:rPr>
            </w:pPr>
            <w:r>
              <w:rPr>
                <w:rFonts w:ascii="黑体"/>
                <w:sz w:val="21"/>
              </w:rPr>
              <w:t>8.10</w:t>
            </w:r>
          </w:p>
        </w:tc>
        <w:tc>
          <w:tcPr>
            <w:tcW w:w="2031" w:type="dxa"/>
          </w:tcPr>
          <w:p>
            <w:pPr>
              <w:pStyle w:val="TableParagraph"/>
              <w:spacing w:before="62"/>
              <w:ind w:left="235"/>
              <w:rPr>
                <w:rFonts w:ascii="黑体" w:eastAsia="黑体" w:hint="eastAsia"/>
                <w:sz w:val="21"/>
              </w:rPr>
            </w:pPr>
            <w:r>
              <w:rPr>
                <w:rFonts w:ascii="黑体" w:eastAsia="黑体" w:hint="eastAsia"/>
                <w:sz w:val="21"/>
              </w:rPr>
              <w:t>有效身份证件</w:t>
            </w:r>
          </w:p>
        </w:tc>
        <w:tc>
          <w:tcPr>
            <w:tcW w:w="7368" w:type="dxa"/>
          </w:tcPr>
          <w:p>
            <w:pPr>
              <w:pStyle w:val="TableParagraph"/>
              <w:spacing w:line="278" w:lineRule="auto" w:before="62"/>
              <w:ind w:left="112" w:right="302"/>
              <w:rPr>
                <w:sz w:val="21"/>
              </w:rPr>
            </w:pPr>
            <w:r>
              <w:rPr>
                <w:sz w:val="21"/>
              </w:rPr>
              <w:t>指由政府主管部门规定的证明其身份的证件，如：居民身份证、按规定可使用的有效护照、军官证、警官证、士兵证等证件。</w:t>
            </w:r>
          </w:p>
        </w:tc>
      </w:tr>
      <w:tr>
        <w:trPr>
          <w:trHeight w:val="1297" w:hRule="atLeast"/>
        </w:trPr>
        <w:tc>
          <w:tcPr>
            <w:tcW w:w="858" w:type="dxa"/>
          </w:tcPr>
          <w:p>
            <w:pPr>
              <w:pStyle w:val="TableParagraph"/>
              <w:spacing w:before="62"/>
              <w:rPr>
                <w:rFonts w:ascii="黑体"/>
                <w:sz w:val="21"/>
              </w:rPr>
            </w:pPr>
            <w:r>
              <w:rPr>
                <w:rFonts w:ascii="黑体"/>
                <w:sz w:val="21"/>
              </w:rPr>
              <w:t>8.11</w:t>
            </w:r>
          </w:p>
        </w:tc>
        <w:tc>
          <w:tcPr>
            <w:tcW w:w="2031" w:type="dxa"/>
          </w:tcPr>
          <w:p>
            <w:pPr>
              <w:pStyle w:val="TableParagraph"/>
              <w:spacing w:before="62"/>
              <w:ind w:left="235"/>
              <w:rPr>
                <w:rFonts w:ascii="黑体" w:eastAsia="黑体" w:hint="eastAsia"/>
                <w:sz w:val="21"/>
              </w:rPr>
            </w:pPr>
            <w:r>
              <w:rPr>
                <w:rFonts w:ascii="黑体" w:eastAsia="黑体" w:hint="eastAsia"/>
                <w:sz w:val="21"/>
              </w:rPr>
              <w:t>现金价值</w:t>
            </w:r>
          </w:p>
        </w:tc>
        <w:tc>
          <w:tcPr>
            <w:tcW w:w="7368" w:type="dxa"/>
          </w:tcPr>
          <w:p>
            <w:pPr>
              <w:pStyle w:val="TableParagraph"/>
              <w:spacing w:line="278" w:lineRule="auto" w:before="62"/>
              <w:ind w:left="112" w:right="301"/>
              <w:rPr>
                <w:sz w:val="21"/>
              </w:rPr>
            </w:pPr>
            <w:r>
              <w:rPr>
                <w:sz w:val="21"/>
              </w:rPr>
              <w:t>指本附加险合同保险单所具有的价值，通常体现为解除合同时，根据精算原理计算的，由我们退还的那部分金额。现金价值＝当期保险费×65％×（1</w:t>
            </w:r>
          </w:p>
          <w:p>
            <w:pPr>
              <w:pStyle w:val="TableParagraph"/>
              <w:spacing w:before="10"/>
              <w:ind w:left="112"/>
              <w:rPr>
                <w:sz w:val="21"/>
              </w:rPr>
            </w:pPr>
            <w:r>
              <w:rPr>
                <w:w w:val="100"/>
                <w:sz w:val="21"/>
              </w:rPr>
              <w:t>－n/m</w:t>
            </w:r>
            <w:r>
              <w:rPr>
                <w:spacing w:val="-108"/>
                <w:w w:val="100"/>
                <w:sz w:val="21"/>
              </w:rPr>
              <w:t>）</w:t>
            </w:r>
            <w:r>
              <w:rPr>
                <w:spacing w:val="-2"/>
                <w:w w:val="100"/>
                <w:sz w:val="21"/>
              </w:rPr>
              <w:t>，其中</w:t>
            </w:r>
            <w:r>
              <w:rPr>
                <w:spacing w:val="-31"/>
                <w:sz w:val="21"/>
              </w:rPr>
              <w:t> </w:t>
            </w:r>
            <w:r>
              <w:rPr>
                <w:w w:val="100"/>
                <w:sz w:val="21"/>
              </w:rPr>
              <w:t>n</w:t>
            </w:r>
            <w:r>
              <w:rPr>
                <w:spacing w:val="-31"/>
                <w:sz w:val="21"/>
              </w:rPr>
              <w:t> </w:t>
            </w:r>
            <w:r>
              <w:rPr>
                <w:spacing w:val="-3"/>
                <w:w w:val="100"/>
                <w:sz w:val="21"/>
              </w:rPr>
              <w:t>为当期保险费所在交费期间已经过的天数</w:t>
            </w:r>
            <w:r>
              <w:rPr>
                <w:w w:val="100"/>
                <w:sz w:val="21"/>
              </w:rPr>
              <w:t>，m</w:t>
            </w:r>
            <w:r>
              <w:rPr>
                <w:spacing w:val="-31"/>
                <w:sz w:val="21"/>
              </w:rPr>
              <w:t> </w:t>
            </w:r>
            <w:r>
              <w:rPr>
                <w:spacing w:val="-3"/>
                <w:w w:val="100"/>
                <w:sz w:val="21"/>
              </w:rPr>
              <w:t>为当期保险费</w:t>
            </w:r>
          </w:p>
          <w:p>
            <w:pPr>
              <w:pStyle w:val="TableParagraph"/>
              <w:spacing w:line="255" w:lineRule="exact" w:before="46"/>
              <w:ind w:left="112"/>
              <w:rPr>
                <w:sz w:val="21"/>
              </w:rPr>
            </w:pPr>
            <w:r>
              <w:rPr>
                <w:sz w:val="21"/>
              </w:rPr>
              <w:t>所在交费期间的天数。合同已生效的天数不足一天的不计。</w:t>
            </w:r>
          </w:p>
        </w:tc>
      </w:tr>
    </w:tbl>
    <w:sectPr>
      <w:pgSz w:w="11910" w:h="16840"/>
      <w:pgMar w:top="1580" w:bottom="280" w:left="7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622" w:hanging="423"/>
        <w:jc w:val="left"/>
      </w:pPr>
      <w:rPr>
        <w:rFonts w:hint="default" w:ascii="宋体" w:hAnsi="宋体" w:eastAsia="宋体" w:cs="宋体"/>
        <w:w w:val="100"/>
        <w:sz w:val="21"/>
        <w:szCs w:val="21"/>
      </w:rPr>
    </w:lvl>
    <w:lvl w:ilvl="1">
      <w:start w:val="0"/>
      <w:numFmt w:val="bullet"/>
      <w:lvlText w:val="•"/>
      <w:lvlJc w:val="left"/>
      <w:pPr>
        <w:ind w:left="1293" w:hanging="423"/>
      </w:pPr>
      <w:rPr>
        <w:rFonts w:hint="default"/>
      </w:rPr>
    </w:lvl>
    <w:lvl w:ilvl="2">
      <w:start w:val="0"/>
      <w:numFmt w:val="bullet"/>
      <w:lvlText w:val="•"/>
      <w:lvlJc w:val="left"/>
      <w:pPr>
        <w:ind w:left="1966" w:hanging="423"/>
      </w:pPr>
      <w:rPr>
        <w:rFonts w:hint="default"/>
      </w:rPr>
    </w:lvl>
    <w:lvl w:ilvl="3">
      <w:start w:val="0"/>
      <w:numFmt w:val="bullet"/>
      <w:lvlText w:val="•"/>
      <w:lvlJc w:val="left"/>
      <w:pPr>
        <w:ind w:left="2639" w:hanging="423"/>
      </w:pPr>
      <w:rPr>
        <w:rFonts w:hint="default"/>
      </w:rPr>
    </w:lvl>
    <w:lvl w:ilvl="4">
      <w:start w:val="0"/>
      <w:numFmt w:val="bullet"/>
      <w:lvlText w:val="•"/>
      <w:lvlJc w:val="left"/>
      <w:pPr>
        <w:ind w:left="3312" w:hanging="423"/>
      </w:pPr>
      <w:rPr>
        <w:rFonts w:hint="default"/>
      </w:rPr>
    </w:lvl>
    <w:lvl w:ilvl="5">
      <w:start w:val="0"/>
      <w:numFmt w:val="bullet"/>
      <w:lvlText w:val="•"/>
      <w:lvlJc w:val="left"/>
      <w:pPr>
        <w:ind w:left="3986" w:hanging="423"/>
      </w:pPr>
      <w:rPr>
        <w:rFonts w:hint="default"/>
      </w:rPr>
    </w:lvl>
    <w:lvl w:ilvl="6">
      <w:start w:val="0"/>
      <w:numFmt w:val="bullet"/>
      <w:lvlText w:val="•"/>
      <w:lvlJc w:val="left"/>
      <w:pPr>
        <w:ind w:left="4659" w:hanging="423"/>
      </w:pPr>
      <w:rPr>
        <w:rFonts w:hint="default"/>
      </w:rPr>
    </w:lvl>
    <w:lvl w:ilvl="7">
      <w:start w:val="0"/>
      <w:numFmt w:val="bullet"/>
      <w:lvlText w:val="•"/>
      <w:lvlJc w:val="left"/>
      <w:pPr>
        <w:ind w:left="5332" w:hanging="423"/>
      </w:pPr>
      <w:rPr>
        <w:rFonts w:hint="default"/>
      </w:rPr>
    </w:lvl>
    <w:lvl w:ilvl="8">
      <w:start w:val="0"/>
      <w:numFmt w:val="bullet"/>
      <w:lvlText w:val="•"/>
      <w:lvlJc w:val="left"/>
      <w:pPr>
        <w:ind w:left="6005" w:hanging="423"/>
      </w:pPr>
      <w:rPr>
        <w:rFonts w:hint="default"/>
      </w:rPr>
    </w:lvl>
  </w:abstractNum>
  <w:abstractNum w:abstractNumId="1">
    <w:multiLevelType w:val="hybridMultilevel"/>
    <w:lvl w:ilvl="0">
      <w:start w:val="1"/>
      <w:numFmt w:val="upperRoman"/>
      <w:lvlText w:val="%1"/>
      <w:lvlJc w:val="left"/>
      <w:pPr>
        <w:ind w:left="358" w:hanging="159"/>
        <w:jc w:val="left"/>
      </w:pPr>
      <w:rPr>
        <w:rFonts w:hint="default" w:ascii="宋体" w:hAnsi="宋体" w:eastAsia="宋体" w:cs="宋体"/>
        <w:w w:val="100"/>
        <w:sz w:val="21"/>
        <w:szCs w:val="21"/>
      </w:rPr>
    </w:lvl>
    <w:lvl w:ilvl="1">
      <w:start w:val="0"/>
      <w:numFmt w:val="bullet"/>
      <w:lvlText w:val="•"/>
      <w:lvlJc w:val="left"/>
      <w:pPr>
        <w:ind w:left="1059" w:hanging="159"/>
      </w:pPr>
      <w:rPr>
        <w:rFonts w:hint="default"/>
      </w:rPr>
    </w:lvl>
    <w:lvl w:ilvl="2">
      <w:start w:val="0"/>
      <w:numFmt w:val="bullet"/>
      <w:lvlText w:val="•"/>
      <w:lvlJc w:val="left"/>
      <w:pPr>
        <w:ind w:left="1758" w:hanging="159"/>
      </w:pPr>
      <w:rPr>
        <w:rFonts w:hint="default"/>
      </w:rPr>
    </w:lvl>
    <w:lvl w:ilvl="3">
      <w:start w:val="0"/>
      <w:numFmt w:val="bullet"/>
      <w:lvlText w:val="•"/>
      <w:lvlJc w:val="left"/>
      <w:pPr>
        <w:ind w:left="2457" w:hanging="159"/>
      </w:pPr>
      <w:rPr>
        <w:rFonts w:hint="default"/>
      </w:rPr>
    </w:lvl>
    <w:lvl w:ilvl="4">
      <w:start w:val="0"/>
      <w:numFmt w:val="bullet"/>
      <w:lvlText w:val="•"/>
      <w:lvlJc w:val="left"/>
      <w:pPr>
        <w:ind w:left="3156" w:hanging="159"/>
      </w:pPr>
      <w:rPr>
        <w:rFonts w:hint="default"/>
      </w:rPr>
    </w:lvl>
    <w:lvl w:ilvl="5">
      <w:start w:val="0"/>
      <w:numFmt w:val="bullet"/>
      <w:lvlText w:val="•"/>
      <w:lvlJc w:val="left"/>
      <w:pPr>
        <w:ind w:left="3856" w:hanging="159"/>
      </w:pPr>
      <w:rPr>
        <w:rFonts w:hint="default"/>
      </w:rPr>
    </w:lvl>
    <w:lvl w:ilvl="6">
      <w:start w:val="0"/>
      <w:numFmt w:val="bullet"/>
      <w:lvlText w:val="•"/>
      <w:lvlJc w:val="left"/>
      <w:pPr>
        <w:ind w:left="4555" w:hanging="159"/>
      </w:pPr>
      <w:rPr>
        <w:rFonts w:hint="default"/>
      </w:rPr>
    </w:lvl>
    <w:lvl w:ilvl="7">
      <w:start w:val="0"/>
      <w:numFmt w:val="bullet"/>
      <w:lvlText w:val="•"/>
      <w:lvlJc w:val="left"/>
      <w:pPr>
        <w:ind w:left="5254" w:hanging="159"/>
      </w:pPr>
      <w:rPr>
        <w:rFonts w:hint="default"/>
      </w:rPr>
    </w:lvl>
    <w:lvl w:ilvl="8">
      <w:start w:val="0"/>
      <w:numFmt w:val="bullet"/>
      <w:lvlText w:val="•"/>
      <w:lvlJc w:val="left"/>
      <w:pPr>
        <w:ind w:left="5953" w:hanging="159"/>
      </w:pPr>
      <w:rPr>
        <w:rFonts w:hint="default"/>
      </w:rPr>
    </w:lvl>
  </w:abstractNum>
  <w:abstractNum w:abstractNumId="0">
    <w:multiLevelType w:val="hybridMultilevel"/>
    <w:lvl w:ilvl="0">
      <w:start w:val="0"/>
      <w:numFmt w:val="bullet"/>
      <w:lvlText w:val=""/>
      <w:lvlJc w:val="left"/>
      <w:pPr>
        <w:ind w:left="822" w:hanging="358"/>
      </w:pPr>
      <w:rPr>
        <w:rFonts w:hint="default" w:ascii="Wingdings" w:hAnsi="Wingdings" w:eastAsia="Wingdings" w:cs="Wingdings"/>
        <w:w w:val="100"/>
        <w:sz w:val="18"/>
        <w:szCs w:val="18"/>
      </w:rPr>
    </w:lvl>
    <w:lvl w:ilvl="1">
      <w:start w:val="0"/>
      <w:numFmt w:val="bullet"/>
      <w:lvlText w:val="•"/>
      <w:lvlJc w:val="left"/>
      <w:pPr>
        <w:ind w:left="1778" w:hanging="358"/>
      </w:pPr>
      <w:rPr>
        <w:rFonts w:hint="default"/>
      </w:rPr>
    </w:lvl>
    <w:lvl w:ilvl="2">
      <w:start w:val="0"/>
      <w:numFmt w:val="bullet"/>
      <w:lvlText w:val="•"/>
      <w:lvlJc w:val="left"/>
      <w:pPr>
        <w:ind w:left="2737" w:hanging="358"/>
      </w:pPr>
      <w:rPr>
        <w:rFonts w:hint="default"/>
      </w:rPr>
    </w:lvl>
    <w:lvl w:ilvl="3">
      <w:start w:val="0"/>
      <w:numFmt w:val="bullet"/>
      <w:lvlText w:val="•"/>
      <w:lvlJc w:val="left"/>
      <w:pPr>
        <w:ind w:left="3695" w:hanging="358"/>
      </w:pPr>
      <w:rPr>
        <w:rFonts w:hint="default"/>
      </w:rPr>
    </w:lvl>
    <w:lvl w:ilvl="4">
      <w:start w:val="0"/>
      <w:numFmt w:val="bullet"/>
      <w:lvlText w:val="•"/>
      <w:lvlJc w:val="left"/>
      <w:pPr>
        <w:ind w:left="4654" w:hanging="358"/>
      </w:pPr>
      <w:rPr>
        <w:rFonts w:hint="default"/>
      </w:rPr>
    </w:lvl>
    <w:lvl w:ilvl="5">
      <w:start w:val="0"/>
      <w:numFmt w:val="bullet"/>
      <w:lvlText w:val="•"/>
      <w:lvlJc w:val="left"/>
      <w:pPr>
        <w:ind w:left="5613" w:hanging="358"/>
      </w:pPr>
      <w:rPr>
        <w:rFonts w:hint="default"/>
      </w:rPr>
    </w:lvl>
    <w:lvl w:ilvl="6">
      <w:start w:val="0"/>
      <w:numFmt w:val="bullet"/>
      <w:lvlText w:val="•"/>
      <w:lvlJc w:val="left"/>
      <w:pPr>
        <w:ind w:left="6571" w:hanging="358"/>
      </w:pPr>
      <w:rPr>
        <w:rFonts w:hint="default"/>
      </w:rPr>
    </w:lvl>
    <w:lvl w:ilvl="7">
      <w:start w:val="0"/>
      <w:numFmt w:val="bullet"/>
      <w:lvlText w:val="•"/>
      <w:lvlJc w:val="left"/>
      <w:pPr>
        <w:ind w:left="7530" w:hanging="358"/>
      </w:pPr>
      <w:rPr>
        <w:rFonts w:hint="default"/>
      </w:rPr>
    </w:lvl>
    <w:lvl w:ilvl="8">
      <w:start w:val="0"/>
      <w:numFmt w:val="bullet"/>
      <w:lvlText w:val="•"/>
      <w:lvlJc w:val="left"/>
      <w:pPr>
        <w:ind w:left="8489" w:hanging="358"/>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spacing w:before="26"/>
      <w:ind w:left="2688" w:right="860" w:hanging="1"/>
      <w:outlineLvl w:val="1"/>
    </w:pPr>
    <w:rPr>
      <w:rFonts w:ascii="黑体" w:hAnsi="黑体" w:eastAsia="黑体" w:cs="黑体"/>
      <w:b/>
      <w:bCs/>
      <w:sz w:val="32"/>
      <w:szCs w:val="32"/>
    </w:rPr>
  </w:style>
  <w:style w:styleId="ListParagraph" w:type="paragraph">
    <w:name w:val="List Paragraph"/>
    <w:basedOn w:val="Normal"/>
    <w:uiPriority w:val="1"/>
    <w:qFormat/>
    <w:pPr>
      <w:ind w:left="822" w:hanging="357"/>
    </w:pPr>
    <w:rPr>
      <w:rFonts w:ascii="宋体" w:hAnsi="宋体" w:eastAsia="宋体" w:cs="宋体"/>
    </w:rPr>
  </w:style>
  <w:style w:styleId="TableParagraph" w:type="paragraph">
    <w:name w:val="Table Paragraph"/>
    <w:basedOn w:val="Normal"/>
    <w:uiPriority w:val="1"/>
    <w:qFormat/>
    <w:pPr>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cpic</dc:creator>
  <dc:title>中国太平洋人寿保险股份有限公司</dc:title>
  <dcterms:created xsi:type="dcterms:W3CDTF">2018-10-20T00:43:16Z</dcterms:created>
  <dcterms:modified xsi:type="dcterms:W3CDTF">2018-10-20T00:43:16Z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2015-10-30T00:00:00Z</vt:filetime>
  </property>
  <property fmtid="{D5CDD505-2E9C-101B-9397-08002B2CF9AE}" pid="3" name="Creator">
    <vt:lpwstr>Microsoft® Word 2010</vt:lpwstr>
  </property>
  <property fmtid="{D5CDD505-2E9C-101B-9397-08002B2CF9AE}" pid="4" name="LastSaved">
    <vt:filetime>2018-10-19T00:00:00Z</vt:filetime>
  </property>
</Properties>
</file>