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0" w:lineRule="auto" w:before="10"/>
        <w:ind w:left="3305" w:right="306" w:firstLine="0"/>
        <w:jc w:val="center"/>
        <w:rPr>
          <w:b/>
          <w:sz w:val="30"/>
        </w:rPr>
      </w:pPr>
      <w:r>
        <w:rPr>
          <w:b/>
          <w:w w:val="95"/>
          <w:sz w:val="30"/>
        </w:rPr>
        <w:t>人保寿险百病安心重大疾病保险条款目录</w:t>
      </w:r>
    </w:p>
    <w:p>
      <w:pPr>
        <w:pStyle w:val="BodyText"/>
        <w:rPr>
          <w:b/>
          <w:sz w:val="33"/>
        </w:rPr>
      </w:pPr>
    </w:p>
    <w:p>
      <w:pPr>
        <w:pStyle w:val="BodyText"/>
        <w:spacing w:line="314" w:lineRule="auto"/>
        <w:ind w:left="2995"/>
        <w:jc w:val="center"/>
      </w:pPr>
      <w:r>
        <w:rPr>
          <w:spacing w:val="-3"/>
          <w:u w:val="single"/>
        </w:rPr>
        <w:t>条款是保险合同的重要内容，为充分保障您的权益，</w:t>
      </w:r>
      <w:r>
        <w:rPr>
          <w:spacing w:val="-212"/>
          <w:u w:val="single"/>
        </w:rPr>
        <w:t>请</w:t>
      </w:r>
      <w:r>
        <w:rPr>
          <w:spacing w:val="-3"/>
          <w:u w:val="single"/>
        </w:rPr>
        <w:t>您仔细阅读本条款。</w:t>
      </w:r>
    </w:p>
    <w:p>
      <w:pPr>
        <w:spacing w:before="33"/>
        <w:ind w:left="23" w:right="380" w:firstLine="0"/>
        <w:jc w:val="center"/>
        <w:rPr>
          <w:sz w:val="18"/>
        </w:rPr>
      </w:pPr>
      <w:r>
        <w:rPr/>
        <w:br w:type="column"/>
      </w:r>
      <w:r>
        <w:rPr>
          <w:sz w:val="18"/>
        </w:rPr>
        <w:t>人保寿险[2017</w:t>
      </w:r>
      <w:r>
        <w:rPr>
          <w:spacing w:val="-8"/>
          <w:sz w:val="18"/>
        </w:rPr>
        <w:t>]疾病保险 </w:t>
      </w:r>
      <w:r>
        <w:rPr>
          <w:sz w:val="18"/>
        </w:rPr>
        <w:t>011</w:t>
      </w:r>
      <w:r>
        <w:rPr>
          <w:spacing w:val="-23"/>
          <w:sz w:val="18"/>
        </w:rPr>
        <w:t> 号 </w:t>
      </w:r>
    </w:p>
    <w:p>
      <w:pPr>
        <w:pStyle w:val="BodyText"/>
        <w:spacing w:before="1"/>
        <w:rPr>
          <w:sz w:val="9"/>
        </w:rPr>
      </w:pPr>
    </w:p>
    <w:p>
      <w:pPr>
        <w:pStyle w:val="BodyText"/>
        <w:ind w:left="68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1"/>
        <w:ind w:left="23" w:right="469" w:firstLine="0"/>
        <w:jc w:val="center"/>
        <w:rPr>
          <w:sz w:val="18"/>
        </w:rPr>
      </w:pPr>
      <w:r>
        <w:rPr>
          <w:sz w:val="18"/>
        </w:rPr>
        <w:t>请扫描以查询验证条款</w:t>
      </w:r>
    </w:p>
    <w:p>
      <w:pPr>
        <w:spacing w:after="0"/>
        <w:jc w:val="center"/>
        <w:rPr>
          <w:sz w:val="18"/>
        </w:rPr>
        <w:sectPr>
          <w:type w:val="continuous"/>
          <w:pgSz w:w="11910" w:h="16840"/>
          <w:pgMar w:top="1380" w:bottom="280" w:left="540" w:right="540"/>
          <w:cols w:num="2" w:equalWidth="0">
            <w:col w:w="7830" w:space="40"/>
            <w:col w:w="2960"/>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9"/>
        <w:gridCol w:w="3398"/>
        <w:gridCol w:w="3898"/>
      </w:tblGrid>
      <w:tr>
        <w:trPr>
          <w:trHeight w:val="272" w:hRule="atLeast"/>
        </w:trPr>
        <w:tc>
          <w:tcPr>
            <w:tcW w:w="331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3398" w:type="dxa"/>
          </w:tcPr>
          <w:p>
            <w:pPr>
              <w:pStyle w:val="TableParagraph"/>
              <w:spacing w:line="234" w:lineRule="exact"/>
              <w:ind w:left="438"/>
              <w:rPr>
                <w:sz w:val="21"/>
              </w:rPr>
            </w:pPr>
            <w:r>
              <w:rPr>
                <w:rFonts w:ascii="Times New Roman" w:eastAsia="Times New Roman"/>
                <w:sz w:val="21"/>
              </w:rPr>
              <w:t>4.5  </w:t>
            </w:r>
            <w:r>
              <w:rPr>
                <w:sz w:val="21"/>
              </w:rPr>
              <w:t>合同效力的恢复</w:t>
            </w:r>
          </w:p>
        </w:tc>
        <w:tc>
          <w:tcPr>
            <w:tcW w:w="3898" w:type="dxa"/>
          </w:tcPr>
          <w:p>
            <w:pPr>
              <w:pStyle w:val="TableParagraph"/>
              <w:spacing w:line="234" w:lineRule="exact"/>
              <w:ind w:left="281"/>
              <w:rPr>
                <w:sz w:val="21"/>
              </w:rPr>
            </w:pPr>
            <w:r>
              <w:rPr>
                <w:rFonts w:ascii="Times New Roman" w:eastAsia="Times New Roman"/>
                <w:sz w:val="21"/>
              </w:rPr>
              <w:t>7.1  </w:t>
            </w:r>
            <w:r>
              <w:rPr>
                <w:sz w:val="21"/>
              </w:rPr>
              <w:t>保单生效对应日</w:t>
            </w:r>
          </w:p>
        </w:tc>
      </w:tr>
      <w:tr>
        <w:trPr>
          <w:trHeight w:val="312" w:hRule="atLeast"/>
        </w:trPr>
        <w:tc>
          <w:tcPr>
            <w:tcW w:w="3319" w:type="dxa"/>
          </w:tcPr>
          <w:p>
            <w:pPr>
              <w:pStyle w:val="TableParagraph"/>
              <w:spacing w:line="273" w:lineRule="exact"/>
              <w:ind w:left="514"/>
              <w:rPr>
                <w:sz w:val="21"/>
              </w:rPr>
            </w:pPr>
            <w:r>
              <w:rPr>
                <w:rFonts w:ascii="Times New Roman" w:eastAsia="Times New Roman"/>
                <w:sz w:val="21"/>
              </w:rPr>
              <w:t>1.1  </w:t>
            </w:r>
            <w:r>
              <w:rPr>
                <w:sz w:val="21"/>
              </w:rPr>
              <w:t>合同构成</w:t>
            </w:r>
          </w:p>
        </w:tc>
        <w:tc>
          <w:tcPr>
            <w:tcW w:w="3398" w:type="dxa"/>
          </w:tcPr>
          <w:p>
            <w:pPr>
              <w:pStyle w:val="TableParagraph"/>
              <w:spacing w:line="273" w:lineRule="exact"/>
              <w:ind w:left="0" w:right="278"/>
              <w:jc w:val="right"/>
              <w:rPr>
                <w:sz w:val="21"/>
              </w:rPr>
            </w:pPr>
            <w:r>
              <w:rPr>
                <w:rFonts w:ascii="Times New Roman" w:eastAsia="Times New Roman"/>
                <w:sz w:val="21"/>
              </w:rPr>
              <w:t>4.6  </w:t>
            </w:r>
            <w:r>
              <w:rPr>
                <w:sz w:val="21"/>
              </w:rPr>
              <w:t>您解除合同的手续及风险</w:t>
            </w:r>
          </w:p>
        </w:tc>
        <w:tc>
          <w:tcPr>
            <w:tcW w:w="3898" w:type="dxa"/>
          </w:tcPr>
          <w:p>
            <w:pPr>
              <w:pStyle w:val="TableParagraph"/>
              <w:spacing w:line="273" w:lineRule="exact"/>
              <w:ind w:left="281"/>
              <w:rPr>
                <w:sz w:val="21"/>
              </w:rPr>
            </w:pPr>
            <w:r>
              <w:rPr>
                <w:rFonts w:ascii="Times New Roman" w:eastAsia="Times New Roman"/>
                <w:sz w:val="21"/>
              </w:rPr>
              <w:t>7.2  </w:t>
            </w:r>
            <w:r>
              <w:rPr>
                <w:sz w:val="21"/>
              </w:rPr>
              <w:t>保险费约定交纳日</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1.2  </w:t>
            </w:r>
            <w:r>
              <w:rPr>
                <w:sz w:val="21"/>
              </w:rPr>
              <w:t>合同成立与生效</w:t>
            </w:r>
          </w:p>
        </w:tc>
        <w:tc>
          <w:tcPr>
            <w:tcW w:w="3398" w:type="dxa"/>
          </w:tcPr>
          <w:p>
            <w:pPr>
              <w:pStyle w:val="TableParagraph"/>
              <w:ind w:left="0"/>
              <w:rPr>
                <w:rFonts w:ascii="Times New Roman"/>
                <w:sz w:val="20"/>
              </w:rPr>
            </w:pPr>
          </w:p>
        </w:tc>
        <w:tc>
          <w:tcPr>
            <w:tcW w:w="3898" w:type="dxa"/>
          </w:tcPr>
          <w:p>
            <w:pPr>
              <w:pStyle w:val="TableParagraph"/>
              <w:spacing w:line="273" w:lineRule="exact"/>
              <w:ind w:left="281"/>
              <w:rPr>
                <w:sz w:val="21"/>
              </w:rPr>
            </w:pPr>
            <w:r>
              <w:rPr>
                <w:rFonts w:ascii="Times New Roman" w:eastAsia="Times New Roman"/>
                <w:sz w:val="21"/>
              </w:rPr>
              <w:t>7.3  </w:t>
            </w:r>
            <w:r>
              <w:rPr>
                <w:sz w:val="21"/>
              </w:rPr>
              <w:t>周岁</w:t>
            </w:r>
          </w:p>
        </w:tc>
      </w:tr>
      <w:tr>
        <w:trPr>
          <w:trHeight w:val="311" w:hRule="atLeast"/>
        </w:trPr>
        <w:tc>
          <w:tcPr>
            <w:tcW w:w="3319" w:type="dxa"/>
          </w:tcPr>
          <w:p>
            <w:pPr>
              <w:pStyle w:val="TableParagraph"/>
              <w:ind w:left="0"/>
              <w:rPr>
                <w:rFonts w:ascii="Times New Roman"/>
                <w:sz w:val="20"/>
              </w:rPr>
            </w:pPr>
          </w:p>
        </w:tc>
        <w:tc>
          <w:tcPr>
            <w:tcW w:w="3398" w:type="dxa"/>
          </w:tcPr>
          <w:p>
            <w:pPr>
              <w:pStyle w:val="TableParagraph"/>
              <w:spacing w:line="273" w:lineRule="exact"/>
              <w:ind w:left="122"/>
              <w:rPr>
                <w:b/>
                <w:sz w:val="21"/>
              </w:rPr>
            </w:pPr>
            <w:r>
              <w:rPr>
                <w:rFonts w:ascii="Times New Roman" w:eastAsia="Times New Roman"/>
                <w:b/>
                <w:sz w:val="21"/>
              </w:rPr>
              <w:t>5.  </w:t>
            </w:r>
            <w:r>
              <w:rPr>
                <w:b/>
                <w:sz w:val="21"/>
              </w:rPr>
              <w:t>如何申请领取保险金</w:t>
            </w:r>
          </w:p>
        </w:tc>
        <w:tc>
          <w:tcPr>
            <w:tcW w:w="3898" w:type="dxa"/>
          </w:tcPr>
          <w:p>
            <w:pPr>
              <w:pStyle w:val="TableParagraph"/>
              <w:spacing w:line="273" w:lineRule="exact"/>
              <w:ind w:left="281"/>
              <w:rPr>
                <w:sz w:val="21"/>
              </w:rPr>
            </w:pPr>
            <w:r>
              <w:rPr>
                <w:rFonts w:ascii="Times New Roman" w:eastAsia="Times New Roman"/>
                <w:sz w:val="21"/>
              </w:rPr>
              <w:t>7.4  </w:t>
            </w:r>
            <w:r>
              <w:rPr>
                <w:sz w:val="21"/>
              </w:rPr>
              <w:t>意外伤害</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2.  </w:t>
            </w:r>
            <w:r>
              <w:rPr>
                <w:b/>
                <w:sz w:val="21"/>
              </w:rPr>
              <w:t>您获得的保障</w:t>
            </w:r>
          </w:p>
        </w:tc>
        <w:tc>
          <w:tcPr>
            <w:tcW w:w="3398" w:type="dxa"/>
          </w:tcPr>
          <w:p>
            <w:pPr>
              <w:pStyle w:val="TableParagraph"/>
              <w:spacing w:line="273" w:lineRule="exact"/>
              <w:ind w:left="438"/>
              <w:rPr>
                <w:sz w:val="21"/>
              </w:rPr>
            </w:pPr>
            <w:r>
              <w:rPr>
                <w:rFonts w:ascii="Times New Roman" w:eastAsia="Times New Roman"/>
                <w:sz w:val="21"/>
              </w:rPr>
              <w:t>5.1  </w:t>
            </w:r>
            <w:r>
              <w:rPr>
                <w:sz w:val="21"/>
              </w:rPr>
              <w:t>受益人</w:t>
            </w:r>
          </w:p>
        </w:tc>
        <w:tc>
          <w:tcPr>
            <w:tcW w:w="3898" w:type="dxa"/>
          </w:tcPr>
          <w:p>
            <w:pPr>
              <w:pStyle w:val="TableParagraph"/>
              <w:spacing w:line="273" w:lineRule="exact"/>
              <w:ind w:left="278"/>
              <w:rPr>
                <w:sz w:val="21"/>
              </w:rPr>
            </w:pPr>
            <w:r>
              <w:rPr>
                <w:rFonts w:ascii="Times New Roman" w:eastAsia="Times New Roman"/>
                <w:sz w:val="21"/>
              </w:rPr>
              <w:t>7.5  </w:t>
            </w:r>
            <w:r>
              <w:rPr>
                <w:sz w:val="21"/>
              </w:rPr>
              <w:t>毒品</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2.1  </w:t>
            </w:r>
            <w:r>
              <w:rPr>
                <w:sz w:val="21"/>
              </w:rPr>
              <w:t>基本保险金额</w:t>
            </w:r>
          </w:p>
        </w:tc>
        <w:tc>
          <w:tcPr>
            <w:tcW w:w="3398" w:type="dxa"/>
          </w:tcPr>
          <w:p>
            <w:pPr>
              <w:pStyle w:val="TableParagraph"/>
              <w:spacing w:line="273" w:lineRule="exact"/>
              <w:ind w:left="438"/>
              <w:rPr>
                <w:sz w:val="21"/>
              </w:rPr>
            </w:pPr>
            <w:r>
              <w:rPr>
                <w:rFonts w:ascii="Times New Roman" w:eastAsia="Times New Roman"/>
                <w:sz w:val="21"/>
              </w:rPr>
              <w:t>5.2  </w:t>
            </w:r>
            <w:r>
              <w:rPr>
                <w:sz w:val="21"/>
              </w:rPr>
              <w:t>保险事故通知</w:t>
            </w:r>
          </w:p>
        </w:tc>
        <w:tc>
          <w:tcPr>
            <w:tcW w:w="3898" w:type="dxa"/>
          </w:tcPr>
          <w:p>
            <w:pPr>
              <w:pStyle w:val="TableParagraph"/>
              <w:spacing w:line="273" w:lineRule="exact"/>
              <w:ind w:left="281"/>
              <w:rPr>
                <w:sz w:val="21"/>
              </w:rPr>
            </w:pPr>
            <w:r>
              <w:rPr>
                <w:rFonts w:ascii="Times New Roman" w:eastAsia="Times New Roman"/>
                <w:sz w:val="21"/>
              </w:rPr>
              <w:t>7.6  </w:t>
            </w:r>
            <w:r>
              <w:rPr>
                <w:sz w:val="21"/>
              </w:rPr>
              <w:t>酒后驾驶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2.2  </w:t>
            </w:r>
            <w:r>
              <w:rPr>
                <w:sz w:val="21"/>
              </w:rPr>
              <w:t>未成年人身故保险金限制</w:t>
            </w:r>
          </w:p>
        </w:tc>
        <w:tc>
          <w:tcPr>
            <w:tcW w:w="3398" w:type="dxa"/>
          </w:tcPr>
          <w:p>
            <w:pPr>
              <w:pStyle w:val="TableParagraph"/>
              <w:spacing w:line="273" w:lineRule="exact"/>
              <w:ind w:left="438"/>
              <w:rPr>
                <w:sz w:val="21"/>
              </w:rPr>
            </w:pPr>
            <w:r>
              <w:rPr>
                <w:rFonts w:ascii="Times New Roman" w:eastAsia="Times New Roman"/>
                <w:sz w:val="21"/>
              </w:rPr>
              <w:t>5.3  </w:t>
            </w:r>
            <w:r>
              <w:rPr>
                <w:sz w:val="21"/>
              </w:rPr>
              <w:t>保险金申请</w:t>
            </w:r>
          </w:p>
        </w:tc>
        <w:tc>
          <w:tcPr>
            <w:tcW w:w="3898" w:type="dxa"/>
          </w:tcPr>
          <w:p>
            <w:pPr>
              <w:pStyle w:val="TableParagraph"/>
              <w:spacing w:line="273" w:lineRule="exact"/>
              <w:ind w:left="281"/>
              <w:rPr>
                <w:sz w:val="21"/>
              </w:rPr>
            </w:pPr>
            <w:r>
              <w:rPr>
                <w:rFonts w:ascii="Times New Roman" w:eastAsia="Times New Roman"/>
                <w:sz w:val="21"/>
              </w:rPr>
              <w:t>7.7  </w:t>
            </w:r>
            <w:r>
              <w:rPr>
                <w:sz w:val="21"/>
              </w:rPr>
              <w:t>无合法有效驾驶证驾驶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2.3  </w:t>
            </w:r>
            <w:r>
              <w:rPr>
                <w:sz w:val="21"/>
              </w:rPr>
              <w:t>保险期间</w:t>
            </w:r>
          </w:p>
        </w:tc>
        <w:tc>
          <w:tcPr>
            <w:tcW w:w="3398" w:type="dxa"/>
          </w:tcPr>
          <w:p>
            <w:pPr>
              <w:pStyle w:val="TableParagraph"/>
              <w:spacing w:line="273" w:lineRule="exact"/>
              <w:ind w:left="438"/>
              <w:rPr>
                <w:sz w:val="21"/>
              </w:rPr>
            </w:pPr>
            <w:r>
              <w:rPr>
                <w:rFonts w:ascii="Times New Roman" w:eastAsia="Times New Roman"/>
                <w:sz w:val="21"/>
              </w:rPr>
              <w:t>5.4  </w:t>
            </w:r>
            <w:r>
              <w:rPr>
                <w:sz w:val="21"/>
              </w:rPr>
              <w:t>保险金的给付</w:t>
            </w:r>
          </w:p>
        </w:tc>
        <w:tc>
          <w:tcPr>
            <w:tcW w:w="3898" w:type="dxa"/>
          </w:tcPr>
          <w:p>
            <w:pPr>
              <w:pStyle w:val="TableParagraph"/>
              <w:spacing w:line="273" w:lineRule="exact"/>
              <w:ind w:left="281"/>
              <w:rPr>
                <w:sz w:val="21"/>
              </w:rPr>
            </w:pPr>
            <w:r>
              <w:rPr>
                <w:rFonts w:ascii="Times New Roman" w:eastAsia="Times New Roman"/>
                <w:sz w:val="21"/>
              </w:rPr>
              <w:t>7.8  </w:t>
            </w:r>
            <w:r>
              <w:rPr>
                <w:sz w:val="21"/>
              </w:rPr>
              <w:t>无有效行驶证</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2.4  </w:t>
            </w:r>
            <w:r>
              <w:rPr>
                <w:sz w:val="21"/>
              </w:rPr>
              <w:t>保险责任</w:t>
            </w:r>
          </w:p>
        </w:tc>
        <w:tc>
          <w:tcPr>
            <w:tcW w:w="3398" w:type="dxa"/>
          </w:tcPr>
          <w:p>
            <w:pPr>
              <w:pStyle w:val="TableParagraph"/>
              <w:spacing w:line="273" w:lineRule="exact"/>
              <w:ind w:left="438"/>
              <w:rPr>
                <w:sz w:val="21"/>
              </w:rPr>
            </w:pPr>
            <w:r>
              <w:rPr>
                <w:rFonts w:ascii="Times New Roman" w:eastAsia="Times New Roman"/>
                <w:sz w:val="21"/>
              </w:rPr>
              <w:t>5.5  </w:t>
            </w:r>
            <w:r>
              <w:rPr>
                <w:sz w:val="21"/>
              </w:rPr>
              <w:t>诉讼时效</w:t>
            </w:r>
          </w:p>
        </w:tc>
        <w:tc>
          <w:tcPr>
            <w:tcW w:w="3898" w:type="dxa"/>
          </w:tcPr>
          <w:p>
            <w:pPr>
              <w:pStyle w:val="TableParagraph"/>
              <w:spacing w:line="273" w:lineRule="exact"/>
              <w:ind w:left="281"/>
              <w:rPr>
                <w:sz w:val="21"/>
              </w:rPr>
            </w:pPr>
            <w:r>
              <w:rPr>
                <w:rFonts w:ascii="Times New Roman" w:eastAsia="Times New Roman"/>
                <w:sz w:val="21"/>
              </w:rPr>
              <w:t>7.9  </w:t>
            </w:r>
            <w:r>
              <w:rPr>
                <w:sz w:val="21"/>
              </w:rPr>
              <w:t>战争</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2.5  </w:t>
            </w:r>
            <w:r>
              <w:rPr>
                <w:sz w:val="21"/>
              </w:rPr>
              <w:t>责任免除</w:t>
            </w:r>
          </w:p>
        </w:tc>
        <w:tc>
          <w:tcPr>
            <w:tcW w:w="3398" w:type="dxa"/>
          </w:tcPr>
          <w:p>
            <w:pPr>
              <w:pStyle w:val="TableParagraph"/>
              <w:ind w:left="0"/>
              <w:rPr>
                <w:rFonts w:ascii="Times New Roman"/>
                <w:sz w:val="20"/>
              </w:rPr>
            </w:pPr>
          </w:p>
        </w:tc>
        <w:tc>
          <w:tcPr>
            <w:tcW w:w="3898" w:type="dxa"/>
          </w:tcPr>
          <w:p>
            <w:pPr>
              <w:pStyle w:val="TableParagraph"/>
              <w:spacing w:line="273" w:lineRule="exact"/>
              <w:ind w:left="281"/>
              <w:rPr>
                <w:sz w:val="21"/>
              </w:rPr>
            </w:pPr>
            <w:r>
              <w:rPr>
                <w:rFonts w:ascii="Times New Roman" w:eastAsia="Times New Roman"/>
                <w:sz w:val="21"/>
              </w:rPr>
              <w:t>7.10  </w:t>
            </w:r>
            <w:r>
              <w:rPr>
                <w:sz w:val="21"/>
              </w:rPr>
              <w:t>军事冲突</w:t>
            </w:r>
          </w:p>
        </w:tc>
      </w:tr>
      <w:tr>
        <w:trPr>
          <w:trHeight w:val="311" w:hRule="atLeast"/>
        </w:trPr>
        <w:tc>
          <w:tcPr>
            <w:tcW w:w="3319" w:type="dxa"/>
          </w:tcPr>
          <w:p>
            <w:pPr>
              <w:pStyle w:val="TableParagraph"/>
              <w:ind w:left="0"/>
              <w:rPr>
                <w:rFonts w:ascii="Times New Roman"/>
                <w:sz w:val="20"/>
              </w:rPr>
            </w:pPr>
          </w:p>
        </w:tc>
        <w:tc>
          <w:tcPr>
            <w:tcW w:w="3398" w:type="dxa"/>
          </w:tcPr>
          <w:p>
            <w:pPr>
              <w:pStyle w:val="TableParagraph"/>
              <w:spacing w:line="273" w:lineRule="exact"/>
              <w:ind w:left="122"/>
              <w:rPr>
                <w:b/>
                <w:sz w:val="21"/>
              </w:rPr>
            </w:pPr>
            <w:r>
              <w:rPr>
                <w:rFonts w:ascii="Times New Roman" w:eastAsia="Times New Roman"/>
                <w:b/>
                <w:sz w:val="21"/>
              </w:rPr>
              <w:t>6.  </w:t>
            </w:r>
            <w:r>
              <w:rPr>
                <w:b/>
                <w:sz w:val="21"/>
              </w:rPr>
              <w:t>您需要关注的其他事项</w:t>
            </w:r>
          </w:p>
        </w:tc>
        <w:tc>
          <w:tcPr>
            <w:tcW w:w="3898" w:type="dxa"/>
          </w:tcPr>
          <w:p>
            <w:pPr>
              <w:pStyle w:val="TableParagraph"/>
              <w:spacing w:line="273" w:lineRule="exact"/>
              <w:ind w:left="281"/>
              <w:rPr>
                <w:sz w:val="21"/>
              </w:rPr>
            </w:pPr>
            <w:r>
              <w:rPr>
                <w:rFonts w:ascii="Times New Roman" w:eastAsia="Times New Roman"/>
                <w:sz w:val="21"/>
              </w:rPr>
              <w:t>7.11  </w:t>
            </w:r>
            <w:r>
              <w:rPr>
                <w:sz w:val="21"/>
              </w:rPr>
              <w:t>暴乱</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3.  </w:t>
            </w:r>
            <w:r>
              <w:rPr>
                <w:b/>
                <w:sz w:val="21"/>
              </w:rPr>
              <w:t>您的义务</w:t>
            </w:r>
          </w:p>
        </w:tc>
        <w:tc>
          <w:tcPr>
            <w:tcW w:w="3398" w:type="dxa"/>
          </w:tcPr>
          <w:p>
            <w:pPr>
              <w:pStyle w:val="TableParagraph"/>
              <w:spacing w:line="273" w:lineRule="exact"/>
              <w:ind w:left="0" w:right="278"/>
              <w:jc w:val="right"/>
              <w:rPr>
                <w:sz w:val="21"/>
              </w:rPr>
            </w:pPr>
            <w:r>
              <w:rPr>
                <w:rFonts w:ascii="Times New Roman" w:eastAsia="Times New Roman"/>
                <w:sz w:val="21"/>
              </w:rPr>
              <w:t>6.1  </w:t>
            </w:r>
            <w:r>
              <w:rPr>
                <w:sz w:val="21"/>
              </w:rPr>
              <w:t>本公司合同解除权的限制</w:t>
            </w:r>
          </w:p>
        </w:tc>
        <w:tc>
          <w:tcPr>
            <w:tcW w:w="3898" w:type="dxa"/>
          </w:tcPr>
          <w:p>
            <w:pPr>
              <w:pStyle w:val="TableParagraph"/>
              <w:spacing w:line="273" w:lineRule="exact"/>
              <w:ind w:left="281"/>
              <w:rPr>
                <w:sz w:val="21"/>
              </w:rPr>
            </w:pPr>
            <w:r>
              <w:rPr>
                <w:rFonts w:ascii="Times New Roman" w:eastAsia="Times New Roman"/>
                <w:sz w:val="21"/>
              </w:rPr>
              <w:t>7.12  </w:t>
            </w:r>
            <w:r>
              <w:rPr>
                <w:sz w:val="21"/>
              </w:rPr>
              <w:t>现金价值</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3.1  </w:t>
            </w:r>
            <w:r>
              <w:rPr>
                <w:sz w:val="21"/>
              </w:rPr>
              <w:t>明确说明与如实告知</w:t>
            </w:r>
          </w:p>
        </w:tc>
        <w:tc>
          <w:tcPr>
            <w:tcW w:w="3398" w:type="dxa"/>
          </w:tcPr>
          <w:p>
            <w:pPr>
              <w:pStyle w:val="TableParagraph"/>
              <w:spacing w:line="273" w:lineRule="exact"/>
              <w:ind w:left="438"/>
              <w:rPr>
                <w:sz w:val="21"/>
              </w:rPr>
            </w:pPr>
            <w:r>
              <w:rPr>
                <w:rFonts w:ascii="Times New Roman" w:eastAsia="Times New Roman"/>
                <w:sz w:val="21"/>
              </w:rPr>
              <w:t>6.2  </w:t>
            </w:r>
            <w:r>
              <w:rPr>
                <w:sz w:val="21"/>
              </w:rPr>
              <w:t>投保范围</w:t>
            </w:r>
          </w:p>
        </w:tc>
        <w:tc>
          <w:tcPr>
            <w:tcW w:w="3898" w:type="dxa"/>
          </w:tcPr>
          <w:p>
            <w:pPr>
              <w:pStyle w:val="TableParagraph"/>
              <w:spacing w:line="273" w:lineRule="exact"/>
              <w:ind w:left="281"/>
              <w:rPr>
                <w:sz w:val="21"/>
              </w:rPr>
            </w:pPr>
            <w:r>
              <w:rPr>
                <w:rFonts w:ascii="Times New Roman" w:eastAsia="Times New Roman"/>
                <w:sz w:val="21"/>
              </w:rPr>
              <w:t>7.13  </w:t>
            </w:r>
            <w:r>
              <w:rPr>
                <w:sz w:val="21"/>
              </w:rPr>
              <w:t>感染艾滋病病毒或患艾滋病</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3.2  </w:t>
            </w:r>
            <w:r>
              <w:rPr>
                <w:sz w:val="21"/>
              </w:rPr>
              <w:t>保险费的交纳</w:t>
            </w:r>
          </w:p>
        </w:tc>
        <w:tc>
          <w:tcPr>
            <w:tcW w:w="3398" w:type="dxa"/>
          </w:tcPr>
          <w:p>
            <w:pPr>
              <w:pStyle w:val="TableParagraph"/>
              <w:spacing w:line="273" w:lineRule="exact"/>
              <w:ind w:left="438"/>
              <w:rPr>
                <w:sz w:val="21"/>
              </w:rPr>
            </w:pPr>
            <w:r>
              <w:rPr>
                <w:rFonts w:ascii="Times New Roman" w:eastAsia="Times New Roman"/>
                <w:sz w:val="21"/>
              </w:rPr>
              <w:t>6.3  </w:t>
            </w:r>
            <w:r>
              <w:rPr>
                <w:sz w:val="21"/>
              </w:rPr>
              <w:t>年龄错误</w:t>
            </w:r>
          </w:p>
        </w:tc>
        <w:tc>
          <w:tcPr>
            <w:tcW w:w="3898" w:type="dxa"/>
          </w:tcPr>
          <w:p>
            <w:pPr>
              <w:pStyle w:val="TableParagraph"/>
              <w:spacing w:line="273" w:lineRule="exact"/>
              <w:ind w:left="281"/>
              <w:rPr>
                <w:sz w:val="21"/>
              </w:rPr>
            </w:pPr>
            <w:r>
              <w:rPr>
                <w:rFonts w:ascii="Times New Roman" w:eastAsia="Times New Roman"/>
                <w:sz w:val="21"/>
              </w:rPr>
              <w:t>7.14  </w:t>
            </w:r>
            <w:r>
              <w:rPr>
                <w:sz w:val="21"/>
              </w:rPr>
              <w:t>遗传性疾病</w:t>
            </w:r>
          </w:p>
        </w:tc>
      </w:tr>
      <w:tr>
        <w:trPr>
          <w:trHeight w:val="311" w:hRule="atLeast"/>
        </w:trPr>
        <w:tc>
          <w:tcPr>
            <w:tcW w:w="3319" w:type="dxa"/>
          </w:tcPr>
          <w:p>
            <w:pPr>
              <w:pStyle w:val="TableParagraph"/>
              <w:ind w:left="0"/>
              <w:rPr>
                <w:rFonts w:ascii="Times New Roman"/>
                <w:sz w:val="20"/>
              </w:rPr>
            </w:pPr>
          </w:p>
        </w:tc>
        <w:tc>
          <w:tcPr>
            <w:tcW w:w="3398" w:type="dxa"/>
          </w:tcPr>
          <w:p>
            <w:pPr>
              <w:pStyle w:val="TableParagraph"/>
              <w:spacing w:line="273" w:lineRule="exact"/>
              <w:ind w:left="438"/>
              <w:rPr>
                <w:sz w:val="21"/>
              </w:rPr>
            </w:pPr>
            <w:r>
              <w:rPr>
                <w:rFonts w:ascii="Times New Roman" w:eastAsia="Times New Roman"/>
                <w:sz w:val="21"/>
              </w:rPr>
              <w:t>6.4  </w:t>
            </w:r>
            <w:r>
              <w:rPr>
                <w:sz w:val="21"/>
              </w:rPr>
              <w:t>未还款项</w:t>
            </w:r>
          </w:p>
        </w:tc>
        <w:tc>
          <w:tcPr>
            <w:tcW w:w="3898" w:type="dxa"/>
          </w:tcPr>
          <w:p>
            <w:pPr>
              <w:pStyle w:val="TableParagraph"/>
              <w:spacing w:line="273" w:lineRule="exact"/>
              <w:ind w:left="281"/>
              <w:rPr>
                <w:sz w:val="21"/>
              </w:rPr>
            </w:pPr>
            <w:r>
              <w:rPr>
                <w:rFonts w:ascii="Times New Roman" w:eastAsia="Times New Roman"/>
                <w:sz w:val="21"/>
              </w:rPr>
              <w:t>7.15  </w:t>
            </w:r>
            <w:r>
              <w:rPr>
                <w:sz w:val="21"/>
              </w:rPr>
              <w:t>先天性畸形、变形或染色体异常</w:t>
            </w:r>
          </w:p>
        </w:tc>
      </w:tr>
      <w:tr>
        <w:trPr>
          <w:trHeight w:val="311" w:hRule="atLeast"/>
        </w:trPr>
        <w:tc>
          <w:tcPr>
            <w:tcW w:w="3319" w:type="dxa"/>
          </w:tcPr>
          <w:p>
            <w:pPr>
              <w:pStyle w:val="TableParagraph"/>
              <w:spacing w:line="273" w:lineRule="exact"/>
              <w:ind w:left="200"/>
              <w:rPr>
                <w:b/>
                <w:sz w:val="21"/>
              </w:rPr>
            </w:pPr>
            <w:r>
              <w:rPr>
                <w:rFonts w:ascii="Times New Roman" w:eastAsia="Times New Roman"/>
                <w:b/>
                <w:sz w:val="21"/>
              </w:rPr>
              <w:t>4.  </w:t>
            </w:r>
            <w:r>
              <w:rPr>
                <w:b/>
                <w:sz w:val="21"/>
              </w:rPr>
              <w:t>您对本合同拥有的权利</w:t>
            </w:r>
          </w:p>
        </w:tc>
        <w:tc>
          <w:tcPr>
            <w:tcW w:w="3398" w:type="dxa"/>
          </w:tcPr>
          <w:p>
            <w:pPr>
              <w:pStyle w:val="TableParagraph"/>
              <w:spacing w:line="273" w:lineRule="exact"/>
              <w:ind w:left="438"/>
              <w:rPr>
                <w:sz w:val="21"/>
              </w:rPr>
            </w:pPr>
            <w:r>
              <w:rPr>
                <w:rFonts w:ascii="Times New Roman" w:eastAsia="Times New Roman"/>
                <w:sz w:val="21"/>
              </w:rPr>
              <w:t>6.5  </w:t>
            </w:r>
            <w:r>
              <w:rPr>
                <w:sz w:val="21"/>
              </w:rPr>
              <w:t>地址变更</w:t>
            </w:r>
          </w:p>
        </w:tc>
        <w:tc>
          <w:tcPr>
            <w:tcW w:w="3898" w:type="dxa"/>
          </w:tcPr>
          <w:p>
            <w:pPr>
              <w:pStyle w:val="TableParagraph"/>
              <w:spacing w:line="273" w:lineRule="exact"/>
              <w:ind w:left="281"/>
              <w:rPr>
                <w:sz w:val="21"/>
              </w:rPr>
            </w:pPr>
            <w:r>
              <w:rPr>
                <w:rFonts w:ascii="Times New Roman" w:eastAsia="Times New Roman"/>
                <w:sz w:val="21"/>
              </w:rPr>
              <w:t>7.16  </w:t>
            </w:r>
            <w:r>
              <w:rPr>
                <w:sz w:val="21"/>
              </w:rPr>
              <w:t>利息</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4.1  </w:t>
            </w:r>
            <w:r>
              <w:rPr>
                <w:sz w:val="21"/>
              </w:rPr>
              <w:t>犹豫期</w:t>
            </w:r>
          </w:p>
        </w:tc>
        <w:tc>
          <w:tcPr>
            <w:tcW w:w="3398" w:type="dxa"/>
          </w:tcPr>
          <w:p>
            <w:pPr>
              <w:pStyle w:val="TableParagraph"/>
              <w:spacing w:line="273" w:lineRule="exact"/>
              <w:ind w:left="438"/>
              <w:rPr>
                <w:sz w:val="21"/>
              </w:rPr>
            </w:pPr>
            <w:r>
              <w:rPr>
                <w:rFonts w:ascii="Times New Roman" w:eastAsia="Times New Roman"/>
                <w:sz w:val="21"/>
              </w:rPr>
              <w:t>6.6  </w:t>
            </w:r>
            <w:r>
              <w:rPr>
                <w:sz w:val="21"/>
              </w:rPr>
              <w:t>失踪处理</w:t>
            </w:r>
          </w:p>
        </w:tc>
        <w:tc>
          <w:tcPr>
            <w:tcW w:w="3898" w:type="dxa"/>
          </w:tcPr>
          <w:p>
            <w:pPr>
              <w:pStyle w:val="TableParagraph"/>
              <w:spacing w:line="273" w:lineRule="exact"/>
              <w:ind w:left="281"/>
              <w:rPr>
                <w:sz w:val="21"/>
              </w:rPr>
            </w:pPr>
            <w:r>
              <w:rPr>
                <w:rFonts w:ascii="Times New Roman" w:eastAsia="Times New Roman"/>
                <w:sz w:val="21"/>
              </w:rPr>
              <w:t>7.17  </w:t>
            </w:r>
            <w:r>
              <w:rPr>
                <w:sz w:val="21"/>
              </w:rPr>
              <w:t>我们认可的医院</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4.2  </w:t>
            </w:r>
            <w:r>
              <w:rPr>
                <w:sz w:val="21"/>
              </w:rPr>
              <w:t>合同内容变更</w:t>
            </w:r>
          </w:p>
        </w:tc>
        <w:tc>
          <w:tcPr>
            <w:tcW w:w="3398" w:type="dxa"/>
          </w:tcPr>
          <w:p>
            <w:pPr>
              <w:pStyle w:val="TableParagraph"/>
              <w:spacing w:line="273" w:lineRule="exact"/>
              <w:ind w:left="438"/>
              <w:rPr>
                <w:sz w:val="21"/>
              </w:rPr>
            </w:pPr>
            <w:r>
              <w:rPr>
                <w:rFonts w:ascii="Times New Roman" w:eastAsia="Times New Roman"/>
                <w:sz w:val="21"/>
              </w:rPr>
              <w:t>6.7  </w:t>
            </w:r>
            <w:r>
              <w:rPr>
                <w:sz w:val="21"/>
              </w:rPr>
              <w:t>争议处理</w:t>
            </w:r>
          </w:p>
        </w:tc>
        <w:tc>
          <w:tcPr>
            <w:tcW w:w="3898" w:type="dxa"/>
          </w:tcPr>
          <w:p>
            <w:pPr>
              <w:pStyle w:val="TableParagraph"/>
              <w:spacing w:line="273" w:lineRule="exact"/>
              <w:ind w:left="281"/>
              <w:rPr>
                <w:sz w:val="21"/>
              </w:rPr>
            </w:pPr>
            <w:r>
              <w:rPr>
                <w:rFonts w:ascii="Times New Roman" w:eastAsia="Times New Roman"/>
                <w:sz w:val="21"/>
              </w:rPr>
              <w:t>7.18  </w:t>
            </w:r>
            <w:r>
              <w:rPr>
                <w:sz w:val="21"/>
              </w:rPr>
              <w:t>重大疾病</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4.3  </w:t>
            </w:r>
            <w:r>
              <w:rPr>
                <w:sz w:val="21"/>
              </w:rPr>
              <w:t>宽限期</w:t>
            </w:r>
          </w:p>
        </w:tc>
        <w:tc>
          <w:tcPr>
            <w:tcW w:w="3398" w:type="dxa"/>
          </w:tcPr>
          <w:p>
            <w:pPr>
              <w:pStyle w:val="TableParagraph"/>
              <w:ind w:left="0"/>
              <w:rPr>
                <w:rFonts w:ascii="Times New Roman"/>
                <w:sz w:val="20"/>
              </w:rPr>
            </w:pPr>
          </w:p>
        </w:tc>
        <w:tc>
          <w:tcPr>
            <w:tcW w:w="3898" w:type="dxa"/>
          </w:tcPr>
          <w:p>
            <w:pPr>
              <w:pStyle w:val="TableParagraph"/>
              <w:spacing w:line="273" w:lineRule="exact"/>
              <w:ind w:left="281"/>
              <w:rPr>
                <w:sz w:val="21"/>
              </w:rPr>
            </w:pPr>
            <w:r>
              <w:rPr>
                <w:rFonts w:ascii="Times New Roman" w:eastAsia="Times New Roman"/>
                <w:sz w:val="21"/>
              </w:rPr>
              <w:t>7.19  </w:t>
            </w:r>
            <w:r>
              <w:rPr>
                <w:sz w:val="21"/>
              </w:rPr>
              <w:t>轻症疾病</w:t>
            </w:r>
          </w:p>
        </w:tc>
      </w:tr>
      <w:tr>
        <w:trPr>
          <w:trHeight w:val="272" w:hRule="atLeast"/>
        </w:trPr>
        <w:tc>
          <w:tcPr>
            <w:tcW w:w="3319" w:type="dxa"/>
          </w:tcPr>
          <w:p>
            <w:pPr>
              <w:pStyle w:val="TableParagraph"/>
              <w:spacing w:line="253" w:lineRule="exact"/>
              <w:ind w:left="516"/>
              <w:rPr>
                <w:sz w:val="21"/>
              </w:rPr>
            </w:pPr>
            <w:r>
              <w:rPr>
                <w:rFonts w:ascii="Times New Roman" w:eastAsia="Times New Roman"/>
                <w:sz w:val="21"/>
              </w:rPr>
              <w:t>4.4  </w:t>
            </w:r>
            <w:r>
              <w:rPr>
                <w:sz w:val="21"/>
              </w:rPr>
              <w:t>保险费的自动垫交</w:t>
            </w:r>
          </w:p>
        </w:tc>
        <w:tc>
          <w:tcPr>
            <w:tcW w:w="3398" w:type="dxa"/>
          </w:tcPr>
          <w:p>
            <w:pPr>
              <w:pStyle w:val="TableParagraph"/>
              <w:spacing w:line="253" w:lineRule="exact"/>
              <w:ind w:left="122"/>
              <w:rPr>
                <w:b/>
                <w:sz w:val="21"/>
              </w:rPr>
            </w:pPr>
            <w:r>
              <w:rPr>
                <w:rFonts w:ascii="Times New Roman" w:eastAsia="Times New Roman"/>
                <w:b/>
                <w:sz w:val="21"/>
              </w:rPr>
              <w:t>7.  </w:t>
            </w:r>
            <w:r>
              <w:rPr>
                <w:b/>
                <w:sz w:val="21"/>
              </w:rPr>
              <w:t>您需要了解的重要术语</w:t>
            </w:r>
          </w:p>
        </w:tc>
        <w:tc>
          <w:tcPr>
            <w:tcW w:w="3898" w:type="dxa"/>
          </w:tcPr>
          <w:p>
            <w:pPr>
              <w:pStyle w:val="TableParagraph"/>
              <w:ind w:left="0"/>
              <w:rPr>
                <w:rFonts w:ascii="Times New Roman"/>
                <w:sz w:val="20"/>
              </w:rPr>
            </w:pPr>
          </w:p>
        </w:tc>
      </w:tr>
    </w:tbl>
    <w:p>
      <w:pPr>
        <w:pStyle w:val="BodyText"/>
        <w:rPr>
          <w:sz w:val="20"/>
        </w:rPr>
      </w:pPr>
    </w:p>
    <w:p>
      <w:pPr>
        <w:pStyle w:val="BodyText"/>
        <w:spacing w:before="8"/>
        <w:rPr>
          <w:sz w:val="26"/>
        </w:rPr>
      </w:pPr>
    </w:p>
    <w:p>
      <w:pPr>
        <w:spacing w:before="7"/>
        <w:ind w:left="2140" w:right="2139" w:firstLine="0"/>
        <w:jc w:val="center"/>
        <w:rPr>
          <w:b/>
          <w:sz w:val="30"/>
        </w:rPr>
      </w:pPr>
      <w:r>
        <w:rPr>
          <w:b/>
          <w:w w:val="95"/>
          <w:sz w:val="30"/>
        </w:rPr>
        <w:t>条款特别提示</w:t>
      </w:r>
    </w:p>
    <w:p>
      <w:pPr>
        <w:pStyle w:val="BodyText"/>
        <w:spacing w:before="72"/>
        <w:ind w:left="2140" w:right="2139"/>
        <w:jc w:val="center"/>
      </w:pPr>
      <w:r>
        <w:rPr>
          <w:u w:val="single"/>
        </w:rPr>
        <w:t>本条款特别提示有助于您理解条款，对本合同内容的解释以条款为准。</w:t>
      </w:r>
    </w:p>
    <w:p>
      <w:pPr>
        <w:pStyle w:val="BodyText"/>
        <w:rPr>
          <w:sz w:val="20"/>
        </w:rPr>
      </w:pPr>
    </w:p>
    <w:p>
      <w:pPr>
        <w:pStyle w:val="BodyText"/>
        <w:spacing w:before="3" w:after="1"/>
        <w:rPr>
          <w:sz w:val="14"/>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9"/>
      </w:tblGrid>
      <w:tr>
        <w:trPr>
          <w:trHeight w:val="257" w:hRule="atLeast"/>
        </w:trPr>
        <w:tc>
          <w:tcPr>
            <w:tcW w:w="9279" w:type="dxa"/>
          </w:tcPr>
          <w:p>
            <w:pPr>
              <w:pStyle w:val="TableParagraph"/>
              <w:spacing w:line="211" w:lineRule="exact"/>
              <w:ind w:left="3331" w:right="3804"/>
              <w:jc w:val="center"/>
              <w:rPr>
                <w:sz w:val="21"/>
              </w:rPr>
            </w:pPr>
            <w:r>
              <w:rPr>
                <w:sz w:val="21"/>
              </w:rPr>
              <w:t>您拥有的重要权利</w:t>
            </w:r>
          </w:p>
        </w:tc>
      </w:tr>
      <w:tr>
        <w:trPr>
          <w:trHeight w:val="319" w:hRule="atLeast"/>
        </w:trPr>
        <w:tc>
          <w:tcPr>
            <w:tcW w:w="9279" w:type="dxa"/>
          </w:tcPr>
          <w:p>
            <w:pPr>
              <w:pStyle w:val="TableParagraph"/>
              <w:numPr>
                <w:ilvl w:val="0"/>
                <w:numId w:val="1"/>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tc>
      </w:tr>
      <w:tr>
        <w:trPr>
          <w:trHeight w:val="311" w:hRule="atLeast"/>
        </w:trPr>
        <w:tc>
          <w:tcPr>
            <w:tcW w:w="9279" w:type="dxa"/>
          </w:tcPr>
          <w:p>
            <w:pPr>
              <w:pStyle w:val="TableParagraph"/>
              <w:numPr>
                <w:ilvl w:val="0"/>
                <w:numId w:val="2"/>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签收</w:t>
            </w:r>
            <w:r>
              <w:rPr>
                <w:spacing w:val="-3"/>
                <w:sz w:val="21"/>
              </w:rPr>
              <w:t>保单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4.1</w:t>
            </w:r>
          </w:p>
        </w:tc>
      </w:tr>
      <w:tr>
        <w:trPr>
          <w:trHeight w:val="311" w:hRule="atLeast"/>
        </w:trPr>
        <w:tc>
          <w:tcPr>
            <w:tcW w:w="9279" w:type="dxa"/>
          </w:tcPr>
          <w:p>
            <w:pPr>
              <w:pStyle w:val="TableParagraph"/>
              <w:numPr>
                <w:ilvl w:val="0"/>
                <w:numId w:val="3"/>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w:t>
            </w:r>
            <w:r>
              <w:rPr>
                <w:spacing w:val="-3"/>
                <w:sz w:val="21"/>
              </w:rPr>
              <w:t>权</w:t>
            </w:r>
            <w:r>
              <w:rPr>
                <w:sz w:val="21"/>
              </w:rPr>
              <w:t>利</w:t>
              <w:tab/>
            </w:r>
            <w:r>
              <w:rPr>
                <w:rFonts w:ascii="Times New Roman" w:eastAsia="Times New Roman"/>
                <w:sz w:val="21"/>
              </w:rPr>
              <w:t>4.4</w:t>
            </w:r>
          </w:p>
        </w:tc>
      </w:tr>
      <w:tr>
        <w:trPr>
          <w:trHeight w:val="472" w:hRule="atLeast"/>
        </w:trPr>
        <w:tc>
          <w:tcPr>
            <w:tcW w:w="9279" w:type="dxa"/>
          </w:tcPr>
          <w:p>
            <w:pPr>
              <w:pStyle w:val="TableParagraph"/>
              <w:numPr>
                <w:ilvl w:val="0"/>
                <w:numId w:val="4"/>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在合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w:t>
            </w:r>
            <w:r>
              <w:rPr>
                <w:spacing w:val="-3"/>
                <w:sz w:val="21"/>
              </w:rPr>
              <w:t>解</w:t>
            </w:r>
            <w:r>
              <w:rPr>
                <w:sz w:val="21"/>
              </w:rPr>
              <w:t>除合同</w:t>
              <w:tab/>
            </w:r>
            <w:r>
              <w:rPr>
                <w:rFonts w:ascii="Times New Roman" w:eastAsia="Times New Roman"/>
                <w:sz w:val="21"/>
              </w:rPr>
              <w:t>4.6</w:t>
            </w:r>
          </w:p>
        </w:tc>
      </w:tr>
      <w:tr>
        <w:trPr>
          <w:trHeight w:val="456" w:hRule="atLeast"/>
        </w:trPr>
        <w:tc>
          <w:tcPr>
            <w:tcW w:w="9279" w:type="dxa"/>
          </w:tcPr>
          <w:p>
            <w:pPr>
              <w:pStyle w:val="TableParagraph"/>
              <w:spacing w:before="135"/>
              <w:ind w:left="3334" w:right="3804"/>
              <w:jc w:val="center"/>
              <w:rPr>
                <w:sz w:val="21"/>
              </w:rPr>
            </w:pPr>
            <w:r>
              <w:rPr>
                <w:sz w:val="21"/>
              </w:rPr>
              <w:t>您应当特别注意的事项</w:t>
            </w:r>
          </w:p>
        </w:tc>
      </w:tr>
      <w:tr>
        <w:trPr>
          <w:trHeight w:val="319" w:hRule="atLeast"/>
        </w:trPr>
        <w:tc>
          <w:tcPr>
            <w:tcW w:w="9279" w:type="dxa"/>
          </w:tcPr>
          <w:p>
            <w:pPr>
              <w:pStyle w:val="TableParagraph"/>
              <w:numPr>
                <w:ilvl w:val="0"/>
                <w:numId w:val="5"/>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2.5</w:t>
            </w:r>
          </w:p>
        </w:tc>
      </w:tr>
      <w:tr>
        <w:trPr>
          <w:trHeight w:val="312" w:hRule="atLeast"/>
        </w:trPr>
        <w:tc>
          <w:tcPr>
            <w:tcW w:w="9279" w:type="dxa"/>
          </w:tcPr>
          <w:p>
            <w:pPr>
              <w:pStyle w:val="TableParagraph"/>
              <w:numPr>
                <w:ilvl w:val="0"/>
                <w:numId w:val="6"/>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3.1</w:t>
            </w:r>
          </w:p>
        </w:tc>
      </w:tr>
      <w:tr>
        <w:trPr>
          <w:trHeight w:val="311" w:hRule="atLeast"/>
        </w:trPr>
        <w:tc>
          <w:tcPr>
            <w:tcW w:w="9279" w:type="dxa"/>
          </w:tcPr>
          <w:p>
            <w:pPr>
              <w:pStyle w:val="TableParagraph"/>
              <w:numPr>
                <w:ilvl w:val="0"/>
                <w:numId w:val="7"/>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3.2</w:t>
            </w:r>
          </w:p>
        </w:tc>
      </w:tr>
      <w:tr>
        <w:trPr>
          <w:trHeight w:val="311" w:hRule="atLeast"/>
        </w:trPr>
        <w:tc>
          <w:tcPr>
            <w:tcW w:w="9279" w:type="dxa"/>
          </w:tcPr>
          <w:p>
            <w:pPr>
              <w:pStyle w:val="TableParagraph"/>
              <w:numPr>
                <w:ilvl w:val="0"/>
                <w:numId w:val="8"/>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4.6</w:t>
            </w:r>
          </w:p>
        </w:tc>
      </w:tr>
      <w:tr>
        <w:trPr>
          <w:trHeight w:val="311" w:hRule="atLeast"/>
        </w:trPr>
        <w:tc>
          <w:tcPr>
            <w:tcW w:w="9279" w:type="dxa"/>
          </w:tcPr>
          <w:p>
            <w:pPr>
              <w:pStyle w:val="TableParagraph"/>
              <w:numPr>
                <w:ilvl w:val="0"/>
                <w:numId w:val="9"/>
              </w:numPr>
              <w:tabs>
                <w:tab w:pos="619" w:val="left" w:leader="none"/>
                <w:tab w:pos="620" w:val="left" w:leader="none"/>
                <w:tab w:pos="9078" w:val="right" w:leader="dot"/>
              </w:tabs>
              <w:spacing w:line="273" w:lineRule="exact" w:before="0" w:after="0"/>
              <w:ind w:left="619" w:right="0" w:hanging="419"/>
              <w:jc w:val="left"/>
              <w:rPr>
                <w:rFonts w:ascii="Times New Roman" w:eastAsia="Times New Roman"/>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Times New Roman" w:eastAsia="Times New Roman"/>
                <w:sz w:val="21"/>
              </w:rPr>
              <w:t>5.2</w:t>
            </w:r>
          </w:p>
        </w:tc>
      </w:tr>
      <w:tr>
        <w:trPr>
          <w:trHeight w:val="273" w:hRule="atLeast"/>
        </w:trPr>
        <w:tc>
          <w:tcPr>
            <w:tcW w:w="9279" w:type="dxa"/>
          </w:tcPr>
          <w:p>
            <w:pPr>
              <w:pStyle w:val="TableParagraph"/>
              <w:numPr>
                <w:ilvl w:val="0"/>
                <w:numId w:val="10"/>
              </w:numPr>
              <w:tabs>
                <w:tab w:pos="619" w:val="left" w:leader="none"/>
                <w:tab w:pos="620" w:val="left" w:leader="none"/>
                <w:tab w:pos="8922" w:val="right" w:leader="dot"/>
              </w:tabs>
              <w:spacing w:line="254"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tc>
      </w:tr>
    </w:tbl>
    <w:p>
      <w:pPr>
        <w:spacing w:after="0" w:line="254" w:lineRule="exact"/>
        <w:jc w:val="left"/>
        <w:rPr>
          <w:rFonts w:ascii="Times New Roman" w:eastAsia="Times New Roman"/>
          <w:sz w:val="21"/>
        </w:rPr>
        <w:sectPr>
          <w:type w:val="continuous"/>
          <w:pgSz w:w="11910" w:h="16840"/>
          <w:pgMar w:top="1380" w:bottom="280" w:left="540" w:right="540"/>
        </w:sectPr>
      </w:pPr>
    </w:p>
    <w:p>
      <w:pPr>
        <w:spacing w:line="381" w:lineRule="exact" w:before="0"/>
        <w:ind w:left="2382" w:right="0" w:firstLine="0"/>
        <w:jc w:val="left"/>
        <w:rPr>
          <w:b/>
          <w:sz w:val="30"/>
        </w:rPr>
      </w:pPr>
      <w:r>
        <w:rPr>
          <w:b/>
          <w:w w:val="95"/>
          <w:sz w:val="30"/>
        </w:rPr>
        <w:t>人保寿险百病安心重大疾病保险条款</w:t>
      </w:r>
    </w:p>
    <w:p>
      <w:pPr>
        <w:pStyle w:val="BodyText"/>
        <w:rPr>
          <w:b/>
          <w:sz w:val="29"/>
        </w:rPr>
      </w:pPr>
    </w:p>
    <w:p>
      <w:pPr>
        <w:pStyle w:val="BodyText"/>
        <w:spacing w:after="30"/>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379" w:hRule="atLeast"/>
        </w:trPr>
        <w:tc>
          <w:tcPr>
            <w:tcW w:w="602" w:type="dxa"/>
          </w:tcPr>
          <w:p>
            <w:pPr>
              <w:pStyle w:val="TableParagraph"/>
              <w:spacing w:before="156"/>
              <w:ind w:left="108"/>
              <w:rPr>
                <w:rFonts w:ascii="Times New Roman"/>
                <w:b/>
                <w:sz w:val="21"/>
              </w:rPr>
            </w:pPr>
            <w:r>
              <w:rPr>
                <w:rFonts w:ascii="Times New Roman"/>
                <w:b/>
                <w:sz w:val="21"/>
              </w:rPr>
              <w:t>1.1</w:t>
            </w:r>
          </w:p>
        </w:tc>
        <w:tc>
          <w:tcPr>
            <w:tcW w:w="1275" w:type="dxa"/>
          </w:tcPr>
          <w:p>
            <w:pPr>
              <w:pStyle w:val="TableParagraph"/>
              <w:spacing w:before="107"/>
              <w:ind w:left="0" w:right="199"/>
              <w:jc w:val="right"/>
              <w:rPr>
                <w:b/>
                <w:sz w:val="21"/>
              </w:rPr>
            </w:pPr>
            <w:r>
              <w:rPr>
                <w:b/>
                <w:sz w:val="21"/>
              </w:rPr>
              <w:t>合同构成</w:t>
            </w:r>
          </w:p>
        </w:tc>
        <w:tc>
          <w:tcPr>
            <w:tcW w:w="7698" w:type="dxa"/>
          </w:tcPr>
          <w:p>
            <w:pPr>
              <w:pStyle w:val="TableParagraph"/>
              <w:spacing w:line="261" w:lineRule="auto" w:before="107"/>
              <w:ind w:left="199"/>
              <w:rPr>
                <w:sz w:val="21"/>
              </w:rPr>
            </w:pPr>
            <w:r>
              <w:rPr>
                <w:spacing w:val="-6"/>
                <w:sz w:val="21"/>
              </w:rPr>
              <w:t>人保寿险百病安心重大疾病保险合同</w:t>
            </w:r>
            <w:r>
              <w:rPr>
                <w:spacing w:val="-3"/>
                <w:sz w:val="21"/>
              </w:rPr>
              <w:t>（</w:t>
            </w:r>
            <w:r>
              <w:rPr>
                <w:spacing w:val="-16"/>
                <w:sz w:val="21"/>
              </w:rPr>
              <w:t>以下简称“本合同”</w:t>
            </w:r>
            <w:r>
              <w:rPr>
                <w:spacing w:val="-76"/>
                <w:sz w:val="21"/>
              </w:rPr>
              <w:t>）</w:t>
            </w:r>
            <w:r>
              <w:rPr>
                <w:spacing w:val="-8"/>
                <w:sz w:val="21"/>
              </w:rPr>
              <w:t>由保险条款、保险单、</w:t>
            </w:r>
            <w:r>
              <w:rPr>
                <w:spacing w:val="-5"/>
                <w:sz w:val="21"/>
              </w:rPr>
              <w:t>所附的投保单及相关文件、有关的声明、批注单及其他约定书构成。</w:t>
            </w:r>
          </w:p>
          <w:p>
            <w:pPr>
              <w:pStyle w:val="TableParagraph"/>
              <w:spacing w:line="261" w:lineRule="auto" w:before="5"/>
              <w:ind w:left="199" w:right="109"/>
              <w:rPr>
                <w:sz w:val="21"/>
              </w:rPr>
            </w:pPr>
            <w:r>
              <w:rPr>
                <w:sz w:val="21"/>
              </w:rPr>
              <w:t>若上述构成本合同的文件正本需留本公司存档，则其复印件或电子影印件的效力与正本相同。若复印件或电子影印件的内容与正本不同，则以正本为准。</w:t>
            </w:r>
          </w:p>
        </w:tc>
      </w:tr>
      <w:tr>
        <w:trPr>
          <w:trHeight w:val="1358" w:hRule="atLeast"/>
        </w:trPr>
        <w:tc>
          <w:tcPr>
            <w:tcW w:w="602" w:type="dxa"/>
          </w:tcPr>
          <w:p>
            <w:pPr>
              <w:pStyle w:val="TableParagraph"/>
              <w:spacing w:before="89"/>
              <w:ind w:left="108"/>
              <w:rPr>
                <w:rFonts w:ascii="Times New Roman"/>
                <w:b/>
                <w:sz w:val="21"/>
              </w:rPr>
            </w:pPr>
            <w:r>
              <w:rPr>
                <w:rFonts w:ascii="Times New Roman"/>
                <w:b/>
                <w:sz w:val="21"/>
              </w:rPr>
              <w:t>1.2</w:t>
            </w:r>
          </w:p>
        </w:tc>
        <w:tc>
          <w:tcPr>
            <w:tcW w:w="1275" w:type="dxa"/>
          </w:tcPr>
          <w:p>
            <w:pPr>
              <w:pStyle w:val="TableParagraph"/>
              <w:spacing w:line="261" w:lineRule="auto" w:before="40"/>
              <w:ind w:left="228" w:right="199"/>
              <w:rPr>
                <w:b/>
                <w:sz w:val="21"/>
              </w:rPr>
            </w:pPr>
            <w:r>
              <w:rPr>
                <w:b/>
                <w:sz w:val="21"/>
              </w:rPr>
              <w:t>合同成立与生效</w:t>
            </w:r>
          </w:p>
        </w:tc>
        <w:tc>
          <w:tcPr>
            <w:tcW w:w="7698" w:type="dxa"/>
          </w:tcPr>
          <w:p>
            <w:pPr>
              <w:pStyle w:val="TableParagraph"/>
              <w:spacing w:before="40"/>
              <w:ind w:left="199"/>
              <w:rPr>
                <w:sz w:val="21"/>
              </w:rPr>
            </w:pPr>
            <w:r>
              <w:rPr>
                <w:sz w:val="21"/>
              </w:rPr>
              <w:t>您提出保险申请，我们同意承保，本合同成立。</w:t>
            </w:r>
          </w:p>
          <w:p>
            <w:pPr>
              <w:pStyle w:val="TableParagraph"/>
              <w:spacing w:line="261" w:lineRule="auto" w:before="25"/>
              <w:ind w:left="199" w:right="129"/>
              <w:rPr>
                <w:b/>
                <w:sz w:val="21"/>
              </w:rPr>
            </w:pPr>
            <w:r>
              <w:rPr>
                <w:spacing w:val="-3"/>
                <w:sz w:val="21"/>
              </w:rPr>
              <w:t>本合同成立、我们收取首期保险费并签发保险单为本合同的生效条件，合同生效</w:t>
            </w:r>
            <w:r>
              <w:rPr>
                <w:spacing w:val="-3"/>
                <w:w w:val="100"/>
                <w:sz w:val="21"/>
              </w:rPr>
              <w:t>日期在保险单上载明。</w:t>
            </w:r>
            <w:r>
              <w:rPr>
                <w:b/>
                <w:w w:val="100"/>
                <w:sz w:val="21"/>
              </w:rPr>
              <w:t>保单生效对应日</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w:t>
            </w:r>
            <w:r>
              <w:rPr>
                <w:spacing w:val="-106"/>
                <w:w w:val="100"/>
                <w:sz w:val="21"/>
              </w:rPr>
              <w:t>）</w:t>
            </w:r>
            <w:r>
              <w:rPr>
                <w:spacing w:val="-3"/>
                <w:w w:val="100"/>
                <w:sz w:val="21"/>
              </w:rPr>
              <w:t>、保单年度、</w:t>
            </w:r>
            <w:r>
              <w:rPr>
                <w:b/>
                <w:spacing w:val="-1"/>
                <w:w w:val="100"/>
                <w:sz w:val="21"/>
              </w:rPr>
              <w:t>保险费约定交纳日</w:t>
            </w:r>
          </w:p>
          <w:p>
            <w:pPr>
              <w:pStyle w:val="TableParagraph"/>
              <w:spacing w:line="279" w:lineRule="exact"/>
              <w:ind w:left="199"/>
              <w:rPr>
                <w:sz w:val="21"/>
              </w:rPr>
            </w:pPr>
            <w:r>
              <w:rPr>
                <w:sz w:val="21"/>
              </w:rPr>
              <w:t>（见 </w:t>
            </w:r>
            <w:r>
              <w:rPr>
                <w:rFonts w:ascii="Times New Roman" w:eastAsia="Times New Roman"/>
                <w:sz w:val="21"/>
              </w:rPr>
              <w:t>7.2</w:t>
            </w:r>
            <w:r>
              <w:rPr>
                <w:sz w:val="21"/>
              </w:rPr>
              <w:t>）均以该日期计算。</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2" w:type="dxa"/>
          </w:tcPr>
          <w:p>
            <w:pPr>
              <w:pStyle w:val="TableParagraph"/>
              <w:spacing w:before="156"/>
              <w:ind w:left="108"/>
              <w:rPr>
                <w:rFonts w:ascii="Times New Roman"/>
                <w:b/>
                <w:sz w:val="21"/>
              </w:rPr>
            </w:pPr>
            <w:r>
              <w:rPr>
                <w:rFonts w:ascii="Times New Roman"/>
                <w:b/>
                <w:sz w:val="21"/>
              </w:rPr>
              <w:t>2.1</w:t>
            </w:r>
          </w:p>
        </w:tc>
        <w:tc>
          <w:tcPr>
            <w:tcW w:w="1275" w:type="dxa"/>
          </w:tcPr>
          <w:p>
            <w:pPr>
              <w:pStyle w:val="TableParagraph"/>
              <w:spacing w:line="261" w:lineRule="auto" w:before="107"/>
              <w:ind w:left="228" w:right="199"/>
              <w:rPr>
                <w:b/>
                <w:sz w:val="21"/>
              </w:rPr>
            </w:pPr>
            <w:r>
              <w:rPr>
                <w:b/>
                <w:sz w:val="21"/>
              </w:rPr>
              <w:t>基本保险金额</w:t>
            </w:r>
          </w:p>
        </w:tc>
        <w:tc>
          <w:tcPr>
            <w:tcW w:w="7698" w:type="dxa"/>
          </w:tcPr>
          <w:p>
            <w:pPr>
              <w:pStyle w:val="TableParagraph"/>
              <w:spacing w:line="261" w:lineRule="auto" w:before="107"/>
              <w:ind w:left="199" w:right="138"/>
              <w:rPr>
                <w:sz w:val="21"/>
              </w:rPr>
            </w:pPr>
            <w:r>
              <w:rPr>
                <w:sz w:val="21"/>
              </w:rPr>
              <w:t>本合同的基本保险金额由您在投保时与我们约定并在保险单或批注单上载明。若该金额发生变更，则以变更后的金额为基本保险金额。</w:t>
            </w:r>
          </w:p>
        </w:tc>
      </w:tr>
      <w:tr>
        <w:trPr>
          <w:trHeight w:val="1012" w:hRule="atLeast"/>
        </w:trPr>
        <w:tc>
          <w:tcPr>
            <w:tcW w:w="602" w:type="dxa"/>
          </w:tcPr>
          <w:p>
            <w:pPr>
              <w:pStyle w:val="TableParagraph"/>
              <w:spacing w:before="89"/>
              <w:ind w:left="108"/>
              <w:rPr>
                <w:rFonts w:ascii="Times New Roman"/>
                <w:b/>
                <w:sz w:val="21"/>
              </w:rPr>
            </w:pPr>
            <w:r>
              <w:rPr>
                <w:rFonts w:ascii="Times New Roman"/>
                <w:b/>
                <w:sz w:val="21"/>
              </w:rPr>
              <w:t>2.2</w:t>
            </w:r>
          </w:p>
        </w:tc>
        <w:tc>
          <w:tcPr>
            <w:tcW w:w="1275" w:type="dxa"/>
          </w:tcPr>
          <w:p>
            <w:pPr>
              <w:pStyle w:val="TableParagraph"/>
              <w:spacing w:line="261" w:lineRule="auto" w:before="40"/>
              <w:ind w:left="228" w:right="199"/>
              <w:jc w:val="both"/>
              <w:rPr>
                <w:b/>
                <w:sz w:val="21"/>
              </w:rPr>
            </w:pPr>
            <w:r>
              <w:rPr>
                <w:b/>
                <w:sz w:val="21"/>
              </w:rPr>
              <w:t>未成年人身故保险金限制</w:t>
            </w:r>
          </w:p>
        </w:tc>
        <w:tc>
          <w:tcPr>
            <w:tcW w:w="7698" w:type="dxa"/>
          </w:tcPr>
          <w:p>
            <w:pPr>
              <w:pStyle w:val="TableParagraph"/>
              <w:spacing w:line="261" w:lineRule="auto" w:before="40"/>
              <w:ind w:left="199" w:right="140"/>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1027" w:hRule="atLeast"/>
        </w:trPr>
        <w:tc>
          <w:tcPr>
            <w:tcW w:w="602" w:type="dxa"/>
          </w:tcPr>
          <w:p>
            <w:pPr>
              <w:pStyle w:val="TableParagraph"/>
              <w:spacing w:before="89"/>
              <w:ind w:left="108"/>
              <w:rPr>
                <w:rFonts w:ascii="Times New Roman"/>
                <w:b/>
                <w:sz w:val="21"/>
              </w:rPr>
            </w:pPr>
            <w:r>
              <w:rPr>
                <w:rFonts w:ascii="Times New Roman"/>
                <w:b/>
                <w:sz w:val="21"/>
              </w:rPr>
              <w:t>2.3</w:t>
            </w:r>
          </w:p>
        </w:tc>
        <w:tc>
          <w:tcPr>
            <w:tcW w:w="1275" w:type="dxa"/>
          </w:tcPr>
          <w:p>
            <w:pPr>
              <w:pStyle w:val="TableParagraph"/>
              <w:spacing w:before="40"/>
              <w:ind w:left="0" w:right="199"/>
              <w:jc w:val="right"/>
              <w:rPr>
                <w:b/>
                <w:sz w:val="21"/>
              </w:rPr>
            </w:pPr>
            <w:r>
              <w:rPr>
                <w:b/>
                <w:sz w:val="21"/>
              </w:rPr>
              <w:t>保险期间</w:t>
            </w:r>
          </w:p>
        </w:tc>
        <w:tc>
          <w:tcPr>
            <w:tcW w:w="7698" w:type="dxa"/>
          </w:tcPr>
          <w:p>
            <w:pPr>
              <w:pStyle w:val="TableParagraph"/>
              <w:spacing w:line="261" w:lineRule="auto" w:before="40"/>
              <w:ind w:left="199" w:right="34"/>
              <w:rPr>
                <w:sz w:val="21"/>
              </w:rPr>
            </w:pPr>
            <w:r>
              <w:rPr>
                <w:sz w:val="21"/>
              </w:rPr>
              <w:t>本合同的保险期间为至被保险人年满 </w:t>
            </w:r>
            <w:r>
              <w:rPr>
                <w:rFonts w:ascii="Times New Roman" w:eastAsia="Times New Roman"/>
                <w:sz w:val="21"/>
              </w:rPr>
              <w:t>70 </w:t>
            </w:r>
            <w:r>
              <w:rPr>
                <w:b/>
                <w:sz w:val="21"/>
              </w:rPr>
              <w:t>周岁</w:t>
            </w:r>
            <w:r>
              <w:rPr>
                <w:sz w:val="21"/>
              </w:rPr>
              <w:t>（见 </w:t>
            </w:r>
            <w:r>
              <w:rPr>
                <w:rFonts w:ascii="Times New Roman" w:eastAsia="Times New Roman"/>
                <w:sz w:val="21"/>
              </w:rPr>
              <w:t>7.3</w:t>
            </w:r>
            <w:r>
              <w:rPr>
                <w:sz w:val="21"/>
              </w:rPr>
              <w:t>）后的首个保单年生效对应日零时止和终身两种。保险期间由您在投保时与我们约定并在保险单上载明。 除合同另有约定外，自本合同生效日起，我们开始承担保险责任。</w:t>
            </w:r>
          </w:p>
        </w:tc>
      </w:tr>
      <w:tr>
        <w:trPr>
          <w:trHeight w:val="422" w:hRule="atLeast"/>
        </w:trPr>
        <w:tc>
          <w:tcPr>
            <w:tcW w:w="602" w:type="dxa"/>
          </w:tcPr>
          <w:p>
            <w:pPr>
              <w:pStyle w:val="TableParagraph"/>
              <w:spacing w:before="89"/>
              <w:ind w:left="108"/>
              <w:rPr>
                <w:rFonts w:ascii="Times New Roman"/>
                <w:b/>
                <w:sz w:val="21"/>
              </w:rPr>
            </w:pPr>
            <w:r>
              <w:rPr>
                <w:rFonts w:ascii="Times New Roman"/>
                <w:b/>
                <w:sz w:val="21"/>
              </w:rPr>
              <w:t>2.4</w:t>
            </w:r>
          </w:p>
        </w:tc>
        <w:tc>
          <w:tcPr>
            <w:tcW w:w="1275" w:type="dxa"/>
          </w:tcPr>
          <w:p>
            <w:pPr>
              <w:pStyle w:val="TableParagraph"/>
              <w:spacing w:before="40"/>
              <w:ind w:left="0" w:right="199"/>
              <w:jc w:val="right"/>
              <w:rPr>
                <w:b/>
                <w:sz w:val="21"/>
              </w:rPr>
            </w:pPr>
            <w:r>
              <w:rPr>
                <w:b/>
                <w:sz w:val="21"/>
              </w:rPr>
              <w:t>保险责任</w:t>
            </w:r>
          </w:p>
        </w:tc>
        <w:tc>
          <w:tcPr>
            <w:tcW w:w="7698" w:type="dxa"/>
          </w:tcPr>
          <w:p>
            <w:pPr>
              <w:pStyle w:val="TableParagraph"/>
              <w:spacing w:before="40"/>
              <w:ind w:left="199"/>
              <w:rPr>
                <w:sz w:val="21"/>
              </w:rPr>
            </w:pPr>
            <w:r>
              <w:rPr>
                <w:sz w:val="21"/>
              </w:rPr>
              <w:t>在本合同有效期内，我们承担如下保险责任：</w:t>
            </w:r>
          </w:p>
        </w:tc>
      </w:tr>
      <w:tr>
        <w:trPr>
          <w:trHeight w:val="1906" w:hRule="atLeast"/>
        </w:trPr>
        <w:tc>
          <w:tcPr>
            <w:tcW w:w="602" w:type="dxa"/>
          </w:tcPr>
          <w:p>
            <w:pPr>
              <w:pStyle w:val="TableParagraph"/>
              <w:ind w:left="0"/>
              <w:rPr>
                <w:rFonts w:ascii="Times New Roman"/>
                <w:sz w:val="20"/>
              </w:rPr>
            </w:pPr>
          </w:p>
        </w:tc>
        <w:tc>
          <w:tcPr>
            <w:tcW w:w="1275" w:type="dxa"/>
          </w:tcPr>
          <w:p>
            <w:pPr>
              <w:pStyle w:val="TableParagraph"/>
              <w:spacing w:line="196" w:lineRule="auto" w:before="32"/>
              <w:ind w:left="228" w:right="201"/>
              <w:rPr>
                <w:rFonts w:ascii="Microsoft JhengHei" w:eastAsia="Microsoft JhengHei" w:hint="eastAsia"/>
                <w:b/>
                <w:sz w:val="21"/>
              </w:rPr>
            </w:pPr>
            <w:r>
              <w:rPr>
                <w:rFonts w:ascii="Microsoft JhengHei" w:eastAsia="Microsoft JhengHei" w:hint="eastAsia"/>
                <w:b/>
                <w:sz w:val="21"/>
              </w:rPr>
              <w:t>重大疾病保险金</w:t>
            </w:r>
          </w:p>
        </w:tc>
        <w:tc>
          <w:tcPr>
            <w:tcW w:w="7698" w:type="dxa"/>
          </w:tcPr>
          <w:p>
            <w:pPr>
              <w:pStyle w:val="TableParagraph"/>
              <w:spacing w:line="247" w:lineRule="auto" w:before="33"/>
              <w:ind w:left="199" w:right="105"/>
              <w:jc w:val="both"/>
              <w:rPr>
                <w:sz w:val="21"/>
              </w:rPr>
            </w:pPr>
            <w:r>
              <w:rPr>
                <w:spacing w:val="-5"/>
                <w:sz w:val="21"/>
              </w:rPr>
              <w:t>被保险人自本合同生效</w:t>
            </w:r>
            <w:r>
              <w:rPr>
                <w:spacing w:val="-3"/>
                <w:sz w:val="21"/>
              </w:rPr>
              <w:t>（</w:t>
            </w:r>
            <w:r>
              <w:rPr>
                <w:spacing w:val="-1"/>
                <w:sz w:val="21"/>
              </w:rPr>
              <w:t>或最后复效</w:t>
            </w:r>
            <w:r>
              <w:rPr>
                <w:spacing w:val="-22"/>
                <w:sz w:val="21"/>
              </w:rPr>
              <w:t>）</w:t>
            </w:r>
            <w:r>
              <w:rPr>
                <w:spacing w:val="-12"/>
                <w:sz w:val="21"/>
              </w:rPr>
              <w:t>之日起 </w:t>
            </w:r>
            <w:r>
              <w:rPr>
                <w:rFonts w:ascii="Times New Roman" w:eastAsia="Times New Roman"/>
                <w:sz w:val="21"/>
              </w:rPr>
              <w:t>180 </w:t>
            </w:r>
            <w:r>
              <w:rPr>
                <w:spacing w:val="-1"/>
                <w:sz w:val="21"/>
              </w:rPr>
              <w:t>日内因</w:t>
            </w:r>
            <w:r>
              <w:rPr>
                <w:b/>
                <w:spacing w:val="-5"/>
                <w:sz w:val="21"/>
              </w:rPr>
              <w:t>意外伤害</w:t>
            </w:r>
            <w:r>
              <w:rPr>
                <w:spacing w:val="-3"/>
                <w:sz w:val="21"/>
              </w:rPr>
              <w:t>（</w:t>
            </w:r>
            <w:r>
              <w:rPr>
                <w:spacing w:val="-21"/>
                <w:sz w:val="21"/>
              </w:rPr>
              <w:t>见 </w:t>
            </w:r>
            <w:r>
              <w:rPr>
                <w:rFonts w:ascii="Times New Roman" w:eastAsia="Times New Roman"/>
                <w:spacing w:val="-6"/>
                <w:sz w:val="21"/>
              </w:rPr>
              <w:t>7.4</w:t>
            </w:r>
            <w:r>
              <w:rPr>
                <w:spacing w:val="-6"/>
                <w:sz w:val="21"/>
              </w:rPr>
              <w:t>）</w:t>
            </w:r>
            <w:r>
              <w:rPr>
                <w:sz w:val="21"/>
              </w:rPr>
              <w:t>以外</w:t>
            </w:r>
            <w:r>
              <w:rPr>
                <w:spacing w:val="-3"/>
                <w:w w:val="100"/>
                <w:sz w:val="21"/>
              </w:rPr>
              <w:t>的原因，初次被确诊患有本合同约定的</w:t>
            </w:r>
            <w:r>
              <w:rPr>
                <w:b/>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8</w:t>
            </w:r>
            <w:r>
              <w:rPr>
                <w:spacing w:val="-106"/>
                <w:w w:val="100"/>
                <w:sz w:val="21"/>
              </w:rPr>
              <w:t>）</w:t>
            </w:r>
            <w:r>
              <w:rPr>
                <w:spacing w:val="-3"/>
                <w:w w:val="100"/>
                <w:sz w:val="21"/>
              </w:rPr>
              <w:t>（一种或多种</w:t>
            </w:r>
            <w:r>
              <w:rPr>
                <w:spacing w:val="-106"/>
                <w:w w:val="100"/>
                <w:sz w:val="21"/>
              </w:rPr>
              <w:t>）</w:t>
            </w:r>
            <w:r>
              <w:rPr>
                <w:spacing w:val="-2"/>
                <w:w w:val="100"/>
                <w:sz w:val="21"/>
              </w:rPr>
              <w:t>，我们</w:t>
            </w:r>
            <w:r>
              <w:rPr>
                <w:spacing w:val="-3"/>
                <w:sz w:val="21"/>
              </w:rPr>
              <w:t>按您所交本合同的保险费</w:t>
            </w:r>
            <w:r>
              <w:rPr>
                <w:sz w:val="21"/>
              </w:rPr>
              <w:t>（</w:t>
            </w:r>
            <w:r>
              <w:rPr>
                <w:spacing w:val="-3"/>
                <w:sz w:val="21"/>
              </w:rPr>
              <w:t>不计利息</w:t>
            </w:r>
            <w:r>
              <w:rPr>
                <w:sz w:val="21"/>
              </w:rPr>
              <w:t>）</w:t>
            </w:r>
            <w:r>
              <w:rPr>
                <w:spacing w:val="-3"/>
                <w:sz w:val="21"/>
              </w:rPr>
              <w:t>给付重大疾病保险金，本合同终止。</w:t>
            </w:r>
          </w:p>
          <w:p>
            <w:pPr>
              <w:pStyle w:val="TableParagraph"/>
              <w:spacing w:line="254" w:lineRule="auto" w:before="18"/>
              <w:ind w:left="199" w:right="105"/>
              <w:jc w:val="both"/>
              <w:rPr>
                <w:sz w:val="21"/>
              </w:rPr>
            </w:pPr>
            <w:r>
              <w:rPr>
                <w:spacing w:val="-3"/>
                <w:sz w:val="21"/>
              </w:rPr>
              <w:t>被保险人因遭受意外伤害或自本合同生效</w:t>
            </w:r>
            <w:r>
              <w:rPr>
                <w:sz w:val="21"/>
              </w:rPr>
              <w:t>（</w:t>
            </w:r>
            <w:r>
              <w:rPr>
                <w:spacing w:val="-3"/>
                <w:sz w:val="21"/>
              </w:rPr>
              <w:t>或最后复效）</w:t>
            </w:r>
            <w:r>
              <w:rPr>
                <w:spacing w:val="-12"/>
                <w:sz w:val="21"/>
              </w:rPr>
              <w:t>之日起 </w:t>
            </w:r>
            <w:r>
              <w:rPr>
                <w:rFonts w:ascii="Times New Roman" w:eastAsia="Times New Roman"/>
                <w:sz w:val="21"/>
              </w:rPr>
              <w:t>180 </w:t>
            </w:r>
            <w:r>
              <w:rPr>
                <w:spacing w:val="-3"/>
                <w:sz w:val="21"/>
              </w:rPr>
              <w:t>日后因意外</w:t>
            </w:r>
            <w:r>
              <w:rPr>
                <w:spacing w:val="-7"/>
                <w:sz w:val="21"/>
              </w:rPr>
              <w:t>伤害以外的原因，初次被确诊患有本合同约定的重大疾病</w:t>
            </w:r>
            <w:r>
              <w:rPr>
                <w:sz w:val="21"/>
              </w:rPr>
              <w:t>（</w:t>
            </w:r>
            <w:r>
              <w:rPr>
                <w:spacing w:val="-3"/>
                <w:sz w:val="21"/>
              </w:rPr>
              <w:t>一种或多种</w:t>
            </w:r>
            <w:r>
              <w:rPr>
                <w:spacing w:val="-66"/>
                <w:sz w:val="21"/>
              </w:rPr>
              <w:t>）</w:t>
            </w:r>
            <w:r>
              <w:rPr>
                <w:spacing w:val="-18"/>
                <w:sz w:val="21"/>
              </w:rPr>
              <w:t>，我们按</w:t>
            </w:r>
            <w:r>
              <w:rPr>
                <w:spacing w:val="-7"/>
                <w:sz w:val="21"/>
              </w:rPr>
              <w:t>基本保险金额给付重大疾病保险金，本合同终止。</w:t>
            </w:r>
          </w:p>
        </w:tc>
      </w:tr>
      <w:tr>
        <w:trPr>
          <w:trHeight w:val="2816" w:hRule="atLeast"/>
        </w:trPr>
        <w:tc>
          <w:tcPr>
            <w:tcW w:w="602" w:type="dxa"/>
          </w:tcPr>
          <w:p>
            <w:pPr>
              <w:pStyle w:val="TableParagraph"/>
              <w:ind w:left="0"/>
              <w:rPr>
                <w:rFonts w:ascii="Times New Roman"/>
                <w:sz w:val="20"/>
              </w:rPr>
            </w:pPr>
          </w:p>
        </w:tc>
        <w:tc>
          <w:tcPr>
            <w:tcW w:w="1275" w:type="dxa"/>
          </w:tcPr>
          <w:p>
            <w:pPr>
              <w:pStyle w:val="TableParagraph"/>
              <w:spacing w:line="196" w:lineRule="auto" w:before="39"/>
              <w:ind w:left="228" w:right="204"/>
              <w:rPr>
                <w:rFonts w:ascii="Microsoft JhengHei" w:eastAsia="Microsoft JhengHei" w:hint="eastAsia"/>
                <w:b/>
                <w:sz w:val="21"/>
              </w:rPr>
            </w:pPr>
            <w:r>
              <w:rPr>
                <w:rFonts w:ascii="Microsoft JhengHei" w:eastAsia="Microsoft JhengHei" w:hint="eastAsia"/>
                <w:b/>
                <w:sz w:val="21"/>
              </w:rPr>
              <w:t>轻症疾病保险金</w:t>
            </w:r>
          </w:p>
        </w:tc>
        <w:tc>
          <w:tcPr>
            <w:tcW w:w="7698" w:type="dxa"/>
          </w:tcPr>
          <w:p>
            <w:pPr>
              <w:pStyle w:val="TableParagraph"/>
              <w:spacing w:line="247" w:lineRule="auto" w:before="40"/>
              <w:ind w:left="199" w:right="2"/>
              <w:rPr>
                <w:sz w:val="21"/>
              </w:rPr>
            </w:pPr>
            <w:r>
              <w:rPr>
                <w:spacing w:val="-3"/>
                <w:sz w:val="21"/>
              </w:rPr>
              <w:t>被保险人因遭受意外伤害或自本合同生效</w:t>
            </w:r>
            <w:r>
              <w:rPr>
                <w:sz w:val="21"/>
              </w:rPr>
              <w:t>（</w:t>
            </w:r>
            <w:r>
              <w:rPr>
                <w:spacing w:val="-3"/>
                <w:sz w:val="21"/>
              </w:rPr>
              <w:t>或最后复效）</w:t>
            </w:r>
            <w:r>
              <w:rPr>
                <w:spacing w:val="-13"/>
                <w:sz w:val="21"/>
              </w:rPr>
              <w:t>之日起 </w:t>
            </w:r>
            <w:r>
              <w:rPr>
                <w:rFonts w:ascii="Times New Roman" w:eastAsia="Times New Roman"/>
                <w:sz w:val="21"/>
              </w:rPr>
              <w:t>180 </w:t>
            </w:r>
            <w:r>
              <w:rPr>
                <w:spacing w:val="-3"/>
                <w:sz w:val="21"/>
              </w:rPr>
              <w:t>日后因意外</w:t>
            </w:r>
            <w:r>
              <w:rPr>
                <w:spacing w:val="-12"/>
                <w:w w:val="100"/>
                <w:sz w:val="21"/>
              </w:rPr>
              <w:t>伤害以外的原因，初次被确诊患有本合同约定的</w:t>
            </w:r>
            <w:r>
              <w:rPr>
                <w:b/>
                <w:spacing w:val="-25"/>
                <w:w w:val="100"/>
                <w:sz w:val="21"/>
              </w:rPr>
              <w:t>轻症疾病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9</w:t>
            </w:r>
            <w:r>
              <w:rPr>
                <w:spacing w:val="-200"/>
                <w:w w:val="100"/>
                <w:sz w:val="21"/>
              </w:rPr>
              <w:t>）</w:t>
            </w:r>
            <w:r>
              <w:rPr>
                <w:spacing w:val="-3"/>
                <w:w w:val="100"/>
                <w:sz w:val="21"/>
              </w:rPr>
              <w:t>（一种或多种</w:t>
            </w:r>
            <w:r>
              <w:rPr>
                <w:spacing w:val="-106"/>
                <w:w w:val="100"/>
                <w:sz w:val="21"/>
              </w:rPr>
              <w:t>）</w:t>
            </w:r>
            <w:r>
              <w:rPr>
                <w:w w:val="100"/>
                <w:sz w:val="21"/>
              </w:rPr>
              <w:t>，</w:t>
            </w:r>
            <w:r>
              <w:rPr>
                <w:spacing w:val="-5"/>
                <w:sz w:val="21"/>
              </w:rPr>
              <w:t>我们按基本保险金额的 </w:t>
            </w:r>
            <w:r>
              <w:rPr>
                <w:rFonts w:ascii="Times New Roman" w:eastAsia="Times New Roman"/>
                <w:spacing w:val="-3"/>
                <w:sz w:val="21"/>
              </w:rPr>
              <w:t>20%</w:t>
            </w:r>
            <w:r>
              <w:rPr>
                <w:spacing w:val="-3"/>
                <w:sz w:val="21"/>
              </w:rPr>
              <w:t>给付轻症疾病保险金，本合同继续有效。</w:t>
            </w:r>
          </w:p>
          <w:p>
            <w:pPr>
              <w:pStyle w:val="TableParagraph"/>
              <w:spacing w:line="256" w:lineRule="auto" w:before="2"/>
              <w:ind w:left="199" w:right="105"/>
              <w:jc w:val="both"/>
              <w:rPr>
                <w:rFonts w:ascii="黑体" w:eastAsia="黑体" w:hint="eastAsia"/>
                <w:sz w:val="21"/>
              </w:rPr>
            </w:pPr>
            <w:r>
              <w:rPr>
                <w:rFonts w:ascii="黑体" w:eastAsia="黑体" w:hint="eastAsia"/>
                <w:spacing w:val="-8"/>
                <w:sz w:val="21"/>
              </w:rPr>
              <w:t>每种轻症疾病限给付一次，每次给付金额最高为人民币 </w:t>
            </w:r>
            <w:r>
              <w:rPr>
                <w:rFonts w:ascii="Times New Roman" w:eastAsia="Times New Roman"/>
                <w:sz w:val="21"/>
              </w:rPr>
              <w:t>10 </w:t>
            </w:r>
            <w:r>
              <w:rPr>
                <w:rFonts w:ascii="黑体" w:eastAsia="黑体" w:hint="eastAsia"/>
                <w:spacing w:val="-8"/>
                <w:sz w:val="21"/>
              </w:rPr>
              <w:t>万元，给付后该种轻症</w:t>
            </w:r>
            <w:r>
              <w:rPr>
                <w:rFonts w:ascii="黑体" w:eastAsia="黑体" w:hint="eastAsia"/>
                <w:spacing w:val="-5"/>
                <w:sz w:val="21"/>
              </w:rPr>
              <w:t>疾病保险金保险责任终止。不同轻症疾病可以多次给付，但本合同的轻症疾病保</w:t>
            </w:r>
            <w:r>
              <w:rPr>
                <w:rFonts w:ascii="黑体" w:eastAsia="黑体" w:hint="eastAsia"/>
                <w:spacing w:val="-4"/>
                <w:sz w:val="21"/>
              </w:rPr>
              <w:t>险金累计给付以三次为限，当累计给付的轻症疾病保险金达到三次时，轻症疾病</w:t>
            </w:r>
            <w:r>
              <w:rPr>
                <w:rFonts w:ascii="黑体" w:eastAsia="黑体" w:hint="eastAsia"/>
                <w:spacing w:val="-3"/>
                <w:sz w:val="21"/>
              </w:rPr>
              <w:t>保险金保险责任终止，本合同继续有效。</w:t>
            </w:r>
          </w:p>
          <w:p>
            <w:pPr>
              <w:pStyle w:val="TableParagraph"/>
              <w:spacing w:line="261" w:lineRule="auto" w:before="11"/>
              <w:ind w:left="199" w:right="139"/>
              <w:rPr>
                <w:rFonts w:ascii="黑体" w:eastAsia="黑体" w:hint="eastAsia"/>
                <w:sz w:val="21"/>
              </w:rPr>
            </w:pPr>
            <w:r>
              <w:rPr>
                <w:rFonts w:ascii="黑体" w:eastAsia="黑体" w:hint="eastAsia"/>
                <w:sz w:val="21"/>
              </w:rPr>
              <w:t>如果被保险人因同一原因导致其被确诊患有本合同所约定的两种或者两种以上的轻症疾病，我们仅按一种轻症疾病给付轻症疾病保险金。</w:t>
            </w:r>
          </w:p>
        </w:tc>
      </w:tr>
      <w:tr>
        <w:trPr>
          <w:trHeight w:val="719" w:hRule="atLeast"/>
        </w:trPr>
        <w:tc>
          <w:tcPr>
            <w:tcW w:w="602" w:type="dxa"/>
          </w:tcPr>
          <w:p>
            <w:pPr>
              <w:pStyle w:val="TableParagraph"/>
              <w:ind w:left="0"/>
              <w:rPr>
                <w:rFonts w:ascii="Times New Roman"/>
                <w:sz w:val="20"/>
              </w:rPr>
            </w:pPr>
          </w:p>
        </w:tc>
        <w:tc>
          <w:tcPr>
            <w:tcW w:w="1275" w:type="dxa"/>
          </w:tcPr>
          <w:p>
            <w:pPr>
              <w:pStyle w:val="TableParagraph"/>
              <w:spacing w:line="196" w:lineRule="auto" w:before="36"/>
              <w:ind w:left="228" w:right="201"/>
              <w:rPr>
                <w:rFonts w:ascii="Microsoft JhengHei" w:eastAsia="Microsoft JhengHei" w:hint="eastAsia"/>
                <w:b/>
                <w:sz w:val="21"/>
              </w:rPr>
            </w:pPr>
            <w:r>
              <w:rPr>
                <w:rFonts w:ascii="Microsoft JhengHei" w:eastAsia="Microsoft JhengHei" w:hint="eastAsia"/>
                <w:b/>
                <w:sz w:val="21"/>
              </w:rPr>
              <w:t>身故保险金</w:t>
            </w:r>
          </w:p>
        </w:tc>
        <w:tc>
          <w:tcPr>
            <w:tcW w:w="7698" w:type="dxa"/>
          </w:tcPr>
          <w:p>
            <w:pPr>
              <w:pStyle w:val="TableParagraph"/>
              <w:spacing w:line="261" w:lineRule="auto" w:before="37"/>
              <w:ind w:left="199" w:right="139"/>
              <w:rPr>
                <w:sz w:val="21"/>
              </w:rPr>
            </w:pPr>
            <w:r>
              <w:rPr>
                <w:sz w:val="21"/>
              </w:rPr>
              <w:t>被保险人身故，我们按您所交本合同的保险费（不计利息）给付身故保险金，本合同终止。</w:t>
            </w:r>
          </w:p>
        </w:tc>
      </w:tr>
      <w:tr>
        <w:trPr>
          <w:trHeight w:val="410"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before="30"/>
              <w:ind w:left="199"/>
              <w:rPr>
                <w:rFonts w:ascii="黑体" w:eastAsia="黑体" w:hint="eastAsia"/>
                <w:sz w:val="21"/>
              </w:rPr>
            </w:pPr>
            <w:r>
              <w:rPr>
                <w:rFonts w:ascii="黑体" w:eastAsia="黑体" w:hint="eastAsia"/>
                <w:sz w:val="21"/>
              </w:rPr>
              <w:t>本合同所列重大疾病保险金、身故保险金的给付以 </w:t>
            </w:r>
            <w:r>
              <w:rPr>
                <w:rFonts w:ascii="Times New Roman" w:eastAsia="Times New Roman"/>
                <w:sz w:val="21"/>
              </w:rPr>
              <w:t>1 </w:t>
            </w:r>
            <w:r>
              <w:rPr>
                <w:rFonts w:ascii="黑体" w:eastAsia="黑体" w:hint="eastAsia"/>
                <w:sz w:val="21"/>
              </w:rPr>
              <w:t>种和 </w:t>
            </w:r>
            <w:r>
              <w:rPr>
                <w:rFonts w:ascii="Times New Roman" w:eastAsia="Times New Roman"/>
                <w:sz w:val="21"/>
              </w:rPr>
              <w:t>1 </w:t>
            </w:r>
            <w:r>
              <w:rPr>
                <w:rFonts w:ascii="黑体" w:eastAsia="黑体" w:hint="eastAsia"/>
                <w:sz w:val="21"/>
              </w:rPr>
              <w:t>次为限。</w:t>
            </w:r>
          </w:p>
        </w:tc>
      </w:tr>
      <w:tr>
        <w:trPr>
          <w:trHeight w:val="323" w:hRule="atLeast"/>
        </w:trPr>
        <w:tc>
          <w:tcPr>
            <w:tcW w:w="602" w:type="dxa"/>
          </w:tcPr>
          <w:p>
            <w:pPr>
              <w:pStyle w:val="TableParagraph"/>
              <w:spacing w:line="222" w:lineRule="exact" w:before="81"/>
              <w:ind w:left="108"/>
              <w:rPr>
                <w:rFonts w:ascii="Times New Roman"/>
                <w:b/>
                <w:sz w:val="21"/>
              </w:rPr>
            </w:pPr>
            <w:r>
              <w:rPr>
                <w:rFonts w:ascii="Times New Roman"/>
                <w:b/>
                <w:sz w:val="21"/>
              </w:rPr>
              <w:t>2.5</w:t>
            </w:r>
          </w:p>
        </w:tc>
        <w:tc>
          <w:tcPr>
            <w:tcW w:w="1275" w:type="dxa"/>
          </w:tcPr>
          <w:p>
            <w:pPr>
              <w:pStyle w:val="TableParagraph"/>
              <w:spacing w:line="271" w:lineRule="exact" w:before="32"/>
              <w:ind w:left="0" w:right="199"/>
              <w:jc w:val="right"/>
              <w:rPr>
                <w:b/>
                <w:sz w:val="21"/>
              </w:rPr>
            </w:pPr>
            <w:r>
              <w:rPr>
                <w:b/>
                <w:sz w:val="21"/>
              </w:rPr>
              <w:t>责任免除</w:t>
            </w:r>
          </w:p>
        </w:tc>
        <w:tc>
          <w:tcPr>
            <w:tcW w:w="7698" w:type="dxa"/>
          </w:tcPr>
          <w:p>
            <w:pPr>
              <w:pStyle w:val="TableParagraph"/>
              <w:spacing w:line="271" w:lineRule="exact" w:before="32"/>
              <w:ind w:left="201"/>
              <w:rPr>
                <w:rFonts w:ascii="黑体" w:eastAsia="黑体" w:hint="eastAsia"/>
                <w:sz w:val="21"/>
              </w:rPr>
            </w:pPr>
            <w:r>
              <w:rPr>
                <w:rFonts w:ascii="黑体" w:eastAsia="黑体" w:hint="eastAsia"/>
                <w:spacing w:val="-1"/>
                <w:sz w:val="21"/>
              </w:rPr>
              <w:t>（一</w:t>
            </w:r>
            <w:r>
              <w:rPr>
                <w:rFonts w:ascii="黑体" w:eastAsia="黑体" w:hint="eastAsia"/>
                <w:spacing w:val="-39"/>
                <w:sz w:val="21"/>
              </w:rPr>
              <w:t>）</w:t>
            </w:r>
            <w:r>
              <w:rPr>
                <w:rFonts w:ascii="黑体" w:eastAsia="黑体" w:hint="eastAsia"/>
                <w:spacing w:val="-6"/>
                <w:sz w:val="21"/>
              </w:rPr>
              <w:t>因下列情形之一导致被保险人身故的，我们不承担给付身故保险金的责任：</w:t>
            </w:r>
          </w:p>
        </w:tc>
      </w:tr>
    </w:tbl>
    <w:p>
      <w:pPr>
        <w:spacing w:after="0" w:line="271" w:lineRule="exact"/>
        <w:rPr>
          <w:rFonts w:ascii="黑体" w:eastAsia="黑体" w:hint="eastAsia"/>
          <w:sz w:val="21"/>
        </w:rPr>
        <w:sectPr>
          <w:pgSz w:w="11910" w:h="16840"/>
          <w:pgMar w:top="150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1274"/>
        <w:gridCol w:w="7697"/>
      </w:tblGrid>
      <w:tr>
        <w:trPr>
          <w:trHeight w:val="4219" w:hRule="atLeast"/>
        </w:trPr>
        <w:tc>
          <w:tcPr>
            <w:tcW w:w="601"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7" w:type="dxa"/>
          </w:tcPr>
          <w:p>
            <w:pPr>
              <w:pStyle w:val="TableParagraph"/>
              <w:spacing w:line="227" w:lineRule="exact"/>
              <w:ind w:left="20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726" w:right="104" w:hanging="526"/>
              <w:rPr>
                <w:rFonts w:ascii="黑体" w:eastAsia="黑体" w:hint="eastAsia"/>
                <w:sz w:val="21"/>
              </w:rPr>
            </w:pPr>
            <w:r>
              <w:rPr>
                <w:rFonts w:ascii="黑体" w:eastAsia="黑体" w:hint="eastAsia"/>
                <w:spacing w:val="-13"/>
                <w:sz w:val="21"/>
              </w:rPr>
              <w:t>（</w:t>
            </w:r>
            <w:r>
              <w:rPr>
                <w:rFonts w:ascii="Times New Roman" w:eastAsia="Times New Roman"/>
                <w:spacing w:val="-13"/>
                <w:sz w:val="21"/>
              </w:rPr>
              <w:t>3</w:t>
            </w:r>
            <w:r>
              <w:rPr>
                <w:rFonts w:ascii="黑体" w:eastAsia="黑体" w:hint="eastAsia"/>
                <w:spacing w:val="-13"/>
                <w:sz w:val="21"/>
              </w:rPr>
              <w:t>）</w:t>
            </w:r>
            <w:r>
              <w:rPr>
                <w:rFonts w:ascii="黑体" w:eastAsia="黑体" w:hint="eastAsia"/>
                <w:spacing w:val="-5"/>
                <w:sz w:val="21"/>
              </w:rPr>
              <w:t>被保险人自本合同成立或者合同效力恢复之日起 </w:t>
            </w:r>
            <w:r>
              <w:rPr>
                <w:rFonts w:ascii="Times New Roman" w:eastAsia="Times New Roman"/>
                <w:sz w:val="21"/>
              </w:rPr>
              <w:t>2 </w:t>
            </w:r>
            <w:r>
              <w:rPr>
                <w:rFonts w:ascii="黑体" w:eastAsia="黑体" w:hint="eastAsia"/>
                <w:spacing w:val="-8"/>
                <w:sz w:val="21"/>
              </w:rPr>
              <w:t>年内自杀，但被保险人自</w:t>
            </w:r>
            <w:r>
              <w:rPr>
                <w:rFonts w:ascii="黑体" w:eastAsia="黑体" w:hint="eastAsia"/>
                <w:spacing w:val="-5"/>
                <w:sz w:val="21"/>
              </w:rPr>
              <w:t>杀时为无民事行为能力人的除外；</w:t>
            </w:r>
          </w:p>
          <w:p>
            <w:pPr>
              <w:pStyle w:val="TableParagraph"/>
              <w:spacing w:before="18"/>
              <w:ind w:left="20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7.5</w:t>
            </w:r>
            <w:r>
              <w:rPr>
                <w:rFonts w:ascii="黑体" w:eastAsia="黑体" w:hint="eastAsia"/>
                <w:sz w:val="21"/>
              </w:rPr>
              <w:t>）；</w:t>
            </w:r>
          </w:p>
          <w:p>
            <w:pPr>
              <w:pStyle w:val="TableParagraph"/>
              <w:spacing w:line="247" w:lineRule="auto" w:before="9"/>
              <w:ind w:left="726" w:right="105" w:hanging="526"/>
              <w:rPr>
                <w:rFonts w:ascii="黑体" w:eastAsia="黑体" w:hint="eastAsia"/>
                <w:sz w:val="21"/>
              </w:rPr>
            </w:pPr>
            <w:r>
              <w:rPr>
                <w:rFonts w:ascii="黑体" w:eastAsia="黑体" w:hint="eastAsia"/>
                <w:spacing w:val="-5"/>
                <w:sz w:val="21"/>
              </w:rPr>
              <w:t>（</w:t>
            </w:r>
            <w:r>
              <w:rPr>
                <w:rFonts w:ascii="Times New Roman" w:eastAsia="Times New Roman"/>
                <w:spacing w:val="-5"/>
                <w:sz w:val="21"/>
              </w:rPr>
              <w:t>5</w:t>
            </w:r>
            <w:r>
              <w:rPr>
                <w:rFonts w:ascii="黑体" w:eastAsia="黑体" w:hint="eastAsia"/>
                <w:spacing w:val="-5"/>
                <w:sz w:val="21"/>
              </w:rPr>
              <w:t>）</w:t>
            </w:r>
            <w:r>
              <w:rPr>
                <w:rFonts w:ascii="黑体" w:eastAsia="黑体" w:hint="eastAsia"/>
                <w:spacing w:val="-2"/>
                <w:sz w:val="21"/>
              </w:rPr>
              <w:t>被保险人</w:t>
            </w:r>
            <w:r>
              <w:rPr>
                <w:rFonts w:ascii="黑体" w:eastAsia="黑体" w:hint="eastAsia"/>
                <w:b/>
                <w:spacing w:val="-3"/>
                <w:sz w:val="21"/>
              </w:rPr>
              <w:t>酒后驾驶</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6"/>
                <w:sz w:val="21"/>
              </w:rPr>
              <w:t>7.6</w:t>
            </w:r>
            <w:r>
              <w:rPr>
                <w:rFonts w:ascii="黑体" w:eastAsia="黑体" w:hint="eastAsia"/>
                <w:spacing w:val="-6"/>
                <w:sz w:val="21"/>
              </w:rPr>
              <w:t>），</w:t>
            </w:r>
            <w:r>
              <w:rPr>
                <w:rFonts w:ascii="黑体" w:eastAsia="黑体" w:hint="eastAsia"/>
                <w:b/>
                <w:spacing w:val="-3"/>
                <w:sz w:val="21"/>
              </w:rPr>
              <w:t>无合法有效驾驶证驾驶</w:t>
            </w:r>
            <w:r>
              <w:rPr>
                <w:rFonts w:ascii="黑体" w:eastAsia="黑体" w:hint="eastAsia"/>
                <w:sz w:val="21"/>
              </w:rPr>
              <w:t>（</w:t>
            </w:r>
            <w:r>
              <w:rPr>
                <w:rFonts w:ascii="黑体" w:eastAsia="黑体" w:hint="eastAsia"/>
                <w:spacing w:val="-21"/>
                <w:sz w:val="21"/>
              </w:rPr>
              <w:t>见 </w:t>
            </w:r>
            <w:r>
              <w:rPr>
                <w:rFonts w:ascii="Times New Roman" w:eastAsia="Times New Roman"/>
                <w:spacing w:val="-6"/>
                <w:sz w:val="21"/>
              </w:rPr>
              <w:t>7.7</w:t>
            </w:r>
            <w:r>
              <w:rPr>
                <w:rFonts w:ascii="黑体" w:eastAsia="黑体" w:hint="eastAsia"/>
                <w:spacing w:val="-6"/>
                <w:sz w:val="21"/>
              </w:rPr>
              <w:t>）</w:t>
            </w:r>
            <w:r>
              <w:rPr>
                <w:rFonts w:ascii="黑体" w:eastAsia="黑体" w:hint="eastAsia"/>
                <w:spacing w:val="-4"/>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2"/>
                <w:sz w:val="21"/>
              </w:rPr>
              <w:t>见 </w:t>
            </w:r>
            <w:r>
              <w:rPr>
                <w:rFonts w:ascii="Times New Roman" w:eastAsia="Times New Roman"/>
                <w:sz w:val="21"/>
              </w:rPr>
              <w:t>7.8</w:t>
            </w:r>
            <w:r>
              <w:rPr>
                <w:rFonts w:ascii="黑体" w:eastAsia="黑体" w:hint="eastAsia"/>
                <w:sz w:val="21"/>
              </w:rPr>
              <w:t>）</w:t>
            </w:r>
            <w:r>
              <w:rPr>
                <w:rFonts w:ascii="黑体" w:eastAsia="黑体" w:hint="eastAsia"/>
                <w:spacing w:val="-2"/>
                <w:sz w:val="21"/>
              </w:rPr>
              <w:t>的机动车；</w:t>
            </w:r>
          </w:p>
          <w:p>
            <w:pPr>
              <w:pStyle w:val="TableParagraph"/>
              <w:spacing w:before="2"/>
              <w:ind w:left="20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7.9</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7.10</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7.11</w:t>
            </w:r>
            <w:r>
              <w:rPr>
                <w:rFonts w:ascii="黑体" w:eastAsia="黑体" w:hint="eastAsia"/>
                <w:sz w:val="21"/>
              </w:rPr>
              <w:t>）或武装叛乱；</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200" w:right="103"/>
              <w:jc w:val="both"/>
              <w:rPr>
                <w:rFonts w:ascii="黑体" w:eastAsia="黑体" w:hint="eastAsia"/>
                <w:sz w:val="21"/>
              </w:rPr>
            </w:pPr>
            <w:r>
              <w:rPr>
                <w:rFonts w:ascii="黑体" w:eastAsia="黑体" w:hint="eastAsia"/>
                <w:sz w:val="21"/>
              </w:rPr>
              <w:t>发Th</w:t>
            </w:r>
            <w:r>
              <w:rPr>
                <w:rFonts w:ascii="黑体" w:eastAsia="黑体" w:hint="eastAsia"/>
                <w:spacing w:val="-8"/>
                <w:sz w:val="21"/>
              </w:rPr>
              <w:t>上述第（</w:t>
            </w:r>
            <w:r>
              <w:rPr>
                <w:rFonts w:ascii="Times New Roman" w:eastAsia="Times New Roman"/>
                <w:spacing w:val="-8"/>
                <w:sz w:val="21"/>
              </w:rPr>
              <w:t>1</w:t>
            </w:r>
            <w:r>
              <w:rPr>
                <w:rFonts w:ascii="黑体" w:eastAsia="黑体" w:hint="eastAsia"/>
                <w:spacing w:val="-8"/>
                <w:sz w:val="21"/>
              </w:rPr>
              <w:t>）</w:t>
            </w:r>
            <w:r>
              <w:rPr>
                <w:rFonts w:ascii="黑体" w:eastAsia="黑体" w:hint="eastAsia"/>
                <w:spacing w:val="-6"/>
                <w:sz w:val="21"/>
              </w:rPr>
              <w:t>项情形导致被保险人身故的，本合同终止，我们向投保人之外的</w:t>
            </w:r>
            <w:r>
              <w:rPr>
                <w:rFonts w:ascii="黑体" w:eastAsia="黑体" w:hint="eastAsia"/>
                <w:spacing w:val="-4"/>
                <w:sz w:val="21"/>
              </w:rPr>
              <w:t>其他权利人退还本合同的</w:t>
            </w:r>
            <w:r>
              <w:rPr>
                <w:rFonts w:ascii="黑体" w:eastAsia="黑体" w:hint="eastAsia"/>
                <w:b/>
                <w:sz w:val="21"/>
              </w:rPr>
              <w:t>现金价值</w:t>
            </w:r>
            <w:r>
              <w:rPr>
                <w:rFonts w:ascii="黑体" w:eastAsia="黑体" w:hint="eastAsia"/>
                <w:sz w:val="21"/>
              </w:rPr>
              <w:t>（</w:t>
            </w:r>
            <w:r>
              <w:rPr>
                <w:rFonts w:ascii="黑体" w:eastAsia="黑体" w:hint="eastAsia"/>
                <w:spacing w:val="2"/>
                <w:sz w:val="21"/>
              </w:rPr>
              <w:t>见 </w:t>
            </w:r>
            <w:r>
              <w:rPr>
                <w:rFonts w:ascii="Times New Roman" w:eastAsia="Times New Roman"/>
                <w:sz w:val="21"/>
              </w:rPr>
              <w:t>7.12</w:t>
            </w:r>
            <w:r>
              <w:rPr>
                <w:rFonts w:ascii="黑体" w:eastAsia="黑体" w:hint="eastAsia"/>
                <w:sz w:val="21"/>
              </w:rPr>
              <w:t>）</w:t>
            </w:r>
            <w:r>
              <w:rPr>
                <w:rFonts w:ascii="黑体" w:eastAsia="黑体" w:hint="eastAsia"/>
                <w:spacing w:val="-3"/>
                <w:sz w:val="21"/>
              </w:rPr>
              <w:t>。其他权利人按照被保险人第一顺序法定继承人、被保险人第二顺序法定继承人的顺序确定。</w:t>
            </w:r>
          </w:p>
          <w:p>
            <w:pPr>
              <w:pStyle w:val="TableParagraph"/>
              <w:spacing w:line="261" w:lineRule="auto" w:before="18"/>
              <w:ind w:left="203" w:right="105"/>
              <w:rPr>
                <w:rFonts w:ascii="黑体" w:eastAsia="黑体" w:hint="eastAsia"/>
                <w:sz w:val="21"/>
              </w:rPr>
            </w:pPr>
            <w:r>
              <w:rPr>
                <w:rFonts w:ascii="黑体" w:eastAsia="黑体" w:hint="eastAsia"/>
                <w:sz w:val="21"/>
              </w:rPr>
              <w:t>发Th上述其他情形导致被保险人身故的，本合同终止，我们向您退还本合同的现金价值。</w:t>
            </w:r>
          </w:p>
        </w:tc>
      </w:tr>
      <w:tr>
        <w:trPr>
          <w:trHeight w:val="4955" w:hRule="atLeast"/>
        </w:trPr>
        <w:tc>
          <w:tcPr>
            <w:tcW w:w="601"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7" w:type="dxa"/>
          </w:tcPr>
          <w:p>
            <w:pPr>
              <w:pStyle w:val="TableParagraph"/>
              <w:spacing w:line="261" w:lineRule="auto" w:before="30"/>
              <w:ind w:left="200" w:right="55"/>
              <w:jc w:val="both"/>
              <w:rPr>
                <w:rFonts w:ascii="黑体" w:eastAsia="黑体" w:hint="eastAsia"/>
                <w:sz w:val="21"/>
              </w:rPr>
            </w:pPr>
            <w:r>
              <w:rPr>
                <w:rFonts w:ascii="黑体" w:eastAsia="黑体" w:hint="eastAsia"/>
                <w:sz w:val="21"/>
              </w:rPr>
              <w:t>（二）因下列情形之一，导致被保险人发Th重大疾病或轻症疾病、达到重大疾病或轻症疾病状态以及进行手术，我们不承担给付重大疾病保险金和轻症疾病保险金的责任：</w:t>
            </w:r>
          </w:p>
          <w:p>
            <w:pPr>
              <w:pStyle w:val="TableParagraph"/>
              <w:spacing w:before="5"/>
              <w:ind w:left="20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20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8"/>
              <w:ind w:left="200"/>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8"/>
              <w:ind w:left="200" w:right="-15"/>
              <w:rPr>
                <w:rFonts w:ascii="黑体" w:eastAsia="黑体" w:hint="eastAsia"/>
                <w:sz w:val="21"/>
              </w:rPr>
            </w:pPr>
            <w:r>
              <w:rPr>
                <w:rFonts w:ascii="黑体" w:eastAsia="黑体" w:hint="eastAsia"/>
                <w:spacing w:val="-20"/>
                <w:sz w:val="21"/>
              </w:rPr>
              <w:t>（</w:t>
            </w:r>
            <w:r>
              <w:rPr>
                <w:rFonts w:ascii="Times New Roman" w:eastAsia="Times New Roman"/>
                <w:spacing w:val="-20"/>
                <w:sz w:val="21"/>
              </w:rPr>
              <w:t>4</w:t>
            </w:r>
            <w:r>
              <w:rPr>
                <w:rFonts w:ascii="黑体" w:eastAsia="黑体" w:hint="eastAsia"/>
                <w:spacing w:val="-20"/>
                <w:sz w:val="21"/>
              </w:rPr>
              <w:t>）</w:t>
            </w:r>
            <w:r>
              <w:rPr>
                <w:rFonts w:ascii="黑体" w:eastAsia="黑体" w:hint="eastAsia"/>
                <w:spacing w:val="-12"/>
                <w:sz w:val="21"/>
              </w:rPr>
              <w:t>被保险人酒后驾驶、无合法有效驾驶证驾驶，或驾驶无有效行驶证的机动车；</w:t>
            </w:r>
          </w:p>
          <w:p>
            <w:pPr>
              <w:pStyle w:val="TableParagraph"/>
              <w:spacing w:line="254" w:lineRule="auto" w:before="8"/>
              <w:ind w:left="726" w:right="103" w:hanging="526"/>
              <w:jc w:val="both"/>
              <w:rPr>
                <w:rFonts w:ascii="黑体" w:hAnsi="黑体" w:eastAsia="黑体" w:hint="eastAsia"/>
                <w:sz w:val="21"/>
              </w:rPr>
            </w:pPr>
            <w:r>
              <w:rPr>
                <w:rFonts w:ascii="黑体" w:hAnsi="黑体" w:eastAsia="黑体" w:hint="eastAsia"/>
                <w:spacing w:val="-3"/>
                <w:sz w:val="21"/>
              </w:rPr>
              <w:t>（</w:t>
            </w:r>
            <w:r>
              <w:rPr>
                <w:rFonts w:ascii="Times New Roman" w:hAnsi="Times New Roman" w:eastAsia="Times New Roman"/>
                <w:spacing w:val="-3"/>
                <w:sz w:val="21"/>
              </w:rPr>
              <w:t>5</w:t>
            </w:r>
            <w:r>
              <w:rPr>
                <w:rFonts w:ascii="黑体" w:hAnsi="黑体" w:eastAsia="黑体" w:hint="eastAsia"/>
                <w:spacing w:val="-3"/>
                <w:sz w:val="21"/>
              </w:rPr>
              <w:t>）被保险人</w:t>
            </w:r>
            <w:r>
              <w:rPr>
                <w:rFonts w:ascii="黑体" w:hAnsi="黑体" w:eastAsia="黑体" w:hint="eastAsia"/>
                <w:b/>
                <w:spacing w:val="-2"/>
                <w:sz w:val="21"/>
              </w:rPr>
              <w:t>感染艾滋病病毒或患艾滋病</w:t>
            </w:r>
            <w:r>
              <w:rPr>
                <w:rFonts w:ascii="黑体" w:hAnsi="黑体" w:eastAsia="黑体" w:hint="eastAsia"/>
                <w:spacing w:val="-3"/>
                <w:sz w:val="21"/>
              </w:rPr>
              <w:t>（</w:t>
            </w:r>
            <w:r>
              <w:rPr>
                <w:rFonts w:ascii="黑体" w:hAnsi="黑体" w:eastAsia="黑体" w:hint="eastAsia"/>
                <w:sz w:val="21"/>
              </w:rPr>
              <w:t>见</w:t>
            </w:r>
            <w:r>
              <w:rPr>
                <w:rFonts w:ascii="Times New Roman" w:hAnsi="Times New Roman" w:eastAsia="Times New Roman"/>
                <w:spacing w:val="-4"/>
                <w:sz w:val="21"/>
              </w:rPr>
              <w:t>7.13</w:t>
            </w:r>
            <w:r>
              <w:rPr>
                <w:rFonts w:ascii="黑体" w:hAnsi="黑体" w:eastAsia="黑体" w:hint="eastAsia"/>
                <w:spacing w:val="-4"/>
                <w:sz w:val="21"/>
              </w:rPr>
              <w:t>）（</w:t>
            </w:r>
            <w:r>
              <w:rPr>
                <w:rFonts w:ascii="黑体" w:hAnsi="黑体" w:eastAsia="黑体" w:hint="eastAsia"/>
                <w:spacing w:val="-3"/>
                <w:sz w:val="21"/>
              </w:rPr>
              <w:t>被保险人感染艾滋病病毒</w:t>
            </w:r>
            <w:r>
              <w:rPr>
                <w:rFonts w:ascii="黑体" w:hAnsi="黑体" w:eastAsia="黑体" w:hint="eastAsia"/>
                <w:spacing w:val="-8"/>
                <w:sz w:val="21"/>
              </w:rPr>
              <w:t>但符合本合同“经输血导致的人类免疫缺陷病毒感染”和“因职业关系导致</w:t>
            </w:r>
            <w:r>
              <w:rPr>
                <w:rFonts w:ascii="黑体" w:hAnsi="黑体" w:eastAsia="黑体" w:hint="eastAsia"/>
                <w:spacing w:val="-3"/>
                <w:sz w:val="21"/>
              </w:rPr>
              <w:t>的人类免疫缺陷病毒感染”定义的不在此限</w:t>
            </w:r>
            <w:r>
              <w:rPr>
                <w:rFonts w:ascii="黑体" w:hAnsi="黑体" w:eastAsia="黑体" w:hint="eastAsia"/>
                <w:sz w:val="21"/>
              </w:rPr>
              <w:t>）；</w:t>
            </w:r>
          </w:p>
          <w:p>
            <w:pPr>
              <w:pStyle w:val="TableParagraph"/>
              <w:spacing w:before="12"/>
              <w:ind w:left="20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726" w:right="105" w:hanging="526"/>
              <w:rPr>
                <w:rFonts w:ascii="黑体" w:eastAsia="黑体" w:hint="eastAsia"/>
                <w:sz w:val="21"/>
              </w:rPr>
            </w:pPr>
            <w:r>
              <w:rPr>
                <w:rFonts w:ascii="黑体" w:eastAsia="黑体" w:hint="eastAsia"/>
                <w:spacing w:val="-5"/>
                <w:sz w:val="21"/>
              </w:rPr>
              <w:t>（</w:t>
            </w:r>
            <w:r>
              <w:rPr>
                <w:rFonts w:ascii="Times New Roman" w:eastAsia="Times New Roman"/>
                <w:spacing w:val="-5"/>
                <w:sz w:val="21"/>
              </w:rPr>
              <w:t>8</w:t>
            </w:r>
            <w:r>
              <w:rPr>
                <w:rFonts w:ascii="黑体" w:eastAsia="黑体" w:hint="eastAsia"/>
                <w:spacing w:val="-5"/>
                <w:sz w:val="21"/>
              </w:rPr>
              <w:t>）</w:t>
            </w:r>
            <w:r>
              <w:rPr>
                <w:rFonts w:ascii="黑体" w:eastAsia="黑体" w:hint="eastAsia"/>
                <w:b/>
                <w:spacing w:val="-2"/>
                <w:sz w:val="21"/>
              </w:rPr>
              <w:t>遗传性疾病</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5"/>
                <w:sz w:val="21"/>
              </w:rPr>
              <w:t>7.14</w:t>
            </w:r>
            <w:r>
              <w:rPr>
                <w:rFonts w:ascii="黑体" w:eastAsia="黑体" w:hint="eastAsia"/>
                <w:spacing w:val="-5"/>
                <w:sz w:val="21"/>
              </w:rPr>
              <w:t>），</w:t>
            </w:r>
            <w:r>
              <w:rPr>
                <w:rFonts w:ascii="黑体" w:eastAsia="黑体" w:hint="eastAsia"/>
                <w:b/>
                <w:spacing w:val="-4"/>
                <w:sz w:val="21"/>
              </w:rPr>
              <w:t>先天性畸形、变形或染色体异常</w:t>
            </w:r>
            <w:r>
              <w:rPr>
                <w:rFonts w:ascii="黑体" w:eastAsia="黑体" w:hint="eastAsia"/>
                <w:spacing w:val="-3"/>
                <w:sz w:val="21"/>
              </w:rPr>
              <w:t>（</w:t>
            </w:r>
            <w:r>
              <w:rPr>
                <w:rFonts w:ascii="黑体" w:eastAsia="黑体" w:hint="eastAsia"/>
                <w:spacing w:val="-19"/>
                <w:sz w:val="21"/>
              </w:rPr>
              <w:t>见 </w:t>
            </w:r>
            <w:r>
              <w:rPr>
                <w:rFonts w:ascii="Times New Roman" w:eastAsia="Times New Roman"/>
                <w:spacing w:val="-6"/>
                <w:sz w:val="21"/>
              </w:rPr>
              <w:t>7.15</w:t>
            </w:r>
            <w:r>
              <w:rPr>
                <w:rFonts w:ascii="黑体" w:eastAsia="黑体" w:hint="eastAsia"/>
                <w:spacing w:val="-6"/>
                <w:sz w:val="21"/>
              </w:rPr>
              <w:t>）</w:t>
            </w:r>
            <w:r>
              <w:rPr>
                <w:rFonts w:ascii="黑体" w:eastAsia="黑体" w:hint="eastAsia"/>
                <w:spacing w:val="-2"/>
                <w:sz w:val="21"/>
              </w:rPr>
              <w:t>，但本</w:t>
            </w:r>
            <w:r>
              <w:rPr>
                <w:rFonts w:ascii="黑体" w:eastAsia="黑体" w:hint="eastAsia"/>
                <w:spacing w:val="-3"/>
                <w:sz w:val="21"/>
              </w:rPr>
              <w:t>合同另有约定的除外。</w:t>
            </w:r>
          </w:p>
          <w:p>
            <w:pPr>
              <w:pStyle w:val="TableParagraph"/>
              <w:spacing w:line="247" w:lineRule="auto" w:before="18"/>
              <w:ind w:left="203" w:right="33" w:hanging="3"/>
              <w:rPr>
                <w:rFonts w:ascii="黑体" w:eastAsia="黑体" w:hint="eastAsia"/>
                <w:sz w:val="21"/>
              </w:rPr>
            </w:pPr>
            <w:r>
              <w:rPr>
                <w:rFonts w:ascii="黑体" w:eastAsia="黑体" w:hint="eastAsia"/>
                <w:sz w:val="21"/>
              </w:rPr>
              <w:t>发Th上述第（</w:t>
            </w:r>
            <w:r>
              <w:rPr>
                <w:rFonts w:ascii="Times New Roman" w:eastAsia="Times New Roman"/>
                <w:sz w:val="21"/>
              </w:rPr>
              <w:t>1</w:t>
            </w:r>
            <w:r>
              <w:rPr>
                <w:rFonts w:ascii="黑体" w:eastAsia="黑体" w:hint="eastAsia"/>
                <w:sz w:val="21"/>
              </w:rPr>
              <w:t>）项情形，本合同终止，我们向被保险人退还本合同的现金价值。发Th上述其他情形，本合同终止，我们向您退还本合同的现金价值。</w:t>
            </w:r>
          </w:p>
        </w:tc>
      </w:tr>
      <w:tr>
        <w:trPr>
          <w:trHeight w:val="300" w:hRule="atLeast"/>
        </w:trPr>
        <w:tc>
          <w:tcPr>
            <w:tcW w:w="9572" w:type="dxa"/>
            <w:gridSpan w:val="3"/>
            <w:shd w:val="clear" w:color="auto" w:fill="E6E6E6"/>
          </w:tcPr>
          <w:p>
            <w:pPr>
              <w:pStyle w:val="TableParagraph"/>
              <w:tabs>
                <w:tab w:pos="844" w:val="left" w:leader="none"/>
              </w:tabs>
              <w:spacing w:line="279" w:lineRule="exact"/>
              <w:ind w:left="108"/>
              <w:rPr>
                <w:b/>
                <w:sz w:val="21"/>
              </w:rPr>
            </w:pPr>
            <w:r>
              <w:rPr>
                <w:rFonts w:ascii="Times New Roman" w:eastAsia="Times New Roman"/>
                <w:b/>
                <w:sz w:val="21"/>
              </w:rPr>
              <w:t>3</w:t>
              <w:tab/>
            </w:r>
            <w:r>
              <w:rPr>
                <w:b/>
                <w:sz w:val="21"/>
              </w:rPr>
              <w:t>您的义务</w:t>
            </w:r>
          </w:p>
        </w:tc>
      </w:tr>
      <w:tr>
        <w:trPr>
          <w:trHeight w:val="3480" w:hRule="atLeast"/>
        </w:trPr>
        <w:tc>
          <w:tcPr>
            <w:tcW w:w="601" w:type="dxa"/>
          </w:tcPr>
          <w:p>
            <w:pPr>
              <w:pStyle w:val="TableParagraph"/>
              <w:spacing w:before="150"/>
              <w:ind w:left="108"/>
              <w:rPr>
                <w:rFonts w:ascii="Times New Roman"/>
                <w:b/>
                <w:sz w:val="21"/>
              </w:rPr>
            </w:pPr>
            <w:r>
              <w:rPr>
                <w:rFonts w:ascii="Times New Roman"/>
                <w:b/>
                <w:sz w:val="21"/>
              </w:rPr>
              <w:t>3.1</w:t>
            </w:r>
          </w:p>
        </w:tc>
        <w:tc>
          <w:tcPr>
            <w:tcW w:w="1274" w:type="dxa"/>
          </w:tcPr>
          <w:p>
            <w:pPr>
              <w:pStyle w:val="TableParagraph"/>
              <w:spacing w:line="261" w:lineRule="auto" w:before="101"/>
              <w:ind w:left="229" w:right="197"/>
              <w:jc w:val="both"/>
              <w:rPr>
                <w:b/>
                <w:sz w:val="21"/>
              </w:rPr>
            </w:pPr>
            <w:r>
              <w:rPr>
                <w:b/>
                <w:sz w:val="21"/>
              </w:rPr>
              <w:t>明确说明与如实告知</w:t>
            </w:r>
          </w:p>
        </w:tc>
        <w:tc>
          <w:tcPr>
            <w:tcW w:w="7697" w:type="dxa"/>
          </w:tcPr>
          <w:p>
            <w:pPr>
              <w:pStyle w:val="TableParagraph"/>
              <w:spacing w:before="101"/>
              <w:ind w:left="200"/>
              <w:rPr>
                <w:sz w:val="21"/>
              </w:rPr>
            </w:pPr>
            <w:r>
              <w:rPr>
                <w:sz w:val="21"/>
              </w:rPr>
              <w:t>订立本合同时，我们应向您说明本合同的内容。</w:t>
            </w:r>
          </w:p>
          <w:p>
            <w:pPr>
              <w:pStyle w:val="TableParagraph"/>
              <w:spacing w:line="261" w:lineRule="auto" w:before="25"/>
              <w:ind w:left="200" w:right="106"/>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6"/>
              <w:ind w:left="200"/>
              <w:rPr>
                <w:sz w:val="21"/>
              </w:rPr>
            </w:pPr>
            <w:r>
              <w:rPr>
                <w:sz w:val="21"/>
              </w:rPr>
              <w:t>我们就您和被保险人的有关情况提出询问的，您应当如实告知。</w:t>
            </w:r>
          </w:p>
          <w:p>
            <w:pPr>
              <w:pStyle w:val="TableParagraph"/>
              <w:spacing w:line="261" w:lineRule="auto" w:before="25"/>
              <w:ind w:left="200" w:right="106"/>
              <w:rPr>
                <w:rFonts w:ascii="黑体" w:eastAsia="黑体" w:hint="eastAsia"/>
                <w:sz w:val="21"/>
              </w:rPr>
            </w:pPr>
            <w:r>
              <w:rPr>
                <w:rFonts w:ascii="黑体" w:eastAsia="黑体" w:hint="eastAsia"/>
                <w:sz w:val="21"/>
              </w:rPr>
              <w:t>若您故意或者因重大过失未履行前款规定的如实告知义务，足以影响我们决定是否同意承保或者提高保险费率的，我们有权解除本合同。</w:t>
            </w:r>
          </w:p>
          <w:p>
            <w:pPr>
              <w:pStyle w:val="TableParagraph"/>
              <w:spacing w:line="261" w:lineRule="auto" w:before="6"/>
              <w:ind w:left="200" w:right="106"/>
              <w:rPr>
                <w:rFonts w:ascii="黑体" w:eastAsia="黑体" w:hint="eastAsia"/>
                <w:sz w:val="21"/>
              </w:rPr>
            </w:pPr>
            <w:r>
              <w:rPr>
                <w:rFonts w:ascii="黑体" w:eastAsia="黑体" w:hint="eastAsia"/>
                <w:sz w:val="21"/>
              </w:rPr>
              <w:t>若您故意不履行如实告知义务，对于本合同解除前发Th的保险事故，我们不承担给付保险金的责任，并不退还保险费。</w:t>
            </w:r>
          </w:p>
          <w:p>
            <w:pPr>
              <w:pStyle w:val="TableParagraph"/>
              <w:spacing w:line="261" w:lineRule="auto" w:before="5"/>
              <w:ind w:left="200" w:right="-15"/>
              <w:rPr>
                <w:rFonts w:ascii="黑体" w:eastAsia="黑体" w:hint="eastAsia"/>
                <w:sz w:val="21"/>
              </w:rPr>
            </w:pPr>
            <w:r>
              <w:rPr>
                <w:rFonts w:ascii="黑体" w:eastAsia="黑体" w:hint="eastAsia"/>
                <w:spacing w:val="-2"/>
                <w:sz w:val="21"/>
              </w:rPr>
              <w:t>若您因重大过失未履行如实告知义务，对保险事故的发</w:t>
            </w:r>
            <w:r>
              <w:rPr>
                <w:rFonts w:ascii="黑体" w:eastAsia="黑体" w:hint="eastAsia"/>
                <w:sz w:val="21"/>
              </w:rPr>
              <w:t>Th</w:t>
            </w:r>
            <w:r>
              <w:rPr>
                <w:rFonts w:ascii="黑体" w:eastAsia="黑体" w:hint="eastAsia"/>
                <w:spacing w:val="-1"/>
                <w:sz w:val="21"/>
              </w:rPr>
              <w:t>有严重影响的，对于本</w:t>
            </w:r>
            <w:r>
              <w:rPr>
                <w:rFonts w:ascii="黑体" w:eastAsia="黑体" w:hint="eastAsia"/>
                <w:spacing w:val="-3"/>
                <w:sz w:val="21"/>
              </w:rPr>
              <w:t>合同解除前发</w:t>
            </w:r>
            <w:r>
              <w:rPr>
                <w:rFonts w:ascii="黑体" w:eastAsia="黑体" w:hint="eastAsia"/>
                <w:sz w:val="21"/>
              </w:rPr>
              <w:t>Th</w:t>
            </w:r>
            <w:r>
              <w:rPr>
                <w:rFonts w:ascii="黑体" w:eastAsia="黑体" w:hint="eastAsia"/>
                <w:spacing w:val="-10"/>
                <w:sz w:val="21"/>
              </w:rPr>
              <w:t>的保险事故，我们不承担给付保险金的责任，但应当退还保险费。</w:t>
            </w:r>
          </w:p>
        </w:tc>
      </w:tr>
      <w:tr>
        <w:trPr>
          <w:trHeight w:val="915" w:hRule="atLeast"/>
        </w:trPr>
        <w:tc>
          <w:tcPr>
            <w:tcW w:w="601" w:type="dxa"/>
          </w:tcPr>
          <w:p>
            <w:pPr>
              <w:pStyle w:val="TableParagraph"/>
              <w:spacing w:before="83"/>
              <w:ind w:left="108"/>
              <w:rPr>
                <w:rFonts w:ascii="Times New Roman"/>
                <w:b/>
                <w:sz w:val="21"/>
              </w:rPr>
            </w:pPr>
            <w:r>
              <w:rPr>
                <w:rFonts w:ascii="Times New Roman"/>
                <w:b/>
                <w:sz w:val="21"/>
              </w:rPr>
              <w:t>3.2</w:t>
            </w:r>
          </w:p>
        </w:tc>
        <w:tc>
          <w:tcPr>
            <w:tcW w:w="1274" w:type="dxa"/>
          </w:tcPr>
          <w:p>
            <w:pPr>
              <w:pStyle w:val="TableParagraph"/>
              <w:spacing w:line="261" w:lineRule="auto" w:before="33"/>
              <w:ind w:left="229" w:right="197"/>
              <w:rPr>
                <w:b/>
                <w:sz w:val="21"/>
              </w:rPr>
            </w:pPr>
            <w:r>
              <w:rPr>
                <w:b/>
                <w:sz w:val="21"/>
              </w:rPr>
              <w:t>保险费的交纳</w:t>
            </w:r>
          </w:p>
        </w:tc>
        <w:tc>
          <w:tcPr>
            <w:tcW w:w="7697" w:type="dxa"/>
          </w:tcPr>
          <w:p>
            <w:pPr>
              <w:pStyle w:val="TableParagraph"/>
              <w:spacing w:before="33"/>
              <w:ind w:left="200"/>
              <w:rPr>
                <w:sz w:val="21"/>
              </w:rPr>
            </w:pPr>
            <w:r>
              <w:rPr>
                <w:sz w:val="21"/>
              </w:rPr>
              <w:t>本合同的保险费可一次交清或分期交纳。</w:t>
            </w:r>
          </w:p>
          <w:p>
            <w:pPr>
              <w:pStyle w:val="TableParagraph"/>
              <w:spacing w:line="280" w:lineRule="atLeast" w:before="24"/>
              <w:ind w:left="200" w:right="28"/>
              <w:rPr>
                <w:sz w:val="21"/>
              </w:rPr>
            </w:pPr>
            <w:r>
              <w:rPr>
                <w:sz w:val="21"/>
              </w:rPr>
              <w:t>分期交纳的交费期间为 </w:t>
            </w:r>
            <w:r>
              <w:rPr>
                <w:rFonts w:ascii="Times New Roman" w:eastAsia="Times New Roman"/>
                <w:sz w:val="21"/>
              </w:rPr>
              <w:t>5 </w:t>
            </w:r>
            <w:r>
              <w:rPr>
                <w:sz w:val="21"/>
              </w:rPr>
              <w:t>年、</w:t>
            </w:r>
            <w:r>
              <w:rPr>
                <w:rFonts w:ascii="Times New Roman" w:eastAsia="Times New Roman"/>
                <w:sz w:val="21"/>
              </w:rPr>
              <w:t>10 </w:t>
            </w:r>
            <w:r>
              <w:rPr>
                <w:sz w:val="21"/>
              </w:rPr>
              <w:t>年、</w:t>
            </w:r>
            <w:r>
              <w:rPr>
                <w:rFonts w:ascii="Times New Roman" w:eastAsia="Times New Roman"/>
                <w:sz w:val="21"/>
              </w:rPr>
              <w:t>15 </w:t>
            </w:r>
            <w:r>
              <w:rPr>
                <w:sz w:val="21"/>
              </w:rPr>
              <w:t>年和 </w:t>
            </w:r>
            <w:r>
              <w:rPr>
                <w:rFonts w:ascii="Times New Roman" w:eastAsia="Times New Roman"/>
                <w:sz w:val="21"/>
              </w:rPr>
              <w:t>20 </w:t>
            </w:r>
            <w:r>
              <w:rPr>
                <w:sz w:val="21"/>
              </w:rPr>
              <w:t>年四种。分期交纳的交费方式为年交、半年交或我们同意的其他方式。</w:t>
            </w:r>
          </w:p>
        </w:tc>
      </w:tr>
    </w:tbl>
    <w:p>
      <w:pPr>
        <w:spacing w:after="0" w:line="280" w:lineRule="atLeast"/>
        <w:rPr>
          <w:sz w:val="21"/>
        </w:rPr>
        <w:sectPr>
          <w:pgSz w:w="11910" w:h="16840"/>
          <w:pgMar w:top="148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954"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line="211" w:lineRule="exact"/>
              <w:ind w:left="199"/>
              <w:rPr>
                <w:sz w:val="21"/>
              </w:rPr>
            </w:pPr>
            <w:r>
              <w:rPr>
                <w:sz w:val="21"/>
              </w:rPr>
              <w:t>交费方式和交费期间由您在投保时与我们约定并在保险单上载明。若您选择分期</w:t>
            </w:r>
          </w:p>
          <w:p>
            <w:pPr>
              <w:pStyle w:val="TableParagraph"/>
              <w:spacing w:line="261" w:lineRule="auto" w:before="25"/>
              <w:ind w:left="199" w:right="109"/>
              <w:rPr>
                <w:sz w:val="21"/>
              </w:rPr>
            </w:pPr>
            <w:r>
              <w:rPr>
                <w:sz w:val="21"/>
              </w:rPr>
              <w:t>交纳保险费，在交纳首期保险费后，您应当按照本合同的约定按期足额向我们交纳续期保险费。</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您对本合同拥有的权利</w:t>
            </w:r>
          </w:p>
        </w:tc>
      </w:tr>
      <w:tr>
        <w:trPr>
          <w:trHeight w:val="1387" w:hRule="atLeast"/>
        </w:trPr>
        <w:tc>
          <w:tcPr>
            <w:tcW w:w="602" w:type="dxa"/>
          </w:tcPr>
          <w:p>
            <w:pPr>
              <w:pStyle w:val="TableParagraph"/>
              <w:spacing w:before="156"/>
              <w:ind w:left="108"/>
              <w:rPr>
                <w:rFonts w:ascii="Times New Roman"/>
                <w:b/>
                <w:sz w:val="21"/>
              </w:rPr>
            </w:pPr>
            <w:r>
              <w:rPr>
                <w:rFonts w:ascii="Times New Roman"/>
                <w:b/>
                <w:sz w:val="21"/>
              </w:rPr>
              <w:t>4.1</w:t>
            </w:r>
          </w:p>
        </w:tc>
        <w:tc>
          <w:tcPr>
            <w:tcW w:w="1275" w:type="dxa"/>
          </w:tcPr>
          <w:p>
            <w:pPr>
              <w:pStyle w:val="TableParagraph"/>
              <w:spacing w:before="107"/>
              <w:ind w:left="228"/>
              <w:rPr>
                <w:b/>
                <w:sz w:val="21"/>
              </w:rPr>
            </w:pPr>
            <w:r>
              <w:rPr>
                <w:b/>
                <w:sz w:val="21"/>
              </w:rPr>
              <w:t>犹豫期</w:t>
            </w:r>
          </w:p>
        </w:tc>
        <w:tc>
          <w:tcPr>
            <w:tcW w:w="7698" w:type="dxa"/>
          </w:tcPr>
          <w:p>
            <w:pPr>
              <w:pStyle w:val="TableParagraph"/>
              <w:spacing w:line="256" w:lineRule="auto" w:before="107"/>
              <w:ind w:left="199" w:right="105"/>
              <w:jc w:val="both"/>
              <w:rPr>
                <w:sz w:val="21"/>
              </w:rPr>
            </w:pPr>
            <w:r>
              <w:rPr>
                <w:spacing w:val="-7"/>
                <w:sz w:val="21"/>
              </w:rPr>
              <w:t>您于签收本合同后 </w:t>
            </w:r>
            <w:r>
              <w:rPr>
                <w:rFonts w:ascii="Times New Roman" w:eastAsia="Times New Roman"/>
                <w:sz w:val="21"/>
              </w:rPr>
              <w:t>15 </w:t>
            </w:r>
            <w:r>
              <w:rPr>
                <w:spacing w:val="-8"/>
                <w:sz w:val="21"/>
              </w:rPr>
              <w:t>日内可要求撤销本合同。若您在此期间提出撤销本合同，需要填写书面申请书，并提供您的保险合同及有效身份证件。</w:t>
            </w:r>
            <w:r>
              <w:rPr>
                <w:rFonts w:ascii="黑体" w:eastAsia="黑体" w:hint="eastAsia"/>
                <w:spacing w:val="-1"/>
                <w:sz w:val="21"/>
              </w:rPr>
              <w:t>自您书面申请撤销本</w:t>
            </w:r>
            <w:r>
              <w:rPr>
                <w:rFonts w:ascii="黑体" w:eastAsia="黑体" w:hint="eastAsia"/>
                <w:spacing w:val="-2"/>
                <w:sz w:val="21"/>
              </w:rPr>
              <w:t>合同之日起，本合同即被撤销，我们自本合同</w:t>
            </w:r>
            <w:r>
              <w:rPr>
                <w:rFonts w:ascii="黑体" w:eastAsia="黑体" w:hint="eastAsia"/>
                <w:sz w:val="21"/>
              </w:rPr>
              <w:t>Th</w:t>
            </w:r>
            <w:r>
              <w:rPr>
                <w:rFonts w:ascii="黑体" w:eastAsia="黑体" w:hint="eastAsia"/>
                <w:spacing w:val="-2"/>
                <w:sz w:val="21"/>
              </w:rPr>
              <w:t>效日起即不承担保险责任。</w:t>
            </w:r>
            <w:r>
              <w:rPr>
                <w:sz w:val="21"/>
              </w:rPr>
              <w:t>本合</w:t>
            </w:r>
            <w:r>
              <w:rPr>
                <w:spacing w:val="-10"/>
                <w:sz w:val="21"/>
              </w:rPr>
              <w:t>同撤销后 </w:t>
            </w:r>
            <w:r>
              <w:rPr>
                <w:rFonts w:ascii="Times New Roman" w:eastAsia="Times New Roman"/>
                <w:sz w:val="21"/>
              </w:rPr>
              <w:t>30 </w:t>
            </w:r>
            <w:r>
              <w:rPr>
                <w:spacing w:val="-3"/>
                <w:sz w:val="21"/>
              </w:rPr>
              <w:t>日内，我们无息退还您已交保险费。</w:t>
            </w:r>
          </w:p>
        </w:tc>
      </w:tr>
      <w:tr>
        <w:trPr>
          <w:trHeight w:val="704" w:hRule="atLeast"/>
        </w:trPr>
        <w:tc>
          <w:tcPr>
            <w:tcW w:w="602" w:type="dxa"/>
          </w:tcPr>
          <w:p>
            <w:pPr>
              <w:pStyle w:val="TableParagraph"/>
              <w:spacing w:before="81"/>
              <w:ind w:left="108"/>
              <w:rPr>
                <w:rFonts w:ascii="Times New Roman"/>
                <w:b/>
                <w:sz w:val="21"/>
              </w:rPr>
            </w:pPr>
            <w:r>
              <w:rPr>
                <w:rFonts w:ascii="Times New Roman"/>
                <w:b/>
                <w:sz w:val="21"/>
              </w:rPr>
              <w:t>4.2</w:t>
            </w:r>
          </w:p>
        </w:tc>
        <w:tc>
          <w:tcPr>
            <w:tcW w:w="1275" w:type="dxa"/>
          </w:tcPr>
          <w:p>
            <w:pPr>
              <w:pStyle w:val="TableParagraph"/>
              <w:spacing w:line="261" w:lineRule="auto" w:before="32"/>
              <w:ind w:left="228" w:right="199"/>
              <w:rPr>
                <w:b/>
                <w:sz w:val="21"/>
              </w:rPr>
            </w:pPr>
            <w:r>
              <w:rPr>
                <w:b/>
                <w:sz w:val="21"/>
              </w:rPr>
              <w:t>合同内容变更</w:t>
            </w:r>
          </w:p>
        </w:tc>
        <w:tc>
          <w:tcPr>
            <w:tcW w:w="7698" w:type="dxa"/>
          </w:tcPr>
          <w:p>
            <w:pPr>
              <w:pStyle w:val="TableParagraph"/>
              <w:spacing w:line="261" w:lineRule="auto" w:before="32"/>
              <w:ind w:left="199"/>
              <w:rPr>
                <w:sz w:val="21"/>
              </w:rPr>
            </w:pPr>
            <w:r>
              <w:rPr>
                <w:spacing w:val="-9"/>
                <w:sz w:val="21"/>
              </w:rPr>
              <w:t>在本合同有效期内，经我们同意，您可以变更本合同的有关内容。变更本合同的， 应当由我们在保险单上批注或者附贴批单，或者由您与我们订立书面的变更协议。</w:t>
            </w:r>
          </w:p>
        </w:tc>
      </w:tr>
      <w:tr>
        <w:trPr>
          <w:trHeight w:val="1649" w:hRule="atLeast"/>
        </w:trPr>
        <w:tc>
          <w:tcPr>
            <w:tcW w:w="602" w:type="dxa"/>
          </w:tcPr>
          <w:p>
            <w:pPr>
              <w:pStyle w:val="TableParagraph"/>
              <w:spacing w:before="90"/>
              <w:ind w:left="108"/>
              <w:rPr>
                <w:rFonts w:ascii="Times New Roman"/>
                <w:b/>
                <w:sz w:val="21"/>
              </w:rPr>
            </w:pPr>
            <w:r>
              <w:rPr>
                <w:rFonts w:ascii="Times New Roman"/>
                <w:b/>
                <w:sz w:val="21"/>
              </w:rPr>
              <w:t>4.3</w:t>
            </w:r>
          </w:p>
        </w:tc>
        <w:tc>
          <w:tcPr>
            <w:tcW w:w="1275" w:type="dxa"/>
          </w:tcPr>
          <w:p>
            <w:pPr>
              <w:pStyle w:val="TableParagraph"/>
              <w:spacing w:before="40"/>
              <w:ind w:left="228"/>
              <w:rPr>
                <w:b/>
                <w:sz w:val="21"/>
              </w:rPr>
            </w:pPr>
            <w:r>
              <w:rPr>
                <w:b/>
                <w:sz w:val="21"/>
              </w:rPr>
              <w:t>宽限期</w:t>
            </w:r>
          </w:p>
        </w:tc>
        <w:tc>
          <w:tcPr>
            <w:tcW w:w="7698" w:type="dxa"/>
          </w:tcPr>
          <w:p>
            <w:pPr>
              <w:pStyle w:val="TableParagraph"/>
              <w:spacing w:line="268" w:lineRule="auto" w:before="33"/>
              <w:ind w:left="199" w:right="107"/>
              <w:rPr>
                <w:rFonts w:ascii="黑体" w:eastAsia="黑体" w:hint="eastAsia"/>
                <w:sz w:val="21"/>
              </w:rPr>
            </w:pPr>
            <w:r>
              <w:rPr>
                <w:spacing w:val="-3"/>
                <w:sz w:val="21"/>
              </w:rPr>
              <w:t>分期交纳保险费的，您交纳首期保险费后，除本合同另有约定外，若您到期未交</w:t>
            </w:r>
            <w:r>
              <w:rPr>
                <w:spacing w:val="-10"/>
                <w:sz w:val="21"/>
              </w:rPr>
              <w:t>纳保险费，自保险费约定交纳日的次日零时起 </w:t>
            </w:r>
            <w:r>
              <w:rPr>
                <w:rFonts w:ascii="Times New Roman" w:eastAsia="Times New Roman"/>
                <w:sz w:val="21"/>
              </w:rPr>
              <w:t>60 </w:t>
            </w:r>
            <w:r>
              <w:rPr>
                <w:spacing w:val="-8"/>
                <w:sz w:val="21"/>
              </w:rPr>
              <w:t>日为宽限期。宽限期内发生的保</w:t>
            </w:r>
            <w:r>
              <w:rPr>
                <w:spacing w:val="-5"/>
                <w:sz w:val="21"/>
              </w:rPr>
              <w:t>险事故，我们仍会承担保险责任，但在给付保险金时会扣减您欠交的保险费。 </w:t>
            </w:r>
            <w:r>
              <w:rPr>
                <w:rFonts w:ascii="黑体" w:eastAsia="黑体" w:hint="eastAsia"/>
                <w:spacing w:val="-4"/>
                <w:sz w:val="21"/>
              </w:rPr>
              <w:t>若您宽限期结束之后仍未交纳保险费，则本合同自宽限期满的次日零时起效力中止。</w:t>
            </w:r>
          </w:p>
        </w:tc>
      </w:tr>
      <w:tr>
        <w:trPr>
          <w:trHeight w:val="1917" w:hRule="atLeast"/>
        </w:trPr>
        <w:tc>
          <w:tcPr>
            <w:tcW w:w="602" w:type="dxa"/>
          </w:tcPr>
          <w:p>
            <w:pPr>
              <w:pStyle w:val="TableParagraph"/>
              <w:spacing w:before="89"/>
              <w:ind w:left="108"/>
              <w:rPr>
                <w:rFonts w:ascii="Times New Roman"/>
                <w:b/>
                <w:sz w:val="21"/>
              </w:rPr>
            </w:pPr>
            <w:r>
              <w:rPr>
                <w:rFonts w:ascii="Times New Roman"/>
                <w:b/>
                <w:sz w:val="21"/>
              </w:rPr>
              <w:t>4.4</w:t>
            </w:r>
          </w:p>
        </w:tc>
        <w:tc>
          <w:tcPr>
            <w:tcW w:w="1275" w:type="dxa"/>
          </w:tcPr>
          <w:p>
            <w:pPr>
              <w:pStyle w:val="TableParagraph"/>
              <w:spacing w:line="261" w:lineRule="auto" w:before="40"/>
              <w:ind w:left="228" w:right="199"/>
              <w:rPr>
                <w:b/>
                <w:sz w:val="21"/>
              </w:rPr>
            </w:pPr>
            <w:r>
              <w:rPr>
                <w:b/>
                <w:sz w:val="21"/>
              </w:rPr>
              <w:t>保险费的自动垫交</w:t>
            </w:r>
          </w:p>
        </w:tc>
        <w:tc>
          <w:tcPr>
            <w:tcW w:w="7698" w:type="dxa"/>
          </w:tcPr>
          <w:p>
            <w:pPr>
              <w:pStyle w:val="TableParagraph"/>
              <w:spacing w:line="261" w:lineRule="auto" w:before="40"/>
              <w:ind w:left="199" w:right="139"/>
              <w:jc w:val="both"/>
              <w:rPr>
                <w:sz w:val="21"/>
              </w:rPr>
            </w:pPr>
            <w:r>
              <w:rPr>
                <w:sz w:val="21"/>
              </w:rPr>
              <w:t>您在宽限期结束时仍未交纳保险费，且您在投保时对保险费逾期未交的处理方式选择了自动垫交，我们将以本合同当时的现金价值扣除各项欠款之后的余额自动垫交到期应交保险费及其</w:t>
            </w:r>
            <w:r>
              <w:rPr>
                <w:b/>
                <w:sz w:val="21"/>
              </w:rPr>
              <w:t>利息</w:t>
            </w:r>
            <w:r>
              <w:rPr>
                <w:sz w:val="21"/>
              </w:rPr>
              <w:t>（见 </w:t>
            </w:r>
            <w:r>
              <w:rPr>
                <w:rFonts w:ascii="Times New Roman" w:eastAsia="Times New Roman"/>
                <w:sz w:val="21"/>
              </w:rPr>
              <w:t>7.16</w:t>
            </w:r>
            <w:r>
              <w:rPr>
                <w:sz w:val="21"/>
              </w:rPr>
              <w:t>），本合同继续有效。</w:t>
            </w:r>
          </w:p>
          <w:p>
            <w:pPr>
              <w:pStyle w:val="TableParagraph"/>
              <w:spacing w:line="261" w:lineRule="auto"/>
              <w:ind w:left="199"/>
              <w:rPr>
                <w:rFonts w:ascii="黑体" w:eastAsia="黑体" w:hint="eastAsia"/>
                <w:sz w:val="21"/>
              </w:rPr>
            </w:pPr>
            <w:r>
              <w:rPr>
                <w:spacing w:val="-3"/>
                <w:sz w:val="21"/>
              </w:rPr>
              <w:t>当本合同当时的现金价值扣除各项欠款后的余额不足以垫交本合同到期应交保险</w:t>
            </w:r>
            <w:r>
              <w:rPr>
                <w:spacing w:val="-10"/>
                <w:sz w:val="21"/>
              </w:rPr>
              <w:t>费及其利息时，我们按该余额折算成承保日数，自动垫交其应交的保险费及利息； </w:t>
            </w:r>
            <w:r>
              <w:rPr>
                <w:rFonts w:ascii="黑体" w:eastAsia="黑体" w:hint="eastAsia"/>
                <w:spacing w:val="-9"/>
                <w:sz w:val="21"/>
              </w:rPr>
              <w:t>当该余额不足以垫交 </w:t>
            </w:r>
            <w:r>
              <w:rPr>
                <w:rFonts w:ascii="Times New Roman" w:eastAsia="Times New Roman"/>
                <w:sz w:val="21"/>
              </w:rPr>
              <w:t>1 </w:t>
            </w:r>
            <w:r>
              <w:rPr>
                <w:rFonts w:ascii="黑体" w:eastAsia="黑体" w:hint="eastAsia"/>
                <w:spacing w:val="-3"/>
                <w:sz w:val="21"/>
              </w:rPr>
              <w:t>日的保险费时，本合同效力中止。</w:t>
            </w:r>
          </w:p>
        </w:tc>
      </w:tr>
      <w:tr>
        <w:trPr>
          <w:trHeight w:val="1334" w:hRule="atLeast"/>
        </w:trPr>
        <w:tc>
          <w:tcPr>
            <w:tcW w:w="602" w:type="dxa"/>
          </w:tcPr>
          <w:p>
            <w:pPr>
              <w:pStyle w:val="TableParagraph"/>
              <w:spacing w:before="85"/>
              <w:ind w:left="108"/>
              <w:rPr>
                <w:rFonts w:ascii="Times New Roman"/>
                <w:b/>
                <w:sz w:val="21"/>
              </w:rPr>
            </w:pPr>
            <w:r>
              <w:rPr>
                <w:rFonts w:ascii="Times New Roman"/>
                <w:b/>
                <w:sz w:val="21"/>
              </w:rPr>
              <w:t>4.5</w:t>
            </w:r>
          </w:p>
        </w:tc>
        <w:tc>
          <w:tcPr>
            <w:tcW w:w="1275" w:type="dxa"/>
          </w:tcPr>
          <w:p>
            <w:pPr>
              <w:pStyle w:val="TableParagraph"/>
              <w:spacing w:line="261" w:lineRule="auto" w:before="36"/>
              <w:ind w:left="228" w:right="199"/>
              <w:rPr>
                <w:b/>
                <w:sz w:val="21"/>
              </w:rPr>
            </w:pPr>
            <w:r>
              <w:rPr>
                <w:b/>
                <w:sz w:val="21"/>
              </w:rPr>
              <w:t>合同效力的恢复</w:t>
            </w:r>
          </w:p>
        </w:tc>
        <w:tc>
          <w:tcPr>
            <w:tcW w:w="7698" w:type="dxa"/>
          </w:tcPr>
          <w:p>
            <w:pPr>
              <w:pStyle w:val="TableParagraph"/>
              <w:spacing w:line="256" w:lineRule="auto" w:before="28"/>
              <w:ind w:left="199" w:right="77"/>
              <w:rPr>
                <w:sz w:val="21"/>
              </w:rPr>
            </w:pPr>
            <w:r>
              <w:rPr>
                <w:sz w:val="21"/>
              </w:rPr>
              <w:t>本合同效力中止后 </w:t>
            </w:r>
            <w:r>
              <w:rPr>
                <w:rFonts w:ascii="Times New Roman" w:eastAsia="Times New Roman"/>
                <w:sz w:val="21"/>
              </w:rPr>
              <w:t>2 </w:t>
            </w:r>
            <w:r>
              <w:rPr>
                <w:sz w:val="21"/>
              </w:rPr>
              <w:t>年内，您可以申请恢复合同效力。经我们与您协商并达成协议，在您补交保险费、利息及其他各项欠款的次日零时起，合同效力恢复。</w:t>
            </w:r>
          </w:p>
          <w:p>
            <w:pPr>
              <w:pStyle w:val="TableParagraph"/>
              <w:spacing w:line="247" w:lineRule="auto" w:before="29"/>
              <w:ind w:left="199" w:right="59"/>
              <w:rPr>
                <w:sz w:val="21"/>
              </w:rPr>
            </w:pPr>
            <w:r>
              <w:rPr>
                <w:rFonts w:ascii="黑体" w:eastAsia="黑体" w:hint="eastAsia"/>
                <w:sz w:val="21"/>
              </w:rPr>
              <w:t>自本合同效力中止之日起满 </w:t>
            </w:r>
            <w:r>
              <w:rPr>
                <w:rFonts w:ascii="Times New Roman" w:eastAsia="Times New Roman"/>
                <w:sz w:val="21"/>
              </w:rPr>
              <w:t>2 </w:t>
            </w:r>
            <w:r>
              <w:rPr>
                <w:rFonts w:ascii="黑体" w:eastAsia="黑体" w:hint="eastAsia"/>
                <w:sz w:val="21"/>
              </w:rPr>
              <w:t>年您和我们未达成协议的，我们有权解除合同。</w:t>
            </w:r>
            <w:r>
              <w:rPr>
                <w:sz w:val="21"/>
              </w:rPr>
              <w:t>我们解除合同的，向您退还合同效力中止时本合同的现金价值。</w:t>
            </w:r>
          </w:p>
        </w:tc>
      </w:tr>
      <w:tr>
        <w:trPr>
          <w:trHeight w:val="1959" w:hRule="atLeast"/>
        </w:trPr>
        <w:tc>
          <w:tcPr>
            <w:tcW w:w="602" w:type="dxa"/>
          </w:tcPr>
          <w:p>
            <w:pPr>
              <w:pStyle w:val="TableParagraph"/>
              <w:spacing w:before="90"/>
              <w:ind w:left="108"/>
              <w:rPr>
                <w:rFonts w:ascii="Times New Roman"/>
                <w:b/>
                <w:sz w:val="21"/>
              </w:rPr>
            </w:pPr>
            <w:r>
              <w:rPr>
                <w:rFonts w:ascii="Times New Roman"/>
                <w:b/>
                <w:sz w:val="21"/>
              </w:rPr>
              <w:t>4.6</w:t>
            </w:r>
          </w:p>
        </w:tc>
        <w:tc>
          <w:tcPr>
            <w:tcW w:w="1275" w:type="dxa"/>
          </w:tcPr>
          <w:p>
            <w:pPr>
              <w:pStyle w:val="TableParagraph"/>
              <w:spacing w:line="261" w:lineRule="auto" w:before="41"/>
              <w:ind w:left="228" w:right="199"/>
              <w:jc w:val="both"/>
              <w:rPr>
                <w:b/>
                <w:sz w:val="21"/>
              </w:rPr>
            </w:pPr>
            <w:r>
              <w:rPr>
                <w:b/>
                <w:sz w:val="21"/>
              </w:rPr>
              <w:t>您解除合同的手续及风险</w:t>
            </w:r>
          </w:p>
        </w:tc>
        <w:tc>
          <w:tcPr>
            <w:tcW w:w="7698" w:type="dxa"/>
          </w:tcPr>
          <w:p>
            <w:pPr>
              <w:pStyle w:val="TableParagraph"/>
              <w:spacing w:before="41"/>
              <w:ind w:left="199"/>
              <w:rPr>
                <w:sz w:val="21"/>
              </w:rPr>
            </w:pPr>
            <w:r>
              <w:rPr>
                <w:spacing w:val="-8"/>
                <w:sz w:val="21"/>
              </w:rPr>
              <w:t>若您在犹豫期后申请解除本合同，请填写解除合同申请书并向我们提供下列资料：</w:t>
            </w:r>
          </w:p>
          <w:p>
            <w:pPr>
              <w:pStyle w:val="TableParagraph"/>
              <w:spacing w:before="24"/>
              <w:ind w:left="199"/>
              <w:rPr>
                <w:sz w:val="21"/>
              </w:rPr>
            </w:pPr>
            <w:r>
              <w:rPr>
                <w:sz w:val="21"/>
              </w:rPr>
              <w:t>（</w:t>
            </w:r>
            <w:r>
              <w:rPr>
                <w:rFonts w:ascii="Times New Roman" w:eastAsia="Times New Roman"/>
                <w:sz w:val="21"/>
              </w:rPr>
              <w:t>1</w:t>
            </w:r>
            <w:r>
              <w:rPr>
                <w:sz w:val="21"/>
              </w:rPr>
              <w:t>）保险合同；</w:t>
            </w:r>
          </w:p>
          <w:p>
            <w:pPr>
              <w:pStyle w:val="TableParagraph"/>
              <w:spacing w:before="8"/>
              <w:ind w:left="199"/>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8"/>
              <w:ind w:left="199" w:right="139"/>
              <w:rPr>
                <w:sz w:val="21"/>
              </w:rPr>
            </w:pPr>
            <w:r>
              <w:rPr>
                <w:sz w:val="21"/>
              </w:rPr>
              <w:t>自我们收到解除合同申请书时起，本合同终止。我们自收到解除合同申请书之日起 </w:t>
            </w:r>
            <w:r>
              <w:rPr>
                <w:rFonts w:ascii="Times New Roman" w:eastAsia="Times New Roman"/>
                <w:sz w:val="21"/>
              </w:rPr>
              <w:t>30 </w:t>
            </w:r>
            <w:r>
              <w:rPr>
                <w:sz w:val="21"/>
              </w:rPr>
              <w:t>日内向您退还本合同的现金价值。</w:t>
            </w:r>
          </w:p>
          <w:p>
            <w:pPr>
              <w:pStyle w:val="TableParagraph"/>
              <w:spacing w:line="263" w:lineRule="exact"/>
              <w:ind w:left="199"/>
              <w:rPr>
                <w:rFonts w:ascii="黑体" w:eastAsia="黑体" w:hint="eastAsia"/>
                <w:sz w:val="21"/>
              </w:rPr>
            </w:pPr>
            <w:r>
              <w:rPr>
                <w:rFonts w:ascii="黑体" w:eastAsia="黑体" w:hint="eastAsia"/>
                <w:sz w:val="21"/>
              </w:rPr>
              <w:t>您犹豫期后解除合同会遭受一定损失。</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5</w:t>
              <w:tab/>
            </w:r>
            <w:r>
              <w:rPr>
                <w:b/>
                <w:spacing w:val="-1"/>
                <w:sz w:val="21"/>
              </w:rPr>
              <w:t>如何申请领取保险金</w:t>
            </w:r>
          </w:p>
        </w:tc>
      </w:tr>
      <w:tr>
        <w:trPr>
          <w:trHeight w:val="3087" w:hRule="atLeast"/>
        </w:trPr>
        <w:tc>
          <w:tcPr>
            <w:tcW w:w="602" w:type="dxa"/>
          </w:tcPr>
          <w:p>
            <w:pPr>
              <w:pStyle w:val="TableParagraph"/>
              <w:spacing w:before="156"/>
              <w:ind w:left="108"/>
              <w:rPr>
                <w:rFonts w:ascii="Times New Roman"/>
                <w:b/>
                <w:sz w:val="21"/>
              </w:rPr>
            </w:pPr>
            <w:r>
              <w:rPr>
                <w:rFonts w:ascii="Times New Roman"/>
                <w:b/>
                <w:sz w:val="21"/>
              </w:rPr>
              <w:t>5.1</w:t>
            </w:r>
          </w:p>
        </w:tc>
        <w:tc>
          <w:tcPr>
            <w:tcW w:w="1275" w:type="dxa"/>
          </w:tcPr>
          <w:p>
            <w:pPr>
              <w:pStyle w:val="TableParagraph"/>
              <w:spacing w:before="107"/>
              <w:ind w:left="228"/>
              <w:rPr>
                <w:b/>
                <w:sz w:val="21"/>
              </w:rPr>
            </w:pPr>
            <w:r>
              <w:rPr>
                <w:b/>
                <w:sz w:val="21"/>
              </w:rPr>
              <w:t>受益人</w:t>
            </w:r>
          </w:p>
        </w:tc>
        <w:tc>
          <w:tcPr>
            <w:tcW w:w="7698" w:type="dxa"/>
          </w:tcPr>
          <w:p>
            <w:pPr>
              <w:pStyle w:val="TableParagraph"/>
              <w:spacing w:before="107"/>
              <w:ind w:left="199"/>
              <w:rPr>
                <w:sz w:val="21"/>
              </w:rPr>
            </w:pPr>
            <w:r>
              <w:rPr>
                <w:sz w:val="21"/>
              </w:rPr>
              <w:t>您或者被保险人可以指定一人或多人为身故保险金受益人。</w:t>
            </w:r>
          </w:p>
          <w:p>
            <w:pPr>
              <w:pStyle w:val="TableParagraph"/>
              <w:spacing w:line="261" w:lineRule="auto" w:before="24"/>
              <w:ind w:left="199" w:right="139"/>
              <w:rPr>
                <w:sz w:val="21"/>
              </w:rPr>
            </w:pPr>
            <w:r>
              <w:rPr>
                <w:sz w:val="21"/>
              </w:rPr>
              <w:t>身故保险金受益人为多人时，可以确定受益顺序和受益份额；若没有确定份额， 各受益人按照相等份额享有受益权。</w:t>
            </w:r>
          </w:p>
          <w:p>
            <w:pPr>
              <w:pStyle w:val="TableParagraph"/>
              <w:spacing w:line="261" w:lineRule="auto" w:before="6"/>
              <w:ind w:left="199" w:right="139"/>
              <w:rPr>
                <w:sz w:val="21"/>
              </w:rPr>
            </w:pPr>
            <w:r>
              <w:rPr>
                <w:sz w:val="21"/>
              </w:rPr>
              <w:t>被保险人为无民事行为能力人或限制民事行为能力人的，可以由其监护人指定受益人。</w:t>
            </w:r>
          </w:p>
          <w:p>
            <w:pPr>
              <w:pStyle w:val="TableParagraph"/>
              <w:spacing w:line="261" w:lineRule="auto" w:before="6"/>
              <w:ind w:left="199" w:right="139"/>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6"/>
              <w:ind w:left="199"/>
              <w:rPr>
                <w:sz w:val="21"/>
              </w:rPr>
            </w:pPr>
            <w:r>
              <w:rPr>
                <w:sz w:val="21"/>
              </w:rPr>
              <w:t>您在指定和变更身故保险金受益人时，必须经过被保险人同意。</w:t>
            </w:r>
          </w:p>
          <w:p>
            <w:pPr>
              <w:pStyle w:val="TableParagraph"/>
              <w:spacing w:line="312" w:lineRule="exact" w:before="13"/>
              <w:ind w:left="199"/>
              <w:rPr>
                <w:sz w:val="21"/>
              </w:rPr>
            </w:pPr>
            <w:r>
              <w:rPr>
                <w:spacing w:val="-10"/>
                <w:sz w:val="21"/>
              </w:rPr>
              <w:t>除本合同另有指定外，重大疾病保险金和轻症疾病保险金受益人为被保险人本人。被保险人身故后，有下列情形之一的，保险金作为被保险人的遗产，由我们依照</w:t>
            </w:r>
          </w:p>
        </w:tc>
      </w:tr>
    </w:tbl>
    <w:p>
      <w:pPr>
        <w:spacing w:after="0" w:line="312" w:lineRule="exact"/>
        <w:rPr>
          <w:sz w:val="21"/>
        </w:rPr>
        <w:sectPr>
          <w:pgSz w:w="11910" w:h="16840"/>
          <w:pgMar w:top="1480" w:bottom="280" w:left="116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59"/>
        <w:gridCol w:w="7811"/>
      </w:tblGrid>
      <w:tr>
        <w:trPr>
          <w:trHeight w:val="2488" w:hRule="atLeast"/>
        </w:trPr>
        <w:tc>
          <w:tcPr>
            <w:tcW w:w="693" w:type="dxa"/>
          </w:tcPr>
          <w:p>
            <w:pPr>
              <w:pStyle w:val="TableParagraph"/>
              <w:ind w:left="0"/>
              <w:rPr>
                <w:rFonts w:ascii="Times New Roman"/>
                <w:sz w:val="20"/>
              </w:rPr>
            </w:pPr>
          </w:p>
        </w:tc>
        <w:tc>
          <w:tcPr>
            <w:tcW w:w="1359" w:type="dxa"/>
          </w:tcPr>
          <w:p>
            <w:pPr>
              <w:pStyle w:val="TableParagraph"/>
              <w:ind w:left="0"/>
              <w:rPr>
                <w:rFonts w:ascii="Times New Roman"/>
                <w:sz w:val="20"/>
              </w:rPr>
            </w:pPr>
          </w:p>
        </w:tc>
        <w:tc>
          <w:tcPr>
            <w:tcW w:w="7811" w:type="dxa"/>
          </w:tcPr>
          <w:p>
            <w:pPr>
              <w:pStyle w:val="TableParagraph"/>
              <w:spacing w:line="204" w:lineRule="exact"/>
              <w:ind w:left="115"/>
              <w:rPr>
                <w:sz w:val="21"/>
              </w:rPr>
            </w:pPr>
            <w:r>
              <w:rPr>
                <w:sz w:val="21"/>
              </w:rPr>
              <w:t>《中华人民共和国继承法》的规定履行给付保险金的义务：</w:t>
            </w:r>
          </w:p>
          <w:p>
            <w:pPr>
              <w:pStyle w:val="TableParagraph"/>
              <w:spacing w:before="37"/>
              <w:ind w:left="115"/>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0"/>
              <w:ind w:left="115"/>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0"/>
              <w:ind w:left="115"/>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0"/>
              <w:ind w:left="115" w:right="305"/>
              <w:rPr>
                <w:sz w:val="21"/>
              </w:rPr>
            </w:pPr>
            <w:r>
              <w:rPr>
                <w:sz w:val="21"/>
              </w:rPr>
              <w:t>受益人与被保险人在同一事件中身故，且不能确定身故顺序的，推定受益人身故在先。</w:t>
            </w:r>
          </w:p>
          <w:p>
            <w:pPr>
              <w:pStyle w:val="TableParagraph"/>
              <w:spacing w:line="261" w:lineRule="auto" w:before="14"/>
              <w:ind w:left="115" w:right="335"/>
              <w:rPr>
                <w:sz w:val="21"/>
              </w:rPr>
            </w:pPr>
            <w:r>
              <w:rPr>
                <w:sz w:val="21"/>
              </w:rPr>
              <w:t>受益人故意造成被保险人身故、伤残、疾病的，或者故意杀害被保险人未遂的， 该受益人丧失受益权。</w:t>
            </w:r>
          </w:p>
        </w:tc>
      </w:tr>
      <w:tr>
        <w:trPr>
          <w:trHeight w:val="1613" w:hRule="atLeast"/>
        </w:trPr>
        <w:tc>
          <w:tcPr>
            <w:tcW w:w="693" w:type="dxa"/>
          </w:tcPr>
          <w:p>
            <w:pPr>
              <w:pStyle w:val="TableParagraph"/>
              <w:spacing w:before="82"/>
              <w:ind w:left="181" w:right="209"/>
              <w:jc w:val="center"/>
              <w:rPr>
                <w:rFonts w:ascii="Times New Roman"/>
                <w:b/>
                <w:sz w:val="21"/>
              </w:rPr>
            </w:pPr>
            <w:r>
              <w:rPr>
                <w:rFonts w:ascii="Times New Roman"/>
                <w:b/>
                <w:sz w:val="21"/>
              </w:rPr>
              <w:t>5.2</w:t>
            </w:r>
          </w:p>
        </w:tc>
        <w:tc>
          <w:tcPr>
            <w:tcW w:w="1359" w:type="dxa"/>
          </w:tcPr>
          <w:p>
            <w:pPr>
              <w:pStyle w:val="TableParagraph"/>
              <w:spacing w:line="261" w:lineRule="auto" w:before="33"/>
              <w:ind w:left="229" w:right="282"/>
              <w:rPr>
                <w:b/>
                <w:sz w:val="21"/>
              </w:rPr>
            </w:pPr>
            <w:r>
              <w:rPr>
                <w:b/>
                <w:sz w:val="21"/>
              </w:rPr>
              <w:t>保险事故通知</w:t>
            </w:r>
          </w:p>
        </w:tc>
        <w:tc>
          <w:tcPr>
            <w:tcW w:w="7811" w:type="dxa"/>
          </w:tcPr>
          <w:p>
            <w:pPr>
              <w:pStyle w:val="TableParagraph"/>
              <w:spacing w:before="33"/>
              <w:ind w:left="115"/>
              <w:rPr>
                <w:sz w:val="21"/>
              </w:rPr>
            </w:pPr>
            <w:r>
              <w:rPr>
                <w:sz w:val="21"/>
              </w:rPr>
              <w:t>您或受益人知道保险事故发生后，应当及时通知我们。</w:t>
            </w:r>
          </w:p>
          <w:p>
            <w:pPr>
              <w:pStyle w:val="TableParagraph"/>
              <w:spacing w:line="261" w:lineRule="auto" w:before="25"/>
              <w:ind w:left="115" w:right="335"/>
              <w:jc w:val="both"/>
              <w:rPr>
                <w:sz w:val="21"/>
              </w:rPr>
            </w:pPr>
            <w:r>
              <w:rPr>
                <w:rFonts w:ascii="黑体" w:eastAsia="黑体" w:hint="eastAsia"/>
                <w:sz w:val="21"/>
              </w:rPr>
              <w:t>若您或受益人故意或者因重大过失未及时通知，致使保险事故的性质、原因、损失程度等难以确定的，我们对无法确定的部分，不承担给付保险金的责任，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716" w:hRule="atLeast"/>
        </w:trPr>
        <w:tc>
          <w:tcPr>
            <w:tcW w:w="693" w:type="dxa"/>
          </w:tcPr>
          <w:p>
            <w:pPr>
              <w:pStyle w:val="TableParagraph"/>
              <w:spacing w:before="82"/>
              <w:ind w:left="181" w:right="209"/>
              <w:jc w:val="center"/>
              <w:rPr>
                <w:rFonts w:ascii="Times New Roman"/>
                <w:b/>
                <w:sz w:val="21"/>
              </w:rPr>
            </w:pPr>
            <w:r>
              <w:rPr>
                <w:rFonts w:ascii="Times New Roman"/>
                <w:b/>
                <w:sz w:val="21"/>
              </w:rPr>
              <w:t>5.3</w:t>
            </w:r>
          </w:p>
        </w:tc>
        <w:tc>
          <w:tcPr>
            <w:tcW w:w="1359" w:type="dxa"/>
          </w:tcPr>
          <w:p>
            <w:pPr>
              <w:pStyle w:val="TableParagraph"/>
              <w:spacing w:line="261" w:lineRule="auto" w:before="33"/>
              <w:ind w:left="229" w:right="282"/>
              <w:rPr>
                <w:b/>
                <w:sz w:val="21"/>
              </w:rPr>
            </w:pPr>
            <w:r>
              <w:rPr>
                <w:b/>
                <w:sz w:val="21"/>
              </w:rPr>
              <w:t>保险金申请</w:t>
            </w:r>
          </w:p>
        </w:tc>
        <w:tc>
          <w:tcPr>
            <w:tcW w:w="7811" w:type="dxa"/>
          </w:tcPr>
          <w:p>
            <w:pPr>
              <w:pStyle w:val="TableParagraph"/>
              <w:spacing w:before="33"/>
              <w:ind w:left="115"/>
              <w:rPr>
                <w:sz w:val="21"/>
              </w:rPr>
            </w:pPr>
            <w:r>
              <w:rPr>
                <w:sz w:val="21"/>
              </w:rPr>
              <w:t>在申请保险金时，请按照下列方式办理：</w:t>
            </w:r>
          </w:p>
        </w:tc>
      </w:tr>
      <w:tr>
        <w:trPr>
          <w:trHeight w:val="1920" w:hRule="atLeast"/>
        </w:trPr>
        <w:tc>
          <w:tcPr>
            <w:tcW w:w="693" w:type="dxa"/>
          </w:tcPr>
          <w:p>
            <w:pPr>
              <w:pStyle w:val="TableParagraph"/>
              <w:ind w:left="0"/>
              <w:rPr>
                <w:rFonts w:ascii="Times New Roman"/>
                <w:sz w:val="20"/>
              </w:rPr>
            </w:pPr>
          </w:p>
        </w:tc>
        <w:tc>
          <w:tcPr>
            <w:tcW w:w="1359" w:type="dxa"/>
          </w:tcPr>
          <w:p>
            <w:pPr>
              <w:pStyle w:val="TableParagraph"/>
              <w:spacing w:line="196" w:lineRule="auto" w:before="29"/>
              <w:ind w:left="229" w:right="285"/>
              <w:rPr>
                <w:rFonts w:ascii="Microsoft JhengHei" w:eastAsia="Microsoft JhengHei" w:hint="eastAsia"/>
                <w:b/>
                <w:sz w:val="21"/>
              </w:rPr>
            </w:pPr>
            <w:r>
              <w:rPr>
                <w:rFonts w:ascii="Microsoft JhengHei" w:eastAsia="Microsoft JhengHei" w:hint="eastAsia"/>
                <w:b/>
                <w:sz w:val="21"/>
              </w:rPr>
              <w:t>身故保险金申请</w:t>
            </w:r>
          </w:p>
        </w:tc>
        <w:tc>
          <w:tcPr>
            <w:tcW w:w="7811" w:type="dxa"/>
          </w:tcPr>
          <w:p>
            <w:pPr>
              <w:pStyle w:val="TableParagraph"/>
              <w:spacing w:before="30"/>
              <w:ind w:left="115"/>
              <w:rPr>
                <w:sz w:val="21"/>
              </w:rPr>
            </w:pPr>
            <w:r>
              <w:rPr>
                <w:sz w:val="21"/>
              </w:rPr>
              <w:t>在申请身故保险金时，申请人须填写保险金给付申请书，并提供下列证明和资料：</w:t>
            </w:r>
          </w:p>
          <w:p>
            <w:pPr>
              <w:pStyle w:val="TableParagraph"/>
              <w:spacing w:before="25"/>
              <w:ind w:left="115"/>
              <w:rPr>
                <w:sz w:val="21"/>
              </w:rPr>
            </w:pPr>
            <w:r>
              <w:rPr>
                <w:sz w:val="21"/>
              </w:rPr>
              <w:t>（</w:t>
            </w:r>
            <w:r>
              <w:rPr>
                <w:rFonts w:ascii="Times New Roman" w:eastAsia="Times New Roman"/>
                <w:sz w:val="21"/>
              </w:rPr>
              <w:t>1</w:t>
            </w:r>
            <w:r>
              <w:rPr>
                <w:sz w:val="21"/>
              </w:rPr>
              <w:t>）保险合同；</w:t>
            </w:r>
          </w:p>
          <w:p>
            <w:pPr>
              <w:pStyle w:val="TableParagraph"/>
              <w:spacing w:before="9"/>
              <w:ind w:left="115"/>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9"/>
              <w:ind w:left="641" w:right="239" w:hanging="526"/>
              <w:rPr>
                <w:sz w:val="21"/>
              </w:rPr>
            </w:pPr>
            <w:r>
              <w:rPr>
                <w:sz w:val="21"/>
              </w:rPr>
              <w:t>（</w:t>
            </w:r>
            <w:r>
              <w:rPr>
                <w:rFonts w:ascii="Times New Roman" w:eastAsia="Times New Roman"/>
                <w:sz w:val="21"/>
              </w:rPr>
              <w:t>3</w:t>
            </w:r>
            <w:r>
              <w:rPr>
                <w:sz w:val="21"/>
              </w:rPr>
              <w:t>）国家卫生行政部门认定的医疗机构、公安部门或其他相关机构出具的被保险人的死亡证明；</w:t>
            </w:r>
          </w:p>
          <w:p>
            <w:pPr>
              <w:pStyle w:val="TableParagraph"/>
              <w:spacing w:before="18"/>
              <w:ind w:left="11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2573" w:hRule="atLeast"/>
        </w:trPr>
        <w:tc>
          <w:tcPr>
            <w:tcW w:w="693" w:type="dxa"/>
          </w:tcPr>
          <w:p>
            <w:pPr>
              <w:pStyle w:val="TableParagraph"/>
              <w:ind w:left="0"/>
              <w:rPr>
                <w:rFonts w:ascii="Times New Roman"/>
                <w:sz w:val="20"/>
              </w:rPr>
            </w:pPr>
          </w:p>
        </w:tc>
        <w:tc>
          <w:tcPr>
            <w:tcW w:w="1359" w:type="dxa"/>
          </w:tcPr>
          <w:p>
            <w:pPr>
              <w:pStyle w:val="TableParagraph"/>
              <w:spacing w:line="196" w:lineRule="auto" w:before="21"/>
              <w:ind w:left="229" w:right="112"/>
              <w:rPr>
                <w:rFonts w:ascii="Microsoft JhengHei" w:eastAsia="Microsoft JhengHei" w:hint="eastAsia"/>
                <w:b/>
                <w:sz w:val="21"/>
              </w:rPr>
            </w:pPr>
            <w:r>
              <w:rPr>
                <w:rFonts w:ascii="Microsoft JhengHei" w:eastAsia="Microsoft JhengHei" w:hint="eastAsia"/>
                <w:b/>
                <w:spacing w:val="-1"/>
                <w:sz w:val="21"/>
              </w:rPr>
              <w:t>重大疾病</w:t>
            </w:r>
            <w:r>
              <w:rPr>
                <w:rFonts w:ascii="Microsoft JhengHei" w:eastAsia="Microsoft JhengHei" w:hint="eastAsia"/>
                <w:b/>
                <w:spacing w:val="-10"/>
                <w:sz w:val="21"/>
              </w:rPr>
              <w:t>保险金、轻</w:t>
            </w:r>
            <w:r>
              <w:rPr>
                <w:rFonts w:ascii="Microsoft JhengHei" w:eastAsia="Microsoft JhengHei" w:hint="eastAsia"/>
                <w:b/>
                <w:spacing w:val="-1"/>
                <w:sz w:val="21"/>
              </w:rPr>
              <w:t>症疾病保</w:t>
            </w:r>
            <w:r>
              <w:rPr>
                <w:rFonts w:ascii="Microsoft JhengHei" w:eastAsia="Microsoft JhengHei" w:hint="eastAsia"/>
                <w:b/>
                <w:spacing w:val="-3"/>
                <w:sz w:val="21"/>
              </w:rPr>
              <w:t>险金申请</w:t>
            </w:r>
          </w:p>
        </w:tc>
        <w:tc>
          <w:tcPr>
            <w:tcW w:w="7811" w:type="dxa"/>
          </w:tcPr>
          <w:p>
            <w:pPr>
              <w:pStyle w:val="TableParagraph"/>
              <w:spacing w:line="261" w:lineRule="auto" w:before="22"/>
              <w:ind w:left="115" w:right="255"/>
              <w:rPr>
                <w:sz w:val="21"/>
              </w:rPr>
            </w:pPr>
            <w:r>
              <w:rPr>
                <w:sz w:val="21"/>
              </w:rPr>
              <w:t>在申请重大疾病保险金、轻症疾病保险金时，申请人须填写保险金给付申请书， 并提供下列证明和资料：</w:t>
            </w:r>
          </w:p>
          <w:p>
            <w:pPr>
              <w:pStyle w:val="TableParagraph"/>
              <w:spacing w:before="20"/>
              <w:ind w:left="115"/>
              <w:rPr>
                <w:sz w:val="21"/>
              </w:rPr>
            </w:pPr>
            <w:r>
              <w:rPr>
                <w:sz w:val="21"/>
              </w:rPr>
              <w:t>（</w:t>
            </w:r>
            <w:r>
              <w:rPr>
                <w:rFonts w:ascii="Times New Roman" w:eastAsia="Times New Roman"/>
                <w:sz w:val="21"/>
              </w:rPr>
              <w:t>1</w:t>
            </w:r>
            <w:r>
              <w:rPr>
                <w:sz w:val="21"/>
              </w:rPr>
              <w:t>）保险合同；</w:t>
            </w:r>
          </w:p>
          <w:p>
            <w:pPr>
              <w:pStyle w:val="TableParagraph"/>
              <w:spacing w:before="25"/>
              <w:ind w:left="115"/>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641" w:right="302" w:hanging="526"/>
              <w:jc w:val="both"/>
              <w:rPr>
                <w:sz w:val="21"/>
              </w:rPr>
            </w:pPr>
            <w:r>
              <w:rPr>
                <w:spacing w:val="-8"/>
                <w:sz w:val="21"/>
              </w:rPr>
              <w:t>（</w:t>
            </w:r>
            <w:r>
              <w:rPr>
                <w:rFonts w:ascii="Times New Roman" w:eastAsia="Times New Roman"/>
                <w:spacing w:val="-8"/>
                <w:sz w:val="21"/>
              </w:rPr>
              <w:t>3</w:t>
            </w:r>
            <w:r>
              <w:rPr>
                <w:spacing w:val="-8"/>
                <w:sz w:val="21"/>
              </w:rPr>
              <w:t>）</w:t>
            </w:r>
            <w:r>
              <w:rPr>
                <w:b/>
                <w:spacing w:val="-3"/>
                <w:sz w:val="21"/>
              </w:rPr>
              <w:t>我们认可的医院</w:t>
            </w:r>
            <w:r>
              <w:rPr>
                <w:spacing w:val="-3"/>
                <w:sz w:val="21"/>
              </w:rPr>
              <w:t>（</w:t>
            </w:r>
            <w:r>
              <w:rPr>
                <w:spacing w:val="-12"/>
                <w:sz w:val="21"/>
              </w:rPr>
              <w:t>见 </w:t>
            </w:r>
            <w:r>
              <w:rPr>
                <w:rFonts w:ascii="Times New Roman" w:eastAsia="Times New Roman"/>
                <w:spacing w:val="-5"/>
                <w:sz w:val="21"/>
              </w:rPr>
              <w:t>7.17</w:t>
            </w:r>
            <w:r>
              <w:rPr>
                <w:spacing w:val="-5"/>
                <w:sz w:val="21"/>
              </w:rPr>
              <w:t>）出具的疾病诊断证明书、病历记录和确诊疾病必</w:t>
            </w:r>
            <w:r>
              <w:rPr>
                <w:spacing w:val="-10"/>
                <w:sz w:val="21"/>
              </w:rPr>
              <w:t>要的病理检验、血液检验、影像学检查及其他科学方法的检查报告。我们保</w:t>
            </w:r>
            <w:r>
              <w:rPr>
                <w:spacing w:val="-5"/>
                <w:sz w:val="21"/>
              </w:rPr>
              <w:t>留就疾病诊断咨询其他医疗专家的权利；</w:t>
            </w:r>
          </w:p>
          <w:p>
            <w:pPr>
              <w:pStyle w:val="TableParagraph"/>
              <w:spacing w:before="27"/>
              <w:ind w:left="115"/>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1" w:hRule="atLeast"/>
        </w:trPr>
        <w:tc>
          <w:tcPr>
            <w:tcW w:w="693" w:type="dxa"/>
          </w:tcPr>
          <w:p>
            <w:pPr>
              <w:pStyle w:val="TableParagraph"/>
              <w:ind w:left="0"/>
              <w:rPr>
                <w:rFonts w:ascii="Times New Roman"/>
                <w:sz w:val="20"/>
              </w:rPr>
            </w:pPr>
          </w:p>
        </w:tc>
        <w:tc>
          <w:tcPr>
            <w:tcW w:w="1359" w:type="dxa"/>
          </w:tcPr>
          <w:p>
            <w:pPr>
              <w:pStyle w:val="TableParagraph"/>
              <w:ind w:left="0"/>
              <w:rPr>
                <w:rFonts w:ascii="Times New Roman"/>
                <w:sz w:val="20"/>
              </w:rPr>
            </w:pPr>
          </w:p>
        </w:tc>
        <w:tc>
          <w:tcPr>
            <w:tcW w:w="7811" w:type="dxa"/>
          </w:tcPr>
          <w:p>
            <w:pPr>
              <w:pStyle w:val="TableParagraph"/>
              <w:spacing w:before="22"/>
              <w:ind w:left="115"/>
              <w:rPr>
                <w:sz w:val="21"/>
              </w:rPr>
            </w:pPr>
            <w:r>
              <w:rPr>
                <w:sz w:val="21"/>
              </w:rPr>
              <w:t>保险金作为被保险人遗产时，必须提供可证明合法继承权的相关权利文件。</w:t>
            </w:r>
          </w:p>
          <w:p>
            <w:pPr>
              <w:pStyle w:val="TableParagraph"/>
              <w:spacing w:line="261" w:lineRule="auto" w:before="25"/>
              <w:ind w:left="115" w:right="335"/>
              <w:rPr>
                <w:sz w:val="21"/>
              </w:rPr>
            </w:pPr>
            <w:r>
              <w:rPr>
                <w:sz w:val="21"/>
              </w:rPr>
              <w:t>以上证明和资料不完整的，我们将及时一次性通知申请人补充提供有关证明和资料。</w:t>
            </w:r>
          </w:p>
        </w:tc>
      </w:tr>
      <w:tr>
        <w:trPr>
          <w:trHeight w:val="3412" w:hRule="atLeast"/>
        </w:trPr>
        <w:tc>
          <w:tcPr>
            <w:tcW w:w="693" w:type="dxa"/>
          </w:tcPr>
          <w:p>
            <w:pPr>
              <w:pStyle w:val="TableParagraph"/>
              <w:spacing w:before="82"/>
              <w:ind w:left="181" w:right="209"/>
              <w:jc w:val="center"/>
              <w:rPr>
                <w:rFonts w:ascii="Times New Roman"/>
                <w:b/>
                <w:sz w:val="21"/>
              </w:rPr>
            </w:pPr>
            <w:r>
              <w:rPr>
                <w:rFonts w:ascii="Times New Roman"/>
                <w:b/>
                <w:sz w:val="21"/>
              </w:rPr>
              <w:t>5.4</w:t>
            </w:r>
          </w:p>
        </w:tc>
        <w:tc>
          <w:tcPr>
            <w:tcW w:w="1359" w:type="dxa"/>
          </w:tcPr>
          <w:p>
            <w:pPr>
              <w:pStyle w:val="TableParagraph"/>
              <w:spacing w:line="261" w:lineRule="auto" w:before="33"/>
              <w:ind w:left="229" w:right="282"/>
              <w:rPr>
                <w:b/>
                <w:sz w:val="21"/>
              </w:rPr>
            </w:pPr>
            <w:r>
              <w:rPr>
                <w:b/>
                <w:sz w:val="21"/>
              </w:rPr>
              <w:t>保险金的给付</w:t>
            </w:r>
          </w:p>
        </w:tc>
        <w:tc>
          <w:tcPr>
            <w:tcW w:w="7811" w:type="dxa"/>
          </w:tcPr>
          <w:p>
            <w:pPr>
              <w:pStyle w:val="TableParagraph"/>
              <w:spacing w:line="273" w:lineRule="auto" w:before="26"/>
              <w:ind w:left="115" w:right="304"/>
              <w:jc w:val="both"/>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15" w:right="302"/>
              <w:jc w:val="both"/>
              <w:rPr>
                <w:sz w:val="21"/>
              </w:rPr>
            </w:pPr>
            <w:r>
              <w:rPr>
                <w:spacing w:val="-8"/>
                <w:sz w:val="21"/>
              </w:rPr>
              <w:t>对属于保险责任的，我们在与受益人达成给付保险金的协议后 </w:t>
            </w:r>
            <w:r>
              <w:rPr>
                <w:rFonts w:ascii="Times New Roman" w:eastAsia="Times New Roman"/>
                <w:sz w:val="21"/>
              </w:rPr>
              <w:t>10 </w:t>
            </w:r>
            <w:r>
              <w:rPr>
                <w:spacing w:val="-8"/>
                <w:sz w:val="21"/>
              </w:rPr>
              <w:t>日内，履行给付</w:t>
            </w:r>
            <w:r>
              <w:rPr>
                <w:spacing w:val="-5"/>
                <w:sz w:val="21"/>
              </w:rPr>
              <w:t>保险金义务。</w:t>
            </w:r>
          </w:p>
          <w:p>
            <w:pPr>
              <w:pStyle w:val="TableParagraph"/>
              <w:spacing w:line="273" w:lineRule="auto" w:before="34"/>
              <w:ind w:left="115" w:right="305"/>
              <w:jc w:val="both"/>
              <w:rPr>
                <w:sz w:val="21"/>
              </w:rPr>
            </w:pPr>
            <w:r>
              <w:rPr>
                <w:sz w:val="21"/>
              </w:rPr>
              <w:t>我们未及时履行前款规定义务的，除支付保险金外，应当赔偿受益人因此受到的损失。</w:t>
            </w:r>
          </w:p>
          <w:p>
            <w:pPr>
              <w:pStyle w:val="TableParagraph"/>
              <w:spacing w:line="256" w:lineRule="auto" w:before="7"/>
              <w:ind w:left="115" w:right="299"/>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300" w:lineRule="exact" w:before="35"/>
              <w:ind w:left="115" w:right="299"/>
              <w:jc w:val="both"/>
              <w:rPr>
                <w:sz w:val="21"/>
              </w:rPr>
            </w:pPr>
            <w:r>
              <w:rPr>
                <w:spacing w:val="-5"/>
                <w:sz w:val="21"/>
              </w:rPr>
              <w:t>我们在收到保险金给付申请书及有关证明和资料之日起 </w:t>
            </w:r>
            <w:r>
              <w:rPr>
                <w:rFonts w:ascii="Times New Roman" w:eastAsia="Times New Roman"/>
                <w:sz w:val="21"/>
              </w:rPr>
              <w:t>60 </w:t>
            </w:r>
            <w:r>
              <w:rPr>
                <w:spacing w:val="-9"/>
                <w:sz w:val="21"/>
              </w:rPr>
              <w:t>日内，对给付保险金的</w:t>
            </w:r>
            <w:r>
              <w:rPr>
                <w:spacing w:val="-5"/>
                <w:sz w:val="21"/>
              </w:rPr>
              <w:t>数额不能确定的，根据已有证明和资料可以确定的数额先予支付；我们最终确定</w:t>
            </w:r>
            <w:r>
              <w:rPr>
                <w:spacing w:val="-4"/>
                <w:sz w:val="21"/>
              </w:rPr>
              <w:t>给付保险金的数额后，将支付相应的差额。</w:t>
            </w:r>
          </w:p>
        </w:tc>
      </w:tr>
    </w:tbl>
    <w:p>
      <w:pPr>
        <w:spacing w:after="0" w:line="300" w:lineRule="exact"/>
        <w:jc w:val="both"/>
        <w:rPr>
          <w:sz w:val="21"/>
        </w:rPr>
        <w:sectPr>
          <w:pgSz w:w="11910" w:h="16840"/>
          <w:pgMar w:top="1480" w:bottom="280" w:left="1080" w:right="7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661" w:hRule="atLeast"/>
        </w:trPr>
        <w:tc>
          <w:tcPr>
            <w:tcW w:w="602" w:type="dxa"/>
          </w:tcPr>
          <w:p>
            <w:pPr>
              <w:pStyle w:val="TableParagraph"/>
              <w:spacing w:line="227" w:lineRule="exact"/>
              <w:ind w:left="108"/>
              <w:rPr>
                <w:rFonts w:ascii="Times New Roman"/>
                <w:b/>
                <w:sz w:val="21"/>
              </w:rPr>
            </w:pPr>
            <w:r>
              <w:rPr>
                <w:rFonts w:ascii="Times New Roman"/>
                <w:b/>
                <w:sz w:val="21"/>
              </w:rPr>
              <w:t>5.5</w:t>
            </w:r>
          </w:p>
        </w:tc>
        <w:tc>
          <w:tcPr>
            <w:tcW w:w="1275" w:type="dxa"/>
          </w:tcPr>
          <w:p>
            <w:pPr>
              <w:pStyle w:val="TableParagraph"/>
              <w:spacing w:line="211" w:lineRule="exact"/>
              <w:ind w:left="228"/>
              <w:rPr>
                <w:b/>
                <w:sz w:val="21"/>
              </w:rPr>
            </w:pPr>
            <w:r>
              <w:rPr>
                <w:b/>
                <w:sz w:val="21"/>
              </w:rPr>
              <w:t>诉讼时效</w:t>
            </w:r>
          </w:p>
        </w:tc>
        <w:tc>
          <w:tcPr>
            <w:tcW w:w="7698" w:type="dxa"/>
          </w:tcPr>
          <w:p>
            <w:pPr>
              <w:pStyle w:val="TableParagraph"/>
              <w:spacing w:line="227" w:lineRule="exact"/>
              <w:ind w:left="199"/>
              <w:rPr>
                <w:sz w:val="21"/>
              </w:rPr>
            </w:pPr>
            <w:r>
              <w:rPr>
                <w:sz w:val="21"/>
              </w:rPr>
              <w:t>受益人向我们请求给付保险金的诉讼时效期间为 </w:t>
            </w:r>
            <w:r>
              <w:rPr>
                <w:rFonts w:ascii="Times New Roman" w:eastAsia="Times New Roman"/>
                <w:sz w:val="21"/>
              </w:rPr>
              <w:t>2 </w:t>
            </w:r>
            <w:r>
              <w:rPr>
                <w:sz w:val="21"/>
              </w:rPr>
              <w:t>年，自其知道或者应当知道保</w:t>
            </w:r>
          </w:p>
          <w:p>
            <w:pPr>
              <w:pStyle w:val="TableParagraph"/>
              <w:spacing w:before="9"/>
              <w:ind w:left="199"/>
              <w:rPr>
                <w:sz w:val="21"/>
              </w:rPr>
            </w:pPr>
            <w:r>
              <w:rPr>
                <w:sz w:val="21"/>
              </w:rPr>
              <w:t>险事故发生之日起计算。</w:t>
            </w:r>
          </w:p>
        </w:tc>
      </w:tr>
      <w:tr>
        <w:trPr>
          <w:trHeight w:val="300" w:hRule="atLeast"/>
        </w:trPr>
        <w:tc>
          <w:tcPr>
            <w:tcW w:w="9575"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6</w:t>
              <w:tab/>
            </w:r>
            <w:r>
              <w:rPr>
                <w:b/>
                <w:spacing w:val="-1"/>
                <w:sz w:val="21"/>
              </w:rPr>
              <w:t>您需要关注的其他事项</w:t>
            </w:r>
          </w:p>
        </w:tc>
      </w:tr>
      <w:tr>
        <w:trPr>
          <w:trHeight w:val="1687" w:hRule="atLeast"/>
        </w:trPr>
        <w:tc>
          <w:tcPr>
            <w:tcW w:w="602" w:type="dxa"/>
          </w:tcPr>
          <w:p>
            <w:pPr>
              <w:pStyle w:val="TableParagraph"/>
              <w:spacing w:before="150"/>
              <w:ind w:left="108"/>
              <w:rPr>
                <w:rFonts w:ascii="Times New Roman"/>
                <w:b/>
                <w:sz w:val="21"/>
              </w:rPr>
            </w:pPr>
            <w:r>
              <w:rPr>
                <w:rFonts w:ascii="Times New Roman"/>
                <w:b/>
                <w:sz w:val="21"/>
              </w:rPr>
              <w:t>6.1</w:t>
            </w:r>
          </w:p>
        </w:tc>
        <w:tc>
          <w:tcPr>
            <w:tcW w:w="1275" w:type="dxa"/>
          </w:tcPr>
          <w:p>
            <w:pPr>
              <w:pStyle w:val="TableParagraph"/>
              <w:spacing w:line="261" w:lineRule="auto" w:before="101"/>
              <w:ind w:left="228" w:right="199"/>
              <w:jc w:val="both"/>
              <w:rPr>
                <w:b/>
                <w:sz w:val="21"/>
              </w:rPr>
            </w:pPr>
            <w:r>
              <w:rPr>
                <w:b/>
                <w:sz w:val="21"/>
              </w:rPr>
              <w:t>本公司合同解除权的限制</w:t>
            </w:r>
          </w:p>
        </w:tc>
        <w:tc>
          <w:tcPr>
            <w:tcW w:w="7698" w:type="dxa"/>
          </w:tcPr>
          <w:p>
            <w:pPr>
              <w:pStyle w:val="TableParagraph"/>
              <w:spacing w:line="247" w:lineRule="auto" w:before="101"/>
              <w:ind w:left="199" w:right="105"/>
              <w:rPr>
                <w:sz w:val="21"/>
              </w:rPr>
            </w:pPr>
            <w:r>
              <w:rPr>
                <w:sz w:val="21"/>
              </w:rPr>
              <w:t>本条款</w:t>
            </w:r>
            <w:r>
              <w:rPr>
                <w:rFonts w:ascii="Times New Roman" w:eastAsia="Times New Roman"/>
                <w:sz w:val="21"/>
              </w:rPr>
              <w:t>3.1 </w:t>
            </w:r>
            <w:r>
              <w:rPr>
                <w:sz w:val="21"/>
              </w:rPr>
              <w:t>明确说明与如实告知和</w:t>
            </w:r>
            <w:r>
              <w:rPr>
                <w:rFonts w:ascii="Times New Roman" w:eastAsia="Times New Roman"/>
                <w:sz w:val="21"/>
              </w:rPr>
              <w:t>6.3 </w:t>
            </w:r>
            <w:r>
              <w:rPr>
                <w:sz w:val="21"/>
              </w:rPr>
              <w:t>年龄错误规定的合同解除权在以下情形下不得行使，发生保险事故的，本公司承担给付保险金责任：</w:t>
            </w:r>
          </w:p>
          <w:p>
            <w:pPr>
              <w:pStyle w:val="TableParagraph"/>
              <w:spacing w:before="19"/>
              <w:ind w:left="199"/>
              <w:rPr>
                <w:sz w:val="21"/>
              </w:rPr>
            </w:pPr>
            <w:r>
              <w:rPr>
                <w:sz w:val="21"/>
              </w:rPr>
              <w:t>（</w:t>
            </w:r>
            <w:r>
              <w:rPr>
                <w:rFonts w:ascii="Times New Roman" w:eastAsia="Times New Roman"/>
                <w:sz w:val="21"/>
              </w:rPr>
              <w:t>1</w:t>
            </w:r>
            <w:r>
              <w:rPr>
                <w:sz w:val="21"/>
              </w:rPr>
              <w:t>）本公司在合同订立时已经知道您未如实告知的情况的； </w:t>
            </w:r>
          </w:p>
          <w:p>
            <w:pPr>
              <w:pStyle w:val="TableParagraph"/>
              <w:spacing w:before="9"/>
              <w:ind w:left="199"/>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99"/>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1004" w:hRule="atLeast"/>
        </w:trPr>
        <w:tc>
          <w:tcPr>
            <w:tcW w:w="602" w:type="dxa"/>
          </w:tcPr>
          <w:p>
            <w:pPr>
              <w:pStyle w:val="TableParagraph"/>
              <w:spacing w:before="75"/>
              <w:ind w:left="108"/>
              <w:rPr>
                <w:rFonts w:ascii="Times New Roman"/>
                <w:b/>
                <w:sz w:val="21"/>
              </w:rPr>
            </w:pPr>
            <w:r>
              <w:rPr>
                <w:rFonts w:ascii="Times New Roman"/>
                <w:b/>
                <w:sz w:val="21"/>
              </w:rPr>
              <w:t>6.2</w:t>
            </w:r>
          </w:p>
        </w:tc>
        <w:tc>
          <w:tcPr>
            <w:tcW w:w="1275" w:type="dxa"/>
          </w:tcPr>
          <w:p>
            <w:pPr>
              <w:pStyle w:val="TableParagraph"/>
              <w:spacing w:before="25"/>
              <w:ind w:left="228"/>
              <w:rPr>
                <w:b/>
                <w:sz w:val="21"/>
              </w:rPr>
            </w:pPr>
            <w:r>
              <w:rPr>
                <w:b/>
                <w:sz w:val="21"/>
              </w:rPr>
              <w:t>投保范围</w:t>
            </w:r>
          </w:p>
        </w:tc>
        <w:tc>
          <w:tcPr>
            <w:tcW w:w="7698" w:type="dxa"/>
          </w:tcPr>
          <w:p>
            <w:pPr>
              <w:pStyle w:val="TableParagraph"/>
              <w:spacing w:line="261" w:lineRule="auto" w:before="25"/>
              <w:ind w:left="199" w:right="109"/>
              <w:rPr>
                <w:sz w:val="21"/>
              </w:rPr>
            </w:pPr>
            <w:r>
              <w:rPr>
                <w:sz w:val="21"/>
              </w:rPr>
              <w:t>投保人：凡具有完全民事行为能力且对被保险人具有保险利益的人可作为投保人向我们投保本保险。</w:t>
            </w:r>
          </w:p>
          <w:p>
            <w:pPr>
              <w:pStyle w:val="TableParagraph"/>
              <w:spacing w:before="5"/>
              <w:ind w:left="199"/>
              <w:rPr>
                <w:sz w:val="21"/>
              </w:rPr>
            </w:pPr>
            <w:r>
              <w:rPr>
                <w:sz w:val="21"/>
              </w:rPr>
              <w:t>被保险人：凡符合我们规定的身体健康者均可作为被保险人。</w:t>
            </w:r>
          </w:p>
        </w:tc>
      </w:tr>
      <w:tr>
        <w:trPr>
          <w:trHeight w:val="3185" w:hRule="atLeast"/>
        </w:trPr>
        <w:tc>
          <w:tcPr>
            <w:tcW w:w="602" w:type="dxa"/>
          </w:tcPr>
          <w:p>
            <w:pPr>
              <w:pStyle w:val="TableParagraph"/>
              <w:spacing w:before="83"/>
              <w:ind w:left="108"/>
              <w:rPr>
                <w:rFonts w:ascii="Times New Roman"/>
                <w:b/>
                <w:sz w:val="21"/>
              </w:rPr>
            </w:pPr>
            <w:r>
              <w:rPr>
                <w:rFonts w:ascii="Times New Roman"/>
                <w:b/>
                <w:sz w:val="21"/>
              </w:rPr>
              <w:t>6.3</w:t>
            </w:r>
          </w:p>
        </w:tc>
        <w:tc>
          <w:tcPr>
            <w:tcW w:w="1275" w:type="dxa"/>
          </w:tcPr>
          <w:p>
            <w:pPr>
              <w:pStyle w:val="TableParagraph"/>
              <w:spacing w:before="33"/>
              <w:ind w:left="228"/>
              <w:rPr>
                <w:b/>
                <w:sz w:val="21"/>
              </w:rPr>
            </w:pPr>
            <w:r>
              <w:rPr>
                <w:b/>
                <w:sz w:val="21"/>
              </w:rPr>
              <w:t>年龄错误</w:t>
            </w:r>
          </w:p>
        </w:tc>
        <w:tc>
          <w:tcPr>
            <w:tcW w:w="7698" w:type="dxa"/>
          </w:tcPr>
          <w:p>
            <w:pPr>
              <w:pStyle w:val="TableParagraph"/>
              <w:spacing w:line="261" w:lineRule="auto" w:before="33"/>
              <w:ind w:left="199" w:right="109"/>
              <w:rPr>
                <w:sz w:val="21"/>
              </w:rPr>
            </w:pPr>
            <w:r>
              <w:rPr>
                <w:sz w:val="21"/>
              </w:rPr>
              <w:t>您在申请投保时，应将与有效身份证件相符的被保险人的出生日期在投保单上填明，若发生错误按照下列方式办理：</w:t>
            </w:r>
          </w:p>
          <w:p>
            <w:pPr>
              <w:pStyle w:val="TableParagraph"/>
              <w:spacing w:line="264" w:lineRule="auto"/>
              <w:ind w:left="724" w:right="105" w:hanging="526"/>
              <w:jc w:val="both"/>
              <w:rPr>
                <w:rFonts w:ascii="黑体" w:eastAsia="黑体" w:hint="eastAsia"/>
                <w:sz w:val="21"/>
              </w:rPr>
            </w:pPr>
            <w:r>
              <w:rPr>
                <w:spacing w:val="-13"/>
                <w:sz w:val="21"/>
              </w:rPr>
              <w:t>（</w:t>
            </w:r>
            <w:r>
              <w:rPr>
                <w:rFonts w:ascii="Times New Roman" w:eastAsia="Times New Roman"/>
                <w:spacing w:val="-13"/>
                <w:sz w:val="21"/>
              </w:rPr>
              <w:t>1</w:t>
            </w:r>
            <w:r>
              <w:rPr>
                <w:spacing w:val="-13"/>
                <w:sz w:val="21"/>
              </w:rPr>
              <w:t>）</w:t>
            </w:r>
            <w:r>
              <w:rPr>
                <w:rFonts w:ascii="黑体" w:eastAsia="黑体" w:hint="eastAsia"/>
                <w:spacing w:val="-6"/>
                <w:sz w:val="21"/>
              </w:rPr>
              <w:t>您申报的被保险人年龄不真实，并且其真实年龄不符合本合同约定投保年龄</w:t>
            </w:r>
            <w:r>
              <w:rPr>
                <w:rFonts w:ascii="黑体" w:eastAsia="黑体" w:hint="eastAsia"/>
                <w:spacing w:val="-8"/>
                <w:sz w:val="21"/>
              </w:rPr>
              <w:t>限制的，在保险事故发</w:t>
            </w:r>
            <w:r>
              <w:rPr>
                <w:rFonts w:ascii="黑体" w:eastAsia="黑体" w:hint="eastAsia"/>
                <w:sz w:val="21"/>
              </w:rPr>
              <w:t>Th</w:t>
            </w:r>
            <w:r>
              <w:rPr>
                <w:rFonts w:ascii="黑体" w:eastAsia="黑体" w:hint="eastAsia"/>
                <w:spacing w:val="-6"/>
                <w:sz w:val="21"/>
              </w:rPr>
              <w:t>之前我们有权解除合同，并向您退还本合同的现金价值。</w:t>
            </w:r>
          </w:p>
          <w:p>
            <w:pPr>
              <w:pStyle w:val="TableParagraph"/>
              <w:spacing w:line="264" w:lineRule="auto" w:before="18"/>
              <w:ind w:left="724" w:right="105" w:hanging="526"/>
              <w:jc w:val="both"/>
              <w:rPr>
                <w:rFonts w:ascii="黑体" w:eastAsia="黑体" w:hint="eastAsia"/>
                <w:sz w:val="21"/>
              </w:rPr>
            </w:pPr>
            <w:r>
              <w:rPr>
                <w:spacing w:val="-8"/>
                <w:sz w:val="21"/>
              </w:rPr>
              <w:t>（</w:t>
            </w:r>
            <w:r>
              <w:rPr>
                <w:rFonts w:ascii="Times New Roman" w:eastAsia="Times New Roman"/>
                <w:spacing w:val="-8"/>
                <w:sz w:val="21"/>
              </w:rPr>
              <w:t>2</w:t>
            </w:r>
            <w:r>
              <w:rPr>
                <w:spacing w:val="-8"/>
                <w:sz w:val="21"/>
              </w:rPr>
              <w:t>）</w:t>
            </w:r>
            <w:r>
              <w:rPr>
                <w:rFonts w:ascii="黑体" w:eastAsia="黑体" w:hint="eastAsia"/>
                <w:spacing w:val="-6"/>
                <w:sz w:val="21"/>
              </w:rPr>
              <w:t>您申报的被保险人年龄不真实，致使您实交保险费少于应交保险费的，我们</w:t>
            </w:r>
            <w:r>
              <w:rPr>
                <w:rFonts w:ascii="黑体" w:eastAsia="黑体" w:hint="eastAsia"/>
                <w:spacing w:val="-7"/>
                <w:sz w:val="21"/>
              </w:rPr>
              <w:t>有权更正并要求您补交保险费。若已经发</w:t>
            </w:r>
            <w:r>
              <w:rPr>
                <w:rFonts w:ascii="黑体" w:eastAsia="黑体" w:hint="eastAsia"/>
                <w:sz w:val="21"/>
              </w:rPr>
              <w:t>Th</w:t>
            </w:r>
            <w:r>
              <w:rPr>
                <w:rFonts w:ascii="黑体" w:eastAsia="黑体" w:hint="eastAsia"/>
                <w:spacing w:val="-8"/>
                <w:sz w:val="21"/>
              </w:rPr>
              <w:t>保险事故，在给付保险金时按实</w:t>
            </w:r>
            <w:r>
              <w:rPr>
                <w:rFonts w:ascii="黑体" w:eastAsia="黑体" w:hint="eastAsia"/>
                <w:spacing w:val="-5"/>
                <w:sz w:val="21"/>
              </w:rPr>
              <w:t>交保险费和应交保险费的比例给付。</w:t>
            </w:r>
          </w:p>
          <w:p>
            <w:pPr>
              <w:pStyle w:val="TableParagraph"/>
              <w:spacing w:line="247" w:lineRule="auto" w:before="23"/>
              <w:ind w:left="724" w:right="105" w:hanging="526"/>
              <w:jc w:val="both"/>
              <w:rPr>
                <w:sz w:val="21"/>
              </w:rPr>
            </w:pPr>
            <w:r>
              <w:rPr>
                <w:spacing w:val="-9"/>
                <w:sz w:val="21"/>
              </w:rPr>
              <w:t>（</w:t>
            </w:r>
            <w:r>
              <w:rPr>
                <w:rFonts w:ascii="Times New Roman" w:eastAsia="Times New Roman"/>
                <w:spacing w:val="-9"/>
                <w:sz w:val="21"/>
              </w:rPr>
              <w:t>3</w:t>
            </w:r>
            <w:r>
              <w:rPr>
                <w:spacing w:val="-9"/>
                <w:sz w:val="21"/>
              </w:rPr>
              <w:t>）</w:t>
            </w:r>
            <w:r>
              <w:rPr>
                <w:spacing w:val="-6"/>
                <w:sz w:val="21"/>
              </w:rPr>
              <w:t>您申报的被保险人年龄不真实，致使您实交保险费多于应交保险费的，我们</w:t>
            </w:r>
            <w:r>
              <w:rPr>
                <w:spacing w:val="-4"/>
                <w:sz w:val="21"/>
              </w:rPr>
              <w:t>会将多收的保险费退还给您。</w:t>
            </w:r>
          </w:p>
        </w:tc>
      </w:tr>
      <w:tr>
        <w:trPr>
          <w:trHeight w:val="712" w:hRule="atLeast"/>
        </w:trPr>
        <w:tc>
          <w:tcPr>
            <w:tcW w:w="602" w:type="dxa"/>
          </w:tcPr>
          <w:p>
            <w:pPr>
              <w:pStyle w:val="TableParagraph"/>
              <w:spacing w:before="83"/>
              <w:ind w:left="108"/>
              <w:rPr>
                <w:rFonts w:ascii="Times New Roman"/>
                <w:b/>
                <w:sz w:val="21"/>
              </w:rPr>
            </w:pPr>
            <w:r>
              <w:rPr>
                <w:rFonts w:ascii="Times New Roman"/>
                <w:b/>
                <w:sz w:val="21"/>
              </w:rPr>
              <w:t>6.4</w:t>
            </w:r>
          </w:p>
        </w:tc>
        <w:tc>
          <w:tcPr>
            <w:tcW w:w="1275" w:type="dxa"/>
          </w:tcPr>
          <w:p>
            <w:pPr>
              <w:pStyle w:val="TableParagraph"/>
              <w:spacing w:before="33"/>
              <w:ind w:left="228"/>
              <w:rPr>
                <w:b/>
                <w:sz w:val="21"/>
              </w:rPr>
            </w:pPr>
            <w:r>
              <w:rPr>
                <w:b/>
                <w:sz w:val="21"/>
              </w:rPr>
              <w:t>未还款项</w:t>
            </w:r>
          </w:p>
        </w:tc>
        <w:tc>
          <w:tcPr>
            <w:tcW w:w="7698" w:type="dxa"/>
          </w:tcPr>
          <w:p>
            <w:pPr>
              <w:pStyle w:val="TableParagraph"/>
              <w:spacing w:line="261" w:lineRule="auto" w:before="33"/>
              <w:ind w:left="199" w:right="108"/>
              <w:rPr>
                <w:rFonts w:ascii="黑体" w:eastAsia="黑体" w:hint="eastAsia"/>
                <w:sz w:val="21"/>
              </w:rPr>
            </w:pPr>
            <w:r>
              <w:rPr>
                <w:rFonts w:ascii="黑体" w:eastAsia="黑体" w:hint="eastAsia"/>
                <w:sz w:val="21"/>
              </w:rPr>
              <w:t>我们在给付各项保险金、退还现金价值或退还保险费时，将先行扣除您在本合同项下的各项欠款及其利息。</w:t>
            </w:r>
          </w:p>
        </w:tc>
      </w:tr>
      <w:tr>
        <w:trPr>
          <w:trHeight w:val="1014" w:hRule="atLeast"/>
        </w:trPr>
        <w:tc>
          <w:tcPr>
            <w:tcW w:w="602" w:type="dxa"/>
          </w:tcPr>
          <w:p>
            <w:pPr>
              <w:pStyle w:val="TableParagraph"/>
              <w:spacing w:before="83"/>
              <w:ind w:left="108"/>
              <w:rPr>
                <w:rFonts w:ascii="Times New Roman"/>
                <w:b/>
                <w:sz w:val="21"/>
              </w:rPr>
            </w:pPr>
            <w:r>
              <w:rPr>
                <w:rFonts w:ascii="Times New Roman"/>
                <w:b/>
                <w:sz w:val="21"/>
              </w:rPr>
              <w:t>6.5</w:t>
            </w:r>
          </w:p>
        </w:tc>
        <w:tc>
          <w:tcPr>
            <w:tcW w:w="1275" w:type="dxa"/>
          </w:tcPr>
          <w:p>
            <w:pPr>
              <w:pStyle w:val="TableParagraph"/>
              <w:spacing w:before="33"/>
              <w:ind w:left="228"/>
              <w:rPr>
                <w:b/>
                <w:sz w:val="21"/>
              </w:rPr>
            </w:pPr>
            <w:r>
              <w:rPr>
                <w:b/>
                <w:sz w:val="21"/>
              </w:rPr>
              <w:t>地址变更</w:t>
            </w:r>
          </w:p>
        </w:tc>
        <w:tc>
          <w:tcPr>
            <w:tcW w:w="7698" w:type="dxa"/>
          </w:tcPr>
          <w:p>
            <w:pPr>
              <w:pStyle w:val="TableParagraph"/>
              <w:spacing w:line="261" w:lineRule="auto" w:before="33"/>
              <w:ind w:left="199" w:right="108"/>
              <w:jc w:val="both"/>
              <w:rPr>
                <w:sz w:val="21"/>
              </w:rPr>
            </w:pPr>
            <w:r>
              <w:rPr>
                <w:sz w:val="21"/>
              </w:rPr>
              <w:t>为了保障您的合法权益，您的住所或通讯地址变更时，请及时以书面形式通知我们。若您未以书面形式通知我们，我们按本合同载明的最后住所或通讯地址发送的有关通知，均视为已送达给您。</w:t>
            </w:r>
          </w:p>
        </w:tc>
      </w:tr>
      <w:tr>
        <w:trPr>
          <w:trHeight w:val="1621" w:hRule="atLeast"/>
        </w:trPr>
        <w:tc>
          <w:tcPr>
            <w:tcW w:w="602" w:type="dxa"/>
          </w:tcPr>
          <w:p>
            <w:pPr>
              <w:pStyle w:val="TableParagraph"/>
              <w:spacing w:before="84"/>
              <w:ind w:left="108"/>
              <w:rPr>
                <w:rFonts w:ascii="Times New Roman"/>
                <w:b/>
                <w:sz w:val="21"/>
              </w:rPr>
            </w:pPr>
            <w:r>
              <w:rPr>
                <w:rFonts w:ascii="Times New Roman"/>
                <w:b/>
                <w:sz w:val="21"/>
              </w:rPr>
              <w:t>6.6</w:t>
            </w:r>
          </w:p>
        </w:tc>
        <w:tc>
          <w:tcPr>
            <w:tcW w:w="1275" w:type="dxa"/>
          </w:tcPr>
          <w:p>
            <w:pPr>
              <w:pStyle w:val="TableParagraph"/>
              <w:spacing w:before="35"/>
              <w:ind w:left="228"/>
              <w:rPr>
                <w:b/>
                <w:sz w:val="21"/>
              </w:rPr>
            </w:pPr>
            <w:r>
              <w:rPr>
                <w:b/>
                <w:sz w:val="21"/>
              </w:rPr>
              <w:t>失踪处理</w:t>
            </w:r>
          </w:p>
        </w:tc>
        <w:tc>
          <w:tcPr>
            <w:tcW w:w="7698" w:type="dxa"/>
          </w:tcPr>
          <w:p>
            <w:pPr>
              <w:pStyle w:val="TableParagraph"/>
              <w:spacing w:line="254" w:lineRule="auto" w:before="35"/>
              <w:ind w:left="199" w:right="103"/>
              <w:jc w:val="both"/>
              <w:rPr>
                <w:sz w:val="21"/>
              </w:rPr>
            </w:pPr>
            <w:r>
              <w:rPr>
                <w:sz w:val="21"/>
              </w:rPr>
              <w:t>在本合同有效期内，被保险人失踪且经人民法院宣告被保险人死亡后，我们依法院判决宣告死亡之日确定被保险人死亡日期，并按本条款 </w:t>
            </w:r>
            <w:r>
              <w:rPr>
                <w:rFonts w:ascii="Times New Roman" w:eastAsia="Times New Roman"/>
                <w:sz w:val="21"/>
              </w:rPr>
              <w:t>2.4 </w:t>
            </w:r>
            <w:r>
              <w:rPr>
                <w:sz w:val="21"/>
              </w:rPr>
              <w:t>保险责任的有关规定给付身故保险金。</w:t>
            </w:r>
          </w:p>
          <w:p>
            <w:pPr>
              <w:pStyle w:val="TableParagraph"/>
              <w:spacing w:line="261" w:lineRule="auto" w:before="12"/>
              <w:ind w:left="199" w:right="108"/>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日内将领取的身故保险金退还给我们。</w:t>
            </w:r>
          </w:p>
        </w:tc>
      </w:tr>
      <w:tr>
        <w:trPr>
          <w:trHeight w:val="750" w:hRule="atLeast"/>
        </w:trPr>
        <w:tc>
          <w:tcPr>
            <w:tcW w:w="602" w:type="dxa"/>
          </w:tcPr>
          <w:p>
            <w:pPr>
              <w:pStyle w:val="TableParagraph"/>
              <w:spacing w:before="75"/>
              <w:ind w:left="108"/>
              <w:rPr>
                <w:rFonts w:ascii="Times New Roman"/>
                <w:b/>
                <w:sz w:val="21"/>
              </w:rPr>
            </w:pPr>
            <w:r>
              <w:rPr>
                <w:rFonts w:ascii="Times New Roman"/>
                <w:b/>
                <w:sz w:val="21"/>
              </w:rPr>
              <w:t>6.7</w:t>
            </w:r>
          </w:p>
        </w:tc>
        <w:tc>
          <w:tcPr>
            <w:tcW w:w="1275" w:type="dxa"/>
          </w:tcPr>
          <w:p>
            <w:pPr>
              <w:pStyle w:val="TableParagraph"/>
              <w:spacing w:before="25"/>
              <w:ind w:left="228"/>
              <w:rPr>
                <w:b/>
                <w:sz w:val="21"/>
              </w:rPr>
            </w:pPr>
            <w:r>
              <w:rPr>
                <w:b/>
                <w:sz w:val="21"/>
              </w:rPr>
              <w:t>争议处理</w:t>
            </w:r>
          </w:p>
        </w:tc>
        <w:tc>
          <w:tcPr>
            <w:tcW w:w="7698" w:type="dxa"/>
          </w:tcPr>
          <w:p>
            <w:pPr>
              <w:pStyle w:val="TableParagraph"/>
              <w:spacing w:line="261" w:lineRule="auto" w:before="25"/>
              <w:ind w:left="199" w:right="107"/>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9575"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7</w:t>
              <w:tab/>
            </w:r>
            <w:r>
              <w:rPr>
                <w:b/>
                <w:spacing w:val="-1"/>
                <w:sz w:val="21"/>
              </w:rPr>
              <w:t>您需要了解的重要术语</w:t>
            </w:r>
          </w:p>
        </w:tc>
      </w:tr>
      <w:tr>
        <w:trPr>
          <w:trHeight w:val="794" w:hRule="atLeast"/>
        </w:trPr>
        <w:tc>
          <w:tcPr>
            <w:tcW w:w="602" w:type="dxa"/>
          </w:tcPr>
          <w:p>
            <w:pPr>
              <w:pStyle w:val="TableParagraph"/>
              <w:spacing w:before="150"/>
              <w:ind w:left="108"/>
              <w:rPr>
                <w:rFonts w:ascii="Times New Roman"/>
                <w:b/>
                <w:sz w:val="21"/>
              </w:rPr>
            </w:pPr>
            <w:r>
              <w:rPr>
                <w:rFonts w:ascii="Times New Roman"/>
                <w:b/>
                <w:sz w:val="21"/>
              </w:rPr>
              <w:t>7.1</w:t>
            </w:r>
          </w:p>
        </w:tc>
        <w:tc>
          <w:tcPr>
            <w:tcW w:w="1275" w:type="dxa"/>
          </w:tcPr>
          <w:p>
            <w:pPr>
              <w:pStyle w:val="TableParagraph"/>
              <w:spacing w:line="261" w:lineRule="auto" w:before="101"/>
              <w:ind w:left="228" w:right="199"/>
              <w:rPr>
                <w:b/>
                <w:sz w:val="21"/>
              </w:rPr>
            </w:pPr>
            <w:r>
              <w:rPr>
                <w:b/>
                <w:sz w:val="21"/>
              </w:rPr>
              <w:t>保单生效对应日</w:t>
            </w:r>
          </w:p>
        </w:tc>
        <w:tc>
          <w:tcPr>
            <w:tcW w:w="7698" w:type="dxa"/>
          </w:tcPr>
          <w:p>
            <w:pPr>
              <w:pStyle w:val="TableParagraph"/>
              <w:spacing w:line="261" w:lineRule="auto" w:before="115"/>
              <w:ind w:left="199" w:right="139"/>
              <w:rPr>
                <w:sz w:val="21"/>
              </w:rPr>
            </w:pPr>
            <w:r>
              <w:rPr>
                <w:sz w:val="21"/>
              </w:rPr>
              <w:t>本合同生效日每年（或半年、季、月）的对应日为保单年（或半年、季、月）生效对应日。</w:t>
            </w:r>
          </w:p>
        </w:tc>
      </w:tr>
      <w:tr>
        <w:trPr>
          <w:trHeight w:val="1027" w:hRule="atLeast"/>
        </w:trPr>
        <w:tc>
          <w:tcPr>
            <w:tcW w:w="602" w:type="dxa"/>
          </w:tcPr>
          <w:p>
            <w:pPr>
              <w:pStyle w:val="TableParagraph"/>
              <w:spacing w:before="83"/>
              <w:ind w:left="108"/>
              <w:rPr>
                <w:rFonts w:ascii="Times New Roman"/>
                <w:b/>
                <w:sz w:val="21"/>
              </w:rPr>
            </w:pPr>
            <w:r>
              <w:rPr>
                <w:rFonts w:ascii="Times New Roman"/>
                <w:b/>
                <w:sz w:val="21"/>
              </w:rPr>
              <w:t>7.2</w:t>
            </w:r>
          </w:p>
        </w:tc>
        <w:tc>
          <w:tcPr>
            <w:tcW w:w="1275" w:type="dxa"/>
          </w:tcPr>
          <w:p>
            <w:pPr>
              <w:pStyle w:val="TableParagraph"/>
              <w:spacing w:line="261" w:lineRule="auto" w:before="33"/>
              <w:ind w:left="228" w:right="199"/>
              <w:rPr>
                <w:b/>
                <w:sz w:val="21"/>
              </w:rPr>
            </w:pPr>
            <w:r>
              <w:rPr>
                <w:b/>
                <w:sz w:val="21"/>
              </w:rPr>
              <w:t>保险费约定交纳日</w:t>
            </w:r>
          </w:p>
        </w:tc>
        <w:tc>
          <w:tcPr>
            <w:tcW w:w="7698" w:type="dxa"/>
          </w:tcPr>
          <w:p>
            <w:pPr>
              <w:pStyle w:val="TableParagraph"/>
              <w:spacing w:line="261" w:lineRule="auto" w:before="48"/>
              <w:ind w:left="199" w:right="139"/>
              <w:jc w:val="both"/>
              <w:rPr>
                <w:sz w:val="21"/>
              </w:rPr>
            </w:pPr>
            <w:r>
              <w:rPr>
                <w:sz w:val="21"/>
              </w:rPr>
              <w:t>分期交纳保险费的，首期保险费后的年交、半年交、季交或月交保险费约定交纳日分别为本合同的保单年生效对应日、半年生效对应日、季生效对应日或月生效对应日。</w:t>
            </w:r>
          </w:p>
        </w:tc>
      </w:tr>
      <w:tr>
        <w:trPr>
          <w:trHeight w:val="429" w:hRule="atLeast"/>
        </w:trPr>
        <w:tc>
          <w:tcPr>
            <w:tcW w:w="602" w:type="dxa"/>
          </w:tcPr>
          <w:p>
            <w:pPr>
              <w:pStyle w:val="TableParagraph"/>
              <w:spacing w:before="83"/>
              <w:ind w:left="108"/>
              <w:rPr>
                <w:rFonts w:ascii="Times New Roman"/>
                <w:b/>
                <w:sz w:val="21"/>
              </w:rPr>
            </w:pPr>
            <w:r>
              <w:rPr>
                <w:rFonts w:ascii="Times New Roman"/>
                <w:b/>
                <w:sz w:val="21"/>
              </w:rPr>
              <w:t>7.3</w:t>
            </w:r>
          </w:p>
        </w:tc>
        <w:tc>
          <w:tcPr>
            <w:tcW w:w="1275" w:type="dxa"/>
          </w:tcPr>
          <w:p>
            <w:pPr>
              <w:pStyle w:val="TableParagraph"/>
              <w:spacing w:before="33"/>
              <w:ind w:left="228"/>
              <w:rPr>
                <w:b/>
                <w:sz w:val="21"/>
              </w:rPr>
            </w:pPr>
            <w:r>
              <w:rPr>
                <w:b/>
                <w:sz w:val="21"/>
              </w:rPr>
              <w:t>周岁</w:t>
            </w:r>
          </w:p>
        </w:tc>
        <w:tc>
          <w:tcPr>
            <w:tcW w:w="7698" w:type="dxa"/>
          </w:tcPr>
          <w:p>
            <w:pPr>
              <w:pStyle w:val="TableParagraph"/>
              <w:spacing w:before="48"/>
              <w:ind w:left="199"/>
              <w:rPr>
                <w:sz w:val="21"/>
              </w:rPr>
            </w:pPr>
            <w:r>
              <w:rPr>
                <w:sz w:val="21"/>
              </w:rPr>
              <w:t>以有效身份证件中记载的出生日期为基准计算。</w:t>
            </w:r>
          </w:p>
        </w:tc>
      </w:tr>
      <w:tr>
        <w:trPr>
          <w:trHeight w:val="331" w:hRule="atLeast"/>
        </w:trPr>
        <w:tc>
          <w:tcPr>
            <w:tcW w:w="602" w:type="dxa"/>
          </w:tcPr>
          <w:p>
            <w:pPr>
              <w:pStyle w:val="TableParagraph"/>
              <w:spacing w:line="228" w:lineRule="exact" w:before="83"/>
              <w:ind w:left="108"/>
              <w:rPr>
                <w:rFonts w:ascii="Times New Roman"/>
                <w:b/>
                <w:sz w:val="21"/>
              </w:rPr>
            </w:pPr>
            <w:r>
              <w:rPr>
                <w:rFonts w:ascii="Times New Roman"/>
                <w:b/>
                <w:sz w:val="21"/>
              </w:rPr>
              <w:t>7.4</w:t>
            </w:r>
          </w:p>
        </w:tc>
        <w:tc>
          <w:tcPr>
            <w:tcW w:w="1275" w:type="dxa"/>
          </w:tcPr>
          <w:p>
            <w:pPr>
              <w:pStyle w:val="TableParagraph"/>
              <w:spacing w:before="34"/>
              <w:ind w:left="228"/>
              <w:rPr>
                <w:b/>
                <w:sz w:val="21"/>
              </w:rPr>
            </w:pPr>
            <w:r>
              <w:rPr>
                <w:b/>
                <w:sz w:val="21"/>
              </w:rPr>
              <w:t>意外伤害</w:t>
            </w:r>
          </w:p>
        </w:tc>
        <w:tc>
          <w:tcPr>
            <w:tcW w:w="7698" w:type="dxa"/>
          </w:tcPr>
          <w:p>
            <w:pPr>
              <w:pStyle w:val="TableParagraph"/>
              <w:spacing w:before="34"/>
              <w:ind w:left="199"/>
              <w:rPr>
                <w:sz w:val="21"/>
              </w:rPr>
            </w:pPr>
            <w:r>
              <w:rPr>
                <w:sz w:val="21"/>
              </w:rPr>
              <w:t>指外来的、突发的、非本意的、非疾病的使身体受到伤害的客观事件。</w:t>
            </w:r>
          </w:p>
        </w:tc>
      </w:tr>
    </w:tbl>
    <w:p>
      <w:pPr>
        <w:spacing w:after="0"/>
        <w:rPr>
          <w:sz w:val="21"/>
        </w:rPr>
        <w:sectPr>
          <w:pgSz w:w="11910" w:h="16840"/>
          <w:pgMar w:top="1480" w:bottom="280" w:left="116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315"/>
        <w:gridCol w:w="7804"/>
      </w:tblGrid>
      <w:tr>
        <w:trPr>
          <w:trHeight w:val="915" w:hRule="atLeast"/>
        </w:trPr>
        <w:tc>
          <w:tcPr>
            <w:tcW w:w="746" w:type="dxa"/>
          </w:tcPr>
          <w:p>
            <w:pPr>
              <w:pStyle w:val="TableParagraph"/>
              <w:spacing w:line="234" w:lineRule="exact"/>
              <w:ind w:left="76" w:right="157"/>
              <w:jc w:val="center"/>
              <w:rPr>
                <w:rFonts w:ascii="Times New Roman"/>
                <w:b/>
                <w:sz w:val="21"/>
              </w:rPr>
            </w:pPr>
            <w:r>
              <w:rPr>
                <w:rFonts w:ascii="Times New Roman"/>
                <w:b/>
                <w:sz w:val="21"/>
              </w:rPr>
              <w:t>7.5</w:t>
            </w:r>
          </w:p>
        </w:tc>
        <w:tc>
          <w:tcPr>
            <w:tcW w:w="1315" w:type="dxa"/>
          </w:tcPr>
          <w:p>
            <w:pPr>
              <w:pStyle w:val="TableParagraph"/>
              <w:spacing w:line="218" w:lineRule="exact"/>
              <w:ind w:left="176"/>
              <w:rPr>
                <w:b/>
                <w:sz w:val="21"/>
              </w:rPr>
            </w:pPr>
            <w:r>
              <w:rPr>
                <w:b/>
                <w:sz w:val="21"/>
              </w:rPr>
              <w:t>毒品</w:t>
            </w:r>
          </w:p>
        </w:tc>
        <w:tc>
          <w:tcPr>
            <w:tcW w:w="7804" w:type="dxa"/>
          </w:tcPr>
          <w:p>
            <w:pPr>
              <w:pStyle w:val="TableParagraph"/>
              <w:spacing w:line="218" w:lineRule="exact"/>
              <w:ind w:left="10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p>
            <w:pPr>
              <w:pStyle w:val="TableParagraph"/>
              <w:spacing w:line="261" w:lineRule="auto" w:before="25"/>
              <w:ind w:left="106" w:right="337"/>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012" w:hRule="atLeast"/>
        </w:trPr>
        <w:tc>
          <w:tcPr>
            <w:tcW w:w="746" w:type="dxa"/>
          </w:tcPr>
          <w:p>
            <w:pPr>
              <w:pStyle w:val="TableParagraph"/>
              <w:spacing w:before="89"/>
              <w:ind w:left="76" w:right="157"/>
              <w:jc w:val="center"/>
              <w:rPr>
                <w:rFonts w:ascii="Times New Roman"/>
                <w:b/>
                <w:sz w:val="21"/>
              </w:rPr>
            </w:pPr>
            <w:r>
              <w:rPr>
                <w:rFonts w:ascii="Times New Roman"/>
                <w:b/>
                <w:sz w:val="21"/>
              </w:rPr>
              <w:t>7.6</w:t>
            </w:r>
          </w:p>
        </w:tc>
        <w:tc>
          <w:tcPr>
            <w:tcW w:w="1315" w:type="dxa"/>
          </w:tcPr>
          <w:p>
            <w:pPr>
              <w:pStyle w:val="TableParagraph"/>
              <w:spacing w:before="40"/>
              <w:ind w:left="176"/>
              <w:rPr>
                <w:b/>
                <w:sz w:val="21"/>
              </w:rPr>
            </w:pPr>
            <w:r>
              <w:rPr>
                <w:b/>
                <w:sz w:val="21"/>
              </w:rPr>
              <w:t>酒后驾驶</w:t>
            </w:r>
          </w:p>
        </w:tc>
        <w:tc>
          <w:tcPr>
            <w:tcW w:w="7804" w:type="dxa"/>
          </w:tcPr>
          <w:p>
            <w:pPr>
              <w:pStyle w:val="TableParagraph"/>
              <w:spacing w:line="261" w:lineRule="auto" w:before="40"/>
              <w:ind w:left="106" w:right="30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75" w:hRule="atLeast"/>
        </w:trPr>
        <w:tc>
          <w:tcPr>
            <w:tcW w:w="746" w:type="dxa"/>
          </w:tcPr>
          <w:p>
            <w:pPr>
              <w:pStyle w:val="TableParagraph"/>
              <w:spacing w:before="90"/>
              <w:ind w:left="76" w:right="157"/>
              <w:jc w:val="center"/>
              <w:rPr>
                <w:rFonts w:ascii="Times New Roman"/>
                <w:b/>
                <w:sz w:val="21"/>
              </w:rPr>
            </w:pPr>
            <w:r>
              <w:rPr>
                <w:rFonts w:ascii="Times New Roman"/>
                <w:b/>
                <w:sz w:val="21"/>
              </w:rPr>
              <w:t>7.7</w:t>
            </w:r>
          </w:p>
        </w:tc>
        <w:tc>
          <w:tcPr>
            <w:tcW w:w="1315" w:type="dxa"/>
          </w:tcPr>
          <w:p>
            <w:pPr>
              <w:pStyle w:val="TableParagraph"/>
              <w:spacing w:line="261" w:lineRule="auto" w:before="40"/>
              <w:ind w:left="176" w:right="291"/>
              <w:jc w:val="both"/>
              <w:rPr>
                <w:b/>
                <w:sz w:val="21"/>
              </w:rPr>
            </w:pPr>
            <w:r>
              <w:rPr>
                <w:b/>
                <w:sz w:val="21"/>
              </w:rPr>
              <w:t>无合法有效驾驶证驾驶</w:t>
            </w:r>
          </w:p>
        </w:tc>
        <w:tc>
          <w:tcPr>
            <w:tcW w:w="7804" w:type="dxa"/>
          </w:tcPr>
          <w:p>
            <w:pPr>
              <w:pStyle w:val="TableParagraph"/>
              <w:spacing w:before="33"/>
              <w:ind w:left="106"/>
              <w:rPr>
                <w:sz w:val="21"/>
              </w:rPr>
            </w:pPr>
            <w:r>
              <w:rPr>
                <w:sz w:val="21"/>
              </w:rPr>
              <w:t>指下列情形之一：</w:t>
            </w:r>
          </w:p>
          <w:p>
            <w:pPr>
              <w:pStyle w:val="TableParagraph"/>
              <w:spacing w:before="36"/>
              <w:ind w:left="106"/>
              <w:rPr>
                <w:sz w:val="21"/>
              </w:rPr>
            </w:pPr>
            <w:r>
              <w:rPr>
                <w:sz w:val="21"/>
              </w:rPr>
              <w:t>（</w:t>
            </w:r>
            <w:r>
              <w:rPr>
                <w:rFonts w:ascii="Times New Roman" w:eastAsia="Times New Roman"/>
                <w:sz w:val="21"/>
              </w:rPr>
              <w:t>1</w:t>
            </w:r>
            <w:r>
              <w:rPr>
                <w:sz w:val="21"/>
              </w:rPr>
              <w:t>）没有驾驶证驾驶；</w:t>
            </w:r>
          </w:p>
          <w:p>
            <w:pPr>
              <w:pStyle w:val="TableParagraph"/>
              <w:spacing w:before="20"/>
              <w:ind w:left="106"/>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0"/>
              <w:ind w:left="106"/>
              <w:rPr>
                <w:sz w:val="21"/>
              </w:rPr>
            </w:pPr>
            <w:r>
              <w:rPr>
                <w:sz w:val="21"/>
              </w:rPr>
              <w:t>（</w:t>
            </w:r>
            <w:r>
              <w:rPr>
                <w:rFonts w:ascii="Times New Roman" w:eastAsia="Times New Roman"/>
                <w:sz w:val="21"/>
              </w:rPr>
              <w:t>3</w:t>
            </w:r>
            <w:r>
              <w:rPr>
                <w:sz w:val="21"/>
              </w:rPr>
              <w:t>）持审验不合格的驾驶证驾驶；</w:t>
            </w:r>
          </w:p>
          <w:p>
            <w:pPr>
              <w:pStyle w:val="TableParagraph"/>
              <w:spacing w:line="256" w:lineRule="auto" w:before="20"/>
              <w:ind w:left="632" w:right="306"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054" w:hRule="atLeast"/>
        </w:trPr>
        <w:tc>
          <w:tcPr>
            <w:tcW w:w="746" w:type="dxa"/>
          </w:tcPr>
          <w:p>
            <w:pPr>
              <w:pStyle w:val="TableParagraph"/>
              <w:spacing w:before="99"/>
              <w:ind w:left="76" w:right="157"/>
              <w:jc w:val="center"/>
              <w:rPr>
                <w:rFonts w:ascii="Times New Roman"/>
                <w:b/>
                <w:sz w:val="21"/>
              </w:rPr>
            </w:pPr>
            <w:r>
              <w:rPr>
                <w:rFonts w:ascii="Times New Roman"/>
                <w:b/>
                <w:sz w:val="21"/>
              </w:rPr>
              <w:t>7.8</w:t>
            </w:r>
          </w:p>
        </w:tc>
        <w:tc>
          <w:tcPr>
            <w:tcW w:w="1315" w:type="dxa"/>
          </w:tcPr>
          <w:p>
            <w:pPr>
              <w:pStyle w:val="TableParagraph"/>
              <w:spacing w:line="261" w:lineRule="auto" w:before="50"/>
              <w:ind w:left="176" w:right="291"/>
              <w:rPr>
                <w:b/>
                <w:sz w:val="21"/>
              </w:rPr>
            </w:pPr>
            <w:r>
              <w:rPr>
                <w:b/>
                <w:sz w:val="21"/>
              </w:rPr>
              <w:t>无有效行驶证</w:t>
            </w:r>
          </w:p>
        </w:tc>
        <w:tc>
          <w:tcPr>
            <w:tcW w:w="7804" w:type="dxa"/>
          </w:tcPr>
          <w:p>
            <w:pPr>
              <w:pStyle w:val="TableParagraph"/>
              <w:spacing w:before="43"/>
              <w:ind w:left="106"/>
              <w:rPr>
                <w:sz w:val="21"/>
              </w:rPr>
            </w:pPr>
            <w:r>
              <w:rPr>
                <w:sz w:val="21"/>
              </w:rPr>
              <w:t>指下列情形之一：</w:t>
            </w:r>
          </w:p>
          <w:p>
            <w:pPr>
              <w:pStyle w:val="TableParagraph"/>
              <w:spacing w:before="37"/>
              <w:ind w:left="106"/>
              <w:rPr>
                <w:sz w:val="21"/>
              </w:rPr>
            </w:pPr>
            <w:r>
              <w:rPr>
                <w:sz w:val="21"/>
              </w:rPr>
              <w:t>（</w:t>
            </w:r>
            <w:r>
              <w:rPr>
                <w:rFonts w:ascii="Times New Roman" w:eastAsia="Times New Roman"/>
                <w:sz w:val="21"/>
              </w:rPr>
              <w:t>1</w:t>
            </w:r>
            <w:r>
              <w:rPr>
                <w:sz w:val="21"/>
              </w:rPr>
              <w:t>）机动车被依法注销登记的；</w:t>
            </w:r>
          </w:p>
          <w:p>
            <w:pPr>
              <w:pStyle w:val="TableParagraph"/>
              <w:spacing w:before="28"/>
              <w:ind w:left="106"/>
              <w:rPr>
                <w:sz w:val="21"/>
              </w:rPr>
            </w:pPr>
            <w:r>
              <w:rPr>
                <w:sz w:val="21"/>
              </w:rPr>
              <w:t>（</w:t>
            </w:r>
            <w:r>
              <w:rPr>
                <w:rFonts w:ascii="Times New Roman" w:eastAsia="Times New Roman"/>
                <w:sz w:val="21"/>
              </w:rPr>
              <w:t>2</w:t>
            </w:r>
            <w:r>
              <w:rPr>
                <w:sz w:val="21"/>
              </w:rPr>
              <w:t>）未依法按时进行或通过机动车安全技术检验。</w:t>
            </w:r>
          </w:p>
        </w:tc>
      </w:tr>
      <w:tr>
        <w:trPr>
          <w:trHeight w:val="704" w:hRule="atLeast"/>
        </w:trPr>
        <w:tc>
          <w:tcPr>
            <w:tcW w:w="746" w:type="dxa"/>
          </w:tcPr>
          <w:p>
            <w:pPr>
              <w:pStyle w:val="TableParagraph"/>
              <w:spacing w:before="81"/>
              <w:ind w:left="76" w:right="157"/>
              <w:jc w:val="center"/>
              <w:rPr>
                <w:rFonts w:ascii="Times New Roman"/>
                <w:b/>
                <w:sz w:val="21"/>
              </w:rPr>
            </w:pPr>
            <w:r>
              <w:rPr>
                <w:rFonts w:ascii="Times New Roman"/>
                <w:b/>
                <w:sz w:val="21"/>
              </w:rPr>
              <w:t>7.9</w:t>
            </w:r>
          </w:p>
        </w:tc>
        <w:tc>
          <w:tcPr>
            <w:tcW w:w="1315" w:type="dxa"/>
          </w:tcPr>
          <w:p>
            <w:pPr>
              <w:pStyle w:val="TableParagraph"/>
              <w:spacing w:before="32"/>
              <w:ind w:left="176"/>
              <w:rPr>
                <w:b/>
                <w:sz w:val="21"/>
              </w:rPr>
            </w:pPr>
            <w:r>
              <w:rPr>
                <w:b/>
                <w:sz w:val="21"/>
              </w:rPr>
              <w:t>战争</w:t>
            </w:r>
          </w:p>
        </w:tc>
        <w:tc>
          <w:tcPr>
            <w:tcW w:w="7804" w:type="dxa"/>
          </w:tcPr>
          <w:p>
            <w:pPr>
              <w:pStyle w:val="TableParagraph"/>
              <w:spacing w:line="261" w:lineRule="auto" w:before="32"/>
              <w:ind w:left="106" w:right="307"/>
              <w:rPr>
                <w:sz w:val="21"/>
              </w:rPr>
            </w:pPr>
            <w:r>
              <w:rPr>
                <w:sz w:val="21"/>
              </w:rPr>
              <w:t>指国家与国家、民族与民族、政治集团与政治集团之间为了一定的政治、经济目的而进行的武装斗争，以政府宣布为准。</w:t>
            </w:r>
          </w:p>
        </w:tc>
      </w:tr>
      <w:tr>
        <w:trPr>
          <w:trHeight w:val="421" w:hRule="atLeast"/>
        </w:trPr>
        <w:tc>
          <w:tcPr>
            <w:tcW w:w="746" w:type="dxa"/>
          </w:tcPr>
          <w:p>
            <w:pPr>
              <w:pStyle w:val="TableParagraph"/>
              <w:spacing w:before="89"/>
              <w:ind w:left="169" w:right="146"/>
              <w:jc w:val="center"/>
              <w:rPr>
                <w:rFonts w:ascii="Times New Roman"/>
                <w:b/>
                <w:sz w:val="21"/>
              </w:rPr>
            </w:pPr>
            <w:r>
              <w:rPr>
                <w:rFonts w:ascii="Times New Roman"/>
                <w:b/>
                <w:sz w:val="21"/>
              </w:rPr>
              <w:t>7.10</w:t>
            </w:r>
          </w:p>
        </w:tc>
        <w:tc>
          <w:tcPr>
            <w:tcW w:w="1315" w:type="dxa"/>
          </w:tcPr>
          <w:p>
            <w:pPr>
              <w:pStyle w:val="TableParagraph"/>
              <w:spacing w:before="40"/>
              <w:ind w:left="176"/>
              <w:rPr>
                <w:b/>
                <w:sz w:val="21"/>
              </w:rPr>
            </w:pPr>
            <w:r>
              <w:rPr>
                <w:b/>
                <w:sz w:val="21"/>
              </w:rPr>
              <w:t>军事冲突</w:t>
            </w:r>
          </w:p>
        </w:tc>
        <w:tc>
          <w:tcPr>
            <w:tcW w:w="7804" w:type="dxa"/>
          </w:tcPr>
          <w:p>
            <w:pPr>
              <w:pStyle w:val="TableParagraph"/>
              <w:spacing w:before="40"/>
              <w:ind w:left="106"/>
              <w:rPr>
                <w:sz w:val="21"/>
              </w:rPr>
            </w:pPr>
            <w:r>
              <w:rPr>
                <w:sz w:val="21"/>
              </w:rPr>
              <w:t>指国家或民族之间在一定范围内的武装对抗，以政府宣布为准。</w:t>
            </w:r>
          </w:p>
        </w:tc>
      </w:tr>
      <w:tr>
        <w:trPr>
          <w:trHeight w:val="413" w:hRule="atLeast"/>
        </w:trPr>
        <w:tc>
          <w:tcPr>
            <w:tcW w:w="746" w:type="dxa"/>
          </w:tcPr>
          <w:p>
            <w:pPr>
              <w:pStyle w:val="TableParagraph"/>
              <w:spacing w:before="83"/>
              <w:ind w:left="157" w:right="157"/>
              <w:jc w:val="center"/>
              <w:rPr>
                <w:rFonts w:ascii="Times New Roman"/>
                <w:b/>
                <w:sz w:val="21"/>
              </w:rPr>
            </w:pPr>
            <w:r>
              <w:rPr>
                <w:rFonts w:ascii="Times New Roman"/>
                <w:b/>
                <w:sz w:val="21"/>
              </w:rPr>
              <w:t>7.11</w:t>
            </w:r>
          </w:p>
        </w:tc>
        <w:tc>
          <w:tcPr>
            <w:tcW w:w="1315" w:type="dxa"/>
          </w:tcPr>
          <w:p>
            <w:pPr>
              <w:pStyle w:val="TableParagraph"/>
              <w:spacing w:before="33"/>
              <w:ind w:left="176"/>
              <w:rPr>
                <w:b/>
                <w:sz w:val="21"/>
              </w:rPr>
            </w:pPr>
            <w:r>
              <w:rPr>
                <w:b/>
                <w:sz w:val="21"/>
              </w:rPr>
              <w:t>暴乱</w:t>
            </w:r>
          </w:p>
        </w:tc>
        <w:tc>
          <w:tcPr>
            <w:tcW w:w="7804" w:type="dxa"/>
          </w:tcPr>
          <w:p>
            <w:pPr>
              <w:pStyle w:val="TableParagraph"/>
              <w:spacing w:before="33"/>
              <w:ind w:left="106"/>
              <w:rPr>
                <w:sz w:val="21"/>
              </w:rPr>
            </w:pPr>
            <w:r>
              <w:rPr>
                <w:sz w:val="21"/>
              </w:rPr>
              <w:t>指破坏社会秩序的武装骚乱，以政府宣布为准。</w:t>
            </w:r>
          </w:p>
        </w:tc>
      </w:tr>
      <w:tr>
        <w:trPr>
          <w:trHeight w:val="704" w:hRule="atLeast"/>
        </w:trPr>
        <w:tc>
          <w:tcPr>
            <w:tcW w:w="746" w:type="dxa"/>
          </w:tcPr>
          <w:p>
            <w:pPr>
              <w:pStyle w:val="TableParagraph"/>
              <w:spacing w:before="81"/>
              <w:ind w:left="169" w:right="146"/>
              <w:jc w:val="center"/>
              <w:rPr>
                <w:rFonts w:ascii="Times New Roman"/>
                <w:b/>
                <w:sz w:val="21"/>
              </w:rPr>
            </w:pPr>
            <w:r>
              <w:rPr>
                <w:rFonts w:ascii="Times New Roman"/>
                <w:b/>
                <w:sz w:val="21"/>
              </w:rPr>
              <w:t>7.12</w:t>
            </w:r>
          </w:p>
        </w:tc>
        <w:tc>
          <w:tcPr>
            <w:tcW w:w="1315" w:type="dxa"/>
          </w:tcPr>
          <w:p>
            <w:pPr>
              <w:pStyle w:val="TableParagraph"/>
              <w:spacing w:before="32"/>
              <w:ind w:left="176"/>
              <w:rPr>
                <w:b/>
                <w:sz w:val="21"/>
              </w:rPr>
            </w:pPr>
            <w:r>
              <w:rPr>
                <w:b/>
                <w:sz w:val="21"/>
              </w:rPr>
              <w:t>现金价值</w:t>
            </w:r>
          </w:p>
        </w:tc>
        <w:tc>
          <w:tcPr>
            <w:tcW w:w="7804" w:type="dxa"/>
          </w:tcPr>
          <w:p>
            <w:pPr>
              <w:pStyle w:val="TableParagraph"/>
              <w:spacing w:line="261" w:lineRule="auto" w:before="32"/>
              <w:ind w:left="106" w:right="337"/>
              <w:rPr>
                <w:sz w:val="21"/>
              </w:rPr>
            </w:pPr>
            <w:r>
              <w:rPr>
                <w:sz w:val="21"/>
              </w:rPr>
              <w:t>指保证现金价值。保单年度末的保证现金价值是指保险单上“现金价值表”所列明的金额。保单年度内的保证现金价值，您可以向我们咨询。</w:t>
            </w:r>
          </w:p>
        </w:tc>
      </w:tr>
      <w:tr>
        <w:trPr>
          <w:trHeight w:val="1613" w:hRule="atLeast"/>
        </w:trPr>
        <w:tc>
          <w:tcPr>
            <w:tcW w:w="746" w:type="dxa"/>
          </w:tcPr>
          <w:p>
            <w:pPr>
              <w:pStyle w:val="TableParagraph"/>
              <w:spacing w:before="89"/>
              <w:ind w:left="169" w:right="146"/>
              <w:jc w:val="center"/>
              <w:rPr>
                <w:rFonts w:ascii="Times New Roman"/>
                <w:b/>
                <w:sz w:val="21"/>
              </w:rPr>
            </w:pPr>
            <w:r>
              <w:rPr>
                <w:rFonts w:ascii="Times New Roman"/>
                <w:b/>
                <w:sz w:val="21"/>
              </w:rPr>
              <w:t>7.13</w:t>
            </w:r>
          </w:p>
        </w:tc>
        <w:tc>
          <w:tcPr>
            <w:tcW w:w="1315" w:type="dxa"/>
          </w:tcPr>
          <w:p>
            <w:pPr>
              <w:pStyle w:val="TableParagraph"/>
              <w:spacing w:line="261" w:lineRule="auto" w:before="40"/>
              <w:ind w:left="176" w:right="291"/>
              <w:jc w:val="both"/>
              <w:rPr>
                <w:b/>
                <w:sz w:val="21"/>
              </w:rPr>
            </w:pPr>
            <w:r>
              <w:rPr>
                <w:b/>
                <w:sz w:val="21"/>
              </w:rPr>
              <w:t>感染艾滋病病毒或患艾滋病</w:t>
            </w:r>
          </w:p>
        </w:tc>
        <w:tc>
          <w:tcPr>
            <w:tcW w:w="7804" w:type="dxa"/>
          </w:tcPr>
          <w:p>
            <w:pPr>
              <w:pStyle w:val="TableParagraph"/>
              <w:spacing w:line="247" w:lineRule="auto" w:before="40"/>
              <w:ind w:left="106" w:right="301"/>
              <w:jc w:val="both"/>
              <w:rPr>
                <w:sz w:val="21"/>
              </w:rPr>
            </w:pPr>
            <w:r>
              <w:rPr>
                <w:spacing w:val="-3"/>
                <w:sz w:val="21"/>
              </w:rPr>
              <w:t>艾滋病病毒指人类免疫缺陷病毒，英文缩写为 </w:t>
            </w:r>
            <w:r>
              <w:rPr>
                <w:rFonts w:ascii="Times New Roman" w:eastAsia="Times New Roman"/>
                <w:sz w:val="21"/>
              </w:rPr>
              <w:t>HIV</w:t>
            </w:r>
            <w:r>
              <w:rPr>
                <w:spacing w:val="-3"/>
                <w:sz w:val="21"/>
              </w:rPr>
              <w:t>。艾滋病指人类免疫缺陷病毒</w:t>
            </w:r>
            <w:r>
              <w:rPr>
                <w:spacing w:val="-5"/>
                <w:sz w:val="21"/>
              </w:rPr>
              <w:t>引起的获得性免疫缺陷综合征，英文缩写为 </w:t>
            </w:r>
            <w:r>
              <w:rPr>
                <w:rFonts w:ascii="Times New Roman" w:eastAsia="Times New Roman"/>
                <w:sz w:val="21"/>
              </w:rPr>
              <w:t>AIDS</w:t>
            </w:r>
            <w:r>
              <w:rPr>
                <w:sz w:val="21"/>
              </w:rPr>
              <w:t>。</w:t>
            </w:r>
          </w:p>
          <w:p>
            <w:pPr>
              <w:pStyle w:val="TableParagraph"/>
              <w:spacing w:line="261" w:lineRule="auto" w:before="2"/>
              <w:ind w:left="106" w:right="307"/>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746" w:type="dxa"/>
          </w:tcPr>
          <w:p>
            <w:pPr>
              <w:pStyle w:val="TableParagraph"/>
              <w:spacing w:before="89"/>
              <w:ind w:left="169" w:right="146"/>
              <w:jc w:val="center"/>
              <w:rPr>
                <w:rFonts w:ascii="Times New Roman"/>
                <w:b/>
                <w:sz w:val="21"/>
              </w:rPr>
            </w:pPr>
            <w:r>
              <w:rPr>
                <w:rFonts w:ascii="Times New Roman"/>
                <w:b/>
                <w:sz w:val="21"/>
              </w:rPr>
              <w:t>7.14</w:t>
            </w:r>
          </w:p>
        </w:tc>
        <w:tc>
          <w:tcPr>
            <w:tcW w:w="1315" w:type="dxa"/>
          </w:tcPr>
          <w:p>
            <w:pPr>
              <w:pStyle w:val="TableParagraph"/>
              <w:spacing w:line="261" w:lineRule="auto" w:before="40"/>
              <w:ind w:left="176" w:right="291"/>
              <w:rPr>
                <w:b/>
                <w:sz w:val="21"/>
              </w:rPr>
            </w:pPr>
            <w:r>
              <w:rPr>
                <w:b/>
                <w:sz w:val="21"/>
              </w:rPr>
              <w:t>遗传性疾病</w:t>
            </w:r>
          </w:p>
        </w:tc>
        <w:tc>
          <w:tcPr>
            <w:tcW w:w="7804" w:type="dxa"/>
          </w:tcPr>
          <w:p>
            <w:pPr>
              <w:pStyle w:val="TableParagraph"/>
              <w:spacing w:line="261" w:lineRule="auto" w:before="40"/>
              <w:ind w:left="106" w:right="127"/>
              <w:rPr>
                <w:sz w:val="21"/>
              </w:rPr>
            </w:pPr>
            <w:r>
              <w:rPr>
                <w:sz w:val="21"/>
              </w:rPr>
              <w:t>指生殖细胞或受精卵的遗传物质（染色体和基因）发生突变或畸变所引起的疾病， 通常具有由亲代传至后代的垂直传递的特征。</w:t>
            </w:r>
          </w:p>
        </w:tc>
      </w:tr>
      <w:tr>
        <w:trPr>
          <w:trHeight w:val="1312" w:hRule="atLeast"/>
        </w:trPr>
        <w:tc>
          <w:tcPr>
            <w:tcW w:w="746" w:type="dxa"/>
          </w:tcPr>
          <w:p>
            <w:pPr>
              <w:pStyle w:val="TableParagraph"/>
              <w:spacing w:before="89"/>
              <w:ind w:left="169" w:right="146"/>
              <w:jc w:val="center"/>
              <w:rPr>
                <w:rFonts w:ascii="Times New Roman"/>
                <w:b/>
                <w:sz w:val="21"/>
              </w:rPr>
            </w:pPr>
            <w:r>
              <w:rPr>
                <w:rFonts w:ascii="Times New Roman"/>
                <w:b/>
                <w:sz w:val="21"/>
              </w:rPr>
              <w:t>7.15</w:t>
            </w:r>
          </w:p>
        </w:tc>
        <w:tc>
          <w:tcPr>
            <w:tcW w:w="1315" w:type="dxa"/>
          </w:tcPr>
          <w:p>
            <w:pPr>
              <w:pStyle w:val="TableParagraph"/>
              <w:spacing w:line="261" w:lineRule="auto" w:before="40"/>
              <w:ind w:left="176" w:right="104"/>
              <w:rPr>
                <w:b/>
                <w:sz w:val="21"/>
              </w:rPr>
            </w:pPr>
            <w:r>
              <w:rPr>
                <w:b/>
                <w:sz w:val="21"/>
              </w:rPr>
              <w:t>先天性畸</w:t>
            </w:r>
            <w:r>
              <w:rPr>
                <w:b/>
                <w:spacing w:val="-6"/>
                <w:sz w:val="21"/>
              </w:rPr>
              <w:t>形、变形或染色体异常</w:t>
            </w:r>
          </w:p>
        </w:tc>
        <w:tc>
          <w:tcPr>
            <w:tcW w:w="7804" w:type="dxa"/>
          </w:tcPr>
          <w:p>
            <w:pPr>
              <w:pStyle w:val="TableParagraph"/>
              <w:spacing w:line="261" w:lineRule="auto" w:before="40"/>
              <w:ind w:left="106" w:right="19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8"/>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1021" w:hRule="atLeast"/>
        </w:trPr>
        <w:tc>
          <w:tcPr>
            <w:tcW w:w="746" w:type="dxa"/>
          </w:tcPr>
          <w:p>
            <w:pPr>
              <w:pStyle w:val="TableParagraph"/>
              <w:spacing w:before="89"/>
              <w:ind w:left="169" w:right="146"/>
              <w:jc w:val="center"/>
              <w:rPr>
                <w:rFonts w:ascii="Times New Roman"/>
                <w:b/>
                <w:sz w:val="21"/>
              </w:rPr>
            </w:pPr>
            <w:r>
              <w:rPr>
                <w:rFonts w:ascii="Times New Roman"/>
                <w:b/>
                <w:sz w:val="21"/>
              </w:rPr>
              <w:t>7.16</w:t>
            </w:r>
          </w:p>
        </w:tc>
        <w:tc>
          <w:tcPr>
            <w:tcW w:w="1315" w:type="dxa"/>
          </w:tcPr>
          <w:p>
            <w:pPr>
              <w:pStyle w:val="TableParagraph"/>
              <w:spacing w:before="40"/>
              <w:ind w:left="176"/>
              <w:rPr>
                <w:b/>
                <w:sz w:val="21"/>
              </w:rPr>
            </w:pPr>
            <w:r>
              <w:rPr>
                <w:b/>
                <w:sz w:val="21"/>
              </w:rPr>
              <w:t>利息</w:t>
            </w:r>
          </w:p>
        </w:tc>
        <w:tc>
          <w:tcPr>
            <w:tcW w:w="7804" w:type="dxa"/>
          </w:tcPr>
          <w:p>
            <w:pPr>
              <w:pStyle w:val="TableParagraph"/>
              <w:spacing w:line="261" w:lineRule="auto" w:before="40"/>
              <w:ind w:left="106" w:right="303"/>
              <w:jc w:val="both"/>
              <w:rPr>
                <w:sz w:val="21"/>
              </w:rPr>
            </w:pPr>
            <w:r>
              <w:rPr>
                <w:sz w:val="21"/>
              </w:rPr>
              <w:t>指补（或垫）欠交保险费的利息，按补（或垫）欠交保险费的数额，经过日数和利率依复利方式计算。利率最高不超过“同期中国人民银行颁布的一年期贷款利率</w:t>
            </w:r>
            <w:r>
              <w:rPr>
                <w:rFonts w:ascii="Times New Roman" w:hAnsi="Times New Roman" w:eastAsia="Times New Roman"/>
                <w:sz w:val="21"/>
              </w:rPr>
              <w:t>+2</w:t>
            </w:r>
            <w:r>
              <w:rPr>
                <w:sz w:val="21"/>
              </w:rPr>
              <w:t>％”。</w:t>
            </w:r>
          </w:p>
        </w:tc>
      </w:tr>
      <w:tr>
        <w:trPr>
          <w:trHeight w:val="1207" w:hRule="atLeast"/>
        </w:trPr>
        <w:tc>
          <w:tcPr>
            <w:tcW w:w="746" w:type="dxa"/>
          </w:tcPr>
          <w:p>
            <w:pPr>
              <w:pStyle w:val="TableParagraph"/>
              <w:spacing w:before="81"/>
              <w:ind w:left="169" w:right="146"/>
              <w:jc w:val="center"/>
              <w:rPr>
                <w:rFonts w:ascii="Times New Roman"/>
                <w:b/>
                <w:sz w:val="21"/>
              </w:rPr>
            </w:pPr>
            <w:r>
              <w:rPr>
                <w:rFonts w:ascii="Times New Roman"/>
                <w:b/>
                <w:sz w:val="21"/>
              </w:rPr>
              <w:t>7.17</w:t>
            </w:r>
          </w:p>
        </w:tc>
        <w:tc>
          <w:tcPr>
            <w:tcW w:w="1315" w:type="dxa"/>
          </w:tcPr>
          <w:p>
            <w:pPr>
              <w:pStyle w:val="TableParagraph"/>
              <w:spacing w:line="261" w:lineRule="auto" w:before="32"/>
              <w:ind w:left="176" w:right="291"/>
              <w:rPr>
                <w:b/>
                <w:sz w:val="21"/>
              </w:rPr>
            </w:pPr>
            <w:r>
              <w:rPr>
                <w:b/>
                <w:sz w:val="21"/>
              </w:rPr>
              <w:t>我们认可的医院</w:t>
            </w:r>
          </w:p>
        </w:tc>
        <w:tc>
          <w:tcPr>
            <w:tcW w:w="7804" w:type="dxa"/>
          </w:tcPr>
          <w:p>
            <w:pPr>
              <w:pStyle w:val="TableParagraph"/>
              <w:spacing w:line="300" w:lineRule="atLeast" w:before="7"/>
              <w:ind w:left="106" w:right="307"/>
              <w:jc w:val="both"/>
              <w:rPr>
                <w:rFonts w:ascii="黑体" w:eastAsia="黑体" w:hint="eastAsia"/>
                <w:sz w:val="21"/>
              </w:rPr>
            </w:pPr>
            <w:r>
              <w:rPr>
                <w:sz w:val="21"/>
              </w:rPr>
              <w:t>指我们指定的医院。若我们没有指定，则指国家卫生部医院等级分类中的二级或二级以上的医院。</w:t>
            </w:r>
            <w:r>
              <w:rPr>
                <w:rFonts w:ascii="黑体" w:eastAsia="黑体" w:hint="eastAsia"/>
                <w:sz w:val="21"/>
              </w:rPr>
              <w:t>不包括康复医院或康复病房、精神病院、疗养院、护理院、戒酒或戒毒中心、精神心理治疗中心、急诊或门诊观察室、无相应医护人员或设备的二级或三级医院的联合医院或联合病房。</w:t>
            </w:r>
          </w:p>
        </w:tc>
      </w:tr>
    </w:tbl>
    <w:p>
      <w:pPr>
        <w:spacing w:after="0" w:line="300" w:lineRule="atLeast"/>
        <w:jc w:val="both"/>
        <w:rPr>
          <w:rFonts w:ascii="黑体" w:eastAsia="黑体" w:hint="eastAsia"/>
          <w:sz w:val="21"/>
        </w:rPr>
        <w:sectPr>
          <w:pgSz w:w="11910" w:h="16840"/>
          <w:pgMar w:top="15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327"/>
        <w:gridCol w:w="7791"/>
      </w:tblGrid>
      <w:tr>
        <w:trPr>
          <w:trHeight w:val="1215" w:hRule="atLeast"/>
        </w:trPr>
        <w:tc>
          <w:tcPr>
            <w:tcW w:w="746" w:type="dxa"/>
          </w:tcPr>
          <w:p>
            <w:pPr>
              <w:pStyle w:val="TableParagraph"/>
              <w:spacing w:line="227" w:lineRule="exact"/>
              <w:ind w:left="200"/>
              <w:rPr>
                <w:rFonts w:ascii="Times New Roman"/>
                <w:b/>
                <w:sz w:val="21"/>
              </w:rPr>
            </w:pPr>
            <w:r>
              <w:rPr>
                <w:rFonts w:ascii="Times New Roman"/>
                <w:b/>
                <w:sz w:val="21"/>
              </w:rPr>
              <w:t>7.18</w:t>
            </w:r>
          </w:p>
        </w:tc>
        <w:tc>
          <w:tcPr>
            <w:tcW w:w="1327" w:type="dxa"/>
          </w:tcPr>
          <w:p>
            <w:pPr>
              <w:pStyle w:val="TableParagraph"/>
              <w:spacing w:line="211" w:lineRule="exact"/>
              <w:ind w:left="176"/>
              <w:rPr>
                <w:b/>
                <w:sz w:val="21"/>
              </w:rPr>
            </w:pPr>
            <w:r>
              <w:rPr>
                <w:b/>
                <w:sz w:val="21"/>
              </w:rPr>
              <w:t>重大疾病</w:t>
            </w:r>
          </w:p>
        </w:tc>
        <w:tc>
          <w:tcPr>
            <w:tcW w:w="7791" w:type="dxa"/>
          </w:tcPr>
          <w:p>
            <w:pPr>
              <w:pStyle w:val="TableParagraph"/>
              <w:spacing w:line="227" w:lineRule="exact"/>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w:t>
            </w:r>
          </w:p>
          <w:p>
            <w:pPr>
              <w:pStyle w:val="TableParagraph"/>
              <w:spacing w:before="9"/>
              <w:rPr>
                <w:sz w:val="21"/>
              </w:rPr>
            </w:pPr>
            <w:r>
              <w:rPr>
                <w:sz w:val="21"/>
              </w:rPr>
              <w:t>的疾病或初次接受符合下列定义的手术。</w:t>
            </w:r>
          </w:p>
          <w:p>
            <w:pPr>
              <w:pStyle w:val="TableParagraph"/>
              <w:spacing w:line="261" w:lineRule="auto" w:before="24"/>
              <w:ind w:right="306"/>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3121" w:hRule="atLeast"/>
        </w:trPr>
        <w:tc>
          <w:tcPr>
            <w:tcW w:w="746" w:type="dxa"/>
          </w:tcPr>
          <w:p>
            <w:pPr>
              <w:pStyle w:val="TableParagraph"/>
              <w:spacing w:before="83"/>
              <w:ind w:left="200"/>
              <w:rPr>
                <w:rFonts w:ascii="Times New Roman"/>
                <w:b/>
                <w:sz w:val="21"/>
              </w:rPr>
            </w:pPr>
            <w:r>
              <w:rPr>
                <w:rFonts w:ascii="Times New Roman"/>
                <w:b/>
                <w:sz w:val="21"/>
              </w:rPr>
              <w:t>1.</w:t>
            </w:r>
          </w:p>
        </w:tc>
        <w:tc>
          <w:tcPr>
            <w:tcW w:w="1327" w:type="dxa"/>
          </w:tcPr>
          <w:p>
            <w:pPr>
              <w:pStyle w:val="TableParagraph"/>
              <w:spacing w:before="33"/>
              <w:ind w:left="176"/>
              <w:rPr>
                <w:b/>
                <w:sz w:val="21"/>
              </w:rPr>
            </w:pPr>
            <w:r>
              <w:rPr>
                <w:b/>
                <w:sz w:val="21"/>
              </w:rPr>
              <w:t>恶性肿瘤：</w:t>
            </w:r>
          </w:p>
        </w:tc>
        <w:tc>
          <w:tcPr>
            <w:tcW w:w="7791" w:type="dxa"/>
          </w:tcPr>
          <w:p>
            <w:pPr>
              <w:pStyle w:val="TableParagraph"/>
              <w:spacing w:line="256" w:lineRule="auto" w:before="33"/>
              <w:ind w:right="197"/>
              <w:rPr>
                <w:rFonts w:ascii="黑体" w:eastAsia="黑体" w:hint="eastAsia"/>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2"/>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w:t>
            </w:r>
            <w:r>
              <w:rPr>
                <w:rFonts w:ascii="黑体" w:eastAsia="黑体" w:hint="eastAsia"/>
                <w:spacing w:val="-3"/>
                <w:sz w:val="21"/>
              </w:rPr>
              <w:t>下列疾病不在保障范围内：</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before="8"/>
              <w:rPr>
                <w:rFonts w:ascii="黑体" w:eastAsia="黑体" w:hint="eastAsia"/>
                <w:sz w:val="21"/>
              </w:rPr>
            </w:pPr>
            <w:r>
              <w:rPr>
                <w:rFonts w:ascii="黑体" w:eastAsia="黑体" w:hint="eastAsia"/>
                <w:w w:val="100"/>
                <w:sz w:val="21"/>
              </w:rPr>
              <w:t>（</w:t>
            </w:r>
            <w:r>
              <w:rPr>
                <w:rFonts w:ascii="Times New Roman" w:eastAsia="Times New Roman"/>
                <w:w w:val="100"/>
                <w:sz w:val="21"/>
              </w:rPr>
              <w:t>4</w:t>
            </w:r>
            <w:r>
              <w:rPr>
                <w:rFonts w:ascii="黑体" w:eastAsia="黑体" w:hint="eastAsia"/>
                <w:spacing w:val="-3"/>
                <w:w w:val="100"/>
                <w:sz w:val="21"/>
              </w:rPr>
              <w:t>）</w:t>
            </w: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912" w:hRule="atLeast"/>
        </w:trPr>
        <w:tc>
          <w:tcPr>
            <w:tcW w:w="746" w:type="dxa"/>
          </w:tcPr>
          <w:p>
            <w:pPr>
              <w:pStyle w:val="TableParagraph"/>
              <w:spacing w:before="75"/>
              <w:ind w:left="200"/>
              <w:rPr>
                <w:rFonts w:ascii="Times New Roman"/>
                <w:b/>
                <w:sz w:val="21"/>
              </w:rPr>
            </w:pPr>
            <w:r>
              <w:rPr>
                <w:rFonts w:ascii="Times New Roman"/>
                <w:b/>
                <w:sz w:val="21"/>
              </w:rPr>
              <w:t>2.</w:t>
            </w:r>
          </w:p>
        </w:tc>
        <w:tc>
          <w:tcPr>
            <w:tcW w:w="1327" w:type="dxa"/>
          </w:tcPr>
          <w:p>
            <w:pPr>
              <w:pStyle w:val="TableParagraph"/>
              <w:spacing w:line="261" w:lineRule="auto" w:before="25"/>
              <w:ind w:left="176" w:right="303"/>
              <w:rPr>
                <w:b/>
                <w:sz w:val="21"/>
              </w:rPr>
            </w:pPr>
            <w:r>
              <w:rPr>
                <w:b/>
                <w:sz w:val="21"/>
              </w:rPr>
              <w:t>急性心肌梗塞：</w:t>
            </w:r>
          </w:p>
        </w:tc>
        <w:tc>
          <w:tcPr>
            <w:tcW w:w="7791" w:type="dxa"/>
          </w:tcPr>
          <w:p>
            <w:pPr>
              <w:pStyle w:val="TableParagraph"/>
              <w:spacing w:line="261" w:lineRule="auto" w:before="25"/>
              <w:ind w:right="306"/>
              <w:rPr>
                <w:sz w:val="21"/>
              </w:rPr>
            </w:pPr>
            <w:r>
              <w:rPr>
                <w:sz w:val="21"/>
              </w:rPr>
              <w:t>指因冠状动脉阻塞导致的相应区域供血不足造成部分心肌坏死。须满足下列至少三项条件：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
              <w:rPr>
                <w:sz w:val="21"/>
              </w:rPr>
            </w:pPr>
            <w:r>
              <w:rPr>
                <w:w w:val="100"/>
                <w:sz w:val="21"/>
              </w:rPr>
              <w:t>（</w:t>
            </w:r>
            <w:r>
              <w:rPr>
                <w:rFonts w:ascii="Times New Roman" w:eastAsia="Times New Roman"/>
                <w:w w:val="100"/>
                <w:sz w:val="21"/>
              </w:rPr>
              <w:t>3</w:t>
            </w:r>
            <w:r>
              <w:rPr>
                <w:spacing w:val="-89"/>
                <w:w w:val="100"/>
                <w:sz w:val="21"/>
              </w:rPr>
              <w:t>）</w:t>
            </w:r>
            <w:r>
              <w:rPr>
                <w:spacing w:val="-9"/>
                <w:w w:val="100"/>
                <w:sz w:val="21"/>
              </w:rPr>
              <w:t>心肌酶或肌钙蛋白有诊断意义的升高，或呈符合急性心肌梗塞的动态性变化；</w:t>
            </w:r>
          </w:p>
          <w:p>
            <w:pPr>
              <w:pStyle w:val="TableParagraph"/>
              <w:spacing w:before="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5" w:hRule="atLeast"/>
        </w:trPr>
        <w:tc>
          <w:tcPr>
            <w:tcW w:w="746" w:type="dxa"/>
          </w:tcPr>
          <w:p>
            <w:pPr>
              <w:pStyle w:val="TableParagraph"/>
              <w:spacing w:before="75"/>
              <w:ind w:left="200"/>
              <w:rPr>
                <w:rFonts w:ascii="Times New Roman"/>
                <w:b/>
                <w:sz w:val="21"/>
              </w:rPr>
            </w:pPr>
            <w:r>
              <w:rPr>
                <w:rFonts w:ascii="Times New Roman"/>
                <w:b/>
                <w:sz w:val="21"/>
              </w:rPr>
              <w:t>3.</w:t>
            </w:r>
          </w:p>
        </w:tc>
        <w:tc>
          <w:tcPr>
            <w:tcW w:w="1327" w:type="dxa"/>
          </w:tcPr>
          <w:p>
            <w:pPr>
              <w:pStyle w:val="TableParagraph"/>
              <w:spacing w:line="261" w:lineRule="auto" w:before="25"/>
              <w:ind w:left="176" w:right="303"/>
              <w:rPr>
                <w:b/>
                <w:sz w:val="21"/>
              </w:rPr>
            </w:pPr>
            <w:r>
              <w:rPr>
                <w:b/>
                <w:sz w:val="21"/>
              </w:rPr>
              <w:t>脑中风后遗症：</w:t>
            </w:r>
          </w:p>
        </w:tc>
        <w:tc>
          <w:tcPr>
            <w:tcW w:w="7791" w:type="dxa"/>
          </w:tcPr>
          <w:p>
            <w:pPr>
              <w:pStyle w:val="TableParagraph"/>
              <w:spacing w:line="254" w:lineRule="auto" w:before="25"/>
              <w:ind w:right="300"/>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0" w:right="227"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612" w:hRule="atLeast"/>
        </w:trPr>
        <w:tc>
          <w:tcPr>
            <w:tcW w:w="746" w:type="dxa"/>
          </w:tcPr>
          <w:p>
            <w:pPr>
              <w:pStyle w:val="TableParagraph"/>
              <w:spacing w:before="83"/>
              <w:ind w:left="200"/>
              <w:rPr>
                <w:rFonts w:ascii="Times New Roman"/>
                <w:b/>
                <w:sz w:val="21"/>
              </w:rPr>
            </w:pPr>
            <w:r>
              <w:rPr>
                <w:rFonts w:ascii="Times New Roman"/>
                <w:b/>
                <w:sz w:val="21"/>
              </w:rPr>
              <w:t>4.</w:t>
            </w:r>
          </w:p>
        </w:tc>
        <w:tc>
          <w:tcPr>
            <w:tcW w:w="1327" w:type="dxa"/>
          </w:tcPr>
          <w:p>
            <w:pPr>
              <w:pStyle w:val="TableParagraph"/>
              <w:spacing w:line="261" w:lineRule="auto" w:before="33"/>
              <w:ind w:left="176" w:right="92"/>
              <w:rPr>
                <w:b/>
                <w:sz w:val="21"/>
              </w:rPr>
            </w:pPr>
            <w:r>
              <w:rPr>
                <w:b/>
                <w:sz w:val="21"/>
              </w:rPr>
              <w:t>重大器官 移植术或 造血干细 胞移植术：</w:t>
            </w:r>
          </w:p>
        </w:tc>
        <w:tc>
          <w:tcPr>
            <w:tcW w:w="7791" w:type="dxa"/>
          </w:tcPr>
          <w:p>
            <w:pPr>
              <w:pStyle w:val="TableParagraph"/>
              <w:spacing w:line="261" w:lineRule="auto" w:before="33"/>
              <w:ind w:right="306"/>
              <w:jc w:val="both"/>
              <w:rPr>
                <w:sz w:val="21"/>
              </w:rPr>
            </w:pPr>
            <w:r>
              <w:rPr>
                <w:sz w:val="21"/>
              </w:rPr>
              <w:t>重大器官移植术，指因相应器官功能衰竭，已经实施了肾脏、肝脏、心脏或肺脏的异体移植手术。</w:t>
            </w:r>
          </w:p>
          <w:p>
            <w:pPr>
              <w:pStyle w:val="TableParagraph"/>
              <w:spacing w:line="261" w:lineRule="auto" w:before="5"/>
              <w:ind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3" w:hRule="atLeast"/>
        </w:trPr>
        <w:tc>
          <w:tcPr>
            <w:tcW w:w="746" w:type="dxa"/>
          </w:tcPr>
          <w:p>
            <w:pPr>
              <w:pStyle w:val="TableParagraph"/>
              <w:spacing w:before="83"/>
              <w:ind w:left="200"/>
              <w:rPr>
                <w:rFonts w:ascii="Times New Roman"/>
                <w:b/>
                <w:sz w:val="21"/>
              </w:rPr>
            </w:pPr>
            <w:r>
              <w:rPr>
                <w:rFonts w:ascii="Times New Roman"/>
                <w:b/>
                <w:sz w:val="21"/>
              </w:rPr>
              <w:t>5.</w:t>
            </w:r>
          </w:p>
        </w:tc>
        <w:tc>
          <w:tcPr>
            <w:tcW w:w="1327" w:type="dxa"/>
          </w:tcPr>
          <w:p>
            <w:pPr>
              <w:pStyle w:val="TableParagraph"/>
              <w:spacing w:line="261" w:lineRule="auto" w:before="33"/>
              <w:ind w:left="176" w:right="116"/>
              <w:rPr>
                <w:b/>
                <w:sz w:val="21"/>
              </w:rPr>
            </w:pPr>
            <w:r>
              <w:rPr>
                <w:b/>
                <w:sz w:val="21"/>
              </w:rPr>
              <w:t>冠状动脉</w:t>
            </w:r>
            <w:r>
              <w:rPr>
                <w:b/>
                <w:spacing w:val="-9"/>
                <w:sz w:val="21"/>
              </w:rPr>
              <w:t>搭桥术</w:t>
            </w:r>
            <w:r>
              <w:rPr>
                <w:b/>
                <w:sz w:val="21"/>
              </w:rPr>
              <w:t>（或称冠状动脉旁路移植术）：</w:t>
            </w:r>
          </w:p>
        </w:tc>
        <w:tc>
          <w:tcPr>
            <w:tcW w:w="7791" w:type="dxa"/>
          </w:tcPr>
          <w:p>
            <w:pPr>
              <w:pStyle w:val="TableParagraph"/>
              <w:spacing w:line="261" w:lineRule="auto" w:before="33"/>
              <w:ind w:right="306"/>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4" w:hRule="atLeast"/>
        </w:trPr>
        <w:tc>
          <w:tcPr>
            <w:tcW w:w="746" w:type="dxa"/>
          </w:tcPr>
          <w:p>
            <w:pPr>
              <w:pStyle w:val="TableParagraph"/>
              <w:spacing w:before="83"/>
              <w:ind w:left="200"/>
              <w:rPr>
                <w:rFonts w:ascii="Times New Roman"/>
                <w:b/>
                <w:sz w:val="21"/>
              </w:rPr>
            </w:pPr>
            <w:r>
              <w:rPr>
                <w:rFonts w:ascii="Times New Roman"/>
                <w:b/>
                <w:sz w:val="21"/>
              </w:rPr>
              <w:t>6.</w:t>
            </w:r>
          </w:p>
        </w:tc>
        <w:tc>
          <w:tcPr>
            <w:tcW w:w="1327" w:type="dxa"/>
          </w:tcPr>
          <w:p>
            <w:pPr>
              <w:pStyle w:val="TableParagraph"/>
              <w:spacing w:line="261" w:lineRule="auto" w:before="34"/>
              <w:ind w:left="176" w:right="116"/>
              <w:rPr>
                <w:b/>
                <w:sz w:val="21"/>
              </w:rPr>
            </w:pPr>
            <w:r>
              <w:rPr>
                <w:b/>
                <w:sz w:val="21"/>
              </w:rPr>
              <w:t>终末期肾 </w:t>
            </w:r>
            <w:r>
              <w:rPr>
                <w:b/>
                <w:spacing w:val="-25"/>
                <w:sz w:val="21"/>
              </w:rPr>
              <w:t>病</w:t>
            </w:r>
            <w:r>
              <w:rPr>
                <w:b/>
                <w:sz w:val="21"/>
              </w:rPr>
              <w:t>（或称慢性肾功能衰竭尿毒症期）：</w:t>
            </w:r>
          </w:p>
        </w:tc>
        <w:tc>
          <w:tcPr>
            <w:tcW w:w="7791" w:type="dxa"/>
          </w:tcPr>
          <w:p>
            <w:pPr>
              <w:pStyle w:val="TableParagraph"/>
              <w:spacing w:line="247" w:lineRule="auto" w:before="34"/>
              <w:ind w:right="307"/>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r>
        <w:trPr>
          <w:trHeight w:val="332" w:hRule="atLeast"/>
        </w:trPr>
        <w:tc>
          <w:tcPr>
            <w:tcW w:w="746" w:type="dxa"/>
          </w:tcPr>
          <w:p>
            <w:pPr>
              <w:pStyle w:val="TableParagraph"/>
              <w:spacing w:line="228" w:lineRule="exact" w:before="84"/>
              <w:ind w:left="200"/>
              <w:rPr>
                <w:rFonts w:ascii="Times New Roman"/>
                <w:b/>
                <w:sz w:val="21"/>
              </w:rPr>
            </w:pPr>
            <w:r>
              <w:rPr>
                <w:rFonts w:ascii="Times New Roman"/>
                <w:b/>
                <w:sz w:val="21"/>
              </w:rPr>
              <w:t>7.</w:t>
            </w:r>
          </w:p>
        </w:tc>
        <w:tc>
          <w:tcPr>
            <w:tcW w:w="1327" w:type="dxa"/>
          </w:tcPr>
          <w:p>
            <w:pPr>
              <w:pStyle w:val="TableParagraph"/>
              <w:spacing w:before="35"/>
              <w:ind w:left="176"/>
              <w:rPr>
                <w:b/>
                <w:sz w:val="21"/>
              </w:rPr>
            </w:pPr>
            <w:r>
              <w:rPr>
                <w:b/>
                <w:sz w:val="21"/>
              </w:rPr>
              <w:t>多个肢体</w:t>
            </w:r>
          </w:p>
        </w:tc>
        <w:tc>
          <w:tcPr>
            <w:tcW w:w="7791" w:type="dxa"/>
          </w:tcPr>
          <w:p>
            <w:pPr>
              <w:pStyle w:val="TableParagraph"/>
              <w:spacing w:before="35"/>
              <w:rPr>
                <w:sz w:val="21"/>
              </w:rPr>
            </w:pPr>
            <w:r>
              <w:rPr>
                <w:sz w:val="21"/>
              </w:rPr>
              <w:t>指因疾病或意外伤害导致两个或两个以上肢体自腕关节或踝关节近端（靠近躯干</w:t>
            </w:r>
          </w:p>
        </w:tc>
      </w:tr>
    </w:tbl>
    <w:p>
      <w:pPr>
        <w:spacing w:after="0"/>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91"/>
      </w:tblGrid>
      <w:tr>
        <w:trPr>
          <w:trHeight w:val="308" w:hRule="atLeast"/>
        </w:trPr>
        <w:tc>
          <w:tcPr>
            <w:tcW w:w="693" w:type="dxa"/>
          </w:tcPr>
          <w:p>
            <w:pPr>
              <w:pStyle w:val="TableParagraph"/>
              <w:ind w:left="0"/>
              <w:rPr>
                <w:rFonts w:ascii="Times New Roman"/>
                <w:sz w:val="20"/>
              </w:rPr>
            </w:pPr>
          </w:p>
        </w:tc>
        <w:tc>
          <w:tcPr>
            <w:tcW w:w="1380" w:type="dxa"/>
          </w:tcPr>
          <w:p>
            <w:pPr>
              <w:pStyle w:val="TableParagraph"/>
              <w:spacing w:line="211" w:lineRule="exact"/>
              <w:ind w:left="229"/>
              <w:rPr>
                <w:b/>
                <w:sz w:val="21"/>
              </w:rPr>
            </w:pPr>
            <w:r>
              <w:rPr>
                <w:b/>
                <w:sz w:val="21"/>
              </w:rPr>
              <w:t>缺失：</w:t>
            </w:r>
          </w:p>
        </w:tc>
        <w:tc>
          <w:tcPr>
            <w:tcW w:w="7791" w:type="dxa"/>
          </w:tcPr>
          <w:p>
            <w:pPr>
              <w:pStyle w:val="TableParagraph"/>
              <w:spacing w:line="211" w:lineRule="exact"/>
              <w:rPr>
                <w:sz w:val="21"/>
              </w:rPr>
            </w:pPr>
            <w:r>
              <w:rPr>
                <w:sz w:val="21"/>
              </w:rPr>
              <w:t>端）以上完全性断离。</w:t>
            </w:r>
          </w:p>
        </w:tc>
      </w:tr>
      <w:tr>
        <w:trPr>
          <w:trHeight w:val="1920" w:hRule="atLeast"/>
        </w:trPr>
        <w:tc>
          <w:tcPr>
            <w:tcW w:w="693" w:type="dxa"/>
          </w:tcPr>
          <w:p>
            <w:pPr>
              <w:pStyle w:val="TableParagraph"/>
              <w:spacing w:before="89"/>
              <w:ind w:left="77" w:right="209"/>
              <w:jc w:val="center"/>
              <w:rPr>
                <w:rFonts w:ascii="Times New Roman"/>
                <w:b/>
                <w:sz w:val="21"/>
              </w:rPr>
            </w:pPr>
            <w:r>
              <w:rPr>
                <w:rFonts w:ascii="Times New Roman"/>
                <w:b/>
                <w:sz w:val="21"/>
              </w:rPr>
              <w:t>8.</w:t>
            </w:r>
          </w:p>
        </w:tc>
        <w:tc>
          <w:tcPr>
            <w:tcW w:w="1380" w:type="dxa"/>
          </w:tcPr>
          <w:p>
            <w:pPr>
              <w:pStyle w:val="TableParagraph"/>
              <w:spacing w:line="261" w:lineRule="auto" w:before="40"/>
              <w:ind w:left="229" w:right="303"/>
              <w:jc w:val="both"/>
              <w:rPr>
                <w:b/>
                <w:sz w:val="21"/>
              </w:rPr>
            </w:pPr>
            <w:r>
              <w:rPr>
                <w:b/>
                <w:sz w:val="21"/>
              </w:rPr>
              <w:t>急性或亚急性重症肝炎：</w:t>
            </w:r>
          </w:p>
        </w:tc>
        <w:tc>
          <w:tcPr>
            <w:tcW w:w="7791" w:type="dxa"/>
          </w:tcPr>
          <w:p>
            <w:pPr>
              <w:pStyle w:val="TableParagraph"/>
              <w:spacing w:line="261" w:lineRule="auto" w:before="40"/>
              <w:ind w:right="306"/>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3" w:type="dxa"/>
          </w:tcPr>
          <w:p>
            <w:pPr>
              <w:pStyle w:val="TableParagraph"/>
              <w:spacing w:before="81"/>
              <w:ind w:left="77" w:right="209"/>
              <w:jc w:val="center"/>
              <w:rPr>
                <w:rFonts w:ascii="Times New Roman"/>
                <w:b/>
                <w:sz w:val="21"/>
              </w:rPr>
            </w:pPr>
            <w:r>
              <w:rPr>
                <w:rFonts w:ascii="Times New Roman"/>
                <w:b/>
                <w:sz w:val="21"/>
              </w:rPr>
              <w:t>9.</w:t>
            </w:r>
          </w:p>
        </w:tc>
        <w:tc>
          <w:tcPr>
            <w:tcW w:w="1380" w:type="dxa"/>
          </w:tcPr>
          <w:p>
            <w:pPr>
              <w:pStyle w:val="TableParagraph"/>
              <w:spacing w:line="261" w:lineRule="auto" w:before="32"/>
              <w:ind w:left="229" w:right="303"/>
              <w:rPr>
                <w:b/>
                <w:sz w:val="21"/>
              </w:rPr>
            </w:pPr>
            <w:r>
              <w:rPr>
                <w:b/>
                <w:sz w:val="21"/>
              </w:rPr>
              <w:t>良性脑肿瘤：</w:t>
            </w:r>
          </w:p>
        </w:tc>
        <w:tc>
          <w:tcPr>
            <w:tcW w:w="7791" w:type="dxa"/>
          </w:tcPr>
          <w:p>
            <w:pPr>
              <w:pStyle w:val="TableParagraph"/>
              <w:spacing w:line="261" w:lineRule="auto" w:before="32"/>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right="302"/>
              <w:rPr>
                <w:sz w:val="21"/>
              </w:rPr>
            </w:pPr>
            <w:r>
              <w:rPr>
                <w:spacing w:val="-6"/>
                <w:sz w:val="21"/>
              </w:rPr>
              <w:t>（</w:t>
            </w:r>
            <w:r>
              <w:rPr>
                <w:rFonts w:ascii="Times New Roman" w:eastAsia="Times New Roman"/>
                <w:spacing w:val="-6"/>
                <w:sz w:val="21"/>
              </w:rPr>
              <w:t>MRI</w:t>
            </w:r>
            <w:r>
              <w:rPr>
                <w:spacing w:val="-6"/>
                <w:sz w:val="21"/>
              </w:rPr>
              <w:t>）或正电子发射断层扫描</w:t>
            </w:r>
            <w:r>
              <w:rPr>
                <w:spacing w:val="-7"/>
                <w:sz w:val="21"/>
              </w:rPr>
              <w:t>（</w:t>
            </w:r>
            <w:r>
              <w:rPr>
                <w:rFonts w:ascii="Times New Roman" w:eastAsia="Times New Roman"/>
                <w:spacing w:val="-7"/>
                <w:sz w:val="21"/>
              </w:rPr>
              <w:t>PET</w:t>
            </w:r>
            <w:r>
              <w:rPr>
                <w:spacing w:val="-7"/>
                <w:sz w:val="21"/>
              </w:rPr>
              <w:t>）</w:t>
            </w:r>
            <w:r>
              <w:rPr>
                <w:spacing w:val="-6"/>
                <w:sz w:val="21"/>
              </w:rPr>
              <w:t>等影像学检查证实，并须满足下列至少一</w:t>
            </w:r>
            <w:r>
              <w:rPr>
                <w:spacing w:val="-4"/>
                <w:sz w:val="21"/>
              </w:rPr>
              <w:t>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rFonts w:ascii="黑体" w:eastAsia="黑体" w:hint="eastAsia"/>
                <w:sz w:val="21"/>
              </w:rPr>
            </w:pPr>
            <w:r>
              <w:rPr>
                <w:rFonts w:ascii="黑体" w:eastAsia="黑体" w:hint="eastAsia"/>
                <w:sz w:val="21"/>
              </w:rPr>
              <w:t>脑垂体瘤、脑囊肿、脑血管性疾病不在保障范围内。</w:t>
            </w:r>
          </w:p>
        </w:tc>
      </w:tr>
      <w:tr>
        <w:trPr>
          <w:trHeight w:val="1912" w:hRule="atLeast"/>
        </w:trPr>
        <w:tc>
          <w:tcPr>
            <w:tcW w:w="693" w:type="dxa"/>
          </w:tcPr>
          <w:p>
            <w:pPr>
              <w:pStyle w:val="TableParagraph"/>
              <w:spacing w:before="89"/>
              <w:ind w:left="181" w:right="209"/>
              <w:jc w:val="center"/>
              <w:rPr>
                <w:rFonts w:ascii="Times New Roman"/>
                <w:b/>
                <w:sz w:val="21"/>
              </w:rPr>
            </w:pPr>
            <w:r>
              <w:rPr>
                <w:rFonts w:ascii="Times New Roman"/>
                <w:b/>
                <w:sz w:val="21"/>
              </w:rPr>
              <w:t>10.</w:t>
            </w:r>
          </w:p>
        </w:tc>
        <w:tc>
          <w:tcPr>
            <w:tcW w:w="1380" w:type="dxa"/>
          </w:tcPr>
          <w:p>
            <w:pPr>
              <w:pStyle w:val="TableParagraph"/>
              <w:spacing w:line="261" w:lineRule="auto" w:before="40"/>
              <w:ind w:left="229" w:right="303"/>
              <w:jc w:val="both"/>
              <w:rPr>
                <w:b/>
                <w:sz w:val="21"/>
              </w:rPr>
            </w:pPr>
            <w:r>
              <w:rPr>
                <w:b/>
                <w:sz w:val="21"/>
              </w:rPr>
              <w:t>慢性肝功能衰竭失代偿期：</w:t>
            </w:r>
          </w:p>
        </w:tc>
        <w:tc>
          <w:tcPr>
            <w:tcW w:w="7791" w:type="dxa"/>
          </w:tcPr>
          <w:p>
            <w:pPr>
              <w:pStyle w:val="TableParagraph"/>
              <w:spacing w:before="40"/>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rFonts w:ascii="黑体" w:eastAsia="黑体" w:hint="eastAsia"/>
                <w:sz w:val="21"/>
              </w:rPr>
            </w:pPr>
            <w:r>
              <w:rPr>
                <w:rFonts w:ascii="黑体" w:eastAsia="黑体" w:hint="eastAsia"/>
                <w:sz w:val="21"/>
              </w:rPr>
              <w:t>因酗酒或药物滥用导致的肝功能衰竭不在保障范围内。</w:t>
            </w:r>
          </w:p>
        </w:tc>
      </w:tr>
      <w:tr>
        <w:trPr>
          <w:trHeight w:val="1913" w:hRule="atLeast"/>
        </w:trPr>
        <w:tc>
          <w:tcPr>
            <w:tcW w:w="693" w:type="dxa"/>
          </w:tcPr>
          <w:p>
            <w:pPr>
              <w:pStyle w:val="TableParagraph"/>
              <w:spacing w:before="89"/>
              <w:ind w:left="181" w:right="209"/>
              <w:jc w:val="center"/>
              <w:rPr>
                <w:rFonts w:ascii="Times New Roman"/>
                <w:b/>
                <w:sz w:val="21"/>
              </w:rPr>
            </w:pPr>
            <w:r>
              <w:rPr>
                <w:rFonts w:ascii="Times New Roman"/>
                <w:b/>
                <w:sz w:val="21"/>
              </w:rPr>
              <w:t>11.</w:t>
            </w:r>
          </w:p>
        </w:tc>
        <w:tc>
          <w:tcPr>
            <w:tcW w:w="1380" w:type="dxa"/>
          </w:tcPr>
          <w:p>
            <w:pPr>
              <w:pStyle w:val="TableParagraph"/>
              <w:spacing w:line="261" w:lineRule="auto" w:before="40"/>
              <w:ind w:left="229" w:right="92"/>
              <w:rPr>
                <w:b/>
                <w:sz w:val="21"/>
              </w:rPr>
            </w:pPr>
            <w:r>
              <w:rPr>
                <w:b/>
                <w:sz w:val="21"/>
              </w:rPr>
              <w:t>脑炎后遗 症或脑膜 炎后遗症：</w:t>
            </w:r>
          </w:p>
        </w:tc>
        <w:tc>
          <w:tcPr>
            <w:tcW w:w="7791" w:type="dxa"/>
          </w:tcPr>
          <w:p>
            <w:pPr>
              <w:pStyle w:val="TableParagraph"/>
              <w:spacing w:line="261" w:lineRule="auto" w:before="40"/>
              <w:ind w:right="30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20" w:right="302"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3" w:type="dxa"/>
          </w:tcPr>
          <w:p>
            <w:pPr>
              <w:pStyle w:val="TableParagraph"/>
              <w:spacing w:before="89"/>
              <w:ind w:left="181" w:right="209"/>
              <w:jc w:val="center"/>
              <w:rPr>
                <w:rFonts w:ascii="Times New Roman"/>
                <w:b/>
                <w:sz w:val="21"/>
              </w:rPr>
            </w:pPr>
            <w:r>
              <w:rPr>
                <w:rFonts w:ascii="Times New Roman"/>
                <w:b/>
                <w:sz w:val="21"/>
              </w:rPr>
              <w:t>12.</w:t>
            </w:r>
          </w:p>
        </w:tc>
        <w:tc>
          <w:tcPr>
            <w:tcW w:w="1380" w:type="dxa"/>
          </w:tcPr>
          <w:p>
            <w:pPr>
              <w:pStyle w:val="TableParagraph"/>
              <w:spacing w:before="40"/>
              <w:ind w:left="229"/>
              <w:rPr>
                <w:b/>
                <w:sz w:val="21"/>
              </w:rPr>
            </w:pPr>
            <w:r>
              <w:rPr>
                <w:b/>
                <w:sz w:val="21"/>
              </w:rPr>
              <w:t>深度昏迷：</w:t>
            </w:r>
          </w:p>
        </w:tc>
        <w:tc>
          <w:tcPr>
            <w:tcW w:w="7791" w:type="dxa"/>
          </w:tcPr>
          <w:p>
            <w:pPr>
              <w:pStyle w:val="TableParagraph"/>
              <w:spacing w:line="254" w:lineRule="auto" w:before="40"/>
              <w:ind w:right="305"/>
              <w:jc w:val="both"/>
              <w:rPr>
                <w:sz w:val="21"/>
              </w:rPr>
            </w:pPr>
            <w:r>
              <w:rPr>
                <w:spacing w:val="-3"/>
                <w:sz w:val="21"/>
              </w:rPr>
              <w:t>指因疾病或意外伤害导致意识丧失，对外界刺激和体内需求均无反应，昏迷程度</w:t>
            </w:r>
            <w:r>
              <w:rPr>
                <w:spacing w:val="-4"/>
                <w:sz w:val="21"/>
              </w:rPr>
              <w:t>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w:t>
            </w:r>
            <w:r>
              <w:rPr>
                <w:spacing w:val="-6"/>
                <w:sz w:val="21"/>
              </w:rPr>
              <w:t>续使用呼吸机及其它生命维持系统 </w:t>
            </w:r>
            <w:r>
              <w:rPr>
                <w:rFonts w:ascii="Times New Roman" w:eastAsia="Times New Roman"/>
                <w:sz w:val="21"/>
              </w:rPr>
              <w:t>96 </w:t>
            </w:r>
            <w:r>
              <w:rPr>
                <w:spacing w:val="-3"/>
                <w:sz w:val="21"/>
              </w:rPr>
              <w:t>小时以上。</w:t>
            </w:r>
          </w:p>
          <w:p>
            <w:pPr>
              <w:pStyle w:val="TableParagraph"/>
              <w:spacing w:line="270" w:lineRule="exact"/>
              <w:jc w:val="both"/>
              <w:rPr>
                <w:rFonts w:ascii="黑体" w:eastAsia="黑体" w:hint="eastAsia"/>
                <w:sz w:val="21"/>
              </w:rPr>
            </w:pPr>
            <w:r>
              <w:rPr>
                <w:rFonts w:ascii="黑体" w:eastAsia="黑体" w:hint="eastAsia"/>
                <w:sz w:val="21"/>
              </w:rPr>
              <w:t>因酗酒或药物滥用导致的深度昏迷不在保障范围内。</w:t>
            </w:r>
          </w:p>
        </w:tc>
      </w:tr>
      <w:tr>
        <w:trPr>
          <w:trHeight w:val="1013" w:hRule="atLeast"/>
        </w:trPr>
        <w:tc>
          <w:tcPr>
            <w:tcW w:w="693" w:type="dxa"/>
          </w:tcPr>
          <w:p>
            <w:pPr>
              <w:pStyle w:val="TableParagraph"/>
              <w:spacing w:before="89"/>
              <w:ind w:left="181" w:right="209"/>
              <w:jc w:val="center"/>
              <w:rPr>
                <w:rFonts w:ascii="Times New Roman"/>
                <w:b/>
                <w:sz w:val="21"/>
              </w:rPr>
            </w:pPr>
            <w:r>
              <w:rPr>
                <w:rFonts w:ascii="Times New Roman"/>
                <w:b/>
                <w:sz w:val="21"/>
              </w:rPr>
              <w:t>13.</w:t>
            </w:r>
          </w:p>
        </w:tc>
        <w:tc>
          <w:tcPr>
            <w:tcW w:w="1380" w:type="dxa"/>
          </w:tcPr>
          <w:p>
            <w:pPr>
              <w:pStyle w:val="TableParagraph"/>
              <w:spacing w:before="40"/>
              <w:ind w:left="229"/>
              <w:rPr>
                <w:b/>
                <w:sz w:val="21"/>
              </w:rPr>
            </w:pPr>
            <w:r>
              <w:rPr>
                <w:b/>
                <w:sz w:val="21"/>
              </w:rPr>
              <w:t>双耳失聪：</w:t>
            </w:r>
          </w:p>
        </w:tc>
        <w:tc>
          <w:tcPr>
            <w:tcW w:w="7791" w:type="dxa"/>
          </w:tcPr>
          <w:p>
            <w:pPr>
              <w:pStyle w:val="TableParagraph"/>
              <w:spacing w:line="247" w:lineRule="auto" w:before="40"/>
              <w:ind w:right="302"/>
              <w:jc w:val="both"/>
              <w:rPr>
                <w:sz w:val="21"/>
              </w:rPr>
            </w:pPr>
            <w:r>
              <w:rPr>
                <w:spacing w:val="-3"/>
                <w:sz w:val="21"/>
              </w:rPr>
              <w:t>指因疾病或意外伤害导致双耳听力</w:t>
            </w:r>
            <w:r>
              <w:rPr>
                <w:b/>
                <w:spacing w:val="-7"/>
                <w:sz w:val="21"/>
              </w:rPr>
              <w:t>永久不可逆</w:t>
            </w:r>
            <w:r>
              <w:rPr>
                <w:spacing w:val="-3"/>
                <w:sz w:val="21"/>
              </w:rPr>
              <w:t>（</w:t>
            </w:r>
            <w:r>
              <w:rPr>
                <w:spacing w:val="-22"/>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2" w:hRule="atLeast"/>
        </w:trPr>
        <w:tc>
          <w:tcPr>
            <w:tcW w:w="693" w:type="dxa"/>
          </w:tcPr>
          <w:p>
            <w:pPr>
              <w:pStyle w:val="TableParagraph"/>
              <w:spacing w:before="90"/>
              <w:ind w:left="181" w:right="209"/>
              <w:jc w:val="center"/>
              <w:rPr>
                <w:rFonts w:ascii="Times New Roman"/>
                <w:b/>
                <w:sz w:val="21"/>
              </w:rPr>
            </w:pPr>
            <w:r>
              <w:rPr>
                <w:rFonts w:ascii="Times New Roman"/>
                <w:b/>
                <w:sz w:val="21"/>
              </w:rPr>
              <w:t>14.</w:t>
            </w:r>
          </w:p>
        </w:tc>
        <w:tc>
          <w:tcPr>
            <w:tcW w:w="1380" w:type="dxa"/>
          </w:tcPr>
          <w:p>
            <w:pPr>
              <w:pStyle w:val="TableParagraph"/>
              <w:spacing w:before="41"/>
              <w:ind w:left="229"/>
              <w:rPr>
                <w:b/>
                <w:sz w:val="21"/>
              </w:rPr>
            </w:pPr>
            <w:r>
              <w:rPr>
                <w:b/>
                <w:sz w:val="21"/>
              </w:rPr>
              <w:t>双目失明：</w:t>
            </w:r>
          </w:p>
        </w:tc>
        <w:tc>
          <w:tcPr>
            <w:tcW w:w="7791" w:type="dxa"/>
          </w:tcPr>
          <w:p>
            <w:pPr>
              <w:pStyle w:val="TableParagraph"/>
              <w:spacing w:line="261" w:lineRule="auto" w:before="41"/>
              <w:ind w:right="306"/>
              <w:rPr>
                <w:sz w:val="21"/>
              </w:rPr>
            </w:pPr>
            <w:r>
              <w:rPr>
                <w:sz w:val="21"/>
              </w:rPr>
              <w:t>指因疾病或意外伤害导致双眼视力永久不可逆性丧失，双眼中较好眼须满足下列至少一项条件：</w:t>
            </w:r>
          </w:p>
          <w:p>
            <w:pPr>
              <w:pStyle w:val="TableParagraph"/>
              <w:spacing w:before="5"/>
              <w:rPr>
                <w:sz w:val="21"/>
              </w:rPr>
            </w:pPr>
            <w:r>
              <w:rPr>
                <w:sz w:val="21"/>
              </w:rPr>
              <w:t>（</w:t>
            </w:r>
            <w:r>
              <w:rPr>
                <w:rFonts w:ascii="Times New Roman" w:eastAsia="Times New Roman"/>
                <w:sz w:val="21"/>
              </w:rPr>
              <w:t>1</w:t>
            </w:r>
            <w:r>
              <w:rPr>
                <w:sz w:val="21"/>
              </w:rPr>
              <w:t>）眼球缺失或摘除；</w:t>
            </w:r>
          </w:p>
          <w:p>
            <w:pPr>
              <w:pStyle w:val="TableParagraph"/>
              <w:spacing w:before="9"/>
              <w:rPr>
                <w:sz w:val="21"/>
              </w:rPr>
            </w:pPr>
            <w:r>
              <w:rPr>
                <w:spacing w:val="-16"/>
                <w:sz w:val="21"/>
              </w:rPr>
              <w:t>（</w:t>
            </w:r>
            <w:r>
              <w:rPr>
                <w:rFonts w:ascii="Times New Roman" w:eastAsia="Times New Roman"/>
                <w:spacing w:val="-16"/>
                <w:sz w:val="21"/>
              </w:rPr>
              <w:t>2</w:t>
            </w:r>
            <w:r>
              <w:rPr>
                <w:spacing w:val="-16"/>
                <w:sz w:val="21"/>
              </w:rPr>
              <w:t>）</w:t>
            </w:r>
            <w:r>
              <w:rPr>
                <w:spacing w:val="-4"/>
                <w:sz w:val="21"/>
              </w:rPr>
              <w:t>矫正视力低于 </w:t>
            </w:r>
            <w:r>
              <w:rPr>
                <w:rFonts w:ascii="Times New Roman" w:eastAsia="Times New Roman"/>
                <w:spacing w:val="-10"/>
                <w:sz w:val="21"/>
              </w:rPr>
              <w:t>0.02</w:t>
            </w:r>
            <w:r>
              <w:rPr>
                <w:spacing w:val="-10"/>
                <w:sz w:val="21"/>
              </w:rPr>
              <w:t>（</w:t>
            </w:r>
            <w:r>
              <w:rPr>
                <w:spacing w:val="-8"/>
                <w:sz w:val="21"/>
              </w:rPr>
              <w:t>采用国际标准视力表，若使用其它视力表应进行换算</w:t>
            </w:r>
            <w:r>
              <w:rPr>
                <w:spacing w:val="-22"/>
                <w:sz w:val="21"/>
              </w:rPr>
              <w:t>）；</w:t>
            </w:r>
          </w:p>
          <w:p>
            <w:pPr>
              <w:pStyle w:val="TableParagraph"/>
              <w:spacing w:before="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4" w:hRule="atLeast"/>
        </w:trPr>
        <w:tc>
          <w:tcPr>
            <w:tcW w:w="693" w:type="dxa"/>
          </w:tcPr>
          <w:p>
            <w:pPr>
              <w:pStyle w:val="TableParagraph"/>
              <w:spacing w:before="81"/>
              <w:ind w:left="181" w:right="209"/>
              <w:jc w:val="center"/>
              <w:rPr>
                <w:rFonts w:ascii="Times New Roman"/>
                <w:b/>
                <w:sz w:val="21"/>
              </w:rPr>
            </w:pPr>
            <w:r>
              <w:rPr>
                <w:rFonts w:ascii="Times New Roman"/>
                <w:b/>
                <w:sz w:val="21"/>
              </w:rPr>
              <w:t>15.</w:t>
            </w:r>
          </w:p>
        </w:tc>
        <w:tc>
          <w:tcPr>
            <w:tcW w:w="1380" w:type="dxa"/>
          </w:tcPr>
          <w:p>
            <w:pPr>
              <w:pStyle w:val="TableParagraph"/>
              <w:spacing w:before="32"/>
              <w:ind w:left="229"/>
              <w:rPr>
                <w:b/>
                <w:sz w:val="21"/>
              </w:rPr>
            </w:pPr>
            <w:r>
              <w:rPr>
                <w:b/>
                <w:sz w:val="21"/>
              </w:rPr>
              <w:t>瘫痪：</w:t>
            </w:r>
          </w:p>
        </w:tc>
        <w:tc>
          <w:tcPr>
            <w:tcW w:w="7791" w:type="dxa"/>
          </w:tcPr>
          <w:p>
            <w:pPr>
              <w:pStyle w:val="TableParagraph"/>
              <w:spacing w:line="254" w:lineRule="auto" w:before="32"/>
              <w:ind w:right="305"/>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15" w:hRule="atLeast"/>
        </w:trPr>
        <w:tc>
          <w:tcPr>
            <w:tcW w:w="693" w:type="dxa"/>
          </w:tcPr>
          <w:p>
            <w:pPr>
              <w:pStyle w:val="TableParagraph"/>
              <w:spacing w:before="89"/>
              <w:ind w:left="181" w:right="209"/>
              <w:jc w:val="center"/>
              <w:rPr>
                <w:rFonts w:ascii="Times New Roman"/>
                <w:b/>
                <w:sz w:val="21"/>
              </w:rPr>
            </w:pPr>
            <w:r>
              <w:rPr>
                <w:rFonts w:ascii="Times New Roman"/>
                <w:b/>
                <w:sz w:val="21"/>
              </w:rPr>
              <w:t>16.</w:t>
            </w:r>
          </w:p>
        </w:tc>
        <w:tc>
          <w:tcPr>
            <w:tcW w:w="1380" w:type="dxa"/>
          </w:tcPr>
          <w:p>
            <w:pPr>
              <w:pStyle w:val="TableParagraph"/>
              <w:spacing w:line="300" w:lineRule="atLeast" w:before="15"/>
              <w:ind w:left="229" w:right="303"/>
              <w:rPr>
                <w:b/>
                <w:sz w:val="21"/>
              </w:rPr>
            </w:pPr>
            <w:r>
              <w:rPr>
                <w:b/>
                <w:sz w:val="21"/>
              </w:rPr>
              <w:t>心脏瓣膜手术：</w:t>
            </w:r>
          </w:p>
        </w:tc>
        <w:tc>
          <w:tcPr>
            <w:tcW w:w="7791" w:type="dxa"/>
          </w:tcPr>
          <w:p>
            <w:pPr>
              <w:pStyle w:val="TableParagraph"/>
              <w:spacing w:before="40"/>
              <w:rPr>
                <w:sz w:val="21"/>
              </w:rPr>
            </w:pPr>
            <w:r>
              <w:rPr>
                <w:sz w:val="21"/>
              </w:rPr>
              <w:t>指为治疗心脏瓣膜疾病，实际实施了开胸进行的心脏瓣膜置换或修复的手术。</w:t>
            </w:r>
          </w:p>
        </w:tc>
      </w:tr>
    </w:tbl>
    <w:p>
      <w:pPr>
        <w:spacing w:after="0"/>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89"/>
      </w:tblGrid>
      <w:tr>
        <w:trPr>
          <w:trHeight w:val="1815" w:hRule="atLeast"/>
        </w:trPr>
        <w:tc>
          <w:tcPr>
            <w:tcW w:w="693" w:type="dxa"/>
          </w:tcPr>
          <w:p>
            <w:pPr>
              <w:pStyle w:val="TableParagraph"/>
              <w:spacing w:line="234" w:lineRule="exact"/>
              <w:ind w:left="181" w:right="209"/>
              <w:jc w:val="center"/>
              <w:rPr>
                <w:rFonts w:ascii="Times New Roman"/>
                <w:b/>
                <w:sz w:val="21"/>
              </w:rPr>
            </w:pPr>
            <w:r>
              <w:rPr>
                <w:rFonts w:ascii="Times New Roman"/>
                <w:b/>
                <w:sz w:val="21"/>
              </w:rPr>
              <w:t>17.</w:t>
            </w:r>
          </w:p>
        </w:tc>
        <w:tc>
          <w:tcPr>
            <w:tcW w:w="1380" w:type="dxa"/>
          </w:tcPr>
          <w:p>
            <w:pPr>
              <w:pStyle w:val="TableParagraph"/>
              <w:spacing w:line="218" w:lineRule="exact"/>
              <w:ind w:left="229"/>
              <w:rPr>
                <w:b/>
                <w:sz w:val="21"/>
              </w:rPr>
            </w:pPr>
            <w:r>
              <w:rPr>
                <w:b/>
                <w:sz w:val="21"/>
              </w:rPr>
              <w:t>严重阿尔</w:t>
            </w:r>
          </w:p>
          <w:p>
            <w:pPr>
              <w:pStyle w:val="TableParagraph"/>
              <w:spacing w:before="25"/>
              <w:ind w:left="229"/>
              <w:rPr>
                <w:b/>
                <w:sz w:val="21"/>
              </w:rPr>
            </w:pPr>
            <w:r>
              <w:rPr>
                <w:b/>
                <w:sz w:val="21"/>
              </w:rPr>
              <w:t>茨海默病：</w:t>
            </w:r>
          </w:p>
        </w:tc>
        <w:tc>
          <w:tcPr>
            <w:tcW w:w="7789" w:type="dxa"/>
          </w:tcPr>
          <w:p>
            <w:pPr>
              <w:pStyle w:val="TableParagraph"/>
              <w:spacing w:line="218" w:lineRule="exact"/>
              <w:rPr>
                <w:sz w:val="21"/>
              </w:rPr>
            </w:pPr>
            <w:r>
              <w:rPr>
                <w:sz w:val="21"/>
              </w:rPr>
              <w:t>指因大脑进行性、不可逆性改变导致智能严重衰退或丧失，临床表现为明显的认</w:t>
            </w:r>
          </w:p>
          <w:p>
            <w:pPr>
              <w:pStyle w:val="TableParagraph"/>
              <w:spacing w:line="256" w:lineRule="auto" w:before="25"/>
              <w:ind w:right="300"/>
              <w:jc w:val="both"/>
              <w:rPr>
                <w:sz w:val="21"/>
              </w:rPr>
            </w:pPr>
            <w:r>
              <w:rPr>
                <w:sz w:val="21"/>
              </w:rPr>
              <w:t>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10"/>
              <w:jc w:val="both"/>
              <w:rPr>
                <w:rFonts w:ascii="黑体" w:eastAsia="黑体" w:hint="eastAsia"/>
                <w:sz w:val="21"/>
              </w:rPr>
            </w:pPr>
            <w:r>
              <w:rPr>
                <w:rFonts w:ascii="黑体" w:eastAsia="黑体" w:hint="eastAsia"/>
                <w:sz w:val="21"/>
              </w:rPr>
              <w:t>神经官能症和精神疾病不在保障范围内。</w:t>
            </w:r>
          </w:p>
        </w:tc>
      </w:tr>
      <w:tr>
        <w:trPr>
          <w:trHeight w:val="2513" w:hRule="atLeast"/>
        </w:trPr>
        <w:tc>
          <w:tcPr>
            <w:tcW w:w="693" w:type="dxa"/>
          </w:tcPr>
          <w:p>
            <w:pPr>
              <w:pStyle w:val="TableParagraph"/>
              <w:spacing w:before="89"/>
              <w:ind w:left="181" w:right="209"/>
              <w:jc w:val="center"/>
              <w:rPr>
                <w:rFonts w:ascii="Times New Roman"/>
                <w:b/>
                <w:sz w:val="21"/>
              </w:rPr>
            </w:pPr>
            <w:r>
              <w:rPr>
                <w:rFonts w:ascii="Times New Roman"/>
                <w:b/>
                <w:sz w:val="21"/>
              </w:rPr>
              <w:t>18.</w:t>
            </w:r>
          </w:p>
        </w:tc>
        <w:tc>
          <w:tcPr>
            <w:tcW w:w="1380" w:type="dxa"/>
          </w:tcPr>
          <w:p>
            <w:pPr>
              <w:pStyle w:val="TableParagraph"/>
              <w:spacing w:line="261" w:lineRule="auto" w:before="40"/>
              <w:ind w:left="229" w:right="303"/>
              <w:rPr>
                <w:b/>
                <w:sz w:val="21"/>
              </w:rPr>
            </w:pPr>
            <w:r>
              <w:rPr>
                <w:b/>
                <w:sz w:val="21"/>
              </w:rPr>
              <w:t>严重脑损伤：</w:t>
            </w:r>
          </w:p>
        </w:tc>
        <w:tc>
          <w:tcPr>
            <w:tcW w:w="7789" w:type="dxa"/>
          </w:tcPr>
          <w:p>
            <w:pPr>
              <w:pStyle w:val="TableParagraph"/>
              <w:spacing w:line="252" w:lineRule="auto" w:before="40"/>
              <w:ind w:right="197"/>
              <w:rPr>
                <w:sz w:val="21"/>
              </w:rPr>
            </w:pPr>
            <w:r>
              <w:rPr>
                <w:spacing w:val="-3"/>
                <w:sz w:val="21"/>
              </w:rPr>
              <w:t>指因头部遭受机械性外力，引起脑重要部位损伤，导致神经系统永久性的功能障</w:t>
            </w:r>
            <w:r>
              <w:rPr>
                <w:spacing w:val="-16"/>
                <w:sz w:val="21"/>
              </w:rPr>
              <w:t>碍。须由头颅断层扫描</w:t>
            </w:r>
            <w:r>
              <w:rPr>
                <w:spacing w:val="-19"/>
                <w:sz w:val="21"/>
              </w:rPr>
              <w:t>（</w:t>
            </w:r>
            <w:r>
              <w:rPr>
                <w:rFonts w:ascii="Times New Roman" w:eastAsia="Times New Roman"/>
                <w:spacing w:val="-19"/>
                <w:sz w:val="21"/>
              </w:rPr>
              <w:t>CT</w:t>
            </w:r>
            <w:r>
              <w:rPr>
                <w:spacing w:val="-19"/>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7"/>
                <w:sz w:val="21"/>
              </w:rPr>
              <w:t>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0" w:right="301"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912" w:hRule="atLeast"/>
        </w:trPr>
        <w:tc>
          <w:tcPr>
            <w:tcW w:w="693" w:type="dxa"/>
          </w:tcPr>
          <w:p>
            <w:pPr>
              <w:pStyle w:val="TableParagraph"/>
              <w:spacing w:before="89"/>
              <w:ind w:left="181" w:right="209"/>
              <w:jc w:val="center"/>
              <w:rPr>
                <w:rFonts w:ascii="Times New Roman"/>
                <w:b/>
                <w:sz w:val="21"/>
              </w:rPr>
            </w:pPr>
            <w:r>
              <w:rPr>
                <w:rFonts w:ascii="Times New Roman"/>
                <w:b/>
                <w:sz w:val="21"/>
              </w:rPr>
              <w:t>19.</w:t>
            </w:r>
          </w:p>
        </w:tc>
        <w:tc>
          <w:tcPr>
            <w:tcW w:w="1380" w:type="dxa"/>
          </w:tcPr>
          <w:p>
            <w:pPr>
              <w:pStyle w:val="TableParagraph"/>
              <w:spacing w:line="261" w:lineRule="auto" w:before="40"/>
              <w:ind w:left="229" w:right="303"/>
              <w:rPr>
                <w:b/>
                <w:sz w:val="21"/>
              </w:rPr>
            </w:pPr>
            <w:r>
              <w:rPr>
                <w:b/>
                <w:sz w:val="21"/>
              </w:rPr>
              <w:t>严重帕金森病：</w:t>
            </w:r>
          </w:p>
        </w:tc>
        <w:tc>
          <w:tcPr>
            <w:tcW w:w="7789" w:type="dxa"/>
          </w:tcPr>
          <w:p>
            <w:pPr>
              <w:pStyle w:val="TableParagraph"/>
              <w:spacing w:line="261" w:lineRule="auto" w:before="40"/>
              <w:ind w:right="303"/>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0" w:right="301"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rPr>
                <w:rFonts w:ascii="黑体" w:eastAsia="黑体" w:hint="eastAsia"/>
                <w:sz w:val="21"/>
              </w:rPr>
            </w:pPr>
            <w:r>
              <w:rPr>
                <w:rFonts w:ascii="黑体" w:eastAsia="黑体" w:hint="eastAsia"/>
                <w:sz w:val="21"/>
              </w:rPr>
              <w:t>继发性帕金森综合征不在保障范围内。</w:t>
            </w:r>
          </w:p>
        </w:tc>
      </w:tr>
      <w:tr>
        <w:trPr>
          <w:trHeight w:val="712" w:hRule="atLeast"/>
        </w:trPr>
        <w:tc>
          <w:tcPr>
            <w:tcW w:w="693" w:type="dxa"/>
          </w:tcPr>
          <w:p>
            <w:pPr>
              <w:pStyle w:val="TableParagraph"/>
              <w:spacing w:before="89"/>
              <w:ind w:left="181" w:right="209"/>
              <w:jc w:val="center"/>
              <w:rPr>
                <w:rFonts w:ascii="Times New Roman"/>
                <w:b/>
                <w:sz w:val="21"/>
              </w:rPr>
            </w:pPr>
            <w:r>
              <w:rPr>
                <w:rFonts w:ascii="Times New Roman"/>
                <w:b/>
                <w:sz w:val="21"/>
              </w:rPr>
              <w:t>20.</w:t>
            </w:r>
          </w:p>
        </w:tc>
        <w:tc>
          <w:tcPr>
            <w:tcW w:w="1380" w:type="dxa"/>
          </w:tcPr>
          <w:p>
            <w:pPr>
              <w:pStyle w:val="TableParagraph"/>
              <w:spacing w:line="261" w:lineRule="auto" w:before="40"/>
              <w:ind w:left="229" w:right="303"/>
              <w:rPr>
                <w:b/>
                <w:sz w:val="21"/>
              </w:rPr>
            </w:pPr>
            <w:r>
              <w:rPr>
                <w:b/>
                <w:sz w:val="21"/>
              </w:rPr>
              <w:t>严重Ⅲ度烧伤：</w:t>
            </w:r>
          </w:p>
        </w:tc>
        <w:tc>
          <w:tcPr>
            <w:tcW w:w="7789" w:type="dxa"/>
          </w:tcPr>
          <w:p>
            <w:pPr>
              <w:pStyle w:val="TableParagraph"/>
              <w:spacing w:line="247" w:lineRule="auto" w:before="40"/>
              <w:ind w:right="300"/>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9"/>
                <w:sz w:val="21"/>
              </w:rPr>
              <w:t>％以上。体</w:t>
            </w:r>
            <w:r>
              <w:rPr>
                <w:spacing w:val="-5"/>
                <w:sz w:val="21"/>
              </w:rPr>
              <w:t>表面积根据《中国新九分法》计算。</w:t>
            </w:r>
          </w:p>
        </w:tc>
      </w:tr>
      <w:tr>
        <w:trPr>
          <w:trHeight w:val="1021" w:hRule="atLeast"/>
        </w:trPr>
        <w:tc>
          <w:tcPr>
            <w:tcW w:w="693" w:type="dxa"/>
          </w:tcPr>
          <w:p>
            <w:pPr>
              <w:pStyle w:val="TableParagraph"/>
              <w:spacing w:before="89"/>
              <w:ind w:left="181" w:right="209"/>
              <w:jc w:val="center"/>
              <w:rPr>
                <w:rFonts w:ascii="Times New Roman"/>
                <w:b/>
                <w:sz w:val="21"/>
              </w:rPr>
            </w:pPr>
            <w:r>
              <w:rPr>
                <w:rFonts w:ascii="Times New Roman"/>
                <w:b/>
                <w:sz w:val="21"/>
              </w:rPr>
              <w:t>21.</w:t>
            </w:r>
          </w:p>
        </w:tc>
        <w:tc>
          <w:tcPr>
            <w:tcW w:w="1380" w:type="dxa"/>
          </w:tcPr>
          <w:p>
            <w:pPr>
              <w:pStyle w:val="TableParagraph"/>
              <w:spacing w:line="261" w:lineRule="auto" w:before="40"/>
              <w:ind w:left="229" w:right="303"/>
              <w:jc w:val="both"/>
              <w:rPr>
                <w:b/>
                <w:sz w:val="21"/>
              </w:rPr>
            </w:pPr>
            <w:r>
              <w:rPr>
                <w:b/>
                <w:sz w:val="21"/>
              </w:rPr>
              <w:t>严重原发性肺动脉高压：</w:t>
            </w:r>
          </w:p>
        </w:tc>
        <w:tc>
          <w:tcPr>
            <w:tcW w:w="7789" w:type="dxa"/>
          </w:tcPr>
          <w:p>
            <w:pPr>
              <w:pStyle w:val="TableParagraph"/>
              <w:spacing w:line="254" w:lineRule="auto" w:before="40"/>
              <w:ind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6" w:hRule="atLeast"/>
        </w:trPr>
        <w:tc>
          <w:tcPr>
            <w:tcW w:w="693" w:type="dxa"/>
          </w:tcPr>
          <w:p>
            <w:pPr>
              <w:pStyle w:val="TableParagraph"/>
              <w:spacing w:before="81"/>
              <w:ind w:left="181" w:right="209"/>
              <w:jc w:val="center"/>
              <w:rPr>
                <w:rFonts w:ascii="Times New Roman"/>
                <w:b/>
                <w:sz w:val="21"/>
              </w:rPr>
            </w:pPr>
            <w:r>
              <w:rPr>
                <w:rFonts w:ascii="Times New Roman"/>
                <w:b/>
                <w:sz w:val="21"/>
              </w:rPr>
              <w:t>22.</w:t>
            </w:r>
          </w:p>
        </w:tc>
        <w:tc>
          <w:tcPr>
            <w:tcW w:w="1380" w:type="dxa"/>
          </w:tcPr>
          <w:p>
            <w:pPr>
              <w:pStyle w:val="TableParagraph"/>
              <w:spacing w:line="261" w:lineRule="auto" w:before="32"/>
              <w:ind w:left="229" w:right="92"/>
              <w:rPr>
                <w:b/>
                <w:sz w:val="21"/>
              </w:rPr>
            </w:pPr>
            <w:r>
              <w:rPr>
                <w:b/>
                <w:sz w:val="21"/>
              </w:rPr>
              <w:t>严重运动 神经元病：</w:t>
            </w:r>
          </w:p>
        </w:tc>
        <w:tc>
          <w:tcPr>
            <w:tcW w:w="7789" w:type="dxa"/>
          </w:tcPr>
          <w:p>
            <w:pPr>
              <w:pStyle w:val="TableParagraph"/>
              <w:spacing w:line="261" w:lineRule="auto" w:before="32"/>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693" w:type="dxa"/>
          </w:tcPr>
          <w:p>
            <w:pPr>
              <w:pStyle w:val="TableParagraph"/>
              <w:spacing w:before="90"/>
              <w:ind w:left="181" w:right="209"/>
              <w:jc w:val="center"/>
              <w:rPr>
                <w:rFonts w:ascii="Times New Roman"/>
                <w:b/>
                <w:sz w:val="21"/>
              </w:rPr>
            </w:pPr>
            <w:r>
              <w:rPr>
                <w:rFonts w:ascii="Times New Roman"/>
                <w:b/>
                <w:sz w:val="21"/>
              </w:rPr>
              <w:t>23.</w:t>
            </w:r>
          </w:p>
        </w:tc>
        <w:tc>
          <w:tcPr>
            <w:tcW w:w="1380" w:type="dxa"/>
          </w:tcPr>
          <w:p>
            <w:pPr>
              <w:pStyle w:val="TableParagraph"/>
              <w:spacing w:line="261" w:lineRule="auto" w:before="41"/>
              <w:ind w:left="229" w:right="303"/>
              <w:rPr>
                <w:b/>
                <w:sz w:val="21"/>
              </w:rPr>
            </w:pPr>
            <w:r>
              <w:rPr>
                <w:b/>
                <w:sz w:val="21"/>
              </w:rPr>
              <w:t>语言能力丧失：</w:t>
            </w:r>
          </w:p>
        </w:tc>
        <w:tc>
          <w:tcPr>
            <w:tcW w:w="7789" w:type="dxa"/>
          </w:tcPr>
          <w:p>
            <w:pPr>
              <w:pStyle w:val="TableParagraph"/>
              <w:spacing w:line="247" w:lineRule="auto" w:before="41"/>
              <w:ind w:right="300"/>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8"/>
              <w:rPr>
                <w:rFonts w:ascii="黑体" w:eastAsia="黑体" w:hint="eastAsia"/>
                <w:sz w:val="21"/>
              </w:rPr>
            </w:pPr>
            <w:r>
              <w:rPr>
                <w:rFonts w:ascii="黑体" w:eastAsia="黑体" w:hint="eastAsia"/>
                <w:sz w:val="21"/>
              </w:rPr>
              <w:t>精神心理因素所致的语言能力丧失不在保障范围内。</w:t>
            </w:r>
          </w:p>
        </w:tc>
      </w:tr>
      <w:tr>
        <w:trPr>
          <w:trHeight w:val="2221" w:hRule="atLeast"/>
        </w:trPr>
        <w:tc>
          <w:tcPr>
            <w:tcW w:w="693" w:type="dxa"/>
          </w:tcPr>
          <w:p>
            <w:pPr>
              <w:pStyle w:val="TableParagraph"/>
              <w:spacing w:before="89"/>
              <w:ind w:left="181" w:right="209"/>
              <w:jc w:val="center"/>
              <w:rPr>
                <w:rFonts w:ascii="Times New Roman"/>
                <w:b/>
                <w:sz w:val="21"/>
              </w:rPr>
            </w:pPr>
            <w:r>
              <w:rPr>
                <w:rFonts w:ascii="Times New Roman"/>
                <w:b/>
                <w:sz w:val="21"/>
              </w:rPr>
              <w:t>24.</w:t>
            </w:r>
          </w:p>
        </w:tc>
        <w:tc>
          <w:tcPr>
            <w:tcW w:w="1380" w:type="dxa"/>
          </w:tcPr>
          <w:p>
            <w:pPr>
              <w:pStyle w:val="TableParagraph"/>
              <w:spacing w:line="261" w:lineRule="auto" w:before="40"/>
              <w:ind w:left="229" w:right="303"/>
              <w:jc w:val="both"/>
              <w:rPr>
                <w:b/>
                <w:sz w:val="21"/>
              </w:rPr>
            </w:pPr>
            <w:r>
              <w:rPr>
                <w:b/>
                <w:sz w:val="21"/>
              </w:rPr>
              <w:t>重型再生障碍性贫血：</w:t>
            </w:r>
          </w:p>
        </w:tc>
        <w:tc>
          <w:tcPr>
            <w:tcW w:w="7789" w:type="dxa"/>
          </w:tcPr>
          <w:p>
            <w:pPr>
              <w:pStyle w:val="TableParagraph"/>
              <w:spacing w:line="261" w:lineRule="auto" w:before="40"/>
              <w:ind w:right="304"/>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14"/>
              <w:rPr>
                <w:sz w:val="21"/>
              </w:rPr>
            </w:pPr>
            <w:r>
              <w:rPr>
                <w:spacing w:val="-3"/>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rFonts w:ascii="Times New Roman" w:hAnsi="Times New Roman" w:eastAsia="Times New Roman"/>
                <w:spacing w:val="51"/>
                <w:sz w:val="21"/>
                <w:vertAlign w:val="baseline"/>
              </w:rPr>
              <w:t> </w:t>
            </w:r>
            <w:r>
              <w:rPr>
                <w:sz w:val="21"/>
                <w:vertAlign w:val="baseline"/>
              </w:rPr>
              <w:t>；</w:t>
            </w:r>
          </w:p>
          <w:p>
            <w:pPr>
              <w:pStyle w:val="TableParagraph"/>
              <w:spacing w:before="10"/>
              <w:ind w:left="514"/>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4"/>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07" w:hRule="atLeast"/>
        </w:trPr>
        <w:tc>
          <w:tcPr>
            <w:tcW w:w="693" w:type="dxa"/>
          </w:tcPr>
          <w:p>
            <w:pPr>
              <w:pStyle w:val="TableParagraph"/>
              <w:spacing w:before="81"/>
              <w:ind w:left="181" w:right="209"/>
              <w:jc w:val="center"/>
              <w:rPr>
                <w:rFonts w:ascii="Times New Roman"/>
                <w:b/>
                <w:sz w:val="21"/>
              </w:rPr>
            </w:pPr>
            <w:r>
              <w:rPr>
                <w:rFonts w:ascii="Times New Roman"/>
                <w:b/>
                <w:sz w:val="21"/>
              </w:rPr>
              <w:t>25.</w:t>
            </w:r>
          </w:p>
        </w:tc>
        <w:tc>
          <w:tcPr>
            <w:tcW w:w="1380" w:type="dxa"/>
          </w:tcPr>
          <w:p>
            <w:pPr>
              <w:pStyle w:val="TableParagraph"/>
              <w:spacing w:line="261" w:lineRule="auto" w:before="32"/>
              <w:ind w:left="229" w:right="303"/>
              <w:rPr>
                <w:b/>
                <w:sz w:val="21"/>
              </w:rPr>
            </w:pPr>
            <w:r>
              <w:rPr>
                <w:b/>
                <w:sz w:val="21"/>
              </w:rPr>
              <w:t>主动脉手术：</w:t>
            </w:r>
          </w:p>
        </w:tc>
        <w:tc>
          <w:tcPr>
            <w:tcW w:w="7789" w:type="dxa"/>
          </w:tcPr>
          <w:p>
            <w:pPr>
              <w:pStyle w:val="TableParagraph"/>
              <w:spacing w:line="261" w:lineRule="auto" w:before="32"/>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6"/>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5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91"/>
      </w:tblGrid>
      <w:tr>
        <w:trPr>
          <w:trHeight w:val="1823"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26.</w:t>
            </w:r>
          </w:p>
        </w:tc>
        <w:tc>
          <w:tcPr>
            <w:tcW w:w="1380" w:type="dxa"/>
          </w:tcPr>
          <w:p>
            <w:pPr>
              <w:pStyle w:val="TableParagraph"/>
              <w:spacing w:line="211" w:lineRule="exact"/>
              <w:ind w:left="229"/>
              <w:rPr>
                <w:b/>
                <w:sz w:val="21"/>
              </w:rPr>
            </w:pPr>
            <w:r>
              <w:rPr>
                <w:b/>
                <w:sz w:val="21"/>
              </w:rPr>
              <w:t>终末期肺</w:t>
            </w:r>
          </w:p>
          <w:p>
            <w:pPr>
              <w:pStyle w:val="TableParagraph"/>
              <w:spacing w:before="25"/>
              <w:ind w:left="229"/>
              <w:rPr>
                <w:b/>
                <w:sz w:val="21"/>
              </w:rPr>
            </w:pPr>
            <w:r>
              <w:rPr>
                <w:b/>
                <w:sz w:val="21"/>
              </w:rPr>
              <w:t>病：</w:t>
            </w:r>
          </w:p>
        </w:tc>
        <w:tc>
          <w:tcPr>
            <w:tcW w:w="7791" w:type="dxa"/>
          </w:tcPr>
          <w:p>
            <w:pPr>
              <w:pStyle w:val="TableParagraph"/>
              <w:spacing w:line="211" w:lineRule="exact"/>
              <w:rPr>
                <w:sz w:val="21"/>
              </w:rPr>
            </w:pPr>
            <w:r>
              <w:rPr>
                <w:sz w:val="21"/>
              </w:rPr>
              <w:t>指被保险人必须由我们认可的医院的呼吸科专科医师确诊患有慢性终末期肺病而</w:t>
            </w:r>
          </w:p>
          <w:p>
            <w:pPr>
              <w:pStyle w:val="TableParagraph"/>
              <w:spacing w:before="25"/>
              <w:rPr>
                <w:sz w:val="21"/>
              </w:rPr>
            </w:pPr>
            <w:r>
              <w:rPr>
                <w:sz w:val="21"/>
              </w:rPr>
              <w:t>出现慢性呼吸功能衰竭，必须满足以下所有条件：</w:t>
            </w:r>
          </w:p>
          <w:p>
            <w:pPr>
              <w:pStyle w:val="TableParagraph"/>
              <w:spacing w:line="317" w:lineRule="exact" w:before="2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3" w:type="dxa"/>
          </w:tcPr>
          <w:p>
            <w:pPr>
              <w:pStyle w:val="TableParagraph"/>
              <w:spacing w:before="75"/>
              <w:ind w:left="181" w:right="209"/>
              <w:jc w:val="center"/>
              <w:rPr>
                <w:rFonts w:ascii="Times New Roman"/>
                <w:b/>
                <w:sz w:val="21"/>
              </w:rPr>
            </w:pPr>
            <w:r>
              <w:rPr>
                <w:rFonts w:ascii="Times New Roman"/>
                <w:b/>
                <w:sz w:val="21"/>
              </w:rPr>
              <w:t>27.</w:t>
            </w:r>
          </w:p>
        </w:tc>
        <w:tc>
          <w:tcPr>
            <w:tcW w:w="1380" w:type="dxa"/>
          </w:tcPr>
          <w:p>
            <w:pPr>
              <w:pStyle w:val="TableParagraph"/>
              <w:spacing w:line="261" w:lineRule="auto" w:before="25"/>
              <w:ind w:left="229" w:right="303"/>
              <w:rPr>
                <w:b/>
                <w:sz w:val="21"/>
              </w:rPr>
            </w:pPr>
            <w:r>
              <w:rPr>
                <w:b/>
                <w:sz w:val="21"/>
              </w:rPr>
              <w:t>肌营养不良症：</w:t>
            </w:r>
          </w:p>
        </w:tc>
        <w:tc>
          <w:tcPr>
            <w:tcW w:w="7791" w:type="dxa"/>
          </w:tcPr>
          <w:p>
            <w:pPr>
              <w:pStyle w:val="TableParagraph"/>
              <w:spacing w:line="261" w:lineRule="auto" w:before="25"/>
              <w:ind w:right="306"/>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rPr>
                <w:sz w:val="21"/>
              </w:rPr>
            </w:pPr>
            <w:r>
              <w:rPr>
                <w:w w:val="100"/>
                <w:sz w:val="21"/>
              </w:rPr>
              <w:t>（</w:t>
            </w:r>
            <w:r>
              <w:rPr>
                <w:rFonts w:ascii="Times New Roman" w:eastAsia="Times New Roman"/>
                <w:w w:val="100"/>
                <w:sz w:val="21"/>
              </w:rPr>
              <w:t>2</w:t>
            </w:r>
            <w:r>
              <w:rPr>
                <w:spacing w:val="-89"/>
                <w:w w:val="100"/>
                <w:sz w:val="21"/>
              </w:rPr>
              <w:t>）</w:t>
            </w:r>
            <w:r>
              <w:rPr>
                <w:spacing w:val="-7"/>
                <w:w w:val="100"/>
                <w:sz w:val="21"/>
              </w:rPr>
              <w:t>肌肉活检的病理学诊断符合肌营养不良症的肌肉细胞变性、坏死等阳性改变；</w:t>
            </w:r>
          </w:p>
          <w:p>
            <w:pPr>
              <w:pStyle w:val="TableParagraph"/>
              <w:spacing w:line="247" w:lineRule="auto" w:before="8"/>
              <w:ind w:left="514" w:right="231"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3" w:hRule="atLeast"/>
        </w:trPr>
        <w:tc>
          <w:tcPr>
            <w:tcW w:w="693" w:type="dxa"/>
          </w:tcPr>
          <w:p>
            <w:pPr>
              <w:pStyle w:val="TableParagraph"/>
              <w:spacing w:before="83"/>
              <w:ind w:left="181" w:right="209"/>
              <w:jc w:val="center"/>
              <w:rPr>
                <w:rFonts w:ascii="Times New Roman"/>
                <w:b/>
                <w:sz w:val="21"/>
              </w:rPr>
            </w:pPr>
            <w:r>
              <w:rPr>
                <w:rFonts w:ascii="Times New Roman"/>
                <w:b/>
                <w:sz w:val="21"/>
              </w:rPr>
              <w:t>28.</w:t>
            </w:r>
          </w:p>
        </w:tc>
        <w:tc>
          <w:tcPr>
            <w:tcW w:w="1380" w:type="dxa"/>
          </w:tcPr>
          <w:p>
            <w:pPr>
              <w:pStyle w:val="TableParagraph"/>
              <w:spacing w:line="261" w:lineRule="auto" w:before="33"/>
              <w:ind w:left="229" w:right="303"/>
              <w:rPr>
                <w:b/>
                <w:sz w:val="21"/>
              </w:rPr>
            </w:pPr>
            <w:r>
              <w:rPr>
                <w:b/>
                <w:sz w:val="21"/>
              </w:rPr>
              <w:t>多发性硬化症：</w:t>
            </w:r>
          </w:p>
        </w:tc>
        <w:tc>
          <w:tcPr>
            <w:tcW w:w="7791" w:type="dxa"/>
          </w:tcPr>
          <w:p>
            <w:pPr>
              <w:pStyle w:val="TableParagraph"/>
              <w:spacing w:line="261" w:lineRule="auto" w:before="33"/>
              <w:ind w:right="306"/>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693" w:type="dxa"/>
          </w:tcPr>
          <w:p>
            <w:pPr>
              <w:pStyle w:val="TableParagraph"/>
              <w:spacing w:before="83"/>
              <w:ind w:left="181" w:right="209"/>
              <w:jc w:val="center"/>
              <w:rPr>
                <w:rFonts w:ascii="Times New Roman"/>
                <w:b/>
                <w:sz w:val="21"/>
              </w:rPr>
            </w:pPr>
            <w:r>
              <w:rPr>
                <w:rFonts w:ascii="Times New Roman"/>
                <w:b/>
                <w:sz w:val="21"/>
              </w:rPr>
              <w:t>29.</w:t>
            </w:r>
          </w:p>
        </w:tc>
        <w:tc>
          <w:tcPr>
            <w:tcW w:w="1380" w:type="dxa"/>
          </w:tcPr>
          <w:p>
            <w:pPr>
              <w:pStyle w:val="TableParagraph"/>
              <w:spacing w:line="261" w:lineRule="auto" w:before="33"/>
              <w:ind w:left="229" w:right="92"/>
              <w:rPr>
                <w:b/>
                <w:sz w:val="21"/>
              </w:rPr>
            </w:pPr>
            <w:r>
              <w:rPr>
                <w:b/>
                <w:sz w:val="21"/>
              </w:rPr>
              <w:t>经输血导 致的人类 免疫缺陷 病毒感染：</w:t>
            </w:r>
          </w:p>
        </w:tc>
        <w:tc>
          <w:tcPr>
            <w:tcW w:w="7791"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22" w:right="303"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4"/>
                <w:sz w:val="21"/>
              </w:rPr>
              <w:t>而感染人类免疫缺陷病毒；</w:t>
            </w:r>
          </w:p>
          <w:p>
            <w:pPr>
              <w:pStyle w:val="TableParagraph"/>
              <w:spacing w:line="247" w:lineRule="auto" w:before="18"/>
              <w:ind w:left="622" w:right="231"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306"/>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306"/>
              <w:rPr>
                <w:rFonts w:ascii="黑体" w:eastAsia="黑体" w:hint="eastAsia"/>
                <w:sz w:val="21"/>
              </w:rPr>
            </w:pPr>
            <w:r>
              <w:rPr>
                <w:rFonts w:ascii="黑体" w:eastAsia="黑体" w:hint="eastAsia"/>
                <w:sz w:val="21"/>
              </w:rPr>
              <w:t>任何因其他传播方式（包括：性传播或静脉注射毒品）导致的人类免疫缺陷病毒感染不在保障范围内。</w:t>
            </w:r>
          </w:p>
          <w:p>
            <w:pPr>
              <w:pStyle w:val="TableParagraph"/>
              <w:spacing w:line="261" w:lineRule="auto" w:before="6"/>
              <w:ind w:right="306"/>
              <w:rPr>
                <w:sz w:val="21"/>
              </w:rPr>
            </w:pPr>
            <w:r>
              <w:rPr>
                <w:sz w:val="21"/>
              </w:rPr>
              <w:t>保险公司必须拥有获得使用被保险人的血液样本的权利和能够对这些样本进行独立检验的权利。</w:t>
            </w:r>
          </w:p>
        </w:tc>
      </w:tr>
      <w:tr>
        <w:trPr>
          <w:trHeight w:val="2813" w:hRule="atLeast"/>
        </w:trPr>
        <w:tc>
          <w:tcPr>
            <w:tcW w:w="693" w:type="dxa"/>
          </w:tcPr>
          <w:p>
            <w:pPr>
              <w:pStyle w:val="TableParagraph"/>
              <w:spacing w:before="83"/>
              <w:ind w:left="181" w:right="209"/>
              <w:jc w:val="center"/>
              <w:rPr>
                <w:rFonts w:ascii="Times New Roman"/>
                <w:b/>
                <w:sz w:val="21"/>
              </w:rPr>
            </w:pPr>
            <w:r>
              <w:rPr>
                <w:rFonts w:ascii="Times New Roman"/>
                <w:b/>
                <w:sz w:val="21"/>
              </w:rPr>
              <w:t>30.</w:t>
            </w:r>
          </w:p>
        </w:tc>
        <w:tc>
          <w:tcPr>
            <w:tcW w:w="1380" w:type="dxa"/>
          </w:tcPr>
          <w:p>
            <w:pPr>
              <w:pStyle w:val="TableParagraph"/>
              <w:spacing w:line="261" w:lineRule="auto" w:before="33"/>
              <w:ind w:left="229" w:right="303"/>
              <w:rPr>
                <w:b/>
                <w:sz w:val="21"/>
              </w:rPr>
            </w:pPr>
            <w:r>
              <w:rPr>
                <w:b/>
                <w:sz w:val="21"/>
              </w:rPr>
              <w:t>重症肌无力：</w:t>
            </w:r>
          </w:p>
        </w:tc>
        <w:tc>
          <w:tcPr>
            <w:tcW w:w="7791" w:type="dxa"/>
          </w:tcPr>
          <w:p>
            <w:pPr>
              <w:pStyle w:val="TableParagraph"/>
              <w:spacing w:line="261" w:lineRule="auto" w:before="33"/>
              <w:ind w:right="306"/>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5"/>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20" w:right="303" w:hanging="526"/>
              <w:rPr>
                <w:sz w:val="21"/>
              </w:rPr>
            </w:pPr>
            <w:r>
              <w:rPr>
                <w:spacing w:val="-7"/>
                <w:sz w:val="21"/>
              </w:rPr>
              <w:t>（</w:t>
            </w:r>
            <w:r>
              <w:rPr>
                <w:rFonts w:ascii="Times New Roman" w:eastAsia="Times New Roman"/>
                <w:spacing w:val="-7"/>
                <w:sz w:val="21"/>
              </w:rPr>
              <w:t>2</w:t>
            </w:r>
            <w:r>
              <w:rPr>
                <w:spacing w:val="-7"/>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spacing w:line="247" w:lineRule="auto" w:before="18"/>
              <w:ind w:left="620" w:right="303"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1312" w:hRule="atLeast"/>
        </w:trPr>
        <w:tc>
          <w:tcPr>
            <w:tcW w:w="693" w:type="dxa"/>
          </w:tcPr>
          <w:p>
            <w:pPr>
              <w:pStyle w:val="TableParagraph"/>
              <w:spacing w:before="83"/>
              <w:ind w:left="181" w:right="209"/>
              <w:jc w:val="center"/>
              <w:rPr>
                <w:rFonts w:ascii="Times New Roman"/>
                <w:b/>
                <w:sz w:val="21"/>
              </w:rPr>
            </w:pPr>
            <w:r>
              <w:rPr>
                <w:rFonts w:ascii="Times New Roman"/>
                <w:b/>
                <w:sz w:val="21"/>
              </w:rPr>
              <w:t>31.</w:t>
            </w:r>
          </w:p>
        </w:tc>
        <w:tc>
          <w:tcPr>
            <w:tcW w:w="1380" w:type="dxa"/>
          </w:tcPr>
          <w:p>
            <w:pPr>
              <w:pStyle w:val="TableParagraph"/>
              <w:spacing w:line="261" w:lineRule="auto" w:before="33"/>
              <w:ind w:left="229" w:right="303"/>
              <w:jc w:val="both"/>
              <w:rPr>
                <w:b/>
                <w:sz w:val="21"/>
              </w:rPr>
            </w:pPr>
            <w:r>
              <w:rPr>
                <w:b/>
                <w:sz w:val="21"/>
              </w:rPr>
              <w:t>脑动脉瘤破裂出血开颅夹闭手术：</w:t>
            </w:r>
          </w:p>
        </w:tc>
        <w:tc>
          <w:tcPr>
            <w:tcW w:w="7791" w:type="dxa"/>
          </w:tcPr>
          <w:p>
            <w:pPr>
              <w:pStyle w:val="TableParagraph"/>
              <w:spacing w:line="261" w:lineRule="auto" w:before="33"/>
              <w:ind w:right="306"/>
              <w:rPr>
                <w:sz w:val="21"/>
              </w:rPr>
            </w:pPr>
            <w:r>
              <w:rPr>
                <w:sz w:val="21"/>
              </w:rPr>
              <w:t>指因脑动脉瘤破裂造成蛛网膜下腔出血，被保险人实际接受了在全麻下进行的开颅动脉瘤夹闭手术。</w:t>
            </w:r>
          </w:p>
          <w:p>
            <w:pPr>
              <w:pStyle w:val="TableParagraph"/>
              <w:spacing w:line="261" w:lineRule="auto" w:before="5"/>
              <w:ind w:right="306"/>
              <w:rPr>
                <w:rFonts w:ascii="黑体" w:eastAsia="黑体" w:hint="eastAsia"/>
                <w:sz w:val="21"/>
              </w:rPr>
            </w:pPr>
            <w:r>
              <w:rPr>
                <w:rFonts w:ascii="黑体" w:eastAsia="黑体" w:hint="eastAsia"/>
                <w:sz w:val="21"/>
              </w:rPr>
              <w:t>脑动脉瘤（未破裂）预防性手术、颅骨打孔手术、动脉瘤栓塞手术、血管内手术及其他颅脑手术不在保障范围内。</w:t>
            </w:r>
          </w:p>
        </w:tc>
      </w:tr>
      <w:tr>
        <w:trPr>
          <w:trHeight w:val="620" w:hRule="atLeast"/>
        </w:trPr>
        <w:tc>
          <w:tcPr>
            <w:tcW w:w="693" w:type="dxa"/>
          </w:tcPr>
          <w:p>
            <w:pPr>
              <w:pStyle w:val="TableParagraph"/>
              <w:spacing w:before="83"/>
              <w:ind w:left="181" w:right="209"/>
              <w:jc w:val="center"/>
              <w:rPr>
                <w:rFonts w:ascii="Times New Roman"/>
                <w:b/>
                <w:sz w:val="21"/>
              </w:rPr>
            </w:pPr>
            <w:r>
              <w:rPr>
                <w:rFonts w:ascii="Times New Roman"/>
                <w:b/>
                <w:sz w:val="21"/>
              </w:rPr>
              <w:t>32.</w:t>
            </w:r>
          </w:p>
        </w:tc>
        <w:tc>
          <w:tcPr>
            <w:tcW w:w="1380" w:type="dxa"/>
          </w:tcPr>
          <w:p>
            <w:pPr>
              <w:pStyle w:val="TableParagraph"/>
              <w:spacing w:line="300" w:lineRule="atLeast" w:before="8"/>
              <w:ind w:left="229" w:right="303"/>
              <w:rPr>
                <w:b/>
                <w:sz w:val="21"/>
              </w:rPr>
            </w:pPr>
            <w:r>
              <w:rPr>
                <w:b/>
                <w:sz w:val="21"/>
              </w:rPr>
              <w:t>严重系统性红斑狼</w:t>
            </w:r>
          </w:p>
        </w:tc>
        <w:tc>
          <w:tcPr>
            <w:tcW w:w="7791" w:type="dxa"/>
          </w:tcPr>
          <w:p>
            <w:pPr>
              <w:pStyle w:val="TableParagraph"/>
              <w:spacing w:line="312" w:lineRule="exact" w:before="22"/>
              <w:ind w:right="336"/>
              <w:rPr>
                <w:sz w:val="21"/>
              </w:rPr>
            </w:pPr>
            <w:r>
              <w:rPr>
                <w:sz w:val="21"/>
              </w:rPr>
              <w:t>系统性红斑狼疮是累及多系统、多器官的具有多种自身抗体的免疫性疾病。系统性红斑狼疮性肾病，又称为狼疮性肾炎，是系统性红斑狼疮累及肾脏，造成肾功</w:t>
            </w:r>
          </w:p>
        </w:tc>
      </w:tr>
    </w:tbl>
    <w:p>
      <w:pPr>
        <w:spacing w:after="0" w:line="312"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91"/>
      </w:tblGrid>
      <w:tr>
        <w:trPr>
          <w:trHeight w:val="3118" w:hRule="atLeast"/>
        </w:trPr>
        <w:tc>
          <w:tcPr>
            <w:tcW w:w="693" w:type="dxa"/>
          </w:tcPr>
          <w:p>
            <w:pPr>
              <w:pStyle w:val="TableParagraph"/>
              <w:ind w:left="0"/>
              <w:rPr>
                <w:rFonts w:ascii="Times New Roman"/>
                <w:sz w:val="20"/>
              </w:rPr>
            </w:pPr>
          </w:p>
        </w:tc>
        <w:tc>
          <w:tcPr>
            <w:tcW w:w="1380" w:type="dxa"/>
          </w:tcPr>
          <w:p>
            <w:pPr>
              <w:pStyle w:val="TableParagraph"/>
              <w:spacing w:line="225" w:lineRule="exact"/>
              <w:ind w:left="229"/>
              <w:rPr>
                <w:b/>
                <w:sz w:val="21"/>
              </w:rPr>
            </w:pPr>
            <w:r>
              <w:rPr>
                <w:b/>
                <w:sz w:val="21"/>
              </w:rPr>
              <w:t>疮性肾病：</w:t>
            </w:r>
          </w:p>
        </w:tc>
        <w:tc>
          <w:tcPr>
            <w:tcW w:w="7791" w:type="dxa"/>
          </w:tcPr>
          <w:p>
            <w:pPr>
              <w:pStyle w:val="TableParagraph"/>
              <w:spacing w:line="234" w:lineRule="exact"/>
              <w:rPr>
                <w:sz w:val="21"/>
              </w:rPr>
            </w:pPr>
            <w:r>
              <w:rPr>
                <w:sz w:val="21"/>
              </w:rPr>
              <w:t>能损伤。须经肾脏病理检查或临床确诊，并符合下列</w:t>
            </w:r>
            <w:r>
              <w:rPr>
                <w:rFonts w:ascii="Times New Roman" w:hAnsi="Times New Roman" w:eastAsia="Times New Roman"/>
                <w:sz w:val="21"/>
              </w:rPr>
              <w:t>WHO</w:t>
            </w:r>
            <w:r>
              <w:rPr>
                <w:sz w:val="21"/>
              </w:rPr>
              <w:t>诊断标准定义的Ⅲ型至</w:t>
            </w:r>
          </w:p>
          <w:p>
            <w:pPr>
              <w:pStyle w:val="TableParagraph"/>
              <w:spacing w:before="21"/>
              <w:rPr>
                <w:sz w:val="21"/>
              </w:rPr>
            </w:pPr>
            <w:r>
              <w:rPr>
                <w:sz w:val="21"/>
              </w:rPr>
              <w:t>Ⅴ型狼疮性肾炎。</w:t>
            </w:r>
          </w:p>
          <w:p>
            <w:pPr>
              <w:pStyle w:val="TableParagraph"/>
              <w:spacing w:before="36"/>
              <w:ind w:left="514"/>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14"/>
              <w:rPr>
                <w:sz w:val="21"/>
              </w:rPr>
            </w:pPr>
            <w:r>
              <w:rPr>
                <w:sz w:val="21"/>
              </w:rPr>
              <w:t>Ⅰ型（微小病变型）镜下阴性，尿液正常</w:t>
            </w:r>
          </w:p>
          <w:p>
            <w:pPr>
              <w:pStyle w:val="TableParagraph"/>
              <w:spacing w:before="37"/>
              <w:ind w:left="514"/>
              <w:rPr>
                <w:sz w:val="21"/>
              </w:rPr>
            </w:pPr>
            <w:r>
              <w:rPr>
                <w:sz w:val="21"/>
              </w:rPr>
              <w:t>Ⅱ型（系膜病变型）中度蛋白尿，偶有尿沉渣改变</w:t>
            </w:r>
          </w:p>
          <w:p>
            <w:pPr>
              <w:pStyle w:val="TableParagraph"/>
              <w:spacing w:before="37"/>
              <w:ind w:left="514"/>
              <w:rPr>
                <w:sz w:val="21"/>
              </w:rPr>
            </w:pPr>
            <w:r>
              <w:rPr>
                <w:sz w:val="21"/>
              </w:rPr>
              <w:t>Ⅲ型（局灶及节段增生型）蛋白尿，尿沉渣改变</w:t>
            </w:r>
          </w:p>
          <w:p>
            <w:pPr>
              <w:pStyle w:val="TableParagraph"/>
              <w:spacing w:before="37"/>
              <w:ind w:left="514"/>
              <w:rPr>
                <w:sz w:val="21"/>
              </w:rPr>
            </w:pPr>
            <w:r>
              <w:rPr>
                <w:sz w:val="21"/>
              </w:rPr>
              <w:t>Ⅳ型（弥漫增生型）急性肾炎伴有尿沉渣改变及／或肾病综合征</w:t>
            </w:r>
          </w:p>
          <w:p>
            <w:pPr>
              <w:pStyle w:val="TableParagraph"/>
              <w:spacing w:before="37"/>
              <w:ind w:left="514"/>
              <w:rPr>
                <w:sz w:val="21"/>
              </w:rPr>
            </w:pPr>
            <w:r>
              <w:rPr>
                <w:sz w:val="21"/>
              </w:rPr>
              <w:t>Ⅴ型（膜型）肾病综合征或重度蛋白尿</w:t>
            </w:r>
          </w:p>
          <w:p>
            <w:pPr>
              <w:pStyle w:val="TableParagraph"/>
              <w:spacing w:line="261" w:lineRule="auto" w:before="44"/>
              <w:ind w:right="306"/>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2213" w:hRule="atLeast"/>
        </w:trPr>
        <w:tc>
          <w:tcPr>
            <w:tcW w:w="693" w:type="dxa"/>
          </w:tcPr>
          <w:p>
            <w:pPr>
              <w:pStyle w:val="TableParagraph"/>
              <w:spacing w:before="89"/>
              <w:ind w:left="181" w:right="209"/>
              <w:jc w:val="center"/>
              <w:rPr>
                <w:rFonts w:ascii="Times New Roman"/>
                <w:b/>
                <w:sz w:val="21"/>
              </w:rPr>
            </w:pPr>
            <w:r>
              <w:rPr>
                <w:rFonts w:ascii="Times New Roman"/>
                <w:b/>
                <w:sz w:val="21"/>
              </w:rPr>
              <w:t>33.</w:t>
            </w:r>
          </w:p>
        </w:tc>
        <w:tc>
          <w:tcPr>
            <w:tcW w:w="1380" w:type="dxa"/>
          </w:tcPr>
          <w:p>
            <w:pPr>
              <w:pStyle w:val="TableParagraph"/>
              <w:spacing w:line="261" w:lineRule="auto" w:before="40"/>
              <w:ind w:left="229" w:right="303"/>
              <w:jc w:val="both"/>
              <w:rPr>
                <w:b/>
                <w:sz w:val="21"/>
              </w:rPr>
            </w:pPr>
            <w:r>
              <w:rPr>
                <w:b/>
                <w:sz w:val="21"/>
              </w:rPr>
              <w:t>严重的原发性心肌病：</w:t>
            </w:r>
          </w:p>
        </w:tc>
        <w:tc>
          <w:tcPr>
            <w:tcW w:w="7791" w:type="dxa"/>
          </w:tcPr>
          <w:p>
            <w:pPr>
              <w:pStyle w:val="TableParagraph"/>
              <w:spacing w:line="259" w:lineRule="auto" w:before="40"/>
              <w:ind w:right="300"/>
              <w:jc w:val="both"/>
              <w:rPr>
                <w:rFonts w:ascii="黑体" w:eastAsia="黑体" w:hint="eastAsia"/>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pacing w:val="-2"/>
                <w:sz w:val="21"/>
              </w:rPr>
              <w:t>日。</w:t>
            </w:r>
            <w:r>
              <w:rPr>
                <w:rFonts w:ascii="黑体" w:eastAsia="黑体" w:hint="eastAsia"/>
                <w:sz w:val="21"/>
              </w:rPr>
              <w:t>本病须经专科医Th</w:t>
            </w:r>
            <w:r>
              <w:rPr>
                <w:rFonts w:ascii="黑体" w:eastAsia="黑体" w:hint="eastAsia"/>
                <w:spacing w:val="-3"/>
                <w:sz w:val="21"/>
              </w:rPr>
              <w:t>明确诊断。继发于全身性疾病或其它器官系统疾病造成的心肌病变不在保障范围。</w:t>
            </w:r>
          </w:p>
        </w:tc>
      </w:tr>
      <w:tr>
        <w:trPr>
          <w:trHeight w:val="1612" w:hRule="atLeast"/>
        </w:trPr>
        <w:tc>
          <w:tcPr>
            <w:tcW w:w="693" w:type="dxa"/>
          </w:tcPr>
          <w:p>
            <w:pPr>
              <w:pStyle w:val="TableParagraph"/>
              <w:spacing w:before="89"/>
              <w:ind w:left="181" w:right="209"/>
              <w:jc w:val="center"/>
              <w:rPr>
                <w:rFonts w:ascii="Times New Roman"/>
                <w:b/>
                <w:sz w:val="21"/>
              </w:rPr>
            </w:pPr>
            <w:r>
              <w:rPr>
                <w:rFonts w:ascii="Times New Roman"/>
                <w:b/>
                <w:sz w:val="21"/>
              </w:rPr>
              <w:t>34.</w:t>
            </w:r>
          </w:p>
        </w:tc>
        <w:tc>
          <w:tcPr>
            <w:tcW w:w="1380" w:type="dxa"/>
          </w:tcPr>
          <w:p>
            <w:pPr>
              <w:pStyle w:val="TableParagraph"/>
              <w:spacing w:before="40"/>
              <w:ind w:left="229"/>
              <w:rPr>
                <w:b/>
                <w:sz w:val="21"/>
              </w:rPr>
            </w:pPr>
            <w:r>
              <w:rPr>
                <w:b/>
                <w:sz w:val="21"/>
              </w:rPr>
              <w:t>植物人：</w:t>
            </w:r>
          </w:p>
        </w:tc>
        <w:tc>
          <w:tcPr>
            <w:tcW w:w="7791" w:type="dxa"/>
          </w:tcPr>
          <w:p>
            <w:pPr>
              <w:pStyle w:val="TableParagraph"/>
              <w:spacing w:line="261" w:lineRule="auto" w:before="40"/>
              <w:ind w:right="267"/>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9"/>
              <w:ind w:right="306"/>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3413" w:hRule="atLeast"/>
        </w:trPr>
        <w:tc>
          <w:tcPr>
            <w:tcW w:w="693" w:type="dxa"/>
          </w:tcPr>
          <w:p>
            <w:pPr>
              <w:pStyle w:val="TableParagraph"/>
              <w:spacing w:before="89"/>
              <w:ind w:left="181" w:right="209"/>
              <w:jc w:val="center"/>
              <w:rPr>
                <w:rFonts w:ascii="Times New Roman"/>
                <w:b/>
                <w:sz w:val="21"/>
              </w:rPr>
            </w:pPr>
            <w:r>
              <w:rPr>
                <w:rFonts w:ascii="Times New Roman"/>
                <w:b/>
                <w:sz w:val="21"/>
              </w:rPr>
              <w:t>35.</w:t>
            </w:r>
          </w:p>
        </w:tc>
        <w:tc>
          <w:tcPr>
            <w:tcW w:w="1380" w:type="dxa"/>
          </w:tcPr>
          <w:p>
            <w:pPr>
              <w:pStyle w:val="TableParagraph"/>
              <w:spacing w:line="261" w:lineRule="auto" w:before="40"/>
              <w:ind w:left="229" w:right="303"/>
              <w:jc w:val="both"/>
              <w:rPr>
                <w:b/>
                <w:sz w:val="21"/>
              </w:rPr>
            </w:pPr>
            <w:r>
              <w:rPr>
                <w:b/>
                <w:sz w:val="21"/>
              </w:rPr>
              <w:t>因职业关系导致的人类免疫缺陷病毒感染：</w:t>
            </w:r>
          </w:p>
        </w:tc>
        <w:tc>
          <w:tcPr>
            <w:tcW w:w="7791" w:type="dxa"/>
          </w:tcPr>
          <w:p>
            <w:pPr>
              <w:pStyle w:val="TableParagraph"/>
              <w:spacing w:line="261" w:lineRule="auto" w:before="40"/>
              <w:ind w:right="306"/>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54" w:lineRule="auto" w:before="26"/>
              <w:ind w:left="620" w:right="303" w:hanging="52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感染必须是在被保险人正在从事其职业工作中发生，该职业必须属于以下职</w:t>
            </w:r>
            <w:r>
              <w:rPr>
                <w:spacing w:val="-10"/>
                <w:sz w:val="21"/>
              </w:rPr>
              <w:t>业之一：医生和牙科医生、护士、医院化验室工作人员、医院护工、医生助</w:t>
            </w:r>
            <w:r>
              <w:rPr>
                <w:spacing w:val="-5"/>
                <w:sz w:val="21"/>
              </w:rPr>
              <w:t>理和牙医助理、救护车工作人员、助产士、消防队员、警察、狱警；</w:t>
            </w:r>
          </w:p>
          <w:p>
            <w:pPr>
              <w:pStyle w:val="TableParagraph"/>
              <w:spacing w:before="1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8"/>
              <w:ind w:left="620" w:right="302" w:hanging="526"/>
              <w:rPr>
                <w:sz w:val="21"/>
              </w:rPr>
            </w:pPr>
            <w:r>
              <w:rPr>
                <w:spacing w:val="-13"/>
                <w:sz w:val="21"/>
              </w:rPr>
              <w:t>（</w:t>
            </w:r>
            <w:r>
              <w:rPr>
                <w:rFonts w:ascii="Times New Roman" w:eastAsia="Times New Roman"/>
                <w:spacing w:val="-13"/>
                <w:sz w:val="21"/>
              </w:rPr>
              <w:t>3</w:t>
            </w:r>
            <w:r>
              <w:rPr>
                <w:spacing w:val="-13"/>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w:t>
            </w:r>
            <w:r>
              <w:rPr>
                <w:spacing w:val="-10"/>
                <w:sz w:val="21"/>
              </w:rPr>
              <w:t>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26"/>
                <w:sz w:val="21"/>
              </w:rPr>
              <w:t>或 </w:t>
            </w:r>
            <w:r>
              <w:rPr>
                <w:rFonts w:ascii="Times New Roman" w:eastAsia="Times New Roman"/>
                <w:sz w:val="21"/>
              </w:rPr>
              <w:t>HIV </w:t>
            </w:r>
            <w:r>
              <w:rPr>
                <w:spacing w:val="-3"/>
                <w:sz w:val="21"/>
              </w:rPr>
              <w:t>抗体阴性；</w:t>
            </w:r>
          </w:p>
          <w:p>
            <w:pPr>
              <w:pStyle w:val="TableParagraph"/>
              <w:spacing w:line="247" w:lineRule="auto" w:before="1"/>
              <w:ind w:left="620" w:right="305" w:hanging="526"/>
              <w:rPr>
                <w:sz w:val="21"/>
              </w:rPr>
            </w:pPr>
            <w:r>
              <w:rPr>
                <w:spacing w:val="-28"/>
                <w:sz w:val="21"/>
              </w:rPr>
              <w:t>（</w:t>
            </w:r>
            <w:r>
              <w:rPr>
                <w:rFonts w:ascii="Times New Roman" w:eastAsia="Times New Roman"/>
                <w:spacing w:val="-28"/>
                <w:sz w:val="21"/>
              </w:rPr>
              <w:t>4</w:t>
            </w:r>
            <w:r>
              <w:rPr>
                <w:spacing w:val="-28"/>
                <w:sz w:val="21"/>
              </w:rPr>
              <w:t>）</w:t>
            </w:r>
            <w:r>
              <w:rPr>
                <w:spacing w:val="-8"/>
                <w:sz w:val="21"/>
              </w:rPr>
              <w:t>必须在事故发生后的 </w:t>
            </w:r>
            <w:r>
              <w:rPr>
                <w:rFonts w:ascii="Times New Roman" w:eastAsia="Times New Roman"/>
                <w:sz w:val="21"/>
              </w:rPr>
              <w:t>12 </w:t>
            </w:r>
            <w:r>
              <w:rPr>
                <w:spacing w:val="-7"/>
                <w:sz w:val="21"/>
              </w:rPr>
              <w:t>个月内证实被保险人体内存在 </w:t>
            </w:r>
            <w:r>
              <w:rPr>
                <w:rFonts w:ascii="Times New Roman" w:eastAsia="Times New Roman"/>
                <w:sz w:val="21"/>
              </w:rPr>
              <w:t>HIV </w:t>
            </w:r>
            <w:r>
              <w:rPr>
                <w:spacing w:val="-12"/>
                <w:sz w:val="21"/>
              </w:rPr>
              <w:t>病毒或者 </w:t>
            </w:r>
            <w:r>
              <w:rPr>
                <w:rFonts w:ascii="Times New Roman" w:eastAsia="Times New Roman"/>
                <w:sz w:val="21"/>
              </w:rPr>
              <w:t>HIV </w:t>
            </w:r>
            <w:r>
              <w:rPr>
                <w:sz w:val="21"/>
              </w:rPr>
              <w:t>抗体。</w:t>
            </w:r>
          </w:p>
        </w:tc>
      </w:tr>
      <w:tr>
        <w:trPr>
          <w:trHeight w:val="1321" w:hRule="atLeast"/>
        </w:trPr>
        <w:tc>
          <w:tcPr>
            <w:tcW w:w="693" w:type="dxa"/>
          </w:tcPr>
          <w:p>
            <w:pPr>
              <w:pStyle w:val="TableParagraph"/>
              <w:spacing w:before="89"/>
              <w:ind w:left="181" w:right="209"/>
              <w:jc w:val="center"/>
              <w:rPr>
                <w:rFonts w:ascii="Times New Roman"/>
                <w:b/>
                <w:sz w:val="21"/>
              </w:rPr>
            </w:pPr>
            <w:r>
              <w:rPr>
                <w:rFonts w:ascii="Times New Roman"/>
                <w:b/>
                <w:sz w:val="21"/>
              </w:rPr>
              <w:t>36.</w:t>
            </w:r>
          </w:p>
        </w:tc>
        <w:tc>
          <w:tcPr>
            <w:tcW w:w="1380" w:type="dxa"/>
          </w:tcPr>
          <w:p>
            <w:pPr>
              <w:pStyle w:val="TableParagraph"/>
              <w:spacing w:line="261" w:lineRule="auto" w:before="40"/>
              <w:ind w:left="229" w:right="303"/>
              <w:rPr>
                <w:b/>
                <w:sz w:val="21"/>
              </w:rPr>
            </w:pPr>
            <w:r>
              <w:rPr>
                <w:b/>
                <w:sz w:val="21"/>
              </w:rPr>
              <w:t>肾髓质囊性病：</w:t>
            </w:r>
          </w:p>
        </w:tc>
        <w:tc>
          <w:tcPr>
            <w:tcW w:w="7791" w:type="dxa"/>
          </w:tcPr>
          <w:p>
            <w:pPr>
              <w:pStyle w:val="TableParagraph"/>
              <w:spacing w:before="40"/>
              <w:rPr>
                <w:sz w:val="21"/>
              </w:rPr>
            </w:pPr>
            <w:r>
              <w:rPr>
                <w:sz w:val="21"/>
              </w:rPr>
              <w:t>指经肾脏内科专科医生明确诊断为肾髓质囊性病，且须同时满足下列条件：</w:t>
            </w:r>
          </w:p>
          <w:p>
            <w:pPr>
              <w:pStyle w:val="TableParagraph"/>
              <w:spacing w:before="25"/>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693" w:type="dxa"/>
          </w:tcPr>
          <w:p>
            <w:pPr>
              <w:pStyle w:val="TableParagraph"/>
              <w:spacing w:before="82"/>
              <w:ind w:left="181" w:right="209"/>
              <w:jc w:val="center"/>
              <w:rPr>
                <w:rFonts w:ascii="Times New Roman"/>
                <w:b/>
                <w:sz w:val="21"/>
              </w:rPr>
            </w:pPr>
            <w:r>
              <w:rPr>
                <w:rFonts w:ascii="Times New Roman"/>
                <w:b/>
                <w:sz w:val="21"/>
              </w:rPr>
              <w:t>37.</w:t>
            </w:r>
          </w:p>
        </w:tc>
        <w:tc>
          <w:tcPr>
            <w:tcW w:w="1380" w:type="dxa"/>
          </w:tcPr>
          <w:p>
            <w:pPr>
              <w:pStyle w:val="TableParagraph"/>
              <w:spacing w:line="261" w:lineRule="auto" w:before="32"/>
              <w:ind w:left="229" w:right="303"/>
              <w:rPr>
                <w:b/>
                <w:sz w:val="21"/>
              </w:rPr>
            </w:pPr>
            <w:r>
              <w:rPr>
                <w:b/>
                <w:sz w:val="21"/>
              </w:rPr>
              <w:t>脊髓灰质炎：</w:t>
            </w:r>
          </w:p>
        </w:tc>
        <w:tc>
          <w:tcPr>
            <w:tcW w:w="7791" w:type="dxa"/>
          </w:tcPr>
          <w:p>
            <w:pPr>
              <w:pStyle w:val="TableParagraph"/>
              <w:spacing w:line="259" w:lineRule="auto" w:before="32"/>
              <w:ind w:right="197"/>
              <w:rPr>
                <w:sz w:val="21"/>
              </w:rPr>
            </w:pPr>
            <w:r>
              <w:rPr>
                <w:spacing w:val="-3"/>
                <w:sz w:val="21"/>
              </w:rPr>
              <w:t>是由于脊髓灰质炎病毒感染所致的瘫痪性疾病，临床表现为运动功能损害或呼吸无力。脊髓灰质炎必须明确诊断。</w:t>
            </w:r>
            <w:r>
              <w:rPr>
                <w:rFonts w:ascii="黑体" w:eastAsia="黑体" w:hint="eastAsia"/>
                <w:spacing w:val="-2"/>
                <w:sz w:val="21"/>
              </w:rPr>
              <w:t>我们仅对脊髓灰质炎造成的神经系统功能损害</w:t>
            </w:r>
            <w:r>
              <w:rPr>
                <w:rFonts w:ascii="黑体" w:eastAsia="黑体" w:hint="eastAsia"/>
                <w:spacing w:val="-3"/>
                <w:sz w:val="21"/>
              </w:rPr>
              <w:t>导致被保险人一肢或一肢以上肢体机能永久完全丧失的情况予以理赔。</w:t>
            </w:r>
            <w:r>
              <w:rPr>
                <w:spacing w:val="-2"/>
                <w:sz w:val="21"/>
              </w:rPr>
              <w:t>肢体机能</w:t>
            </w:r>
            <w:r>
              <w:rPr>
                <w:spacing w:val="-11"/>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331" w:hRule="atLeast"/>
        </w:trPr>
        <w:tc>
          <w:tcPr>
            <w:tcW w:w="693" w:type="dxa"/>
          </w:tcPr>
          <w:p>
            <w:pPr>
              <w:pStyle w:val="TableParagraph"/>
              <w:spacing w:line="222" w:lineRule="exact" w:before="89"/>
              <w:ind w:left="181" w:right="209"/>
              <w:jc w:val="center"/>
              <w:rPr>
                <w:rFonts w:ascii="Times New Roman"/>
                <w:b/>
                <w:sz w:val="21"/>
              </w:rPr>
            </w:pPr>
            <w:r>
              <w:rPr>
                <w:rFonts w:ascii="Times New Roman"/>
                <w:b/>
                <w:sz w:val="21"/>
              </w:rPr>
              <w:t>38.</w:t>
            </w:r>
          </w:p>
        </w:tc>
        <w:tc>
          <w:tcPr>
            <w:tcW w:w="1380" w:type="dxa"/>
          </w:tcPr>
          <w:p>
            <w:pPr>
              <w:pStyle w:val="TableParagraph"/>
              <w:spacing w:line="271" w:lineRule="exact" w:before="40"/>
              <w:ind w:left="229"/>
              <w:rPr>
                <w:b/>
                <w:sz w:val="21"/>
              </w:rPr>
            </w:pPr>
            <w:r>
              <w:rPr>
                <w:b/>
                <w:sz w:val="21"/>
              </w:rPr>
              <w:t>硬皮病：</w:t>
            </w:r>
          </w:p>
        </w:tc>
        <w:tc>
          <w:tcPr>
            <w:tcW w:w="7791" w:type="dxa"/>
          </w:tcPr>
          <w:p>
            <w:pPr>
              <w:pStyle w:val="TableParagraph"/>
              <w:spacing w:line="271" w:lineRule="exact" w:before="40"/>
              <w:rPr>
                <w:sz w:val="21"/>
              </w:rPr>
            </w:pPr>
            <w:r>
              <w:rPr>
                <w:sz w:val="21"/>
              </w:rPr>
              <w:t>是以弥漫性皮肤、血管及内脏器官结缔组织纤维化、硬化及萎缩为特点的结缔组</w:t>
            </w:r>
          </w:p>
        </w:tc>
      </w:tr>
    </w:tbl>
    <w:p>
      <w:pPr>
        <w:spacing w:after="0" w:line="271" w:lineRule="exact"/>
        <w:rPr>
          <w:sz w:val="21"/>
        </w:rPr>
        <w:sectPr>
          <w:pgSz w:w="11910" w:h="16840"/>
          <w:pgMar w:top="146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686"/>
      </w:tblGrid>
      <w:tr>
        <w:trPr>
          <w:trHeight w:val="1817" w:hRule="atLeast"/>
        </w:trPr>
        <w:tc>
          <w:tcPr>
            <w:tcW w:w="693"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686" w:type="dxa"/>
          </w:tcPr>
          <w:p>
            <w:pPr>
              <w:pStyle w:val="TableParagraph"/>
              <w:spacing w:line="211" w:lineRule="exact"/>
              <w:rPr>
                <w:sz w:val="21"/>
              </w:rPr>
            </w:pPr>
            <w:r>
              <w:rPr>
                <w:sz w:val="21"/>
              </w:rPr>
              <w:t>织病。必须由风湿免疫专科医生确诊。必须有活体组织检查和血清学的检查作为</w:t>
            </w:r>
          </w:p>
          <w:p>
            <w:pPr>
              <w:pStyle w:val="TableParagraph"/>
              <w:spacing w:before="25"/>
              <w:rPr>
                <w:sz w:val="21"/>
              </w:rPr>
            </w:pPr>
            <w:r>
              <w:rPr>
                <w:sz w:val="21"/>
              </w:rPr>
              <w:t>确诊依据。病变需累及心脏、肺脏或肾脏。</w:t>
            </w:r>
          </w:p>
          <w:p>
            <w:pPr>
              <w:pStyle w:val="TableParagraph"/>
              <w:spacing w:before="24"/>
              <w:rPr>
                <w:rFonts w:ascii="黑体" w:eastAsia="黑体" w:hint="eastAsia"/>
                <w:sz w:val="21"/>
              </w:rPr>
            </w:pPr>
            <w:r>
              <w:rPr>
                <w:rFonts w:ascii="黑体" w:eastAsia="黑体" w:hint="eastAsia"/>
                <w:sz w:val="21"/>
              </w:rPr>
              <w:t>下列疾病不在保障范围内：</w:t>
            </w:r>
          </w:p>
          <w:p>
            <w:pPr>
              <w:pStyle w:val="TableParagraph"/>
              <w:spacing w:before="24"/>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）局限性硬皮病（包括带状硬皮病、硬斑病）；</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）嗜酸细胞性筋膜炎；</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Times New Roman" w:eastAsia="Times New Roman"/>
                <w:sz w:val="21"/>
              </w:rPr>
              <w:t>CREST </w:t>
            </w:r>
            <w:r>
              <w:rPr>
                <w:rFonts w:ascii="黑体" w:eastAsia="黑体" w:hint="eastAsia"/>
                <w:sz w:val="21"/>
              </w:rPr>
              <w:t>综合征。</w:t>
            </w:r>
          </w:p>
        </w:tc>
      </w:tr>
      <w:tr>
        <w:trPr>
          <w:trHeight w:val="2505" w:hRule="atLeast"/>
        </w:trPr>
        <w:tc>
          <w:tcPr>
            <w:tcW w:w="693" w:type="dxa"/>
          </w:tcPr>
          <w:p>
            <w:pPr>
              <w:pStyle w:val="TableParagraph"/>
              <w:spacing w:before="81"/>
              <w:ind w:left="181" w:right="209"/>
              <w:jc w:val="center"/>
              <w:rPr>
                <w:rFonts w:ascii="Times New Roman"/>
                <w:b/>
                <w:sz w:val="21"/>
              </w:rPr>
            </w:pPr>
            <w:r>
              <w:rPr>
                <w:rFonts w:ascii="Times New Roman"/>
                <w:b/>
                <w:sz w:val="21"/>
              </w:rPr>
              <w:t>39.</w:t>
            </w:r>
          </w:p>
        </w:tc>
        <w:tc>
          <w:tcPr>
            <w:tcW w:w="1380" w:type="dxa"/>
          </w:tcPr>
          <w:p>
            <w:pPr>
              <w:pStyle w:val="TableParagraph"/>
              <w:spacing w:line="261" w:lineRule="auto" w:before="32"/>
              <w:ind w:left="229" w:right="303"/>
              <w:rPr>
                <w:b/>
                <w:sz w:val="21"/>
              </w:rPr>
            </w:pPr>
            <w:r>
              <w:rPr>
                <w:b/>
                <w:sz w:val="21"/>
              </w:rPr>
              <w:t>肺源性心脏病：</w:t>
            </w:r>
          </w:p>
        </w:tc>
        <w:tc>
          <w:tcPr>
            <w:tcW w:w="7686" w:type="dxa"/>
          </w:tcPr>
          <w:p>
            <w:pPr>
              <w:pStyle w:val="TableParagraph"/>
              <w:spacing w:before="32"/>
              <w:rPr>
                <w:sz w:val="21"/>
              </w:rPr>
            </w:pPr>
            <w:r>
              <w:rPr>
                <w:sz w:val="21"/>
              </w:rPr>
              <w:t>由呼吸专科医生或心内科专科医生确诊为肺源性心脏病。诊断必须基于右心导管</w:t>
            </w:r>
          </w:p>
          <w:p>
            <w:pPr>
              <w:pStyle w:val="TableParagraph"/>
              <w:spacing w:before="25"/>
              <w:rPr>
                <w:sz w:val="21"/>
              </w:rPr>
            </w:pPr>
            <w:r>
              <w:rPr>
                <w:sz w:val="21"/>
              </w:rPr>
              <w:t>（心血管造影）的检查结果，且必须同时满足如下诊断标准：</w:t>
            </w:r>
          </w:p>
          <w:p>
            <w:pPr>
              <w:pStyle w:val="TableParagraph"/>
              <w:spacing w:before="25"/>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9"/>
              <w:ind w:right="206"/>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2605" w:hRule="atLeast"/>
        </w:trPr>
        <w:tc>
          <w:tcPr>
            <w:tcW w:w="693" w:type="dxa"/>
          </w:tcPr>
          <w:p>
            <w:pPr>
              <w:pStyle w:val="TableParagraph"/>
              <w:spacing w:before="90"/>
              <w:ind w:left="181" w:right="209"/>
              <w:jc w:val="center"/>
              <w:rPr>
                <w:rFonts w:ascii="Times New Roman"/>
                <w:b/>
                <w:sz w:val="21"/>
              </w:rPr>
            </w:pPr>
            <w:r>
              <w:rPr>
                <w:rFonts w:ascii="Times New Roman"/>
                <w:b/>
                <w:sz w:val="21"/>
              </w:rPr>
              <w:t>40.</w:t>
            </w:r>
          </w:p>
        </w:tc>
        <w:tc>
          <w:tcPr>
            <w:tcW w:w="1380" w:type="dxa"/>
          </w:tcPr>
          <w:p>
            <w:pPr>
              <w:pStyle w:val="TableParagraph"/>
              <w:spacing w:line="300" w:lineRule="exact" w:before="46"/>
              <w:ind w:left="229" w:right="303"/>
              <w:rPr>
                <w:b/>
                <w:sz w:val="21"/>
              </w:rPr>
            </w:pPr>
            <w:r>
              <w:rPr>
                <w:b/>
                <w:sz w:val="21"/>
              </w:rPr>
              <w:t>肝豆状核变性</w:t>
            </w:r>
            <w:r>
              <w:rPr>
                <w:rFonts w:ascii="Times New Roman" w:eastAsia="Times New Roman"/>
                <w:b/>
                <w:sz w:val="21"/>
              </w:rPr>
              <w:t>(Wilson </w:t>
            </w:r>
            <w:r>
              <w:rPr>
                <w:b/>
                <w:sz w:val="21"/>
              </w:rPr>
              <w:t>病</w:t>
            </w:r>
            <w:r>
              <w:rPr>
                <w:rFonts w:ascii="Times New Roman" w:eastAsia="Times New Roman"/>
                <w:b/>
                <w:sz w:val="21"/>
              </w:rPr>
              <w:t>)  </w:t>
            </w:r>
            <w:r>
              <w:rPr>
                <w:b/>
                <w:sz w:val="21"/>
              </w:rPr>
              <w:t>：</w:t>
            </w:r>
          </w:p>
        </w:tc>
        <w:tc>
          <w:tcPr>
            <w:tcW w:w="7686" w:type="dxa"/>
          </w:tcPr>
          <w:p>
            <w:pPr>
              <w:pStyle w:val="TableParagraph"/>
              <w:spacing w:line="273" w:lineRule="auto" w:before="33"/>
              <w:ind w:right="201"/>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7"/>
              <w:ind w:left="620" w:right="198" w:hanging="526"/>
              <w:rPr>
                <w:sz w:val="21"/>
              </w:rPr>
            </w:pPr>
            <w:r>
              <w:rPr>
                <w:spacing w:val="-5"/>
                <w:sz w:val="21"/>
              </w:rPr>
              <w:t>（</w:t>
            </w:r>
            <w:r>
              <w:rPr>
                <w:rFonts w:ascii="Times New Roman" w:eastAsia="Times New Roman"/>
                <w:spacing w:val="-5"/>
                <w:sz w:val="21"/>
              </w:rPr>
              <w:t>1</w:t>
            </w:r>
            <w:r>
              <w:rPr>
                <w:spacing w:val="-5"/>
                <w:sz w:val="21"/>
              </w:rPr>
              <w:t>）</w:t>
            </w:r>
            <w:r>
              <w:rPr>
                <w:spacing w:val="-8"/>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rPr>
                <w:sz w:val="21"/>
              </w:rPr>
            </w:pPr>
            <w:r>
              <w:rPr>
                <w:sz w:val="21"/>
              </w:rPr>
              <w:t>（</w:t>
            </w:r>
            <w:r>
              <w:rPr>
                <w:rFonts w:ascii="Times New Roman" w:eastAsia="Times New Roman"/>
                <w:sz w:val="21"/>
              </w:rPr>
              <w:t>4</w:t>
            </w:r>
            <w:r>
              <w:rPr>
                <w:sz w:val="21"/>
              </w:rPr>
              <w:t>）食管静脉曲张；</w:t>
            </w:r>
          </w:p>
          <w:p>
            <w:pPr>
              <w:pStyle w:val="TableParagraph"/>
              <w:spacing w:before="28"/>
              <w:rPr>
                <w:sz w:val="21"/>
              </w:rPr>
            </w:pPr>
            <w:r>
              <w:rPr>
                <w:sz w:val="21"/>
              </w:rPr>
              <w:t>（</w:t>
            </w:r>
            <w:r>
              <w:rPr>
                <w:rFonts w:ascii="Times New Roman" w:eastAsia="Times New Roman"/>
                <w:sz w:val="21"/>
              </w:rPr>
              <w:t>5</w:t>
            </w:r>
            <w:r>
              <w:rPr>
                <w:sz w:val="21"/>
              </w:rPr>
              <w:t>）腹水。</w:t>
            </w:r>
          </w:p>
        </w:tc>
      </w:tr>
      <w:tr>
        <w:trPr>
          <w:trHeight w:val="1005" w:hRule="atLeast"/>
        </w:trPr>
        <w:tc>
          <w:tcPr>
            <w:tcW w:w="693" w:type="dxa"/>
          </w:tcPr>
          <w:p>
            <w:pPr>
              <w:pStyle w:val="TableParagraph"/>
              <w:spacing w:before="81"/>
              <w:ind w:left="181" w:right="209"/>
              <w:jc w:val="center"/>
              <w:rPr>
                <w:rFonts w:ascii="Times New Roman"/>
                <w:b/>
                <w:sz w:val="21"/>
              </w:rPr>
            </w:pPr>
            <w:r>
              <w:rPr>
                <w:rFonts w:ascii="Times New Roman"/>
                <w:b/>
                <w:sz w:val="21"/>
              </w:rPr>
              <w:t>41.</w:t>
            </w:r>
          </w:p>
        </w:tc>
        <w:tc>
          <w:tcPr>
            <w:tcW w:w="1380" w:type="dxa"/>
          </w:tcPr>
          <w:p>
            <w:pPr>
              <w:pStyle w:val="TableParagraph"/>
              <w:spacing w:before="32"/>
              <w:ind w:left="229"/>
              <w:rPr>
                <w:b/>
                <w:sz w:val="21"/>
              </w:rPr>
            </w:pPr>
            <w:r>
              <w:rPr>
                <w:b/>
                <w:sz w:val="21"/>
              </w:rPr>
              <w:t>象皮病：</w:t>
            </w:r>
          </w:p>
        </w:tc>
        <w:tc>
          <w:tcPr>
            <w:tcW w:w="7686" w:type="dxa"/>
          </w:tcPr>
          <w:p>
            <w:pPr>
              <w:pStyle w:val="TableParagraph"/>
              <w:spacing w:line="261" w:lineRule="auto" w:before="32"/>
              <w:ind w:right="201"/>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0" w:hRule="atLeast"/>
        </w:trPr>
        <w:tc>
          <w:tcPr>
            <w:tcW w:w="693" w:type="dxa"/>
          </w:tcPr>
          <w:p>
            <w:pPr>
              <w:pStyle w:val="TableParagraph"/>
              <w:spacing w:before="89"/>
              <w:ind w:left="181" w:right="209"/>
              <w:jc w:val="center"/>
              <w:rPr>
                <w:rFonts w:ascii="Times New Roman"/>
                <w:b/>
                <w:sz w:val="21"/>
              </w:rPr>
            </w:pPr>
            <w:r>
              <w:rPr>
                <w:rFonts w:ascii="Times New Roman"/>
                <w:b/>
                <w:sz w:val="21"/>
              </w:rPr>
              <w:t>42.</w:t>
            </w:r>
          </w:p>
        </w:tc>
        <w:tc>
          <w:tcPr>
            <w:tcW w:w="1380" w:type="dxa"/>
          </w:tcPr>
          <w:p>
            <w:pPr>
              <w:pStyle w:val="TableParagraph"/>
              <w:spacing w:line="261" w:lineRule="auto" w:before="40"/>
              <w:ind w:left="229" w:right="303"/>
              <w:jc w:val="both"/>
              <w:rPr>
                <w:b/>
                <w:sz w:val="21"/>
              </w:rPr>
            </w:pPr>
            <w:r>
              <w:rPr>
                <w:b/>
                <w:sz w:val="21"/>
              </w:rPr>
              <w:t>严重自身免疫性肝炎：</w:t>
            </w:r>
          </w:p>
        </w:tc>
        <w:tc>
          <w:tcPr>
            <w:tcW w:w="7686" w:type="dxa"/>
          </w:tcPr>
          <w:p>
            <w:pPr>
              <w:pStyle w:val="TableParagraph"/>
              <w:spacing w:line="261" w:lineRule="auto" w:before="40"/>
              <w:ind w:right="200"/>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5"/>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20" w:right="145"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693" w:type="dxa"/>
          </w:tcPr>
          <w:p>
            <w:pPr>
              <w:pStyle w:val="TableParagraph"/>
              <w:spacing w:before="81"/>
              <w:ind w:left="181" w:right="209"/>
              <w:jc w:val="center"/>
              <w:rPr>
                <w:rFonts w:ascii="Times New Roman"/>
                <w:b/>
                <w:sz w:val="21"/>
              </w:rPr>
            </w:pPr>
            <w:r>
              <w:rPr>
                <w:rFonts w:ascii="Times New Roman"/>
                <w:b/>
                <w:sz w:val="21"/>
              </w:rPr>
              <w:t>43.</w:t>
            </w:r>
          </w:p>
        </w:tc>
        <w:tc>
          <w:tcPr>
            <w:tcW w:w="1380" w:type="dxa"/>
          </w:tcPr>
          <w:p>
            <w:pPr>
              <w:pStyle w:val="TableParagraph"/>
              <w:spacing w:line="261" w:lineRule="auto" w:before="32"/>
              <w:ind w:left="229" w:right="303"/>
              <w:rPr>
                <w:b/>
                <w:sz w:val="21"/>
              </w:rPr>
            </w:pPr>
            <w:r>
              <w:rPr>
                <w:b/>
                <w:sz w:val="21"/>
              </w:rPr>
              <w:t>严重心肌炎：</w:t>
            </w:r>
          </w:p>
        </w:tc>
        <w:tc>
          <w:tcPr>
            <w:tcW w:w="7686" w:type="dxa"/>
          </w:tcPr>
          <w:p>
            <w:pPr>
              <w:pStyle w:val="TableParagraph"/>
              <w:spacing w:line="261" w:lineRule="auto" w:before="32"/>
              <w:ind w:right="201"/>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6" w:hRule="atLeast"/>
        </w:trPr>
        <w:tc>
          <w:tcPr>
            <w:tcW w:w="693" w:type="dxa"/>
          </w:tcPr>
          <w:p>
            <w:pPr>
              <w:pStyle w:val="TableParagraph"/>
              <w:spacing w:before="81"/>
              <w:ind w:left="181" w:right="209"/>
              <w:jc w:val="center"/>
              <w:rPr>
                <w:rFonts w:ascii="Times New Roman"/>
                <w:b/>
                <w:sz w:val="21"/>
              </w:rPr>
            </w:pPr>
            <w:r>
              <w:rPr>
                <w:rFonts w:ascii="Times New Roman"/>
                <w:b/>
                <w:sz w:val="21"/>
              </w:rPr>
              <w:t>44.</w:t>
            </w:r>
          </w:p>
        </w:tc>
        <w:tc>
          <w:tcPr>
            <w:tcW w:w="1380" w:type="dxa"/>
          </w:tcPr>
          <w:p>
            <w:pPr>
              <w:pStyle w:val="TableParagraph"/>
              <w:spacing w:line="261" w:lineRule="auto" w:before="32"/>
              <w:ind w:left="229" w:right="92"/>
              <w:rPr>
                <w:b/>
                <w:sz w:val="21"/>
              </w:rPr>
            </w:pPr>
            <w:r>
              <w:rPr>
                <w:b/>
                <w:sz w:val="21"/>
              </w:rPr>
              <w:t>急性坏死 性胰腺炎：</w:t>
            </w:r>
          </w:p>
        </w:tc>
        <w:tc>
          <w:tcPr>
            <w:tcW w:w="7686" w:type="dxa"/>
          </w:tcPr>
          <w:p>
            <w:pPr>
              <w:pStyle w:val="TableParagraph"/>
              <w:spacing w:line="261" w:lineRule="auto" w:before="32"/>
              <w:ind w:right="201"/>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但因酒精中毒所致的急性坏死性胰腺炎除外。</w:t>
            </w:r>
          </w:p>
        </w:tc>
      </w:tr>
      <w:tr>
        <w:trPr>
          <w:trHeight w:val="1013" w:hRule="atLeast"/>
        </w:trPr>
        <w:tc>
          <w:tcPr>
            <w:tcW w:w="693" w:type="dxa"/>
          </w:tcPr>
          <w:p>
            <w:pPr>
              <w:pStyle w:val="TableParagraph"/>
              <w:spacing w:before="90"/>
              <w:ind w:left="181" w:right="209"/>
              <w:jc w:val="center"/>
              <w:rPr>
                <w:rFonts w:ascii="Times New Roman"/>
                <w:b/>
                <w:sz w:val="21"/>
              </w:rPr>
            </w:pPr>
            <w:r>
              <w:rPr>
                <w:rFonts w:ascii="Times New Roman"/>
                <w:b/>
                <w:sz w:val="21"/>
              </w:rPr>
              <w:t>45.</w:t>
            </w:r>
          </w:p>
        </w:tc>
        <w:tc>
          <w:tcPr>
            <w:tcW w:w="1380" w:type="dxa"/>
          </w:tcPr>
          <w:p>
            <w:pPr>
              <w:pStyle w:val="TableParagraph"/>
              <w:spacing w:line="261" w:lineRule="auto" w:before="41"/>
              <w:ind w:left="229" w:right="303"/>
              <w:rPr>
                <w:b/>
                <w:sz w:val="21"/>
              </w:rPr>
            </w:pPr>
            <w:r>
              <w:rPr>
                <w:b/>
                <w:sz w:val="21"/>
              </w:rPr>
              <w:t>严重克隆病：</w:t>
            </w:r>
          </w:p>
        </w:tc>
        <w:tc>
          <w:tcPr>
            <w:tcW w:w="7686" w:type="dxa"/>
          </w:tcPr>
          <w:p>
            <w:pPr>
              <w:pStyle w:val="TableParagraph"/>
              <w:spacing w:line="261" w:lineRule="auto" w:before="41"/>
              <w:ind w:right="201"/>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931" w:hRule="atLeast"/>
        </w:trPr>
        <w:tc>
          <w:tcPr>
            <w:tcW w:w="693" w:type="dxa"/>
          </w:tcPr>
          <w:p>
            <w:pPr>
              <w:pStyle w:val="TableParagraph"/>
              <w:spacing w:before="89"/>
              <w:ind w:left="181" w:right="209"/>
              <w:jc w:val="center"/>
              <w:rPr>
                <w:rFonts w:ascii="Times New Roman"/>
                <w:b/>
                <w:sz w:val="21"/>
              </w:rPr>
            </w:pPr>
            <w:r>
              <w:rPr>
                <w:rFonts w:ascii="Times New Roman"/>
                <w:b/>
                <w:sz w:val="21"/>
              </w:rPr>
              <w:t>46.</w:t>
            </w:r>
          </w:p>
        </w:tc>
        <w:tc>
          <w:tcPr>
            <w:tcW w:w="1380" w:type="dxa"/>
          </w:tcPr>
          <w:p>
            <w:pPr>
              <w:pStyle w:val="TableParagraph"/>
              <w:spacing w:line="261" w:lineRule="auto" w:before="40"/>
              <w:ind w:left="229" w:right="303"/>
              <w:rPr>
                <w:b/>
                <w:sz w:val="21"/>
              </w:rPr>
            </w:pPr>
            <w:r>
              <w:rPr>
                <w:b/>
                <w:sz w:val="21"/>
              </w:rPr>
              <w:t>严重冠心病：</w:t>
            </w:r>
          </w:p>
        </w:tc>
        <w:tc>
          <w:tcPr>
            <w:tcW w:w="7686" w:type="dxa"/>
          </w:tcPr>
          <w:p>
            <w:pPr>
              <w:pStyle w:val="TableParagraph"/>
              <w:spacing w:line="300" w:lineRule="exact" w:before="45"/>
              <w:ind w:right="198"/>
              <w:jc w:val="both"/>
              <w:rPr>
                <w:rFonts w:ascii="黑体" w:eastAsia="黑体" w:hint="eastAsia"/>
                <w:sz w:val="21"/>
              </w:rPr>
            </w:pPr>
            <w:r>
              <w:rPr>
                <w:spacing w:val="-1"/>
                <w:sz w:val="21"/>
              </w:rPr>
              <w:t>指根据冠状动脉造影检查结果确诊的三支主要血管</w:t>
            </w:r>
            <w:r>
              <w:rPr>
                <w:sz w:val="21"/>
              </w:rPr>
              <w:t>（</w:t>
            </w:r>
            <w:r>
              <w:rPr>
                <w:spacing w:val="-1"/>
                <w:sz w:val="21"/>
              </w:rPr>
              <w:t>左冠状动脉主干和右冠状动</w:t>
            </w:r>
            <w:r>
              <w:rPr>
                <w:spacing w:val="-2"/>
                <w:sz w:val="21"/>
              </w:rPr>
              <w:t>脉，或前降支、左旋支和右冠状动脉</w:t>
            </w:r>
            <w:r>
              <w:rPr>
                <w:sz w:val="21"/>
              </w:rPr>
              <w:t>）</w:t>
            </w:r>
            <w:r>
              <w:rPr>
                <w:spacing w:val="-1"/>
                <w:sz w:val="21"/>
              </w:rPr>
              <w:t>严重狭窄性病变</w:t>
            </w:r>
            <w:r>
              <w:rPr>
                <w:sz w:val="21"/>
              </w:rPr>
              <w:t>（</w:t>
            </w:r>
            <w:r>
              <w:rPr>
                <w:spacing w:val="-1"/>
                <w:sz w:val="21"/>
              </w:rPr>
              <w:t>至少一支血管管腔直径</w:t>
            </w:r>
            <w:r>
              <w:rPr>
                <w:spacing w:val="-13"/>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w:t>
            </w:r>
            <w:r>
              <w:rPr>
                <w:rFonts w:ascii="黑体" w:eastAsia="黑体" w:hint="eastAsia"/>
                <w:spacing w:val="-3"/>
                <w:sz w:val="21"/>
              </w:rPr>
              <w:t>前降支、左旋支及右冠</w:t>
            </w:r>
          </w:p>
        </w:tc>
      </w:tr>
    </w:tbl>
    <w:p>
      <w:pPr>
        <w:spacing w:after="0" w:line="300" w:lineRule="exact"/>
        <w:jc w:val="both"/>
        <w:rPr>
          <w:rFonts w:ascii="黑体" w:eastAsia="黑体" w:hint="eastAsia"/>
          <w:sz w:val="21"/>
        </w:rPr>
        <w:sectPr>
          <w:pgSz w:w="11910" w:h="16840"/>
          <w:pgMar w:top="1480" w:bottom="280" w:left="108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688"/>
      </w:tblGrid>
      <w:tr>
        <w:trPr>
          <w:trHeight w:val="308" w:hRule="atLeast"/>
        </w:trPr>
        <w:tc>
          <w:tcPr>
            <w:tcW w:w="693"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688" w:type="dxa"/>
          </w:tcPr>
          <w:p>
            <w:pPr>
              <w:pStyle w:val="TableParagraph"/>
              <w:spacing w:line="211" w:lineRule="exact"/>
              <w:rPr>
                <w:rFonts w:ascii="黑体" w:eastAsia="黑体" w:hint="eastAsia"/>
                <w:sz w:val="21"/>
              </w:rPr>
            </w:pPr>
            <w:r>
              <w:rPr>
                <w:rFonts w:ascii="黑体" w:eastAsia="黑体" w:hint="eastAsia"/>
                <w:sz w:val="21"/>
              </w:rPr>
              <w:t>状动脉的分支血管的狭窄不作为本保障的衡量指标。</w:t>
            </w:r>
          </w:p>
        </w:tc>
      </w:tr>
      <w:tr>
        <w:trPr>
          <w:trHeight w:val="2512" w:hRule="atLeast"/>
        </w:trPr>
        <w:tc>
          <w:tcPr>
            <w:tcW w:w="693" w:type="dxa"/>
          </w:tcPr>
          <w:p>
            <w:pPr>
              <w:pStyle w:val="TableParagraph"/>
              <w:spacing w:before="89"/>
              <w:ind w:left="181" w:right="209"/>
              <w:jc w:val="center"/>
              <w:rPr>
                <w:rFonts w:ascii="Times New Roman"/>
                <w:b/>
                <w:sz w:val="21"/>
              </w:rPr>
            </w:pPr>
            <w:r>
              <w:rPr>
                <w:rFonts w:ascii="Times New Roman"/>
                <w:b/>
                <w:sz w:val="21"/>
              </w:rPr>
              <w:t>47.</w:t>
            </w:r>
          </w:p>
        </w:tc>
        <w:tc>
          <w:tcPr>
            <w:tcW w:w="1380" w:type="dxa"/>
          </w:tcPr>
          <w:p>
            <w:pPr>
              <w:pStyle w:val="TableParagraph"/>
              <w:spacing w:line="261" w:lineRule="auto" w:before="40"/>
              <w:ind w:left="229" w:right="198"/>
              <w:rPr>
                <w:b/>
                <w:sz w:val="21"/>
              </w:rPr>
            </w:pPr>
            <w:r>
              <w:rPr>
                <w:b/>
                <w:sz w:val="21"/>
              </w:rPr>
              <w:t>艾迪森氏病(慢性肾上腺皮质功能衰  </w:t>
            </w:r>
            <w:r>
              <w:rPr>
                <w:b/>
                <w:spacing w:val="-1"/>
                <w:sz w:val="21"/>
              </w:rPr>
              <w:t>竭) ：</w:t>
            </w:r>
          </w:p>
        </w:tc>
        <w:tc>
          <w:tcPr>
            <w:tcW w:w="7688" w:type="dxa"/>
          </w:tcPr>
          <w:p>
            <w:pPr>
              <w:pStyle w:val="TableParagraph"/>
              <w:spacing w:line="261" w:lineRule="auto" w:before="40"/>
              <w:ind w:right="203"/>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5"/>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jc w:val="both"/>
              <w:rPr>
                <w:sz w:val="21"/>
              </w:rPr>
            </w:pPr>
            <w:r>
              <w:rPr>
                <w:sz w:val="21"/>
              </w:rPr>
              <w:t>（</w:t>
            </w:r>
            <w:r>
              <w:rPr>
                <w:rFonts w:ascii="Times New Roman" w:eastAsia="Times New Roman"/>
                <w:sz w:val="21"/>
              </w:rPr>
              <w:t>2</w:t>
            </w:r>
            <w:r>
              <w:rPr>
                <w:sz w:val="21"/>
              </w:rPr>
              <w:t>）胰岛素血糖减少测试；</w:t>
            </w:r>
          </w:p>
          <w:p>
            <w:pPr>
              <w:pStyle w:val="TableParagraph"/>
              <w:spacing w:before="8"/>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jc w:val="both"/>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693" w:type="dxa"/>
          </w:tcPr>
          <w:p>
            <w:pPr>
              <w:pStyle w:val="TableParagraph"/>
              <w:spacing w:before="89"/>
              <w:ind w:left="181" w:right="209"/>
              <w:jc w:val="center"/>
              <w:rPr>
                <w:rFonts w:ascii="Times New Roman"/>
                <w:b/>
                <w:sz w:val="21"/>
              </w:rPr>
            </w:pPr>
            <w:r>
              <w:rPr>
                <w:rFonts w:ascii="Times New Roman"/>
                <w:b/>
                <w:sz w:val="21"/>
              </w:rPr>
              <w:t>48.</w:t>
            </w:r>
          </w:p>
        </w:tc>
        <w:tc>
          <w:tcPr>
            <w:tcW w:w="1380" w:type="dxa"/>
          </w:tcPr>
          <w:p>
            <w:pPr>
              <w:pStyle w:val="TableParagraph"/>
              <w:spacing w:line="261" w:lineRule="auto" w:before="40"/>
              <w:ind w:left="229" w:right="303"/>
              <w:rPr>
                <w:b/>
                <w:sz w:val="21"/>
              </w:rPr>
            </w:pPr>
            <w:r>
              <w:rPr>
                <w:b/>
                <w:sz w:val="21"/>
              </w:rPr>
              <w:t>埃博拉病毒感染：</w:t>
            </w:r>
          </w:p>
        </w:tc>
        <w:tc>
          <w:tcPr>
            <w:tcW w:w="7688" w:type="dxa"/>
          </w:tcPr>
          <w:p>
            <w:pPr>
              <w:pStyle w:val="TableParagraph"/>
              <w:spacing w:line="254" w:lineRule="auto" w:before="40"/>
              <w:ind w:right="203"/>
              <w:jc w:val="both"/>
              <w:rPr>
                <w:sz w:val="21"/>
              </w:rPr>
            </w:pPr>
            <w:r>
              <w:rPr>
                <w:spacing w:val="-3"/>
                <w:sz w:val="21"/>
              </w:rPr>
              <w:t>受埃博拉病毒感染导致出血性发热。埃博拉病必须经传染病专科医生确诊，并且</w:t>
            </w:r>
            <w:r>
              <w:rPr>
                <w:spacing w:val="-8"/>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2213" w:hRule="atLeast"/>
        </w:trPr>
        <w:tc>
          <w:tcPr>
            <w:tcW w:w="693" w:type="dxa"/>
          </w:tcPr>
          <w:p>
            <w:pPr>
              <w:pStyle w:val="TableParagraph"/>
              <w:spacing w:before="89"/>
              <w:ind w:left="181" w:right="209"/>
              <w:jc w:val="center"/>
              <w:rPr>
                <w:rFonts w:ascii="Times New Roman"/>
                <w:b/>
                <w:sz w:val="21"/>
              </w:rPr>
            </w:pPr>
            <w:r>
              <w:rPr>
                <w:rFonts w:ascii="Times New Roman"/>
                <w:b/>
                <w:sz w:val="21"/>
              </w:rPr>
              <w:t>49.</w:t>
            </w:r>
          </w:p>
        </w:tc>
        <w:tc>
          <w:tcPr>
            <w:tcW w:w="1380" w:type="dxa"/>
          </w:tcPr>
          <w:p>
            <w:pPr>
              <w:pStyle w:val="TableParagraph"/>
              <w:spacing w:line="261" w:lineRule="auto" w:before="40"/>
              <w:ind w:left="229" w:right="303"/>
              <w:jc w:val="both"/>
              <w:rPr>
                <w:b/>
                <w:sz w:val="21"/>
              </w:rPr>
            </w:pPr>
            <w:r>
              <w:rPr>
                <w:b/>
                <w:sz w:val="21"/>
              </w:rPr>
              <w:t>原发性硬化性胆管炎：</w:t>
            </w:r>
          </w:p>
        </w:tc>
        <w:tc>
          <w:tcPr>
            <w:tcW w:w="7688" w:type="dxa"/>
          </w:tcPr>
          <w:p>
            <w:pPr>
              <w:pStyle w:val="TableParagraph"/>
              <w:spacing w:line="261" w:lineRule="auto" w:before="40"/>
              <w:ind w:right="203"/>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3" w:type="dxa"/>
          </w:tcPr>
          <w:p>
            <w:pPr>
              <w:pStyle w:val="TableParagraph"/>
              <w:spacing w:before="89"/>
              <w:ind w:left="181" w:right="209"/>
              <w:jc w:val="center"/>
              <w:rPr>
                <w:rFonts w:ascii="Times New Roman"/>
                <w:b/>
                <w:sz w:val="21"/>
              </w:rPr>
            </w:pPr>
            <w:r>
              <w:rPr>
                <w:rFonts w:ascii="Times New Roman"/>
                <w:b/>
                <w:sz w:val="21"/>
              </w:rPr>
              <w:t>50.</w:t>
            </w:r>
          </w:p>
        </w:tc>
        <w:tc>
          <w:tcPr>
            <w:tcW w:w="1380" w:type="dxa"/>
          </w:tcPr>
          <w:p>
            <w:pPr>
              <w:pStyle w:val="TableParagraph"/>
              <w:spacing w:before="40"/>
              <w:ind w:left="229"/>
              <w:rPr>
                <w:b/>
                <w:sz w:val="21"/>
              </w:rPr>
            </w:pPr>
            <w:r>
              <w:rPr>
                <w:b/>
                <w:sz w:val="21"/>
              </w:rPr>
              <w:t>疯牛病：</w:t>
            </w:r>
          </w:p>
        </w:tc>
        <w:tc>
          <w:tcPr>
            <w:tcW w:w="7688" w:type="dxa"/>
          </w:tcPr>
          <w:p>
            <w:pPr>
              <w:pStyle w:val="TableParagraph"/>
              <w:spacing w:before="40"/>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203"/>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4" w:hRule="atLeast"/>
        </w:trPr>
        <w:tc>
          <w:tcPr>
            <w:tcW w:w="693" w:type="dxa"/>
          </w:tcPr>
          <w:p>
            <w:pPr>
              <w:pStyle w:val="TableParagraph"/>
              <w:spacing w:before="81"/>
              <w:ind w:left="181" w:right="209"/>
              <w:jc w:val="center"/>
              <w:rPr>
                <w:rFonts w:ascii="Times New Roman"/>
                <w:b/>
                <w:sz w:val="21"/>
              </w:rPr>
            </w:pPr>
            <w:r>
              <w:rPr>
                <w:rFonts w:ascii="Times New Roman"/>
                <w:b/>
                <w:sz w:val="21"/>
              </w:rPr>
              <w:t>51.</w:t>
            </w:r>
          </w:p>
        </w:tc>
        <w:tc>
          <w:tcPr>
            <w:tcW w:w="1380" w:type="dxa"/>
          </w:tcPr>
          <w:p>
            <w:pPr>
              <w:pStyle w:val="TableParagraph"/>
              <w:spacing w:line="261" w:lineRule="auto" w:before="32"/>
              <w:ind w:left="229" w:right="92"/>
              <w:rPr>
                <w:b/>
                <w:sz w:val="21"/>
              </w:rPr>
            </w:pPr>
            <w:r>
              <w:rPr>
                <w:b/>
                <w:sz w:val="21"/>
              </w:rPr>
              <w:t>严重溃疡 性结肠炎：</w:t>
            </w:r>
          </w:p>
        </w:tc>
        <w:tc>
          <w:tcPr>
            <w:tcW w:w="7688" w:type="dxa"/>
          </w:tcPr>
          <w:p>
            <w:pPr>
              <w:pStyle w:val="TableParagraph"/>
              <w:spacing w:line="261" w:lineRule="auto" w:before="32"/>
              <w:ind w:right="203"/>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4" w:hRule="atLeast"/>
        </w:trPr>
        <w:tc>
          <w:tcPr>
            <w:tcW w:w="693" w:type="dxa"/>
          </w:tcPr>
          <w:p>
            <w:pPr>
              <w:pStyle w:val="TableParagraph"/>
              <w:spacing w:before="89"/>
              <w:ind w:left="181" w:right="209"/>
              <w:jc w:val="center"/>
              <w:rPr>
                <w:rFonts w:ascii="Times New Roman"/>
                <w:b/>
                <w:sz w:val="21"/>
              </w:rPr>
            </w:pPr>
            <w:r>
              <w:rPr>
                <w:rFonts w:ascii="Times New Roman"/>
                <w:b/>
                <w:sz w:val="21"/>
              </w:rPr>
              <w:t>52.</w:t>
            </w:r>
          </w:p>
        </w:tc>
        <w:tc>
          <w:tcPr>
            <w:tcW w:w="1380" w:type="dxa"/>
          </w:tcPr>
          <w:p>
            <w:pPr>
              <w:pStyle w:val="TableParagraph"/>
              <w:spacing w:line="261" w:lineRule="auto" w:before="40"/>
              <w:ind w:left="229" w:right="303"/>
              <w:jc w:val="both"/>
              <w:rPr>
                <w:b/>
                <w:sz w:val="21"/>
              </w:rPr>
            </w:pPr>
            <w:r>
              <w:rPr>
                <w:b/>
                <w:sz w:val="21"/>
              </w:rPr>
              <w:t>严重类风湿性关节炎：</w:t>
            </w:r>
          </w:p>
        </w:tc>
        <w:tc>
          <w:tcPr>
            <w:tcW w:w="7688" w:type="dxa"/>
          </w:tcPr>
          <w:p>
            <w:pPr>
              <w:pStyle w:val="TableParagraph"/>
              <w:spacing w:before="40"/>
              <w:rPr>
                <w:sz w:val="21"/>
              </w:rPr>
            </w:pPr>
            <w:r>
              <w:rPr>
                <w:sz w:val="21"/>
              </w:rPr>
              <w:t>指类风湿性关节炎患者符合以下三项标准的：</w:t>
            </w:r>
          </w:p>
          <w:p>
            <w:pPr>
              <w:pStyle w:val="TableParagraph"/>
              <w:spacing w:line="247" w:lineRule="auto" w:before="25"/>
              <w:ind w:left="620" w:right="205"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9"/>
              <w:ind w:left="620" w:right="197"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203"/>
              <w:rPr>
                <w:sz w:val="21"/>
              </w:rPr>
            </w:pPr>
            <w:r>
              <w:rPr>
                <w:sz w:val="21"/>
              </w:rPr>
              <w:t>类风湿性关节炎系指以关节滑膜炎为特征的慢性全身性自身免疫性疾病，诊断必须符合国际认可的该疾病的诊断标准。</w:t>
            </w:r>
          </w:p>
          <w:p>
            <w:pPr>
              <w:pStyle w:val="TableParagraph"/>
              <w:spacing w:before="6"/>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216" w:hRule="atLeast"/>
        </w:trPr>
        <w:tc>
          <w:tcPr>
            <w:tcW w:w="693" w:type="dxa"/>
          </w:tcPr>
          <w:p>
            <w:pPr>
              <w:pStyle w:val="TableParagraph"/>
              <w:spacing w:before="90"/>
              <w:ind w:left="181" w:right="209"/>
              <w:jc w:val="center"/>
              <w:rPr>
                <w:rFonts w:ascii="Times New Roman"/>
                <w:b/>
                <w:sz w:val="21"/>
              </w:rPr>
            </w:pPr>
            <w:r>
              <w:rPr>
                <w:rFonts w:ascii="Times New Roman"/>
                <w:b/>
                <w:sz w:val="21"/>
              </w:rPr>
              <w:t>53.</w:t>
            </w:r>
          </w:p>
        </w:tc>
        <w:tc>
          <w:tcPr>
            <w:tcW w:w="1380" w:type="dxa"/>
          </w:tcPr>
          <w:p>
            <w:pPr>
              <w:pStyle w:val="TableParagraph"/>
              <w:spacing w:line="300" w:lineRule="atLeast" w:before="16"/>
              <w:ind w:left="229" w:right="303"/>
              <w:jc w:val="both"/>
              <w:rPr>
                <w:b/>
                <w:sz w:val="21"/>
              </w:rPr>
            </w:pPr>
            <w:r>
              <w:rPr>
                <w:b/>
                <w:sz w:val="21"/>
              </w:rPr>
              <w:t>非阿尔茨海默病所致严重痴呆：</w:t>
            </w:r>
          </w:p>
        </w:tc>
        <w:tc>
          <w:tcPr>
            <w:tcW w:w="7688" w:type="dxa"/>
          </w:tcPr>
          <w:p>
            <w:pPr>
              <w:pStyle w:val="TableParagraph"/>
              <w:spacing w:line="300" w:lineRule="atLeast" w:before="16"/>
              <w:ind w:right="203"/>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w:t>
            </w:r>
          </w:p>
        </w:tc>
      </w:tr>
    </w:tbl>
    <w:p>
      <w:pPr>
        <w:spacing w:after="0" w:line="300" w:lineRule="atLeast"/>
        <w:jc w:val="both"/>
        <w:rPr>
          <w:sz w:val="21"/>
        </w:rPr>
        <w:sectPr>
          <w:pgSz w:w="11910" w:h="16840"/>
          <w:pgMar w:top="1480" w:bottom="280" w:left="108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92"/>
      </w:tblGrid>
      <w:tr>
        <w:trPr>
          <w:trHeight w:val="609" w:hRule="atLeast"/>
        </w:trPr>
        <w:tc>
          <w:tcPr>
            <w:tcW w:w="693"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92" w:type="dxa"/>
          </w:tcPr>
          <w:p>
            <w:pPr>
              <w:pStyle w:val="TableParagraph"/>
              <w:spacing w:line="211" w:lineRule="exact"/>
              <w:rPr>
                <w:rFonts w:ascii="黑体" w:eastAsia="黑体" w:hint="eastAsia"/>
                <w:sz w:val="21"/>
              </w:rPr>
            </w:pPr>
            <w:r>
              <w:rPr>
                <w:sz w:val="21"/>
              </w:rPr>
              <w:t>整的临床、实验室和影像学检查结果证实。</w:t>
            </w:r>
            <w:r>
              <w:rPr>
                <w:rFonts w:ascii="黑体" w:eastAsia="黑体" w:hint="eastAsia"/>
                <w:sz w:val="21"/>
              </w:rPr>
              <w:t>神经官能症和精神疾病不在保障范围</w:t>
            </w:r>
          </w:p>
          <w:p>
            <w:pPr>
              <w:pStyle w:val="TableParagraph"/>
              <w:spacing w:before="25"/>
              <w:rPr>
                <w:rFonts w:ascii="黑体" w:eastAsia="黑体" w:hint="eastAsia"/>
                <w:sz w:val="21"/>
              </w:rPr>
            </w:pPr>
            <w:r>
              <w:rPr>
                <w:rFonts w:ascii="黑体" w:eastAsia="黑体" w:hint="eastAsia"/>
                <w:sz w:val="21"/>
              </w:rPr>
              <w:t>内。</w:t>
            </w:r>
          </w:p>
        </w:tc>
      </w:tr>
      <w:tr>
        <w:trPr>
          <w:trHeight w:val="1612" w:hRule="atLeast"/>
        </w:trPr>
        <w:tc>
          <w:tcPr>
            <w:tcW w:w="693" w:type="dxa"/>
          </w:tcPr>
          <w:p>
            <w:pPr>
              <w:pStyle w:val="TableParagraph"/>
              <w:spacing w:before="89"/>
              <w:ind w:left="181" w:right="209"/>
              <w:jc w:val="center"/>
              <w:rPr>
                <w:rFonts w:ascii="Times New Roman"/>
                <w:b/>
                <w:sz w:val="21"/>
              </w:rPr>
            </w:pPr>
            <w:r>
              <w:rPr>
                <w:rFonts w:ascii="Times New Roman"/>
                <w:b/>
                <w:sz w:val="21"/>
              </w:rPr>
              <w:t>54.</w:t>
            </w:r>
          </w:p>
        </w:tc>
        <w:tc>
          <w:tcPr>
            <w:tcW w:w="1380" w:type="dxa"/>
          </w:tcPr>
          <w:p>
            <w:pPr>
              <w:pStyle w:val="TableParagraph"/>
              <w:spacing w:line="261" w:lineRule="auto" w:before="40"/>
              <w:ind w:left="229" w:right="303"/>
              <w:rPr>
                <w:b/>
                <w:sz w:val="21"/>
              </w:rPr>
            </w:pPr>
            <w:r>
              <w:rPr>
                <w:b/>
                <w:sz w:val="21"/>
              </w:rPr>
              <w:t>坏死性筋膜炎：</w:t>
            </w:r>
          </w:p>
        </w:tc>
        <w:tc>
          <w:tcPr>
            <w:tcW w:w="7792"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20" w:right="234" w:hanging="52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w:t>
            </w:r>
          </w:p>
        </w:tc>
      </w:tr>
      <w:tr>
        <w:trPr>
          <w:trHeight w:val="1913" w:hRule="atLeast"/>
        </w:trPr>
        <w:tc>
          <w:tcPr>
            <w:tcW w:w="693" w:type="dxa"/>
          </w:tcPr>
          <w:p>
            <w:pPr>
              <w:pStyle w:val="TableParagraph"/>
              <w:spacing w:before="89"/>
              <w:ind w:left="181" w:right="209"/>
              <w:jc w:val="center"/>
              <w:rPr>
                <w:rFonts w:ascii="Times New Roman"/>
                <w:b/>
                <w:sz w:val="21"/>
              </w:rPr>
            </w:pPr>
            <w:r>
              <w:rPr>
                <w:rFonts w:ascii="Times New Roman"/>
                <w:b/>
                <w:sz w:val="21"/>
              </w:rPr>
              <w:t>55.</w:t>
            </w:r>
          </w:p>
        </w:tc>
        <w:tc>
          <w:tcPr>
            <w:tcW w:w="1380" w:type="dxa"/>
          </w:tcPr>
          <w:p>
            <w:pPr>
              <w:pStyle w:val="TableParagraph"/>
              <w:spacing w:line="261" w:lineRule="auto" w:before="40"/>
              <w:ind w:left="229" w:right="303"/>
              <w:jc w:val="both"/>
              <w:rPr>
                <w:b/>
                <w:sz w:val="21"/>
              </w:rPr>
            </w:pPr>
            <w:r>
              <w:rPr>
                <w:b/>
                <w:sz w:val="21"/>
              </w:rPr>
              <w:t>严重慢性复发性胰腺炎：</w:t>
            </w:r>
          </w:p>
        </w:tc>
        <w:tc>
          <w:tcPr>
            <w:tcW w:w="7792" w:type="dxa"/>
          </w:tcPr>
          <w:p>
            <w:pPr>
              <w:pStyle w:val="TableParagraph"/>
              <w:spacing w:line="261" w:lineRule="auto" w:before="40"/>
              <w:ind w:right="127"/>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6"/>
              <w:ind w:left="620" w:right="231"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9"/>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rPr>
                <w:rFonts w:ascii="黑体" w:eastAsia="黑体" w:hint="eastAsia"/>
                <w:sz w:val="21"/>
              </w:rPr>
            </w:pPr>
            <w:r>
              <w:rPr>
                <w:rFonts w:ascii="黑体" w:eastAsia="黑体" w:hint="eastAsia"/>
                <w:sz w:val="21"/>
              </w:rPr>
              <w:t>酒精导致的慢性复发性胰腺炎不在保障范围内。</w:t>
            </w:r>
          </w:p>
        </w:tc>
      </w:tr>
      <w:tr>
        <w:trPr>
          <w:trHeight w:val="2213" w:hRule="atLeast"/>
        </w:trPr>
        <w:tc>
          <w:tcPr>
            <w:tcW w:w="693" w:type="dxa"/>
          </w:tcPr>
          <w:p>
            <w:pPr>
              <w:pStyle w:val="TableParagraph"/>
              <w:spacing w:before="90"/>
              <w:ind w:left="181" w:right="209"/>
              <w:jc w:val="center"/>
              <w:rPr>
                <w:rFonts w:ascii="Times New Roman"/>
                <w:b/>
                <w:sz w:val="21"/>
              </w:rPr>
            </w:pPr>
            <w:r>
              <w:rPr>
                <w:rFonts w:ascii="Times New Roman"/>
                <w:b/>
                <w:sz w:val="21"/>
              </w:rPr>
              <w:t>56.</w:t>
            </w:r>
          </w:p>
        </w:tc>
        <w:tc>
          <w:tcPr>
            <w:tcW w:w="1380" w:type="dxa"/>
          </w:tcPr>
          <w:p>
            <w:pPr>
              <w:pStyle w:val="TableParagraph"/>
              <w:spacing w:line="261" w:lineRule="auto" w:before="40"/>
              <w:ind w:left="229" w:right="116"/>
              <w:rPr>
                <w:b/>
                <w:sz w:val="21"/>
              </w:rPr>
            </w:pPr>
            <w:r>
              <w:rPr>
                <w:b/>
                <w:sz w:val="21"/>
              </w:rPr>
              <w:t>胰岛素依赖型糖尿 </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92" w:type="dxa"/>
          </w:tcPr>
          <w:p>
            <w:pPr>
              <w:pStyle w:val="TableParagraph"/>
              <w:spacing w:before="40"/>
              <w:rPr>
                <w:sz w:val="21"/>
              </w:rPr>
            </w:pPr>
            <w:r>
              <w:rPr>
                <w:sz w:val="21"/>
              </w:rPr>
              <w:t>经内分泌专科医生明确诊断为Ｉ型糖尿病，且须同时满足下列条件：</w:t>
            </w:r>
          </w:p>
          <w:p>
            <w:pPr>
              <w:pStyle w:val="TableParagraph"/>
              <w:spacing w:before="24"/>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8"/>
              <w:rPr>
                <w:sz w:val="21"/>
              </w:rPr>
            </w:pPr>
            <w:r>
              <w:rPr>
                <w:sz w:val="21"/>
              </w:rPr>
              <w:t>（</w:t>
            </w:r>
            <w:r>
              <w:rPr>
                <w:rFonts w:ascii="Times New Roman" w:eastAsia="Times New Roman"/>
                <w:sz w:val="21"/>
              </w:rPr>
              <w:t>3</w:t>
            </w:r>
            <w:r>
              <w:rPr>
                <w:sz w:val="21"/>
              </w:rPr>
              <w:t>）出现下述三种并发症一种或一种以上：</w:t>
            </w:r>
          </w:p>
          <w:p>
            <w:pPr>
              <w:pStyle w:val="TableParagraph"/>
              <w:spacing w:before="8"/>
              <w:ind w:left="514"/>
              <w:rPr>
                <w:sz w:val="21"/>
              </w:rPr>
            </w:pPr>
            <w:r>
              <w:rPr>
                <w:sz w:val="21"/>
              </w:rPr>
              <w:t>① 并发增殖性视网膜病变；</w:t>
            </w:r>
          </w:p>
          <w:p>
            <w:pPr>
              <w:pStyle w:val="TableParagraph"/>
              <w:spacing w:before="24"/>
              <w:ind w:left="514"/>
              <w:rPr>
                <w:sz w:val="21"/>
              </w:rPr>
            </w:pPr>
            <w:r>
              <w:rPr>
                <w:sz w:val="21"/>
              </w:rPr>
              <w:t>② 并发心脏病变，并须植入心脏起搏器进行治疗；</w:t>
            </w:r>
          </w:p>
          <w:p>
            <w:pPr>
              <w:pStyle w:val="TableParagraph"/>
              <w:spacing w:before="24"/>
              <w:ind w:left="514"/>
              <w:rPr>
                <w:sz w:val="21"/>
              </w:rPr>
            </w:pPr>
            <w:r>
              <w:rPr>
                <w:sz w:val="21"/>
              </w:rPr>
              <w:t>③ 至少一个脚趾发生坏疽并已达到手术切除指征。</w:t>
            </w:r>
          </w:p>
        </w:tc>
      </w:tr>
      <w:tr>
        <w:trPr>
          <w:trHeight w:val="1921" w:hRule="atLeast"/>
        </w:trPr>
        <w:tc>
          <w:tcPr>
            <w:tcW w:w="693" w:type="dxa"/>
          </w:tcPr>
          <w:p>
            <w:pPr>
              <w:pStyle w:val="TableParagraph"/>
              <w:spacing w:before="89"/>
              <w:ind w:left="181" w:right="209"/>
              <w:jc w:val="center"/>
              <w:rPr>
                <w:rFonts w:ascii="Times New Roman"/>
                <w:b/>
                <w:sz w:val="21"/>
              </w:rPr>
            </w:pPr>
            <w:r>
              <w:rPr>
                <w:rFonts w:ascii="Times New Roman"/>
                <w:b/>
                <w:sz w:val="21"/>
              </w:rPr>
              <w:t>57.</w:t>
            </w:r>
          </w:p>
        </w:tc>
        <w:tc>
          <w:tcPr>
            <w:tcW w:w="1380" w:type="dxa"/>
          </w:tcPr>
          <w:p>
            <w:pPr>
              <w:pStyle w:val="TableParagraph"/>
              <w:spacing w:before="40"/>
              <w:ind w:left="229"/>
              <w:rPr>
                <w:b/>
                <w:sz w:val="21"/>
              </w:rPr>
            </w:pPr>
            <w:r>
              <w:rPr>
                <w:b/>
                <w:sz w:val="21"/>
              </w:rPr>
              <w:t>严重哮喘：</w:t>
            </w:r>
          </w:p>
        </w:tc>
        <w:tc>
          <w:tcPr>
            <w:tcW w:w="7792" w:type="dxa"/>
          </w:tcPr>
          <w:p>
            <w:pPr>
              <w:pStyle w:val="TableParagraph"/>
              <w:spacing w:before="40"/>
              <w:rPr>
                <w:sz w:val="21"/>
              </w:rPr>
            </w:pPr>
            <w:r>
              <w:rPr>
                <w:sz w:val="21"/>
              </w:rPr>
              <w:t>严重哮喘必须明确诊断，并且满足下列标准中的三项或三项以上：</w:t>
            </w:r>
          </w:p>
          <w:p>
            <w:pPr>
              <w:pStyle w:val="TableParagraph"/>
              <w:spacing w:before="25"/>
              <w:rPr>
                <w:sz w:val="21"/>
              </w:rPr>
            </w:pPr>
            <w:r>
              <w:rPr>
                <w:sz w:val="21"/>
              </w:rPr>
              <w:t>（</w:t>
            </w:r>
            <w:r>
              <w:rPr>
                <w:rFonts w:ascii="Times New Roman" w:eastAsia="Times New Roman"/>
                <w:sz w:val="21"/>
              </w:rPr>
              <w:t>1</w:t>
            </w:r>
            <w:r>
              <w:rPr>
                <w:sz w:val="21"/>
              </w:rPr>
              <w:t>）过去两年中有哮喘持续状态病史；</w:t>
            </w:r>
          </w:p>
          <w:p>
            <w:pPr>
              <w:pStyle w:val="TableParagraph"/>
              <w:spacing w:before="9"/>
              <w:rPr>
                <w:sz w:val="21"/>
              </w:rPr>
            </w:pPr>
            <w:r>
              <w:rPr>
                <w:sz w:val="21"/>
              </w:rPr>
              <w:t>（</w:t>
            </w:r>
            <w:r>
              <w:rPr>
                <w:rFonts w:ascii="Times New Roman" w:eastAsia="Times New Roman"/>
                <w:sz w:val="21"/>
              </w:rPr>
              <w:t>2</w:t>
            </w:r>
            <w:r>
              <w:rPr>
                <w:sz w:val="21"/>
              </w:rPr>
              <w:t>）身体活动耐受能力显著且持续下降；</w:t>
            </w:r>
          </w:p>
          <w:p>
            <w:pPr>
              <w:pStyle w:val="TableParagraph"/>
              <w:spacing w:line="247" w:lineRule="auto" w:before="9"/>
              <w:ind w:left="620" w:right="198" w:hanging="526"/>
              <w:rPr>
                <w:sz w:val="21"/>
              </w:rPr>
            </w:pPr>
            <w:r>
              <w:rPr>
                <w:spacing w:val="-20"/>
                <w:sz w:val="21"/>
              </w:rPr>
              <w:t>（</w:t>
            </w:r>
            <w:r>
              <w:rPr>
                <w:rFonts w:ascii="Times New Roman" w:eastAsia="Times New Roman"/>
                <w:spacing w:val="-20"/>
                <w:sz w:val="21"/>
              </w:rPr>
              <w:t>3</w:t>
            </w:r>
            <w:r>
              <w:rPr>
                <w:spacing w:val="-20"/>
                <w:sz w:val="21"/>
              </w:rPr>
              <w:t>）</w:t>
            </w:r>
            <w:r>
              <w:rPr>
                <w:spacing w:val="-7"/>
                <w:sz w:val="21"/>
              </w:rPr>
              <w:t>慢性肺部过度膨涨充气导致的胸廓畸形</w:t>
            </w:r>
            <w:r>
              <w:rPr>
                <w:sz w:val="21"/>
              </w:rPr>
              <w:t>（</w:t>
            </w:r>
            <w:r>
              <w:rPr>
                <w:spacing w:val="-9"/>
                <w:sz w:val="21"/>
              </w:rPr>
              <w:t>桶状胸，</w:t>
            </w:r>
            <w:r>
              <w:rPr>
                <w:rFonts w:ascii="Times New Roman" w:eastAsia="Times New Roman"/>
                <w:spacing w:val="-29"/>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3"/>
              <w:rPr>
                <w:sz w:val="21"/>
              </w:rPr>
            </w:pPr>
            <w:r>
              <w:rPr>
                <w:sz w:val="21"/>
              </w:rPr>
              <w:t>（</w:t>
            </w:r>
            <w:r>
              <w:rPr>
                <w:rFonts w:ascii="Times New Roman" w:eastAsia="Times New Roman"/>
                <w:sz w:val="21"/>
              </w:rPr>
              <w:t>4</w:t>
            </w:r>
            <w:r>
              <w:rPr>
                <w:sz w:val="21"/>
              </w:rPr>
              <w:t>）持续每日口服皮质类固醇激素，至少持续服用六个月以上。</w:t>
            </w:r>
          </w:p>
        </w:tc>
      </w:tr>
      <w:tr>
        <w:trPr>
          <w:trHeight w:val="1004" w:hRule="atLeast"/>
        </w:trPr>
        <w:tc>
          <w:tcPr>
            <w:tcW w:w="693" w:type="dxa"/>
          </w:tcPr>
          <w:p>
            <w:pPr>
              <w:pStyle w:val="TableParagraph"/>
              <w:spacing w:before="81"/>
              <w:ind w:left="181" w:right="209"/>
              <w:jc w:val="center"/>
              <w:rPr>
                <w:rFonts w:ascii="Times New Roman"/>
                <w:b/>
                <w:sz w:val="21"/>
              </w:rPr>
            </w:pPr>
            <w:r>
              <w:rPr>
                <w:rFonts w:ascii="Times New Roman"/>
                <w:b/>
                <w:sz w:val="21"/>
              </w:rPr>
              <w:t>58.</w:t>
            </w:r>
          </w:p>
        </w:tc>
        <w:tc>
          <w:tcPr>
            <w:tcW w:w="1380" w:type="dxa"/>
          </w:tcPr>
          <w:p>
            <w:pPr>
              <w:pStyle w:val="TableParagraph"/>
              <w:spacing w:before="32"/>
              <w:ind w:left="229"/>
              <w:rPr>
                <w:b/>
                <w:sz w:val="21"/>
              </w:rPr>
            </w:pPr>
            <w:r>
              <w:rPr>
                <w:b/>
                <w:sz w:val="21"/>
              </w:rPr>
              <w:t>胰腺移植：</w:t>
            </w:r>
          </w:p>
        </w:tc>
        <w:tc>
          <w:tcPr>
            <w:tcW w:w="7792" w:type="dxa"/>
          </w:tcPr>
          <w:p>
            <w:pPr>
              <w:pStyle w:val="TableParagraph"/>
              <w:spacing w:line="261" w:lineRule="auto" w:before="32"/>
              <w:ind w:right="304"/>
              <w:rPr>
                <w:sz w:val="21"/>
              </w:rPr>
            </w:pPr>
            <w:r>
              <w:rPr>
                <w:spacing w:val="-14"/>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before="6"/>
              <w:rPr>
                <w:rFonts w:ascii="黑体" w:eastAsia="黑体" w:hint="eastAsia"/>
                <w:sz w:val="21"/>
              </w:rPr>
            </w:pPr>
            <w:r>
              <w:rPr>
                <w:rFonts w:ascii="黑体" w:eastAsia="黑体" w:hint="eastAsia"/>
                <w:sz w:val="21"/>
              </w:rPr>
              <w:t>单纯胰岛移植、部分胰腺组织或细胞的移植不在保障范围内。</w:t>
            </w:r>
          </w:p>
        </w:tc>
      </w:tr>
      <w:tr>
        <w:trPr>
          <w:trHeight w:val="2214" w:hRule="atLeast"/>
        </w:trPr>
        <w:tc>
          <w:tcPr>
            <w:tcW w:w="693" w:type="dxa"/>
          </w:tcPr>
          <w:p>
            <w:pPr>
              <w:pStyle w:val="TableParagraph"/>
              <w:spacing w:before="89"/>
              <w:ind w:left="181" w:right="209"/>
              <w:jc w:val="center"/>
              <w:rPr>
                <w:rFonts w:ascii="Times New Roman"/>
                <w:b/>
                <w:sz w:val="21"/>
              </w:rPr>
            </w:pPr>
            <w:r>
              <w:rPr>
                <w:rFonts w:ascii="Times New Roman"/>
                <w:b/>
                <w:sz w:val="21"/>
              </w:rPr>
              <w:t>59.</w:t>
            </w:r>
          </w:p>
        </w:tc>
        <w:tc>
          <w:tcPr>
            <w:tcW w:w="1380" w:type="dxa"/>
          </w:tcPr>
          <w:p>
            <w:pPr>
              <w:pStyle w:val="TableParagraph"/>
              <w:spacing w:line="261" w:lineRule="auto" w:before="40"/>
              <w:ind w:left="229" w:right="303"/>
              <w:rPr>
                <w:b/>
                <w:sz w:val="21"/>
              </w:rPr>
            </w:pPr>
            <w:r>
              <w:rPr>
                <w:b/>
                <w:sz w:val="21"/>
              </w:rPr>
              <w:t>失去一肢及一眼：</w:t>
            </w:r>
          </w:p>
        </w:tc>
        <w:tc>
          <w:tcPr>
            <w:tcW w:w="7792" w:type="dxa"/>
          </w:tcPr>
          <w:p>
            <w:pPr>
              <w:pStyle w:val="TableParagraph"/>
              <w:spacing w:line="261" w:lineRule="auto" w:before="40"/>
              <w:ind w:right="307"/>
              <w:jc w:val="both"/>
              <w:rPr>
                <w:sz w:val="21"/>
              </w:rPr>
            </w:pPr>
            <w:r>
              <w:rPr>
                <w:sz w:val="21"/>
              </w:rPr>
              <w:t>因疾病或意外伤害导致单眼视力丧失及任何一肢自腕关节或踝关节近端（靠近躯干端）以上完全性断离。单眼视力丧失指单眼视力永久不可逆性丧失，患眼须满足下列至少一项条件：</w:t>
            </w:r>
          </w:p>
          <w:p>
            <w:pPr>
              <w:pStyle w:val="TableParagraph"/>
              <w:spacing w:before="6"/>
              <w:jc w:val="both"/>
              <w:rPr>
                <w:sz w:val="21"/>
              </w:rPr>
            </w:pPr>
            <w:r>
              <w:rPr>
                <w:sz w:val="21"/>
              </w:rPr>
              <w:t>（</w:t>
            </w:r>
            <w:r>
              <w:rPr>
                <w:rFonts w:ascii="Times New Roman" w:eastAsia="Times New Roman"/>
                <w:sz w:val="21"/>
              </w:rPr>
              <w:t>1</w:t>
            </w:r>
            <w:r>
              <w:rPr>
                <w:sz w:val="21"/>
              </w:rPr>
              <w:t>）眼球缺失或摘除；</w:t>
            </w:r>
          </w:p>
          <w:p>
            <w:pPr>
              <w:pStyle w:val="TableParagraph"/>
              <w:spacing w:before="9"/>
              <w:jc w:val="both"/>
              <w:rPr>
                <w:sz w:val="21"/>
              </w:rPr>
            </w:pPr>
            <w:r>
              <w:rPr>
                <w:w w:val="100"/>
                <w:sz w:val="21"/>
              </w:rPr>
              <w:t>（</w:t>
            </w:r>
            <w:r>
              <w:rPr>
                <w:rFonts w:ascii="Times New Roman" w:eastAsia="Times New Roman"/>
                <w:w w:val="100"/>
                <w:sz w:val="21"/>
              </w:rPr>
              <w:t>2</w:t>
            </w:r>
            <w:r>
              <w:rPr>
                <w:spacing w:val="-94"/>
                <w:w w:val="100"/>
                <w:sz w:val="21"/>
              </w:rPr>
              <w:t>）</w:t>
            </w:r>
            <w:r>
              <w:rPr>
                <w:spacing w:val="-3"/>
                <w:w w:val="100"/>
                <w:sz w:val="21"/>
              </w:rPr>
              <w:t>矫正视力低于</w:t>
            </w:r>
            <w:r>
              <w:rPr>
                <w:spacing w:val="-52"/>
                <w:sz w:val="21"/>
              </w:rPr>
              <w:t> </w:t>
            </w:r>
            <w:r>
              <w:rPr>
                <w:rFonts w:ascii="Times New Roman" w:eastAsia="Times New Roman"/>
                <w:w w:val="100"/>
                <w:sz w:val="21"/>
              </w:rPr>
              <w:t>0</w:t>
            </w:r>
            <w:r>
              <w:rPr>
                <w:rFonts w:ascii="Times New Roman" w:eastAsia="Times New Roman"/>
                <w:spacing w:val="-3"/>
                <w:w w:val="100"/>
                <w:sz w:val="21"/>
              </w:rPr>
              <w:t>.</w:t>
            </w:r>
            <w:r>
              <w:rPr>
                <w:rFonts w:ascii="Times New Roman" w:eastAsia="Times New Roman"/>
                <w:w w:val="100"/>
                <w:sz w:val="21"/>
              </w:rPr>
              <w:t>0</w:t>
            </w:r>
            <w:r>
              <w:rPr>
                <w:rFonts w:ascii="Times New Roman" w:eastAsia="Times New Roman"/>
                <w:spacing w:val="-94"/>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9"/>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9"/>
              <w:jc w:val="both"/>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714" w:hRule="atLeast"/>
        </w:trPr>
        <w:tc>
          <w:tcPr>
            <w:tcW w:w="693" w:type="dxa"/>
          </w:tcPr>
          <w:p>
            <w:pPr>
              <w:pStyle w:val="TableParagraph"/>
              <w:spacing w:before="91"/>
              <w:ind w:left="181" w:right="209"/>
              <w:jc w:val="center"/>
              <w:rPr>
                <w:rFonts w:ascii="Times New Roman"/>
                <w:b/>
                <w:sz w:val="21"/>
              </w:rPr>
            </w:pPr>
            <w:r>
              <w:rPr>
                <w:rFonts w:ascii="Times New Roman"/>
                <w:b/>
                <w:sz w:val="21"/>
              </w:rPr>
              <w:t>60.</w:t>
            </w:r>
          </w:p>
        </w:tc>
        <w:tc>
          <w:tcPr>
            <w:tcW w:w="1380" w:type="dxa"/>
          </w:tcPr>
          <w:p>
            <w:pPr>
              <w:pStyle w:val="TableParagraph"/>
              <w:spacing w:line="261" w:lineRule="auto" w:before="42"/>
              <w:ind w:left="229" w:right="303"/>
              <w:rPr>
                <w:b/>
                <w:sz w:val="21"/>
              </w:rPr>
            </w:pPr>
            <w:r>
              <w:rPr>
                <w:b/>
                <w:sz w:val="21"/>
              </w:rPr>
              <w:t>严重面部烧伤：</w:t>
            </w:r>
          </w:p>
        </w:tc>
        <w:tc>
          <w:tcPr>
            <w:tcW w:w="7792" w:type="dxa"/>
          </w:tcPr>
          <w:p>
            <w:pPr>
              <w:pStyle w:val="TableParagraph"/>
              <w:spacing w:before="42"/>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12" w:hRule="atLeast"/>
        </w:trPr>
        <w:tc>
          <w:tcPr>
            <w:tcW w:w="693" w:type="dxa"/>
          </w:tcPr>
          <w:p>
            <w:pPr>
              <w:pStyle w:val="TableParagraph"/>
              <w:spacing w:before="89"/>
              <w:ind w:left="181" w:right="209"/>
              <w:jc w:val="center"/>
              <w:rPr>
                <w:rFonts w:ascii="Times New Roman"/>
                <w:b/>
                <w:sz w:val="21"/>
              </w:rPr>
            </w:pPr>
            <w:r>
              <w:rPr>
                <w:rFonts w:ascii="Times New Roman"/>
                <w:b/>
                <w:sz w:val="21"/>
              </w:rPr>
              <w:t>61.</w:t>
            </w:r>
          </w:p>
        </w:tc>
        <w:tc>
          <w:tcPr>
            <w:tcW w:w="1380" w:type="dxa"/>
          </w:tcPr>
          <w:p>
            <w:pPr>
              <w:pStyle w:val="TableParagraph"/>
              <w:spacing w:line="261" w:lineRule="auto" w:before="40"/>
              <w:ind w:left="229" w:right="116"/>
              <w:rPr>
                <w:b/>
                <w:sz w:val="21"/>
              </w:rPr>
            </w:pPr>
            <w:r>
              <w:rPr>
                <w:b/>
                <w:sz w:val="21"/>
              </w:rPr>
              <w:t>侵蚀性葡</w:t>
            </w:r>
            <w:r>
              <w:rPr>
                <w:b/>
                <w:spacing w:val="-13"/>
                <w:sz w:val="21"/>
              </w:rPr>
              <w:t>萄胎</w:t>
            </w:r>
            <w:r>
              <w:rPr>
                <w:b/>
                <w:sz w:val="21"/>
              </w:rPr>
              <w:t>（或称恶性葡萄</w:t>
            </w:r>
            <w:r>
              <w:rPr>
                <w:b/>
                <w:w w:val="100"/>
                <w:sz w:val="21"/>
              </w:rPr>
              <w:t>胎</w:t>
            </w:r>
            <w:r>
              <w:rPr>
                <w:b/>
                <w:spacing w:val="-106"/>
                <w:w w:val="100"/>
                <w:sz w:val="21"/>
              </w:rPr>
              <w:t>）</w:t>
            </w:r>
            <w:r>
              <w:rPr>
                <w:b/>
                <w:w w:val="100"/>
                <w:sz w:val="21"/>
              </w:rPr>
              <w:t>：</w:t>
            </w:r>
          </w:p>
        </w:tc>
        <w:tc>
          <w:tcPr>
            <w:tcW w:w="7792" w:type="dxa"/>
          </w:tcPr>
          <w:p>
            <w:pPr>
              <w:pStyle w:val="TableParagraph"/>
              <w:spacing w:line="261" w:lineRule="auto" w:before="40"/>
              <w:ind w:right="307"/>
              <w:rPr>
                <w:sz w:val="21"/>
              </w:rPr>
            </w:pPr>
            <w:r>
              <w:rPr>
                <w:sz w:val="21"/>
              </w:rPr>
              <w:t>指异常增生的绒毛组织浸润性生长浸入子宫肌层或转移至其他器官或组织的葡萄胎，并已经进行化疗或手术治疗的。</w:t>
            </w:r>
          </w:p>
        </w:tc>
      </w:tr>
      <w:tr>
        <w:trPr>
          <w:trHeight w:val="331" w:hRule="atLeast"/>
        </w:trPr>
        <w:tc>
          <w:tcPr>
            <w:tcW w:w="693" w:type="dxa"/>
          </w:tcPr>
          <w:p>
            <w:pPr>
              <w:pStyle w:val="TableParagraph"/>
              <w:spacing w:line="222" w:lineRule="exact" w:before="89"/>
              <w:ind w:left="181" w:right="209"/>
              <w:jc w:val="center"/>
              <w:rPr>
                <w:rFonts w:ascii="Times New Roman"/>
                <w:b/>
                <w:sz w:val="21"/>
              </w:rPr>
            </w:pPr>
            <w:r>
              <w:rPr>
                <w:rFonts w:ascii="Times New Roman"/>
                <w:b/>
                <w:sz w:val="21"/>
              </w:rPr>
              <w:t>62.</w:t>
            </w:r>
          </w:p>
        </w:tc>
        <w:tc>
          <w:tcPr>
            <w:tcW w:w="1380" w:type="dxa"/>
          </w:tcPr>
          <w:p>
            <w:pPr>
              <w:pStyle w:val="TableParagraph"/>
              <w:spacing w:line="271" w:lineRule="exact" w:before="40"/>
              <w:ind w:left="229"/>
              <w:rPr>
                <w:b/>
                <w:sz w:val="21"/>
              </w:rPr>
            </w:pPr>
            <w:r>
              <w:rPr>
                <w:b/>
                <w:sz w:val="21"/>
              </w:rPr>
              <w:t>严重传染</w:t>
            </w:r>
          </w:p>
        </w:tc>
        <w:tc>
          <w:tcPr>
            <w:tcW w:w="7792" w:type="dxa"/>
          </w:tcPr>
          <w:p>
            <w:pPr>
              <w:pStyle w:val="TableParagraph"/>
              <w:spacing w:line="271" w:lineRule="exact" w:before="40"/>
              <w:rPr>
                <w:sz w:val="21"/>
              </w:rPr>
            </w:pPr>
            <w:r>
              <w:rPr>
                <w:sz w:val="21"/>
              </w:rPr>
              <w:t>是指由感染性微生物引致的心脏内膜炎症，并须符合下列所有准则：</w:t>
            </w:r>
          </w:p>
        </w:tc>
      </w:tr>
    </w:tbl>
    <w:p>
      <w:pPr>
        <w:spacing w:after="0" w:line="271"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346"/>
        <w:gridCol w:w="7772"/>
      </w:tblGrid>
      <w:tr>
        <w:trPr>
          <w:trHeight w:val="1523" w:hRule="atLeast"/>
        </w:trPr>
        <w:tc>
          <w:tcPr>
            <w:tcW w:w="746" w:type="dxa"/>
          </w:tcPr>
          <w:p>
            <w:pPr>
              <w:pStyle w:val="TableParagraph"/>
              <w:ind w:left="0"/>
              <w:rPr>
                <w:rFonts w:ascii="Times New Roman"/>
                <w:sz w:val="20"/>
              </w:rPr>
            </w:pPr>
          </w:p>
        </w:tc>
        <w:tc>
          <w:tcPr>
            <w:tcW w:w="1346" w:type="dxa"/>
          </w:tcPr>
          <w:p>
            <w:pPr>
              <w:pStyle w:val="TableParagraph"/>
              <w:spacing w:line="211" w:lineRule="exact"/>
              <w:ind w:left="176"/>
              <w:rPr>
                <w:b/>
                <w:sz w:val="21"/>
              </w:rPr>
            </w:pPr>
            <w:r>
              <w:rPr>
                <w:b/>
                <w:sz w:val="21"/>
              </w:rPr>
              <w:t>性心内膜</w:t>
            </w:r>
          </w:p>
          <w:p>
            <w:pPr>
              <w:pStyle w:val="TableParagraph"/>
              <w:spacing w:before="25"/>
              <w:ind w:left="176"/>
              <w:rPr>
                <w:b/>
                <w:sz w:val="21"/>
              </w:rPr>
            </w:pPr>
            <w:r>
              <w:rPr>
                <w:b/>
                <w:sz w:val="21"/>
              </w:rPr>
              <w:t>炎：</w:t>
            </w:r>
          </w:p>
        </w:tc>
        <w:tc>
          <w:tcPr>
            <w:tcW w:w="7772" w:type="dxa"/>
          </w:tcPr>
          <w:p>
            <w:pPr>
              <w:pStyle w:val="TableParagraph"/>
              <w:spacing w:line="227" w:lineRule="exact"/>
              <w:ind w:left="75"/>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9"/>
              <w:ind w:left="601" w:right="303" w:hanging="526"/>
              <w:jc w:val="both"/>
              <w:rPr>
                <w:sz w:val="21"/>
              </w:rPr>
            </w:pPr>
            <w:r>
              <w:rPr>
                <w:spacing w:val="-9"/>
                <w:sz w:val="21"/>
              </w:rPr>
              <w:t>（</w:t>
            </w:r>
            <w:r>
              <w:rPr>
                <w:rFonts w:ascii="Times New Roman" w:eastAsia="Times New Roman"/>
                <w:spacing w:val="-9"/>
                <w:sz w:val="21"/>
              </w:rPr>
              <w:t>2</w:t>
            </w:r>
            <w:r>
              <w:rPr>
                <w:spacing w:val="-9"/>
                <w:sz w:val="21"/>
              </w:rPr>
              <w:t>）</w:t>
            </w:r>
            <w:r>
              <w:rPr>
                <w:spacing w:val="-5"/>
                <w:sz w:val="21"/>
              </w:rPr>
              <w:t>出现最少中度之心脏瓣膜功能不全</w:t>
            </w:r>
            <w:r>
              <w:rPr>
                <w:spacing w:val="-3"/>
                <w:sz w:val="21"/>
              </w:rPr>
              <w:t>（即返流部份达百分之二十或以上</w:t>
            </w:r>
            <w:r>
              <w:rPr>
                <w:spacing w:val="-27"/>
                <w:sz w:val="21"/>
              </w:rPr>
              <w:t>）</w:t>
            </w:r>
            <w:r>
              <w:rPr>
                <w:sz w:val="21"/>
              </w:rPr>
              <w:t>或中</w:t>
            </w:r>
            <w:r>
              <w:rPr>
                <w:spacing w:val="-3"/>
                <w:w w:val="100"/>
                <w:sz w:val="21"/>
              </w:rPr>
              <w:t>度之心脏瓣膜狭窄（即心脏瓣面积为正常值的百分之三十或以下</w:t>
            </w:r>
            <w:r>
              <w:rPr>
                <w:spacing w:val="-108"/>
                <w:w w:val="100"/>
                <w:sz w:val="21"/>
              </w:rPr>
              <w:t>）</w:t>
            </w:r>
            <w:r>
              <w:rPr>
                <w:spacing w:val="-2"/>
                <w:w w:val="100"/>
                <w:sz w:val="21"/>
              </w:rPr>
              <w:t>，导致传</w:t>
            </w:r>
            <w:r>
              <w:rPr>
                <w:spacing w:val="-3"/>
                <w:sz w:val="21"/>
              </w:rPr>
              <w:t>染性心内膜炎；</w:t>
            </w:r>
          </w:p>
          <w:p>
            <w:pPr>
              <w:pStyle w:val="TableParagraph"/>
              <w:spacing w:before="12"/>
              <w:ind w:left="75"/>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4" w:hRule="atLeast"/>
        </w:trPr>
        <w:tc>
          <w:tcPr>
            <w:tcW w:w="746" w:type="dxa"/>
          </w:tcPr>
          <w:p>
            <w:pPr>
              <w:pStyle w:val="TableParagraph"/>
              <w:spacing w:before="75"/>
              <w:ind w:left="200"/>
              <w:rPr>
                <w:rFonts w:ascii="Times New Roman"/>
                <w:b/>
                <w:sz w:val="21"/>
              </w:rPr>
            </w:pPr>
            <w:r>
              <w:rPr>
                <w:rFonts w:ascii="Times New Roman"/>
                <w:b/>
                <w:sz w:val="21"/>
              </w:rPr>
              <w:t>63.</w:t>
            </w:r>
          </w:p>
        </w:tc>
        <w:tc>
          <w:tcPr>
            <w:tcW w:w="1346" w:type="dxa"/>
          </w:tcPr>
          <w:p>
            <w:pPr>
              <w:pStyle w:val="TableParagraph"/>
              <w:spacing w:line="261" w:lineRule="auto" w:before="25"/>
              <w:ind w:left="176" w:right="73"/>
              <w:rPr>
                <w:b/>
                <w:sz w:val="21"/>
              </w:rPr>
            </w:pPr>
            <w:r>
              <w:rPr>
                <w:b/>
                <w:sz w:val="21"/>
              </w:rPr>
              <w:t>嗜铬细胞瘤：</w:t>
            </w:r>
          </w:p>
        </w:tc>
        <w:tc>
          <w:tcPr>
            <w:tcW w:w="7772" w:type="dxa"/>
          </w:tcPr>
          <w:p>
            <w:pPr>
              <w:pStyle w:val="TableParagraph"/>
              <w:spacing w:line="261" w:lineRule="auto" w:before="25"/>
              <w:ind w:left="75" w:right="336"/>
              <w:rPr>
                <w:sz w:val="21"/>
              </w:rPr>
            </w:pPr>
            <w:r>
              <w:rPr>
                <w:sz w:val="21"/>
              </w:rPr>
              <w:t>指肾上腺或嗜铬外组织出现神经内分泌肿瘤，并分泌过多的儿茶酚胺类，需要确实进行手术以切除肿瘤。</w:t>
            </w:r>
          </w:p>
        </w:tc>
      </w:tr>
      <w:tr>
        <w:trPr>
          <w:trHeight w:val="1012" w:hRule="atLeast"/>
        </w:trPr>
        <w:tc>
          <w:tcPr>
            <w:tcW w:w="746" w:type="dxa"/>
          </w:tcPr>
          <w:p>
            <w:pPr>
              <w:pStyle w:val="TableParagraph"/>
              <w:spacing w:before="83"/>
              <w:ind w:left="200"/>
              <w:rPr>
                <w:rFonts w:ascii="Times New Roman"/>
                <w:b/>
                <w:sz w:val="21"/>
              </w:rPr>
            </w:pPr>
            <w:r>
              <w:rPr>
                <w:rFonts w:ascii="Times New Roman"/>
                <w:b/>
                <w:sz w:val="21"/>
              </w:rPr>
              <w:t>64.</w:t>
            </w:r>
          </w:p>
        </w:tc>
        <w:tc>
          <w:tcPr>
            <w:tcW w:w="1346" w:type="dxa"/>
          </w:tcPr>
          <w:p>
            <w:pPr>
              <w:pStyle w:val="TableParagraph"/>
              <w:spacing w:line="261" w:lineRule="auto" w:before="33"/>
              <w:ind w:left="176" w:right="322"/>
              <w:jc w:val="both"/>
              <w:rPr>
                <w:b/>
                <w:sz w:val="21"/>
              </w:rPr>
            </w:pPr>
            <w:r>
              <w:rPr>
                <w:b/>
                <w:sz w:val="21"/>
              </w:rPr>
              <w:t>溶血性链球菌引起的坏疽：</w:t>
            </w:r>
          </w:p>
        </w:tc>
        <w:tc>
          <w:tcPr>
            <w:tcW w:w="7772" w:type="dxa"/>
          </w:tcPr>
          <w:p>
            <w:pPr>
              <w:pStyle w:val="TableParagraph"/>
              <w:spacing w:line="261" w:lineRule="auto" w:before="33"/>
              <w:ind w:left="75" w:right="306"/>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321" w:hRule="atLeast"/>
        </w:trPr>
        <w:tc>
          <w:tcPr>
            <w:tcW w:w="746" w:type="dxa"/>
          </w:tcPr>
          <w:p>
            <w:pPr>
              <w:pStyle w:val="TableParagraph"/>
              <w:spacing w:before="83"/>
              <w:ind w:left="200"/>
              <w:rPr>
                <w:rFonts w:ascii="Times New Roman"/>
                <w:b/>
                <w:sz w:val="21"/>
              </w:rPr>
            </w:pPr>
            <w:r>
              <w:rPr>
                <w:rFonts w:ascii="Times New Roman"/>
                <w:b/>
                <w:sz w:val="21"/>
              </w:rPr>
              <w:t>65.</w:t>
            </w:r>
          </w:p>
        </w:tc>
        <w:tc>
          <w:tcPr>
            <w:tcW w:w="1346" w:type="dxa"/>
          </w:tcPr>
          <w:p>
            <w:pPr>
              <w:pStyle w:val="TableParagraph"/>
              <w:spacing w:line="261" w:lineRule="auto" w:before="33"/>
              <w:ind w:left="176" w:right="111"/>
              <w:rPr>
                <w:b/>
                <w:sz w:val="21"/>
              </w:rPr>
            </w:pPr>
            <w:r>
              <w:rPr>
                <w:b/>
                <w:sz w:val="21"/>
              </w:rPr>
              <w:t>进行性核 上性麻痹：</w:t>
            </w:r>
          </w:p>
        </w:tc>
        <w:tc>
          <w:tcPr>
            <w:tcW w:w="7772" w:type="dxa"/>
          </w:tcPr>
          <w:p>
            <w:pPr>
              <w:pStyle w:val="TableParagraph"/>
              <w:spacing w:before="33"/>
              <w:ind w:left="75"/>
              <w:rPr>
                <w:sz w:val="21"/>
              </w:rPr>
            </w:pPr>
            <w:r>
              <w:rPr>
                <w:sz w:val="21"/>
              </w:rPr>
              <w:t>指一种隐袭起病、逐渐加重的神经系统变性疾病，且满足如下临床特征：</w:t>
            </w:r>
          </w:p>
          <w:p>
            <w:pPr>
              <w:pStyle w:val="TableParagraph"/>
              <w:spacing w:before="24"/>
              <w:ind w:left="75"/>
              <w:rPr>
                <w:sz w:val="21"/>
              </w:rPr>
            </w:pPr>
            <w:r>
              <w:rPr>
                <w:sz w:val="21"/>
              </w:rPr>
              <w:t>（</w:t>
            </w:r>
            <w:r>
              <w:rPr>
                <w:rFonts w:ascii="Times New Roman" w:eastAsia="Times New Roman"/>
                <w:sz w:val="21"/>
              </w:rPr>
              <w:t>1</w:t>
            </w:r>
            <w:r>
              <w:rPr>
                <w:sz w:val="21"/>
              </w:rPr>
              <w:t>）步态共济失调；</w:t>
            </w:r>
          </w:p>
          <w:p>
            <w:pPr>
              <w:pStyle w:val="TableParagraph"/>
              <w:spacing w:before="9"/>
              <w:ind w:left="75"/>
              <w:rPr>
                <w:sz w:val="21"/>
              </w:rPr>
            </w:pPr>
            <w:r>
              <w:rPr>
                <w:sz w:val="21"/>
              </w:rPr>
              <w:t>（</w:t>
            </w:r>
            <w:r>
              <w:rPr>
                <w:rFonts w:ascii="Times New Roman" w:eastAsia="Times New Roman"/>
                <w:sz w:val="21"/>
              </w:rPr>
              <w:t>2</w:t>
            </w:r>
            <w:r>
              <w:rPr>
                <w:sz w:val="21"/>
              </w:rPr>
              <w:t>）对称性眼球垂直运动障碍；</w:t>
            </w:r>
          </w:p>
          <w:p>
            <w:pPr>
              <w:pStyle w:val="TableParagraph"/>
              <w:spacing w:before="10"/>
              <w:ind w:left="75"/>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1004" w:hRule="atLeast"/>
        </w:trPr>
        <w:tc>
          <w:tcPr>
            <w:tcW w:w="746" w:type="dxa"/>
          </w:tcPr>
          <w:p>
            <w:pPr>
              <w:pStyle w:val="TableParagraph"/>
              <w:spacing w:before="75"/>
              <w:ind w:left="200"/>
              <w:rPr>
                <w:rFonts w:ascii="Times New Roman"/>
                <w:b/>
                <w:sz w:val="21"/>
              </w:rPr>
            </w:pPr>
            <w:r>
              <w:rPr>
                <w:rFonts w:ascii="Times New Roman"/>
                <w:b/>
                <w:sz w:val="21"/>
              </w:rPr>
              <w:t>66.</w:t>
            </w:r>
          </w:p>
        </w:tc>
        <w:tc>
          <w:tcPr>
            <w:tcW w:w="1346" w:type="dxa"/>
          </w:tcPr>
          <w:p>
            <w:pPr>
              <w:pStyle w:val="TableParagraph"/>
              <w:spacing w:line="261" w:lineRule="auto" w:before="25"/>
              <w:ind w:left="176" w:right="111"/>
              <w:rPr>
                <w:b/>
                <w:sz w:val="21"/>
              </w:rPr>
            </w:pPr>
            <w:r>
              <w:rPr>
                <w:b/>
                <w:sz w:val="21"/>
              </w:rPr>
              <w:t>肺泡蛋白 质沉积症：</w:t>
            </w:r>
          </w:p>
        </w:tc>
        <w:tc>
          <w:tcPr>
            <w:tcW w:w="7772" w:type="dxa"/>
          </w:tcPr>
          <w:p>
            <w:pPr>
              <w:pStyle w:val="TableParagraph"/>
              <w:spacing w:line="247" w:lineRule="auto" w:before="25"/>
              <w:ind w:left="75" w:right="300"/>
              <w:jc w:val="both"/>
              <w:rPr>
                <w:sz w:val="21"/>
              </w:rPr>
            </w:pPr>
            <w:r>
              <w:rPr>
                <w:spacing w:val="-6"/>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3"/>
                <w:sz w:val="21"/>
              </w:rPr>
              <w:t>PAS</w:t>
            </w:r>
            <w:r>
              <w:rPr>
                <w:spacing w:val="-3"/>
                <w:sz w:val="21"/>
              </w:rPr>
              <w:t>）</w:t>
            </w:r>
            <w:r>
              <w:rPr>
                <w:sz w:val="21"/>
              </w:rPr>
              <w:t>染色阳性的蛋白样</w:t>
            </w:r>
            <w:r>
              <w:rPr>
                <w:spacing w:val="-3"/>
                <w:sz w:val="21"/>
              </w:rPr>
              <w:t>物质，并且接受了肺灌洗治疗。</w:t>
            </w:r>
          </w:p>
        </w:tc>
      </w:tr>
      <w:tr>
        <w:trPr>
          <w:trHeight w:val="1620" w:hRule="atLeast"/>
        </w:trPr>
        <w:tc>
          <w:tcPr>
            <w:tcW w:w="746" w:type="dxa"/>
          </w:tcPr>
          <w:p>
            <w:pPr>
              <w:pStyle w:val="TableParagraph"/>
              <w:spacing w:before="83"/>
              <w:ind w:left="200"/>
              <w:rPr>
                <w:rFonts w:ascii="Times New Roman"/>
                <w:b/>
                <w:sz w:val="21"/>
              </w:rPr>
            </w:pPr>
            <w:r>
              <w:rPr>
                <w:rFonts w:ascii="Times New Roman"/>
                <w:b/>
                <w:sz w:val="21"/>
              </w:rPr>
              <w:t>67.</w:t>
            </w:r>
          </w:p>
        </w:tc>
        <w:tc>
          <w:tcPr>
            <w:tcW w:w="1346" w:type="dxa"/>
          </w:tcPr>
          <w:p>
            <w:pPr>
              <w:pStyle w:val="TableParagraph"/>
              <w:spacing w:line="261" w:lineRule="auto" w:before="33"/>
              <w:ind w:left="176" w:right="322"/>
              <w:rPr>
                <w:b/>
                <w:sz w:val="21"/>
              </w:rPr>
            </w:pPr>
            <w:r>
              <w:rPr>
                <w:b/>
                <w:sz w:val="21"/>
              </w:rPr>
              <w:t>严重川崎病：</w:t>
            </w:r>
          </w:p>
        </w:tc>
        <w:tc>
          <w:tcPr>
            <w:tcW w:w="7772" w:type="dxa"/>
          </w:tcPr>
          <w:p>
            <w:pPr>
              <w:pStyle w:val="TableParagraph"/>
              <w:spacing w:line="261" w:lineRule="auto" w:before="33"/>
              <w:ind w:left="75" w:right="306"/>
              <w:jc w:val="both"/>
              <w:rPr>
                <w:sz w:val="21"/>
              </w:rPr>
            </w:pPr>
            <w:r>
              <w:rPr>
                <w:sz w:val="21"/>
              </w:rPr>
              <w:t>是一种血管炎综合征，临床表现为急性发热，皮肤粘膜病损和淋巴结肿大。本病须经专科医生明确诊断，同时须由血管造影或者超声心动图检查证实，满足下列至少一项条件：</w:t>
            </w:r>
          </w:p>
          <w:p>
            <w:pPr>
              <w:pStyle w:val="TableParagraph"/>
              <w:spacing w:before="5"/>
              <w:ind w:left="75"/>
              <w:jc w:val="both"/>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8"/>
              <w:ind w:left="75"/>
              <w:jc w:val="both"/>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1614" w:hRule="atLeast"/>
        </w:trPr>
        <w:tc>
          <w:tcPr>
            <w:tcW w:w="746" w:type="dxa"/>
          </w:tcPr>
          <w:p>
            <w:pPr>
              <w:pStyle w:val="TableParagraph"/>
              <w:spacing w:before="75"/>
              <w:ind w:left="200"/>
              <w:rPr>
                <w:rFonts w:ascii="Times New Roman"/>
                <w:b/>
                <w:sz w:val="21"/>
              </w:rPr>
            </w:pPr>
            <w:r>
              <w:rPr>
                <w:rFonts w:ascii="Times New Roman"/>
                <w:b/>
                <w:sz w:val="21"/>
              </w:rPr>
              <w:t>68.</w:t>
            </w:r>
          </w:p>
        </w:tc>
        <w:tc>
          <w:tcPr>
            <w:tcW w:w="1346" w:type="dxa"/>
          </w:tcPr>
          <w:p>
            <w:pPr>
              <w:pStyle w:val="TableParagraph"/>
              <w:spacing w:line="261" w:lineRule="auto" w:before="25"/>
              <w:ind w:left="176" w:right="322"/>
              <w:rPr>
                <w:b/>
                <w:sz w:val="21"/>
              </w:rPr>
            </w:pPr>
            <w:r>
              <w:rPr>
                <w:b/>
                <w:sz w:val="21"/>
              </w:rPr>
              <w:t>肺淋巴管肌瘤病：</w:t>
            </w:r>
          </w:p>
        </w:tc>
        <w:tc>
          <w:tcPr>
            <w:tcW w:w="7772" w:type="dxa"/>
          </w:tcPr>
          <w:p>
            <w:pPr>
              <w:pStyle w:val="TableParagraph"/>
              <w:spacing w:line="261" w:lineRule="auto" w:before="25"/>
              <w:ind w:left="75" w:right="306"/>
              <w:rPr>
                <w:sz w:val="21"/>
              </w:rPr>
            </w:pPr>
            <w:r>
              <w:rPr>
                <w:sz w:val="21"/>
              </w:rPr>
              <w:t>是一种弥漫性肺部疾病，主要病理改变为肺间质、支气管、血管和淋巴管内出现未成熟的平滑肌异常增生，同时须满足下列全部条件：</w:t>
            </w:r>
          </w:p>
          <w:p>
            <w:pPr>
              <w:pStyle w:val="TableParagraph"/>
              <w:spacing w:before="6"/>
              <w:ind w:left="75"/>
              <w:rPr>
                <w:sz w:val="21"/>
              </w:rPr>
            </w:pPr>
            <w:r>
              <w:rPr>
                <w:sz w:val="21"/>
              </w:rPr>
              <w:t>（</w:t>
            </w:r>
            <w:r>
              <w:rPr>
                <w:rFonts w:ascii="Times New Roman" w:eastAsia="Times New Roman"/>
                <w:sz w:val="21"/>
              </w:rPr>
              <w:t>1</w:t>
            </w:r>
            <w:r>
              <w:rPr>
                <w:sz w:val="21"/>
              </w:rPr>
              <w:t>）经组织病理学诊断；</w:t>
            </w:r>
          </w:p>
          <w:p>
            <w:pPr>
              <w:pStyle w:val="TableParagraph"/>
              <w:spacing w:before="9"/>
              <w:ind w:left="75"/>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ind w:left="75"/>
              <w:rPr>
                <w:sz w:val="21"/>
              </w:rPr>
            </w:pPr>
            <w:r>
              <w:rPr>
                <w:sz w:val="21"/>
              </w:rPr>
              <w:t>（</w:t>
            </w:r>
            <w:r>
              <w:rPr>
                <w:rFonts w:ascii="Times New Roman" w:eastAsia="Times New Roman"/>
                <w:sz w:val="21"/>
              </w:rPr>
              <w:t>3</w:t>
            </w:r>
            <w:r>
              <w:rPr>
                <w:sz w:val="21"/>
              </w:rPr>
              <w:t>）血气提示低氧血症。</w:t>
            </w:r>
          </w:p>
        </w:tc>
      </w:tr>
      <w:tr>
        <w:trPr>
          <w:trHeight w:val="2214" w:hRule="atLeast"/>
        </w:trPr>
        <w:tc>
          <w:tcPr>
            <w:tcW w:w="746" w:type="dxa"/>
          </w:tcPr>
          <w:p>
            <w:pPr>
              <w:pStyle w:val="TableParagraph"/>
              <w:spacing w:before="76"/>
              <w:ind w:left="200"/>
              <w:rPr>
                <w:rFonts w:ascii="Times New Roman"/>
                <w:b/>
                <w:sz w:val="21"/>
              </w:rPr>
            </w:pPr>
            <w:r>
              <w:rPr>
                <w:rFonts w:ascii="Times New Roman"/>
                <w:b/>
                <w:sz w:val="21"/>
              </w:rPr>
              <w:t>69.</w:t>
            </w:r>
          </w:p>
        </w:tc>
        <w:tc>
          <w:tcPr>
            <w:tcW w:w="1346" w:type="dxa"/>
          </w:tcPr>
          <w:p>
            <w:pPr>
              <w:pStyle w:val="TableParagraph"/>
              <w:spacing w:line="261" w:lineRule="auto" w:before="27"/>
              <w:ind w:left="176" w:right="322"/>
              <w:rPr>
                <w:b/>
                <w:sz w:val="21"/>
              </w:rPr>
            </w:pPr>
            <w:r>
              <w:rPr>
                <w:b/>
                <w:sz w:val="21"/>
              </w:rPr>
              <w:t>严重瑞氏综合症</w:t>
            </w:r>
          </w:p>
          <w:p>
            <w:pPr>
              <w:pStyle w:val="TableParagraph"/>
              <w:spacing w:line="259" w:lineRule="auto" w:before="6"/>
              <w:ind w:left="176" w:right="135"/>
              <w:rPr>
                <w:b/>
                <w:sz w:val="21"/>
              </w:rPr>
            </w:pPr>
            <w:r>
              <w:rPr>
                <w:b/>
                <w:sz w:val="21"/>
              </w:rPr>
              <w:t>（</w:t>
            </w:r>
            <w:r>
              <w:rPr>
                <w:rFonts w:ascii="Times New Roman" w:eastAsia="Times New Roman"/>
                <w:b/>
                <w:sz w:val="21"/>
              </w:rPr>
              <w:t>Reye </w:t>
            </w:r>
            <w:r>
              <w:rPr>
                <w:b/>
                <w:sz w:val="21"/>
              </w:rPr>
              <w:t>综</w:t>
            </w:r>
            <w:r>
              <w:rPr>
                <w:b/>
                <w:spacing w:val="-6"/>
                <w:sz w:val="21"/>
              </w:rPr>
              <w:t>合征，也称赖氏综合</w:t>
            </w:r>
            <w:r>
              <w:rPr>
                <w:b/>
                <w:spacing w:val="-8"/>
                <w:sz w:val="21"/>
              </w:rPr>
              <w:t>征、雷氏综</w:t>
            </w:r>
            <w:r>
              <w:rPr>
                <w:b/>
                <w:spacing w:val="-8"/>
                <w:w w:val="100"/>
                <w:sz w:val="21"/>
              </w:rPr>
              <w:t>合征</w:t>
            </w:r>
            <w:r>
              <w:rPr>
                <w:b/>
                <w:spacing w:val="-106"/>
                <w:w w:val="100"/>
                <w:sz w:val="21"/>
              </w:rPr>
              <w:t>）</w:t>
            </w:r>
            <w:r>
              <w:rPr>
                <w:b/>
                <w:w w:val="100"/>
                <w:sz w:val="21"/>
              </w:rPr>
              <w:t>：</w:t>
            </w:r>
          </w:p>
        </w:tc>
        <w:tc>
          <w:tcPr>
            <w:tcW w:w="7772" w:type="dxa"/>
          </w:tcPr>
          <w:p>
            <w:pPr>
              <w:pStyle w:val="TableParagraph"/>
              <w:spacing w:line="261" w:lineRule="auto" w:before="27"/>
              <w:ind w:left="75" w:right="306"/>
              <w:jc w:val="both"/>
              <w:rPr>
                <w:sz w:val="21"/>
              </w:rPr>
            </w:pPr>
            <w:r>
              <w:rPr>
                <w:sz w:val="21"/>
              </w:rPr>
              <w:t>是线粒体功能障碍性疾病。导致脂肪代谢障碍，引起短链脂肪酸、血氨升高，造成脑水肿。主要临床表现为急性发热、反复呕吐、惊厥及意识障碍等。肝脏活检是确诊的重要手段。瑞氏综合症需由三级医院的儿科专科医生确诊，并符合下列所有条件：</w:t>
            </w:r>
          </w:p>
          <w:p>
            <w:pPr>
              <w:pStyle w:val="TableParagraph"/>
              <w:spacing w:before="6"/>
              <w:ind w:left="75"/>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9"/>
              <w:ind w:left="75"/>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ind w:left="75"/>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505" w:hRule="atLeast"/>
        </w:trPr>
        <w:tc>
          <w:tcPr>
            <w:tcW w:w="746" w:type="dxa"/>
          </w:tcPr>
          <w:p>
            <w:pPr>
              <w:pStyle w:val="TableParagraph"/>
              <w:spacing w:before="75"/>
              <w:ind w:left="200"/>
              <w:rPr>
                <w:rFonts w:ascii="Times New Roman"/>
                <w:b/>
                <w:sz w:val="21"/>
              </w:rPr>
            </w:pPr>
            <w:r>
              <w:rPr>
                <w:rFonts w:ascii="Times New Roman"/>
                <w:b/>
                <w:sz w:val="21"/>
              </w:rPr>
              <w:t>70.</w:t>
            </w:r>
          </w:p>
        </w:tc>
        <w:tc>
          <w:tcPr>
            <w:tcW w:w="1346" w:type="dxa"/>
          </w:tcPr>
          <w:p>
            <w:pPr>
              <w:pStyle w:val="TableParagraph"/>
              <w:spacing w:line="261" w:lineRule="auto" w:before="25"/>
              <w:ind w:left="176" w:right="322"/>
              <w:jc w:val="both"/>
              <w:rPr>
                <w:b/>
                <w:sz w:val="21"/>
              </w:rPr>
            </w:pPr>
            <w:r>
              <w:rPr>
                <w:b/>
                <w:sz w:val="21"/>
              </w:rPr>
              <w:t>严重慢性缩窄型心包炎：</w:t>
            </w:r>
          </w:p>
        </w:tc>
        <w:tc>
          <w:tcPr>
            <w:tcW w:w="7772" w:type="dxa"/>
          </w:tcPr>
          <w:p>
            <w:pPr>
              <w:pStyle w:val="TableParagraph"/>
              <w:spacing w:line="261" w:lineRule="auto" w:before="25"/>
              <w:ind w:left="75" w:right="197"/>
              <w:rPr>
                <w:sz w:val="21"/>
              </w:rPr>
            </w:pPr>
            <w:r>
              <w:rPr>
                <w:spacing w:val="-6"/>
                <w:sz w:val="21"/>
              </w:rPr>
              <w:t>由于慢性心包炎症导致心包脏层和壁层广泛瘢痕粘连、增厚和钙化，心包腔闭塞， 形成一个纤维瘢痕外壳，使心脏和大血管根部受压，阻碍心脏的舒张。被保险人</w:t>
            </w:r>
            <w:r>
              <w:rPr>
                <w:spacing w:val="-4"/>
                <w:sz w:val="21"/>
              </w:rPr>
              <w:t>被明确诊断为慢性缩窄性心包炎且必须满足以下所有条件：</w:t>
            </w:r>
          </w:p>
          <w:p>
            <w:pPr>
              <w:pStyle w:val="TableParagraph"/>
              <w:spacing w:line="247" w:lineRule="auto" w:before="5"/>
              <w:ind w:left="601" w:right="226" w:hanging="526"/>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47" w:lineRule="auto" w:before="18"/>
              <w:ind w:left="601" w:right="239" w:hanging="526"/>
              <w:rPr>
                <w:sz w:val="21"/>
              </w:rPr>
            </w:pPr>
            <w:r>
              <w:rPr>
                <w:sz w:val="21"/>
              </w:rPr>
              <w:t>（</w:t>
            </w:r>
            <w:r>
              <w:rPr>
                <w:rFonts w:ascii="Times New Roman" w:eastAsia="Times New Roman"/>
                <w:sz w:val="21"/>
              </w:rPr>
              <w:t>2</w:t>
            </w:r>
            <w:r>
              <w:rPr>
                <w:sz w:val="21"/>
              </w:rPr>
              <w:t>）实际接受了以下任何一种手术路径的心包剥脱或心包切除手术：胸骨正中切口，双侧前胸切口，左前胸肋间切口。</w:t>
            </w:r>
          </w:p>
          <w:p>
            <w:pPr>
              <w:pStyle w:val="TableParagraph"/>
              <w:spacing w:before="18"/>
              <w:ind w:left="75"/>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331" w:hRule="atLeast"/>
        </w:trPr>
        <w:tc>
          <w:tcPr>
            <w:tcW w:w="746" w:type="dxa"/>
          </w:tcPr>
          <w:p>
            <w:pPr>
              <w:pStyle w:val="TableParagraph"/>
              <w:spacing w:line="228" w:lineRule="exact" w:before="83"/>
              <w:ind w:left="200"/>
              <w:rPr>
                <w:rFonts w:ascii="Times New Roman"/>
                <w:b/>
                <w:sz w:val="21"/>
              </w:rPr>
            </w:pPr>
            <w:r>
              <w:rPr>
                <w:rFonts w:ascii="Times New Roman"/>
                <w:b/>
                <w:sz w:val="21"/>
              </w:rPr>
              <w:t>7.19</w:t>
            </w:r>
          </w:p>
        </w:tc>
        <w:tc>
          <w:tcPr>
            <w:tcW w:w="1346" w:type="dxa"/>
          </w:tcPr>
          <w:p>
            <w:pPr>
              <w:pStyle w:val="TableParagraph"/>
              <w:spacing w:before="33"/>
              <w:ind w:left="176"/>
              <w:rPr>
                <w:b/>
                <w:sz w:val="21"/>
              </w:rPr>
            </w:pPr>
            <w:r>
              <w:rPr>
                <w:b/>
                <w:sz w:val="21"/>
              </w:rPr>
              <w:t>轻症疾病</w:t>
            </w:r>
          </w:p>
        </w:tc>
        <w:tc>
          <w:tcPr>
            <w:tcW w:w="7772" w:type="dxa"/>
          </w:tcPr>
          <w:p>
            <w:pPr>
              <w:pStyle w:val="TableParagraph"/>
              <w:spacing w:before="33"/>
              <w:ind w:left="75"/>
              <w:rPr>
                <w:sz w:val="21"/>
              </w:rPr>
            </w:pPr>
            <w:r>
              <w:rPr>
                <w:sz w:val="21"/>
              </w:rPr>
              <w:t>指被保险人经我们认可的医院的专科医生确诊，初次发生符合下列定义的疾病或</w:t>
            </w:r>
          </w:p>
        </w:tc>
      </w:tr>
    </w:tbl>
    <w:p>
      <w:pPr>
        <w:spacing w:after="0"/>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32"/>
        <w:gridCol w:w="7790"/>
      </w:tblGrid>
      <w:tr>
        <w:trPr>
          <w:trHeight w:val="308" w:hRule="atLeast"/>
        </w:trPr>
        <w:tc>
          <w:tcPr>
            <w:tcW w:w="640" w:type="dxa"/>
          </w:tcPr>
          <w:p>
            <w:pPr>
              <w:pStyle w:val="TableParagraph"/>
              <w:ind w:left="0"/>
              <w:rPr>
                <w:rFonts w:ascii="Times New Roman"/>
                <w:sz w:val="20"/>
              </w:rPr>
            </w:pPr>
          </w:p>
        </w:tc>
        <w:tc>
          <w:tcPr>
            <w:tcW w:w="1432" w:type="dxa"/>
          </w:tcPr>
          <w:p>
            <w:pPr>
              <w:pStyle w:val="TableParagraph"/>
              <w:ind w:left="0"/>
              <w:rPr>
                <w:rFonts w:ascii="Times New Roman"/>
                <w:sz w:val="20"/>
              </w:rPr>
            </w:pPr>
          </w:p>
        </w:tc>
        <w:tc>
          <w:tcPr>
            <w:tcW w:w="7790" w:type="dxa"/>
          </w:tcPr>
          <w:p>
            <w:pPr>
              <w:pStyle w:val="TableParagraph"/>
              <w:spacing w:line="211" w:lineRule="exact"/>
              <w:ind w:left="95"/>
              <w:rPr>
                <w:sz w:val="21"/>
              </w:rPr>
            </w:pPr>
            <w:r>
              <w:rPr>
                <w:sz w:val="21"/>
              </w:rPr>
              <w:t>初次接受符合下列定义的手术。</w:t>
            </w:r>
          </w:p>
        </w:tc>
      </w:tr>
      <w:tr>
        <w:trPr>
          <w:trHeight w:val="1988" w:hRule="atLeast"/>
        </w:trPr>
        <w:tc>
          <w:tcPr>
            <w:tcW w:w="640" w:type="dxa"/>
          </w:tcPr>
          <w:p>
            <w:pPr>
              <w:pStyle w:val="TableParagraph"/>
              <w:spacing w:before="90"/>
              <w:ind w:left="200"/>
              <w:rPr>
                <w:rFonts w:ascii="Times New Roman"/>
                <w:b/>
                <w:sz w:val="21"/>
              </w:rPr>
            </w:pPr>
            <w:r>
              <w:rPr>
                <w:rFonts w:ascii="Times New Roman"/>
                <w:b/>
                <w:sz w:val="21"/>
              </w:rPr>
              <w:t>1.</w:t>
            </w:r>
          </w:p>
        </w:tc>
        <w:tc>
          <w:tcPr>
            <w:tcW w:w="1432" w:type="dxa"/>
          </w:tcPr>
          <w:p>
            <w:pPr>
              <w:pStyle w:val="TableParagraph"/>
              <w:spacing w:line="261" w:lineRule="auto" w:before="41"/>
              <w:ind w:left="282" w:right="302"/>
              <w:jc w:val="both"/>
              <w:rPr>
                <w:b/>
                <w:sz w:val="21"/>
              </w:rPr>
            </w:pPr>
            <w:r>
              <w:rPr>
                <w:b/>
                <w:sz w:val="21"/>
              </w:rPr>
              <w:t>极早期的恶性肿瘤或恶性病变：</w:t>
            </w:r>
          </w:p>
        </w:tc>
        <w:tc>
          <w:tcPr>
            <w:tcW w:w="7790" w:type="dxa"/>
          </w:tcPr>
          <w:p>
            <w:pPr>
              <w:pStyle w:val="TableParagraph"/>
              <w:spacing w:before="33"/>
              <w:ind w:left="95"/>
              <w:rPr>
                <w:sz w:val="21"/>
              </w:rPr>
            </w:pPr>
            <w:r>
              <w:rPr>
                <w:sz w:val="21"/>
              </w:rPr>
              <w:t>指经组织病理学检查被明确诊断为下列恶性病变，并且接受了相应的治疗。</w:t>
            </w:r>
          </w:p>
          <w:p>
            <w:pPr>
              <w:pStyle w:val="TableParagraph"/>
              <w:spacing w:before="36"/>
              <w:ind w:left="95"/>
              <w:rPr>
                <w:sz w:val="21"/>
              </w:rPr>
            </w:pPr>
            <w:r>
              <w:rPr>
                <w:sz w:val="21"/>
              </w:rPr>
              <w:t>（</w:t>
            </w:r>
            <w:r>
              <w:rPr>
                <w:rFonts w:ascii="Times New Roman" w:eastAsia="Times New Roman"/>
                <w:sz w:val="21"/>
              </w:rPr>
              <w:t>1</w:t>
            </w:r>
            <w:r>
              <w:rPr>
                <w:sz w:val="21"/>
              </w:rPr>
              <w:t>）原位癌；</w:t>
            </w:r>
          </w:p>
          <w:p>
            <w:pPr>
              <w:pStyle w:val="TableParagraph"/>
              <w:spacing w:before="20"/>
              <w:ind w:left="9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9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95"/>
              <w:rPr>
                <w:sz w:val="21"/>
              </w:rPr>
            </w:pPr>
            <w:r>
              <w:rPr>
                <w:sz w:val="21"/>
              </w:rPr>
              <w:t>（</w:t>
            </w:r>
            <w:r>
              <w:rPr>
                <w:rFonts w:ascii="Times New Roman" w:eastAsia="Times New Roman"/>
                <w:sz w:val="21"/>
              </w:rPr>
              <w:t>4</w:t>
            </w:r>
            <w:r>
              <w:rPr>
                <w:sz w:val="21"/>
              </w:rPr>
              <w:t>）皮肤癌；</w:t>
            </w:r>
          </w:p>
          <w:p>
            <w:pPr>
              <w:pStyle w:val="TableParagraph"/>
              <w:spacing w:before="27"/>
              <w:ind w:left="9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245" w:hRule="atLeast"/>
        </w:trPr>
        <w:tc>
          <w:tcPr>
            <w:tcW w:w="640" w:type="dxa"/>
          </w:tcPr>
          <w:p>
            <w:pPr>
              <w:pStyle w:val="TableParagraph"/>
              <w:spacing w:before="74"/>
              <w:ind w:left="200"/>
              <w:rPr>
                <w:rFonts w:ascii="Times New Roman"/>
                <w:b/>
                <w:sz w:val="21"/>
              </w:rPr>
            </w:pPr>
            <w:r>
              <w:rPr>
                <w:rFonts w:ascii="Times New Roman"/>
                <w:b/>
                <w:sz w:val="21"/>
              </w:rPr>
              <w:t>2.</w:t>
            </w:r>
          </w:p>
        </w:tc>
        <w:tc>
          <w:tcPr>
            <w:tcW w:w="1432" w:type="dxa"/>
          </w:tcPr>
          <w:p>
            <w:pPr>
              <w:pStyle w:val="TableParagraph"/>
              <w:spacing w:line="261" w:lineRule="auto" w:before="25"/>
              <w:ind w:left="282" w:right="302"/>
              <w:jc w:val="both"/>
              <w:rPr>
                <w:b/>
                <w:sz w:val="21"/>
              </w:rPr>
            </w:pPr>
            <w:r>
              <w:rPr>
                <w:b/>
                <w:sz w:val="21"/>
              </w:rPr>
              <w:t>不典型的急性心肌梗塞：</w:t>
            </w:r>
          </w:p>
        </w:tc>
        <w:tc>
          <w:tcPr>
            <w:tcW w:w="7790" w:type="dxa"/>
          </w:tcPr>
          <w:p>
            <w:pPr>
              <w:pStyle w:val="TableParagraph"/>
              <w:spacing w:line="273" w:lineRule="auto" w:before="17"/>
              <w:ind w:left="95" w:right="303"/>
              <w:rPr>
                <w:sz w:val="21"/>
              </w:rPr>
            </w:pPr>
            <w:r>
              <w:rPr>
                <w:sz w:val="21"/>
              </w:rPr>
              <w:t>指被临床诊断为急性心肌梗塞并接受了急性心肌梗塞治疗，虽然未达到本合同重大疾病“急性心肌梗塞”的给付标准，但满足下列全部条件：</w:t>
            </w:r>
          </w:p>
          <w:p>
            <w:pPr>
              <w:pStyle w:val="TableParagraph"/>
              <w:spacing w:before="7"/>
              <w:ind w:left="95"/>
              <w:rPr>
                <w:sz w:val="21"/>
              </w:rPr>
            </w:pPr>
            <w:r>
              <w:rPr>
                <w:sz w:val="21"/>
              </w:rPr>
              <w:t>（</w:t>
            </w:r>
            <w:r>
              <w:rPr>
                <w:rFonts w:ascii="Times New Roman" w:eastAsia="Times New Roman"/>
                <w:sz w:val="21"/>
              </w:rPr>
              <w:t>1</w:t>
            </w:r>
            <w:r>
              <w:rPr>
                <w:sz w:val="21"/>
              </w:rPr>
              <w:t>）肌钙蛋白有诊断意义的升高；</w:t>
            </w:r>
          </w:p>
          <w:p>
            <w:pPr>
              <w:pStyle w:val="TableParagraph"/>
              <w:spacing w:before="21"/>
              <w:ind w:left="95"/>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left="95" w:right="303"/>
              <w:jc w:val="both"/>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轻症疾病。给付后不典型的急性心肌梗塞和冠状动脉介入手术对应的保险责任同时终止。</w:t>
            </w:r>
          </w:p>
        </w:tc>
      </w:tr>
      <w:tr>
        <w:trPr>
          <w:trHeight w:val="1668" w:hRule="atLeast"/>
        </w:trPr>
        <w:tc>
          <w:tcPr>
            <w:tcW w:w="640" w:type="dxa"/>
          </w:tcPr>
          <w:p>
            <w:pPr>
              <w:pStyle w:val="TableParagraph"/>
              <w:spacing w:before="90"/>
              <w:ind w:left="200"/>
              <w:rPr>
                <w:rFonts w:ascii="Times New Roman"/>
                <w:b/>
                <w:sz w:val="21"/>
              </w:rPr>
            </w:pPr>
            <w:r>
              <w:rPr>
                <w:rFonts w:ascii="Times New Roman"/>
                <w:b/>
                <w:sz w:val="21"/>
              </w:rPr>
              <w:t>3.</w:t>
            </w:r>
          </w:p>
        </w:tc>
        <w:tc>
          <w:tcPr>
            <w:tcW w:w="1432" w:type="dxa"/>
          </w:tcPr>
          <w:p>
            <w:pPr>
              <w:pStyle w:val="TableParagraph"/>
              <w:spacing w:line="261" w:lineRule="auto" w:before="40"/>
              <w:ind w:left="282" w:right="302"/>
              <w:rPr>
                <w:b/>
                <w:sz w:val="21"/>
              </w:rPr>
            </w:pPr>
            <w:r>
              <w:rPr>
                <w:b/>
                <w:sz w:val="21"/>
              </w:rPr>
              <w:t>轻微脑中风：</w:t>
            </w:r>
          </w:p>
        </w:tc>
        <w:tc>
          <w:tcPr>
            <w:tcW w:w="7790" w:type="dxa"/>
          </w:tcPr>
          <w:p>
            <w:pPr>
              <w:pStyle w:val="TableParagraph"/>
              <w:spacing w:before="33"/>
              <w:ind w:left="95"/>
              <w:rPr>
                <w:sz w:val="21"/>
              </w:rPr>
            </w:pPr>
            <w:r>
              <w:rPr>
                <w:sz w:val="21"/>
              </w:rPr>
              <w:t>指实际发生了脑血管的突发病变出现神经系统功能障碍表现，头颅断层扫描</w:t>
            </w:r>
          </w:p>
          <w:p>
            <w:pPr>
              <w:pStyle w:val="TableParagraph"/>
              <w:spacing w:line="256" w:lineRule="auto" w:before="36"/>
              <w:ind w:left="95" w:right="298"/>
              <w:jc w:val="both"/>
              <w:rPr>
                <w:sz w:val="21"/>
              </w:rPr>
            </w:pPr>
            <w:r>
              <w:rPr>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11"/>
                <w:w w:val="100"/>
                <w:sz w:val="21"/>
              </w:rPr>
              <w:t>、核磁共振</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22"/>
                <w:w w:val="100"/>
                <w:sz w:val="21"/>
              </w:rPr>
              <w:t>）</w:t>
            </w:r>
            <w:r>
              <w:rPr>
                <w:spacing w:val="-6"/>
                <w:w w:val="100"/>
                <w:sz w:val="21"/>
              </w:rPr>
              <w:t>等影像学检查证实存在对应病灶，确诊为脑出血、脑栓</w:t>
            </w:r>
            <w:r>
              <w:rPr>
                <w:spacing w:val="-6"/>
                <w:sz w:val="21"/>
              </w:rPr>
              <w:t>塞或脑梗塞，在确诊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ind w:left="95"/>
              <w:jc w:val="both"/>
              <w:rPr>
                <w:rFonts w:ascii="黑体" w:eastAsia="黑体" w:hint="eastAsia"/>
                <w:sz w:val="21"/>
              </w:rPr>
            </w:pPr>
            <w:r>
              <w:rPr>
                <w:rFonts w:ascii="黑体" w:eastAsia="黑体" w:hint="eastAsia"/>
                <w:sz w:val="21"/>
              </w:rPr>
              <w:t>短暂性脑缺血发作(</w:t>
            </w:r>
            <w:r>
              <w:rPr>
                <w:rFonts w:ascii="Times New Roman" w:eastAsia="Times New Roman"/>
                <w:sz w:val="21"/>
              </w:rPr>
              <w:t>TIA</w:t>
            </w:r>
            <w:r>
              <w:rPr>
                <w:rFonts w:ascii="黑体" w:eastAsia="黑体" w:hint="eastAsia"/>
                <w:sz w:val="21"/>
              </w:rPr>
              <w:t>)和腔隙性脑梗塞不在保障范围内。</w:t>
            </w:r>
          </w:p>
        </w:tc>
      </w:tr>
      <w:tr>
        <w:trPr>
          <w:trHeight w:val="1629" w:hRule="atLeast"/>
        </w:trPr>
        <w:tc>
          <w:tcPr>
            <w:tcW w:w="640" w:type="dxa"/>
          </w:tcPr>
          <w:p>
            <w:pPr>
              <w:pStyle w:val="TableParagraph"/>
              <w:spacing w:before="82"/>
              <w:ind w:left="200"/>
              <w:rPr>
                <w:rFonts w:ascii="Times New Roman"/>
                <w:b/>
                <w:sz w:val="21"/>
              </w:rPr>
            </w:pPr>
            <w:r>
              <w:rPr>
                <w:rFonts w:ascii="Times New Roman"/>
                <w:b/>
                <w:sz w:val="21"/>
              </w:rPr>
              <w:t>4.</w:t>
            </w:r>
          </w:p>
        </w:tc>
        <w:tc>
          <w:tcPr>
            <w:tcW w:w="1432" w:type="dxa"/>
          </w:tcPr>
          <w:p>
            <w:pPr>
              <w:pStyle w:val="TableParagraph"/>
              <w:spacing w:line="261" w:lineRule="auto" w:before="32"/>
              <w:ind w:left="282" w:right="91"/>
              <w:rPr>
                <w:b/>
                <w:sz w:val="21"/>
              </w:rPr>
            </w:pPr>
            <w:r>
              <w:rPr>
                <w:b/>
                <w:sz w:val="21"/>
              </w:rPr>
              <w:t>冠状动脉 介入手术：</w:t>
            </w:r>
          </w:p>
        </w:tc>
        <w:tc>
          <w:tcPr>
            <w:tcW w:w="7790" w:type="dxa"/>
          </w:tcPr>
          <w:p>
            <w:pPr>
              <w:pStyle w:val="TableParagraph"/>
              <w:spacing w:line="273" w:lineRule="auto" w:before="25"/>
              <w:ind w:left="95" w:right="195"/>
              <w:rPr>
                <w:sz w:val="21"/>
              </w:rPr>
            </w:pPr>
            <w:r>
              <w:rPr>
                <w:spacing w:val="-7"/>
                <w:sz w:val="21"/>
              </w:rPr>
              <w:t>为了治疗明显的冠状动脉狭窄性疾病，首次实际实施了冠状动脉球囊扩张成形术、</w:t>
            </w:r>
            <w:r>
              <w:rPr>
                <w:spacing w:val="-5"/>
                <w:sz w:val="21"/>
              </w:rPr>
              <w:t>冠状动脉支架植入术或激光冠状动脉成形术。</w:t>
            </w:r>
          </w:p>
          <w:p>
            <w:pPr>
              <w:pStyle w:val="TableParagraph"/>
              <w:spacing w:line="261" w:lineRule="auto" w:before="14"/>
              <w:ind w:left="95" w:right="303"/>
              <w:jc w:val="both"/>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轻症疾病。给付后不典型的急性心肌梗塞和冠状动脉介入手术对应的保险责任同时终止。</w:t>
            </w:r>
          </w:p>
        </w:tc>
      </w:tr>
      <w:tr>
        <w:trPr>
          <w:trHeight w:val="1656" w:hRule="atLeast"/>
        </w:trPr>
        <w:tc>
          <w:tcPr>
            <w:tcW w:w="640" w:type="dxa"/>
          </w:tcPr>
          <w:p>
            <w:pPr>
              <w:pStyle w:val="TableParagraph"/>
              <w:spacing w:before="90"/>
              <w:ind w:left="200"/>
              <w:rPr>
                <w:rFonts w:ascii="Times New Roman"/>
                <w:b/>
                <w:sz w:val="21"/>
              </w:rPr>
            </w:pPr>
            <w:r>
              <w:rPr>
                <w:rFonts w:ascii="Times New Roman"/>
                <w:b/>
                <w:sz w:val="21"/>
              </w:rPr>
              <w:t>5.</w:t>
            </w:r>
          </w:p>
        </w:tc>
        <w:tc>
          <w:tcPr>
            <w:tcW w:w="1432" w:type="dxa"/>
          </w:tcPr>
          <w:p>
            <w:pPr>
              <w:pStyle w:val="TableParagraph"/>
              <w:spacing w:line="261" w:lineRule="auto" w:before="41"/>
              <w:ind w:left="282" w:right="302"/>
              <w:rPr>
                <w:b/>
                <w:sz w:val="21"/>
              </w:rPr>
            </w:pPr>
            <w:r>
              <w:rPr>
                <w:b/>
                <w:sz w:val="21"/>
              </w:rPr>
              <w:t>肝功能衰竭：</w:t>
            </w:r>
          </w:p>
        </w:tc>
        <w:tc>
          <w:tcPr>
            <w:tcW w:w="7790" w:type="dxa"/>
          </w:tcPr>
          <w:p>
            <w:pPr>
              <w:pStyle w:val="TableParagraph"/>
              <w:spacing w:before="33"/>
              <w:ind w:left="95"/>
              <w:rPr>
                <w:sz w:val="21"/>
              </w:rPr>
            </w:pPr>
            <w:r>
              <w:rPr>
                <w:sz w:val="21"/>
              </w:rPr>
              <w:t>指因慢性肝脏疾病导致肝功能衰竭失代偿期，须满足下列任意三个条件： </w:t>
            </w:r>
          </w:p>
          <w:p>
            <w:pPr>
              <w:pStyle w:val="TableParagraph"/>
              <w:spacing w:before="36"/>
              <w:ind w:left="95"/>
              <w:rPr>
                <w:sz w:val="21"/>
              </w:rPr>
            </w:pPr>
            <w:r>
              <w:rPr>
                <w:sz w:val="21"/>
              </w:rPr>
              <w:t>（1）持续性黄疸； </w:t>
            </w:r>
          </w:p>
          <w:p>
            <w:pPr>
              <w:pStyle w:val="TableParagraph"/>
              <w:spacing w:before="36"/>
              <w:ind w:left="95"/>
              <w:rPr>
                <w:sz w:val="21"/>
              </w:rPr>
            </w:pPr>
            <w:r>
              <w:rPr>
                <w:sz w:val="21"/>
              </w:rPr>
              <w:t>（2）腹水； </w:t>
            </w:r>
          </w:p>
          <w:p>
            <w:pPr>
              <w:pStyle w:val="TableParagraph"/>
              <w:spacing w:before="36"/>
              <w:ind w:left="95"/>
              <w:rPr>
                <w:sz w:val="21"/>
              </w:rPr>
            </w:pPr>
            <w:r>
              <w:rPr>
                <w:sz w:val="21"/>
              </w:rPr>
              <w:t>（3）肝性脑病； </w:t>
            </w:r>
          </w:p>
          <w:p>
            <w:pPr>
              <w:pStyle w:val="TableParagraph"/>
              <w:spacing w:before="44"/>
              <w:ind w:left="95"/>
              <w:rPr>
                <w:sz w:val="21"/>
              </w:rPr>
            </w:pPr>
            <w:r>
              <w:rPr>
                <w:sz w:val="21"/>
              </w:rPr>
              <w:t>（4）充血性脾肿大伴脾功能亢进或食管胃底静脉曲张。</w:t>
            </w:r>
          </w:p>
        </w:tc>
      </w:tr>
      <w:tr>
        <w:trPr>
          <w:trHeight w:val="1266" w:hRule="atLeast"/>
        </w:trPr>
        <w:tc>
          <w:tcPr>
            <w:tcW w:w="640" w:type="dxa"/>
          </w:tcPr>
          <w:p>
            <w:pPr>
              <w:pStyle w:val="TableParagraph"/>
              <w:spacing w:before="94"/>
              <w:ind w:left="200"/>
              <w:rPr>
                <w:rFonts w:ascii="Times New Roman"/>
                <w:b/>
                <w:sz w:val="21"/>
              </w:rPr>
            </w:pPr>
            <w:r>
              <w:rPr>
                <w:rFonts w:ascii="Times New Roman"/>
                <w:b/>
                <w:sz w:val="21"/>
              </w:rPr>
              <w:t>6.</w:t>
            </w:r>
          </w:p>
        </w:tc>
        <w:tc>
          <w:tcPr>
            <w:tcW w:w="1432" w:type="dxa"/>
          </w:tcPr>
          <w:p>
            <w:pPr>
              <w:pStyle w:val="TableParagraph"/>
              <w:spacing w:line="261" w:lineRule="auto" w:before="45"/>
              <w:ind w:left="282" w:right="302"/>
              <w:rPr>
                <w:b/>
                <w:sz w:val="21"/>
              </w:rPr>
            </w:pPr>
            <w:r>
              <w:rPr>
                <w:b/>
                <w:sz w:val="21"/>
              </w:rPr>
              <w:t>肺功能衰竭：</w:t>
            </w:r>
          </w:p>
        </w:tc>
        <w:tc>
          <w:tcPr>
            <w:tcW w:w="7790" w:type="dxa"/>
          </w:tcPr>
          <w:p>
            <w:pPr>
              <w:pStyle w:val="TableParagraph"/>
              <w:spacing w:before="28"/>
              <w:ind w:left="95"/>
              <w:rPr>
                <w:sz w:val="21"/>
              </w:rPr>
            </w:pPr>
            <w:r>
              <w:rPr>
                <w:sz w:val="21"/>
              </w:rPr>
              <w:t>指因慢性呼吸系统疾病导致呼吸功能衰竭，且诊断必须满足以下所有条件： </w:t>
            </w:r>
          </w:p>
          <w:p>
            <w:pPr>
              <w:pStyle w:val="TableParagraph"/>
              <w:spacing w:before="5"/>
              <w:ind w:left="95"/>
              <w:rPr>
                <w:sz w:val="21"/>
              </w:rPr>
            </w:pPr>
            <w:r>
              <w:rPr>
                <w:sz w:val="21"/>
              </w:rPr>
              <w:t>（1）第一秒末用力呼气量（FEV1）小于 1 升； </w:t>
            </w:r>
          </w:p>
          <w:p>
            <w:pPr>
              <w:pStyle w:val="TableParagraph"/>
              <w:spacing w:before="5"/>
              <w:ind w:left="95"/>
              <w:rPr>
                <w:sz w:val="21"/>
              </w:rPr>
            </w:pPr>
            <w:r>
              <w:rPr>
                <w:sz w:val="21"/>
              </w:rPr>
              <w:t>（2）残气容积占肺总量(TLC)的 50%以上； </w:t>
            </w:r>
          </w:p>
          <w:p>
            <w:pPr>
              <w:pStyle w:val="TableParagraph"/>
              <w:spacing w:before="19"/>
              <w:ind w:left="95"/>
              <w:rPr>
                <w:sz w:val="21"/>
              </w:rPr>
            </w:pPr>
            <w:r>
              <w:rPr>
                <w:sz w:val="21"/>
              </w:rPr>
              <w:t>（3）</w:t>
            </w:r>
            <w:r>
              <w:rPr>
                <w:rFonts w:ascii="Times New Roman" w:eastAsia="Times New Roman"/>
                <w:sz w:val="21"/>
              </w:rPr>
              <w:t>PaO2&lt;60mmHg</w:t>
            </w:r>
            <w:r>
              <w:rPr>
                <w:sz w:val="21"/>
              </w:rPr>
              <w:t>，</w:t>
            </w:r>
            <w:r>
              <w:rPr>
                <w:rFonts w:ascii="Times New Roman" w:eastAsia="Times New Roman"/>
                <w:sz w:val="21"/>
              </w:rPr>
              <w:t>PaCO2&gt;50mmHg</w:t>
            </w:r>
            <w:r>
              <w:rPr>
                <w:sz w:val="21"/>
              </w:rPr>
              <w:t>。</w:t>
            </w:r>
          </w:p>
        </w:tc>
      </w:tr>
      <w:tr>
        <w:trPr>
          <w:trHeight w:val="2263" w:hRule="atLeast"/>
        </w:trPr>
        <w:tc>
          <w:tcPr>
            <w:tcW w:w="640" w:type="dxa"/>
          </w:tcPr>
          <w:p>
            <w:pPr>
              <w:pStyle w:val="TableParagraph"/>
              <w:spacing w:before="83"/>
              <w:ind w:left="200"/>
              <w:rPr>
                <w:rFonts w:ascii="Times New Roman"/>
                <w:b/>
                <w:sz w:val="21"/>
              </w:rPr>
            </w:pPr>
            <w:r>
              <w:rPr>
                <w:rFonts w:ascii="Times New Roman"/>
                <w:b/>
                <w:sz w:val="21"/>
              </w:rPr>
              <w:t>7.</w:t>
            </w:r>
          </w:p>
        </w:tc>
        <w:tc>
          <w:tcPr>
            <w:tcW w:w="1432" w:type="dxa"/>
          </w:tcPr>
          <w:p>
            <w:pPr>
              <w:pStyle w:val="TableParagraph"/>
              <w:spacing w:line="261" w:lineRule="auto" w:before="34"/>
              <w:ind w:left="282" w:right="302"/>
              <w:rPr>
                <w:b/>
                <w:sz w:val="21"/>
              </w:rPr>
            </w:pPr>
            <w:r>
              <w:rPr>
                <w:b/>
                <w:sz w:val="21"/>
              </w:rPr>
              <w:t>视力严重受损：</w:t>
            </w:r>
          </w:p>
        </w:tc>
        <w:tc>
          <w:tcPr>
            <w:tcW w:w="7790" w:type="dxa"/>
          </w:tcPr>
          <w:p>
            <w:pPr>
              <w:pStyle w:val="TableParagraph"/>
              <w:spacing w:before="26"/>
              <w:ind w:left="95"/>
              <w:rPr>
                <w:sz w:val="21"/>
              </w:rPr>
            </w:pPr>
            <w:r>
              <w:rPr>
                <w:sz w:val="21"/>
              </w:rPr>
              <w:t>指因疾病或意外伤害导致双目视力永久不可逆性丧失，但未达到本合同重大疾病</w:t>
            </w:r>
          </w:p>
          <w:p>
            <w:pPr>
              <w:pStyle w:val="TableParagraph"/>
              <w:spacing w:before="36"/>
              <w:ind w:left="95"/>
              <w:rPr>
                <w:sz w:val="21"/>
              </w:rPr>
            </w:pPr>
            <w:r>
              <w:rPr>
                <w:sz w:val="21"/>
              </w:rPr>
              <w:t>“双目失明”的标准。须满足下列全部条件：</w:t>
            </w:r>
          </w:p>
          <w:p>
            <w:pPr>
              <w:pStyle w:val="TableParagraph"/>
              <w:spacing w:line="259" w:lineRule="auto" w:before="36"/>
              <w:ind w:left="621" w:right="303" w:hanging="526"/>
              <w:rPr>
                <w:sz w:val="21"/>
              </w:rPr>
            </w:pPr>
            <w:r>
              <w:rPr>
                <w:sz w:val="21"/>
              </w:rPr>
              <w:t>（</w:t>
            </w:r>
            <w:r>
              <w:rPr>
                <w:rFonts w:ascii="Times New Roman" w:eastAsia="Times New Roman"/>
                <w:sz w:val="21"/>
              </w:rPr>
              <w:t>1</w:t>
            </w:r>
            <w:r>
              <w:rPr>
                <w:sz w:val="21"/>
              </w:rPr>
              <w:t>）</w:t>
            </w:r>
            <w:r>
              <w:rPr>
                <w:spacing w:val="-2"/>
                <w:sz w:val="21"/>
              </w:rPr>
              <w:t>双眼中较好眼矫正视力低于 </w:t>
            </w:r>
            <w:r>
              <w:rPr>
                <w:rFonts w:ascii="Times New Roman" w:eastAsia="Times New Roman"/>
                <w:sz w:val="21"/>
              </w:rPr>
              <w:t>0.1</w:t>
            </w:r>
            <w:r>
              <w:rPr>
                <w:sz w:val="21"/>
              </w:rPr>
              <w:t>（</w:t>
            </w:r>
            <w:r>
              <w:rPr>
                <w:spacing w:val="-3"/>
                <w:sz w:val="21"/>
              </w:rPr>
              <w:t>采用国际标准视力表，若使用其他视力表</w:t>
            </w:r>
            <w:r>
              <w:rPr>
                <w:spacing w:val="-3"/>
                <w:w w:val="100"/>
                <w:sz w:val="21"/>
              </w:rPr>
              <w:t>应进行换算</w:t>
            </w:r>
            <w:r>
              <w:rPr>
                <w:spacing w:val="-106"/>
                <w:w w:val="100"/>
                <w:sz w:val="21"/>
              </w:rPr>
              <w:t>）</w:t>
            </w:r>
            <w:r>
              <w:rPr>
                <w:w w:val="100"/>
                <w:sz w:val="21"/>
              </w:rPr>
              <w:t>；</w:t>
            </w:r>
          </w:p>
          <w:p>
            <w:pPr>
              <w:pStyle w:val="TableParagraph"/>
              <w:spacing w:before="19"/>
              <w:ind w:left="95"/>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7"/>
              <w:ind w:left="95" w:right="304"/>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639" w:hRule="atLeast"/>
        </w:trPr>
        <w:tc>
          <w:tcPr>
            <w:tcW w:w="640" w:type="dxa"/>
          </w:tcPr>
          <w:p>
            <w:pPr>
              <w:pStyle w:val="TableParagraph"/>
              <w:spacing w:before="93"/>
              <w:ind w:left="200"/>
              <w:rPr>
                <w:rFonts w:ascii="Times New Roman"/>
                <w:b/>
                <w:sz w:val="21"/>
              </w:rPr>
            </w:pPr>
            <w:r>
              <w:rPr>
                <w:rFonts w:ascii="Times New Roman"/>
                <w:b/>
                <w:sz w:val="21"/>
              </w:rPr>
              <w:t>8.</w:t>
            </w:r>
          </w:p>
        </w:tc>
        <w:tc>
          <w:tcPr>
            <w:tcW w:w="1432" w:type="dxa"/>
          </w:tcPr>
          <w:p>
            <w:pPr>
              <w:pStyle w:val="TableParagraph"/>
              <w:spacing w:line="300" w:lineRule="atLeast" w:before="18"/>
              <w:ind w:left="282" w:right="302"/>
              <w:rPr>
                <w:b/>
                <w:sz w:val="21"/>
              </w:rPr>
            </w:pPr>
            <w:r>
              <w:rPr>
                <w:b/>
                <w:sz w:val="21"/>
              </w:rPr>
              <w:t>听力严重受损：</w:t>
            </w:r>
          </w:p>
        </w:tc>
        <w:tc>
          <w:tcPr>
            <w:tcW w:w="7790" w:type="dxa"/>
          </w:tcPr>
          <w:p>
            <w:pPr>
              <w:pStyle w:val="TableParagraph"/>
              <w:spacing w:before="36"/>
              <w:ind w:left="95"/>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71" w:lineRule="exact" w:before="20"/>
              <w:ind w:left="95"/>
              <w:rPr>
                <w:sz w:val="21"/>
              </w:rPr>
            </w:pPr>
            <w:r>
              <w:rPr>
                <w:rFonts w:ascii="Times New Roman" w:eastAsia="Times New Roman"/>
                <w:sz w:val="21"/>
              </w:rPr>
              <w:t>2000 </w:t>
            </w:r>
            <w:r>
              <w:rPr>
                <w:sz w:val="21"/>
              </w:rPr>
              <w:t>赫兹语音频率下，平均听阈大于 </w:t>
            </w:r>
            <w:r>
              <w:rPr>
                <w:rFonts w:ascii="Times New Roman" w:eastAsia="Times New Roman"/>
                <w:sz w:val="21"/>
              </w:rPr>
              <w:t>70 </w:t>
            </w:r>
            <w:r>
              <w:rPr>
                <w:sz w:val="21"/>
              </w:rPr>
              <w:t>分贝，且经纯音听力测试、声导抗检测</w:t>
            </w:r>
          </w:p>
        </w:tc>
      </w:tr>
    </w:tbl>
    <w:p>
      <w:pPr>
        <w:spacing w:after="0" w:line="271"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92"/>
      </w:tblGrid>
      <w:tr>
        <w:trPr>
          <w:trHeight w:val="928" w:hRule="atLeast"/>
        </w:trPr>
        <w:tc>
          <w:tcPr>
            <w:tcW w:w="693"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92" w:type="dxa"/>
          </w:tcPr>
          <w:p>
            <w:pPr>
              <w:pStyle w:val="TableParagraph"/>
              <w:spacing w:line="204" w:lineRule="exact"/>
              <w:rPr>
                <w:sz w:val="21"/>
              </w:rPr>
            </w:pPr>
            <w:r>
              <w:rPr>
                <w:sz w:val="21"/>
              </w:rPr>
              <w:t>或听觉诱发电位检测等证实，但未达到本合同所指重大疾病“双耳失聪”的标准。</w:t>
            </w:r>
          </w:p>
          <w:p>
            <w:pPr>
              <w:pStyle w:val="TableParagraph"/>
              <w:spacing w:line="261" w:lineRule="auto" w:before="44"/>
              <w:ind w:right="307"/>
              <w:rPr>
                <w:rFonts w:ascii="黑体" w:eastAsia="黑体" w:hint="eastAsia"/>
                <w:sz w:val="21"/>
              </w:rPr>
            </w:pPr>
            <w:r>
              <w:rPr>
                <w:rFonts w:ascii="黑体" w:eastAsia="黑体" w:hint="eastAsia"/>
                <w:sz w:val="21"/>
              </w:rPr>
              <w:t>被保险人申请理赔时年龄必须在三周岁以上，并且需提供理赔当时的听力丧失诊断及检查证据。</w:t>
            </w:r>
          </w:p>
        </w:tc>
      </w:tr>
      <w:tr>
        <w:trPr>
          <w:trHeight w:val="712" w:hRule="atLeast"/>
        </w:trPr>
        <w:tc>
          <w:tcPr>
            <w:tcW w:w="693" w:type="dxa"/>
          </w:tcPr>
          <w:p>
            <w:pPr>
              <w:pStyle w:val="TableParagraph"/>
              <w:spacing w:before="82"/>
              <w:ind w:left="77" w:right="209"/>
              <w:jc w:val="center"/>
              <w:rPr>
                <w:rFonts w:ascii="Times New Roman"/>
                <w:b/>
                <w:sz w:val="21"/>
              </w:rPr>
            </w:pPr>
            <w:r>
              <w:rPr>
                <w:rFonts w:ascii="Times New Roman"/>
                <w:b/>
                <w:sz w:val="21"/>
              </w:rPr>
              <w:t>9.</w:t>
            </w:r>
          </w:p>
        </w:tc>
        <w:tc>
          <w:tcPr>
            <w:tcW w:w="1380" w:type="dxa"/>
          </w:tcPr>
          <w:p>
            <w:pPr>
              <w:pStyle w:val="TableParagraph"/>
              <w:spacing w:line="261" w:lineRule="auto" w:before="33"/>
              <w:ind w:left="229" w:right="92"/>
              <w:rPr>
                <w:b/>
                <w:sz w:val="21"/>
              </w:rPr>
            </w:pPr>
            <w:r>
              <w:rPr>
                <w:b/>
                <w:sz w:val="21"/>
              </w:rPr>
              <w:t>心脏瓣膜 介入手术：</w:t>
            </w:r>
          </w:p>
        </w:tc>
        <w:tc>
          <w:tcPr>
            <w:tcW w:w="7792" w:type="dxa"/>
          </w:tcPr>
          <w:p>
            <w:pPr>
              <w:pStyle w:val="TableParagraph"/>
              <w:spacing w:line="261" w:lineRule="auto" w:before="33"/>
              <w:ind w:right="307"/>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693" w:type="dxa"/>
          </w:tcPr>
          <w:p>
            <w:pPr>
              <w:pStyle w:val="TableParagraph"/>
              <w:spacing w:before="82"/>
              <w:ind w:left="181" w:right="209"/>
              <w:jc w:val="center"/>
              <w:rPr>
                <w:rFonts w:ascii="Times New Roman"/>
                <w:b/>
                <w:sz w:val="21"/>
              </w:rPr>
            </w:pPr>
            <w:r>
              <w:rPr>
                <w:rFonts w:ascii="Times New Roman"/>
                <w:b/>
                <w:sz w:val="21"/>
              </w:rPr>
              <w:t>10.</w:t>
            </w:r>
          </w:p>
        </w:tc>
        <w:tc>
          <w:tcPr>
            <w:tcW w:w="1380" w:type="dxa"/>
          </w:tcPr>
          <w:p>
            <w:pPr>
              <w:pStyle w:val="TableParagraph"/>
              <w:spacing w:line="261" w:lineRule="auto" w:before="33"/>
              <w:ind w:left="229" w:right="303"/>
              <w:rPr>
                <w:b/>
                <w:sz w:val="21"/>
              </w:rPr>
            </w:pPr>
            <w:r>
              <w:rPr>
                <w:b/>
                <w:sz w:val="21"/>
              </w:rPr>
              <w:t>主动脉内手术：</w:t>
            </w:r>
          </w:p>
        </w:tc>
        <w:tc>
          <w:tcPr>
            <w:tcW w:w="7792" w:type="dxa"/>
          </w:tcPr>
          <w:p>
            <w:pPr>
              <w:pStyle w:val="TableParagraph"/>
              <w:spacing w:before="33"/>
              <w:rPr>
                <w:sz w:val="21"/>
              </w:rPr>
            </w:pPr>
            <w:r>
              <w:rPr>
                <w:sz w:val="21"/>
              </w:rPr>
              <w:t>为了治疗主动脉疾病实际实施了经皮经导管进行的动脉内手术。</w:t>
            </w:r>
          </w:p>
          <w:p>
            <w:pPr>
              <w:pStyle w:val="TableParagraph"/>
              <w:spacing w:before="25"/>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041" w:hRule="atLeast"/>
        </w:trPr>
        <w:tc>
          <w:tcPr>
            <w:tcW w:w="693" w:type="dxa"/>
          </w:tcPr>
          <w:p>
            <w:pPr>
              <w:pStyle w:val="TableParagraph"/>
              <w:spacing w:before="82"/>
              <w:ind w:left="181" w:right="209"/>
              <w:jc w:val="center"/>
              <w:rPr>
                <w:rFonts w:ascii="Times New Roman"/>
                <w:b/>
                <w:sz w:val="21"/>
              </w:rPr>
            </w:pPr>
            <w:r>
              <w:rPr>
                <w:rFonts w:ascii="Times New Roman"/>
                <w:b/>
                <w:sz w:val="21"/>
              </w:rPr>
              <w:t>11.</w:t>
            </w:r>
          </w:p>
        </w:tc>
        <w:tc>
          <w:tcPr>
            <w:tcW w:w="1380" w:type="dxa"/>
          </w:tcPr>
          <w:p>
            <w:pPr>
              <w:pStyle w:val="TableParagraph"/>
              <w:spacing w:line="261" w:lineRule="auto" w:before="33"/>
              <w:ind w:left="229" w:right="303"/>
              <w:rPr>
                <w:b/>
                <w:sz w:val="21"/>
              </w:rPr>
            </w:pPr>
            <w:r>
              <w:rPr>
                <w:b/>
                <w:sz w:val="21"/>
              </w:rPr>
              <w:t>慢性肾功能衰竭：</w:t>
            </w:r>
          </w:p>
        </w:tc>
        <w:tc>
          <w:tcPr>
            <w:tcW w:w="7792" w:type="dxa"/>
          </w:tcPr>
          <w:p>
            <w:pPr>
              <w:pStyle w:val="TableParagraph"/>
              <w:spacing w:before="26"/>
              <w:rPr>
                <w:sz w:val="21"/>
              </w:rPr>
            </w:pPr>
            <w:r>
              <w:rPr>
                <w:sz w:val="21"/>
              </w:rPr>
              <w:t>指双肾慢性肾功能衰竭，须满足下列全部条件：</w:t>
            </w:r>
          </w:p>
          <w:p>
            <w:pPr>
              <w:pStyle w:val="TableParagraph"/>
              <w:spacing w:before="37"/>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8"/>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4" w:hRule="atLeast"/>
        </w:trPr>
        <w:tc>
          <w:tcPr>
            <w:tcW w:w="693" w:type="dxa"/>
          </w:tcPr>
          <w:p>
            <w:pPr>
              <w:pStyle w:val="TableParagraph"/>
              <w:spacing w:before="78"/>
              <w:ind w:left="181" w:right="209"/>
              <w:jc w:val="center"/>
              <w:rPr>
                <w:rFonts w:ascii="Times New Roman"/>
                <w:b/>
                <w:sz w:val="21"/>
              </w:rPr>
            </w:pPr>
            <w:r>
              <w:rPr>
                <w:rFonts w:ascii="Times New Roman"/>
                <w:b/>
                <w:sz w:val="21"/>
              </w:rPr>
              <w:t>12.</w:t>
            </w:r>
          </w:p>
        </w:tc>
        <w:tc>
          <w:tcPr>
            <w:tcW w:w="1380" w:type="dxa"/>
          </w:tcPr>
          <w:p>
            <w:pPr>
              <w:pStyle w:val="TableParagraph"/>
              <w:spacing w:line="261" w:lineRule="auto" w:before="29"/>
              <w:ind w:left="229" w:right="92"/>
              <w:rPr>
                <w:b/>
                <w:sz w:val="21"/>
              </w:rPr>
            </w:pPr>
            <w:r>
              <w:rPr>
                <w:b/>
                <w:sz w:val="21"/>
              </w:rPr>
              <w:t>脑垂体瘤、</w:t>
            </w:r>
            <w:r>
              <w:rPr>
                <w:b/>
                <w:spacing w:val="-5"/>
                <w:sz w:val="21"/>
              </w:rPr>
              <w:t>脑囊肿、脑动脉瘤及 脑血管瘤：</w:t>
            </w:r>
          </w:p>
        </w:tc>
        <w:tc>
          <w:tcPr>
            <w:tcW w:w="7792" w:type="dxa"/>
          </w:tcPr>
          <w:p>
            <w:pPr>
              <w:pStyle w:val="TableParagraph"/>
              <w:spacing w:line="256" w:lineRule="auto" w:before="21"/>
              <w:ind w:right="198"/>
              <w:rPr>
                <w:sz w:val="21"/>
              </w:rPr>
            </w:pPr>
            <w:r>
              <w:rPr>
                <w:spacing w:val="-10"/>
                <w:w w:val="100"/>
                <w:sz w:val="21"/>
              </w:rPr>
              <w:t>指经头颅断层扫描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3"/>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3"/>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8"/>
              <w:rPr>
                <w:sz w:val="21"/>
              </w:rPr>
            </w:pPr>
            <w:r>
              <w:rPr>
                <w:sz w:val="21"/>
              </w:rPr>
              <w:t>（</w:t>
            </w:r>
            <w:r>
              <w:rPr>
                <w:rFonts w:ascii="Times New Roman" w:eastAsia="Times New Roman"/>
                <w:sz w:val="21"/>
              </w:rPr>
              <w:t>3</w:t>
            </w:r>
            <w:r>
              <w:rPr>
                <w:sz w:val="21"/>
              </w:rPr>
              <w:t>）脑动脉瘤、脑血管瘤。</w:t>
            </w:r>
          </w:p>
        </w:tc>
      </w:tr>
      <w:tr>
        <w:trPr>
          <w:trHeight w:val="1641" w:hRule="atLeast"/>
        </w:trPr>
        <w:tc>
          <w:tcPr>
            <w:tcW w:w="693" w:type="dxa"/>
          </w:tcPr>
          <w:p>
            <w:pPr>
              <w:pStyle w:val="TableParagraph"/>
              <w:spacing w:before="74"/>
              <w:ind w:left="181" w:right="209"/>
              <w:jc w:val="center"/>
              <w:rPr>
                <w:rFonts w:ascii="Times New Roman"/>
                <w:b/>
                <w:sz w:val="21"/>
              </w:rPr>
            </w:pPr>
            <w:r>
              <w:rPr>
                <w:rFonts w:ascii="Times New Roman"/>
                <w:b/>
                <w:sz w:val="21"/>
              </w:rPr>
              <w:t>13.</w:t>
            </w:r>
          </w:p>
        </w:tc>
        <w:tc>
          <w:tcPr>
            <w:tcW w:w="1380" w:type="dxa"/>
          </w:tcPr>
          <w:p>
            <w:pPr>
              <w:pStyle w:val="TableParagraph"/>
              <w:spacing w:line="261" w:lineRule="auto" w:before="25"/>
              <w:ind w:left="229" w:right="303"/>
              <w:rPr>
                <w:b/>
                <w:sz w:val="21"/>
              </w:rPr>
            </w:pPr>
            <w:r>
              <w:rPr>
                <w:b/>
                <w:sz w:val="21"/>
              </w:rPr>
              <w:t>轻度帕金森病：</w:t>
            </w:r>
          </w:p>
        </w:tc>
        <w:tc>
          <w:tcPr>
            <w:tcW w:w="7792" w:type="dxa"/>
          </w:tcPr>
          <w:p>
            <w:pPr>
              <w:pStyle w:val="TableParagraph"/>
              <w:spacing w:line="273" w:lineRule="auto" w:before="18"/>
              <w:ind w:right="30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28"/>
              <w:ind w:left="620" w:right="304"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自主生活能力完全丧失，无法独立完成六项基本日常生活活动中的二项或以上。</w:t>
            </w:r>
          </w:p>
        </w:tc>
      </w:tr>
      <w:tr>
        <w:trPr>
          <w:trHeight w:val="1314" w:hRule="atLeast"/>
        </w:trPr>
        <w:tc>
          <w:tcPr>
            <w:tcW w:w="693" w:type="dxa"/>
          </w:tcPr>
          <w:p>
            <w:pPr>
              <w:pStyle w:val="TableParagraph"/>
              <w:spacing w:before="82"/>
              <w:ind w:left="181" w:right="209"/>
              <w:jc w:val="center"/>
              <w:rPr>
                <w:rFonts w:ascii="Times New Roman"/>
                <w:b/>
                <w:sz w:val="21"/>
              </w:rPr>
            </w:pPr>
            <w:r>
              <w:rPr>
                <w:rFonts w:ascii="Times New Roman"/>
                <w:b/>
                <w:sz w:val="21"/>
              </w:rPr>
              <w:t>14.</w:t>
            </w:r>
          </w:p>
        </w:tc>
        <w:tc>
          <w:tcPr>
            <w:tcW w:w="1380" w:type="dxa"/>
          </w:tcPr>
          <w:p>
            <w:pPr>
              <w:pStyle w:val="TableParagraph"/>
              <w:spacing w:before="33"/>
              <w:ind w:left="229"/>
              <w:rPr>
                <w:b/>
                <w:sz w:val="21"/>
              </w:rPr>
            </w:pPr>
            <w:r>
              <w:rPr>
                <w:b/>
                <w:sz w:val="21"/>
              </w:rPr>
              <w:t>脑损伤：</w:t>
            </w:r>
          </w:p>
        </w:tc>
        <w:tc>
          <w:tcPr>
            <w:tcW w:w="7792" w:type="dxa"/>
          </w:tcPr>
          <w:p>
            <w:pPr>
              <w:pStyle w:val="TableParagraph"/>
              <w:spacing w:line="252" w:lineRule="auto" w:before="33"/>
              <w:ind w:right="198"/>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1"/>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63"/>
                <w:w w:val="100"/>
                <w:sz w:val="21"/>
              </w:rPr>
              <w:t>）</w:t>
            </w:r>
            <w:r>
              <w:rPr>
                <w:spacing w:val="-10"/>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4"/>
                <w:sz w:val="21"/>
              </w:rPr>
              <w:t>等影像学检查证实。神经系统永久性的功能障碍，指脑损伤 </w:t>
            </w:r>
            <w:r>
              <w:rPr>
                <w:rFonts w:ascii="Times New Roman" w:eastAsia="Times New Roman"/>
                <w:sz w:val="21"/>
              </w:rPr>
              <w:t>180 </w:t>
            </w:r>
            <w:r>
              <w:rPr>
                <w:spacing w:val="-2"/>
                <w:sz w:val="21"/>
              </w:rPr>
              <w:t>日后，仍完全丧</w:t>
            </w:r>
            <w:r>
              <w:rPr>
                <w:spacing w:val="-3"/>
                <w:sz w:val="21"/>
              </w:rPr>
              <w:t>失自主生活能力，无法独立完成六项基本日常生活活动中的二项或以上。</w:t>
            </w:r>
          </w:p>
        </w:tc>
      </w:tr>
      <w:tr>
        <w:trPr>
          <w:trHeight w:val="722" w:hRule="atLeast"/>
        </w:trPr>
        <w:tc>
          <w:tcPr>
            <w:tcW w:w="693" w:type="dxa"/>
          </w:tcPr>
          <w:p>
            <w:pPr>
              <w:pStyle w:val="TableParagraph"/>
              <w:spacing w:before="84"/>
              <w:ind w:left="181" w:right="209"/>
              <w:jc w:val="center"/>
              <w:rPr>
                <w:rFonts w:ascii="Times New Roman"/>
                <w:b/>
                <w:sz w:val="21"/>
              </w:rPr>
            </w:pPr>
            <w:r>
              <w:rPr>
                <w:rFonts w:ascii="Times New Roman"/>
                <w:b/>
                <w:sz w:val="21"/>
              </w:rPr>
              <w:t>15.</w:t>
            </w:r>
          </w:p>
        </w:tc>
        <w:tc>
          <w:tcPr>
            <w:tcW w:w="1380" w:type="dxa"/>
          </w:tcPr>
          <w:p>
            <w:pPr>
              <w:pStyle w:val="TableParagraph"/>
              <w:spacing w:line="261" w:lineRule="auto" w:before="34"/>
              <w:ind w:left="229" w:right="92"/>
              <w:rPr>
                <w:b/>
                <w:sz w:val="21"/>
              </w:rPr>
            </w:pPr>
            <w:r>
              <w:rPr>
                <w:b/>
                <w:sz w:val="21"/>
              </w:rPr>
              <w:t>较小面积 Ⅲ度烧伤：</w:t>
            </w:r>
          </w:p>
        </w:tc>
        <w:tc>
          <w:tcPr>
            <w:tcW w:w="7792" w:type="dxa"/>
          </w:tcPr>
          <w:p>
            <w:pPr>
              <w:pStyle w:val="TableParagraph"/>
              <w:spacing w:line="247" w:lineRule="auto" w:before="34"/>
              <w:ind w:right="301"/>
              <w:rPr>
                <w:sz w:val="21"/>
              </w:rPr>
            </w:pPr>
            <w:r>
              <w:rPr>
                <w:spacing w:val="-7"/>
                <w:sz w:val="21"/>
              </w:rPr>
              <w:t>指烧伤程度为Ⅲ度，且Ⅲ度烧伤的面积达到全身体表面积的 </w:t>
            </w:r>
            <w:r>
              <w:rPr>
                <w:rFonts w:ascii="Times New Roman" w:hAnsi="Times New Roman" w:eastAsia="Times New Roman"/>
                <w:sz w:val="21"/>
              </w:rPr>
              <w:t>10</w:t>
            </w:r>
            <w:r>
              <w:rPr>
                <w:spacing w:val="-13"/>
                <w:sz w:val="21"/>
              </w:rPr>
              <w:t>％或 </w:t>
            </w:r>
            <w:r>
              <w:rPr>
                <w:rFonts w:ascii="Times New Roman" w:hAnsi="Times New Roman" w:eastAsia="Times New Roman"/>
                <w:sz w:val="21"/>
              </w:rPr>
              <w:t>10%</w:t>
            </w:r>
            <w:r>
              <w:rPr>
                <w:spacing w:val="-6"/>
                <w:sz w:val="21"/>
              </w:rPr>
              <w:t>以上，但</w:t>
            </w:r>
            <w:r>
              <w:rPr>
                <w:spacing w:val="-15"/>
                <w:sz w:val="21"/>
              </w:rPr>
              <w:t>少于 </w:t>
            </w:r>
            <w:r>
              <w:rPr>
                <w:rFonts w:ascii="Times New Roman" w:hAnsi="Times New Roman" w:eastAsia="Times New Roman"/>
                <w:sz w:val="21"/>
              </w:rPr>
              <w:t>20%</w:t>
            </w:r>
            <w:r>
              <w:rPr>
                <w:spacing w:val="-3"/>
                <w:sz w:val="21"/>
              </w:rPr>
              <w:t>。体表面积根据《中国新九分法》计算。</w:t>
            </w:r>
          </w:p>
        </w:tc>
      </w:tr>
      <w:tr>
        <w:trPr>
          <w:trHeight w:val="2805" w:hRule="atLeast"/>
        </w:trPr>
        <w:tc>
          <w:tcPr>
            <w:tcW w:w="693" w:type="dxa"/>
          </w:tcPr>
          <w:p>
            <w:pPr>
              <w:pStyle w:val="TableParagraph"/>
              <w:spacing w:before="74"/>
              <w:ind w:left="181" w:right="209"/>
              <w:jc w:val="center"/>
              <w:rPr>
                <w:rFonts w:ascii="Times New Roman"/>
                <w:b/>
                <w:sz w:val="21"/>
              </w:rPr>
            </w:pPr>
            <w:r>
              <w:rPr>
                <w:rFonts w:ascii="Times New Roman"/>
                <w:b/>
                <w:sz w:val="21"/>
              </w:rPr>
              <w:t>16.</w:t>
            </w:r>
          </w:p>
        </w:tc>
        <w:tc>
          <w:tcPr>
            <w:tcW w:w="1380" w:type="dxa"/>
          </w:tcPr>
          <w:p>
            <w:pPr>
              <w:pStyle w:val="TableParagraph"/>
              <w:spacing w:line="261" w:lineRule="auto" w:before="25"/>
              <w:ind w:left="229" w:right="303"/>
              <w:jc w:val="both"/>
              <w:rPr>
                <w:b/>
                <w:sz w:val="21"/>
              </w:rPr>
            </w:pPr>
            <w:r>
              <w:rPr>
                <w:b/>
                <w:sz w:val="21"/>
              </w:rPr>
              <w:t>特定周围动脉疾病的血管介入治疗：</w:t>
            </w:r>
          </w:p>
        </w:tc>
        <w:tc>
          <w:tcPr>
            <w:tcW w:w="7792" w:type="dxa"/>
          </w:tcPr>
          <w:p>
            <w:pPr>
              <w:pStyle w:val="TableParagraph"/>
              <w:spacing w:before="25"/>
              <w:rPr>
                <w:sz w:val="21"/>
              </w:rPr>
            </w:pPr>
            <w:r>
              <w:rPr>
                <w:sz w:val="21"/>
              </w:rPr>
              <w:t>指为治疗一条或者一条以上的下列动脉狭窄而实施的血管介入治疗：</w:t>
            </w:r>
          </w:p>
          <w:p>
            <w:pPr>
              <w:pStyle w:val="TableParagraph"/>
              <w:spacing w:before="25"/>
              <w:rPr>
                <w:sz w:val="21"/>
              </w:rPr>
            </w:pPr>
            <w:r>
              <w:rPr>
                <w:sz w:val="21"/>
              </w:rPr>
              <w:t>（</w:t>
            </w:r>
            <w:r>
              <w:rPr>
                <w:rFonts w:ascii="Times New Roman" w:eastAsia="Times New Roman"/>
                <w:sz w:val="21"/>
              </w:rPr>
              <w:t>1</w:t>
            </w:r>
            <w:r>
              <w:rPr>
                <w:sz w:val="21"/>
              </w:rPr>
              <w:t>）为下肢或者上肢供血的动脉；</w:t>
            </w:r>
          </w:p>
          <w:p>
            <w:pPr>
              <w:pStyle w:val="TableParagraph"/>
              <w:spacing w:before="9"/>
              <w:rPr>
                <w:sz w:val="21"/>
              </w:rPr>
            </w:pPr>
            <w:r>
              <w:rPr>
                <w:sz w:val="21"/>
              </w:rPr>
              <w:t>（</w:t>
            </w:r>
            <w:r>
              <w:rPr>
                <w:rFonts w:ascii="Times New Roman" w:eastAsia="Times New Roman"/>
                <w:sz w:val="21"/>
              </w:rPr>
              <w:t>2</w:t>
            </w:r>
            <w:r>
              <w:rPr>
                <w:sz w:val="21"/>
              </w:rPr>
              <w:t>）肾动脉；</w:t>
            </w:r>
          </w:p>
          <w:p>
            <w:pPr>
              <w:pStyle w:val="TableParagraph"/>
              <w:spacing w:line="247" w:lineRule="auto" w:before="9"/>
              <w:ind w:right="5592"/>
              <w:rPr>
                <w:sz w:val="21"/>
              </w:rPr>
            </w:pPr>
            <w:r>
              <w:rPr>
                <w:sz w:val="21"/>
              </w:rPr>
              <w:t>（</w:t>
            </w:r>
            <w:r>
              <w:rPr>
                <w:rFonts w:ascii="Times New Roman" w:eastAsia="Times New Roman"/>
                <w:sz w:val="21"/>
              </w:rPr>
              <w:t>3</w:t>
            </w:r>
            <w:r>
              <w:rPr>
                <w:sz w:val="21"/>
              </w:rPr>
              <w:t>）</w:t>
            </w:r>
            <w:r>
              <w:rPr>
                <w:spacing w:val="-3"/>
                <w:sz w:val="21"/>
              </w:rPr>
              <w:t>肠系膜动脉。  须满足下列全部条件：</w:t>
            </w:r>
          </w:p>
          <w:p>
            <w:pPr>
              <w:pStyle w:val="TableParagraph"/>
              <w:spacing w:before="19"/>
              <w:rPr>
                <w:sz w:val="21"/>
              </w:rPr>
            </w:pPr>
            <w:r>
              <w:rPr>
                <w:sz w:val="21"/>
              </w:rPr>
              <w:t>（</w:t>
            </w:r>
            <w:r>
              <w:rPr>
                <w:rFonts w:ascii="Times New Roman" w:eastAsia="Times New Roman"/>
                <w:sz w:val="21"/>
              </w:rPr>
              <w:t>1</w:t>
            </w:r>
            <w:r>
              <w:rPr>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47" w:lineRule="auto" w:before="9"/>
              <w:ind w:left="620" w:right="306" w:hanging="526"/>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或者进行植入支架或者动脉粥样瘤清除手术。</w:t>
            </w:r>
          </w:p>
          <w:p>
            <w:pPr>
              <w:pStyle w:val="TableParagraph"/>
              <w:spacing w:before="18"/>
              <w:rPr>
                <w:sz w:val="21"/>
              </w:rPr>
            </w:pPr>
            <w:r>
              <w:rPr>
                <w:sz w:val="21"/>
              </w:rPr>
              <w:t>上述动脉疾病的诊断以及相关治疗的必要性必须由血管疾病的专科医生确定。</w:t>
            </w:r>
          </w:p>
        </w:tc>
      </w:tr>
      <w:tr>
        <w:trPr>
          <w:trHeight w:val="1321" w:hRule="atLeast"/>
        </w:trPr>
        <w:tc>
          <w:tcPr>
            <w:tcW w:w="693" w:type="dxa"/>
          </w:tcPr>
          <w:p>
            <w:pPr>
              <w:pStyle w:val="TableParagraph"/>
              <w:spacing w:before="82"/>
              <w:ind w:left="181" w:right="209"/>
              <w:jc w:val="center"/>
              <w:rPr>
                <w:rFonts w:ascii="Times New Roman"/>
                <w:b/>
                <w:sz w:val="21"/>
              </w:rPr>
            </w:pPr>
            <w:r>
              <w:rPr>
                <w:rFonts w:ascii="Times New Roman"/>
                <w:b/>
                <w:sz w:val="21"/>
              </w:rPr>
              <w:t>17.</w:t>
            </w:r>
          </w:p>
        </w:tc>
        <w:tc>
          <w:tcPr>
            <w:tcW w:w="1380" w:type="dxa"/>
          </w:tcPr>
          <w:p>
            <w:pPr>
              <w:pStyle w:val="TableParagraph"/>
              <w:spacing w:line="261" w:lineRule="auto" w:before="33"/>
              <w:ind w:left="229" w:right="92"/>
              <w:rPr>
                <w:b/>
                <w:sz w:val="21"/>
              </w:rPr>
            </w:pPr>
            <w:r>
              <w:rPr>
                <w:b/>
                <w:sz w:val="21"/>
              </w:rPr>
              <w:t>原发性肺 动脉高压：</w:t>
            </w:r>
          </w:p>
        </w:tc>
        <w:tc>
          <w:tcPr>
            <w:tcW w:w="7792" w:type="dxa"/>
          </w:tcPr>
          <w:p>
            <w:pPr>
              <w:pStyle w:val="TableParagraph"/>
              <w:spacing w:line="254" w:lineRule="auto" w:before="33"/>
              <w:ind w:right="302"/>
              <w:jc w:val="both"/>
              <w:rPr>
                <w:sz w:val="21"/>
              </w:rPr>
            </w:pPr>
            <w:r>
              <w:rPr>
                <w:sz w:val="21"/>
              </w:rPr>
              <w:t>指由于原发性肺动脉高压进行性发展而导致右心室肥厚，已经造成永久不可逆性的体力活动能力受限，达到美国纽约心脏病学会心功能状态分级 </w:t>
            </w:r>
            <w:r>
              <w:rPr>
                <w:rFonts w:ascii="Times New Roman" w:eastAsia="Times New Roman"/>
                <w:sz w:val="21"/>
              </w:rPr>
              <w:t>III </w:t>
            </w:r>
            <w:r>
              <w:rPr>
                <w:sz w:val="21"/>
              </w:rPr>
              <w:t>级及以上， 但尚未达到 </w:t>
            </w:r>
            <w:r>
              <w:rPr>
                <w:rFonts w:ascii="Times New Roman" w:eastAsia="Times New Roman"/>
                <w:sz w:val="21"/>
              </w:rPr>
              <w:t>IV  </w:t>
            </w:r>
            <w:r>
              <w:rPr>
                <w:sz w:val="21"/>
              </w:rPr>
              <w:t>级，且静息状态下肺动脉平均压超过 </w:t>
            </w:r>
            <w:r>
              <w:rPr>
                <w:rFonts w:ascii="Times New Roman" w:eastAsia="Times New Roman"/>
                <w:sz w:val="21"/>
              </w:rPr>
              <w:t>25mmHg</w:t>
            </w:r>
            <w:r>
              <w:rPr>
                <w:sz w:val="21"/>
              </w:rPr>
              <w:t>，但尚未超过</w:t>
            </w:r>
          </w:p>
          <w:p>
            <w:pPr>
              <w:pStyle w:val="TableParagraph"/>
              <w:spacing w:line="286" w:lineRule="exact"/>
              <w:jc w:val="both"/>
              <w:rPr>
                <w:sz w:val="21"/>
              </w:rPr>
            </w:pPr>
            <w:r>
              <w:rPr>
                <w:rFonts w:ascii="Times New Roman" w:eastAsia="Times New Roman"/>
                <w:sz w:val="21"/>
              </w:rPr>
              <w:t>30mmHg</w:t>
            </w:r>
            <w:r>
              <w:rPr>
                <w:sz w:val="21"/>
              </w:rPr>
              <w:t>。</w:t>
            </w:r>
          </w:p>
        </w:tc>
      </w:tr>
      <w:tr>
        <w:trPr>
          <w:trHeight w:val="607" w:hRule="atLeast"/>
        </w:trPr>
        <w:tc>
          <w:tcPr>
            <w:tcW w:w="693" w:type="dxa"/>
          </w:tcPr>
          <w:p>
            <w:pPr>
              <w:pStyle w:val="TableParagraph"/>
              <w:spacing w:before="74"/>
              <w:ind w:left="181" w:right="209"/>
              <w:jc w:val="center"/>
              <w:rPr>
                <w:rFonts w:ascii="Times New Roman"/>
                <w:b/>
                <w:sz w:val="21"/>
              </w:rPr>
            </w:pPr>
            <w:r>
              <w:rPr>
                <w:rFonts w:ascii="Times New Roman"/>
                <w:b/>
                <w:sz w:val="21"/>
              </w:rPr>
              <w:t>18.</w:t>
            </w:r>
          </w:p>
        </w:tc>
        <w:tc>
          <w:tcPr>
            <w:tcW w:w="1380" w:type="dxa"/>
          </w:tcPr>
          <w:p>
            <w:pPr>
              <w:pStyle w:val="TableParagraph"/>
              <w:spacing w:line="300" w:lineRule="atLeast"/>
              <w:ind w:left="229" w:right="303"/>
              <w:rPr>
                <w:b/>
                <w:sz w:val="21"/>
              </w:rPr>
            </w:pPr>
            <w:r>
              <w:rPr>
                <w:b/>
                <w:sz w:val="21"/>
              </w:rPr>
              <w:t>胆道重建手术：</w:t>
            </w:r>
          </w:p>
        </w:tc>
        <w:tc>
          <w:tcPr>
            <w:tcW w:w="7792" w:type="dxa"/>
          </w:tcPr>
          <w:p>
            <w:pPr>
              <w:pStyle w:val="TableParagraph"/>
              <w:spacing w:line="300" w:lineRule="atLeast"/>
              <w:ind w:right="307"/>
              <w:rPr>
                <w:rFonts w:ascii="黑体" w:eastAsia="黑体" w:hint="eastAsia"/>
                <w:sz w:val="21"/>
              </w:rPr>
            </w:pPr>
            <w:r>
              <w:rPr>
                <w:sz w:val="21"/>
              </w:rPr>
              <w:t>因胆道创伤导致接受涉及胆总管小肠吻合术的胆道重建手术。手术必须由专科医生认为是医疗所需的情况下进行。</w:t>
            </w:r>
            <w:r>
              <w:rPr>
                <w:rFonts w:ascii="黑体" w:eastAsia="黑体" w:hint="eastAsia"/>
                <w:sz w:val="21"/>
              </w:rPr>
              <w:t>胆道闭锁不在保障范围内。</w:t>
            </w:r>
          </w:p>
        </w:tc>
      </w:tr>
    </w:tbl>
    <w:p>
      <w:pPr>
        <w:spacing w:after="0" w:line="300" w:lineRule="atLeast"/>
        <w:rPr>
          <w:rFonts w:ascii="黑体" w:eastAsia="黑体" w:hint="eastAsia"/>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0"/>
        <w:gridCol w:w="7787"/>
      </w:tblGrid>
      <w:tr>
        <w:trPr>
          <w:trHeight w:val="21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19.</w:t>
            </w:r>
          </w:p>
        </w:tc>
        <w:tc>
          <w:tcPr>
            <w:tcW w:w="1380" w:type="dxa"/>
          </w:tcPr>
          <w:p>
            <w:pPr>
              <w:pStyle w:val="TableParagraph"/>
              <w:spacing w:line="211" w:lineRule="exact"/>
              <w:ind w:left="229"/>
              <w:rPr>
                <w:b/>
                <w:sz w:val="21"/>
              </w:rPr>
            </w:pPr>
            <w:r>
              <w:rPr>
                <w:b/>
                <w:sz w:val="21"/>
              </w:rPr>
              <w:t>单眼视力</w:t>
            </w:r>
          </w:p>
          <w:p>
            <w:pPr>
              <w:pStyle w:val="TableParagraph"/>
              <w:spacing w:before="25"/>
              <w:ind w:left="229"/>
              <w:rPr>
                <w:b/>
                <w:sz w:val="21"/>
              </w:rPr>
            </w:pPr>
            <w:r>
              <w:rPr>
                <w:b/>
                <w:sz w:val="21"/>
              </w:rPr>
              <w:t>丧失：</w:t>
            </w:r>
          </w:p>
        </w:tc>
        <w:tc>
          <w:tcPr>
            <w:tcW w:w="7787" w:type="dxa"/>
          </w:tcPr>
          <w:p>
            <w:pPr>
              <w:pStyle w:val="TableParagraph"/>
              <w:spacing w:line="211" w:lineRule="exact"/>
              <w:rPr>
                <w:sz w:val="21"/>
              </w:rPr>
            </w:pPr>
            <w:r>
              <w:rPr>
                <w:sz w:val="21"/>
              </w:rPr>
              <w:t>指因疾病或者意外伤害导致单眼视力永久不可逆性丧失，患眼须满足下列至少一</w:t>
            </w:r>
          </w:p>
          <w:p>
            <w:pPr>
              <w:pStyle w:val="TableParagraph"/>
              <w:spacing w:before="25"/>
              <w:rPr>
                <w:sz w:val="21"/>
              </w:rPr>
            </w:pPr>
            <w:r>
              <w:rPr>
                <w:sz w:val="21"/>
              </w:rPr>
              <w:t>项条件：</w:t>
            </w:r>
          </w:p>
          <w:p>
            <w:pPr>
              <w:pStyle w:val="TableParagraph"/>
              <w:spacing w:before="24"/>
              <w:rPr>
                <w:sz w:val="21"/>
              </w:rPr>
            </w:pPr>
            <w:r>
              <w:rPr>
                <w:sz w:val="21"/>
              </w:rPr>
              <w:t>（</w:t>
            </w:r>
            <w:r>
              <w:rPr>
                <w:rFonts w:ascii="Times New Roman" w:eastAsia="Times New Roman"/>
                <w:sz w:val="21"/>
              </w:rPr>
              <w:t>1</w:t>
            </w:r>
            <w:r>
              <w:rPr>
                <w:sz w:val="21"/>
              </w:rPr>
              <w:t>）眼球缺失或者摘除；</w:t>
            </w:r>
          </w:p>
          <w:p>
            <w:pPr>
              <w:pStyle w:val="TableParagraph"/>
              <w:spacing w:before="8"/>
              <w:rPr>
                <w:sz w:val="21"/>
              </w:rPr>
            </w:pPr>
            <w:r>
              <w:rPr>
                <w:w w:val="100"/>
                <w:sz w:val="21"/>
              </w:rPr>
              <w:t>（</w:t>
            </w:r>
            <w:r>
              <w:rPr>
                <w:rFonts w:ascii="Times New Roman" w:eastAsia="Times New Roman"/>
                <w:w w:val="100"/>
                <w:sz w:val="21"/>
              </w:rPr>
              <w:t>2</w:t>
            </w:r>
            <w:r>
              <w:rPr>
                <w:spacing w:val="-94"/>
                <w:w w:val="100"/>
                <w:sz w:val="21"/>
              </w:rPr>
              <w:t>）</w:t>
            </w:r>
            <w:r>
              <w:rPr>
                <w:spacing w:val="-3"/>
                <w:w w:val="100"/>
                <w:sz w:val="21"/>
              </w:rPr>
              <w:t>矫正视力低于</w:t>
            </w:r>
            <w:r>
              <w:rPr>
                <w:spacing w:val="-52"/>
                <w:sz w:val="21"/>
              </w:rPr>
              <w:t> </w:t>
            </w:r>
            <w:r>
              <w:rPr>
                <w:rFonts w:ascii="Times New Roman" w:eastAsia="Times New Roman"/>
                <w:w w:val="100"/>
                <w:sz w:val="21"/>
              </w:rPr>
              <w:t>0</w:t>
            </w:r>
            <w:r>
              <w:rPr>
                <w:rFonts w:ascii="Times New Roman" w:eastAsia="Times New Roman"/>
                <w:spacing w:val="-3"/>
                <w:w w:val="100"/>
                <w:sz w:val="21"/>
              </w:rPr>
              <w:t>.</w:t>
            </w:r>
            <w:r>
              <w:rPr>
                <w:rFonts w:ascii="Times New Roman" w:eastAsia="Times New Roman"/>
                <w:w w:val="100"/>
                <w:sz w:val="21"/>
              </w:rPr>
              <w:t>0</w:t>
            </w:r>
            <w:r>
              <w:rPr>
                <w:rFonts w:ascii="Times New Roman" w:eastAsia="Times New Roman"/>
                <w:spacing w:val="-94"/>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61" w:lineRule="auto" w:before="8"/>
              <w:ind w:right="302"/>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1012" w:hRule="atLeast"/>
        </w:trPr>
        <w:tc>
          <w:tcPr>
            <w:tcW w:w="693" w:type="dxa"/>
          </w:tcPr>
          <w:p>
            <w:pPr>
              <w:pStyle w:val="TableParagraph"/>
              <w:spacing w:before="83"/>
              <w:ind w:left="181" w:right="209"/>
              <w:jc w:val="center"/>
              <w:rPr>
                <w:rFonts w:ascii="Times New Roman"/>
                <w:b/>
                <w:sz w:val="21"/>
              </w:rPr>
            </w:pPr>
            <w:r>
              <w:rPr>
                <w:rFonts w:ascii="Times New Roman"/>
                <w:b/>
                <w:sz w:val="21"/>
              </w:rPr>
              <w:t>20.</w:t>
            </w:r>
          </w:p>
        </w:tc>
        <w:tc>
          <w:tcPr>
            <w:tcW w:w="1380" w:type="dxa"/>
          </w:tcPr>
          <w:p>
            <w:pPr>
              <w:pStyle w:val="TableParagraph"/>
              <w:spacing w:line="261" w:lineRule="auto" w:before="33"/>
              <w:ind w:left="229" w:right="303"/>
              <w:rPr>
                <w:b/>
                <w:sz w:val="21"/>
              </w:rPr>
            </w:pPr>
            <w:r>
              <w:rPr>
                <w:b/>
                <w:sz w:val="21"/>
              </w:rPr>
              <w:t>运动神经元病：</w:t>
            </w:r>
          </w:p>
        </w:tc>
        <w:tc>
          <w:tcPr>
            <w:tcW w:w="7787" w:type="dxa"/>
          </w:tcPr>
          <w:p>
            <w:pPr>
              <w:pStyle w:val="TableParagraph"/>
              <w:spacing w:line="261" w:lineRule="auto" w:before="33"/>
              <w:ind w:right="302"/>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tc>
      </w:tr>
      <w:tr>
        <w:trPr>
          <w:trHeight w:val="1613" w:hRule="atLeast"/>
        </w:trPr>
        <w:tc>
          <w:tcPr>
            <w:tcW w:w="693" w:type="dxa"/>
          </w:tcPr>
          <w:p>
            <w:pPr>
              <w:pStyle w:val="TableParagraph"/>
              <w:spacing w:before="83"/>
              <w:ind w:left="181" w:right="209"/>
              <w:jc w:val="center"/>
              <w:rPr>
                <w:rFonts w:ascii="Times New Roman"/>
                <w:b/>
                <w:sz w:val="21"/>
              </w:rPr>
            </w:pPr>
            <w:r>
              <w:rPr>
                <w:rFonts w:ascii="Times New Roman"/>
                <w:b/>
                <w:sz w:val="21"/>
              </w:rPr>
              <w:t>21.</w:t>
            </w:r>
          </w:p>
        </w:tc>
        <w:tc>
          <w:tcPr>
            <w:tcW w:w="1380" w:type="dxa"/>
          </w:tcPr>
          <w:p>
            <w:pPr>
              <w:pStyle w:val="TableParagraph"/>
              <w:spacing w:line="261" w:lineRule="auto" w:before="33"/>
              <w:ind w:left="229" w:right="303"/>
              <w:jc w:val="both"/>
              <w:rPr>
                <w:b/>
                <w:sz w:val="21"/>
              </w:rPr>
            </w:pPr>
            <w:r>
              <w:rPr>
                <w:b/>
                <w:sz w:val="21"/>
              </w:rPr>
              <w:t>中度严重溃疡性结肠炎：</w:t>
            </w:r>
          </w:p>
        </w:tc>
        <w:tc>
          <w:tcPr>
            <w:tcW w:w="7787" w:type="dxa"/>
          </w:tcPr>
          <w:p>
            <w:pPr>
              <w:pStyle w:val="TableParagraph"/>
              <w:spacing w:line="261" w:lineRule="auto" w:before="33"/>
              <w:ind w:right="302"/>
              <w:jc w:val="both"/>
              <w:rPr>
                <w:sz w:val="21"/>
              </w:rPr>
            </w:pPr>
            <w:r>
              <w:rPr>
                <w:sz w:val="21"/>
              </w:rPr>
              <w:t>指伴有致命性电解质紊乱的急性暴发性溃疡性结肠炎，病变累及全结肠，表现为严重的血便和系统性症状体征，但未达到本合同所指重大疾病“严重溃疡性结肠炎”的标准。</w:t>
            </w:r>
          </w:p>
          <w:p>
            <w:pPr>
              <w:pStyle w:val="TableParagraph"/>
              <w:spacing w:line="247" w:lineRule="auto" w:before="6"/>
              <w:ind w:right="296"/>
              <w:jc w:val="both"/>
              <w:rPr>
                <w:rFonts w:ascii="黑体" w:eastAsia="黑体" w:hint="eastAsia"/>
                <w:sz w:val="21"/>
              </w:rPr>
            </w:pPr>
            <w:r>
              <w:rPr>
                <w:spacing w:val="-4"/>
                <w:sz w:val="21"/>
              </w:rPr>
              <w:t>本症须经专科医生连续以免疫抑制剂或免疫调节剂治疗 </w:t>
            </w:r>
            <w:r>
              <w:rPr>
                <w:rFonts w:ascii="Times New Roman" w:eastAsia="Times New Roman"/>
                <w:sz w:val="21"/>
              </w:rPr>
              <w:t>3 </w:t>
            </w:r>
            <w:r>
              <w:rPr>
                <w:spacing w:val="-3"/>
                <w:sz w:val="21"/>
              </w:rPr>
              <w:t>个月以上，方符合赔偿</w:t>
            </w:r>
            <w:r>
              <w:rPr>
                <w:spacing w:val="-2"/>
                <w:sz w:val="21"/>
              </w:rPr>
              <w:t>条件。</w:t>
            </w:r>
            <w:r>
              <w:rPr>
                <w:rFonts w:ascii="黑体" w:eastAsia="黑体" w:hint="eastAsia"/>
                <w:spacing w:val="-3"/>
                <w:sz w:val="21"/>
              </w:rPr>
              <w:t>溃疡性结肠炎只局限在直肠的不在保障范围内。</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22.</w:t>
            </w:r>
          </w:p>
        </w:tc>
        <w:tc>
          <w:tcPr>
            <w:tcW w:w="1380" w:type="dxa"/>
          </w:tcPr>
          <w:p>
            <w:pPr>
              <w:pStyle w:val="TableParagraph"/>
              <w:spacing w:line="261" w:lineRule="auto" w:before="33"/>
              <w:ind w:left="229" w:right="303"/>
              <w:rPr>
                <w:b/>
                <w:sz w:val="21"/>
              </w:rPr>
            </w:pPr>
            <w:r>
              <w:rPr>
                <w:b/>
                <w:sz w:val="21"/>
              </w:rPr>
              <w:t>单个肢体缺失：</w:t>
            </w:r>
          </w:p>
        </w:tc>
        <w:tc>
          <w:tcPr>
            <w:tcW w:w="7787" w:type="dxa"/>
          </w:tcPr>
          <w:p>
            <w:pPr>
              <w:pStyle w:val="TableParagraph"/>
              <w:spacing w:before="33"/>
              <w:rPr>
                <w:sz w:val="21"/>
              </w:rPr>
            </w:pPr>
            <w:r>
              <w:rPr>
                <w:sz w:val="21"/>
              </w:rPr>
              <w:t>指一个肢体自腕关节或者踝关节近端（靠近躯干端）以上完全性断离。</w:t>
            </w:r>
          </w:p>
        </w:tc>
      </w:tr>
      <w:tr>
        <w:trPr>
          <w:trHeight w:val="1912" w:hRule="atLeast"/>
        </w:trPr>
        <w:tc>
          <w:tcPr>
            <w:tcW w:w="693" w:type="dxa"/>
          </w:tcPr>
          <w:p>
            <w:pPr>
              <w:pStyle w:val="TableParagraph"/>
              <w:spacing w:before="83"/>
              <w:ind w:left="181" w:right="209"/>
              <w:jc w:val="center"/>
              <w:rPr>
                <w:rFonts w:ascii="Times New Roman"/>
                <w:b/>
                <w:sz w:val="21"/>
              </w:rPr>
            </w:pPr>
            <w:r>
              <w:rPr>
                <w:rFonts w:ascii="Times New Roman"/>
                <w:b/>
                <w:sz w:val="21"/>
              </w:rPr>
              <w:t>23.</w:t>
            </w:r>
          </w:p>
        </w:tc>
        <w:tc>
          <w:tcPr>
            <w:tcW w:w="1380" w:type="dxa"/>
          </w:tcPr>
          <w:p>
            <w:pPr>
              <w:pStyle w:val="TableParagraph"/>
              <w:spacing w:line="261" w:lineRule="auto" w:before="33"/>
              <w:ind w:left="229" w:right="303"/>
              <w:rPr>
                <w:b/>
                <w:sz w:val="21"/>
              </w:rPr>
            </w:pPr>
            <w:r>
              <w:rPr>
                <w:b/>
                <w:sz w:val="21"/>
              </w:rPr>
              <w:t>面部重建手术：</w:t>
            </w:r>
          </w:p>
        </w:tc>
        <w:tc>
          <w:tcPr>
            <w:tcW w:w="7787" w:type="dxa"/>
          </w:tcPr>
          <w:p>
            <w:pPr>
              <w:pStyle w:val="TableParagraph"/>
              <w:spacing w:line="261" w:lineRule="auto" w:before="33"/>
              <w:ind w:right="298"/>
              <w:jc w:val="both"/>
              <w:rPr>
                <w:sz w:val="21"/>
              </w:rPr>
            </w:pPr>
            <w:r>
              <w:rPr>
                <w:spacing w:val="-1"/>
                <w:sz w:val="21"/>
              </w:rPr>
              <w:t>确实进行整形或者重建手术</w:t>
            </w:r>
            <w:r>
              <w:rPr>
                <w:sz w:val="21"/>
              </w:rPr>
              <w:t>（</w:t>
            </w:r>
            <w:r>
              <w:rPr>
                <w:spacing w:val="-2"/>
                <w:sz w:val="21"/>
              </w:rPr>
              <w:t>颈部以上的面部构造不完整、缺掉或者受损而对其</w:t>
            </w:r>
            <w:r>
              <w:rPr>
                <w:spacing w:val="-9"/>
                <w:sz w:val="21"/>
              </w:rPr>
              <w:t>形态及外观进行修复或者重建，但未达到本合同所指重大疾病“严重Ⅲ度烧伤”、</w:t>
            </w:r>
          </w:p>
          <w:p>
            <w:pPr>
              <w:pStyle w:val="TableParagraph"/>
              <w:spacing w:line="261" w:lineRule="auto" w:before="5"/>
              <w:ind w:right="298"/>
              <w:jc w:val="both"/>
              <w:rPr>
                <w:rFonts w:ascii="黑体" w:hAnsi="黑体" w:eastAsia="黑体" w:hint="eastAsia"/>
                <w:sz w:val="21"/>
              </w:rPr>
            </w:pPr>
            <w:r>
              <w:rPr>
                <w:spacing w:val="-7"/>
                <w:sz w:val="21"/>
              </w:rPr>
              <w:t>“严重面部烧伤”的标准</w:t>
            </w:r>
            <w:r>
              <w:rPr>
                <w:spacing w:val="-71"/>
                <w:sz w:val="21"/>
              </w:rPr>
              <w:t>）</w:t>
            </w:r>
            <w:r>
              <w:rPr>
                <w:spacing w:val="-10"/>
                <w:sz w:val="21"/>
              </w:rPr>
              <w:t>，同时必须由专科医生认为该面部毁容是需要接受住院治疗，及其后接受该手术，而对该面部毁容所进行的治疗亦是医疗所需。</w:t>
            </w:r>
            <w:r>
              <w:rPr>
                <w:rFonts w:ascii="黑体" w:hAnsi="黑体" w:eastAsia="黑体" w:hint="eastAsia"/>
                <w:spacing w:val="-2"/>
                <w:sz w:val="21"/>
              </w:rPr>
              <w:t>因纯粹</w:t>
            </w:r>
            <w:r>
              <w:rPr>
                <w:rFonts w:ascii="黑体" w:hAnsi="黑体" w:eastAsia="黑体" w:hint="eastAsia"/>
                <w:spacing w:val="-3"/>
                <w:sz w:val="21"/>
              </w:rPr>
              <w:t>整容原因、独立的牙齿修复、独立的鼻骨折断或者独立的皮肤伤口所进行的手术均不受此保障。</w:t>
            </w:r>
          </w:p>
        </w:tc>
      </w:tr>
      <w:tr>
        <w:trPr>
          <w:trHeight w:val="713" w:hRule="atLeast"/>
        </w:trPr>
        <w:tc>
          <w:tcPr>
            <w:tcW w:w="693" w:type="dxa"/>
          </w:tcPr>
          <w:p>
            <w:pPr>
              <w:pStyle w:val="TableParagraph"/>
              <w:spacing w:before="83"/>
              <w:ind w:left="181" w:right="209"/>
              <w:jc w:val="center"/>
              <w:rPr>
                <w:rFonts w:ascii="Times New Roman"/>
                <w:b/>
                <w:sz w:val="21"/>
              </w:rPr>
            </w:pPr>
            <w:r>
              <w:rPr>
                <w:rFonts w:ascii="Times New Roman"/>
                <w:b/>
                <w:sz w:val="21"/>
              </w:rPr>
              <w:t>24.</w:t>
            </w:r>
          </w:p>
        </w:tc>
        <w:tc>
          <w:tcPr>
            <w:tcW w:w="1380" w:type="dxa"/>
          </w:tcPr>
          <w:p>
            <w:pPr>
              <w:pStyle w:val="TableParagraph"/>
              <w:spacing w:before="33"/>
              <w:ind w:left="229"/>
              <w:rPr>
                <w:b/>
                <w:sz w:val="21"/>
              </w:rPr>
            </w:pPr>
            <w:r>
              <w:rPr>
                <w:b/>
                <w:sz w:val="21"/>
              </w:rPr>
              <w:t>肾脏切除：</w:t>
            </w:r>
          </w:p>
        </w:tc>
        <w:tc>
          <w:tcPr>
            <w:tcW w:w="7787" w:type="dxa"/>
          </w:tcPr>
          <w:p>
            <w:pPr>
              <w:pStyle w:val="TableParagraph"/>
              <w:spacing w:line="261" w:lineRule="auto" w:before="33"/>
              <w:ind w:right="302"/>
              <w:rPr>
                <w:rFonts w:ascii="黑体" w:eastAsia="黑体" w:hint="eastAsia"/>
                <w:sz w:val="21"/>
              </w:rPr>
            </w:pPr>
            <w:r>
              <w:rPr>
                <w:sz w:val="21"/>
              </w:rPr>
              <w:t>指因疾病或者意外伤害导致至少单侧肾切除。</w:t>
            </w:r>
            <w:r>
              <w:rPr>
                <w:rFonts w:ascii="黑体" w:eastAsia="黑体" w:hint="eastAsia"/>
                <w:sz w:val="21"/>
              </w:rPr>
              <w:t>因捐赠肾脏而所需的肾脏切除不在保障范围内。</w:t>
            </w:r>
          </w:p>
        </w:tc>
      </w:tr>
      <w:tr>
        <w:trPr>
          <w:trHeight w:val="713" w:hRule="atLeast"/>
        </w:trPr>
        <w:tc>
          <w:tcPr>
            <w:tcW w:w="693" w:type="dxa"/>
          </w:tcPr>
          <w:p>
            <w:pPr>
              <w:pStyle w:val="TableParagraph"/>
              <w:spacing w:before="83"/>
              <w:ind w:left="181" w:right="209"/>
              <w:jc w:val="center"/>
              <w:rPr>
                <w:rFonts w:ascii="Times New Roman"/>
                <w:b/>
                <w:sz w:val="21"/>
              </w:rPr>
            </w:pPr>
            <w:r>
              <w:rPr>
                <w:rFonts w:ascii="Times New Roman"/>
                <w:b/>
                <w:sz w:val="21"/>
              </w:rPr>
              <w:t>25.</w:t>
            </w:r>
          </w:p>
        </w:tc>
        <w:tc>
          <w:tcPr>
            <w:tcW w:w="1380" w:type="dxa"/>
          </w:tcPr>
          <w:p>
            <w:pPr>
              <w:pStyle w:val="TableParagraph"/>
              <w:spacing w:before="33"/>
              <w:ind w:left="229"/>
              <w:rPr>
                <w:b/>
                <w:sz w:val="21"/>
              </w:rPr>
            </w:pPr>
            <w:r>
              <w:rPr>
                <w:b/>
                <w:sz w:val="21"/>
              </w:rPr>
              <w:t>肝叶切除：</w:t>
            </w:r>
          </w:p>
        </w:tc>
        <w:tc>
          <w:tcPr>
            <w:tcW w:w="7787" w:type="dxa"/>
          </w:tcPr>
          <w:p>
            <w:pPr>
              <w:pStyle w:val="TableParagraph"/>
              <w:spacing w:line="261" w:lineRule="auto" w:before="33"/>
              <w:ind w:right="302"/>
              <w:rPr>
                <w:rFonts w:ascii="黑体" w:eastAsia="黑体" w:hint="eastAsia"/>
                <w:sz w:val="21"/>
              </w:rPr>
            </w:pPr>
            <w:r>
              <w:rPr>
                <w:sz w:val="21"/>
              </w:rPr>
              <w:t>指因疾病或者意外伤害导致至少一整叶肝脏切除。</w:t>
            </w:r>
            <w:r>
              <w:rPr>
                <w:rFonts w:ascii="黑体" w:eastAsia="黑体" w:hint="eastAsia"/>
                <w:sz w:val="21"/>
              </w:rPr>
              <w:t>因酒精或者滥用药物引致的疾病或者紊乱及／或者因捐赠肝脏而所需的肝脏手术均不在保障范围内。</w:t>
            </w:r>
          </w:p>
        </w:tc>
      </w:tr>
      <w:tr>
        <w:trPr>
          <w:trHeight w:val="713" w:hRule="atLeast"/>
        </w:trPr>
        <w:tc>
          <w:tcPr>
            <w:tcW w:w="693" w:type="dxa"/>
          </w:tcPr>
          <w:p>
            <w:pPr>
              <w:pStyle w:val="TableParagraph"/>
              <w:spacing w:before="84"/>
              <w:ind w:left="181" w:right="209"/>
              <w:jc w:val="center"/>
              <w:rPr>
                <w:rFonts w:ascii="Times New Roman"/>
                <w:b/>
                <w:sz w:val="21"/>
              </w:rPr>
            </w:pPr>
            <w:r>
              <w:rPr>
                <w:rFonts w:ascii="Times New Roman"/>
                <w:b/>
                <w:sz w:val="21"/>
              </w:rPr>
              <w:t>26.</w:t>
            </w:r>
          </w:p>
        </w:tc>
        <w:tc>
          <w:tcPr>
            <w:tcW w:w="1380" w:type="dxa"/>
          </w:tcPr>
          <w:p>
            <w:pPr>
              <w:pStyle w:val="TableParagraph"/>
              <w:spacing w:before="35"/>
              <w:ind w:left="229"/>
              <w:rPr>
                <w:b/>
                <w:sz w:val="21"/>
              </w:rPr>
            </w:pPr>
            <w:r>
              <w:rPr>
                <w:b/>
                <w:sz w:val="21"/>
              </w:rPr>
              <w:t>肺切除：</w:t>
            </w:r>
          </w:p>
        </w:tc>
        <w:tc>
          <w:tcPr>
            <w:tcW w:w="7787" w:type="dxa"/>
          </w:tcPr>
          <w:p>
            <w:pPr>
              <w:pStyle w:val="TableParagraph"/>
              <w:spacing w:line="261" w:lineRule="auto" w:before="35"/>
              <w:ind w:right="302"/>
              <w:rPr>
                <w:rFonts w:ascii="黑体" w:eastAsia="黑体" w:hint="eastAsia"/>
                <w:sz w:val="21"/>
              </w:rPr>
            </w:pPr>
            <w:r>
              <w:rPr>
                <w:sz w:val="21"/>
              </w:rPr>
              <w:t>指因疾病或者意外伤害导致至少一个肺切除。</w:t>
            </w:r>
            <w:r>
              <w:rPr>
                <w:rFonts w:ascii="黑体" w:eastAsia="黑体" w:hint="eastAsia"/>
                <w:sz w:val="21"/>
              </w:rPr>
              <w:t>因捐赠肺而所需的肺切除不在保障范围内。</w:t>
            </w:r>
          </w:p>
        </w:tc>
      </w:tr>
      <w:tr>
        <w:trPr>
          <w:trHeight w:val="1912" w:hRule="atLeast"/>
        </w:trPr>
        <w:tc>
          <w:tcPr>
            <w:tcW w:w="693" w:type="dxa"/>
          </w:tcPr>
          <w:p>
            <w:pPr>
              <w:pStyle w:val="TableParagraph"/>
              <w:spacing w:before="83"/>
              <w:ind w:left="181" w:right="209"/>
              <w:jc w:val="center"/>
              <w:rPr>
                <w:rFonts w:ascii="Times New Roman"/>
                <w:b/>
                <w:sz w:val="21"/>
              </w:rPr>
            </w:pPr>
            <w:r>
              <w:rPr>
                <w:rFonts w:ascii="Times New Roman"/>
                <w:b/>
                <w:sz w:val="21"/>
              </w:rPr>
              <w:t>27.</w:t>
            </w:r>
          </w:p>
        </w:tc>
        <w:tc>
          <w:tcPr>
            <w:tcW w:w="1380" w:type="dxa"/>
          </w:tcPr>
          <w:p>
            <w:pPr>
              <w:pStyle w:val="TableParagraph"/>
              <w:spacing w:before="33"/>
              <w:ind w:left="229"/>
              <w:rPr>
                <w:b/>
                <w:sz w:val="21"/>
              </w:rPr>
            </w:pPr>
            <w:r>
              <w:rPr>
                <w:b/>
                <w:sz w:val="21"/>
              </w:rPr>
              <w:t>单耳失聪：</w:t>
            </w:r>
          </w:p>
        </w:tc>
        <w:tc>
          <w:tcPr>
            <w:tcW w:w="7787" w:type="dxa"/>
          </w:tcPr>
          <w:p>
            <w:pPr>
              <w:pStyle w:val="TableParagraph"/>
              <w:spacing w:line="252" w:lineRule="auto" w:before="33"/>
              <w:ind w:right="296"/>
              <w:jc w:val="both"/>
              <w:rPr>
                <w:sz w:val="21"/>
              </w:rPr>
            </w:pPr>
            <w:r>
              <w:rPr>
                <w:spacing w:val="-6"/>
                <w:sz w:val="21"/>
              </w:rPr>
              <w:t>指因疾病或者意外伤害导致单耳听力永久不可逆性丧失，在 </w:t>
            </w:r>
            <w:r>
              <w:rPr>
                <w:rFonts w:ascii="Times New Roman" w:hAnsi="Times New Roman" w:eastAsia="Times New Roman"/>
                <w:sz w:val="21"/>
              </w:rPr>
              <w:t>500 </w:t>
            </w:r>
            <w:r>
              <w:rPr>
                <w:spacing w:val="-5"/>
                <w:sz w:val="21"/>
              </w:rPr>
              <w:t>赫兹、</w:t>
            </w:r>
            <w:r>
              <w:rPr>
                <w:rFonts w:ascii="Times New Roman" w:hAnsi="Times New Roman" w:eastAsia="Times New Roman"/>
                <w:sz w:val="21"/>
              </w:rPr>
              <w:t>1000 </w:t>
            </w:r>
            <w:r>
              <w:rPr>
                <w:sz w:val="21"/>
              </w:rPr>
              <w:t>赫兹</w:t>
            </w:r>
            <w:r>
              <w:rPr>
                <w:spacing w:val="-17"/>
                <w:sz w:val="21"/>
              </w:rPr>
              <w:t>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90 </w:t>
            </w:r>
            <w:r>
              <w:rPr>
                <w:spacing w:val="-3"/>
                <w:sz w:val="21"/>
              </w:rPr>
              <w:t>分贝，且经纯音听力测试、声导抗检测或者听觉诱发电位检测等证实，但未达到本合同所指重大疾病“双耳失聪”的标准。</w:t>
            </w:r>
          </w:p>
          <w:p>
            <w:pPr>
              <w:pStyle w:val="TableParagraph"/>
              <w:spacing w:line="261" w:lineRule="auto" w:before="14"/>
              <w:ind w:right="302"/>
              <w:jc w:val="both"/>
              <w:rPr>
                <w:rFonts w:ascii="黑体" w:eastAsia="黑体" w:hint="eastAsia"/>
                <w:sz w:val="21"/>
              </w:rPr>
            </w:pPr>
            <w:r>
              <w:rPr>
                <w:rFonts w:ascii="黑体" w:eastAsia="黑体" w:hint="eastAsia"/>
                <w:sz w:val="21"/>
              </w:rPr>
              <w:t>被保险人申请理赔时年龄必须在三周岁以上，并且需提供理赔当时的听力丧失诊断及检查证据。</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28.</w:t>
            </w:r>
          </w:p>
        </w:tc>
        <w:tc>
          <w:tcPr>
            <w:tcW w:w="1380" w:type="dxa"/>
          </w:tcPr>
          <w:p>
            <w:pPr>
              <w:pStyle w:val="TableParagraph"/>
              <w:spacing w:line="261" w:lineRule="auto" w:before="33"/>
              <w:ind w:left="229" w:right="303"/>
              <w:jc w:val="both"/>
              <w:rPr>
                <w:b/>
                <w:sz w:val="21"/>
              </w:rPr>
            </w:pPr>
            <w:r>
              <w:rPr>
                <w:b/>
                <w:sz w:val="21"/>
              </w:rPr>
              <w:t>轻型再生障碍性贫血：</w:t>
            </w:r>
          </w:p>
        </w:tc>
        <w:tc>
          <w:tcPr>
            <w:tcW w:w="7787" w:type="dxa"/>
          </w:tcPr>
          <w:p>
            <w:pPr>
              <w:pStyle w:val="TableParagraph"/>
              <w:spacing w:line="261" w:lineRule="auto" w:before="33"/>
              <w:ind w:right="301"/>
              <w:jc w:val="both"/>
              <w:rPr>
                <w:sz w:val="21"/>
              </w:rPr>
            </w:pPr>
            <w:r>
              <w:rPr>
                <w:sz w:val="21"/>
              </w:rPr>
              <w:t>因骨髓造血功能衰竭而导致的贫血、中性粒细胞减少和血小板减少，但未达到本合同所指重大疾病“重型再生障碍性贫血”的标准。须由血液科医生诊断，且至少接受了下列一项治疗：</w:t>
            </w:r>
          </w:p>
          <w:p>
            <w:pPr>
              <w:pStyle w:val="TableParagraph"/>
              <w:spacing w:before="5"/>
              <w:jc w:val="both"/>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8"/>
              <w:jc w:val="both"/>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8"/>
              <w:jc w:val="both"/>
              <w:rPr>
                <w:sz w:val="21"/>
              </w:rPr>
            </w:pPr>
            <w:r>
              <w:rPr>
                <w:sz w:val="21"/>
              </w:rPr>
              <w:t>（</w:t>
            </w:r>
            <w:r>
              <w:rPr>
                <w:rFonts w:ascii="Times New Roman" w:eastAsia="Times New Roman"/>
                <w:sz w:val="21"/>
              </w:rPr>
              <w:t>3</w:t>
            </w:r>
            <w:r>
              <w:rPr>
                <w:sz w:val="21"/>
              </w:rPr>
              <w:t>）接受了骨髓移植。</w:t>
            </w:r>
          </w:p>
        </w:tc>
      </w:tr>
      <w:tr>
        <w:trPr>
          <w:trHeight w:val="323" w:hRule="atLeast"/>
        </w:trPr>
        <w:tc>
          <w:tcPr>
            <w:tcW w:w="693" w:type="dxa"/>
          </w:tcPr>
          <w:p>
            <w:pPr>
              <w:pStyle w:val="TableParagraph"/>
              <w:spacing w:line="228" w:lineRule="exact" w:before="75"/>
              <w:ind w:left="181" w:right="209"/>
              <w:jc w:val="center"/>
              <w:rPr>
                <w:rFonts w:ascii="Times New Roman"/>
                <w:b/>
                <w:sz w:val="21"/>
              </w:rPr>
            </w:pPr>
            <w:r>
              <w:rPr>
                <w:rFonts w:ascii="Times New Roman"/>
                <w:b/>
                <w:sz w:val="21"/>
              </w:rPr>
              <w:t>29.</w:t>
            </w:r>
          </w:p>
        </w:tc>
        <w:tc>
          <w:tcPr>
            <w:tcW w:w="1380" w:type="dxa"/>
          </w:tcPr>
          <w:p>
            <w:pPr>
              <w:pStyle w:val="TableParagraph"/>
              <w:spacing w:before="25"/>
              <w:ind w:left="229"/>
              <w:rPr>
                <w:b/>
                <w:sz w:val="21"/>
              </w:rPr>
            </w:pPr>
            <w:r>
              <w:rPr>
                <w:b/>
                <w:sz w:val="21"/>
              </w:rPr>
              <w:t>Ⅲ度房室</w:t>
            </w:r>
          </w:p>
        </w:tc>
        <w:tc>
          <w:tcPr>
            <w:tcW w:w="7787" w:type="dxa"/>
          </w:tcPr>
          <w:p>
            <w:pPr>
              <w:pStyle w:val="TableParagraph"/>
              <w:spacing w:before="25"/>
              <w:rPr>
                <w:sz w:val="21"/>
              </w:rPr>
            </w:pPr>
            <w:r>
              <w:rPr>
                <w:sz w:val="21"/>
              </w:rPr>
              <w:t>指心房激动在房室交界区、房室束及其分支内发生阻滞，不能正常地传到心室的</w:t>
            </w:r>
          </w:p>
        </w:tc>
      </w:tr>
    </w:tbl>
    <w:p>
      <w:pPr>
        <w:spacing w:after="0"/>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300"/>
        <w:gridCol w:w="7755"/>
      </w:tblGrid>
      <w:tr>
        <w:trPr>
          <w:trHeight w:val="1217" w:hRule="atLeast"/>
        </w:trPr>
        <w:tc>
          <w:tcPr>
            <w:tcW w:w="772" w:type="dxa"/>
          </w:tcPr>
          <w:p>
            <w:pPr>
              <w:pStyle w:val="TableParagraph"/>
              <w:ind w:left="0"/>
              <w:rPr>
                <w:rFonts w:ascii="Times New Roman"/>
                <w:sz w:val="20"/>
              </w:rPr>
            </w:pPr>
          </w:p>
        </w:tc>
        <w:tc>
          <w:tcPr>
            <w:tcW w:w="1300" w:type="dxa"/>
          </w:tcPr>
          <w:p>
            <w:pPr>
              <w:pStyle w:val="TableParagraph"/>
              <w:spacing w:line="211" w:lineRule="exact"/>
              <w:ind w:left="0" w:right="91"/>
              <w:jc w:val="right"/>
              <w:rPr>
                <w:b/>
                <w:sz w:val="21"/>
              </w:rPr>
            </w:pPr>
            <w:r>
              <w:rPr>
                <w:b/>
                <w:sz w:val="21"/>
              </w:rPr>
              <w:t>传导阻滞：</w:t>
            </w:r>
          </w:p>
        </w:tc>
        <w:tc>
          <w:tcPr>
            <w:tcW w:w="7755" w:type="dxa"/>
          </w:tcPr>
          <w:p>
            <w:pPr>
              <w:pStyle w:val="TableParagraph"/>
              <w:spacing w:line="211" w:lineRule="exact"/>
              <w:ind w:left="95"/>
              <w:rPr>
                <w:sz w:val="21"/>
              </w:rPr>
            </w:pPr>
            <w:r>
              <w:rPr>
                <w:sz w:val="21"/>
              </w:rPr>
              <w:t>心脏传导性疾病须满足下列所有条件：</w:t>
            </w:r>
          </w:p>
          <w:p>
            <w:pPr>
              <w:pStyle w:val="TableParagraph"/>
              <w:spacing w:before="25"/>
              <w:ind w:left="95"/>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8"/>
              <w:ind w:left="95"/>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8"/>
              <w:ind w:left="95"/>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304" w:hRule="atLeast"/>
        </w:trPr>
        <w:tc>
          <w:tcPr>
            <w:tcW w:w="772" w:type="dxa"/>
          </w:tcPr>
          <w:p>
            <w:pPr>
              <w:pStyle w:val="TableParagraph"/>
              <w:spacing w:before="81"/>
              <w:ind w:left="200"/>
              <w:rPr>
                <w:rFonts w:ascii="Times New Roman"/>
                <w:b/>
                <w:sz w:val="21"/>
              </w:rPr>
            </w:pPr>
            <w:r>
              <w:rPr>
                <w:rFonts w:ascii="Times New Roman"/>
                <w:b/>
                <w:sz w:val="21"/>
              </w:rPr>
              <w:t>30.</w:t>
            </w:r>
          </w:p>
        </w:tc>
        <w:tc>
          <w:tcPr>
            <w:tcW w:w="1300" w:type="dxa"/>
          </w:tcPr>
          <w:p>
            <w:pPr>
              <w:pStyle w:val="TableParagraph"/>
              <w:spacing w:before="32"/>
              <w:ind w:left="0" w:right="91"/>
              <w:jc w:val="right"/>
              <w:rPr>
                <w:b/>
                <w:sz w:val="21"/>
              </w:rPr>
            </w:pPr>
            <w:r>
              <w:rPr>
                <w:b/>
                <w:sz w:val="21"/>
              </w:rPr>
              <w:t>轻度瘫痪：</w:t>
            </w:r>
          </w:p>
        </w:tc>
        <w:tc>
          <w:tcPr>
            <w:tcW w:w="7755" w:type="dxa"/>
          </w:tcPr>
          <w:p>
            <w:pPr>
              <w:pStyle w:val="TableParagraph"/>
              <w:spacing w:line="261" w:lineRule="auto" w:before="32"/>
              <w:ind w:left="95" w:right="232"/>
              <w:rPr>
                <w:sz w:val="21"/>
              </w:rPr>
            </w:pPr>
            <w:r>
              <w:rPr>
                <w:sz w:val="21"/>
              </w:rPr>
              <w:t>指因疾病或者意外伤害导致一肢肢体机能永久完全丧失，但未达到本合同所指重大疾病“瘫痪”的标准。肢体机能永久完全丧失，指疾病确诊 </w:t>
            </w:r>
            <w:r>
              <w:rPr>
                <w:rFonts w:ascii="Times New Roman" w:hAnsi="Times New Roman" w:eastAsia="Times New Roman"/>
                <w:sz w:val="21"/>
              </w:rPr>
              <w:t>180 </w:t>
            </w:r>
            <w:r>
              <w:rPr>
                <w:sz w:val="21"/>
              </w:rPr>
              <w:t>日后或者意外</w:t>
            </w:r>
          </w:p>
          <w:p>
            <w:pPr>
              <w:pStyle w:val="TableParagraph"/>
              <w:spacing w:line="247" w:lineRule="auto"/>
              <w:ind w:left="95" w:right="220"/>
              <w:rPr>
                <w:sz w:val="21"/>
              </w:rPr>
            </w:pPr>
            <w:r>
              <w:rPr>
                <w:sz w:val="21"/>
              </w:rPr>
              <w:t>伤害发生 </w:t>
            </w:r>
            <w:r>
              <w:rPr>
                <w:rFonts w:ascii="Times New Roman" w:eastAsia="Times New Roman"/>
                <w:sz w:val="21"/>
              </w:rPr>
              <w:t>180 </w:t>
            </w:r>
            <w:r>
              <w:rPr>
                <w:sz w:val="21"/>
              </w:rPr>
              <w:t>日后，每肢三大关节中的两大关节仍然完全僵硬，或者不能随意识活动。</w:t>
            </w:r>
          </w:p>
        </w:tc>
      </w:tr>
      <w:tr>
        <w:trPr>
          <w:trHeight w:val="1613" w:hRule="atLeast"/>
        </w:trPr>
        <w:tc>
          <w:tcPr>
            <w:tcW w:w="77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1.</w:t>
            </w:r>
          </w:p>
        </w:tc>
        <w:tc>
          <w:tcPr>
            <w:tcW w:w="1300" w:type="dxa"/>
          </w:tcPr>
          <w:p>
            <w:pPr>
              <w:pStyle w:val="TableParagraph"/>
              <w:spacing w:before="40"/>
              <w:ind w:left="0" w:right="91"/>
              <w:jc w:val="right"/>
              <w:rPr>
                <w:b/>
                <w:sz w:val="21"/>
              </w:rPr>
            </w:pPr>
            <w:r>
              <w:rPr>
                <w:b/>
                <w:sz w:val="21"/>
              </w:rPr>
              <w:t>专科医生：</w:t>
            </w:r>
          </w:p>
        </w:tc>
        <w:tc>
          <w:tcPr>
            <w:tcW w:w="7755" w:type="dxa"/>
          </w:tcPr>
          <w:p>
            <w:pPr>
              <w:pStyle w:val="TableParagraph"/>
              <w:spacing w:line="247" w:lineRule="auto" w:before="40"/>
              <w:ind w:left="95" w:right="263"/>
              <w:jc w:val="both"/>
              <w:rPr>
                <w:sz w:val="21"/>
              </w:rPr>
            </w:pPr>
            <w:r>
              <w:rPr>
                <w:spacing w:val="-4"/>
                <w:sz w:val="21"/>
              </w:rPr>
              <w:t>专科医生应当同时满足以下四项资格条件：</w:t>
            </w:r>
            <w:r>
              <w:rPr>
                <w:spacing w:val="-14"/>
                <w:sz w:val="21"/>
              </w:rPr>
              <w:t>（</w:t>
            </w:r>
            <w:r>
              <w:rPr>
                <w:rFonts w:ascii="Times New Roman" w:eastAsia="Times New Roman"/>
                <w:spacing w:val="-14"/>
                <w:sz w:val="21"/>
              </w:rPr>
              <w:t>1</w:t>
            </w:r>
            <w:r>
              <w:rPr>
                <w:spacing w:val="-14"/>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3" w:hRule="atLeast"/>
        </w:trPr>
        <w:tc>
          <w:tcPr>
            <w:tcW w:w="77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2.</w:t>
            </w:r>
          </w:p>
        </w:tc>
        <w:tc>
          <w:tcPr>
            <w:tcW w:w="1300" w:type="dxa"/>
          </w:tcPr>
          <w:p>
            <w:pPr>
              <w:pStyle w:val="TableParagraph"/>
              <w:spacing w:line="261" w:lineRule="auto" w:before="40"/>
              <w:ind w:left="150" w:right="91"/>
              <w:rPr>
                <w:b/>
                <w:sz w:val="21"/>
              </w:rPr>
            </w:pPr>
            <w:r>
              <w:rPr>
                <w:b/>
                <w:sz w:val="21"/>
              </w:rPr>
              <w:t>肢体机能 完全丧失：</w:t>
            </w:r>
          </w:p>
        </w:tc>
        <w:tc>
          <w:tcPr>
            <w:tcW w:w="7755" w:type="dxa"/>
          </w:tcPr>
          <w:p>
            <w:pPr>
              <w:pStyle w:val="TableParagraph"/>
              <w:spacing w:line="261" w:lineRule="auto" w:before="40"/>
              <w:ind w:left="95" w:right="269"/>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3.</w:t>
            </w:r>
          </w:p>
        </w:tc>
        <w:tc>
          <w:tcPr>
            <w:tcW w:w="1300" w:type="dxa"/>
          </w:tcPr>
          <w:p>
            <w:pPr>
              <w:pStyle w:val="TableParagraph"/>
              <w:spacing w:line="261" w:lineRule="auto" w:before="40"/>
              <w:ind w:left="150" w:right="302"/>
              <w:jc w:val="both"/>
              <w:rPr>
                <w:b/>
                <w:sz w:val="21"/>
              </w:rPr>
            </w:pPr>
            <w:r>
              <w:rPr>
                <w:b/>
                <w:sz w:val="21"/>
              </w:rPr>
              <w:t>语言能力或咀嚼吞咽能力完全丧失：</w:t>
            </w:r>
          </w:p>
        </w:tc>
        <w:tc>
          <w:tcPr>
            <w:tcW w:w="7755" w:type="dxa"/>
          </w:tcPr>
          <w:p>
            <w:pPr>
              <w:pStyle w:val="TableParagraph"/>
              <w:spacing w:line="261" w:lineRule="auto" w:before="40"/>
              <w:ind w:left="95" w:right="269"/>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4.</w:t>
            </w:r>
          </w:p>
        </w:tc>
        <w:tc>
          <w:tcPr>
            <w:tcW w:w="1300" w:type="dxa"/>
          </w:tcPr>
          <w:p>
            <w:pPr>
              <w:pStyle w:val="TableParagraph"/>
              <w:spacing w:line="261" w:lineRule="auto" w:before="40"/>
              <w:ind w:left="150" w:right="302"/>
              <w:jc w:val="both"/>
              <w:rPr>
                <w:b/>
                <w:sz w:val="21"/>
              </w:rPr>
            </w:pPr>
            <w:r>
              <w:rPr>
                <w:b/>
                <w:sz w:val="21"/>
              </w:rPr>
              <w:t>六项基本日常生活活动：</w:t>
            </w:r>
          </w:p>
        </w:tc>
        <w:tc>
          <w:tcPr>
            <w:tcW w:w="7755" w:type="dxa"/>
          </w:tcPr>
          <w:p>
            <w:pPr>
              <w:pStyle w:val="TableParagraph"/>
              <w:spacing w:line="247" w:lineRule="auto" w:before="40"/>
              <w:ind w:left="95" w:right="196"/>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ind w:left="95"/>
              <w:jc w:val="both"/>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2" w:type="dxa"/>
          </w:tcPr>
          <w:p>
            <w:pPr>
              <w:pStyle w:val="TableParagraph"/>
              <w:spacing w:before="32"/>
              <w:ind w:left="200"/>
              <w:rPr>
                <w:rFonts w:ascii="Times New Roman" w:eastAsia="Times New Roman"/>
                <w:b/>
                <w:sz w:val="21"/>
              </w:rPr>
            </w:pPr>
            <w:r>
              <w:rPr>
                <w:b/>
                <w:sz w:val="21"/>
              </w:rPr>
              <w:t>注 </w:t>
            </w:r>
            <w:r>
              <w:rPr>
                <w:rFonts w:ascii="Times New Roman" w:eastAsia="Times New Roman"/>
                <w:b/>
                <w:sz w:val="21"/>
              </w:rPr>
              <w:t>5.</w:t>
            </w:r>
          </w:p>
        </w:tc>
        <w:tc>
          <w:tcPr>
            <w:tcW w:w="1300" w:type="dxa"/>
          </w:tcPr>
          <w:p>
            <w:pPr>
              <w:pStyle w:val="TableParagraph"/>
              <w:spacing w:line="300" w:lineRule="atLeast" w:before="7"/>
              <w:ind w:left="150" w:right="302"/>
              <w:rPr>
                <w:b/>
                <w:sz w:val="21"/>
              </w:rPr>
            </w:pPr>
            <w:r>
              <w:rPr>
                <w:b/>
                <w:sz w:val="21"/>
              </w:rPr>
              <w:t>永久不可逆：</w:t>
            </w:r>
          </w:p>
        </w:tc>
        <w:tc>
          <w:tcPr>
            <w:tcW w:w="7755" w:type="dxa"/>
          </w:tcPr>
          <w:p>
            <w:pPr>
              <w:pStyle w:val="TableParagraph"/>
              <w:spacing w:line="280" w:lineRule="atLeast" w:before="32"/>
              <w:ind w:left="95" w:right="220"/>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178"/>
        <w:ind w:left="4017" w:right="4312"/>
        <w:jc w:val="center"/>
      </w:pPr>
      <w:r>
        <w:rPr/>
        <w:t>（条款全文结束）</w:t>
      </w:r>
    </w:p>
    <w:sectPr>
      <w:pgSz w:w="11910" w:h="16840"/>
      <w:pgMar w:top="1480" w:bottom="280" w:left="10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8">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5">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4">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3">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2">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1">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0">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2018-10-20T01:32:52Z</dcterms:created>
  <dcterms:modified xsi:type="dcterms:W3CDTF">2018-10-20T01:32:52Z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2017-06-21T00:00:00Z</vt:filetime>
  </property>
  <property fmtid="{D5CDD505-2E9C-101B-9397-08002B2CF9AE}" pid="3" name="Creator">
    <vt:lpwstr>Microsoft® Word 2010</vt:lpwstr>
  </property>
  <property fmtid="{D5CDD505-2E9C-101B-9397-08002B2CF9AE}" pid="4" name="LastSaved">
    <vt:filetime>2018-10-19T00:00:00Z</vt:filetime>
  </property>
</Properties>
</file>