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03" w:lineRule="exact" w:before="0"/>
        <w:ind w:left="145" w:right="198" w:firstLine="0"/>
        <w:jc w:val="center"/>
        <w:rPr>
          <w:rFonts w:ascii="Microsoft JhengHei" w:eastAsia="Microsoft JhengHei" w:hint="eastAsia"/>
          <w:b/>
          <w:sz w:val="31"/>
        </w:rPr>
      </w:pPr>
      <w:r>
        <w:rPr>
          <w:rFonts w:ascii="Microsoft JhengHei" w:eastAsia="Microsoft JhengHei" w:hint="eastAsia"/>
          <w:b/>
          <w:sz w:val="31"/>
        </w:rPr>
        <w:t>光大永明人寿保险有限公司</w:t>
      </w:r>
    </w:p>
    <w:p>
      <w:pPr>
        <w:spacing w:before="359"/>
        <w:ind w:left="212" w:right="18" w:firstLine="0"/>
        <w:jc w:val="center"/>
        <w:rPr>
          <w:b/>
          <w:sz w:val="48"/>
        </w:rPr>
      </w:pPr>
      <w:r>
        <w:rPr>
          <w:b/>
          <w:sz w:val="48"/>
        </w:rPr>
        <w:t>光大永明关爱终生综合疾病保险</w:t>
      </w:r>
      <w:r>
        <w:rPr>
          <w:b/>
          <w:w w:val="99"/>
          <w:sz w:val="48"/>
        </w:rPr>
        <w:t> </w:t>
      </w:r>
    </w:p>
    <w:p>
      <w:pPr>
        <w:pStyle w:val="BodyText"/>
        <w:spacing w:before="4"/>
        <w:rPr>
          <w:b/>
          <w:sz w:val="54"/>
        </w:rPr>
      </w:pPr>
    </w:p>
    <w:p>
      <w:pPr>
        <w:spacing w:before="1"/>
        <w:ind w:left="212" w:right="0" w:firstLine="0"/>
        <w:jc w:val="left"/>
        <w:rPr>
          <w:rFonts w:ascii="Microsoft JhengHei" w:eastAsia="Microsoft JhengHei" w:hint="eastAsia"/>
          <w:b/>
          <w:sz w:val="18"/>
        </w:rPr>
      </w:pPr>
      <w:r>
        <w:rPr>
          <w:rFonts w:ascii="Microsoft JhengHei" w:eastAsia="Microsoft JhengHei" w:hint="eastAsia"/>
          <w:b/>
          <w:sz w:val="18"/>
        </w:rPr>
        <w:t>感谢您选择了光大永明人寿。为了帮助您更好地理解本条款，在阅读本条款前，请您注意阅读提示和说明。</w:t>
      </w:r>
    </w:p>
    <w:p>
      <w:pPr>
        <w:spacing w:before="200"/>
        <w:ind w:left="212" w:right="0" w:firstLine="0"/>
        <w:jc w:val="left"/>
        <w:rPr>
          <w:rFonts w:ascii="Microsoft JhengHei" w:eastAsia="Microsoft JhengHei" w:hint="eastAsia"/>
          <w:b/>
          <w:sz w:val="28"/>
        </w:rPr>
      </w:pPr>
      <w:r>
        <w:rPr>
          <w:rFonts w:ascii="Microsoft JhengHei" w:eastAsia="Microsoft JhengHei" w:hint="eastAsia"/>
          <w:b/>
          <w:sz w:val="28"/>
        </w:rPr>
        <w:t>阅读提示</w:t>
      </w:r>
    </w:p>
    <w:p>
      <w:pPr>
        <w:pStyle w:val="BodyText"/>
        <w:spacing w:before="11"/>
        <w:rPr>
          <w:rFonts w:ascii="Microsoft JhengHei"/>
          <w:b/>
          <w:sz w:val="15"/>
        </w:rPr>
      </w:pPr>
      <w:r>
        <w:rPr/>
        <w:pict>
          <v:line style="position:absolute;mso-position-horizontal-relative:page;mso-position-vertical-relative:paragraph;z-index:0;mso-wrap-distance-left:0;mso-wrap-distance-right:0" from="51.360001pt,15.84608pt" to="557.760001pt,15.84608pt" stroked="true" strokeweight=".48pt" strokecolor="#000000">
            <v:stroke dashstyle="solid"/>
            <w10:wrap type="topAndBottom"/>
          </v:line>
        </w:pict>
      </w:r>
    </w:p>
    <w:p>
      <w:pPr>
        <w:spacing w:before="0"/>
        <w:ind w:left="193" w:right="198" w:firstLine="0"/>
        <w:jc w:val="center"/>
        <w:rPr>
          <w:rFonts w:ascii="Microsoft JhengHei" w:eastAsia="Microsoft JhengHei" w:hint="eastAsia"/>
          <w:b/>
          <w:sz w:val="24"/>
        </w:rPr>
      </w:pPr>
      <w:r>
        <w:rPr>
          <w:rFonts w:ascii="Microsoft JhengHei" w:eastAsia="Microsoft JhengHei" w:hint="eastAsia"/>
          <w:b/>
          <w:sz w:val="24"/>
        </w:rPr>
        <w:t>您所享有的重要权益</w:t>
      </w:r>
    </w:p>
    <w:p>
      <w:pPr>
        <w:pStyle w:val="BodyText"/>
        <w:tabs>
          <w:tab w:pos="3663" w:val="left" w:leader="none"/>
          <w:tab w:pos="5199" w:val="left" w:leader="none"/>
          <w:tab w:pos="6207" w:val="left" w:leader="none"/>
          <w:tab w:pos="6735" w:val="left" w:leader="none"/>
          <w:tab w:pos="7743" w:val="left" w:leader="none"/>
          <w:tab w:pos="8271" w:val="left" w:leader="none"/>
          <w:tab w:pos="8401" w:val="left" w:leader="none"/>
          <w:tab w:pos="9275" w:val="left" w:leader="none"/>
          <w:tab w:pos="9927" w:val="left" w:leader="none"/>
        </w:tabs>
        <w:spacing w:line="290" w:lineRule="auto" w:before="87"/>
        <w:ind w:left="212" w:right="198"/>
        <w:jc w:val="center"/>
        <w:rPr>
          <w:rFonts w:ascii="Microsoft JhengHei" w:hAnsi="Microsoft JhengHei" w:eastAsia="Microsoft JhengHei" w:hint="eastAsia"/>
          <w:b/>
          <w:sz w:val="24"/>
        </w:rPr>
      </w:pPr>
      <w:r>
        <w:rPr/>
        <w:t>本合同所提供的保</w:t>
      </w:r>
      <w:r>
        <w:rPr>
          <w:spacing w:val="12"/>
        </w:rPr>
        <w:t>障</w:t>
      </w:r>
      <w:r>
        <w:rPr>
          <w:rFonts w:ascii="Times New Roman" w:hAnsi="Times New Roman" w:eastAsia="Times New Roman"/>
          <w:spacing w:val="-68"/>
        </w:rPr>
        <w:t>································</w:t>
        <w:tab/>
        <w:t>································</w:t>
        <w:tab/>
        <w:t>································</w:t>
        <w:tab/>
        <w:tab/>
        <w:t>································</w:t>
        <w:tab/>
        <w:tab/>
      </w:r>
      <w:r>
        <w:rPr>
          <w:rFonts w:ascii="Times New Roman" w:hAnsi="Times New Roman" w:eastAsia="Times New Roman"/>
          <w:spacing w:val="-35"/>
        </w:rPr>
        <w:t>··               </w:t>
      </w:r>
      <w:r>
        <w:rPr>
          <w:rFonts w:ascii="Times New Roman" w:hAnsi="Times New Roman" w:eastAsia="Times New Roman"/>
          <w:spacing w:val="-34"/>
        </w:rPr>
        <w:t> </w:t>
      </w:r>
      <w:r>
        <w:rPr>
          <w:rFonts w:ascii="Microsoft JhengHei" w:hAnsi="Microsoft JhengHei" w:eastAsia="Microsoft JhengHei" w:hint="eastAsia"/>
          <w:b/>
        </w:rPr>
        <w:t>第</w:t>
        <w:tab/>
        <w:t>七</w:t>
        <w:tab/>
        <w:t>条</w:t>
      </w:r>
      <w:r>
        <w:rPr/>
        <w:t>签收保险合同后十天内，您可以要求退还保险</w:t>
      </w:r>
      <w:r>
        <w:rPr>
          <w:spacing w:val="30"/>
        </w:rPr>
        <w:t>费</w:t>
      </w:r>
      <w:r>
        <w:rPr>
          <w:rFonts w:ascii="Times New Roman" w:hAnsi="Times New Roman" w:eastAsia="Times New Roman"/>
          <w:spacing w:val="-68"/>
        </w:rPr>
        <w:t>································</w:t>
        <w:tab/>
        <w:tab/>
        <w:t>································</w:t>
        <w:tab/>
        <w:tab/>
      </w:r>
      <w:r>
        <w:rPr>
          <w:rFonts w:ascii="Times New Roman" w:hAnsi="Times New Roman" w:eastAsia="Times New Roman"/>
          <w:spacing w:val="-65"/>
        </w:rPr>
        <w:t>·············</w:t>
        <w:tab/>
        <w:tab/>
      </w:r>
      <w:r>
        <w:rPr>
          <w:rFonts w:ascii="Microsoft JhengHei" w:hAnsi="Microsoft JhengHei" w:eastAsia="Microsoft JhengHei" w:hint="eastAsia"/>
          <w:b/>
        </w:rPr>
        <w:t>第  二  十 </w:t>
      </w:r>
      <w:r>
        <w:rPr>
          <w:rFonts w:ascii="Microsoft JhengHei" w:hAnsi="Microsoft JhengHei" w:eastAsia="Microsoft JhengHei" w:hint="eastAsia"/>
          <w:b/>
          <w:spacing w:val="33"/>
        </w:rPr>
        <w:t> </w:t>
      </w:r>
      <w:r>
        <w:rPr>
          <w:rFonts w:ascii="Microsoft JhengHei" w:hAnsi="Microsoft JhengHei" w:eastAsia="Microsoft JhengHei" w:hint="eastAsia"/>
          <w:b/>
        </w:rPr>
        <w:t>二 </w:t>
      </w:r>
      <w:r>
        <w:rPr>
          <w:rFonts w:ascii="Microsoft JhengHei" w:hAnsi="Microsoft JhengHei" w:eastAsia="Microsoft JhengHei" w:hint="eastAsia"/>
          <w:b/>
          <w:spacing w:val="10"/>
        </w:rPr>
        <w:t> </w:t>
      </w:r>
      <w:r>
        <w:rPr>
          <w:rFonts w:ascii="Microsoft JhengHei" w:hAnsi="Microsoft JhengHei" w:eastAsia="Microsoft JhengHei" w:hint="eastAsia"/>
          <w:b/>
        </w:rPr>
        <w:t>条</w:t>
      </w:r>
      <w:r>
        <w:rPr>
          <w:rFonts w:ascii="Microsoft JhengHei" w:hAnsi="Microsoft JhengHei" w:eastAsia="Microsoft JhengHei" w:hint="eastAsia"/>
          <w:b/>
          <w:sz w:val="24"/>
        </w:rPr>
        <w:t>您应当特别注意的事项</w:t>
      </w:r>
    </w:p>
    <w:p>
      <w:pPr>
        <w:pStyle w:val="BodyText"/>
        <w:spacing w:before="4"/>
        <w:rPr>
          <w:rFonts w:ascii="Microsoft JhengHei"/>
          <w:b/>
          <w:sz w:val="6"/>
        </w:rPr>
      </w:pPr>
    </w:p>
    <w:tbl>
      <w:tblPr>
        <w:tblW w:w="0" w:type="auto"/>
        <w:jc w:val="lef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41"/>
        <w:gridCol w:w="672"/>
        <w:gridCol w:w="864"/>
        <w:gridCol w:w="672"/>
        <w:gridCol w:w="288"/>
        <w:gridCol w:w="1237"/>
        <w:gridCol w:w="277"/>
        <w:gridCol w:w="577"/>
        <w:gridCol w:w="1298"/>
      </w:tblGrid>
      <w:tr>
        <w:trPr>
          <w:trHeight w:val="374" w:hRule="atLeast"/>
        </w:trPr>
        <w:tc>
          <w:tcPr>
            <w:tcW w:w="4141" w:type="dxa"/>
          </w:tcPr>
          <w:p>
            <w:pPr>
              <w:pStyle w:val="TableParagraph"/>
              <w:tabs>
                <w:tab w:pos="3068" w:val="left" w:leader="none"/>
              </w:tabs>
              <w:spacing w:line="269" w:lineRule="exact"/>
              <w:ind w:left="50"/>
              <w:rPr>
                <w:rFonts w:ascii="Times New Roman" w:hAnsi="Times New Roman" w:eastAsia="Times New Roman"/>
                <w:sz w:val="21"/>
              </w:rPr>
            </w:pPr>
            <w:r>
              <w:rPr>
                <w:sz w:val="21"/>
              </w:rPr>
              <w:t>如实告知的义</w:t>
            </w:r>
            <w:r>
              <w:rPr>
                <w:spacing w:val="2"/>
                <w:sz w:val="21"/>
              </w:rPr>
              <w:t>务</w:t>
            </w:r>
            <w:r>
              <w:rPr>
                <w:rFonts w:ascii="Times New Roman" w:hAnsi="Times New Roman" w:eastAsia="Times New Roman"/>
                <w:spacing w:val="-68"/>
                <w:sz w:val="21"/>
              </w:rPr>
              <w:t>································</w:t>
              <w:tab/>
            </w:r>
            <w:r>
              <w:rPr>
                <w:rFonts w:ascii="Times New Roman" w:hAnsi="Times New Roman" w:eastAsia="Times New Roman"/>
                <w:spacing w:val="-70"/>
                <w:sz w:val="21"/>
              </w:rPr>
              <w:t>································</w:t>
            </w:r>
          </w:p>
        </w:tc>
        <w:tc>
          <w:tcPr>
            <w:tcW w:w="672" w:type="dxa"/>
          </w:tcPr>
          <w:p>
            <w:pPr>
              <w:pStyle w:val="TableParagraph"/>
              <w:spacing w:line="240" w:lineRule="auto" w:before="27"/>
              <w:ind w:right="173"/>
              <w:jc w:val="right"/>
              <w:rPr>
                <w:rFonts w:ascii="Times New Roman" w:hAnsi="Times New Roman"/>
                <w:sz w:val="21"/>
              </w:rPr>
            </w:pPr>
            <w:r>
              <w:rPr>
                <w:rFonts w:ascii="Times New Roman" w:hAnsi="Times New Roman"/>
                <w:spacing w:val="-70"/>
                <w:sz w:val="21"/>
              </w:rPr>
              <w:t>································</w:t>
            </w:r>
          </w:p>
        </w:tc>
        <w:tc>
          <w:tcPr>
            <w:tcW w:w="864" w:type="dxa"/>
          </w:tcPr>
          <w:p>
            <w:pPr>
              <w:pStyle w:val="TableParagraph"/>
              <w:spacing w:line="240" w:lineRule="auto"/>
              <w:rPr>
                <w:rFonts w:ascii="Times New Roman"/>
                <w:sz w:val="20"/>
              </w:rPr>
            </w:pPr>
          </w:p>
        </w:tc>
        <w:tc>
          <w:tcPr>
            <w:tcW w:w="672" w:type="dxa"/>
          </w:tcPr>
          <w:p>
            <w:pPr>
              <w:pStyle w:val="TableParagraph"/>
              <w:spacing w:line="240" w:lineRule="auto" w:before="27"/>
              <w:ind w:right="173"/>
              <w:jc w:val="right"/>
              <w:rPr>
                <w:rFonts w:ascii="Times New Roman" w:hAnsi="Times New Roman"/>
                <w:sz w:val="21"/>
              </w:rPr>
            </w:pPr>
            <w:r>
              <w:rPr>
                <w:rFonts w:ascii="Times New Roman" w:hAnsi="Times New Roman"/>
                <w:spacing w:val="-70"/>
                <w:sz w:val="21"/>
              </w:rPr>
              <w:t>································</w:t>
            </w:r>
          </w:p>
        </w:tc>
        <w:tc>
          <w:tcPr>
            <w:tcW w:w="288" w:type="dxa"/>
          </w:tcPr>
          <w:p>
            <w:pPr>
              <w:pStyle w:val="TableParagraph"/>
              <w:spacing w:line="240" w:lineRule="auto"/>
              <w:rPr>
                <w:rFonts w:ascii="Times New Roman"/>
                <w:sz w:val="20"/>
              </w:rPr>
            </w:pPr>
          </w:p>
        </w:tc>
        <w:tc>
          <w:tcPr>
            <w:tcW w:w="1237" w:type="dxa"/>
          </w:tcPr>
          <w:p>
            <w:pPr>
              <w:pStyle w:val="TableParagraph"/>
              <w:spacing w:line="240" w:lineRule="auto" w:before="27"/>
              <w:ind w:right="184"/>
              <w:jc w:val="right"/>
              <w:rPr>
                <w:rFonts w:ascii="Times New Roman" w:hAnsi="Times New Roman"/>
                <w:sz w:val="21"/>
              </w:rPr>
            </w:pPr>
            <w:r>
              <w:rPr>
                <w:rFonts w:ascii="Times New Roman" w:hAnsi="Times New Roman"/>
                <w:spacing w:val="-70"/>
                <w:sz w:val="21"/>
              </w:rPr>
              <w:t>···········</w:t>
            </w:r>
          </w:p>
        </w:tc>
        <w:tc>
          <w:tcPr>
            <w:tcW w:w="277" w:type="dxa"/>
          </w:tcPr>
          <w:p>
            <w:pPr>
              <w:pStyle w:val="TableParagraph"/>
              <w:spacing w:line="240" w:lineRule="auto"/>
              <w:rPr>
                <w:rFonts w:ascii="Times New Roman"/>
                <w:sz w:val="20"/>
              </w:rPr>
            </w:pPr>
          </w:p>
        </w:tc>
        <w:tc>
          <w:tcPr>
            <w:tcW w:w="577" w:type="dxa"/>
          </w:tcPr>
          <w:p>
            <w:pPr>
              <w:pStyle w:val="TableParagraph"/>
              <w:spacing w:line="277" w:lineRule="exact"/>
              <w:ind w:right="55"/>
              <w:jc w:val="right"/>
              <w:rPr>
                <w:rFonts w:ascii="Microsoft JhengHei" w:eastAsia="Microsoft JhengHei" w:hint="eastAsia"/>
                <w:b/>
                <w:sz w:val="21"/>
              </w:rPr>
            </w:pPr>
            <w:r>
              <w:rPr>
                <w:w w:val="100"/>
                <w:sz w:val="21"/>
              </w:rPr>
              <w:t> </w:t>
            </w:r>
            <w:r>
              <w:rPr>
                <w:sz w:val="21"/>
              </w:rPr>
              <w:t> </w:t>
            </w:r>
            <w:r>
              <w:rPr>
                <w:rFonts w:ascii="Microsoft JhengHei" w:eastAsia="Microsoft JhengHei" w:hint="eastAsia"/>
                <w:b/>
                <w:sz w:val="21"/>
              </w:rPr>
              <w:t>第</w:t>
            </w:r>
          </w:p>
        </w:tc>
        <w:tc>
          <w:tcPr>
            <w:tcW w:w="1298" w:type="dxa"/>
          </w:tcPr>
          <w:p>
            <w:pPr>
              <w:pStyle w:val="TableParagraph"/>
              <w:spacing w:line="277" w:lineRule="exact"/>
              <w:ind w:left="58"/>
              <w:rPr>
                <w:rFonts w:ascii="Microsoft JhengHei" w:eastAsia="Microsoft JhengHei" w:hint="eastAsia"/>
                <w:b/>
                <w:sz w:val="21"/>
              </w:rPr>
            </w:pPr>
            <w:r>
              <w:rPr>
                <w:rFonts w:ascii="Microsoft JhengHei" w:eastAsia="Microsoft JhengHei" w:hint="eastAsia"/>
                <w:b/>
                <w:sz w:val="21"/>
              </w:rPr>
              <w:t>二  十  三  条</w:t>
            </w:r>
          </w:p>
        </w:tc>
      </w:tr>
      <w:tr>
        <w:trPr>
          <w:trHeight w:val="1392" w:hRule="atLeast"/>
        </w:trPr>
        <w:tc>
          <w:tcPr>
            <w:tcW w:w="4141" w:type="dxa"/>
          </w:tcPr>
          <w:p>
            <w:pPr>
              <w:pStyle w:val="TableParagraph"/>
              <w:spacing w:line="381" w:lineRule="auto" w:before="74"/>
              <w:ind w:left="50" w:right="461"/>
              <w:rPr>
                <w:rFonts w:ascii="Times New Roman" w:hAnsi="Times New Roman" w:eastAsia="Times New Roman"/>
                <w:sz w:val="21"/>
              </w:rPr>
            </w:pPr>
            <w:r>
              <w:rPr>
                <w:spacing w:val="0"/>
                <w:sz w:val="21"/>
              </w:rPr>
              <w:t>在某些情况下，我们不承担保险责任</w:t>
            </w:r>
            <w:r>
              <w:rPr>
                <w:rFonts w:ascii="Times New Roman" w:hAnsi="Times New Roman" w:eastAsia="Times New Roman"/>
                <w:spacing w:val="-70"/>
                <w:sz w:val="21"/>
              </w:rPr>
              <w:t>································ </w:t>
            </w:r>
            <w:r>
              <w:rPr>
                <w:spacing w:val="-1"/>
                <w:sz w:val="21"/>
              </w:rPr>
              <w:t>发生保险事故后，您应该及时通知我们</w:t>
            </w:r>
            <w:r>
              <w:rPr>
                <w:rFonts w:ascii="Times New Roman" w:hAnsi="Times New Roman" w:eastAsia="Times New Roman"/>
                <w:spacing w:val="-70"/>
                <w:sz w:val="21"/>
              </w:rPr>
              <w:t>································</w:t>
            </w:r>
          </w:p>
          <w:p>
            <w:pPr>
              <w:pStyle w:val="TableParagraph"/>
              <w:tabs>
                <w:tab w:pos="3068" w:val="left" w:leader="none"/>
              </w:tabs>
              <w:spacing w:line="240" w:lineRule="auto" w:before="33"/>
              <w:ind w:left="50"/>
              <w:rPr>
                <w:rFonts w:ascii="Times New Roman" w:hAnsi="Times New Roman" w:eastAsia="Times New Roman"/>
                <w:sz w:val="21"/>
              </w:rPr>
            </w:pPr>
            <w:r>
              <w:rPr>
                <w:sz w:val="21"/>
              </w:rPr>
              <w:t>如何申领保险</w:t>
            </w:r>
            <w:r>
              <w:rPr>
                <w:spacing w:val="2"/>
                <w:sz w:val="21"/>
              </w:rPr>
              <w:t>金</w:t>
            </w:r>
            <w:r>
              <w:rPr>
                <w:rFonts w:ascii="Times New Roman" w:hAnsi="Times New Roman" w:eastAsia="Times New Roman"/>
                <w:spacing w:val="-68"/>
                <w:sz w:val="21"/>
              </w:rPr>
              <w:t>································</w:t>
              <w:tab/>
            </w:r>
            <w:r>
              <w:rPr>
                <w:rFonts w:ascii="Times New Roman" w:hAnsi="Times New Roman" w:eastAsia="Times New Roman"/>
                <w:spacing w:val="-70"/>
                <w:sz w:val="21"/>
              </w:rPr>
              <w:t>································</w:t>
            </w:r>
          </w:p>
        </w:tc>
        <w:tc>
          <w:tcPr>
            <w:tcW w:w="672" w:type="dxa"/>
          </w:tcPr>
          <w:p>
            <w:pPr>
              <w:pStyle w:val="TableParagraph"/>
              <w:spacing w:line="240" w:lineRule="auto"/>
              <w:rPr>
                <w:rFonts w:ascii="Microsoft JhengHei"/>
                <w:b/>
                <w:sz w:val="22"/>
              </w:rPr>
            </w:pPr>
          </w:p>
          <w:p>
            <w:pPr>
              <w:pStyle w:val="TableParagraph"/>
              <w:spacing w:line="240" w:lineRule="auto"/>
              <w:rPr>
                <w:rFonts w:ascii="Microsoft JhengHei"/>
                <w:b/>
                <w:sz w:val="22"/>
              </w:rPr>
            </w:pPr>
          </w:p>
          <w:p>
            <w:pPr>
              <w:pStyle w:val="TableParagraph"/>
              <w:spacing w:line="240" w:lineRule="auto"/>
              <w:rPr>
                <w:rFonts w:ascii="Microsoft JhengHei"/>
                <w:b/>
                <w:sz w:val="16"/>
              </w:rPr>
            </w:pPr>
          </w:p>
          <w:p>
            <w:pPr>
              <w:pStyle w:val="TableParagraph"/>
              <w:spacing w:line="240" w:lineRule="auto"/>
              <w:ind w:right="173"/>
              <w:jc w:val="right"/>
              <w:rPr>
                <w:rFonts w:ascii="Times New Roman" w:hAnsi="Times New Roman"/>
                <w:sz w:val="21"/>
              </w:rPr>
            </w:pPr>
            <w:r>
              <w:rPr>
                <w:rFonts w:ascii="Times New Roman" w:hAnsi="Times New Roman"/>
                <w:spacing w:val="-70"/>
                <w:sz w:val="21"/>
              </w:rPr>
              <w:t>································</w:t>
            </w:r>
          </w:p>
        </w:tc>
        <w:tc>
          <w:tcPr>
            <w:tcW w:w="864" w:type="dxa"/>
          </w:tcPr>
          <w:p>
            <w:pPr>
              <w:pStyle w:val="TableParagraph"/>
              <w:spacing w:line="240" w:lineRule="auto" w:before="123"/>
              <w:ind w:left="175"/>
              <w:rPr>
                <w:rFonts w:ascii="Times New Roman" w:hAnsi="Times New Roman"/>
                <w:sz w:val="21"/>
              </w:rPr>
            </w:pPr>
            <w:r>
              <w:rPr>
                <w:rFonts w:ascii="Times New Roman" w:hAnsi="Times New Roman"/>
                <w:spacing w:val="-70"/>
                <w:sz w:val="21"/>
              </w:rPr>
              <w:t>································</w:t>
            </w:r>
          </w:p>
          <w:p>
            <w:pPr>
              <w:pStyle w:val="TableParagraph"/>
              <w:spacing w:line="240" w:lineRule="auto" w:before="10"/>
              <w:rPr>
                <w:rFonts w:ascii="Microsoft JhengHei"/>
                <w:b/>
                <w:sz w:val="12"/>
              </w:rPr>
            </w:pPr>
          </w:p>
          <w:p>
            <w:pPr>
              <w:pStyle w:val="TableParagraph"/>
              <w:spacing w:line="240" w:lineRule="auto"/>
              <w:ind w:left="365" w:right="459"/>
              <w:jc w:val="center"/>
              <w:rPr>
                <w:rFonts w:ascii="Times New Roman" w:hAnsi="Times New Roman"/>
                <w:sz w:val="21"/>
              </w:rPr>
            </w:pPr>
            <w:r>
              <w:rPr>
                <w:rFonts w:ascii="Times New Roman" w:hAnsi="Times New Roman"/>
                <w:spacing w:val="-70"/>
                <w:sz w:val="21"/>
              </w:rPr>
              <w:t>································</w:t>
            </w:r>
          </w:p>
        </w:tc>
        <w:tc>
          <w:tcPr>
            <w:tcW w:w="672" w:type="dxa"/>
          </w:tcPr>
          <w:p>
            <w:pPr>
              <w:pStyle w:val="TableParagraph"/>
              <w:spacing w:line="240" w:lineRule="auto"/>
              <w:rPr>
                <w:rFonts w:ascii="Microsoft JhengHei"/>
                <w:b/>
                <w:sz w:val="22"/>
              </w:rPr>
            </w:pPr>
          </w:p>
          <w:p>
            <w:pPr>
              <w:pStyle w:val="TableParagraph"/>
              <w:spacing w:line="240" w:lineRule="auto"/>
              <w:rPr>
                <w:rFonts w:ascii="Microsoft JhengHei"/>
                <w:b/>
                <w:sz w:val="22"/>
              </w:rPr>
            </w:pPr>
          </w:p>
          <w:p>
            <w:pPr>
              <w:pStyle w:val="TableParagraph"/>
              <w:spacing w:line="240" w:lineRule="auto"/>
              <w:rPr>
                <w:rFonts w:ascii="Microsoft JhengHei"/>
                <w:b/>
                <w:sz w:val="16"/>
              </w:rPr>
            </w:pPr>
          </w:p>
          <w:p>
            <w:pPr>
              <w:pStyle w:val="TableParagraph"/>
              <w:spacing w:line="240" w:lineRule="auto"/>
              <w:ind w:right="173"/>
              <w:jc w:val="right"/>
              <w:rPr>
                <w:rFonts w:ascii="Times New Roman" w:hAnsi="Times New Roman"/>
                <w:sz w:val="21"/>
              </w:rPr>
            </w:pPr>
            <w:r>
              <w:rPr>
                <w:rFonts w:ascii="Times New Roman" w:hAnsi="Times New Roman"/>
                <w:spacing w:val="-70"/>
                <w:sz w:val="21"/>
              </w:rPr>
              <w:t>································</w:t>
            </w:r>
          </w:p>
        </w:tc>
        <w:tc>
          <w:tcPr>
            <w:tcW w:w="288" w:type="dxa"/>
          </w:tcPr>
          <w:p>
            <w:pPr>
              <w:pStyle w:val="TableParagraph"/>
              <w:spacing w:line="240" w:lineRule="auto" w:before="123"/>
              <w:ind w:right="77"/>
              <w:jc w:val="right"/>
              <w:rPr>
                <w:rFonts w:ascii="Times New Roman" w:hAnsi="Times New Roman"/>
                <w:sz w:val="21"/>
              </w:rPr>
            </w:pPr>
            <w:r>
              <w:rPr>
                <w:rFonts w:ascii="Times New Roman" w:hAnsi="Times New Roman"/>
                <w:spacing w:val="-70"/>
                <w:sz w:val="21"/>
              </w:rPr>
              <w:t>································</w:t>
            </w:r>
          </w:p>
        </w:tc>
        <w:tc>
          <w:tcPr>
            <w:tcW w:w="1237" w:type="dxa"/>
          </w:tcPr>
          <w:p>
            <w:pPr>
              <w:pStyle w:val="TableParagraph"/>
              <w:spacing w:line="240" w:lineRule="auto"/>
              <w:rPr>
                <w:rFonts w:ascii="Microsoft JhengHei"/>
                <w:b/>
                <w:sz w:val="22"/>
              </w:rPr>
            </w:pPr>
          </w:p>
          <w:p>
            <w:pPr>
              <w:pStyle w:val="TableParagraph"/>
              <w:spacing w:line="240" w:lineRule="auto" w:before="9"/>
              <w:rPr>
                <w:rFonts w:ascii="Microsoft JhengHei"/>
                <w:b/>
                <w:sz w:val="11"/>
              </w:rPr>
            </w:pPr>
          </w:p>
          <w:p>
            <w:pPr>
              <w:pStyle w:val="TableParagraph"/>
              <w:spacing w:line="240" w:lineRule="auto"/>
              <w:ind w:left="79"/>
              <w:rPr>
                <w:rFonts w:ascii="Times New Roman" w:hAnsi="Times New Roman"/>
                <w:sz w:val="21"/>
              </w:rPr>
            </w:pPr>
            <w:r>
              <w:rPr>
                <w:rFonts w:ascii="Times New Roman" w:hAnsi="Times New Roman"/>
                <w:spacing w:val="-70"/>
                <w:sz w:val="21"/>
              </w:rPr>
              <w:t>·······························</w:t>
            </w:r>
          </w:p>
          <w:p>
            <w:pPr>
              <w:pStyle w:val="TableParagraph"/>
              <w:spacing w:line="240" w:lineRule="auto" w:before="9"/>
              <w:rPr>
                <w:rFonts w:ascii="Microsoft JhengHei"/>
                <w:b/>
                <w:sz w:val="12"/>
              </w:rPr>
            </w:pPr>
          </w:p>
          <w:p>
            <w:pPr>
              <w:pStyle w:val="TableParagraph"/>
              <w:spacing w:line="240" w:lineRule="auto"/>
              <w:ind w:right="184"/>
              <w:jc w:val="right"/>
              <w:rPr>
                <w:rFonts w:ascii="Times New Roman" w:hAnsi="Times New Roman"/>
                <w:sz w:val="21"/>
              </w:rPr>
            </w:pPr>
            <w:r>
              <w:rPr>
                <w:rFonts w:ascii="Times New Roman" w:hAnsi="Times New Roman"/>
                <w:spacing w:val="-70"/>
                <w:sz w:val="21"/>
              </w:rPr>
              <w:t>···········</w:t>
            </w:r>
          </w:p>
        </w:tc>
        <w:tc>
          <w:tcPr>
            <w:tcW w:w="277" w:type="dxa"/>
          </w:tcPr>
          <w:p>
            <w:pPr>
              <w:pStyle w:val="TableParagraph"/>
              <w:spacing w:line="240" w:lineRule="auto" w:before="123"/>
              <w:ind w:right="85"/>
              <w:jc w:val="right"/>
              <w:rPr>
                <w:rFonts w:ascii="Times New Roman" w:hAnsi="Times New Roman"/>
                <w:sz w:val="21"/>
              </w:rPr>
            </w:pPr>
            <w:r>
              <w:rPr>
                <w:rFonts w:ascii="Times New Roman" w:hAnsi="Times New Roman"/>
                <w:spacing w:val="-70"/>
                <w:sz w:val="21"/>
              </w:rPr>
              <w:t>···</w:t>
            </w:r>
          </w:p>
        </w:tc>
        <w:tc>
          <w:tcPr>
            <w:tcW w:w="577" w:type="dxa"/>
          </w:tcPr>
          <w:p>
            <w:pPr>
              <w:pStyle w:val="TableParagraph"/>
              <w:spacing w:line="240" w:lineRule="auto" w:before="7"/>
              <w:ind w:left="87"/>
              <w:rPr>
                <w:rFonts w:ascii="Microsoft JhengHei" w:eastAsia="Microsoft JhengHei" w:hint="eastAsia"/>
                <w:b/>
                <w:sz w:val="21"/>
              </w:rPr>
            </w:pPr>
            <w:r>
              <w:rPr>
                <w:w w:val="100"/>
                <w:sz w:val="21"/>
              </w:rPr>
              <w:t> </w:t>
            </w:r>
            <w:r>
              <w:rPr>
                <w:sz w:val="21"/>
              </w:rPr>
              <w:t> </w:t>
            </w:r>
            <w:r>
              <w:rPr>
                <w:rFonts w:ascii="Microsoft JhengHei" w:eastAsia="Microsoft JhengHei" w:hint="eastAsia"/>
                <w:b/>
                <w:sz w:val="21"/>
              </w:rPr>
              <w:t>第</w:t>
            </w:r>
          </w:p>
          <w:p>
            <w:pPr>
              <w:pStyle w:val="TableParagraph"/>
              <w:spacing w:line="240" w:lineRule="auto" w:before="95"/>
              <w:ind w:left="87"/>
              <w:rPr>
                <w:rFonts w:ascii="Microsoft JhengHei" w:eastAsia="Microsoft JhengHei" w:hint="eastAsia"/>
                <w:b/>
                <w:sz w:val="21"/>
              </w:rPr>
            </w:pPr>
            <w:r>
              <w:rPr>
                <w:w w:val="100"/>
                <w:sz w:val="21"/>
              </w:rPr>
              <w:t> </w:t>
            </w:r>
            <w:r>
              <w:rPr>
                <w:sz w:val="21"/>
              </w:rPr>
              <w:t> </w:t>
            </w:r>
            <w:r>
              <w:rPr>
                <w:rFonts w:ascii="Microsoft JhengHei" w:eastAsia="Microsoft JhengHei" w:hint="eastAsia"/>
                <w:b/>
                <w:sz w:val="21"/>
              </w:rPr>
              <w:t>第</w:t>
            </w:r>
          </w:p>
          <w:p>
            <w:pPr>
              <w:pStyle w:val="TableParagraph"/>
              <w:spacing w:line="240" w:lineRule="auto" w:before="95"/>
              <w:ind w:left="87"/>
              <w:rPr>
                <w:rFonts w:ascii="Microsoft JhengHei" w:eastAsia="Microsoft JhengHei" w:hint="eastAsia"/>
                <w:b/>
                <w:sz w:val="21"/>
              </w:rPr>
            </w:pPr>
            <w:r>
              <w:rPr>
                <w:w w:val="100"/>
                <w:sz w:val="21"/>
              </w:rPr>
              <w:t> </w:t>
            </w:r>
            <w:r>
              <w:rPr>
                <w:sz w:val="21"/>
              </w:rPr>
              <w:t> </w:t>
            </w:r>
            <w:r>
              <w:rPr>
                <w:rFonts w:ascii="Microsoft JhengHei" w:eastAsia="Microsoft JhengHei" w:hint="eastAsia"/>
                <w:b/>
                <w:sz w:val="21"/>
              </w:rPr>
              <w:t>第</w:t>
            </w:r>
          </w:p>
        </w:tc>
        <w:tc>
          <w:tcPr>
            <w:tcW w:w="1298" w:type="dxa"/>
          </w:tcPr>
          <w:p>
            <w:pPr>
              <w:pStyle w:val="TableParagraph"/>
              <w:tabs>
                <w:tab w:pos="1037" w:val="left" w:leader="none"/>
              </w:tabs>
              <w:spacing w:line="240" w:lineRule="auto" w:before="7"/>
              <w:ind w:left="384"/>
              <w:rPr>
                <w:rFonts w:ascii="Microsoft JhengHei" w:eastAsia="Microsoft JhengHei" w:hint="eastAsia"/>
                <w:b/>
                <w:sz w:val="21"/>
              </w:rPr>
            </w:pPr>
            <w:r>
              <w:rPr>
                <w:rFonts w:ascii="Microsoft JhengHei" w:eastAsia="Microsoft JhengHei" w:hint="eastAsia"/>
                <w:b/>
                <w:sz w:val="21"/>
              </w:rPr>
              <w:t>八</w:t>
              <w:tab/>
              <w:t>条</w:t>
            </w:r>
          </w:p>
          <w:p>
            <w:pPr>
              <w:pStyle w:val="TableParagraph"/>
              <w:tabs>
                <w:tab w:pos="1037" w:val="left" w:leader="none"/>
              </w:tabs>
              <w:spacing w:line="240" w:lineRule="auto" w:before="95"/>
              <w:ind w:left="384"/>
              <w:rPr>
                <w:rFonts w:ascii="Microsoft JhengHei" w:eastAsia="Microsoft JhengHei" w:hint="eastAsia"/>
                <w:b/>
                <w:sz w:val="21"/>
              </w:rPr>
            </w:pPr>
            <w:r>
              <w:rPr>
                <w:rFonts w:ascii="Microsoft JhengHei" w:eastAsia="Microsoft JhengHei" w:hint="eastAsia"/>
                <w:b/>
                <w:sz w:val="21"/>
              </w:rPr>
              <w:t>十</w:t>
              <w:tab/>
              <w:t>条</w:t>
            </w:r>
          </w:p>
          <w:p>
            <w:pPr>
              <w:pStyle w:val="TableParagraph"/>
              <w:tabs>
                <w:tab w:pos="595" w:val="left" w:leader="none"/>
                <w:tab w:pos="1027" w:val="left" w:leader="none"/>
              </w:tabs>
              <w:spacing w:line="240" w:lineRule="auto" w:before="95"/>
              <w:ind w:left="163"/>
              <w:rPr>
                <w:rFonts w:ascii="Microsoft JhengHei" w:eastAsia="Microsoft JhengHei" w:hint="eastAsia"/>
                <w:b/>
                <w:sz w:val="21"/>
              </w:rPr>
            </w:pPr>
            <w:r>
              <w:rPr>
                <w:rFonts w:ascii="Microsoft JhengHei" w:eastAsia="Microsoft JhengHei" w:hint="eastAsia"/>
                <w:b/>
                <w:sz w:val="21"/>
              </w:rPr>
              <w:t>十</w:t>
              <w:tab/>
              <w:t>一</w:t>
              <w:tab/>
              <w:t>条</w:t>
            </w:r>
          </w:p>
        </w:tc>
      </w:tr>
      <w:tr>
        <w:trPr>
          <w:trHeight w:val="554" w:hRule="atLeast"/>
        </w:trPr>
        <w:tc>
          <w:tcPr>
            <w:tcW w:w="4141" w:type="dxa"/>
          </w:tcPr>
          <w:p>
            <w:pPr>
              <w:pStyle w:val="TableParagraph"/>
              <w:spacing w:line="240" w:lineRule="auto" w:before="74"/>
              <w:ind w:left="50"/>
              <w:rPr>
                <w:rFonts w:ascii="Times New Roman" w:hAnsi="Times New Roman" w:eastAsia="Times New Roman"/>
                <w:sz w:val="21"/>
              </w:rPr>
            </w:pPr>
            <w:r>
              <w:rPr>
                <w:sz w:val="21"/>
              </w:rPr>
              <w:t>您有解除合同的权利，请您慎重决定</w:t>
            </w:r>
            <w:r>
              <w:rPr>
                <w:rFonts w:ascii="Times New Roman" w:hAnsi="Times New Roman" w:eastAsia="Times New Roman"/>
                <w:spacing w:val="-70"/>
                <w:sz w:val="21"/>
              </w:rPr>
              <w:t>································</w:t>
            </w:r>
          </w:p>
        </w:tc>
        <w:tc>
          <w:tcPr>
            <w:tcW w:w="672" w:type="dxa"/>
          </w:tcPr>
          <w:p>
            <w:pPr>
              <w:pStyle w:val="TableParagraph"/>
              <w:spacing w:line="240" w:lineRule="auto"/>
              <w:rPr>
                <w:rFonts w:ascii="Times New Roman"/>
                <w:sz w:val="20"/>
              </w:rPr>
            </w:pPr>
          </w:p>
        </w:tc>
        <w:tc>
          <w:tcPr>
            <w:tcW w:w="864" w:type="dxa"/>
          </w:tcPr>
          <w:p>
            <w:pPr>
              <w:pStyle w:val="TableParagraph"/>
              <w:spacing w:line="240" w:lineRule="auto" w:before="123"/>
              <w:ind w:left="175"/>
              <w:rPr>
                <w:rFonts w:ascii="Times New Roman" w:hAnsi="Times New Roman"/>
                <w:sz w:val="21"/>
              </w:rPr>
            </w:pPr>
            <w:r>
              <w:rPr>
                <w:rFonts w:ascii="Times New Roman" w:hAnsi="Times New Roman"/>
                <w:spacing w:val="-70"/>
                <w:sz w:val="21"/>
              </w:rPr>
              <w:t>································</w:t>
            </w:r>
          </w:p>
        </w:tc>
        <w:tc>
          <w:tcPr>
            <w:tcW w:w="672" w:type="dxa"/>
          </w:tcPr>
          <w:p>
            <w:pPr>
              <w:pStyle w:val="TableParagraph"/>
              <w:spacing w:line="240" w:lineRule="auto"/>
              <w:rPr>
                <w:rFonts w:ascii="Times New Roman"/>
                <w:sz w:val="20"/>
              </w:rPr>
            </w:pPr>
          </w:p>
        </w:tc>
        <w:tc>
          <w:tcPr>
            <w:tcW w:w="288" w:type="dxa"/>
          </w:tcPr>
          <w:p>
            <w:pPr>
              <w:pStyle w:val="TableParagraph"/>
              <w:spacing w:line="240" w:lineRule="auto" w:before="123"/>
              <w:ind w:right="77"/>
              <w:jc w:val="right"/>
              <w:rPr>
                <w:rFonts w:ascii="Times New Roman" w:hAnsi="Times New Roman"/>
                <w:sz w:val="21"/>
              </w:rPr>
            </w:pPr>
            <w:r>
              <w:rPr>
                <w:rFonts w:ascii="Times New Roman" w:hAnsi="Times New Roman"/>
                <w:spacing w:val="-70"/>
                <w:sz w:val="21"/>
              </w:rPr>
              <w:t>································</w:t>
            </w:r>
          </w:p>
        </w:tc>
        <w:tc>
          <w:tcPr>
            <w:tcW w:w="1237" w:type="dxa"/>
          </w:tcPr>
          <w:p>
            <w:pPr>
              <w:pStyle w:val="TableParagraph"/>
              <w:spacing w:line="240" w:lineRule="auto"/>
              <w:rPr>
                <w:rFonts w:ascii="Times New Roman"/>
                <w:sz w:val="20"/>
              </w:rPr>
            </w:pPr>
          </w:p>
        </w:tc>
        <w:tc>
          <w:tcPr>
            <w:tcW w:w="277" w:type="dxa"/>
          </w:tcPr>
          <w:p>
            <w:pPr>
              <w:pStyle w:val="TableParagraph"/>
              <w:spacing w:line="240" w:lineRule="auto" w:before="123"/>
              <w:ind w:right="85"/>
              <w:jc w:val="right"/>
              <w:rPr>
                <w:rFonts w:ascii="Times New Roman" w:hAnsi="Times New Roman"/>
                <w:sz w:val="21"/>
              </w:rPr>
            </w:pPr>
            <w:r>
              <w:rPr>
                <w:rFonts w:ascii="Times New Roman" w:hAnsi="Times New Roman"/>
                <w:spacing w:val="-70"/>
                <w:sz w:val="21"/>
              </w:rPr>
              <w:t>···</w:t>
            </w:r>
          </w:p>
        </w:tc>
        <w:tc>
          <w:tcPr>
            <w:tcW w:w="577" w:type="dxa"/>
          </w:tcPr>
          <w:p>
            <w:pPr>
              <w:pStyle w:val="TableParagraph"/>
              <w:spacing w:line="240" w:lineRule="auto" w:before="7"/>
              <w:ind w:right="55"/>
              <w:jc w:val="right"/>
              <w:rPr>
                <w:rFonts w:ascii="Microsoft JhengHei" w:eastAsia="Microsoft JhengHei" w:hint="eastAsia"/>
                <w:b/>
                <w:sz w:val="21"/>
              </w:rPr>
            </w:pPr>
            <w:r>
              <w:rPr>
                <w:w w:val="100"/>
                <w:sz w:val="21"/>
              </w:rPr>
              <w:t> </w:t>
            </w:r>
            <w:r>
              <w:rPr>
                <w:sz w:val="21"/>
              </w:rPr>
              <w:t> </w:t>
            </w:r>
            <w:r>
              <w:rPr>
                <w:rFonts w:ascii="Microsoft JhengHei" w:eastAsia="Microsoft JhengHei" w:hint="eastAsia"/>
                <w:b/>
                <w:sz w:val="21"/>
              </w:rPr>
              <w:t>第</w:t>
            </w:r>
          </w:p>
        </w:tc>
        <w:tc>
          <w:tcPr>
            <w:tcW w:w="1298" w:type="dxa"/>
          </w:tcPr>
          <w:p>
            <w:pPr>
              <w:pStyle w:val="TableParagraph"/>
              <w:spacing w:line="240" w:lineRule="auto" w:before="7"/>
              <w:ind w:left="58"/>
              <w:rPr>
                <w:rFonts w:ascii="Microsoft JhengHei" w:eastAsia="Microsoft JhengHei" w:hint="eastAsia"/>
                <w:b/>
                <w:sz w:val="21"/>
              </w:rPr>
            </w:pPr>
            <w:r>
              <w:rPr>
                <w:rFonts w:ascii="Microsoft JhengHei" w:eastAsia="Microsoft JhengHei" w:hint="eastAsia"/>
                <w:b/>
                <w:sz w:val="21"/>
              </w:rPr>
              <w:t>二  十  二  条</w:t>
            </w:r>
          </w:p>
        </w:tc>
      </w:tr>
      <w:tr>
        <w:trPr>
          <w:trHeight w:val="547" w:hRule="atLeast"/>
        </w:trPr>
        <w:tc>
          <w:tcPr>
            <w:tcW w:w="4141" w:type="dxa"/>
          </w:tcPr>
          <w:p>
            <w:pPr>
              <w:pStyle w:val="TableParagraph"/>
              <w:spacing w:line="469" w:lineRule="exact" w:before="58"/>
              <w:ind w:left="50"/>
              <w:rPr>
                <w:rFonts w:ascii="Microsoft JhengHei" w:eastAsia="Microsoft JhengHei" w:hint="eastAsia"/>
                <w:b/>
                <w:sz w:val="28"/>
              </w:rPr>
            </w:pPr>
            <w:r>
              <w:rPr>
                <w:rFonts w:ascii="Microsoft JhengHei" w:eastAsia="Microsoft JhengHei" w:hint="eastAsia"/>
                <w:b/>
                <w:w w:val="95"/>
                <w:sz w:val="28"/>
              </w:rPr>
              <w:t>说明</w:t>
            </w:r>
          </w:p>
        </w:tc>
        <w:tc>
          <w:tcPr>
            <w:tcW w:w="672" w:type="dxa"/>
          </w:tcPr>
          <w:p>
            <w:pPr>
              <w:pStyle w:val="TableParagraph"/>
              <w:spacing w:line="240" w:lineRule="auto"/>
              <w:rPr>
                <w:rFonts w:ascii="Times New Roman"/>
                <w:sz w:val="20"/>
              </w:rPr>
            </w:pPr>
          </w:p>
        </w:tc>
        <w:tc>
          <w:tcPr>
            <w:tcW w:w="864" w:type="dxa"/>
          </w:tcPr>
          <w:p>
            <w:pPr>
              <w:pStyle w:val="TableParagraph"/>
              <w:spacing w:line="240" w:lineRule="auto"/>
              <w:rPr>
                <w:rFonts w:ascii="Times New Roman"/>
                <w:sz w:val="20"/>
              </w:rPr>
            </w:pPr>
          </w:p>
        </w:tc>
        <w:tc>
          <w:tcPr>
            <w:tcW w:w="672" w:type="dxa"/>
          </w:tcPr>
          <w:p>
            <w:pPr>
              <w:pStyle w:val="TableParagraph"/>
              <w:spacing w:line="240" w:lineRule="auto"/>
              <w:rPr>
                <w:rFonts w:ascii="Times New Roman"/>
                <w:sz w:val="20"/>
              </w:rPr>
            </w:pPr>
          </w:p>
        </w:tc>
        <w:tc>
          <w:tcPr>
            <w:tcW w:w="288" w:type="dxa"/>
          </w:tcPr>
          <w:p>
            <w:pPr>
              <w:pStyle w:val="TableParagraph"/>
              <w:spacing w:line="240" w:lineRule="auto"/>
              <w:rPr>
                <w:rFonts w:ascii="Times New Roman"/>
                <w:sz w:val="20"/>
              </w:rPr>
            </w:pPr>
          </w:p>
        </w:tc>
        <w:tc>
          <w:tcPr>
            <w:tcW w:w="1237" w:type="dxa"/>
          </w:tcPr>
          <w:p>
            <w:pPr>
              <w:pStyle w:val="TableParagraph"/>
              <w:spacing w:line="240" w:lineRule="auto"/>
              <w:rPr>
                <w:rFonts w:ascii="Times New Roman"/>
                <w:sz w:val="20"/>
              </w:rPr>
            </w:pPr>
          </w:p>
        </w:tc>
        <w:tc>
          <w:tcPr>
            <w:tcW w:w="277" w:type="dxa"/>
          </w:tcPr>
          <w:p>
            <w:pPr>
              <w:pStyle w:val="TableParagraph"/>
              <w:spacing w:line="240" w:lineRule="auto"/>
              <w:rPr>
                <w:rFonts w:ascii="Times New Roman"/>
                <w:sz w:val="20"/>
              </w:rPr>
            </w:pPr>
          </w:p>
        </w:tc>
        <w:tc>
          <w:tcPr>
            <w:tcW w:w="577" w:type="dxa"/>
          </w:tcPr>
          <w:p>
            <w:pPr>
              <w:pStyle w:val="TableParagraph"/>
              <w:spacing w:line="240" w:lineRule="auto"/>
              <w:rPr>
                <w:rFonts w:ascii="Times New Roman"/>
                <w:sz w:val="20"/>
              </w:rPr>
            </w:pPr>
          </w:p>
        </w:tc>
        <w:tc>
          <w:tcPr>
            <w:tcW w:w="1298" w:type="dxa"/>
          </w:tcPr>
          <w:p>
            <w:pPr>
              <w:pStyle w:val="TableParagraph"/>
              <w:spacing w:line="240" w:lineRule="auto"/>
              <w:rPr>
                <w:rFonts w:ascii="Times New Roman"/>
                <w:sz w:val="20"/>
              </w:rPr>
            </w:pPr>
          </w:p>
        </w:tc>
      </w:tr>
    </w:tbl>
    <w:p>
      <w:pPr>
        <w:pStyle w:val="BodyText"/>
        <w:spacing w:before="12"/>
        <w:rPr>
          <w:rFonts w:ascii="Microsoft JhengHei"/>
          <w:b/>
          <w:sz w:val="18"/>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5"/>
        <w:gridCol w:w="926"/>
        <w:gridCol w:w="7646"/>
      </w:tblGrid>
      <w:tr>
        <w:trPr>
          <w:trHeight w:val="366" w:hRule="atLeast"/>
        </w:trPr>
        <w:tc>
          <w:tcPr>
            <w:tcW w:w="1555" w:type="dxa"/>
            <w:tcBorders>
              <w:top w:val="single" w:sz="4" w:space="0" w:color="000000"/>
            </w:tcBorders>
          </w:tcPr>
          <w:p>
            <w:pPr>
              <w:pStyle w:val="TableParagraph"/>
              <w:spacing w:line="332" w:lineRule="exact"/>
              <w:ind w:left="105"/>
              <w:rPr>
                <w:rFonts w:ascii="Microsoft JhengHei" w:eastAsia="Microsoft JhengHei" w:hint="eastAsia"/>
                <w:b/>
                <w:sz w:val="21"/>
              </w:rPr>
            </w:pPr>
            <w:r>
              <w:rPr>
                <w:rFonts w:ascii="Microsoft JhengHei" w:eastAsia="Microsoft JhengHei" w:hint="eastAsia"/>
                <w:b/>
                <w:sz w:val="21"/>
              </w:rPr>
              <w:t>我们</w:t>
            </w:r>
          </w:p>
        </w:tc>
        <w:tc>
          <w:tcPr>
            <w:tcW w:w="926" w:type="dxa"/>
            <w:tcBorders>
              <w:top w:val="single" w:sz="4" w:space="0" w:color="000000"/>
            </w:tcBorders>
          </w:tcPr>
          <w:p>
            <w:pPr>
              <w:pStyle w:val="TableParagraph"/>
              <w:spacing w:line="332" w:lineRule="exact"/>
              <w:ind w:right="107"/>
              <w:jc w:val="right"/>
              <w:rPr>
                <w:rFonts w:ascii="Microsoft JhengHei" w:eastAsia="Microsoft JhengHei" w:hint="eastAsia"/>
                <w:b/>
                <w:sz w:val="21"/>
              </w:rPr>
            </w:pPr>
            <w:r>
              <w:rPr>
                <w:rFonts w:ascii="Microsoft JhengHei" w:eastAsia="Microsoft JhengHei" w:hint="eastAsia"/>
                <w:b/>
                <w:w w:val="100"/>
                <w:sz w:val="21"/>
              </w:rPr>
              <w:t>：</w:t>
            </w:r>
          </w:p>
        </w:tc>
        <w:tc>
          <w:tcPr>
            <w:tcW w:w="7646" w:type="dxa"/>
            <w:tcBorders>
              <w:top w:val="single" w:sz="4" w:space="0" w:color="000000"/>
            </w:tcBorders>
          </w:tcPr>
          <w:p>
            <w:pPr>
              <w:pStyle w:val="TableParagraph"/>
              <w:spacing w:line="240" w:lineRule="auto" w:before="33"/>
              <w:ind w:left="110"/>
              <w:rPr>
                <w:sz w:val="21"/>
              </w:rPr>
            </w:pPr>
            <w:r>
              <w:rPr>
                <w:sz w:val="21"/>
              </w:rPr>
              <w:t>指光大永明人寿保险有限公司。 </w:t>
            </w:r>
          </w:p>
        </w:tc>
      </w:tr>
      <w:tr>
        <w:trPr>
          <w:trHeight w:val="350" w:hRule="atLeast"/>
        </w:trPr>
        <w:tc>
          <w:tcPr>
            <w:tcW w:w="1555" w:type="dxa"/>
          </w:tcPr>
          <w:p>
            <w:pPr>
              <w:pStyle w:val="TableParagraph"/>
              <w:spacing w:line="310" w:lineRule="exact"/>
              <w:ind w:left="105"/>
              <w:rPr>
                <w:rFonts w:ascii="Microsoft JhengHei" w:eastAsia="Microsoft JhengHei" w:hint="eastAsia"/>
                <w:b/>
                <w:sz w:val="21"/>
              </w:rPr>
            </w:pPr>
            <w:r>
              <w:rPr>
                <w:rFonts w:ascii="Microsoft JhengHei" w:eastAsia="Microsoft JhengHei" w:hint="eastAsia"/>
                <w:b/>
                <w:w w:val="100"/>
                <w:sz w:val="21"/>
              </w:rPr>
              <w:t>您</w:t>
            </w:r>
          </w:p>
        </w:tc>
        <w:tc>
          <w:tcPr>
            <w:tcW w:w="926" w:type="dxa"/>
          </w:tcPr>
          <w:p>
            <w:pPr>
              <w:pStyle w:val="TableParagraph"/>
              <w:spacing w:line="310" w:lineRule="exact"/>
              <w:ind w:right="107"/>
              <w:jc w:val="right"/>
              <w:rPr>
                <w:rFonts w:ascii="Microsoft JhengHei" w:eastAsia="Microsoft JhengHei" w:hint="eastAsia"/>
                <w:b/>
                <w:sz w:val="21"/>
              </w:rPr>
            </w:pPr>
            <w:r>
              <w:rPr>
                <w:rFonts w:ascii="Microsoft JhengHei" w:eastAsia="Microsoft JhengHei" w:hint="eastAsia"/>
                <w:b/>
                <w:w w:val="100"/>
                <w:sz w:val="21"/>
              </w:rPr>
              <w:t>：</w:t>
            </w:r>
          </w:p>
        </w:tc>
        <w:tc>
          <w:tcPr>
            <w:tcW w:w="7646" w:type="dxa"/>
          </w:tcPr>
          <w:p>
            <w:pPr>
              <w:pStyle w:val="TableParagraph"/>
              <w:spacing w:line="240" w:lineRule="auto" w:before="11"/>
              <w:ind w:left="110"/>
              <w:rPr>
                <w:sz w:val="21"/>
              </w:rPr>
            </w:pPr>
            <w:r>
              <w:rPr>
                <w:sz w:val="21"/>
              </w:rPr>
              <w:t>指投保人。 </w:t>
            </w:r>
          </w:p>
        </w:tc>
      </w:tr>
      <w:tr>
        <w:trPr>
          <w:trHeight w:val="316" w:hRule="atLeast"/>
        </w:trPr>
        <w:tc>
          <w:tcPr>
            <w:tcW w:w="1555" w:type="dxa"/>
          </w:tcPr>
          <w:p>
            <w:pPr>
              <w:pStyle w:val="TableParagraph"/>
              <w:spacing w:line="297" w:lineRule="exact"/>
              <w:ind w:left="105"/>
              <w:rPr>
                <w:rFonts w:ascii="Microsoft JhengHei" w:eastAsia="Microsoft JhengHei" w:hint="eastAsia"/>
                <w:b/>
                <w:sz w:val="21"/>
              </w:rPr>
            </w:pPr>
            <w:r>
              <w:rPr>
                <w:rFonts w:ascii="Microsoft JhengHei" w:eastAsia="Microsoft JhengHei" w:hint="eastAsia"/>
                <w:b/>
                <w:sz w:val="21"/>
              </w:rPr>
              <w:t>保险条款</w:t>
            </w:r>
          </w:p>
        </w:tc>
        <w:tc>
          <w:tcPr>
            <w:tcW w:w="926" w:type="dxa"/>
          </w:tcPr>
          <w:p>
            <w:pPr>
              <w:pStyle w:val="TableParagraph"/>
              <w:spacing w:line="297" w:lineRule="exact"/>
              <w:ind w:right="107"/>
              <w:jc w:val="right"/>
              <w:rPr>
                <w:rFonts w:ascii="Microsoft JhengHei" w:eastAsia="Microsoft JhengHei" w:hint="eastAsia"/>
                <w:b/>
                <w:sz w:val="21"/>
              </w:rPr>
            </w:pPr>
            <w:r>
              <w:rPr>
                <w:rFonts w:ascii="Microsoft JhengHei" w:eastAsia="Microsoft JhengHei" w:hint="eastAsia"/>
                <w:b/>
                <w:w w:val="100"/>
                <w:sz w:val="21"/>
              </w:rPr>
              <w:t>：</w:t>
            </w:r>
          </w:p>
        </w:tc>
        <w:tc>
          <w:tcPr>
            <w:tcW w:w="7646" w:type="dxa"/>
          </w:tcPr>
          <w:p>
            <w:pPr>
              <w:pStyle w:val="TableParagraph"/>
              <w:spacing w:line="240" w:lineRule="auto" w:before="16"/>
              <w:ind w:left="110"/>
              <w:rPr>
                <w:sz w:val="21"/>
              </w:rPr>
            </w:pPr>
            <w:r>
              <w:rPr>
                <w:sz w:val="21"/>
              </w:rPr>
              <w:t>指本条款。 </w:t>
            </w:r>
          </w:p>
        </w:tc>
      </w:tr>
    </w:tbl>
    <w:p>
      <w:pPr>
        <w:spacing w:after="0" w:line="240" w:lineRule="auto"/>
        <w:rPr>
          <w:sz w:val="21"/>
        </w:rPr>
        <w:sectPr>
          <w:type w:val="continuous"/>
          <w:pgSz w:w="11900" w:h="16840"/>
          <w:pgMar w:top="1440" w:bottom="280" w:left="920" w:right="640"/>
        </w:sectPr>
      </w:pPr>
    </w:p>
    <w:p>
      <w:pPr>
        <w:spacing w:line="442" w:lineRule="exact" w:before="0"/>
        <w:ind w:left="4395" w:right="4265" w:firstLine="0"/>
        <w:jc w:val="center"/>
        <w:rPr>
          <w:sz w:val="36"/>
        </w:rPr>
      </w:pPr>
      <w:r>
        <w:rPr>
          <w:sz w:val="36"/>
        </w:rPr>
        <w:t>条款目录 </w:t>
      </w:r>
    </w:p>
    <w:sdt>
      <w:sdtPr>
        <w:docPartObj>
          <w:docPartGallery w:val="Table of Contents"/>
          <w:docPartUnique/>
        </w:docPartObj>
      </w:sdtPr>
      <w:sdtEndPr/>
      <w:sdtContent>
        <w:p>
          <w:pPr>
            <w:pStyle w:val="TOC1"/>
            <w:tabs>
              <w:tab w:pos="1160" w:val="left" w:leader="none"/>
              <w:tab w:pos="10026" w:val="right" w:leader="dot"/>
            </w:tabs>
            <w:spacing w:before="243"/>
            <w:rPr>
              <w:rFonts w:ascii="Times New Roman" w:eastAsia="Times New Roman"/>
            </w:rPr>
          </w:pPr>
          <w:r>
            <w:fldChar w:fldCharType="begin"/>
          </w:r>
          <w:r>
            <w:instrText>TOC \o "1-2" \h \z \u </w:instrText>
          </w:r>
          <w:r>
            <w:fldChar w:fldCharType="separate"/>
          </w:r>
          <w:hyperlink w:history="true" w:anchor="_TOC_250035">
            <w:r>
              <w:rPr/>
              <w:t>第一部分</w:t>
              <w:tab/>
              <w:t>您与我们的合同</w:t>
              <w:tab/>
            </w:r>
            <w:r>
              <w:rPr>
                <w:rFonts w:ascii="Times New Roman" w:eastAsia="Times New Roman"/>
              </w:rPr>
              <w:t>1</w:t>
            </w:r>
          </w:hyperlink>
        </w:p>
        <w:p>
          <w:pPr>
            <w:pStyle w:val="TOC2"/>
            <w:tabs>
              <w:tab w:pos="1160" w:val="left" w:leader="none"/>
              <w:tab w:pos="10026" w:val="right" w:leader="dot"/>
            </w:tabs>
            <w:spacing w:before="164"/>
            <w:rPr>
              <w:rFonts w:ascii="Times New Roman" w:eastAsia="Times New Roman"/>
            </w:rPr>
          </w:pPr>
          <w:hyperlink w:history="true" w:anchor="_TOC_250034">
            <w:r>
              <w:rPr/>
              <w:t>第一条</w:t>
              <w:tab/>
              <w:t>保险合同的构成</w:t>
              <w:tab/>
            </w:r>
            <w:r>
              <w:rPr>
                <w:rFonts w:ascii="Times New Roman" w:eastAsia="Times New Roman"/>
              </w:rPr>
              <w:t>1</w:t>
            </w:r>
          </w:hyperlink>
        </w:p>
        <w:p>
          <w:pPr>
            <w:pStyle w:val="TOC2"/>
            <w:tabs>
              <w:tab w:pos="1160" w:val="left" w:leader="none"/>
              <w:tab w:pos="10026" w:val="right" w:leader="dot"/>
            </w:tabs>
            <w:spacing w:before="40"/>
            <w:rPr>
              <w:rFonts w:ascii="Times New Roman" w:eastAsia="Times New Roman"/>
            </w:rPr>
          </w:pPr>
          <w:hyperlink w:history="true" w:anchor="_TOC_250033">
            <w:r>
              <w:rPr/>
              <w:t>第二条</w:t>
              <w:tab/>
              <w:t>受益人的指定与变更</w:t>
              <w:tab/>
            </w:r>
            <w:r>
              <w:rPr>
                <w:rFonts w:ascii="Times New Roman" w:eastAsia="Times New Roman"/>
              </w:rPr>
              <w:t>1</w:t>
            </w:r>
          </w:hyperlink>
        </w:p>
        <w:p>
          <w:pPr>
            <w:pStyle w:val="TOC2"/>
            <w:tabs>
              <w:tab w:pos="1160" w:val="left" w:leader="none"/>
              <w:tab w:pos="10026" w:val="right" w:leader="dot"/>
            </w:tabs>
            <w:spacing w:before="30"/>
            <w:rPr>
              <w:rFonts w:ascii="Times New Roman" w:eastAsia="Times New Roman"/>
            </w:rPr>
          </w:pPr>
          <w:hyperlink w:history="true" w:anchor="_TOC_250032">
            <w:r>
              <w:rPr/>
              <w:t>第三条</w:t>
              <w:tab/>
              <w:t>保险责任的开始</w:t>
              <w:tab/>
            </w:r>
            <w:r>
              <w:rPr>
                <w:rFonts w:ascii="Times New Roman" w:eastAsia="Times New Roman"/>
              </w:rPr>
              <w:t>1</w:t>
            </w:r>
          </w:hyperlink>
        </w:p>
        <w:p>
          <w:pPr>
            <w:pStyle w:val="TOC2"/>
            <w:tabs>
              <w:tab w:pos="1160" w:val="left" w:leader="none"/>
              <w:tab w:pos="10026" w:val="right" w:leader="dot"/>
            </w:tabs>
            <w:rPr>
              <w:rFonts w:ascii="Times New Roman" w:eastAsia="Times New Roman"/>
            </w:rPr>
          </w:pPr>
          <w:hyperlink w:history="true" w:anchor="_TOC_250031">
            <w:r>
              <w:rPr/>
              <w:t>第四条</w:t>
              <w:tab/>
              <w:t>保险期间</w:t>
              <w:tab/>
            </w:r>
            <w:r>
              <w:rPr>
                <w:rFonts w:ascii="Times New Roman" w:eastAsia="Times New Roman"/>
              </w:rPr>
              <w:t>1</w:t>
            </w:r>
          </w:hyperlink>
        </w:p>
        <w:p>
          <w:pPr>
            <w:pStyle w:val="TOC2"/>
            <w:tabs>
              <w:tab w:pos="1160" w:val="left" w:leader="none"/>
              <w:tab w:pos="10026" w:val="right" w:leader="dot"/>
            </w:tabs>
            <w:spacing w:before="29"/>
            <w:rPr>
              <w:rFonts w:ascii="Times New Roman" w:eastAsia="Times New Roman"/>
            </w:rPr>
          </w:pPr>
          <w:hyperlink w:history="true" w:anchor="_TOC_250030">
            <w:r>
              <w:rPr/>
              <w:t>第五条</w:t>
              <w:tab/>
              <w:t>保险合同的中止</w:t>
              <w:tab/>
            </w:r>
            <w:r>
              <w:rPr>
                <w:rFonts w:ascii="Times New Roman" w:eastAsia="Times New Roman"/>
              </w:rPr>
              <w:t>1</w:t>
            </w:r>
          </w:hyperlink>
        </w:p>
        <w:p>
          <w:pPr>
            <w:pStyle w:val="TOC2"/>
            <w:tabs>
              <w:tab w:pos="1160" w:val="left" w:leader="none"/>
              <w:tab w:pos="10026" w:val="right" w:leader="dot"/>
            </w:tabs>
            <w:rPr>
              <w:rFonts w:ascii="Times New Roman" w:eastAsia="Times New Roman"/>
            </w:rPr>
          </w:pPr>
          <w:hyperlink w:history="true" w:anchor="_TOC_250029">
            <w:r>
              <w:rPr/>
              <w:t>第六条</w:t>
              <w:tab/>
              <w:t>保险合同的终止</w:t>
              <w:tab/>
            </w:r>
            <w:r>
              <w:rPr>
                <w:rFonts w:ascii="Times New Roman" w:eastAsia="Times New Roman"/>
              </w:rPr>
              <w:t>1</w:t>
            </w:r>
          </w:hyperlink>
        </w:p>
        <w:p>
          <w:pPr>
            <w:pStyle w:val="TOC1"/>
            <w:tabs>
              <w:tab w:pos="1160" w:val="left" w:leader="none"/>
              <w:tab w:pos="10026" w:val="right" w:leader="dot"/>
            </w:tabs>
            <w:rPr>
              <w:rFonts w:ascii="Times New Roman" w:eastAsia="Times New Roman"/>
            </w:rPr>
          </w:pPr>
          <w:hyperlink w:history="true" w:anchor="_TOC_250028">
            <w:r>
              <w:rPr/>
              <w:t>第二部分</w:t>
              <w:tab/>
              <w:t>我们提供的保障</w:t>
              <w:tab/>
            </w:r>
            <w:r>
              <w:rPr>
                <w:rFonts w:ascii="Times New Roman" w:eastAsia="Times New Roman"/>
              </w:rPr>
              <w:t>2</w:t>
            </w:r>
          </w:hyperlink>
        </w:p>
        <w:p>
          <w:pPr>
            <w:pStyle w:val="TOC2"/>
            <w:tabs>
              <w:tab w:pos="1160" w:val="left" w:leader="none"/>
              <w:tab w:pos="10026" w:val="right" w:leader="dot"/>
            </w:tabs>
            <w:spacing w:before="164"/>
            <w:rPr>
              <w:rFonts w:ascii="Times New Roman" w:eastAsia="Times New Roman"/>
            </w:rPr>
          </w:pPr>
          <w:hyperlink w:history="true" w:anchor="_TOC_250027">
            <w:r>
              <w:rPr/>
              <w:t>第七条</w:t>
              <w:tab/>
              <w:t>保险责任</w:t>
              <w:tab/>
            </w:r>
            <w:r>
              <w:rPr>
                <w:rFonts w:ascii="Times New Roman" w:eastAsia="Times New Roman"/>
              </w:rPr>
              <w:t>2</w:t>
            </w:r>
          </w:hyperlink>
        </w:p>
        <w:p>
          <w:pPr>
            <w:pStyle w:val="TOC2"/>
            <w:tabs>
              <w:tab w:pos="1160" w:val="left" w:leader="none"/>
              <w:tab w:pos="10026" w:val="right" w:leader="dot"/>
            </w:tabs>
            <w:spacing w:before="30"/>
            <w:rPr>
              <w:rFonts w:ascii="Times New Roman" w:eastAsia="Times New Roman"/>
            </w:rPr>
          </w:pPr>
          <w:hyperlink w:history="true" w:anchor="_TOC_250026">
            <w:r>
              <w:rPr/>
              <w:t>第八条</w:t>
              <w:tab/>
              <w:t>责任免除</w:t>
              <w:tab/>
            </w:r>
            <w:r>
              <w:rPr>
                <w:rFonts w:ascii="Times New Roman" w:eastAsia="Times New Roman"/>
              </w:rPr>
              <w:t>3</w:t>
            </w:r>
          </w:hyperlink>
        </w:p>
        <w:p>
          <w:pPr>
            <w:pStyle w:val="TOC2"/>
            <w:tabs>
              <w:tab w:pos="1160" w:val="left" w:leader="none"/>
              <w:tab w:pos="10026" w:val="right" w:leader="dot"/>
            </w:tabs>
            <w:spacing w:before="40"/>
            <w:rPr>
              <w:rFonts w:ascii="Times New Roman" w:eastAsia="Times New Roman"/>
            </w:rPr>
          </w:pPr>
          <w:hyperlink w:history="true" w:anchor="_TOC_250025">
            <w:r>
              <w:rPr/>
              <w:t>第九条</w:t>
              <w:tab/>
              <w:t>保险金额</w:t>
              <w:tab/>
            </w:r>
            <w:r>
              <w:rPr>
                <w:rFonts w:ascii="Times New Roman" w:eastAsia="Times New Roman"/>
              </w:rPr>
              <w:t>4</w:t>
            </w:r>
          </w:hyperlink>
        </w:p>
        <w:p>
          <w:pPr>
            <w:pStyle w:val="TOC1"/>
            <w:tabs>
              <w:tab w:pos="1160" w:val="left" w:leader="none"/>
              <w:tab w:pos="10026" w:val="right" w:leader="dot"/>
            </w:tabs>
            <w:rPr>
              <w:rFonts w:ascii="Times New Roman" w:eastAsia="Times New Roman"/>
            </w:rPr>
          </w:pPr>
          <w:hyperlink w:history="true" w:anchor="_TOC_250024">
            <w:r>
              <w:rPr/>
              <w:t>第三部分</w:t>
              <w:tab/>
              <w:t>如何领取保险金</w:t>
              <w:tab/>
            </w:r>
            <w:r>
              <w:rPr>
                <w:rFonts w:ascii="Times New Roman" w:eastAsia="Times New Roman"/>
              </w:rPr>
              <w:t>4</w:t>
            </w:r>
          </w:hyperlink>
        </w:p>
        <w:p>
          <w:pPr>
            <w:pStyle w:val="TOC2"/>
            <w:tabs>
              <w:tab w:pos="1160" w:val="left" w:leader="none"/>
              <w:tab w:pos="10026" w:val="right" w:leader="dot"/>
            </w:tabs>
            <w:spacing w:before="164"/>
            <w:rPr>
              <w:rFonts w:ascii="Times New Roman" w:eastAsia="Times New Roman"/>
            </w:rPr>
          </w:pPr>
          <w:hyperlink w:history="true" w:anchor="_TOC_250023">
            <w:r>
              <w:rPr/>
              <w:t>第十条</w:t>
              <w:tab/>
              <w:t>保险事故通知</w:t>
              <w:tab/>
            </w:r>
            <w:r>
              <w:rPr>
                <w:rFonts w:ascii="Times New Roman" w:eastAsia="Times New Roman"/>
              </w:rPr>
              <w:t>4</w:t>
            </w:r>
          </w:hyperlink>
        </w:p>
        <w:p>
          <w:pPr>
            <w:pStyle w:val="TOC2"/>
            <w:tabs>
              <w:tab w:pos="1371" w:val="left" w:leader="none"/>
              <w:tab w:pos="10026" w:val="right" w:leader="dot"/>
            </w:tabs>
            <w:spacing w:before="30"/>
            <w:rPr>
              <w:rFonts w:ascii="Times New Roman" w:eastAsia="Times New Roman"/>
            </w:rPr>
          </w:pPr>
          <w:hyperlink w:history="true" w:anchor="_TOC_250022">
            <w:r>
              <w:rPr/>
              <w:t>第十一条</w:t>
              <w:tab/>
              <w:t>保险金的申领</w:t>
              <w:tab/>
            </w:r>
            <w:r>
              <w:rPr>
                <w:rFonts w:ascii="Times New Roman" w:eastAsia="Times New Roman"/>
              </w:rPr>
              <w:t>4</w:t>
            </w:r>
          </w:hyperlink>
        </w:p>
        <w:p>
          <w:pPr>
            <w:pStyle w:val="TOC2"/>
            <w:tabs>
              <w:tab w:pos="1371" w:val="left" w:leader="none"/>
              <w:tab w:pos="10026" w:val="right" w:leader="dot"/>
            </w:tabs>
            <w:rPr>
              <w:rFonts w:ascii="Times New Roman" w:eastAsia="Times New Roman"/>
            </w:rPr>
          </w:pPr>
          <w:hyperlink w:history="true" w:anchor="_TOC_250021">
            <w:r>
              <w:rPr/>
              <w:t>第十二条</w:t>
              <w:tab/>
              <w:t>欠款的扣除</w:t>
              <w:tab/>
            </w:r>
            <w:r>
              <w:rPr>
                <w:rFonts w:ascii="Times New Roman" w:eastAsia="Times New Roman"/>
              </w:rPr>
              <w:t>5</w:t>
            </w:r>
          </w:hyperlink>
        </w:p>
        <w:p>
          <w:pPr>
            <w:pStyle w:val="TOC2"/>
            <w:tabs>
              <w:tab w:pos="1371" w:val="left" w:leader="none"/>
              <w:tab w:pos="10026" w:val="right" w:leader="dot"/>
            </w:tabs>
            <w:spacing w:before="29"/>
            <w:rPr>
              <w:rFonts w:ascii="Times New Roman" w:eastAsia="Times New Roman"/>
            </w:rPr>
          </w:pPr>
          <w:hyperlink w:history="true" w:anchor="_TOC_250020">
            <w:r>
              <w:rPr/>
              <w:t>第十三条</w:t>
              <w:tab/>
              <w:t>索赔时效</w:t>
              <w:tab/>
            </w:r>
            <w:r>
              <w:rPr>
                <w:rFonts w:ascii="Times New Roman" w:eastAsia="Times New Roman"/>
              </w:rPr>
              <w:t>5</w:t>
            </w:r>
          </w:hyperlink>
        </w:p>
        <w:p>
          <w:pPr>
            <w:pStyle w:val="TOC2"/>
            <w:tabs>
              <w:tab w:pos="1371" w:val="left" w:leader="none"/>
              <w:tab w:pos="10026" w:val="right" w:leader="dot"/>
            </w:tabs>
            <w:rPr>
              <w:rFonts w:ascii="Times New Roman" w:eastAsia="Times New Roman"/>
            </w:rPr>
          </w:pPr>
          <w:hyperlink w:history="true" w:anchor="_TOC_250019">
            <w:r>
              <w:rPr/>
              <w:t>第十四条</w:t>
              <w:tab/>
              <w:t>失踪处理</w:t>
              <w:tab/>
            </w:r>
            <w:r>
              <w:rPr>
                <w:rFonts w:ascii="Times New Roman" w:eastAsia="Times New Roman"/>
              </w:rPr>
              <w:t>5</w:t>
            </w:r>
          </w:hyperlink>
        </w:p>
        <w:p>
          <w:pPr>
            <w:pStyle w:val="TOC2"/>
            <w:tabs>
              <w:tab w:pos="1371" w:val="left" w:leader="none"/>
              <w:tab w:pos="10026" w:val="right" w:leader="dot"/>
            </w:tabs>
            <w:spacing w:before="30"/>
            <w:rPr>
              <w:rFonts w:ascii="Times New Roman" w:eastAsia="Times New Roman"/>
            </w:rPr>
          </w:pPr>
          <w:hyperlink w:history="true" w:anchor="_TOC_250018">
            <w:r>
              <w:rPr/>
              <w:t>第十五条</w:t>
              <w:tab/>
              <w:t>司法鉴定</w:t>
              <w:tab/>
            </w:r>
            <w:r>
              <w:rPr>
                <w:rFonts w:ascii="Times New Roman" w:eastAsia="Times New Roman"/>
              </w:rPr>
              <w:t>5</w:t>
            </w:r>
          </w:hyperlink>
        </w:p>
        <w:p>
          <w:pPr>
            <w:pStyle w:val="TOC1"/>
            <w:tabs>
              <w:tab w:pos="1160" w:val="left" w:leader="none"/>
              <w:tab w:pos="10026" w:val="right" w:leader="dot"/>
            </w:tabs>
            <w:spacing w:before="155"/>
            <w:rPr>
              <w:rFonts w:ascii="Times New Roman" w:eastAsia="Times New Roman"/>
            </w:rPr>
          </w:pPr>
          <w:hyperlink w:history="true" w:anchor="_TOC_250017">
            <w:r>
              <w:rPr/>
              <w:t>第四部分</w:t>
              <w:tab/>
              <w:t>保险费的交纳</w:t>
              <w:tab/>
            </w:r>
            <w:r>
              <w:rPr>
                <w:rFonts w:ascii="Times New Roman" w:eastAsia="Times New Roman"/>
              </w:rPr>
              <w:t>5</w:t>
            </w:r>
          </w:hyperlink>
        </w:p>
        <w:p>
          <w:pPr>
            <w:pStyle w:val="TOC2"/>
            <w:tabs>
              <w:tab w:pos="1371" w:val="left" w:leader="none"/>
              <w:tab w:pos="10026" w:val="right" w:leader="dot"/>
            </w:tabs>
            <w:spacing w:before="155"/>
            <w:rPr>
              <w:rFonts w:ascii="Times New Roman" w:eastAsia="Times New Roman"/>
            </w:rPr>
          </w:pPr>
          <w:hyperlink w:history="true" w:anchor="_TOC_250016">
            <w:r>
              <w:rPr/>
              <w:t>第十六条</w:t>
              <w:tab/>
              <w:t>保险费的交纳</w:t>
              <w:tab/>
            </w:r>
            <w:r>
              <w:rPr>
                <w:rFonts w:ascii="Times New Roman" w:eastAsia="Times New Roman"/>
              </w:rPr>
              <w:t>5</w:t>
            </w:r>
          </w:hyperlink>
        </w:p>
        <w:p>
          <w:pPr>
            <w:pStyle w:val="TOC2"/>
            <w:tabs>
              <w:tab w:pos="1371" w:val="left" w:leader="none"/>
              <w:tab w:pos="10026" w:val="right" w:leader="dot"/>
            </w:tabs>
            <w:spacing w:before="40"/>
            <w:rPr>
              <w:rFonts w:ascii="Times New Roman" w:eastAsia="Times New Roman"/>
            </w:rPr>
          </w:pPr>
          <w:hyperlink w:history="true" w:anchor="_TOC_250015">
            <w:r>
              <w:rPr/>
              <w:t>第十七条</w:t>
              <w:tab/>
              <w:t>宽限期</w:t>
              <w:tab/>
            </w:r>
            <w:r>
              <w:rPr>
                <w:rFonts w:ascii="Times New Roman" w:eastAsia="Times New Roman"/>
              </w:rPr>
              <w:t>6</w:t>
            </w:r>
          </w:hyperlink>
        </w:p>
        <w:p>
          <w:pPr>
            <w:pStyle w:val="TOC1"/>
            <w:tabs>
              <w:tab w:pos="1160" w:val="left" w:leader="none"/>
              <w:tab w:pos="10026" w:val="right" w:leader="dot"/>
            </w:tabs>
            <w:rPr>
              <w:rFonts w:ascii="Times New Roman" w:eastAsia="Times New Roman"/>
            </w:rPr>
          </w:pPr>
          <w:hyperlink w:history="true" w:anchor="_TOC_250014">
            <w:r>
              <w:rPr/>
              <w:t>第五部分</w:t>
              <w:tab/>
              <w:t>您所拥有的重要权益</w:t>
              <w:tab/>
            </w:r>
            <w:r>
              <w:rPr>
                <w:rFonts w:ascii="Times New Roman" w:eastAsia="Times New Roman"/>
              </w:rPr>
              <w:t>6</w:t>
            </w:r>
          </w:hyperlink>
        </w:p>
        <w:p>
          <w:pPr>
            <w:pStyle w:val="TOC2"/>
            <w:tabs>
              <w:tab w:pos="1371" w:val="left" w:leader="none"/>
              <w:tab w:pos="10026" w:val="right" w:leader="dot"/>
            </w:tabs>
            <w:spacing w:before="164"/>
            <w:rPr>
              <w:rFonts w:ascii="Times New Roman" w:eastAsia="Times New Roman"/>
            </w:rPr>
          </w:pPr>
          <w:hyperlink w:history="true" w:anchor="_TOC_250013">
            <w:r>
              <w:rPr/>
              <w:t>第十八条</w:t>
              <w:tab/>
              <w:t>保险费自动垫交</w:t>
              <w:tab/>
            </w:r>
            <w:r>
              <w:rPr>
                <w:rFonts w:ascii="Times New Roman" w:eastAsia="Times New Roman"/>
              </w:rPr>
              <w:t>6</w:t>
            </w:r>
          </w:hyperlink>
        </w:p>
        <w:p>
          <w:pPr>
            <w:pStyle w:val="TOC2"/>
            <w:tabs>
              <w:tab w:pos="1371" w:val="left" w:leader="none"/>
              <w:tab w:pos="10026" w:val="right" w:leader="dot"/>
            </w:tabs>
            <w:spacing w:before="30"/>
            <w:rPr>
              <w:rFonts w:ascii="Times New Roman" w:eastAsia="Times New Roman"/>
            </w:rPr>
          </w:pPr>
          <w:hyperlink w:history="true" w:anchor="_TOC_250012">
            <w:r>
              <w:rPr/>
              <w:t>第十九条</w:t>
              <w:tab/>
              <w:t>保险单借款</w:t>
              <w:tab/>
            </w:r>
            <w:r>
              <w:rPr>
                <w:rFonts w:ascii="Times New Roman" w:eastAsia="Times New Roman"/>
              </w:rPr>
              <w:t>6</w:t>
            </w:r>
          </w:hyperlink>
        </w:p>
        <w:p>
          <w:pPr>
            <w:pStyle w:val="TOC2"/>
            <w:tabs>
              <w:tab w:pos="1371" w:val="left" w:leader="none"/>
              <w:tab w:pos="10026" w:val="right" w:leader="dot"/>
            </w:tabs>
            <w:rPr>
              <w:rFonts w:ascii="Times New Roman" w:eastAsia="Times New Roman"/>
            </w:rPr>
          </w:pPr>
          <w:hyperlink w:history="true" w:anchor="_TOC_250011">
            <w:r>
              <w:rPr/>
              <w:t>第二十条</w:t>
              <w:tab/>
              <w:t>合同效力的恢复</w:t>
              <w:tab/>
            </w:r>
            <w:r>
              <w:rPr>
                <w:rFonts w:ascii="Times New Roman" w:eastAsia="Times New Roman"/>
              </w:rPr>
              <w:t>6</w:t>
            </w:r>
          </w:hyperlink>
        </w:p>
        <w:p>
          <w:pPr>
            <w:pStyle w:val="TOC2"/>
            <w:tabs>
              <w:tab w:pos="1583" w:val="left" w:leader="none"/>
              <w:tab w:pos="10026" w:val="right" w:leader="dot"/>
            </w:tabs>
            <w:spacing w:before="29"/>
            <w:rPr>
              <w:rFonts w:ascii="Times New Roman" w:eastAsia="Times New Roman"/>
            </w:rPr>
          </w:pPr>
          <w:hyperlink w:history="true" w:anchor="_TOC_250010">
            <w:r>
              <w:rPr/>
              <w:t>第二十一条</w:t>
              <w:tab/>
              <w:t>合同内容变更</w:t>
              <w:tab/>
            </w:r>
            <w:r>
              <w:rPr>
                <w:rFonts w:ascii="Times New Roman" w:eastAsia="Times New Roman"/>
              </w:rPr>
              <w:t>6</w:t>
            </w:r>
          </w:hyperlink>
        </w:p>
        <w:p>
          <w:pPr>
            <w:pStyle w:val="TOC2"/>
            <w:tabs>
              <w:tab w:pos="1583" w:val="left" w:leader="none"/>
              <w:tab w:pos="10026" w:val="right" w:leader="dot"/>
            </w:tabs>
            <w:rPr>
              <w:rFonts w:ascii="Times New Roman" w:eastAsia="Times New Roman"/>
            </w:rPr>
          </w:pPr>
          <w:hyperlink w:history="true" w:anchor="_TOC_250009">
            <w:r>
              <w:rPr/>
              <w:t>第二十二条</w:t>
              <w:tab/>
              <w:t>合同解除权</w:t>
              <w:tab/>
            </w:r>
            <w:r>
              <w:rPr>
                <w:rFonts w:ascii="Times New Roman" w:eastAsia="Times New Roman"/>
              </w:rPr>
              <w:t>6</w:t>
            </w:r>
          </w:hyperlink>
        </w:p>
        <w:p>
          <w:pPr>
            <w:pStyle w:val="TOC1"/>
            <w:tabs>
              <w:tab w:pos="1160" w:val="left" w:leader="none"/>
              <w:tab w:pos="10026" w:val="right" w:leader="dot"/>
            </w:tabs>
            <w:rPr>
              <w:rFonts w:ascii="Times New Roman" w:eastAsia="Times New Roman"/>
            </w:rPr>
          </w:pPr>
          <w:hyperlink w:history="true" w:anchor="_TOC_250008">
            <w:r>
              <w:rPr/>
              <w:t>第六部分</w:t>
              <w:tab/>
              <w:t>您必须了解的事项</w:t>
              <w:tab/>
            </w:r>
            <w:r>
              <w:rPr>
                <w:rFonts w:ascii="Times New Roman" w:eastAsia="Times New Roman"/>
              </w:rPr>
              <w:t>7</w:t>
            </w:r>
          </w:hyperlink>
        </w:p>
        <w:p>
          <w:pPr>
            <w:pStyle w:val="TOC2"/>
            <w:tabs>
              <w:tab w:pos="1583" w:val="left" w:leader="none"/>
              <w:tab w:pos="10026" w:val="right" w:leader="dot"/>
            </w:tabs>
            <w:spacing w:before="164"/>
            <w:rPr>
              <w:rFonts w:ascii="Times New Roman" w:eastAsia="Times New Roman"/>
            </w:rPr>
          </w:pPr>
          <w:hyperlink w:history="true" w:anchor="_TOC_250007">
            <w:r>
              <w:rPr/>
              <w:t>第二十三条</w:t>
              <w:tab/>
              <w:t>明确说明与如实告知义务</w:t>
              <w:tab/>
            </w:r>
            <w:r>
              <w:rPr>
                <w:rFonts w:ascii="Times New Roman" w:eastAsia="Times New Roman"/>
              </w:rPr>
              <w:t>7</w:t>
            </w:r>
          </w:hyperlink>
        </w:p>
        <w:p>
          <w:pPr>
            <w:pStyle w:val="TOC2"/>
            <w:tabs>
              <w:tab w:pos="1583" w:val="left" w:leader="none"/>
              <w:tab w:pos="10026" w:val="right" w:leader="dot"/>
            </w:tabs>
            <w:spacing w:before="29"/>
            <w:rPr>
              <w:rFonts w:ascii="Times New Roman" w:eastAsia="Times New Roman"/>
            </w:rPr>
          </w:pPr>
          <w:hyperlink w:history="true" w:anchor="_TOC_250006">
            <w:r>
              <w:rPr/>
              <w:t>第二十四条</w:t>
              <w:tab/>
              <w:t>年龄计算及错误处理</w:t>
              <w:tab/>
            </w:r>
            <w:r>
              <w:rPr>
                <w:rFonts w:ascii="Times New Roman" w:eastAsia="Times New Roman"/>
              </w:rPr>
              <w:t>7</w:t>
            </w:r>
          </w:hyperlink>
        </w:p>
        <w:p>
          <w:pPr>
            <w:pStyle w:val="TOC2"/>
            <w:tabs>
              <w:tab w:pos="1583" w:val="left" w:leader="none"/>
              <w:tab w:pos="10026" w:val="right" w:leader="dot"/>
            </w:tabs>
            <w:rPr>
              <w:rFonts w:ascii="Times New Roman" w:eastAsia="Times New Roman"/>
            </w:rPr>
          </w:pPr>
          <w:hyperlink w:history="true" w:anchor="_TOC_250005">
            <w:r>
              <w:rPr/>
              <w:t>第二十五条</w:t>
              <w:tab/>
              <w:t>住所或通讯地址变更</w:t>
              <w:tab/>
            </w:r>
            <w:r>
              <w:rPr>
                <w:rFonts w:ascii="Times New Roman" w:eastAsia="Times New Roman"/>
              </w:rPr>
              <w:t>7</w:t>
            </w:r>
          </w:hyperlink>
        </w:p>
        <w:p>
          <w:pPr>
            <w:pStyle w:val="TOC2"/>
            <w:tabs>
              <w:tab w:pos="1583" w:val="left" w:leader="none"/>
              <w:tab w:pos="10026" w:val="right" w:leader="dot"/>
            </w:tabs>
            <w:spacing w:before="30"/>
            <w:rPr>
              <w:rFonts w:ascii="Times New Roman" w:eastAsia="Times New Roman"/>
            </w:rPr>
          </w:pPr>
          <w:hyperlink w:history="true" w:anchor="_TOC_250004">
            <w:r>
              <w:rPr/>
              <w:t>第二十六条</w:t>
              <w:tab/>
              <w:t>争议处理</w:t>
              <w:tab/>
            </w:r>
            <w:r>
              <w:rPr>
                <w:rFonts w:ascii="Times New Roman" w:eastAsia="Times New Roman"/>
              </w:rPr>
              <w:t>7</w:t>
            </w:r>
          </w:hyperlink>
        </w:p>
        <w:p>
          <w:pPr>
            <w:pStyle w:val="TOC1"/>
            <w:tabs>
              <w:tab w:pos="1160" w:val="left" w:leader="none"/>
              <w:tab w:pos="10026" w:val="right" w:leader="dot"/>
            </w:tabs>
            <w:spacing w:before="155"/>
            <w:rPr>
              <w:rFonts w:ascii="Times New Roman" w:eastAsia="Times New Roman"/>
            </w:rPr>
          </w:pPr>
          <w:hyperlink w:history="true" w:anchor="_TOC_250003">
            <w:r>
              <w:rPr/>
              <w:t>第七部分</w:t>
              <w:tab/>
              <w:t>其他事项</w:t>
              <w:tab/>
            </w:r>
            <w:r>
              <w:rPr>
                <w:rFonts w:ascii="Times New Roman" w:eastAsia="Times New Roman"/>
              </w:rPr>
              <w:t>8</w:t>
            </w:r>
          </w:hyperlink>
        </w:p>
        <w:p>
          <w:pPr>
            <w:pStyle w:val="TOC2"/>
            <w:tabs>
              <w:tab w:pos="1583" w:val="left" w:leader="none"/>
              <w:tab w:pos="10026" w:val="right" w:leader="dot"/>
            </w:tabs>
            <w:spacing w:before="155"/>
            <w:rPr>
              <w:rFonts w:ascii="Times New Roman" w:eastAsia="Times New Roman"/>
            </w:rPr>
          </w:pPr>
          <w:hyperlink w:history="true" w:anchor="_TOC_250002">
            <w:r>
              <w:rPr/>
              <w:t>第二十七条</w:t>
              <w:tab/>
              <w:t>就医须知</w:t>
              <w:tab/>
            </w:r>
            <w:r>
              <w:rPr>
                <w:rFonts w:ascii="Times New Roman" w:eastAsia="Times New Roman"/>
              </w:rPr>
              <w:t>8</w:t>
            </w:r>
          </w:hyperlink>
        </w:p>
        <w:p>
          <w:pPr>
            <w:pStyle w:val="TOC1"/>
            <w:tabs>
              <w:tab w:pos="1160" w:val="left" w:leader="none"/>
              <w:tab w:pos="10026" w:val="right" w:leader="dot"/>
            </w:tabs>
            <w:spacing w:before="155"/>
            <w:rPr>
              <w:rFonts w:ascii="Times New Roman" w:eastAsia="Times New Roman"/>
            </w:rPr>
          </w:pPr>
          <w:hyperlink w:history="true" w:anchor="_TOC_250001">
            <w:r>
              <w:rPr/>
              <w:t>第八部分</w:t>
              <w:tab/>
              <w:t>名词释义</w:t>
              <w:tab/>
            </w:r>
            <w:r>
              <w:rPr>
                <w:rFonts w:ascii="Times New Roman" w:eastAsia="Times New Roman"/>
              </w:rPr>
              <w:t>8</w:t>
            </w:r>
          </w:hyperlink>
        </w:p>
        <w:p>
          <w:pPr>
            <w:pStyle w:val="TOC2"/>
            <w:tabs>
              <w:tab w:pos="1583" w:val="left" w:leader="none"/>
              <w:tab w:pos="10026" w:val="right" w:leader="dot"/>
            </w:tabs>
            <w:spacing w:before="155"/>
            <w:rPr>
              <w:rFonts w:ascii="Times New Roman" w:eastAsia="Times New Roman"/>
            </w:rPr>
          </w:pPr>
          <w:hyperlink w:history="true" w:anchor="_TOC_250000">
            <w:r>
              <w:rPr/>
              <w:t>第二十八条</w:t>
              <w:tab/>
              <w:t>名词释义</w:t>
              <w:tab/>
            </w:r>
            <w:r>
              <w:rPr>
                <w:rFonts w:ascii="Times New Roman" w:eastAsia="Times New Roman"/>
              </w:rPr>
              <w:t>8</w:t>
            </w:r>
          </w:hyperlink>
        </w:p>
        <w:p>
          <w:pPr/>
          <w:r>
            <w:fldChar w:fldCharType="end"/>
          </w:r>
        </w:p>
      </w:sdtContent>
    </w:sdt>
    <w:p>
      <w:pPr>
        <w:spacing w:after="0"/>
        <w:sectPr>
          <w:pgSz w:w="11900" w:h="16840"/>
          <w:pgMar w:top="1300" w:bottom="280" w:left="740" w:right="1020"/>
        </w:sectPr>
      </w:pPr>
    </w:p>
    <w:p>
      <w:pPr>
        <w:pStyle w:val="Heading1"/>
        <w:spacing w:before="210"/>
        <w:ind w:right="189"/>
      </w:pPr>
      <w:bookmarkStart w:name="_TOC_250035" w:id="1"/>
      <w:r>
        <w:rPr/>
        <w:t>第一部分 您与我们的合同</w:t>
      </w:r>
      <w:bookmarkEnd w:id="1"/>
      <w:r>
        <w:rPr>
          <w:w w:val="98"/>
        </w:rPr>
        <w:t> </w:t>
      </w:r>
    </w:p>
    <w:p>
      <w:pPr>
        <w:pStyle w:val="BodyText"/>
        <w:spacing w:before="5"/>
        <w:rPr>
          <w:b/>
          <w:sz w:val="24"/>
        </w:rPr>
      </w:pPr>
    </w:p>
    <w:p>
      <w:pPr>
        <w:pStyle w:val="Heading2"/>
        <w:tabs>
          <w:tab w:pos="1390" w:val="left" w:leader="none"/>
        </w:tabs>
        <w:spacing w:before="1"/>
        <w:ind w:left="343"/>
      </w:pPr>
      <w:bookmarkStart w:name="_TOC_250034" w:id="2"/>
      <w:bookmarkEnd w:id="2"/>
      <w:r>
        <w:rPr/>
        <w:t>第一条</w:t>
        <w:tab/>
        <w:t>保险合同的构成</w:t>
      </w:r>
    </w:p>
    <w:p>
      <w:pPr>
        <w:pStyle w:val="BodyText"/>
        <w:spacing w:line="242" w:lineRule="auto" w:before="104"/>
        <w:ind w:left="132" w:right="305" w:firstLine="422"/>
      </w:pPr>
      <w:r>
        <w:rPr>
          <w:w w:val="100"/>
        </w:rPr>
        <w:t>本保险合同（</w:t>
      </w:r>
      <w:r>
        <w:rPr>
          <w:spacing w:val="-12"/>
          <w:w w:val="100"/>
        </w:rPr>
        <w:t>以下简称“本合同”</w:t>
      </w:r>
      <w:r>
        <w:rPr>
          <w:w w:val="100"/>
        </w:rPr>
        <w:t>）由保险单、保险条款、投保书、投保提示以及与本合同有关的投保</w:t>
      </w:r>
      <w:r>
        <w:rPr>
          <w:spacing w:val="-2"/>
        </w:rPr>
        <w:t>文件、合法有效的声明、批注和其他书面协议共同构成。 </w:t>
      </w:r>
    </w:p>
    <w:p>
      <w:pPr>
        <w:pStyle w:val="Heading2"/>
        <w:tabs>
          <w:tab w:pos="1390" w:val="left" w:leader="none"/>
        </w:tabs>
        <w:spacing w:before="174"/>
        <w:ind w:left="344"/>
      </w:pPr>
      <w:bookmarkStart w:name="_TOC_250033" w:id="3"/>
      <w:bookmarkEnd w:id="3"/>
      <w:r>
        <w:rPr/>
        <w:t>第二条</w:t>
        <w:tab/>
        <w:t>受益人的指定与变更</w:t>
      </w:r>
    </w:p>
    <w:p>
      <w:pPr>
        <w:pStyle w:val="BodyText"/>
        <w:spacing w:line="235" w:lineRule="auto" w:before="119"/>
        <w:ind w:left="132" w:right="287" w:firstLine="422"/>
        <w:jc w:val="both"/>
      </w:pPr>
      <w:r>
        <w:rPr>
          <w:spacing w:val="-4"/>
        </w:rPr>
        <w:t>您或被保险人可指定一人或数人为身故保险金受益人，但您指定受益人须征得被保险人书面同意。受益</w:t>
      </w:r>
      <w:r>
        <w:rPr>
          <w:spacing w:val="-7"/>
        </w:rPr>
        <w:t>人为数人时，应确定受益顺序和受益份额；未确定受益顺序和受益份额的，各受益人按照相等份额享有同等</w:t>
      </w:r>
      <w:r>
        <w:rPr/>
        <w:t>顺位受益权。 </w:t>
      </w:r>
    </w:p>
    <w:p>
      <w:pPr>
        <w:pStyle w:val="BodyText"/>
        <w:spacing w:line="237" w:lineRule="exact" w:before="3"/>
        <w:ind w:left="555"/>
      </w:pPr>
      <w:r>
        <w:rPr/>
        <w:t>除另有约定外，身故保险金以外的其他保险金受益人为被保险人本人。 </w:t>
      </w:r>
    </w:p>
    <w:p>
      <w:pPr>
        <w:pStyle w:val="BodyText"/>
        <w:spacing w:line="319" w:lineRule="exact"/>
        <w:ind w:left="555"/>
      </w:pPr>
      <w:r>
        <w:rPr/>
        <w:t>在本合同有效期内，您或被保险人可以变更受益人并书面通知我们</w:t>
      </w:r>
      <w:r>
        <w:rPr>
          <w:rFonts w:ascii="Malgun Gothic" w:eastAsia="Malgun Gothic" w:hint="eastAsia"/>
          <w:b/>
        </w:rPr>
        <w:t>；</w:t>
      </w:r>
      <w:r>
        <w:rPr/>
        <w:t>我们在收到变更受益人的书面通知</w:t>
      </w:r>
    </w:p>
    <w:p>
      <w:pPr>
        <w:pStyle w:val="BodyText"/>
        <w:spacing w:line="263" w:lineRule="exact"/>
        <w:ind w:left="174" w:right="4186"/>
        <w:jc w:val="center"/>
      </w:pPr>
      <w:r>
        <w:rPr/>
        <w:t>后，应当做出批注。但您变更受益人须征得被保险人书面同意。 </w:t>
      </w:r>
    </w:p>
    <w:p>
      <w:pPr>
        <w:pStyle w:val="BodyText"/>
        <w:spacing w:line="269" w:lineRule="exact"/>
        <w:ind w:left="555"/>
      </w:pPr>
      <w:r>
        <w:rPr/>
        <w:t>有下列情形之一的，我们根据本保险合同应付的身故保险金将视为被保险人的遗产： </w:t>
      </w:r>
    </w:p>
    <w:p>
      <w:pPr>
        <w:pStyle w:val="BodyText"/>
        <w:spacing w:line="272" w:lineRule="exact"/>
        <w:ind w:left="555"/>
      </w:pPr>
      <w:r>
        <w:rPr/>
        <w:t>（一）没有指定受益人，或者受益人指定不明无法确定的； </w:t>
      </w:r>
    </w:p>
    <w:p>
      <w:pPr>
        <w:pStyle w:val="BodyText"/>
        <w:spacing w:line="272" w:lineRule="exact" w:before="3"/>
        <w:ind w:left="555"/>
      </w:pPr>
      <w:r>
        <w:rPr/>
        <w:t>（二）受益人先于被保险人死亡，没有其他受益人的； </w:t>
      </w:r>
    </w:p>
    <w:p>
      <w:pPr>
        <w:pStyle w:val="BodyText"/>
        <w:spacing w:line="269" w:lineRule="exact"/>
        <w:ind w:left="555"/>
      </w:pPr>
      <w:r>
        <w:rPr/>
        <w:t>（三）受益人依法丧失受益权或者放弃受益权，没有其他受益人的。 </w:t>
      </w:r>
    </w:p>
    <w:p>
      <w:pPr>
        <w:pStyle w:val="BodyText"/>
        <w:spacing w:line="272" w:lineRule="exact"/>
        <w:ind w:left="555"/>
      </w:pPr>
      <w:r>
        <w:rPr/>
        <w:t>受益人与被保险人在同一事件中死亡，且不能确定死亡先后顺序的，推定受益人死亡在先。 </w:t>
      </w:r>
    </w:p>
    <w:p>
      <w:pPr>
        <w:pStyle w:val="BodyText"/>
        <w:spacing w:before="3"/>
        <w:ind w:left="555"/>
      </w:pPr>
      <w:r>
        <w:rPr/>
        <w:t>受益人故意造成被保险人身故、伤残、疾病的，或者故意杀害被保险人未遂的，该受益人丧失受益权。 </w:t>
      </w:r>
    </w:p>
    <w:p>
      <w:pPr>
        <w:pStyle w:val="Heading2"/>
        <w:tabs>
          <w:tab w:pos="1390" w:val="left" w:leader="none"/>
        </w:tabs>
        <w:spacing w:before="176"/>
        <w:ind w:left="344"/>
      </w:pPr>
      <w:bookmarkStart w:name="_TOC_250032" w:id="4"/>
      <w:bookmarkEnd w:id="4"/>
      <w:r>
        <w:rPr/>
        <w:t>第三条</w:t>
        <w:tab/>
        <w:t>保险责任的开始</w:t>
      </w:r>
    </w:p>
    <w:p>
      <w:pPr>
        <w:pStyle w:val="BodyText"/>
        <w:spacing w:line="268" w:lineRule="auto" w:before="132"/>
        <w:ind w:left="132" w:right="257" w:firstLine="422"/>
      </w:pPr>
      <w:r>
        <w:rPr/>
        <w:t>我们在收取首期保险费并同意承保后，将签发保险单或批注作为保险凭证。我们自本合同生效日即保险单所载的保险单生效日的零时起承担保险责任。 </w:t>
      </w:r>
    </w:p>
    <w:p>
      <w:pPr>
        <w:pStyle w:val="BodyText"/>
        <w:spacing w:line="268" w:lineRule="auto" w:before="16"/>
        <w:ind w:left="132" w:right="266" w:firstLine="422"/>
      </w:pPr>
      <w:r>
        <w:rPr/>
        <w:t>本合同的保险单周年日 </w:t>
      </w:r>
      <w:r>
        <w:rPr>
          <w:position w:val="11"/>
          <w:sz w:val="10"/>
        </w:rPr>
        <w:t>1</w:t>
      </w:r>
      <w:r>
        <w:rPr/>
        <w:t>、保险单年度、保险单月份、保险费到期日和保险合同满期日均以本合同生效日为基础计算。 </w:t>
      </w:r>
    </w:p>
    <w:p>
      <w:pPr>
        <w:pStyle w:val="BodyText"/>
        <w:spacing w:before="10"/>
        <w:rPr>
          <w:sz w:val="13"/>
        </w:rPr>
      </w:pPr>
    </w:p>
    <w:p>
      <w:pPr>
        <w:pStyle w:val="Heading2"/>
        <w:tabs>
          <w:tab w:pos="1390" w:val="left" w:leader="none"/>
        </w:tabs>
        <w:ind w:left="344"/>
      </w:pPr>
      <w:bookmarkStart w:name="_TOC_250031" w:id="5"/>
      <w:bookmarkEnd w:id="5"/>
      <w:r>
        <w:rPr/>
        <w:t>第四条</w:t>
        <w:tab/>
        <w:t>保险期间</w:t>
      </w:r>
    </w:p>
    <w:p>
      <w:pPr>
        <w:pStyle w:val="BodyText"/>
        <w:spacing w:before="104"/>
        <w:ind w:left="555"/>
      </w:pPr>
      <w:r>
        <w:rPr/>
        <w:t>本合同的保险期间由您和我们约定，并在保险合同中载明。 </w:t>
      </w:r>
    </w:p>
    <w:p>
      <w:pPr>
        <w:pStyle w:val="BodyText"/>
        <w:spacing w:before="5"/>
        <w:rPr>
          <w:sz w:val="16"/>
        </w:rPr>
      </w:pPr>
    </w:p>
    <w:p>
      <w:pPr>
        <w:pStyle w:val="Heading2"/>
        <w:tabs>
          <w:tab w:pos="1390" w:val="left" w:leader="none"/>
        </w:tabs>
        <w:ind w:left="344"/>
      </w:pPr>
      <w:bookmarkStart w:name="_TOC_250030" w:id="6"/>
      <w:bookmarkEnd w:id="6"/>
      <w:r>
        <w:rPr/>
        <w:t>第五条</w:t>
        <w:tab/>
        <w:t>保险合同的中止</w:t>
      </w:r>
    </w:p>
    <w:p>
      <w:pPr>
        <w:pStyle w:val="BodyText"/>
        <w:spacing w:line="268" w:lineRule="auto" w:before="123"/>
        <w:ind w:left="132" w:right="257" w:firstLine="422"/>
      </w:pPr>
      <w:r>
        <w:rPr/>
        <w:t>若因保单借款导致本合同现金价值净额为零或出现本合同有关条款约定的其他中止情形的，本合同效力中止。在效力中止期间，我们不承担保险责任。 </w:t>
      </w:r>
    </w:p>
    <w:p>
      <w:pPr>
        <w:pStyle w:val="BodyText"/>
        <w:spacing w:before="6"/>
        <w:rPr>
          <w:sz w:val="14"/>
        </w:rPr>
      </w:pPr>
    </w:p>
    <w:p>
      <w:pPr>
        <w:pStyle w:val="Heading2"/>
        <w:tabs>
          <w:tab w:pos="1390" w:val="left" w:leader="none"/>
        </w:tabs>
        <w:ind w:left="344"/>
      </w:pPr>
      <w:bookmarkStart w:name="_TOC_250029" w:id="7"/>
      <w:bookmarkEnd w:id="7"/>
      <w:r>
        <w:rPr/>
        <w:t>第六条</w:t>
        <w:tab/>
        <w:t>保险合同的终止</w:t>
      </w:r>
    </w:p>
    <w:p>
      <w:pPr>
        <w:pStyle w:val="BodyText"/>
        <w:spacing w:before="113"/>
        <w:ind w:left="555"/>
      </w:pPr>
      <w:r>
        <w:rPr/>
        <w:t>发生下列情况之一时，本合同终止： </w:t>
      </w:r>
    </w:p>
    <w:p>
      <w:pPr>
        <w:pStyle w:val="ListParagraph"/>
        <w:numPr>
          <w:ilvl w:val="0"/>
          <w:numId w:val="1"/>
        </w:numPr>
        <w:tabs>
          <w:tab w:pos="1179" w:val="left" w:leader="none"/>
          <w:tab w:pos="1180" w:val="left" w:leader="none"/>
        </w:tabs>
        <w:spacing w:line="240" w:lineRule="auto" w:before="51" w:after="0"/>
        <w:ind w:left="1179" w:right="0" w:hanging="624"/>
        <w:jc w:val="left"/>
        <w:rPr>
          <w:rFonts w:ascii="宋体" w:eastAsia="宋体" w:hint="eastAsia"/>
          <w:sz w:val="21"/>
        </w:rPr>
      </w:pPr>
      <w:r>
        <w:rPr>
          <w:rFonts w:ascii="宋体" w:eastAsia="宋体" w:hint="eastAsia"/>
          <w:sz w:val="21"/>
        </w:rPr>
        <w:t>您申请解除本合同； </w:t>
      </w:r>
    </w:p>
    <w:p>
      <w:pPr>
        <w:pStyle w:val="ListParagraph"/>
        <w:numPr>
          <w:ilvl w:val="0"/>
          <w:numId w:val="1"/>
        </w:numPr>
        <w:tabs>
          <w:tab w:pos="1179" w:val="left" w:leader="none"/>
          <w:tab w:pos="1180" w:val="left" w:leader="none"/>
        </w:tabs>
        <w:spacing w:line="240" w:lineRule="auto" w:before="32" w:after="0"/>
        <w:ind w:left="1179" w:right="0" w:hanging="624"/>
        <w:jc w:val="left"/>
        <w:rPr>
          <w:rFonts w:ascii="宋体" w:eastAsia="宋体" w:hint="eastAsia"/>
          <w:sz w:val="21"/>
        </w:rPr>
      </w:pPr>
      <w:r>
        <w:rPr>
          <w:rFonts w:ascii="宋体" w:eastAsia="宋体" w:hint="eastAsia"/>
          <w:spacing w:val="-4"/>
          <w:sz w:val="21"/>
        </w:rPr>
        <w:t>本合同效力中止后，逾期或未按【合同效力的恢复】条款办理复效； </w:t>
      </w:r>
    </w:p>
    <w:p>
      <w:pPr>
        <w:pStyle w:val="ListParagraph"/>
        <w:numPr>
          <w:ilvl w:val="0"/>
          <w:numId w:val="1"/>
        </w:numPr>
        <w:tabs>
          <w:tab w:pos="1179" w:val="left" w:leader="none"/>
          <w:tab w:pos="1180" w:val="left" w:leader="none"/>
        </w:tabs>
        <w:spacing w:line="240" w:lineRule="auto" w:before="41" w:after="0"/>
        <w:ind w:left="1179" w:right="0" w:hanging="624"/>
        <w:jc w:val="left"/>
        <w:rPr>
          <w:rFonts w:ascii="宋体" w:eastAsia="宋体" w:hint="eastAsia"/>
          <w:sz w:val="21"/>
        </w:rPr>
      </w:pPr>
      <w:r>
        <w:rPr>
          <w:rFonts w:ascii="宋体" w:eastAsia="宋体" w:hint="eastAsia"/>
          <w:spacing w:val="-1"/>
          <w:sz w:val="21"/>
        </w:rPr>
        <w:t>我们给付身故保险金或高度残疾保险金后； </w:t>
      </w:r>
    </w:p>
    <w:p>
      <w:pPr>
        <w:pStyle w:val="ListParagraph"/>
        <w:numPr>
          <w:ilvl w:val="0"/>
          <w:numId w:val="1"/>
        </w:numPr>
        <w:tabs>
          <w:tab w:pos="1179" w:val="left" w:leader="none"/>
          <w:tab w:pos="1180" w:val="left" w:leader="none"/>
        </w:tabs>
        <w:spacing w:line="276" w:lineRule="auto" w:before="32" w:after="0"/>
        <w:ind w:left="1179" w:right="266" w:hanging="624"/>
        <w:jc w:val="left"/>
        <w:rPr>
          <w:rFonts w:ascii="宋体" w:eastAsia="宋体" w:hint="eastAsia"/>
          <w:sz w:val="21"/>
        </w:rPr>
      </w:pPr>
      <w:r>
        <w:rPr>
          <w:rFonts w:ascii="宋体" w:eastAsia="宋体" w:hint="eastAsia"/>
          <w:spacing w:val="-7"/>
          <w:sz w:val="21"/>
        </w:rPr>
        <w:t>我们已给付重大疾病保险金，且被保险人生存至年满 </w:t>
      </w:r>
      <w:r>
        <w:rPr>
          <w:rFonts w:ascii="宋体" w:eastAsia="宋体" w:hint="eastAsia"/>
          <w:sz w:val="21"/>
        </w:rPr>
        <w:t>76</w:t>
      </w:r>
      <w:r>
        <w:rPr>
          <w:rFonts w:ascii="宋体" w:eastAsia="宋体" w:hint="eastAsia"/>
          <w:spacing w:val="-11"/>
          <w:sz w:val="21"/>
        </w:rPr>
        <w:t> 周岁之后的首个保险单周年日时</w:t>
      </w:r>
      <w:r>
        <w:rPr>
          <w:rFonts w:ascii="宋体" w:eastAsia="宋体" w:hint="eastAsia"/>
          <w:sz w:val="21"/>
        </w:rPr>
        <w:t>（若保单</w:t>
      </w:r>
      <w:r>
        <w:rPr>
          <w:rFonts w:ascii="宋体" w:eastAsia="宋体" w:hint="eastAsia"/>
          <w:spacing w:val="-1"/>
          <w:w w:val="100"/>
          <w:sz w:val="21"/>
        </w:rPr>
        <w:t>周年日与被保险人生日是同一日期，则于被保险人</w:t>
      </w:r>
      <w:r>
        <w:rPr>
          <w:rFonts w:ascii="宋体" w:eastAsia="宋体" w:hint="eastAsia"/>
          <w:spacing w:val="-57"/>
          <w:sz w:val="21"/>
        </w:rPr>
        <w:t> </w:t>
      </w:r>
      <w:r>
        <w:rPr>
          <w:rFonts w:ascii="宋体" w:eastAsia="宋体" w:hint="eastAsia"/>
          <w:w w:val="100"/>
          <w:sz w:val="21"/>
        </w:rPr>
        <w:t>76</w:t>
      </w:r>
      <w:r>
        <w:rPr>
          <w:rFonts w:ascii="宋体" w:eastAsia="宋体" w:hint="eastAsia"/>
          <w:spacing w:val="-57"/>
          <w:sz w:val="21"/>
        </w:rPr>
        <w:t> </w:t>
      </w:r>
      <w:r>
        <w:rPr>
          <w:rFonts w:ascii="宋体" w:eastAsia="宋体" w:hint="eastAsia"/>
          <w:w w:val="100"/>
          <w:sz w:val="21"/>
        </w:rPr>
        <w:t>周岁生日</w:t>
      </w:r>
      <w:r>
        <w:rPr>
          <w:rFonts w:ascii="宋体" w:eastAsia="宋体" w:hint="eastAsia"/>
          <w:spacing w:val="-106"/>
          <w:w w:val="100"/>
          <w:sz w:val="21"/>
        </w:rPr>
        <w:t>）</w:t>
      </w:r>
      <w:r>
        <w:rPr>
          <w:rFonts w:ascii="宋体" w:eastAsia="宋体" w:hint="eastAsia"/>
          <w:w w:val="100"/>
          <w:sz w:val="21"/>
        </w:rPr>
        <w:t>； </w:t>
      </w:r>
    </w:p>
    <w:p>
      <w:pPr>
        <w:pStyle w:val="ListParagraph"/>
        <w:numPr>
          <w:ilvl w:val="0"/>
          <w:numId w:val="1"/>
        </w:numPr>
        <w:tabs>
          <w:tab w:pos="1179" w:val="left" w:leader="none"/>
          <w:tab w:pos="1180" w:val="left" w:leader="none"/>
        </w:tabs>
        <w:spacing w:line="276" w:lineRule="auto" w:before="1" w:after="0"/>
        <w:ind w:left="1179" w:right="266" w:hanging="624"/>
        <w:jc w:val="left"/>
        <w:rPr>
          <w:rFonts w:ascii="宋体" w:hAnsi="宋体" w:eastAsia="宋体" w:hint="eastAsia"/>
          <w:sz w:val="21"/>
        </w:rPr>
      </w:pPr>
      <w:r>
        <w:rPr>
          <w:rFonts w:ascii="宋体" w:hAnsi="宋体" w:eastAsia="宋体" w:hint="eastAsia"/>
          <w:spacing w:val="-8"/>
          <w:sz w:val="21"/>
        </w:rPr>
        <w:t>我们给付完重大疾病保险金后或我们开始给付老年长期护理保险金，本合同依据“第七条 保险责任”中的相关情形而终止； </w:t>
      </w:r>
    </w:p>
    <w:p>
      <w:pPr>
        <w:pStyle w:val="ListParagraph"/>
        <w:numPr>
          <w:ilvl w:val="0"/>
          <w:numId w:val="1"/>
        </w:numPr>
        <w:tabs>
          <w:tab w:pos="1179" w:val="left" w:leader="none"/>
          <w:tab w:pos="1180" w:val="left" w:leader="none"/>
        </w:tabs>
        <w:spacing w:line="299" w:lineRule="exact" w:before="0" w:after="0"/>
        <w:ind w:left="1179" w:right="0" w:hanging="624"/>
        <w:jc w:val="left"/>
        <w:rPr>
          <w:rFonts w:ascii="宋体" w:eastAsia="宋体" w:hint="eastAsia"/>
          <w:sz w:val="24"/>
        </w:rPr>
      </w:pPr>
      <w:r>
        <w:rPr>
          <w:rFonts w:ascii="宋体" w:eastAsia="宋体" w:hint="eastAsia"/>
          <w:spacing w:val="-2"/>
          <w:sz w:val="21"/>
        </w:rPr>
        <w:t>出现本合同或其附加合同中约定的其他终止情形的。</w:t>
      </w:r>
    </w:p>
    <w:p>
      <w:pPr>
        <w:pStyle w:val="BodyText"/>
        <w:spacing w:before="4"/>
        <w:rPr>
          <w:sz w:val="19"/>
        </w:rPr>
      </w:pPr>
      <w:r>
        <w:rPr/>
        <w:pict>
          <v:line style="position:absolute;mso-position-horizontal-relative:page;mso-position-vertical-relative:paragraph;z-index:1048;mso-wrap-distance-left:0;mso-wrap-distance-right:0" from="56.639999pt,14.874014pt" to="200.639999pt,14.874014pt" stroked="true" strokeweight=".48pt" strokecolor="#000000">
            <v:stroke dashstyle="solid"/>
            <w10:wrap type="topAndBottom"/>
          </v:line>
        </w:pict>
      </w:r>
    </w:p>
    <w:p>
      <w:pPr>
        <w:spacing w:line="321" w:lineRule="auto" w:before="77"/>
        <w:ind w:left="132" w:right="266" w:firstLine="0"/>
        <w:jc w:val="left"/>
        <w:rPr>
          <w:sz w:val="18"/>
        </w:rPr>
      </w:pPr>
      <w:r>
        <w:rPr>
          <w:rFonts w:ascii="Times New Roman" w:eastAsia="Times New Roman"/>
          <w:position w:val="8"/>
          <w:sz w:val="12"/>
        </w:rPr>
        <w:t>1</w:t>
      </w:r>
      <w:r>
        <w:rPr>
          <w:rFonts w:ascii="Times New Roman" w:eastAsia="Times New Roman"/>
          <w:spacing w:val="1"/>
          <w:position w:val="8"/>
          <w:sz w:val="12"/>
        </w:rPr>
        <w:t>    </w:t>
      </w:r>
      <w:r>
        <w:rPr>
          <w:spacing w:val="-4"/>
          <w:sz w:val="18"/>
        </w:rPr>
        <w:t>保险单周年日：本合同有效期内的每一个保险单年度内本合同生效日的对应日。第一个保险单周年日是指保险单生效一年后</w:t>
      </w:r>
      <w:r>
        <w:rPr>
          <w:spacing w:val="-2"/>
          <w:sz w:val="18"/>
        </w:rPr>
        <w:t>的本合同生效日期的对应日。</w:t>
      </w:r>
    </w:p>
    <w:p>
      <w:pPr>
        <w:spacing w:after="0" w:line="321" w:lineRule="auto"/>
        <w:jc w:val="left"/>
        <w:rPr>
          <w:sz w:val="18"/>
        </w:rPr>
        <w:sectPr>
          <w:headerReference w:type="default" r:id="rId5"/>
          <w:footerReference w:type="default" r:id="rId6"/>
          <w:pgSz w:w="11900" w:h="16840"/>
          <w:pgMar w:header="886" w:footer="981" w:top="1140" w:bottom="1180" w:left="1000" w:right="620"/>
          <w:pgNumType w:start="1"/>
        </w:sectPr>
      </w:pPr>
    </w:p>
    <w:p>
      <w:pPr>
        <w:pStyle w:val="Heading1"/>
        <w:spacing w:before="95"/>
        <w:ind w:right="184"/>
      </w:pPr>
      <w:bookmarkStart w:name="_TOC_250028" w:id="8"/>
      <w:r>
        <w:rPr/>
        <w:t>第二部分 我们提供的保障</w:t>
      </w:r>
      <w:bookmarkEnd w:id="8"/>
      <w:r>
        <w:rPr>
          <w:w w:val="98"/>
        </w:rPr>
        <w:t> </w:t>
      </w:r>
    </w:p>
    <w:p>
      <w:pPr>
        <w:pStyle w:val="BodyText"/>
        <w:spacing w:before="9"/>
        <w:rPr>
          <w:b/>
          <w:sz w:val="23"/>
        </w:rPr>
      </w:pPr>
    </w:p>
    <w:p>
      <w:pPr>
        <w:pStyle w:val="Heading2"/>
        <w:tabs>
          <w:tab w:pos="1391" w:val="left" w:leader="none"/>
        </w:tabs>
        <w:ind w:left="345"/>
      </w:pPr>
      <w:bookmarkStart w:name="_TOC_250027" w:id="9"/>
      <w:bookmarkEnd w:id="9"/>
      <w:r>
        <w:rPr/>
        <w:t>第七条</w:t>
        <w:tab/>
        <w:t>保险责任</w:t>
      </w:r>
    </w:p>
    <w:p>
      <w:pPr>
        <w:pStyle w:val="BodyText"/>
        <w:spacing w:line="268" w:lineRule="auto" w:before="132"/>
        <w:ind w:left="134" w:right="255" w:firstLine="422"/>
        <w:jc w:val="both"/>
        <w:rPr>
          <w:rFonts w:ascii="黑体" w:eastAsia="黑体" w:hint="eastAsia"/>
        </w:rPr>
      </w:pPr>
      <w:r>
        <w:rPr>
          <w:rFonts w:ascii="黑体" w:eastAsia="黑体" w:hint="eastAsia"/>
        </w:rPr>
        <w:t>对于本合同的重大疾病保险金、老年长期护理保险金、高度残疾保险金以及身故保险金，本公司仅给付其中的一项。每项保险金给付按以下相应保险责任所列金额进行赔付。</w:t>
      </w:r>
    </w:p>
    <w:p>
      <w:pPr>
        <w:pStyle w:val="BodyText"/>
        <w:spacing w:line="252" w:lineRule="auto" w:before="16"/>
        <w:ind w:left="556" w:right="5401"/>
      </w:pPr>
      <w:r>
        <w:rPr/>
        <w:t>在本合同有效期内，我们承担下列保险责任： 一、 轻症大病保险金 </w:t>
      </w:r>
    </w:p>
    <w:p>
      <w:pPr>
        <w:pStyle w:val="BodyText"/>
        <w:spacing w:line="273" w:lineRule="auto" w:before="12"/>
        <w:ind w:left="134" w:right="255" w:firstLine="422"/>
        <w:jc w:val="both"/>
        <w:rPr>
          <w:rFonts w:ascii="黑体" w:eastAsia="黑体" w:hint="eastAsia"/>
        </w:rPr>
      </w:pPr>
      <w:r>
        <w:rPr>
          <w:rFonts w:ascii="黑体" w:eastAsia="黑体" w:hint="eastAsia"/>
          <w:spacing w:val="-1"/>
        </w:rPr>
        <w:t>若被保险人于本合同生效</w:t>
      </w:r>
      <w:r>
        <w:rPr>
          <w:rFonts w:ascii="黑体" w:eastAsia="黑体" w:hint="eastAsia"/>
          <w:spacing w:val="-10"/>
        </w:rPr>
        <w:t>（</w:t>
      </w:r>
      <w:r>
        <w:rPr>
          <w:rFonts w:ascii="黑体" w:eastAsia="黑体" w:hint="eastAsia"/>
        </w:rPr>
        <w:t>或复效）日起（</w:t>
      </w:r>
      <w:r>
        <w:rPr>
          <w:rFonts w:ascii="黑体" w:eastAsia="黑体" w:hint="eastAsia"/>
          <w:spacing w:val="-5"/>
        </w:rPr>
        <w:t>含本日</w:t>
      </w:r>
      <w:r>
        <w:rPr>
          <w:rFonts w:ascii="黑体" w:eastAsia="黑体" w:hint="eastAsia"/>
        </w:rPr>
        <w:t>）</w:t>
      </w:r>
      <w:r>
        <w:rPr>
          <w:rFonts w:ascii="黑体" w:eastAsia="黑体" w:hint="eastAsia"/>
          <w:spacing w:val="-2"/>
        </w:rPr>
        <w:t>一百八十天内，初次确诊患有本合同约定的轻症大病中的一项或多项时，我们无息返还您累计为本合同已交保险费（</w:t>
      </w:r>
      <w:r>
        <w:rPr>
          <w:rFonts w:ascii="黑体" w:eastAsia="黑体" w:hint="eastAsia"/>
          <w:spacing w:val="-3"/>
        </w:rPr>
        <w:t>复效情况下仅返还最后一次申请复效时所</w:t>
      </w:r>
      <w:r>
        <w:rPr>
          <w:rFonts w:ascii="黑体" w:eastAsia="黑体" w:hint="eastAsia"/>
          <w:w w:val="100"/>
        </w:rPr>
        <w:t>交的保险费及利息</w:t>
      </w:r>
      <w:r>
        <w:rPr>
          <w:rFonts w:ascii="黑体" w:eastAsia="黑体" w:hint="eastAsia"/>
          <w:spacing w:val="-106"/>
          <w:w w:val="100"/>
        </w:rPr>
        <w:t>）</w:t>
      </w:r>
      <w:r>
        <w:rPr>
          <w:rFonts w:ascii="黑体" w:eastAsia="黑体" w:hint="eastAsia"/>
          <w:spacing w:val="-2"/>
          <w:w w:val="100"/>
        </w:rPr>
        <w:t>，本合同终止。</w:t>
      </w:r>
    </w:p>
    <w:p>
      <w:pPr>
        <w:pStyle w:val="BodyText"/>
        <w:spacing w:line="268" w:lineRule="auto" w:before="2"/>
        <w:ind w:left="134" w:right="159" w:firstLine="422"/>
        <w:jc w:val="both"/>
      </w:pPr>
      <w:r>
        <w:rPr/>
        <w:t>被保险人于本合同生效（</w:t>
      </w:r>
      <w:r>
        <w:rPr>
          <w:spacing w:val="-4"/>
        </w:rPr>
        <w:t>或复效</w:t>
      </w:r>
      <w:r>
        <w:rPr/>
        <w:t>）日起（</w:t>
      </w:r>
      <w:r>
        <w:rPr>
          <w:spacing w:val="-4"/>
        </w:rPr>
        <w:t>含本日</w:t>
      </w:r>
      <w:r>
        <w:rPr/>
        <w:t>）一百八十天后，经专科医生初次确诊患有本合同约定</w:t>
      </w:r>
      <w:r>
        <w:rPr>
          <w:spacing w:val="-4"/>
        </w:rPr>
        <w:t>的轻症大病中的一项或多项，并且被保险人所患疾病未达到本合同约定的重大疾病程度时，若被保险人在确</w:t>
      </w:r>
      <w:r>
        <w:rPr>
          <w:spacing w:val="-6"/>
        </w:rPr>
        <w:t>诊日之前未申领重大疾病保险金，且确诊日在被保险人年满 </w:t>
      </w:r>
      <w:r>
        <w:rPr>
          <w:rFonts w:ascii="Times New Roman" w:eastAsia="Times New Roman"/>
        </w:rPr>
        <w:t>76</w:t>
      </w:r>
      <w:r>
        <w:rPr>
          <w:rFonts w:ascii="Times New Roman" w:eastAsia="Times New Roman"/>
          <w:spacing w:val="-2"/>
        </w:rPr>
        <w:t> </w:t>
      </w:r>
      <w:r>
        <w:rPr>
          <w:spacing w:val="-4"/>
        </w:rPr>
        <w:t>周岁之后的首个保险单周年日之前</w:t>
      </w:r>
      <w:r>
        <w:rPr/>
        <w:t>（</w:t>
      </w:r>
      <w:r>
        <w:rPr>
          <w:spacing w:val="-5"/>
        </w:rPr>
        <w:t>若保单周</w:t>
      </w:r>
      <w:r>
        <w:rPr>
          <w:spacing w:val="-7"/>
        </w:rPr>
        <w:t>年日与被保险人生日是同一日期，则于被保险人 </w:t>
      </w:r>
      <w:r>
        <w:rPr>
          <w:rFonts w:ascii="Times New Roman" w:eastAsia="Times New Roman"/>
        </w:rPr>
        <w:t>76</w:t>
      </w:r>
      <w:r>
        <w:rPr>
          <w:rFonts w:ascii="Times New Roman" w:eastAsia="Times New Roman"/>
          <w:spacing w:val="-5"/>
        </w:rPr>
        <w:t> </w:t>
      </w:r>
      <w:r>
        <w:rPr/>
        <w:t>周岁生日之前</w:t>
      </w:r>
      <w:r>
        <w:rPr>
          <w:spacing w:val="-77"/>
        </w:rPr>
        <w:t>）</w:t>
      </w:r>
      <w:r>
        <w:rPr>
          <w:spacing w:val="-10"/>
        </w:rPr>
        <w:t>，我们按照以下情形给付轻症大病保险金：</w:t>
      </w:r>
    </w:p>
    <w:p>
      <w:pPr>
        <w:pStyle w:val="BodyText"/>
        <w:spacing w:line="263" w:lineRule="exact"/>
        <w:ind w:left="556"/>
      </w:pPr>
      <w:r>
        <w:rPr/>
        <w:t>（一）首次轻症大病保险金</w:t>
      </w:r>
    </w:p>
    <w:p>
      <w:pPr>
        <w:pStyle w:val="BodyText"/>
        <w:spacing w:line="264" w:lineRule="auto" w:before="42"/>
        <w:ind w:left="134" w:right="255" w:firstLine="422"/>
        <w:jc w:val="both"/>
      </w:pPr>
      <w:r>
        <w:rPr>
          <w:spacing w:val="-1"/>
        </w:rPr>
        <w:t>若被保险人于本合同生效</w:t>
      </w:r>
      <w:r>
        <w:rPr>
          <w:spacing w:val="-10"/>
        </w:rPr>
        <w:t>（</w:t>
      </w:r>
      <w:r>
        <w:rPr/>
        <w:t>或复效）日起（</w:t>
      </w:r>
      <w:r>
        <w:rPr>
          <w:spacing w:val="-5"/>
        </w:rPr>
        <w:t>含本日</w:t>
      </w:r>
      <w:r>
        <w:rPr/>
        <w:t>）</w:t>
      </w:r>
      <w:r>
        <w:rPr>
          <w:spacing w:val="-2"/>
        </w:rPr>
        <w:t>一百八十天后，经专科医生初次确诊患有本合同约</w:t>
      </w:r>
      <w:r>
        <w:rPr>
          <w:spacing w:val="-7"/>
        </w:rPr>
        <w:t>定的轻症大病，并且被保险人所患疾病未达到本合同约定的重大疾病程度时，我们按本合同保险金额的 </w:t>
      </w:r>
      <w:r>
        <w:rPr>
          <w:rFonts w:ascii="Times New Roman" w:eastAsia="Times New Roman"/>
          <w:spacing w:val="-8"/>
        </w:rPr>
        <w:t>20% </w:t>
      </w:r>
      <w:r>
        <w:rPr>
          <w:spacing w:val="-3"/>
        </w:rPr>
        <w:t>向被保险人给付首次轻症大病保险金。</w:t>
      </w:r>
    </w:p>
    <w:p>
      <w:pPr>
        <w:pStyle w:val="BodyText"/>
        <w:spacing w:before="10"/>
        <w:ind w:left="556"/>
      </w:pPr>
      <w:r>
        <w:rPr/>
        <w:t>（二）第二次轻症大病保险金</w:t>
      </w:r>
    </w:p>
    <w:p>
      <w:pPr>
        <w:pStyle w:val="BodyText"/>
        <w:spacing w:line="273" w:lineRule="auto" w:before="41"/>
        <w:ind w:left="134" w:right="255" w:firstLine="422"/>
        <w:jc w:val="both"/>
      </w:pPr>
      <w:r>
        <w:rPr/>
        <w:t>若被保险人自确诊符合首次轻症大病保险金给付条件一周年后，经专科医生初次确诊患有与我们给付首次轻症大病保险金疾病，所属组（依照轻症大病分组）不同组别中任意一种轻症大病，且所患疾病未达到本合同约定的重大疾病程度时，我们按本合同保险金额的 </w:t>
      </w:r>
      <w:r>
        <w:rPr>
          <w:rFonts w:ascii="Times New Roman" w:eastAsia="Times New Roman"/>
        </w:rPr>
        <w:t>20%</w:t>
      </w:r>
      <w:r>
        <w:rPr/>
        <w:t>向被保险人给付第二次轻症大病保险金。</w:t>
      </w:r>
    </w:p>
    <w:p>
      <w:pPr>
        <w:pStyle w:val="BodyText"/>
        <w:spacing w:line="259" w:lineRule="exact"/>
        <w:ind w:left="556"/>
      </w:pPr>
      <w:r>
        <w:rPr/>
        <w:t>（三）第三次轻症大病保险金</w:t>
      </w:r>
    </w:p>
    <w:p>
      <w:pPr>
        <w:pStyle w:val="BodyText"/>
        <w:spacing w:line="266" w:lineRule="auto" w:before="42"/>
        <w:ind w:left="134" w:right="255" w:firstLine="422"/>
        <w:jc w:val="both"/>
      </w:pPr>
      <w:r>
        <w:rPr>
          <w:spacing w:val="-1"/>
        </w:rPr>
        <w:t>若被保险人自确诊符合第二次轻症大病保险金给付条件一周年后，经专科医生初次确诊患有与我们给付</w:t>
      </w:r>
      <w:r>
        <w:rPr>
          <w:spacing w:val="-2"/>
        </w:rPr>
        <w:t>前两次轻症大病保险金疾病，所属组</w:t>
      </w:r>
      <w:r>
        <w:rPr/>
        <w:t>（依照轻症大病分组）</w:t>
      </w:r>
      <w:r>
        <w:rPr>
          <w:spacing w:val="-3"/>
        </w:rPr>
        <w:t>不同组别中任意一种轻症大病，且确诊时所患疾</w:t>
      </w:r>
      <w:r>
        <w:rPr>
          <w:spacing w:val="-5"/>
        </w:rPr>
        <w:t>病未达到本合同约定的重大疾病程度时，我们按本合同保险金额的 </w:t>
      </w:r>
      <w:r>
        <w:rPr>
          <w:rFonts w:ascii="Times New Roman" w:eastAsia="Times New Roman"/>
          <w:spacing w:val="-2"/>
        </w:rPr>
        <w:t>20%</w:t>
      </w:r>
      <w:r>
        <w:rPr/>
        <w:t>向被保险人给付第三次轻症大病保险金。 </w:t>
      </w:r>
    </w:p>
    <w:p>
      <w:pPr>
        <w:pStyle w:val="BodyText"/>
        <w:spacing w:line="275" w:lineRule="exact"/>
        <w:ind w:left="556"/>
      </w:pPr>
      <w:r>
        <w:rPr/>
        <w:t>二、 重大疾病保险金 </w:t>
      </w:r>
    </w:p>
    <w:p>
      <w:pPr>
        <w:pStyle w:val="BodyText"/>
        <w:spacing w:line="273" w:lineRule="auto" w:before="13"/>
        <w:ind w:left="134" w:right="255" w:firstLine="422"/>
        <w:jc w:val="both"/>
        <w:rPr>
          <w:rFonts w:ascii="黑体" w:eastAsia="黑体" w:hint="eastAsia"/>
        </w:rPr>
      </w:pPr>
      <w:r>
        <w:rPr>
          <w:rFonts w:ascii="黑体" w:eastAsia="黑体" w:hint="eastAsia"/>
          <w:spacing w:val="-1"/>
        </w:rPr>
        <w:t>若被保险人于本合同生效</w:t>
      </w:r>
      <w:r>
        <w:rPr>
          <w:rFonts w:ascii="黑体" w:eastAsia="黑体" w:hint="eastAsia"/>
          <w:spacing w:val="-10"/>
        </w:rPr>
        <w:t>（</w:t>
      </w:r>
      <w:r>
        <w:rPr>
          <w:rFonts w:ascii="黑体" w:eastAsia="黑体" w:hint="eastAsia"/>
        </w:rPr>
        <w:t>或复效）日起（</w:t>
      </w:r>
      <w:r>
        <w:rPr>
          <w:rFonts w:ascii="黑体" w:eastAsia="黑体" w:hint="eastAsia"/>
          <w:spacing w:val="-5"/>
        </w:rPr>
        <w:t>含本日</w:t>
      </w:r>
      <w:r>
        <w:rPr>
          <w:rFonts w:ascii="黑体" w:eastAsia="黑体" w:hint="eastAsia"/>
        </w:rPr>
        <w:t>）</w:t>
      </w:r>
      <w:r>
        <w:rPr>
          <w:rFonts w:ascii="黑体" w:eastAsia="黑体" w:hint="eastAsia"/>
          <w:spacing w:val="-2"/>
        </w:rPr>
        <w:t>一百八十天内，初次确诊患有本合同约定的重大疾病中的一项或多项时，我们返还您累计为本合同已交保险费</w:t>
      </w:r>
      <w:r>
        <w:rPr>
          <w:rFonts w:ascii="黑体" w:eastAsia="黑体" w:hint="eastAsia"/>
          <w:spacing w:val="-1"/>
        </w:rPr>
        <w:t>（复效情况下仅返还最后一次申请复效时所交保</w:t>
      </w:r>
      <w:r>
        <w:rPr>
          <w:rFonts w:ascii="黑体" w:eastAsia="黑体" w:hint="eastAsia"/>
          <w:w w:val="100"/>
        </w:rPr>
        <w:t>险费及利息</w:t>
      </w:r>
      <w:r>
        <w:rPr>
          <w:rFonts w:ascii="黑体" w:eastAsia="黑体" w:hint="eastAsia"/>
          <w:spacing w:val="-106"/>
          <w:w w:val="100"/>
        </w:rPr>
        <w:t>）</w:t>
      </w:r>
      <w:r>
        <w:rPr>
          <w:rFonts w:ascii="黑体" w:eastAsia="黑体" w:hint="eastAsia"/>
          <w:w w:val="100"/>
        </w:rPr>
        <w:t>，本合同终止。</w:t>
      </w:r>
    </w:p>
    <w:p>
      <w:pPr>
        <w:pStyle w:val="BodyText"/>
        <w:spacing w:before="2"/>
        <w:ind w:left="556"/>
      </w:pPr>
      <w:r>
        <w:rPr/>
        <w:t>（一）首次重大疾病保险金</w:t>
      </w:r>
    </w:p>
    <w:p>
      <w:pPr>
        <w:pStyle w:val="BodyText"/>
        <w:spacing w:line="268" w:lineRule="auto" w:before="41"/>
        <w:ind w:left="134" w:right="255" w:firstLine="422"/>
        <w:jc w:val="both"/>
      </w:pPr>
      <w:r>
        <w:rPr/>
        <w:t>若被保险人于本合同生效（或复效）日起一百八十天后，经专科医生初次确诊患有本合同约定的重大疾病，且申请理赔时仍然生存的，我们按照本合同的保险金额向被保险人给付首次重大疾病保险金。</w:t>
      </w:r>
    </w:p>
    <w:p>
      <w:pPr>
        <w:pStyle w:val="BodyText"/>
        <w:spacing w:line="268" w:lineRule="auto" w:before="16"/>
        <w:ind w:left="134" w:right="255" w:firstLine="422"/>
        <w:jc w:val="both"/>
      </w:pPr>
      <w:r>
        <w:rPr/>
        <w:t>若被保险人达到我们给付首次重大疾病保险金的条件时，我们豁免自被保险人确诊日起《光大永明关爱终生综合疾病保险》的未来各期保险费。</w:t>
      </w:r>
    </w:p>
    <w:p>
      <w:pPr>
        <w:pStyle w:val="BodyText"/>
        <w:spacing w:before="16"/>
        <w:ind w:left="556"/>
        <w:rPr>
          <w:rFonts w:ascii="黑体" w:eastAsia="黑体" w:hint="eastAsia"/>
        </w:rPr>
      </w:pPr>
      <w:r>
        <w:rPr>
          <w:rFonts w:ascii="黑体" w:eastAsia="黑体" w:hint="eastAsia"/>
        </w:rPr>
        <w:t>自我们给付首次重大疾病保险金时，本合同的现金价值为零。</w:t>
      </w:r>
    </w:p>
    <w:p>
      <w:pPr>
        <w:pStyle w:val="BodyText"/>
        <w:spacing w:line="276" w:lineRule="auto" w:before="32"/>
        <w:ind w:left="134" w:right="255" w:firstLine="422"/>
        <w:jc w:val="both"/>
      </w:pPr>
      <w:r>
        <w:rPr/>
        <w:t>若被保险人达到我们首次给付重大疾病保险金的条件，且在未达到本合同第六条所列情况时，我们仅承担给付第二次重大疾病保险金和第三次重大疾病保险金的责任。</w:t>
      </w:r>
    </w:p>
    <w:p>
      <w:pPr>
        <w:pStyle w:val="BodyText"/>
        <w:spacing w:before="1"/>
        <w:ind w:left="556"/>
      </w:pPr>
      <w:r>
        <w:rPr/>
        <w:t>（二）第二次重大疾病保险金</w:t>
      </w:r>
    </w:p>
    <w:p>
      <w:pPr>
        <w:pStyle w:val="BodyText"/>
        <w:spacing w:line="268" w:lineRule="auto" w:before="42"/>
        <w:ind w:left="134" w:right="255" w:firstLine="422"/>
        <w:jc w:val="both"/>
      </w:pPr>
      <w:r>
        <w:rPr>
          <w:spacing w:val="-1"/>
        </w:rPr>
        <w:t>若被保险人自确诊符合首次重大疾病保险金给付条件一周年后，经初次确诊与我们给付首次重大疾病保</w:t>
      </w:r>
      <w:r>
        <w:rPr>
          <w:spacing w:val="-9"/>
        </w:rPr>
        <w:t>险金疾病，所属组</w:t>
      </w:r>
      <w:r>
        <w:rPr/>
        <w:t>（依照重大疾病分组</w:t>
      </w:r>
      <w:r>
        <w:rPr>
          <w:spacing w:val="-29"/>
        </w:rPr>
        <w:t>）</w:t>
      </w:r>
      <w:r>
        <w:rPr>
          <w:spacing w:val="-5"/>
        </w:rPr>
        <w:t>不同组别中任意一种重大疾病，且确诊日在被保险人年满 </w:t>
      </w:r>
      <w:r>
        <w:rPr>
          <w:rFonts w:ascii="Times New Roman" w:eastAsia="Times New Roman"/>
        </w:rPr>
        <w:t>76 </w:t>
      </w:r>
      <w:r>
        <w:rPr/>
        <w:t>周岁之</w:t>
      </w:r>
    </w:p>
    <w:p>
      <w:pPr>
        <w:pStyle w:val="BodyText"/>
        <w:spacing w:line="254" w:lineRule="auto"/>
        <w:ind w:left="134" w:right="380"/>
      </w:pPr>
      <w:r>
        <w:rPr>
          <w:spacing w:val="-1"/>
        </w:rPr>
        <w:t>后的首个保险单周年日之前</w:t>
      </w:r>
      <w:r>
        <w:rPr/>
        <w:t>（</w:t>
      </w:r>
      <w:r>
        <w:rPr>
          <w:spacing w:val="-6"/>
        </w:rPr>
        <w:t>若保单周年日与被保险人生日是同一日期，则于被保险人 </w:t>
      </w:r>
      <w:r>
        <w:rPr>
          <w:rFonts w:ascii="Times New Roman" w:eastAsia="Times New Roman"/>
          <w:spacing w:val="-5"/>
        </w:rPr>
        <w:t>76 </w:t>
      </w:r>
      <w:r>
        <w:rPr/>
        <w:t>周岁生日之前</w:t>
      </w:r>
      <w:r>
        <w:rPr>
          <w:spacing w:val="-116"/>
        </w:rPr>
        <w:t>），</w:t>
      </w:r>
      <w:r>
        <w:rPr>
          <w:spacing w:val="-103"/>
        </w:rPr>
        <w:t> </w:t>
      </w:r>
      <w:r>
        <w:rPr>
          <w:spacing w:val="-1"/>
        </w:rPr>
        <w:t>我们按照首次重大疾病保险金的额度向被保险人给付第二次重大疾病保险金。</w:t>
      </w:r>
    </w:p>
    <w:p>
      <w:pPr>
        <w:pStyle w:val="BodyText"/>
        <w:spacing w:before="31"/>
        <w:ind w:left="556"/>
      </w:pPr>
      <w:r>
        <w:rPr/>
        <w:t>（三）第三次重大疾病保险金</w:t>
      </w:r>
    </w:p>
    <w:p>
      <w:pPr>
        <w:spacing w:after="0"/>
        <w:sectPr>
          <w:pgSz w:w="11900" w:h="16840"/>
          <w:pgMar w:header="886" w:footer="981" w:top="1140" w:bottom="1200" w:left="720" w:right="900"/>
        </w:sectPr>
      </w:pPr>
    </w:p>
    <w:p>
      <w:pPr>
        <w:pStyle w:val="BodyText"/>
        <w:spacing w:before="7"/>
        <w:rPr>
          <w:sz w:val="3"/>
        </w:rPr>
      </w:pPr>
    </w:p>
    <w:p>
      <w:pPr>
        <w:pStyle w:val="BodyText"/>
        <w:spacing w:line="20" w:lineRule="exact"/>
        <w:ind w:left="99"/>
        <w:rPr>
          <w:sz w:val="2"/>
        </w:rPr>
      </w:pPr>
      <w:r>
        <w:rPr>
          <w:rFonts w:ascii="Times New Roman"/>
          <w:spacing w:val="5"/>
          <w:sz w:val="2"/>
        </w:rPr>
        <w:t> </w:t>
      </w:r>
      <w:r>
        <w:rPr>
          <w:spacing w:val="5"/>
          <w:sz w:val="2"/>
        </w:rPr>
        <w:pict>
          <v:group style="width:499.2pt;height:.5pt;mso-position-horizontal-relative:char;mso-position-vertical-relative:line" coordorigin="0,0" coordsize="9984,10">
            <v:line style="position:absolute" from="0,5" to="9984,5" stroked="true" strokeweight=".48pt" strokecolor="#000000">
              <v:stroke dashstyle="solid"/>
            </v:line>
          </v:group>
        </w:pict>
      </w:r>
      <w:r>
        <w:rPr>
          <w:spacing w:val="5"/>
          <w:sz w:val="2"/>
        </w:rPr>
      </w:r>
    </w:p>
    <w:p>
      <w:pPr>
        <w:pStyle w:val="BodyText"/>
        <w:spacing w:line="276" w:lineRule="auto"/>
        <w:ind w:left="132" w:right="257" w:firstLine="422"/>
        <w:rPr>
          <w:rFonts w:ascii="Times New Roman" w:eastAsia="Times New Roman"/>
        </w:rPr>
      </w:pPr>
      <w:r>
        <w:rPr/>
        <w:t>若被保险人自确诊符合第二次重大疾病保险金给付条件一周年后，经初次确诊与我们给付前两次重大疾病保险金疾病，所属组（依照重大疾病分组）不同组别中任意一种重大疾病，且确诊日在被保险人年满 </w:t>
      </w:r>
      <w:r>
        <w:rPr>
          <w:rFonts w:ascii="Times New Roman" w:eastAsia="Times New Roman"/>
        </w:rPr>
        <w:t>76</w:t>
      </w:r>
    </w:p>
    <w:p>
      <w:pPr>
        <w:pStyle w:val="BodyText"/>
        <w:spacing w:line="272" w:lineRule="exact"/>
        <w:ind w:left="132"/>
      </w:pPr>
      <w:r>
        <w:rPr/>
        <w:t>周岁之后的首个保险单周年日之前（若保单周年日与被保险人生日是同一日期，则于被保险人 </w:t>
      </w:r>
      <w:r>
        <w:rPr>
          <w:rFonts w:ascii="Times New Roman" w:eastAsia="Times New Roman"/>
        </w:rPr>
        <w:t>76 </w:t>
      </w:r>
      <w:r>
        <w:rPr/>
        <w:t>周岁生日之</w:t>
      </w:r>
    </w:p>
    <w:p>
      <w:pPr>
        <w:pStyle w:val="BodyText"/>
        <w:spacing w:line="252" w:lineRule="auto" w:before="26"/>
        <w:ind w:left="555" w:right="2465" w:hanging="423"/>
      </w:pPr>
      <w:r>
        <w:rPr>
          <w:w w:val="100"/>
        </w:rPr>
        <w:t>前</w:t>
      </w:r>
      <w:r>
        <w:rPr>
          <w:spacing w:val="-106"/>
          <w:w w:val="100"/>
        </w:rPr>
        <w:t>）</w:t>
      </w:r>
      <w:r>
        <w:rPr>
          <w:spacing w:val="-1"/>
          <w:w w:val="100"/>
        </w:rPr>
        <w:t>，我们按照首次重大疾病保险金的额度向被保险人给付第三次重大疾病保险金。</w:t>
      </w:r>
      <w:r>
        <w:rPr>
          <w:spacing w:val="-6"/>
        </w:rPr>
        <w:t>三、 老年长期护理保险金 </w:t>
      </w:r>
    </w:p>
    <w:p>
      <w:pPr>
        <w:pStyle w:val="BodyText"/>
        <w:spacing w:line="273" w:lineRule="auto" w:before="2"/>
        <w:ind w:left="132" w:right="257" w:firstLine="422"/>
        <w:jc w:val="both"/>
        <w:rPr>
          <w:rFonts w:ascii="黑体" w:eastAsia="黑体" w:hint="eastAsia"/>
        </w:rPr>
      </w:pPr>
      <w:r>
        <w:rPr>
          <w:rFonts w:ascii="黑体" w:eastAsia="黑体" w:hint="eastAsia"/>
          <w:spacing w:val="-1"/>
        </w:rPr>
        <w:t>若被保险人于本合同生效</w:t>
      </w:r>
      <w:r>
        <w:rPr>
          <w:rFonts w:ascii="黑体" w:eastAsia="黑体" w:hint="eastAsia"/>
          <w:spacing w:val="-10"/>
        </w:rPr>
        <w:t>（</w:t>
      </w:r>
      <w:r>
        <w:rPr>
          <w:rFonts w:ascii="黑体" w:eastAsia="黑体" w:hint="eastAsia"/>
        </w:rPr>
        <w:t>或复效）日起（</w:t>
      </w:r>
      <w:r>
        <w:rPr>
          <w:rFonts w:ascii="黑体" w:eastAsia="黑体" w:hint="eastAsia"/>
          <w:spacing w:val="-5"/>
        </w:rPr>
        <w:t>含本日</w:t>
      </w:r>
      <w:r>
        <w:rPr>
          <w:rFonts w:ascii="黑体" w:eastAsia="黑体" w:hint="eastAsia"/>
        </w:rPr>
        <w:t>）</w:t>
      </w:r>
      <w:r>
        <w:rPr>
          <w:rFonts w:ascii="黑体" w:eastAsia="黑体" w:hint="eastAsia"/>
          <w:spacing w:val="-2"/>
        </w:rPr>
        <w:t>一百八十天内，因初次确诊所患疾病达到本合同约</w:t>
      </w:r>
      <w:r>
        <w:rPr>
          <w:rFonts w:ascii="黑体" w:eastAsia="黑体" w:hint="eastAsia"/>
          <w:spacing w:val="-4"/>
        </w:rPr>
        <w:t>定的确需长期护理状态时，或因本合同中止期间所患疾病达到本合同约定的长期护理状态时，我们返还您累</w:t>
      </w:r>
      <w:r>
        <w:rPr>
          <w:rFonts w:ascii="黑体" w:eastAsia="黑体" w:hint="eastAsia"/>
          <w:w w:val="100"/>
        </w:rPr>
        <w:t>计为本合同已交的保险费</w:t>
      </w:r>
      <w:r>
        <w:rPr>
          <w:rFonts w:ascii="黑体" w:eastAsia="黑体" w:hint="eastAsia"/>
          <w:spacing w:val="-10"/>
          <w:w w:val="100"/>
        </w:rPr>
        <w:t>（</w:t>
      </w:r>
      <w:r>
        <w:rPr>
          <w:rFonts w:ascii="黑体" w:eastAsia="黑体" w:hint="eastAsia"/>
          <w:spacing w:val="-1"/>
          <w:w w:val="100"/>
        </w:rPr>
        <w:t>复效情况下仅返还最后一次申请复效时所交保险费及利息</w:t>
      </w:r>
      <w:r>
        <w:rPr>
          <w:rFonts w:ascii="黑体" w:eastAsia="黑体" w:hint="eastAsia"/>
          <w:spacing w:val="-116"/>
          <w:w w:val="100"/>
        </w:rPr>
        <w:t>）</w:t>
      </w:r>
      <w:r>
        <w:rPr>
          <w:rFonts w:ascii="黑体" w:eastAsia="黑体" w:hint="eastAsia"/>
          <w:w w:val="100"/>
        </w:rPr>
        <w:t>，本合同终止。</w:t>
      </w:r>
    </w:p>
    <w:p>
      <w:pPr>
        <w:pStyle w:val="BodyText"/>
        <w:spacing w:line="266" w:lineRule="auto" w:before="12"/>
        <w:ind w:left="132" w:right="276" w:firstLine="422"/>
        <w:jc w:val="both"/>
      </w:pPr>
      <w:r>
        <w:rPr>
          <w:spacing w:val="-1"/>
        </w:rPr>
        <w:t>若被保险人因意外伤害</w:t>
      </w:r>
      <w:r>
        <w:rPr>
          <w:rFonts w:ascii="Times New Roman" w:eastAsia="Times New Roman"/>
          <w:spacing w:val="-5"/>
          <w:vertAlign w:val="superscript"/>
        </w:rPr>
        <w:t>1</w:t>
      </w:r>
      <w:r>
        <w:rPr>
          <w:rFonts w:ascii="Times New Roman" w:eastAsia="Times New Roman"/>
          <w:spacing w:val="-5"/>
          <w:vertAlign w:val="baseline"/>
        </w:rPr>
      </w:r>
      <w:r>
        <w:rPr>
          <w:spacing w:val="-5"/>
          <w:vertAlign w:val="baseline"/>
        </w:rPr>
        <w:t>或于本合同生效</w:t>
      </w:r>
      <w:r>
        <w:rPr>
          <w:vertAlign w:val="baseline"/>
        </w:rPr>
        <w:t>（或复效</w:t>
      </w:r>
      <w:r>
        <w:rPr>
          <w:spacing w:val="-29"/>
          <w:vertAlign w:val="baseline"/>
        </w:rPr>
        <w:t>）</w:t>
      </w:r>
      <w:r>
        <w:rPr>
          <w:spacing w:val="-4"/>
          <w:vertAlign w:val="baseline"/>
        </w:rPr>
        <w:t>日起一百八十天后，经专科医生初次确诊患有的疾病</w:t>
      </w:r>
      <w:r>
        <w:rPr>
          <w:spacing w:val="-3"/>
          <w:vertAlign w:val="baseline"/>
        </w:rPr>
        <w:t>达到本合同约定的长期护理状态，且初次达到长期护理状态时已年满六十周岁，我们将自确认被保险人符合</w:t>
      </w:r>
      <w:r>
        <w:rPr>
          <w:spacing w:val="-6"/>
          <w:vertAlign w:val="baseline"/>
        </w:rPr>
        <w:t>领取长期护理保险金条件之日起</w:t>
      </w:r>
      <w:r>
        <w:rPr>
          <w:spacing w:val="-1"/>
          <w:vertAlign w:val="baseline"/>
        </w:rPr>
        <w:t>（</w:t>
      </w:r>
      <w:r>
        <w:rPr>
          <w:spacing w:val="-5"/>
          <w:vertAlign w:val="baseline"/>
        </w:rPr>
        <w:t>含该日</w:t>
      </w:r>
      <w:r>
        <w:rPr>
          <w:spacing w:val="-77"/>
          <w:vertAlign w:val="baseline"/>
        </w:rPr>
        <w:t>）</w:t>
      </w:r>
      <w:r>
        <w:rPr>
          <w:spacing w:val="-10"/>
          <w:vertAlign w:val="baseline"/>
        </w:rPr>
        <w:t>，每个月按照被保险人确诊时本合同保险金额的一百二十分之一向</w:t>
      </w:r>
      <w:r>
        <w:rPr>
          <w:spacing w:val="-2"/>
          <w:vertAlign w:val="baseline"/>
        </w:rPr>
        <w:t>被保险人给付长期护理保险金，累计给付长期护理保险金十年，共计一百二十次。</w:t>
      </w:r>
    </w:p>
    <w:p>
      <w:pPr>
        <w:pStyle w:val="BodyText"/>
        <w:spacing w:line="268" w:lineRule="auto" w:before="19"/>
        <w:ind w:left="132" w:right="257" w:firstLine="422"/>
      </w:pPr>
      <w:r>
        <w:rPr/>
        <w:t>若被保险人达到本合同约定的给付老年长期护理保险金的条件时，我们豁免自被保险人达到长期护理状态之日起《光大永明关爱终生综合疾病保险》的未来各期保险费。</w:t>
      </w:r>
    </w:p>
    <w:p>
      <w:pPr>
        <w:pStyle w:val="BodyText"/>
        <w:spacing w:line="271" w:lineRule="auto" w:before="17"/>
        <w:ind w:left="132" w:right="257" w:firstLine="422"/>
        <w:jc w:val="both"/>
      </w:pPr>
      <w:r>
        <w:rPr>
          <w:spacing w:val="-3"/>
        </w:rPr>
        <w:t>若被保险人在领取老年长期护理保险金期间身故，我们按本合同的保险金额，在扣除已给付的老年长期</w:t>
      </w:r>
      <w:r>
        <w:rPr>
          <w:spacing w:val="-4"/>
        </w:rPr>
        <w:t>护理保险金后，一次性向身故受益人给付未领取的老年长期护理保险金；若被保险人在我们首次给付老年长期护理保险金后发生高度残疾或患有本合同约定的重大疾病中的一项或多项，我们按本合同的保险金额在扣除已给付的老年长期护理保险金后，一次性向被保险人给付未领取的老年长期护理保险金。</w:t>
      </w:r>
    </w:p>
    <w:p>
      <w:pPr>
        <w:pStyle w:val="BodyText"/>
        <w:spacing w:line="268" w:lineRule="auto" w:before="14"/>
        <w:ind w:left="132" w:right="257" w:firstLine="422"/>
      </w:pPr>
      <w:r>
        <w:rPr/>
        <w:t>若我们开始给付老年长期护理保险金，则本合同的现金价值为零且本合同终止，但本项保险金给付责任将延续至老年长期护理保险金给付完毕时止。</w:t>
      </w:r>
    </w:p>
    <w:p>
      <w:pPr>
        <w:pStyle w:val="BodyText"/>
        <w:spacing w:line="272" w:lineRule="exact"/>
        <w:ind w:left="555"/>
      </w:pPr>
      <w:r>
        <w:rPr/>
        <w:t>四、 高度残疾保险金 </w:t>
      </w:r>
    </w:p>
    <w:p>
      <w:pPr>
        <w:pStyle w:val="BodyText"/>
        <w:spacing w:line="273" w:lineRule="auto" w:before="14"/>
        <w:ind w:left="132" w:right="161" w:firstLine="403"/>
      </w:pPr>
      <w:r>
        <w:rPr/>
        <w:t>若被保险人自本合同生效（或复效）</w:t>
      </w:r>
      <w:r>
        <w:rPr>
          <w:spacing w:val="-1"/>
        </w:rPr>
        <w:t>日起因意外伤害，或于本合同生效</w:t>
      </w:r>
      <w:r>
        <w:rPr/>
        <w:t>（或复效）</w:t>
      </w:r>
      <w:r>
        <w:rPr>
          <w:spacing w:val="-2"/>
        </w:rPr>
        <w:t>日起一百八十天后， </w:t>
      </w:r>
      <w:r>
        <w:rPr>
          <w:spacing w:val="-11"/>
        </w:rPr>
        <w:t>因疾病导致高度残疾，且申请理赔时仍然生存的，我们按本合同的保险金额向被保险人给付高度残疾保险金， 本合同终止。</w:t>
      </w:r>
    </w:p>
    <w:p>
      <w:pPr>
        <w:pStyle w:val="BodyText"/>
        <w:spacing w:line="268" w:lineRule="auto" w:before="12"/>
        <w:ind w:left="132" w:right="161" w:firstLine="422"/>
        <w:rPr>
          <w:rFonts w:ascii="黑体" w:eastAsia="黑体" w:hint="eastAsia"/>
        </w:rPr>
      </w:pPr>
      <w:r>
        <w:rPr>
          <w:rFonts w:ascii="黑体" w:eastAsia="黑体" w:hint="eastAsia"/>
        </w:rPr>
        <w:t>若被保险人于本合同生效</w:t>
      </w:r>
      <w:r>
        <w:rPr>
          <w:rFonts w:ascii="黑体" w:eastAsia="黑体" w:hint="eastAsia"/>
          <w:spacing w:val="-10"/>
        </w:rPr>
        <w:t>（</w:t>
      </w:r>
      <w:r>
        <w:rPr>
          <w:rFonts w:ascii="黑体" w:eastAsia="黑体" w:hint="eastAsia"/>
        </w:rPr>
        <w:t>或复效）日起（</w:t>
      </w:r>
      <w:r>
        <w:rPr>
          <w:rFonts w:ascii="黑体" w:eastAsia="黑体" w:hint="eastAsia"/>
          <w:spacing w:val="-5"/>
        </w:rPr>
        <w:t>含本日</w:t>
      </w:r>
      <w:r>
        <w:rPr>
          <w:rFonts w:ascii="黑体" w:eastAsia="黑体" w:hint="eastAsia"/>
        </w:rPr>
        <w:t>）</w:t>
      </w:r>
      <w:r>
        <w:rPr>
          <w:rFonts w:ascii="黑体" w:eastAsia="黑体" w:hint="eastAsia"/>
          <w:spacing w:val="-3"/>
        </w:rPr>
        <w:t>一百八十天内，因疾病导致高度残疾，我们无息返</w:t>
      </w:r>
      <w:r>
        <w:rPr>
          <w:rFonts w:ascii="黑体" w:eastAsia="黑体" w:hint="eastAsia"/>
          <w:spacing w:val="-1"/>
          <w:w w:val="100"/>
        </w:rPr>
        <w:t>还您累计为本合同交纳的保险费</w:t>
      </w:r>
      <w:r>
        <w:rPr>
          <w:rFonts w:ascii="黑体" w:eastAsia="黑体" w:hint="eastAsia"/>
          <w:w w:val="100"/>
        </w:rPr>
        <w:t>（</w:t>
      </w:r>
      <w:r>
        <w:rPr>
          <w:rFonts w:ascii="黑体" w:eastAsia="黑体" w:hint="eastAsia"/>
          <w:spacing w:val="-2"/>
          <w:w w:val="100"/>
        </w:rPr>
        <w:t>复效情况下仅返还最后一次申请复效时所交保险费及利息</w:t>
      </w:r>
      <w:r>
        <w:rPr>
          <w:rFonts w:ascii="黑体" w:eastAsia="黑体" w:hint="eastAsia"/>
          <w:spacing w:val="-106"/>
          <w:w w:val="100"/>
        </w:rPr>
        <w:t>）</w:t>
      </w:r>
      <w:r>
        <w:rPr>
          <w:rFonts w:ascii="黑体" w:eastAsia="黑体" w:hint="eastAsia"/>
          <w:spacing w:val="-2"/>
          <w:w w:val="100"/>
        </w:rPr>
        <w:t>，本合同终止。</w:t>
      </w:r>
    </w:p>
    <w:p>
      <w:pPr>
        <w:pStyle w:val="BodyText"/>
        <w:spacing w:line="272" w:lineRule="exact"/>
        <w:ind w:left="555"/>
      </w:pPr>
      <w:r>
        <w:rPr/>
        <w:t>五、 身故保险金 </w:t>
      </w:r>
    </w:p>
    <w:p>
      <w:pPr>
        <w:pStyle w:val="BodyText"/>
        <w:spacing w:line="276" w:lineRule="auto" w:before="14"/>
        <w:ind w:left="132" w:right="266" w:firstLine="403"/>
      </w:pPr>
      <w:r>
        <w:rPr/>
        <w:t>若被保险人于本合同生效（或复效）日起因意外伤害，或于本合同生效（或复效）日起一百八十天后， 因疾病导致身故，我们按本合同的保险金额向身故保险金受益人给付身故保险金，本合同终止。 </w:t>
      </w:r>
    </w:p>
    <w:p>
      <w:pPr>
        <w:pStyle w:val="BodyText"/>
        <w:spacing w:line="276" w:lineRule="auto" w:before="1"/>
        <w:ind w:left="132" w:right="257" w:firstLine="422"/>
        <w:rPr>
          <w:rFonts w:ascii="黑体" w:eastAsia="黑体" w:hint="eastAsia"/>
        </w:rPr>
      </w:pPr>
      <w:r>
        <w:rPr>
          <w:rFonts w:ascii="黑体" w:eastAsia="黑体" w:hint="eastAsia"/>
        </w:rPr>
        <w:t>若被保险人于本合同生效</w:t>
      </w:r>
      <w:r>
        <w:rPr>
          <w:rFonts w:ascii="黑体" w:eastAsia="黑体" w:hint="eastAsia"/>
          <w:spacing w:val="-10"/>
        </w:rPr>
        <w:t>（</w:t>
      </w:r>
      <w:r>
        <w:rPr>
          <w:rFonts w:ascii="黑体" w:eastAsia="黑体" w:hint="eastAsia"/>
        </w:rPr>
        <w:t>或复效）日起（</w:t>
      </w:r>
      <w:r>
        <w:rPr>
          <w:rFonts w:ascii="黑体" w:eastAsia="黑体" w:hint="eastAsia"/>
          <w:spacing w:val="-5"/>
        </w:rPr>
        <w:t>含本日</w:t>
      </w:r>
      <w:r>
        <w:rPr>
          <w:rFonts w:ascii="黑体" w:eastAsia="黑体" w:hint="eastAsia"/>
        </w:rPr>
        <w:t>）</w:t>
      </w:r>
      <w:r>
        <w:rPr>
          <w:rFonts w:ascii="黑体" w:eastAsia="黑体" w:hint="eastAsia"/>
          <w:spacing w:val="-3"/>
        </w:rPr>
        <w:t>一百八十天内，因疾病导致身故，我们无息返还您</w:t>
      </w:r>
      <w:r>
        <w:rPr>
          <w:rFonts w:ascii="黑体" w:eastAsia="黑体" w:hint="eastAsia"/>
          <w:spacing w:val="-4"/>
          <w:w w:val="100"/>
        </w:rPr>
        <w:t>累计为本合同交纳的保险费</w:t>
      </w:r>
      <w:r>
        <w:rPr>
          <w:rFonts w:ascii="黑体" w:eastAsia="黑体" w:hint="eastAsia"/>
          <w:w w:val="100"/>
        </w:rPr>
        <w:t>（</w:t>
      </w:r>
      <w:r>
        <w:rPr>
          <w:rFonts w:ascii="黑体" w:eastAsia="黑体" w:hint="eastAsia"/>
          <w:spacing w:val="-2"/>
          <w:w w:val="100"/>
        </w:rPr>
        <w:t>复效情况下仅返还最后一次申请复效时所交保险费及利息</w:t>
      </w:r>
      <w:r>
        <w:rPr>
          <w:rFonts w:ascii="黑体" w:eastAsia="黑体" w:hint="eastAsia"/>
          <w:spacing w:val="-106"/>
          <w:w w:val="100"/>
        </w:rPr>
        <w:t>）</w:t>
      </w:r>
      <w:r>
        <w:rPr>
          <w:rFonts w:ascii="黑体" w:eastAsia="黑体" w:hint="eastAsia"/>
          <w:w w:val="100"/>
        </w:rPr>
        <w:t>，本合同终止。</w:t>
      </w:r>
    </w:p>
    <w:p>
      <w:pPr>
        <w:pStyle w:val="BodyText"/>
        <w:spacing w:line="262" w:lineRule="exact" w:before="1"/>
        <w:ind w:left="555"/>
      </w:pPr>
      <w:r>
        <w:rPr/>
        <w:t>被保险人的身故时间以死亡证明文件上载明的身故时间为准。</w:t>
      </w:r>
    </w:p>
    <w:p>
      <w:pPr>
        <w:spacing w:line="353" w:lineRule="exact" w:before="0"/>
        <w:ind w:left="555" w:right="0" w:firstLine="0"/>
        <w:jc w:val="left"/>
        <w:rPr>
          <w:rFonts w:ascii="Microsoft JhengHei" w:eastAsia="Microsoft JhengHei" w:hint="eastAsia"/>
          <w:b/>
          <w:sz w:val="21"/>
        </w:rPr>
      </w:pPr>
      <w:r>
        <w:rPr>
          <w:rFonts w:ascii="Microsoft JhengHei" w:eastAsia="Microsoft JhengHei" w:hint="eastAsia"/>
          <w:b/>
          <w:sz w:val="21"/>
        </w:rPr>
        <w:t>特别提示您：</w:t>
      </w:r>
    </w:p>
    <w:p>
      <w:pPr>
        <w:pStyle w:val="BodyText"/>
        <w:spacing w:before="8"/>
        <w:ind w:left="555"/>
        <w:rPr>
          <w:rFonts w:ascii="黑体" w:eastAsia="黑体" w:hint="eastAsia"/>
        </w:rPr>
      </w:pPr>
      <w:r>
        <w:rPr>
          <w:rFonts w:ascii="黑体" w:eastAsia="黑体" w:hint="eastAsia"/>
          <w:spacing w:val="-2"/>
        </w:rPr>
        <w:t>1</w:t>
      </w:r>
      <w:r>
        <w:rPr>
          <w:rFonts w:ascii="黑体" w:eastAsia="黑体" w:hint="eastAsia"/>
          <w:spacing w:val="-16"/>
        </w:rPr>
        <w:t>、若被保险人所患疾病既符合本合同约定的重大疾病又符合轻症大病的，我们仅承担重大疾病保险责任。</w:t>
      </w:r>
    </w:p>
    <w:p>
      <w:pPr>
        <w:pStyle w:val="BodyText"/>
        <w:spacing w:line="273" w:lineRule="auto" w:before="41"/>
        <w:ind w:left="132" w:right="257" w:firstLine="422"/>
        <w:jc w:val="both"/>
        <w:rPr>
          <w:rFonts w:ascii="黑体" w:eastAsia="黑体" w:hint="eastAsia"/>
        </w:rPr>
      </w:pPr>
      <w:r>
        <w:rPr>
          <w:rFonts w:ascii="黑体" w:eastAsia="黑体" w:hint="eastAsia"/>
          <w:spacing w:val="-1"/>
        </w:rPr>
        <w:t>2</w:t>
      </w:r>
      <w:r>
        <w:rPr>
          <w:rFonts w:ascii="黑体" w:eastAsia="黑体" w:hint="eastAsia"/>
          <w:spacing w:val="-12"/>
        </w:rPr>
        <w:t>、在本合同有效期内，若被保险人在申请轻症大病保险金之前，被保险人已发生符合本合同约定的申领</w:t>
      </w:r>
      <w:r>
        <w:rPr>
          <w:rFonts w:ascii="黑体" w:eastAsia="黑体" w:hint="eastAsia"/>
          <w:spacing w:val="-3"/>
        </w:rPr>
        <w:t>重大疾病保险金、高度残疾保险金或老年长期护理保险金条件的情形，且我们已赔付过轻症大病保险金的， 我们将在给付重大疾病保险金、高度残疾保险金或老年长期护理保险金时，扣除该轻症大病保险金后进行给</w:t>
      </w:r>
      <w:r>
        <w:rPr>
          <w:rFonts w:ascii="黑体" w:eastAsia="黑体" w:hint="eastAsia"/>
          <w:spacing w:val="-2"/>
        </w:rPr>
        <w:t>付。我们另向您无息返还自重大疾病保险金、高度残疾保险金或老年长期护理保险金责任发生至您申请轻症大病保险金期间交纳的保险费。</w:t>
      </w:r>
    </w:p>
    <w:p>
      <w:pPr>
        <w:pStyle w:val="Heading2"/>
        <w:tabs>
          <w:tab w:pos="1390" w:val="left" w:leader="none"/>
        </w:tabs>
        <w:spacing w:before="166"/>
        <w:ind w:left="344"/>
      </w:pPr>
      <w:bookmarkStart w:name="_TOC_250026" w:id="10"/>
      <w:bookmarkEnd w:id="10"/>
      <w:r>
        <w:rPr/>
        <w:t>第八条</w:t>
        <w:tab/>
        <w:t>责任免除</w:t>
      </w:r>
    </w:p>
    <w:p>
      <w:pPr>
        <w:pStyle w:val="BodyText"/>
        <w:spacing w:line="268" w:lineRule="auto" w:before="133"/>
        <w:ind w:left="132" w:right="257" w:firstLine="422"/>
        <w:rPr>
          <w:rFonts w:ascii="黑体" w:eastAsia="黑体" w:hint="eastAsia"/>
        </w:rPr>
      </w:pPr>
      <w:r>
        <w:rPr>
          <w:rFonts w:ascii="黑体" w:eastAsia="黑体" w:hint="eastAsia"/>
        </w:rPr>
        <w:t>（一）因下列情形之一导致被保险人身故或高度残疾的，我们不承担给付身故保险金和高度残疾保险金的责任：</w:t>
      </w:r>
    </w:p>
    <w:p>
      <w:pPr>
        <w:pStyle w:val="ListParagraph"/>
        <w:numPr>
          <w:ilvl w:val="0"/>
          <w:numId w:val="2"/>
        </w:numPr>
        <w:tabs>
          <w:tab w:pos="977" w:val="left" w:leader="none"/>
          <w:tab w:pos="978" w:val="left" w:leader="none"/>
        </w:tabs>
        <w:spacing w:line="240" w:lineRule="auto" w:before="16" w:after="0"/>
        <w:ind w:left="1027" w:right="0" w:hanging="472"/>
        <w:jc w:val="left"/>
        <w:rPr>
          <w:sz w:val="21"/>
        </w:rPr>
      </w:pPr>
      <w:r>
        <w:rPr>
          <w:spacing w:val="-1"/>
          <w:sz w:val="21"/>
        </w:rPr>
        <w:t>您对被保险人的故意杀害、故意伤害；</w:t>
      </w:r>
    </w:p>
    <w:p>
      <w:pPr>
        <w:pStyle w:val="BodyText"/>
        <w:spacing w:before="1"/>
        <w:rPr>
          <w:rFonts w:ascii="黑体"/>
        </w:rPr>
      </w:pPr>
      <w:r>
        <w:rPr/>
        <w:pict>
          <v:line style="position:absolute;mso-position-horizontal-relative:page;mso-position-vertical-relative:paragraph;z-index:1096;mso-wrap-distance-left:0;mso-wrap-distance-right:0" from="56.639999pt,16.024389pt" to="200.639999pt,16.024389pt" stroked="true" strokeweight=".48pt" strokecolor="#000000">
            <v:stroke dashstyle="solid"/>
            <w10:wrap type="topAndBottom"/>
          </v:line>
        </w:pict>
      </w:r>
    </w:p>
    <w:p>
      <w:pPr>
        <w:spacing w:before="29"/>
        <w:ind w:left="132" w:right="0" w:firstLine="0"/>
        <w:jc w:val="left"/>
        <w:rPr>
          <w:sz w:val="18"/>
        </w:rPr>
      </w:pPr>
      <w:r>
        <w:rPr>
          <w:rFonts w:ascii="Times New Roman" w:eastAsia="Times New Roman"/>
          <w:position w:val="8"/>
          <w:sz w:val="12"/>
        </w:rPr>
        <w:t>1</w:t>
      </w:r>
      <w:r>
        <w:rPr>
          <w:sz w:val="18"/>
        </w:rPr>
        <w:t>意外伤害指因遭受意外事故并以此为直接且单独原因导致的身体伤害。意外事故指外来的、非本意的、突然的、剧烈的、非疾</w:t>
      </w:r>
    </w:p>
    <w:p>
      <w:pPr>
        <w:spacing w:before="4"/>
        <w:ind w:left="132" w:right="0" w:firstLine="0"/>
        <w:jc w:val="left"/>
        <w:rPr>
          <w:sz w:val="18"/>
        </w:rPr>
      </w:pPr>
      <w:r>
        <w:rPr>
          <w:sz w:val="18"/>
        </w:rPr>
        <w:t>病的意外事件。</w:t>
      </w:r>
    </w:p>
    <w:p>
      <w:pPr>
        <w:spacing w:after="0"/>
        <w:jc w:val="left"/>
        <w:rPr>
          <w:sz w:val="18"/>
        </w:rPr>
        <w:sectPr>
          <w:headerReference w:type="default" r:id="rId7"/>
          <w:footerReference w:type="default" r:id="rId8"/>
          <w:pgSz w:w="11900" w:h="16840"/>
          <w:pgMar w:header="886" w:footer="952" w:top="1080" w:bottom="1140" w:left="1000" w:right="620"/>
          <w:pgNumType w:start="3"/>
        </w:sectPr>
      </w:pPr>
    </w:p>
    <w:p>
      <w:pPr>
        <w:pStyle w:val="BodyText"/>
        <w:spacing w:before="7"/>
        <w:rPr>
          <w:sz w:val="3"/>
        </w:rPr>
      </w:pPr>
    </w:p>
    <w:p>
      <w:pPr>
        <w:pStyle w:val="BodyText"/>
        <w:spacing w:line="20" w:lineRule="exact"/>
        <w:ind w:left="100"/>
        <w:rPr>
          <w:sz w:val="2"/>
        </w:rPr>
      </w:pPr>
      <w:r>
        <w:rPr>
          <w:rFonts w:ascii="Times New Roman"/>
          <w:spacing w:val="5"/>
          <w:sz w:val="2"/>
        </w:rPr>
        <w:t> </w:t>
      </w:r>
      <w:r>
        <w:rPr>
          <w:spacing w:val="5"/>
          <w:sz w:val="2"/>
        </w:rPr>
        <w:pict>
          <v:group style="width:499.2pt;height:.5pt;mso-position-horizontal-relative:char;mso-position-vertical-relative:line" coordorigin="0,0" coordsize="9984,10">
            <v:line style="position:absolute" from="0,5" to="9984,5" stroked="true" strokeweight=".48pt" strokecolor="#000000">
              <v:stroke dashstyle="solid"/>
            </v:line>
          </v:group>
        </w:pict>
      </w:r>
      <w:r>
        <w:rPr>
          <w:spacing w:val="5"/>
          <w:sz w:val="2"/>
        </w:rPr>
      </w:r>
    </w:p>
    <w:p>
      <w:pPr>
        <w:pStyle w:val="ListParagraph"/>
        <w:numPr>
          <w:ilvl w:val="0"/>
          <w:numId w:val="2"/>
        </w:numPr>
        <w:tabs>
          <w:tab w:pos="979" w:val="left" w:leader="none"/>
          <w:tab w:pos="980" w:val="left" w:leader="none"/>
        </w:tabs>
        <w:spacing w:line="240" w:lineRule="auto" w:before="0" w:after="0"/>
        <w:ind w:left="979" w:right="0" w:hanging="423"/>
        <w:jc w:val="left"/>
        <w:rPr>
          <w:sz w:val="21"/>
        </w:rPr>
      </w:pPr>
      <w:r>
        <w:rPr>
          <w:spacing w:val="-1"/>
          <w:sz w:val="21"/>
        </w:rPr>
        <w:t>被保险人故意犯罪或者抗拒依法采取的刑事强制措施；</w:t>
      </w:r>
    </w:p>
    <w:p>
      <w:pPr>
        <w:pStyle w:val="ListParagraph"/>
        <w:numPr>
          <w:ilvl w:val="0"/>
          <w:numId w:val="2"/>
        </w:numPr>
        <w:tabs>
          <w:tab w:pos="979" w:val="left" w:leader="none"/>
          <w:tab w:pos="980" w:val="left" w:leader="none"/>
        </w:tabs>
        <w:spacing w:line="268" w:lineRule="auto" w:before="42" w:after="0"/>
        <w:ind w:left="1027" w:right="255" w:hanging="471"/>
        <w:jc w:val="left"/>
        <w:rPr>
          <w:sz w:val="21"/>
        </w:rPr>
      </w:pPr>
      <w:r>
        <w:rPr>
          <w:spacing w:val="-3"/>
          <w:sz w:val="21"/>
        </w:rPr>
        <w:t>被保险人自本合同成立或者合同效力恢复之日起 </w:t>
      </w:r>
      <w:r>
        <w:rPr>
          <w:sz w:val="21"/>
        </w:rPr>
        <w:t>2</w:t>
      </w:r>
      <w:r>
        <w:rPr>
          <w:spacing w:val="-9"/>
          <w:sz w:val="21"/>
        </w:rPr>
        <w:t> 年内自杀，但被保险人自杀时为无民事行为能力人的除外；</w:t>
      </w:r>
    </w:p>
    <w:p>
      <w:pPr>
        <w:pStyle w:val="ListParagraph"/>
        <w:numPr>
          <w:ilvl w:val="0"/>
          <w:numId w:val="2"/>
        </w:numPr>
        <w:tabs>
          <w:tab w:pos="979" w:val="left" w:leader="none"/>
          <w:tab w:pos="980" w:val="left" w:leader="none"/>
        </w:tabs>
        <w:spacing w:line="240" w:lineRule="auto" w:before="17" w:after="0"/>
        <w:ind w:left="979" w:right="0" w:hanging="423"/>
        <w:jc w:val="left"/>
        <w:rPr>
          <w:sz w:val="21"/>
        </w:rPr>
      </w:pPr>
      <w:r>
        <w:rPr>
          <w:spacing w:val="-2"/>
          <w:sz w:val="21"/>
        </w:rPr>
        <w:t>被保险人主动吸食或注射毒品；</w:t>
      </w:r>
    </w:p>
    <w:p>
      <w:pPr>
        <w:pStyle w:val="ListParagraph"/>
        <w:numPr>
          <w:ilvl w:val="0"/>
          <w:numId w:val="2"/>
        </w:numPr>
        <w:tabs>
          <w:tab w:pos="979" w:val="left" w:leader="none"/>
          <w:tab w:pos="980" w:val="left" w:leader="none"/>
        </w:tabs>
        <w:spacing w:line="240" w:lineRule="auto" w:before="32" w:after="0"/>
        <w:ind w:left="979" w:right="0" w:hanging="423"/>
        <w:jc w:val="left"/>
        <w:rPr>
          <w:sz w:val="21"/>
        </w:rPr>
      </w:pPr>
      <w:r>
        <w:rPr>
          <w:spacing w:val="-2"/>
          <w:sz w:val="21"/>
        </w:rPr>
        <w:t>被保险人酒后驾驶，无合法有效驾驶证驾驶，或驾驶无有效行驶证的机动车；</w:t>
      </w:r>
    </w:p>
    <w:p>
      <w:pPr>
        <w:pStyle w:val="ListParagraph"/>
        <w:numPr>
          <w:ilvl w:val="0"/>
          <w:numId w:val="2"/>
        </w:numPr>
        <w:tabs>
          <w:tab w:pos="979" w:val="left" w:leader="none"/>
          <w:tab w:pos="980" w:val="left" w:leader="none"/>
        </w:tabs>
        <w:spacing w:line="240" w:lineRule="auto" w:before="41" w:after="0"/>
        <w:ind w:left="979" w:right="0" w:hanging="423"/>
        <w:jc w:val="left"/>
        <w:rPr>
          <w:sz w:val="21"/>
        </w:rPr>
      </w:pPr>
      <w:r>
        <w:rPr>
          <w:spacing w:val="-1"/>
          <w:sz w:val="21"/>
        </w:rPr>
        <w:t>战争、军事冲突、暴乱或武装叛乱；</w:t>
      </w:r>
    </w:p>
    <w:p>
      <w:pPr>
        <w:pStyle w:val="ListParagraph"/>
        <w:numPr>
          <w:ilvl w:val="0"/>
          <w:numId w:val="2"/>
        </w:numPr>
        <w:tabs>
          <w:tab w:pos="979" w:val="left" w:leader="none"/>
          <w:tab w:pos="980" w:val="left" w:leader="none"/>
        </w:tabs>
        <w:spacing w:line="240" w:lineRule="auto" w:before="32" w:after="0"/>
        <w:ind w:left="979" w:right="0" w:hanging="423"/>
        <w:jc w:val="left"/>
        <w:rPr>
          <w:sz w:val="21"/>
        </w:rPr>
      </w:pPr>
      <w:r>
        <w:rPr>
          <w:sz w:val="21"/>
        </w:rPr>
        <w:t>核爆炸、核辐射或核污染。</w:t>
      </w:r>
    </w:p>
    <w:p>
      <w:pPr>
        <w:pStyle w:val="BodyText"/>
        <w:spacing w:before="42"/>
        <w:ind w:left="556"/>
        <w:rPr>
          <w:rFonts w:ascii="黑体" w:eastAsia="黑体" w:hint="eastAsia"/>
        </w:rPr>
      </w:pPr>
      <w:r>
        <w:rPr>
          <w:rFonts w:ascii="黑体" w:eastAsia="黑体" w:hint="eastAsia"/>
        </w:rPr>
        <w:t>因上述情形之一导致被保险人身故或高度残疾时，本合同终止。</w:t>
      </w:r>
    </w:p>
    <w:p>
      <w:pPr>
        <w:pStyle w:val="BodyText"/>
        <w:spacing w:line="273" w:lineRule="auto" w:before="32"/>
        <w:ind w:left="124" w:right="255" w:firstLine="422"/>
        <w:jc w:val="both"/>
        <w:rPr>
          <w:rFonts w:ascii="黑体" w:eastAsia="黑体" w:hint="eastAsia"/>
        </w:rPr>
      </w:pPr>
      <w:r>
        <w:rPr>
          <w:rFonts w:ascii="黑体" w:eastAsia="黑体" w:hint="eastAsia"/>
          <w:spacing w:val="-1"/>
        </w:rPr>
        <w:t>（二</w:t>
      </w:r>
      <w:r>
        <w:rPr>
          <w:rFonts w:ascii="黑体" w:eastAsia="黑体" w:hint="eastAsia"/>
          <w:spacing w:val="-29"/>
        </w:rPr>
        <w:t>）</w:t>
      </w:r>
      <w:r>
        <w:rPr>
          <w:rFonts w:ascii="黑体" w:eastAsia="黑体" w:hint="eastAsia"/>
          <w:spacing w:val="-10"/>
        </w:rPr>
        <w:t>根据中国保险行业协会制定的《重大疾病保险的疾病定义使用规范》，因下列情形之一导致被保险</w:t>
      </w:r>
      <w:r>
        <w:rPr>
          <w:rFonts w:ascii="黑体" w:eastAsia="黑体" w:hint="eastAsia"/>
          <w:spacing w:val="-4"/>
        </w:rPr>
        <w:t>人发生疾病、达到疾病状态或进行手术的，我们不承担给付重大疾病保险金、轻症大病保险金和老年长期护</w:t>
      </w:r>
      <w:r>
        <w:rPr>
          <w:rFonts w:ascii="黑体" w:eastAsia="黑体" w:hint="eastAsia"/>
        </w:rPr>
        <w:t>理保险金的责任：</w:t>
      </w:r>
    </w:p>
    <w:p>
      <w:pPr>
        <w:pStyle w:val="ListParagraph"/>
        <w:numPr>
          <w:ilvl w:val="0"/>
          <w:numId w:val="3"/>
        </w:numPr>
        <w:tabs>
          <w:tab w:pos="979" w:val="left" w:leader="none"/>
          <w:tab w:pos="980" w:val="left" w:leader="none"/>
        </w:tabs>
        <w:spacing w:line="240" w:lineRule="auto" w:before="12" w:after="0"/>
        <w:ind w:left="979" w:right="0" w:hanging="423"/>
        <w:jc w:val="left"/>
        <w:rPr>
          <w:sz w:val="21"/>
        </w:rPr>
      </w:pPr>
      <w:r>
        <w:rPr>
          <w:spacing w:val="-1"/>
          <w:sz w:val="21"/>
        </w:rPr>
        <w:t>您对被保险人的故意杀害、故意伤害；</w:t>
      </w:r>
    </w:p>
    <w:p>
      <w:pPr>
        <w:pStyle w:val="ListParagraph"/>
        <w:numPr>
          <w:ilvl w:val="0"/>
          <w:numId w:val="3"/>
        </w:numPr>
        <w:tabs>
          <w:tab w:pos="979" w:val="left" w:leader="none"/>
          <w:tab w:pos="980" w:val="left" w:leader="none"/>
        </w:tabs>
        <w:spacing w:line="240" w:lineRule="auto" w:before="32" w:after="0"/>
        <w:ind w:left="979" w:right="0" w:hanging="423"/>
        <w:jc w:val="left"/>
        <w:rPr>
          <w:sz w:val="21"/>
        </w:rPr>
      </w:pPr>
      <w:r>
        <w:rPr>
          <w:spacing w:val="-2"/>
          <w:sz w:val="21"/>
        </w:rPr>
        <w:t>被保险人故意犯罪、拒捕、斗殴、自杀、自伤身体及服用、吸食或注射毒品；</w:t>
      </w:r>
    </w:p>
    <w:p>
      <w:pPr>
        <w:pStyle w:val="ListParagraph"/>
        <w:numPr>
          <w:ilvl w:val="0"/>
          <w:numId w:val="3"/>
        </w:numPr>
        <w:tabs>
          <w:tab w:pos="979" w:val="left" w:leader="none"/>
          <w:tab w:pos="980" w:val="left" w:leader="none"/>
        </w:tabs>
        <w:spacing w:line="240" w:lineRule="auto" w:before="41" w:after="0"/>
        <w:ind w:left="979" w:right="0" w:hanging="423"/>
        <w:jc w:val="left"/>
        <w:rPr>
          <w:sz w:val="21"/>
        </w:rPr>
      </w:pPr>
      <w:r>
        <w:rPr>
          <w:spacing w:val="-2"/>
          <w:sz w:val="21"/>
        </w:rPr>
        <w:t>被保险人酒后驾驶、无合法有效驾驶证驾驶，或驾驶无有效行驶证的机动车；</w:t>
      </w:r>
    </w:p>
    <w:p>
      <w:pPr>
        <w:pStyle w:val="ListParagraph"/>
        <w:numPr>
          <w:ilvl w:val="0"/>
          <w:numId w:val="3"/>
        </w:numPr>
        <w:tabs>
          <w:tab w:pos="979" w:val="left" w:leader="none"/>
          <w:tab w:pos="980" w:val="left" w:leader="none"/>
        </w:tabs>
        <w:spacing w:line="240" w:lineRule="auto" w:before="31" w:after="0"/>
        <w:ind w:left="979" w:right="0" w:hanging="423"/>
        <w:jc w:val="left"/>
        <w:rPr>
          <w:sz w:val="21"/>
        </w:rPr>
      </w:pPr>
      <w:r>
        <w:rPr>
          <w:spacing w:val="-1"/>
          <w:sz w:val="21"/>
        </w:rPr>
        <w:t>被保险人感染艾滋病病毒或患艾滋病；</w:t>
      </w:r>
    </w:p>
    <w:p>
      <w:pPr>
        <w:pStyle w:val="ListParagraph"/>
        <w:numPr>
          <w:ilvl w:val="0"/>
          <w:numId w:val="3"/>
        </w:numPr>
        <w:tabs>
          <w:tab w:pos="979" w:val="left" w:leader="none"/>
          <w:tab w:pos="980" w:val="left" w:leader="none"/>
        </w:tabs>
        <w:spacing w:line="240" w:lineRule="auto" w:before="41" w:after="0"/>
        <w:ind w:left="979" w:right="0" w:hanging="423"/>
        <w:jc w:val="left"/>
        <w:rPr>
          <w:sz w:val="21"/>
        </w:rPr>
      </w:pPr>
      <w:r>
        <w:rPr>
          <w:spacing w:val="-1"/>
          <w:sz w:val="21"/>
        </w:rPr>
        <w:t>战争、军事冲突、暴乱或武装叛乱；</w:t>
      </w:r>
    </w:p>
    <w:p>
      <w:pPr>
        <w:pStyle w:val="ListParagraph"/>
        <w:numPr>
          <w:ilvl w:val="0"/>
          <w:numId w:val="3"/>
        </w:numPr>
        <w:tabs>
          <w:tab w:pos="979" w:val="left" w:leader="none"/>
          <w:tab w:pos="980" w:val="left" w:leader="none"/>
        </w:tabs>
        <w:spacing w:line="240" w:lineRule="auto" w:before="32" w:after="0"/>
        <w:ind w:left="979" w:right="0" w:hanging="423"/>
        <w:jc w:val="left"/>
        <w:rPr>
          <w:sz w:val="21"/>
        </w:rPr>
      </w:pPr>
      <w:r>
        <w:rPr>
          <w:sz w:val="21"/>
        </w:rPr>
        <w:t>核爆炸、核辐射或核污染；</w:t>
      </w:r>
    </w:p>
    <w:p>
      <w:pPr>
        <w:pStyle w:val="ListParagraph"/>
        <w:numPr>
          <w:ilvl w:val="0"/>
          <w:numId w:val="3"/>
        </w:numPr>
        <w:tabs>
          <w:tab w:pos="979" w:val="left" w:leader="none"/>
          <w:tab w:pos="980" w:val="left" w:leader="none"/>
        </w:tabs>
        <w:spacing w:line="240" w:lineRule="auto" w:before="42" w:after="0"/>
        <w:ind w:left="979" w:right="0" w:hanging="423"/>
        <w:jc w:val="left"/>
        <w:rPr>
          <w:sz w:val="21"/>
        </w:rPr>
      </w:pPr>
      <w:r>
        <w:rPr>
          <w:spacing w:val="-2"/>
          <w:w w:val="100"/>
          <w:sz w:val="21"/>
        </w:rPr>
        <w:t>遗传性疾病</w:t>
      </w:r>
      <w:r>
        <w:rPr>
          <w:spacing w:val="3"/>
          <w:w w:val="105"/>
          <w:position w:val="11"/>
          <w:sz w:val="10"/>
        </w:rPr>
        <w:t>1</w:t>
      </w:r>
      <w:r>
        <w:rPr>
          <w:spacing w:val="-1"/>
          <w:w w:val="100"/>
          <w:sz w:val="21"/>
        </w:rPr>
        <w:t>，先天性畸形、变形或染色体异常</w:t>
      </w:r>
      <w:r>
        <w:rPr>
          <w:spacing w:val="3"/>
          <w:w w:val="105"/>
          <w:position w:val="11"/>
          <w:sz w:val="10"/>
        </w:rPr>
        <w:t>2</w:t>
      </w:r>
      <w:r>
        <w:rPr>
          <w:w w:val="100"/>
          <w:sz w:val="21"/>
        </w:rPr>
        <w:t>；</w:t>
      </w:r>
    </w:p>
    <w:p>
      <w:pPr>
        <w:pStyle w:val="ListParagraph"/>
        <w:numPr>
          <w:ilvl w:val="0"/>
          <w:numId w:val="3"/>
        </w:numPr>
        <w:tabs>
          <w:tab w:pos="979" w:val="left" w:leader="none"/>
          <w:tab w:pos="980" w:val="left" w:leader="none"/>
        </w:tabs>
        <w:spacing w:line="240" w:lineRule="auto" w:before="32" w:after="0"/>
        <w:ind w:left="979" w:right="0" w:hanging="423"/>
        <w:jc w:val="left"/>
        <w:rPr>
          <w:rFonts w:ascii="宋体" w:eastAsia="宋体" w:hint="eastAsia"/>
          <w:sz w:val="21"/>
        </w:rPr>
      </w:pPr>
      <w:r>
        <w:rPr>
          <w:spacing w:val="-1"/>
          <w:sz w:val="21"/>
        </w:rPr>
        <w:t>被保险人投保前已经发现而投保后治疗的疾病</w:t>
      </w:r>
      <w:r>
        <w:rPr>
          <w:rFonts w:ascii="宋体" w:eastAsia="宋体" w:hint="eastAsia"/>
          <w:sz w:val="21"/>
        </w:rPr>
        <w:t>。</w:t>
      </w:r>
    </w:p>
    <w:p>
      <w:pPr>
        <w:pStyle w:val="BodyText"/>
        <w:spacing w:before="41"/>
        <w:ind w:left="547"/>
        <w:rPr>
          <w:rFonts w:ascii="黑体" w:eastAsia="黑体" w:hint="eastAsia"/>
        </w:rPr>
      </w:pPr>
      <w:r>
        <w:rPr>
          <w:rFonts w:ascii="黑体" w:eastAsia="黑体" w:hint="eastAsia"/>
        </w:rPr>
        <w:t>因上述情形之一导致被保险人发生疾病、达到疾病状态或进行手术的，本合同终止。</w:t>
      </w:r>
    </w:p>
    <w:p>
      <w:pPr>
        <w:pStyle w:val="BodyText"/>
        <w:spacing w:line="276" w:lineRule="auto" w:before="31"/>
        <w:ind w:left="134" w:right="255" w:firstLine="412"/>
      </w:pPr>
      <w:r>
        <w:rPr>
          <w:rFonts w:ascii="黑体" w:eastAsia="黑体" w:hint="eastAsia"/>
        </w:rPr>
        <w:t>（三）除法律及本合同另有规定外，我们将于收到下列证明材料后三十日内向您退还本合同终止时的保险单现金价值净额。</w:t>
      </w:r>
      <w:r>
        <w:rPr/>
        <w:t> </w:t>
      </w:r>
    </w:p>
    <w:p>
      <w:pPr>
        <w:pStyle w:val="BodyText"/>
        <w:spacing w:line="256" w:lineRule="exact"/>
        <w:ind w:left="556"/>
        <w:rPr>
          <w:rFonts w:ascii="黑体" w:eastAsia="黑体" w:hint="eastAsia"/>
        </w:rPr>
      </w:pPr>
      <w:r>
        <w:rPr>
          <w:rFonts w:ascii="黑体" w:eastAsia="黑体" w:hint="eastAsia"/>
        </w:rPr>
        <w:t>1、本合同；</w:t>
      </w:r>
    </w:p>
    <w:p>
      <w:pPr>
        <w:pStyle w:val="BodyText"/>
        <w:spacing w:before="14"/>
        <w:ind w:left="556"/>
        <w:rPr>
          <w:rFonts w:ascii="黑体" w:eastAsia="黑体" w:hint="eastAsia"/>
        </w:rPr>
      </w:pPr>
      <w:r>
        <w:rPr>
          <w:rFonts w:ascii="黑体" w:eastAsia="黑体" w:hint="eastAsia"/>
        </w:rPr>
        <w:t>2、您的身份证明。</w:t>
      </w:r>
    </w:p>
    <w:p>
      <w:pPr>
        <w:pStyle w:val="BodyText"/>
        <w:spacing w:before="9"/>
        <w:rPr>
          <w:rFonts w:ascii="黑体"/>
          <w:sz w:val="15"/>
        </w:rPr>
      </w:pPr>
    </w:p>
    <w:p>
      <w:pPr>
        <w:pStyle w:val="Heading2"/>
        <w:tabs>
          <w:tab w:pos="1391" w:val="left" w:leader="none"/>
        </w:tabs>
        <w:ind w:left="345"/>
      </w:pPr>
      <w:bookmarkStart w:name="_TOC_250025" w:id="11"/>
      <w:bookmarkEnd w:id="11"/>
      <w:r>
        <w:rPr/>
        <w:t>第九条</w:t>
        <w:tab/>
        <w:t>保险金额</w:t>
      </w:r>
    </w:p>
    <w:p>
      <w:pPr>
        <w:pStyle w:val="BodyText"/>
        <w:spacing w:before="133"/>
        <w:ind w:left="576"/>
      </w:pPr>
      <w:r>
        <w:rPr/>
        <w:t>本合同的保险金额由您和我们约定并在保险合同中载明。 </w:t>
      </w:r>
    </w:p>
    <w:p>
      <w:pPr>
        <w:pStyle w:val="BodyText"/>
        <w:spacing w:before="9"/>
        <w:rPr>
          <w:sz w:val="19"/>
        </w:rPr>
      </w:pPr>
    </w:p>
    <w:p>
      <w:pPr>
        <w:pStyle w:val="Heading1"/>
        <w:ind w:right="184"/>
      </w:pPr>
      <w:bookmarkStart w:name="_TOC_250024" w:id="12"/>
      <w:r>
        <w:rPr/>
        <w:t>第三部分 如何领取保险金</w:t>
      </w:r>
      <w:bookmarkEnd w:id="12"/>
      <w:r>
        <w:rPr>
          <w:w w:val="98"/>
        </w:rPr>
        <w:t> </w:t>
      </w:r>
    </w:p>
    <w:p>
      <w:pPr>
        <w:pStyle w:val="BodyText"/>
        <w:spacing w:before="6"/>
        <w:rPr>
          <w:b/>
          <w:sz w:val="24"/>
        </w:rPr>
      </w:pPr>
    </w:p>
    <w:p>
      <w:pPr>
        <w:pStyle w:val="Heading2"/>
        <w:tabs>
          <w:tab w:pos="1391" w:val="left" w:leader="none"/>
        </w:tabs>
        <w:ind w:left="345"/>
      </w:pPr>
      <w:bookmarkStart w:name="_TOC_250023" w:id="13"/>
      <w:bookmarkEnd w:id="13"/>
      <w:r>
        <w:rPr/>
        <w:t>第十条</w:t>
        <w:tab/>
        <w:t>保险事故通知</w:t>
      </w:r>
    </w:p>
    <w:p>
      <w:pPr>
        <w:pStyle w:val="BodyText"/>
        <w:spacing w:line="273" w:lineRule="auto" w:before="123"/>
        <w:ind w:left="124" w:right="169" w:firstLine="422"/>
        <w:jc w:val="both"/>
      </w:pPr>
      <w:r>
        <w:rPr/>
        <w:t>您、被保险人或受益人应于知道保险事故发生之日起（</w:t>
      </w:r>
      <w:r>
        <w:rPr>
          <w:spacing w:val="-4"/>
        </w:rPr>
        <w:t>含该日</w:t>
      </w:r>
      <w:r>
        <w:rPr/>
        <w:t>）</w:t>
      </w:r>
      <w:r>
        <w:rPr>
          <w:spacing w:val="-2"/>
        </w:rPr>
        <w:t>及时通知我们；否则，由于通知延误导</w:t>
      </w:r>
      <w:r>
        <w:rPr>
          <w:spacing w:val="-3"/>
        </w:rPr>
        <w:t>致必要证据丧失或事故性质、原因无法认定的，我们对无法认定的部分不承担赔偿或者给付保险金的责任； </w:t>
      </w:r>
      <w:r>
        <w:rPr>
          <w:spacing w:val="-4"/>
        </w:rPr>
        <w:t>同时，因此致使我们增加的勘查、检验等项费用从应给付的保险金中扣除，但因不可抗力导致延误的除外。 </w:t>
      </w:r>
    </w:p>
    <w:p>
      <w:pPr>
        <w:pStyle w:val="Heading2"/>
        <w:spacing w:before="175"/>
        <w:ind w:left="345"/>
      </w:pPr>
      <w:bookmarkStart w:name="_TOC_250022" w:id="14"/>
      <w:bookmarkEnd w:id="14"/>
      <w:r>
        <w:rPr/>
        <w:t>第十一条    保险金的申领</w:t>
      </w:r>
    </w:p>
    <w:p>
      <w:pPr>
        <w:pStyle w:val="BodyText"/>
        <w:spacing w:before="103"/>
        <w:ind w:left="556"/>
      </w:pPr>
      <w:r>
        <w:rPr/>
        <w:t>一、身故保险金 </w:t>
      </w:r>
    </w:p>
    <w:p>
      <w:pPr>
        <w:pStyle w:val="BodyText"/>
        <w:spacing w:line="252" w:lineRule="auto" w:before="22"/>
        <w:ind w:left="556" w:right="924"/>
      </w:pPr>
      <w:r>
        <w:rPr/>
        <w:t>若被保险人身故，索赔权利人需填写保险金给付申请书，并凭下列证明材料向我们申请理赔： 1.  本合同； </w:t>
      </w:r>
    </w:p>
    <w:p>
      <w:pPr>
        <w:pStyle w:val="BodyText"/>
        <w:spacing w:line="265" w:lineRule="exact"/>
        <w:ind w:left="556"/>
      </w:pPr>
      <w:r>
        <w:rPr/>
        <w:t>2.  索赔权利人的身份证明及索赔权利证明； </w:t>
      </w:r>
    </w:p>
    <w:p>
      <w:pPr>
        <w:pStyle w:val="BodyText"/>
        <w:spacing w:line="269" w:lineRule="exact"/>
        <w:ind w:left="556"/>
      </w:pPr>
      <w:r>
        <w:rPr/>
        <w:t>3.  医疗机构出具的被保险人死亡证明书或政府职能部门法医出具的尸体检验报告； </w:t>
      </w:r>
    </w:p>
    <w:p>
      <w:pPr>
        <w:pStyle w:val="BodyText"/>
        <w:spacing w:line="272" w:lineRule="exact"/>
        <w:ind w:left="556"/>
      </w:pPr>
      <w:r>
        <w:rPr/>
        <w:t>4.  若被保险人被宣告死亡，索赔权利人须提供由人民法院出具的宣告死亡的法律文件； </w:t>
      </w:r>
    </w:p>
    <w:p>
      <w:pPr>
        <w:pStyle w:val="BodyText"/>
        <w:rPr>
          <w:sz w:val="27"/>
        </w:rPr>
      </w:pPr>
      <w:r>
        <w:rPr/>
        <w:pict>
          <v:line style="position:absolute;mso-position-horizontal-relative:page;mso-position-vertical-relative:paragraph;z-index:1144;mso-wrap-distance-left:0;mso-wrap-distance-right:0" from="42.720001pt,19.885345pt" to="186.720001pt,19.885345pt" stroked="true" strokeweight=".48pt" strokecolor="#000000">
            <v:stroke dashstyle="solid"/>
            <w10:wrap type="topAndBottom"/>
          </v:line>
        </w:pict>
      </w:r>
    </w:p>
    <w:p>
      <w:pPr>
        <w:spacing w:line="233" w:lineRule="exact" w:before="29"/>
        <w:ind w:left="134" w:right="0" w:firstLine="0"/>
        <w:jc w:val="left"/>
        <w:rPr>
          <w:sz w:val="18"/>
        </w:rPr>
      </w:pPr>
      <w:r>
        <w:rPr>
          <w:rFonts w:ascii="Times New Roman" w:eastAsia="Times New Roman"/>
          <w:position w:val="8"/>
          <w:sz w:val="12"/>
        </w:rPr>
        <w:t>1</w:t>
      </w:r>
      <w:r>
        <w:rPr>
          <w:sz w:val="18"/>
        </w:rPr>
        <w:t>遗传性疾病：指生殖细胞或受精卵的遗传物质（染色体和基因）发生突变或畸变所引起的疾病，通常具有由亲代传至后代的垂</w:t>
      </w:r>
    </w:p>
    <w:p>
      <w:pPr>
        <w:spacing w:line="230" w:lineRule="exact" w:before="0"/>
        <w:ind w:left="134" w:right="0" w:firstLine="0"/>
        <w:jc w:val="left"/>
        <w:rPr>
          <w:sz w:val="18"/>
        </w:rPr>
      </w:pPr>
      <w:r>
        <w:rPr>
          <w:sz w:val="18"/>
        </w:rPr>
        <w:t>直传递的特征。</w:t>
      </w:r>
    </w:p>
    <w:p>
      <w:pPr>
        <w:spacing w:line="244" w:lineRule="auto" w:before="0"/>
        <w:ind w:left="134" w:right="313" w:firstLine="0"/>
        <w:jc w:val="left"/>
        <w:rPr>
          <w:sz w:val="18"/>
        </w:rPr>
      </w:pPr>
      <w:r>
        <w:rPr>
          <w:spacing w:val="2"/>
          <w:sz w:val="18"/>
        </w:rPr>
        <w:t>2</w:t>
      </w:r>
      <w:r>
        <w:rPr>
          <w:spacing w:val="-5"/>
          <w:sz w:val="18"/>
        </w:rPr>
        <w:t>先天性畸形、变形或染色体异常：指被保险人出生时就具有的畸形、变形或染色体异常。先天性畸形、变形和染色体异常依</w:t>
      </w:r>
      <w:r>
        <w:rPr>
          <w:spacing w:val="-4"/>
          <w:sz w:val="18"/>
        </w:rPr>
        <w:t>照世界卫生组织《疾病和有关健康问题的国际统计分类》</w:t>
      </w:r>
      <w:r>
        <w:rPr>
          <w:spacing w:val="-3"/>
          <w:sz w:val="18"/>
        </w:rPr>
        <w:t>（ICD-10）</w:t>
      </w:r>
      <w:r>
        <w:rPr>
          <w:sz w:val="18"/>
        </w:rPr>
        <w:t>确定。 </w:t>
      </w:r>
    </w:p>
    <w:p>
      <w:pPr>
        <w:spacing w:after="0" w:line="244" w:lineRule="auto"/>
        <w:jc w:val="left"/>
        <w:rPr>
          <w:sz w:val="18"/>
        </w:rPr>
        <w:sectPr>
          <w:pgSz w:w="11900" w:h="16840"/>
          <w:pgMar w:header="886" w:footer="952" w:top="1080" w:bottom="1140" w:left="720" w:right="900"/>
        </w:sectPr>
      </w:pPr>
    </w:p>
    <w:p>
      <w:pPr>
        <w:pStyle w:val="BodyText"/>
        <w:spacing w:before="7"/>
        <w:rPr>
          <w:sz w:val="3"/>
        </w:rPr>
      </w:pPr>
    </w:p>
    <w:p>
      <w:pPr>
        <w:pStyle w:val="BodyText"/>
        <w:spacing w:line="20" w:lineRule="exact"/>
        <w:ind w:left="99"/>
        <w:rPr>
          <w:sz w:val="2"/>
        </w:rPr>
      </w:pPr>
      <w:r>
        <w:rPr>
          <w:rFonts w:ascii="Times New Roman"/>
          <w:spacing w:val="5"/>
          <w:sz w:val="2"/>
        </w:rPr>
        <w:t> </w:t>
      </w:r>
      <w:r>
        <w:rPr>
          <w:spacing w:val="5"/>
          <w:sz w:val="2"/>
        </w:rPr>
        <w:pict>
          <v:group style="width:499.2pt;height:.5pt;mso-position-horizontal-relative:char;mso-position-vertical-relative:line" coordorigin="0,0" coordsize="9984,10">
            <v:line style="position:absolute" from="0,5" to="9984,5" stroked="true" strokeweight=".48pt" strokecolor="#000000">
              <v:stroke dashstyle="solid"/>
            </v:line>
          </v:group>
        </w:pict>
      </w:r>
      <w:r>
        <w:rPr>
          <w:spacing w:val="5"/>
          <w:sz w:val="2"/>
        </w:rPr>
      </w:r>
    </w:p>
    <w:p>
      <w:pPr>
        <w:pStyle w:val="BodyText"/>
        <w:spacing w:line="228" w:lineRule="exact"/>
        <w:ind w:left="555"/>
      </w:pPr>
      <w:r>
        <w:rPr/>
        <w:t>5.  被保险人户籍被注销的证明； </w:t>
      </w:r>
    </w:p>
    <w:p>
      <w:pPr>
        <w:pStyle w:val="BodyText"/>
        <w:spacing w:line="272" w:lineRule="exact"/>
        <w:ind w:left="555"/>
      </w:pPr>
      <w:r>
        <w:rPr/>
        <w:t>6.  索赔权利人所能提供的与确认保险事故的性质、原因有关的证明文件和资料； </w:t>
      </w:r>
    </w:p>
    <w:p>
      <w:pPr>
        <w:pStyle w:val="BodyText"/>
        <w:spacing w:line="252" w:lineRule="auto" w:before="3"/>
        <w:ind w:left="555" w:right="3300"/>
      </w:pPr>
      <w:r>
        <w:rPr/>
        <w:t>7.  我们所需且索赔权利人能够提供的与保险事故有关的其他材料。二、高度残疾保险金 </w:t>
      </w:r>
    </w:p>
    <w:p>
      <w:pPr>
        <w:pStyle w:val="BodyText"/>
        <w:spacing w:before="31"/>
        <w:ind w:left="555"/>
      </w:pPr>
      <w:r>
        <w:rPr/>
        <w:t>若被保险人发生高度残疾，被保险人需填写保险金给付申请书，并凭下列证明材料向我们申请理赔： </w:t>
      </w:r>
    </w:p>
    <w:p>
      <w:pPr>
        <w:pStyle w:val="BodyText"/>
        <w:spacing w:before="32"/>
        <w:ind w:left="555"/>
      </w:pPr>
      <w:r>
        <w:rPr/>
        <w:t>1、 本合同； </w:t>
      </w:r>
    </w:p>
    <w:p>
      <w:pPr>
        <w:pStyle w:val="BodyText"/>
        <w:spacing w:before="41"/>
        <w:ind w:left="555"/>
      </w:pPr>
      <w:r>
        <w:rPr/>
        <w:t>2、 被保险人的身份证明及索赔权利证明； </w:t>
      </w:r>
    </w:p>
    <w:p>
      <w:pPr>
        <w:pStyle w:val="BodyText"/>
        <w:spacing w:before="32"/>
        <w:ind w:left="555"/>
      </w:pPr>
      <w:r>
        <w:rPr/>
        <w:t>3、 定点医疗机构专科医生出具的诊断证明或政府职能部门法医出具的残疾鉴定书； </w:t>
      </w:r>
    </w:p>
    <w:p>
      <w:pPr>
        <w:pStyle w:val="BodyText"/>
        <w:spacing w:before="42"/>
        <w:ind w:left="555"/>
      </w:pPr>
      <w:r>
        <w:rPr/>
        <w:t>4、 被保险人所能提供的与确认保险事故的性质、原因有关的证明文件和资料； </w:t>
      </w:r>
    </w:p>
    <w:p>
      <w:pPr>
        <w:pStyle w:val="BodyText"/>
        <w:spacing w:line="259" w:lineRule="auto" w:before="32"/>
        <w:ind w:left="555" w:right="3551"/>
      </w:pPr>
      <w:r>
        <w:rPr/>
        <w:t>5</w:t>
      </w:r>
      <w:r>
        <w:rPr>
          <w:spacing w:val="-7"/>
        </w:rPr>
        <w:t>、 我们所需且被保险人能够提供的与保险事故有关的其他材料。</w:t>
      </w:r>
      <w:r>
        <w:rPr>
          <w:spacing w:val="-3"/>
        </w:rPr>
        <w:t>三、重大疾病保险金、轻症大病保险金或老年长期护理保险金 </w:t>
      </w:r>
    </w:p>
    <w:p>
      <w:pPr>
        <w:pStyle w:val="BodyText"/>
        <w:spacing w:line="276" w:lineRule="auto"/>
        <w:ind w:left="132" w:right="257" w:firstLine="422"/>
      </w:pPr>
      <w:r>
        <w:rPr/>
        <w:t>若被保险人达到长期护理状态，经初次确诊患本合同约定的重大疾病或轻症大病中的一项或多项，被保险人需填写保险金给付申请书并凭下列证明材料向我们申请理赔： </w:t>
      </w:r>
    </w:p>
    <w:p>
      <w:pPr>
        <w:pStyle w:val="BodyText"/>
        <w:spacing w:before="4"/>
        <w:ind w:left="555"/>
      </w:pPr>
      <w:r>
        <w:rPr/>
        <w:t>1. 本合同； </w:t>
      </w:r>
    </w:p>
    <w:p>
      <w:pPr>
        <w:pStyle w:val="BodyText"/>
        <w:spacing w:before="41"/>
        <w:ind w:left="555"/>
      </w:pPr>
      <w:r>
        <w:rPr/>
        <w:t>2. 被保险人的身份证明及索赔权利证明； </w:t>
      </w:r>
    </w:p>
    <w:p>
      <w:pPr>
        <w:pStyle w:val="BodyText"/>
        <w:spacing w:before="32"/>
        <w:ind w:left="555"/>
      </w:pPr>
      <w:r>
        <w:rPr/>
        <w:t>3. 定点医疗机构的专科医生出具的诊断证明以及相关资料； </w:t>
      </w:r>
    </w:p>
    <w:p>
      <w:pPr>
        <w:pStyle w:val="BodyText"/>
        <w:spacing w:before="41"/>
        <w:ind w:left="555"/>
      </w:pPr>
      <w:r>
        <w:rPr/>
        <w:t>4. 我们所需且被保险人能够提供的与保险事故有关的其他材料。 </w:t>
      </w:r>
    </w:p>
    <w:p>
      <w:pPr>
        <w:pStyle w:val="BodyText"/>
        <w:spacing w:before="12"/>
        <w:ind w:left="132" w:right="286" w:firstLine="422"/>
        <w:jc w:val="both"/>
      </w:pPr>
      <w:r>
        <w:rPr>
          <w:spacing w:val="-3"/>
        </w:rPr>
        <w:t>我们收到申请人上述保险金给付申请书及所列的证明材料后，对确属保险责任范围的，在与申请人达成</w:t>
      </w:r>
      <w:r>
        <w:rPr>
          <w:spacing w:val="-4"/>
        </w:rPr>
        <w:t>有关给付保险金数额的协议后十天内，履行给付保险金责任；对不属于保险责任范围的，向申请人发出拒绝</w:t>
      </w:r>
      <w:r>
        <w:rPr/>
        <w:t>给付保险金通知书。 </w:t>
      </w:r>
    </w:p>
    <w:p>
      <w:pPr>
        <w:pStyle w:val="BodyText"/>
        <w:ind w:left="132" w:right="287" w:firstLine="422"/>
        <w:jc w:val="both"/>
      </w:pPr>
      <w:r>
        <w:rPr>
          <w:spacing w:val="-2"/>
        </w:rPr>
        <w:t>我们自收到申请人的保险金给付申请书及本条所列的证明材料之日起六十天内，对属于保险责任而给付</w:t>
      </w:r>
      <w:r>
        <w:rPr>
          <w:spacing w:val="-5"/>
        </w:rPr>
        <w:t>保险金的数额暂时不能确定的，根据已有的证明材料，按可以确定的最低数额先予以支付，我们最终确定给</w:t>
      </w:r>
      <w:r>
        <w:rPr>
          <w:spacing w:val="-1"/>
        </w:rPr>
        <w:t>付保险金数额后，再支付相应的差额。 </w:t>
      </w:r>
    </w:p>
    <w:p>
      <w:pPr>
        <w:pStyle w:val="BodyText"/>
        <w:spacing w:line="269" w:lineRule="exact" w:before="6"/>
        <w:ind w:left="555"/>
      </w:pPr>
      <w:r>
        <w:rPr/>
        <w:t>保险金作为被保险人的遗产时，必须提供可证明其为被保险人的合法继承人的相关证明文件。 </w:t>
      </w:r>
    </w:p>
    <w:p>
      <w:pPr>
        <w:pStyle w:val="BodyText"/>
        <w:spacing w:before="2"/>
        <w:rPr>
          <w:sz w:val="14"/>
        </w:rPr>
      </w:pPr>
    </w:p>
    <w:p>
      <w:pPr>
        <w:pStyle w:val="Heading2"/>
        <w:ind w:left="344"/>
      </w:pPr>
      <w:bookmarkStart w:name="_TOC_250021" w:id="15"/>
      <w:bookmarkEnd w:id="15"/>
      <w:r>
        <w:rPr/>
        <w:t>第十二条    欠款的扣除</w:t>
      </w:r>
    </w:p>
    <w:p>
      <w:pPr>
        <w:pStyle w:val="BodyText"/>
        <w:spacing w:line="276" w:lineRule="auto" w:before="103"/>
        <w:ind w:left="132" w:right="287" w:firstLine="422"/>
      </w:pPr>
      <w:r>
        <w:rPr>
          <w:spacing w:val="-4"/>
        </w:rPr>
        <w:t>我们给付各项保险金或退还现金价值时，如果您有尚未偿还的保险单借款或尚未交纳的保险费</w:t>
      </w:r>
      <w:r>
        <w:rPr/>
        <w:t>（包括本</w:t>
      </w:r>
      <w:r>
        <w:rPr>
          <w:w w:val="100"/>
        </w:rPr>
        <w:t>合同自动垫交的保险费</w:t>
      </w:r>
      <w:r>
        <w:rPr>
          <w:spacing w:val="-106"/>
          <w:w w:val="100"/>
        </w:rPr>
        <w:t>）</w:t>
      </w:r>
      <w:r>
        <w:rPr>
          <w:spacing w:val="-2"/>
          <w:w w:val="100"/>
        </w:rPr>
        <w:t>，我们将在扣除上述欠款及利息后再行给付或退还。 </w:t>
      </w:r>
    </w:p>
    <w:p>
      <w:pPr>
        <w:pStyle w:val="BodyText"/>
        <w:spacing w:before="12"/>
        <w:rPr>
          <w:sz w:val="13"/>
        </w:rPr>
      </w:pPr>
    </w:p>
    <w:p>
      <w:pPr>
        <w:pStyle w:val="Heading2"/>
        <w:spacing w:before="1"/>
        <w:ind w:left="344"/>
      </w:pPr>
      <w:bookmarkStart w:name="_TOC_250020" w:id="16"/>
      <w:bookmarkEnd w:id="16"/>
      <w:r>
        <w:rPr/>
        <w:t>第十三条    索赔时效</w:t>
      </w:r>
    </w:p>
    <w:p>
      <w:pPr>
        <w:pStyle w:val="BodyText"/>
        <w:spacing w:line="259" w:lineRule="auto" w:before="114"/>
        <w:ind w:left="132" w:right="241" w:firstLine="422"/>
      </w:pPr>
      <w:r>
        <w:rPr/>
        <w:t>本合同的索赔权利人向我们请求给付保险金的诉讼时效期间为五年，自其知道或应当知道保险事故发生之日起计算。</w:t>
      </w:r>
    </w:p>
    <w:p>
      <w:pPr>
        <w:pStyle w:val="BodyText"/>
        <w:spacing w:before="1"/>
        <w:rPr>
          <w:sz w:val="15"/>
        </w:rPr>
      </w:pPr>
    </w:p>
    <w:p>
      <w:pPr>
        <w:pStyle w:val="Heading2"/>
        <w:spacing w:before="1"/>
        <w:ind w:left="344"/>
      </w:pPr>
      <w:bookmarkStart w:name="_TOC_250019" w:id="17"/>
      <w:bookmarkEnd w:id="17"/>
      <w:r>
        <w:rPr/>
        <w:t>第十四条    失踪处理</w:t>
      </w:r>
    </w:p>
    <w:p>
      <w:pPr>
        <w:pStyle w:val="BodyText"/>
        <w:spacing w:line="242" w:lineRule="auto" w:before="104"/>
        <w:ind w:left="132" w:right="287" w:firstLine="422"/>
      </w:pPr>
      <w:r>
        <w:rPr>
          <w:spacing w:val="-5"/>
        </w:rPr>
        <w:t>如果被保险人在本合同有效期内被人民法院宣告死亡的。我们以判决宣告日为被保险人身故日，并给付</w:t>
      </w:r>
      <w:r>
        <w:rPr/>
        <w:t>身故保险金。 </w:t>
      </w:r>
    </w:p>
    <w:p>
      <w:pPr>
        <w:pStyle w:val="BodyText"/>
        <w:spacing w:line="242" w:lineRule="auto"/>
        <w:ind w:left="132" w:right="240" w:firstLine="422"/>
      </w:pPr>
      <w:r>
        <w:rPr/>
        <w:t>如果被保险人被宣告死亡后重新出现或确知其没有死亡的，身故保险金受益人应于知道或应当知道被保险人生还后三十天内将领取的身故保险金退还给我们，我们依法同时享有追回该身故保险金的权利。 </w:t>
      </w:r>
    </w:p>
    <w:p>
      <w:pPr>
        <w:pStyle w:val="BodyText"/>
        <w:rPr>
          <w:sz w:val="14"/>
        </w:rPr>
      </w:pPr>
    </w:p>
    <w:p>
      <w:pPr>
        <w:pStyle w:val="Heading2"/>
        <w:ind w:left="344"/>
      </w:pPr>
      <w:bookmarkStart w:name="_TOC_250018" w:id="18"/>
      <w:bookmarkEnd w:id="18"/>
      <w:r>
        <w:rPr/>
        <w:t>第十五条    司法鉴定</w:t>
      </w:r>
    </w:p>
    <w:p>
      <w:pPr>
        <w:pStyle w:val="BodyText"/>
        <w:spacing w:line="235" w:lineRule="auto" w:before="119"/>
        <w:ind w:left="132" w:right="241" w:firstLine="422"/>
      </w:pPr>
      <w:r>
        <w:rPr/>
        <w:t>如果被保险人与我们就是否达到本合同约定的理赔程度或条件发生争议时，我们有权申请司法鉴定机构对被保险人进行相关鉴定，以确定其原因及程度等。 </w:t>
      </w:r>
    </w:p>
    <w:p>
      <w:pPr>
        <w:pStyle w:val="BodyText"/>
        <w:spacing w:before="2"/>
        <w:rPr>
          <w:sz w:val="18"/>
        </w:rPr>
      </w:pPr>
    </w:p>
    <w:p>
      <w:pPr>
        <w:pStyle w:val="Heading1"/>
        <w:ind w:right="178"/>
      </w:pPr>
      <w:bookmarkStart w:name="_TOC_250017" w:id="19"/>
      <w:r>
        <w:rPr/>
        <w:t>第四部分 保险费的交纳</w:t>
      </w:r>
      <w:bookmarkEnd w:id="19"/>
      <w:r>
        <w:rPr>
          <w:w w:val="98"/>
        </w:rPr>
        <w:t> </w:t>
      </w:r>
    </w:p>
    <w:p>
      <w:pPr>
        <w:pStyle w:val="BodyText"/>
        <w:spacing w:before="5"/>
        <w:rPr>
          <w:b/>
          <w:sz w:val="24"/>
        </w:rPr>
      </w:pPr>
    </w:p>
    <w:p>
      <w:pPr>
        <w:pStyle w:val="Heading2"/>
        <w:ind w:left="344"/>
      </w:pPr>
      <w:bookmarkStart w:name="_TOC_250016" w:id="20"/>
      <w:bookmarkEnd w:id="20"/>
      <w:r>
        <w:rPr/>
        <w:t>第十六条    保险费的交纳</w:t>
      </w:r>
    </w:p>
    <w:p>
      <w:pPr>
        <w:pStyle w:val="BodyText"/>
        <w:spacing w:before="132"/>
        <w:ind w:left="555"/>
      </w:pPr>
      <w:r>
        <w:rPr/>
        <w:t>本合同的交费方式由您与我们约定，并在保险合同中载明。如果您选择分期交纳保险费，在交纳首期保</w:t>
      </w:r>
    </w:p>
    <w:p>
      <w:pPr>
        <w:spacing w:after="0"/>
        <w:sectPr>
          <w:footerReference w:type="default" r:id="rId9"/>
          <w:pgSz w:w="11900" w:h="16840"/>
          <w:pgMar w:footer="952" w:header="886" w:top="1080" w:bottom="1140" w:left="1000" w:right="620"/>
          <w:pgNumType w:start="5"/>
        </w:sectPr>
      </w:pPr>
    </w:p>
    <w:p>
      <w:pPr>
        <w:pStyle w:val="BodyText"/>
        <w:spacing w:before="7"/>
        <w:rPr>
          <w:sz w:val="3"/>
        </w:rPr>
      </w:pPr>
    </w:p>
    <w:p>
      <w:pPr>
        <w:pStyle w:val="BodyText"/>
        <w:spacing w:line="20" w:lineRule="exact"/>
        <w:ind w:left="100"/>
        <w:rPr>
          <w:sz w:val="2"/>
        </w:rPr>
      </w:pPr>
      <w:r>
        <w:rPr>
          <w:rFonts w:ascii="Times New Roman"/>
          <w:spacing w:val="5"/>
          <w:sz w:val="2"/>
        </w:rPr>
        <w:t> </w:t>
      </w:r>
      <w:r>
        <w:rPr>
          <w:spacing w:val="5"/>
          <w:sz w:val="2"/>
        </w:rPr>
        <w:pict>
          <v:group style="width:499.2pt;height:.5pt;mso-position-horizontal-relative:char;mso-position-vertical-relative:line" coordorigin="0,0" coordsize="9984,10">
            <v:line style="position:absolute" from="0,5" to="9984,5" stroked="true" strokeweight=".48pt" strokecolor="#000000">
              <v:stroke dashstyle="solid"/>
            </v:line>
          </v:group>
        </w:pict>
      </w:r>
      <w:r>
        <w:rPr>
          <w:spacing w:val="5"/>
          <w:sz w:val="2"/>
        </w:rPr>
      </w:r>
    </w:p>
    <w:p>
      <w:pPr>
        <w:pStyle w:val="BodyText"/>
        <w:ind w:left="134"/>
      </w:pPr>
      <w:r>
        <w:rPr/>
        <w:t>险费以后，您应按照约定在每期保险费到期日向我们交纳续期保险费。 </w:t>
      </w:r>
    </w:p>
    <w:p>
      <w:pPr>
        <w:pStyle w:val="BodyText"/>
        <w:spacing w:before="9"/>
        <w:rPr>
          <w:sz w:val="15"/>
        </w:rPr>
      </w:pPr>
    </w:p>
    <w:p>
      <w:pPr>
        <w:pStyle w:val="Heading2"/>
        <w:ind w:left="345"/>
      </w:pPr>
      <w:bookmarkStart w:name="_TOC_250015" w:id="21"/>
      <w:bookmarkEnd w:id="21"/>
      <w:r>
        <w:rPr/>
        <w:t>第十七条   宽限期</w:t>
      </w:r>
    </w:p>
    <w:p>
      <w:pPr>
        <w:pStyle w:val="BodyText"/>
        <w:spacing w:line="273" w:lineRule="auto" w:before="123"/>
        <w:ind w:left="134" w:right="151" w:firstLine="422"/>
      </w:pPr>
      <w:r>
        <w:rPr>
          <w:spacing w:val="-10"/>
        </w:rPr>
        <w:t>自交纳首期保险费后，每个保险费到期日次日起六十天为交付保险费的宽限期。宽限期内发生保险事故， </w:t>
      </w:r>
      <w:r>
        <w:rPr>
          <w:spacing w:val="-11"/>
        </w:rPr>
        <w:t>我们仍承担保险责任，但我们给付的保险金将扣除您未交纳的保险费。如果您没有选择保险费自动垫交，且在宽限期结束时，您仍未交纳保险费，则自宽限期结束的次日起本合同效力中止。合同效力中止期间，我们</w:t>
      </w:r>
      <w:r>
        <w:rPr/>
        <w:t>不承担保险责任。 </w:t>
      </w:r>
    </w:p>
    <w:p>
      <w:pPr>
        <w:pStyle w:val="BodyText"/>
        <w:spacing w:before="2"/>
        <w:ind w:left="556"/>
      </w:pPr>
      <w:r>
        <w:rPr>
          <w:spacing w:val="-7"/>
        </w:rPr>
        <w:t>您可以在宽限期结束前到本公司办理选择保险费自动垫交手续，我们将按【保险费自动垫交】条款处理</w:t>
      </w:r>
      <w:r>
        <w:rPr>
          <w:spacing w:val="-116"/>
        </w:rPr>
        <w:t>。</w:t>
      </w:r>
      <w:r>
        <w:rPr/>
        <w:t> </w:t>
      </w:r>
    </w:p>
    <w:p>
      <w:pPr>
        <w:pStyle w:val="BodyText"/>
        <w:spacing w:before="5"/>
        <w:rPr>
          <w:sz w:val="20"/>
        </w:rPr>
      </w:pPr>
    </w:p>
    <w:p>
      <w:pPr>
        <w:pStyle w:val="Heading1"/>
        <w:ind w:left="3168"/>
        <w:jc w:val="left"/>
      </w:pPr>
      <w:bookmarkStart w:name="_TOC_250014" w:id="22"/>
      <w:r>
        <w:rPr/>
        <w:t>第五部分 您所拥有的重要权益</w:t>
      </w:r>
      <w:bookmarkEnd w:id="22"/>
      <w:r>
        <w:rPr>
          <w:w w:val="98"/>
        </w:rPr>
        <w:t> </w:t>
      </w:r>
    </w:p>
    <w:p>
      <w:pPr>
        <w:pStyle w:val="BodyText"/>
        <w:spacing w:before="9"/>
        <w:rPr>
          <w:b/>
          <w:sz w:val="23"/>
        </w:rPr>
      </w:pPr>
    </w:p>
    <w:p>
      <w:pPr>
        <w:pStyle w:val="Heading2"/>
        <w:spacing w:before="1"/>
        <w:ind w:left="345"/>
      </w:pPr>
      <w:bookmarkStart w:name="_TOC_250013" w:id="23"/>
      <w:bookmarkEnd w:id="23"/>
      <w:r>
        <w:rPr/>
        <w:t>第十八条    保险费自动垫交</w:t>
      </w:r>
    </w:p>
    <w:p>
      <w:pPr>
        <w:pStyle w:val="BodyText"/>
        <w:spacing w:line="271" w:lineRule="auto" w:before="133"/>
        <w:ind w:left="134" w:right="255" w:firstLine="422"/>
        <w:jc w:val="both"/>
      </w:pPr>
      <w:r>
        <w:rPr/>
        <w:t>如果您选择了保险费自动垫交，且在宽限期结束时您仍未交付保险费，我们将对本合同及附加合同作保险费自动垫交处理。若当时本合同现金价值净额与附加合同保险单现金价值净额之和足以垫交全部到期保险费，我们将同时自动垫交本合同及附加合同应交保险费，使本合同及附加合同继续有效。在保险费自动垫交期间，我们将按我们定期公布的保险单借款利率</w:t>
      </w:r>
      <w:r>
        <w:rPr>
          <w:position w:val="11"/>
          <w:sz w:val="10"/>
        </w:rPr>
        <w:t>1</w:t>
      </w:r>
      <w:r>
        <w:rPr/>
        <w:t>计算保险费自动垫交的利息。 </w:t>
      </w:r>
    </w:p>
    <w:p>
      <w:pPr>
        <w:pStyle w:val="BodyText"/>
        <w:spacing w:line="268" w:lineRule="auto" w:before="12"/>
        <w:ind w:left="134" w:right="255" w:firstLine="422"/>
        <w:jc w:val="both"/>
      </w:pPr>
      <w:r>
        <w:rPr/>
        <w:t>若本合同现金价值净额与附加合同保险单现金价值净额之和不足以垫交全部到期保险费，则按当时本合同现金价值净额与附加合同保险单现金价值净额之和折算可垫交天数，同样进行前述垫交处理。 </w:t>
      </w:r>
    </w:p>
    <w:p>
      <w:pPr>
        <w:pStyle w:val="BodyText"/>
        <w:spacing w:line="268" w:lineRule="auto" w:before="16"/>
        <w:ind w:left="134" w:right="169" w:firstLine="422"/>
        <w:jc w:val="both"/>
      </w:pPr>
      <w:r>
        <w:rPr/>
        <w:t>当本合同现金价值净额与附加合同保险单现金价值净额之和为零时，本合同及附加合同效力同时中止。您可以在宽限期结束前到本公司办理取消保险费自动垫交手续，则本合同自宽限期结束的次日起效力中止。 </w:t>
      </w:r>
    </w:p>
    <w:p>
      <w:pPr>
        <w:pStyle w:val="Heading2"/>
        <w:spacing w:before="179"/>
        <w:ind w:left="345"/>
      </w:pPr>
      <w:bookmarkStart w:name="_TOC_250012" w:id="24"/>
      <w:bookmarkEnd w:id="24"/>
      <w:r>
        <w:rPr/>
        <w:t>第十九条    保险单借款</w:t>
      </w:r>
    </w:p>
    <w:p>
      <w:pPr>
        <w:pStyle w:val="BodyText"/>
        <w:spacing w:line="271" w:lineRule="auto" w:before="132"/>
        <w:ind w:left="134" w:right="255" w:firstLine="422"/>
        <w:jc w:val="both"/>
      </w:pPr>
      <w:r>
        <w:rPr>
          <w:spacing w:val="-1"/>
        </w:rPr>
        <w:t>在本合同有效期内，若我们未给付首次重大疾病保险金，您可以书面形式向我们申请保险单借款，您提</w:t>
      </w:r>
      <w:r>
        <w:rPr>
          <w:spacing w:val="-3"/>
        </w:rPr>
        <w:t>供的借款材料及借款额度经我们同意后，向您发放保险单借款。累积借款金额最高不得超过本合同及附加合</w:t>
      </w:r>
      <w:r>
        <w:rPr/>
        <w:t>同（如果有附加合同）</w:t>
      </w:r>
      <w:r>
        <w:rPr>
          <w:spacing w:val="-4"/>
        </w:rPr>
        <w:t>当时现金价值净额的 </w:t>
      </w:r>
      <w:r>
        <w:rPr/>
        <w:t>80%</w:t>
      </w:r>
      <w:r>
        <w:rPr>
          <w:spacing w:val="-6"/>
        </w:rPr>
        <w:t>。每次借款期限最长为 </w:t>
      </w:r>
      <w:r>
        <w:rPr/>
        <w:t>6</w:t>
      </w:r>
      <w:r>
        <w:rPr>
          <w:spacing w:val="-7"/>
        </w:rPr>
        <w:t> 个月。在保险单借款期间，将按我</w:t>
      </w:r>
      <w:r>
        <w:rPr>
          <w:spacing w:val="-1"/>
        </w:rPr>
        <w:t>们公布的保险单借款利率计算保险单借款利息。 </w:t>
      </w:r>
    </w:p>
    <w:p>
      <w:pPr>
        <w:pStyle w:val="Heading2"/>
        <w:spacing w:before="177"/>
        <w:ind w:left="345"/>
      </w:pPr>
      <w:bookmarkStart w:name="_TOC_250011" w:id="25"/>
      <w:bookmarkEnd w:id="25"/>
      <w:r>
        <w:rPr/>
        <w:t>第二十条    合同效力的恢复</w:t>
      </w:r>
    </w:p>
    <w:p>
      <w:pPr>
        <w:pStyle w:val="BodyText"/>
        <w:spacing w:line="273" w:lineRule="auto" w:before="123"/>
        <w:ind w:left="134" w:right="255" w:firstLine="422"/>
        <w:jc w:val="both"/>
      </w:pPr>
      <w:r>
        <w:rPr/>
        <w:t>您可自本合同效力中止后两年内，填写复效申请书并按我们要求提供被保险人健康及财务方面的资料， 经我们审核同意，自您补交所欠保险费、借款及利息的次日起，本合同效力恢复。本合同效力恢复后，红利累积账户余额自本合同效力中止时重新开始计息。 </w:t>
      </w:r>
    </w:p>
    <w:p>
      <w:pPr>
        <w:pStyle w:val="BodyText"/>
        <w:spacing w:line="268" w:lineRule="auto" w:before="12"/>
        <w:ind w:left="134" w:right="255" w:firstLine="422"/>
        <w:jc w:val="both"/>
        <w:rPr>
          <w:b/>
          <w:sz w:val="20"/>
        </w:rPr>
      </w:pPr>
      <w:r>
        <w:rPr/>
        <w:t>您与我们在本合同效力中止之日起满两年，仍未达成复效协议的，本合同即自行终止，我们向您退还合同效力中止时保险单的现金价值。</w:t>
      </w:r>
      <w:r>
        <w:rPr>
          <w:b/>
          <w:color w:val="4100FF"/>
          <w:w w:val="100"/>
          <w:sz w:val="20"/>
        </w:rPr>
        <w:t> </w:t>
      </w:r>
    </w:p>
    <w:p>
      <w:pPr>
        <w:pStyle w:val="Heading2"/>
        <w:tabs>
          <w:tab w:pos="1814" w:val="left" w:leader="none"/>
        </w:tabs>
        <w:spacing w:before="179"/>
        <w:ind w:left="345"/>
      </w:pPr>
      <w:bookmarkStart w:name="_TOC_250010" w:id="26"/>
      <w:bookmarkEnd w:id="26"/>
      <w:r>
        <w:rPr/>
        <w:t>第二十一条</w:t>
        <w:tab/>
        <w:t>合同内容变更</w:t>
      </w:r>
    </w:p>
    <w:p>
      <w:pPr>
        <w:pStyle w:val="BodyText"/>
        <w:spacing w:line="235" w:lineRule="auto" w:before="119"/>
        <w:ind w:left="134" w:right="284" w:firstLine="422"/>
        <w:jc w:val="both"/>
      </w:pPr>
      <w:r>
        <w:rPr>
          <w:spacing w:val="-5"/>
        </w:rPr>
        <w:t>您在本合同有效期内，符合我们的规定，可申请变更本合同内容，我们以批注作为同意的意思表示，批</w:t>
      </w:r>
      <w:r>
        <w:rPr>
          <w:spacing w:val="-4"/>
        </w:rPr>
        <w:t>注的时间是变更内容生效的时间。您依法享有单方变更权的，以我们收到通知的时间为变更生效的时间，我们将及时作出批注。 </w:t>
      </w:r>
    </w:p>
    <w:p>
      <w:pPr>
        <w:pStyle w:val="BodyText"/>
        <w:spacing w:before="3"/>
        <w:rPr>
          <w:sz w:val="14"/>
        </w:rPr>
      </w:pPr>
    </w:p>
    <w:p>
      <w:pPr>
        <w:pStyle w:val="Heading2"/>
        <w:tabs>
          <w:tab w:pos="1814" w:val="left" w:leader="none"/>
        </w:tabs>
        <w:ind w:left="345"/>
      </w:pPr>
      <w:bookmarkStart w:name="_TOC_250009" w:id="27"/>
      <w:bookmarkEnd w:id="27"/>
      <w:r>
        <w:rPr/>
        <w:t>第二十二条</w:t>
        <w:tab/>
        <w:t>合同解除权</w:t>
      </w:r>
    </w:p>
    <w:p>
      <w:pPr>
        <w:pStyle w:val="BodyText"/>
        <w:spacing w:line="242" w:lineRule="auto" w:before="104"/>
        <w:ind w:left="134" w:right="188" w:firstLine="355"/>
        <w:jc w:val="both"/>
      </w:pPr>
      <w:r>
        <w:rPr>
          <w:spacing w:val="-4"/>
        </w:rPr>
        <w:t>在本合同有效期内，您可随时申请解除本合同。我们收到解除合同申请书时，本合同终止。为了让您能够更清楚地了解相关的保险条款和内容，以及有更多的考虑时间，自您签收本合同次日起十天内为犹豫期。</w:t>
      </w:r>
      <w:r>
        <w:rPr/>
        <w:t> </w:t>
      </w:r>
    </w:p>
    <w:p>
      <w:pPr>
        <w:pStyle w:val="BodyText"/>
        <w:spacing w:line="235" w:lineRule="auto"/>
        <w:ind w:left="134" w:right="284" w:firstLine="422"/>
        <w:jc w:val="both"/>
      </w:pPr>
      <w:r>
        <w:rPr>
          <w:spacing w:val="-7"/>
        </w:rPr>
        <w:t>一、若您在犹豫期内要求解除本合同，我们将于收到本条第三款所列的证明材料并扣除十元工本费后无</w:t>
      </w:r>
      <w:r>
        <w:rPr>
          <w:spacing w:val="-1"/>
        </w:rPr>
        <w:t>息退还已收的全部保险费，本合同自始无效。 </w:t>
      </w:r>
    </w:p>
    <w:p>
      <w:pPr>
        <w:pStyle w:val="BodyText"/>
        <w:spacing w:before="12"/>
        <w:rPr>
          <w:sz w:val="27"/>
        </w:rPr>
      </w:pPr>
      <w:r>
        <w:rPr/>
        <w:pict>
          <v:line style="position:absolute;mso-position-horizontal-relative:page;mso-position-vertical-relative:paragraph;z-index:1216;mso-wrap-distance-left:0;mso-wrap-distance-right:0" from="42.720001pt,20.504087pt" to="186.720001pt,20.504087pt" stroked="true" strokeweight=".48pt" strokecolor="#000000">
            <v:stroke dashstyle="solid"/>
            <w10:wrap type="topAndBottom"/>
          </v:line>
        </w:pict>
      </w:r>
    </w:p>
    <w:p>
      <w:pPr>
        <w:spacing w:before="29"/>
        <w:ind w:left="134" w:right="0" w:firstLine="0"/>
        <w:jc w:val="left"/>
        <w:rPr>
          <w:sz w:val="18"/>
        </w:rPr>
      </w:pPr>
      <w:r>
        <w:rPr>
          <w:rFonts w:ascii="Times New Roman" w:eastAsia="Times New Roman"/>
          <w:position w:val="8"/>
          <w:sz w:val="12"/>
        </w:rPr>
        <w:t>1</w:t>
      </w:r>
      <w:r>
        <w:rPr>
          <w:sz w:val="18"/>
        </w:rPr>
        <w:t>保险单借款利率：我们参考同期中国人民银行公布的一年期贷款基准利率制订，并定期公布。</w:t>
      </w:r>
    </w:p>
    <w:p>
      <w:pPr>
        <w:spacing w:after="0"/>
        <w:jc w:val="left"/>
        <w:rPr>
          <w:sz w:val="18"/>
        </w:rPr>
        <w:sectPr>
          <w:pgSz w:w="11900" w:h="16840"/>
          <w:pgMar w:header="886" w:footer="952" w:top="1080" w:bottom="1140" w:left="720" w:right="900"/>
        </w:sectPr>
      </w:pPr>
    </w:p>
    <w:p>
      <w:pPr>
        <w:pStyle w:val="BodyText"/>
        <w:spacing w:line="235" w:lineRule="auto" w:before="28"/>
        <w:ind w:left="132" w:right="285" w:firstLine="422"/>
      </w:pPr>
      <w:r>
        <w:rPr/>
        <w:pict>
          <v:line style="position:absolute;mso-position-horizontal-relative:page;mso-position-vertical-relative:paragraph;z-index:-29368" from="55.200001pt,2.588877pt" to="554.400001pt,2.588877pt" stroked="true" strokeweight=".48pt" strokecolor="#000000">
            <v:stroke dashstyle="solid"/>
            <w10:wrap type="none"/>
          </v:line>
        </w:pict>
      </w:r>
      <w:r>
        <w:rPr>
          <w:spacing w:val="-7"/>
        </w:rPr>
        <w:t>二、在我们未给付首次重大疾病保险金情况下，若您在犹豫期后要求解除本合同，我们将于收到本条第</w:t>
      </w:r>
      <w:r>
        <w:rPr>
          <w:spacing w:val="-2"/>
        </w:rPr>
        <w:t>三款所列证明材料后三十日内向您退还本合同终止时的现金价值净额。 </w:t>
      </w:r>
    </w:p>
    <w:p>
      <w:pPr>
        <w:pStyle w:val="BodyText"/>
        <w:spacing w:line="272" w:lineRule="exact" w:before="3"/>
        <w:ind w:left="555"/>
      </w:pPr>
      <w:r>
        <w:rPr/>
        <w:t>三、您要求解除本合同时，应提供下列证明材料： </w:t>
      </w:r>
    </w:p>
    <w:p>
      <w:pPr>
        <w:pStyle w:val="BodyText"/>
        <w:spacing w:line="272" w:lineRule="exact"/>
        <w:ind w:left="555"/>
      </w:pPr>
      <w:r>
        <w:rPr/>
        <w:t>1、本合同； </w:t>
      </w:r>
    </w:p>
    <w:p>
      <w:pPr>
        <w:pStyle w:val="BodyText"/>
        <w:spacing w:line="272" w:lineRule="exact" w:before="4"/>
        <w:ind w:left="555"/>
      </w:pPr>
      <w:r>
        <w:rPr/>
        <w:t>2、解除合同申请书； </w:t>
      </w:r>
    </w:p>
    <w:p>
      <w:pPr>
        <w:pStyle w:val="BodyText"/>
        <w:spacing w:line="235" w:lineRule="exact"/>
        <w:ind w:left="555"/>
      </w:pPr>
      <w:r>
        <w:rPr/>
        <w:t>3、您的身份证明。 </w:t>
      </w:r>
    </w:p>
    <w:p>
      <w:pPr>
        <w:pStyle w:val="BodyText"/>
        <w:spacing w:line="329" w:lineRule="exact"/>
        <w:ind w:left="555"/>
      </w:pPr>
      <w:r>
        <w:rPr>
          <w:rFonts w:ascii="Microsoft JhengHei" w:eastAsia="Microsoft JhengHei" w:hint="eastAsia"/>
          <w:b/>
        </w:rPr>
        <w:t>特别提示您，</w:t>
      </w:r>
      <w:r>
        <w:rPr/>
        <w:t>如您申请解除本合同，若有附加合同，附加合同将同时被解除。</w:t>
      </w:r>
      <w:r>
        <w:rPr>
          <w:position w:val="9"/>
        </w:rPr>
        <w:t> </w:t>
      </w:r>
    </w:p>
    <w:p>
      <w:pPr>
        <w:pStyle w:val="Heading1"/>
        <w:spacing w:before="224"/>
        <w:ind w:left="3310"/>
        <w:jc w:val="left"/>
      </w:pPr>
      <w:bookmarkStart w:name="_TOC_250008" w:id="28"/>
      <w:r>
        <w:rPr/>
        <w:t>第六部分 您必须了解的事项</w:t>
      </w:r>
      <w:bookmarkEnd w:id="28"/>
      <w:r>
        <w:rPr>
          <w:w w:val="98"/>
        </w:rPr>
        <w:t> </w:t>
      </w:r>
    </w:p>
    <w:p>
      <w:pPr>
        <w:pStyle w:val="BodyText"/>
        <w:spacing w:before="9"/>
        <w:rPr>
          <w:b/>
          <w:sz w:val="23"/>
        </w:rPr>
      </w:pPr>
    </w:p>
    <w:p>
      <w:pPr>
        <w:pStyle w:val="Heading2"/>
        <w:tabs>
          <w:tab w:pos="1812" w:val="left" w:leader="none"/>
        </w:tabs>
        <w:ind w:left="344"/>
      </w:pPr>
      <w:bookmarkStart w:name="_TOC_250007" w:id="29"/>
      <w:bookmarkEnd w:id="29"/>
      <w:r>
        <w:rPr/>
        <w:t>第二十三条</w:t>
        <w:tab/>
        <w:t>明确说明与如实告知义务</w:t>
      </w:r>
    </w:p>
    <w:p>
      <w:pPr>
        <w:spacing w:before="132"/>
        <w:ind w:left="555" w:right="0" w:firstLine="0"/>
        <w:jc w:val="left"/>
        <w:rPr>
          <w:rFonts w:ascii="黑体" w:eastAsia="黑体" w:hint="eastAsia"/>
          <w:b/>
          <w:sz w:val="21"/>
        </w:rPr>
      </w:pPr>
      <w:r>
        <w:rPr>
          <w:rFonts w:ascii="黑体" w:eastAsia="黑体" w:hint="eastAsia"/>
          <w:b/>
          <w:sz w:val="21"/>
        </w:rPr>
        <w:t>（一） 订立本合同时，我们应向您说明本合同的内容。</w:t>
      </w:r>
    </w:p>
    <w:p>
      <w:pPr>
        <w:spacing w:line="273" w:lineRule="auto" w:before="31"/>
        <w:ind w:left="132" w:right="209" w:firstLine="422"/>
        <w:jc w:val="both"/>
        <w:rPr>
          <w:rFonts w:ascii="黑体" w:eastAsia="黑体" w:hint="eastAsia"/>
          <w:b/>
          <w:sz w:val="21"/>
        </w:rPr>
      </w:pPr>
      <w:r>
        <w:rPr>
          <w:rFonts w:ascii="黑体" w:eastAsia="黑体" w:hint="eastAsia"/>
          <w:b/>
          <w:sz w:val="21"/>
        </w:rPr>
        <w:t>1</w:t>
      </w:r>
      <w:r>
        <w:rPr>
          <w:rFonts w:ascii="黑体" w:eastAsia="黑体" w:hint="eastAsia"/>
          <w:b/>
          <w:spacing w:val="-9"/>
          <w:sz w:val="21"/>
        </w:rPr>
        <w:t>、对保险条款中免除我们责任的条款，我们在订立合同时应当在投保书、保险单或者其他保险凭证上作出足以引起您注意的提示，并对该条款的内容以书面或者口头形式向您作出明确说明，未作提示或者明确说</w:t>
      </w:r>
      <w:r>
        <w:rPr>
          <w:rFonts w:ascii="黑体" w:eastAsia="黑体" w:hint="eastAsia"/>
          <w:b/>
          <w:sz w:val="21"/>
        </w:rPr>
        <w:t>明的，该条款不产生效力。</w:t>
      </w:r>
    </w:p>
    <w:p>
      <w:pPr>
        <w:spacing w:line="268" w:lineRule="auto" w:before="12"/>
        <w:ind w:left="132" w:right="209" w:firstLine="422"/>
        <w:jc w:val="left"/>
        <w:rPr>
          <w:rFonts w:ascii="黑体" w:eastAsia="黑体" w:hint="eastAsia"/>
          <w:b/>
          <w:sz w:val="21"/>
        </w:rPr>
      </w:pPr>
      <w:r>
        <w:rPr>
          <w:rFonts w:ascii="黑体" w:eastAsia="黑体" w:hint="eastAsia"/>
          <w:b/>
          <w:sz w:val="21"/>
        </w:rPr>
        <w:t>2</w:t>
      </w:r>
      <w:r>
        <w:rPr>
          <w:rFonts w:ascii="黑体" w:eastAsia="黑体" w:hint="eastAsia"/>
          <w:b/>
          <w:spacing w:val="-9"/>
          <w:sz w:val="21"/>
        </w:rPr>
        <w:t>、我们在合同订立时已经知道您未如实告知的情况的，我们不得解除合同；发生保险事故的，我们承担给付保险金的责任。</w:t>
      </w:r>
    </w:p>
    <w:p>
      <w:pPr>
        <w:spacing w:before="17"/>
        <w:ind w:left="555" w:right="0" w:firstLine="0"/>
        <w:jc w:val="left"/>
        <w:rPr>
          <w:rFonts w:ascii="黑体" w:eastAsia="黑体" w:hint="eastAsia"/>
          <w:b/>
          <w:sz w:val="21"/>
        </w:rPr>
      </w:pPr>
      <w:r>
        <w:rPr>
          <w:rFonts w:ascii="黑体" w:eastAsia="黑体" w:hint="eastAsia"/>
          <w:b/>
          <w:sz w:val="21"/>
        </w:rPr>
        <w:t>（二） 我们就您和被保险人的有关情况提出询问，您应当如实告知。</w:t>
      </w:r>
    </w:p>
    <w:p>
      <w:pPr>
        <w:spacing w:line="276" w:lineRule="auto" w:before="32"/>
        <w:ind w:left="132" w:right="209" w:firstLine="422"/>
        <w:jc w:val="left"/>
        <w:rPr>
          <w:rFonts w:ascii="黑体" w:eastAsia="黑体" w:hint="eastAsia"/>
          <w:b/>
          <w:sz w:val="21"/>
        </w:rPr>
      </w:pPr>
      <w:r>
        <w:rPr>
          <w:rFonts w:ascii="黑体" w:eastAsia="黑体" w:hint="eastAsia"/>
          <w:b/>
          <w:sz w:val="21"/>
        </w:rPr>
        <w:t>1</w:t>
      </w:r>
      <w:r>
        <w:rPr>
          <w:rFonts w:ascii="黑体" w:eastAsia="黑体" w:hint="eastAsia"/>
          <w:b/>
          <w:spacing w:val="-9"/>
          <w:sz w:val="21"/>
        </w:rPr>
        <w:t>、如果您故意或者因重大过失未履行前款规定的如实告知义务，足以影响我们决定是否同意承保或者提高保险费率的，我们有权解除本合同。</w:t>
      </w:r>
    </w:p>
    <w:p>
      <w:pPr>
        <w:spacing w:line="276" w:lineRule="auto" w:before="0"/>
        <w:ind w:left="132" w:right="103" w:firstLine="422"/>
        <w:jc w:val="left"/>
        <w:rPr>
          <w:rFonts w:ascii="黑体" w:eastAsia="黑体" w:hint="eastAsia"/>
          <w:b/>
          <w:sz w:val="21"/>
        </w:rPr>
      </w:pPr>
      <w:r>
        <w:rPr>
          <w:rFonts w:ascii="黑体" w:eastAsia="黑体" w:hint="eastAsia"/>
          <w:b/>
          <w:sz w:val="21"/>
        </w:rPr>
        <w:t>2</w:t>
      </w:r>
      <w:r>
        <w:rPr>
          <w:rFonts w:ascii="黑体" w:eastAsia="黑体" w:hint="eastAsia"/>
          <w:b/>
          <w:spacing w:val="-15"/>
          <w:sz w:val="21"/>
        </w:rPr>
        <w:t>、如果您故意不履行如实告知义务，对于本合同解除前发生的保险事故，我们不承担给付保险金的责任， 并不退还保险费。</w:t>
      </w:r>
    </w:p>
    <w:p>
      <w:pPr>
        <w:spacing w:line="276" w:lineRule="auto" w:before="0"/>
        <w:ind w:left="132" w:right="209" w:firstLine="422"/>
        <w:jc w:val="left"/>
        <w:rPr>
          <w:rFonts w:ascii="黑体" w:eastAsia="黑体" w:hint="eastAsia"/>
          <w:b/>
          <w:sz w:val="21"/>
        </w:rPr>
      </w:pPr>
      <w:r>
        <w:rPr>
          <w:rFonts w:ascii="黑体" w:eastAsia="黑体" w:hint="eastAsia"/>
          <w:b/>
          <w:sz w:val="21"/>
        </w:rPr>
        <w:t>3</w:t>
      </w:r>
      <w:r>
        <w:rPr>
          <w:rFonts w:ascii="黑体" w:eastAsia="黑体" w:hint="eastAsia"/>
          <w:b/>
          <w:spacing w:val="-10"/>
          <w:sz w:val="21"/>
        </w:rPr>
        <w:t>、如果您因重大过失未履行如实告知义务，对保险事故的发生有严重影响的，对于本合同解除前发生的保险事故，我们不承担给付保险金的责任，但应当退还保险费。</w:t>
      </w:r>
    </w:p>
    <w:p>
      <w:pPr>
        <w:pStyle w:val="Heading2"/>
        <w:tabs>
          <w:tab w:pos="1812" w:val="left" w:leader="none"/>
        </w:tabs>
        <w:spacing w:before="164"/>
        <w:ind w:left="344"/>
      </w:pPr>
      <w:bookmarkStart w:name="_TOC_250006" w:id="30"/>
      <w:bookmarkEnd w:id="30"/>
      <w:r>
        <w:rPr/>
        <w:t>第二十四条</w:t>
        <w:tab/>
        <w:t>年龄计算及错误处理</w:t>
      </w:r>
    </w:p>
    <w:p>
      <w:pPr>
        <w:pStyle w:val="BodyText"/>
        <w:spacing w:line="235" w:lineRule="auto" w:before="119"/>
        <w:ind w:left="132" w:right="287" w:firstLine="480"/>
      </w:pPr>
      <w:r>
        <w:rPr>
          <w:spacing w:val="-5"/>
        </w:rPr>
        <w:t>被保险人的投保年龄为以法定证件载明的出生日期为基础计算的周岁年龄。您在申请投保时，应将被保</w:t>
      </w:r>
      <w:r>
        <w:rPr>
          <w:spacing w:val="-1"/>
        </w:rPr>
        <w:t>险人的真实年龄在投保书上填明，若发生错误按下列规定办理： </w:t>
      </w:r>
    </w:p>
    <w:p>
      <w:pPr>
        <w:pStyle w:val="BodyText"/>
        <w:spacing w:line="235" w:lineRule="auto" w:before="8"/>
        <w:ind w:left="132" w:right="287" w:firstLine="480"/>
        <w:jc w:val="both"/>
      </w:pPr>
      <w:r>
        <w:rPr>
          <w:spacing w:val="-10"/>
        </w:rPr>
        <w:t>一、如果被保险人的真实投保年龄不符合本合同约定的投保年龄范围，我们可以解除本合同，并向您退还解除保险合同时保险单的现金价值。但自本合同生效日起超过两年的，我们将依照以下本条第二、三项办</w:t>
      </w:r>
      <w:r>
        <w:rPr/>
        <w:t>理。 </w:t>
      </w:r>
    </w:p>
    <w:p>
      <w:pPr>
        <w:pStyle w:val="BodyText"/>
        <w:spacing w:before="3"/>
        <w:ind w:left="132" w:right="287" w:firstLine="480"/>
        <w:jc w:val="both"/>
      </w:pPr>
      <w:r>
        <w:rPr>
          <w:spacing w:val="-11"/>
        </w:rPr>
        <w:t>二、您申报的被保险人年龄不真实，致使您实交保险费少于应交保险费的，我们在审核更正后，有权要</w:t>
      </w:r>
      <w:r>
        <w:rPr>
          <w:spacing w:val="-4"/>
        </w:rPr>
        <w:t>求您依照法律及公司投保规则的规定，补交保险费、参加体检及配合其他业务流程要求；若补交保险费前已</w:t>
      </w:r>
      <w:r>
        <w:rPr>
          <w:spacing w:val="-2"/>
        </w:rPr>
        <w:t>发生保险事故，我们按照实交保险费与应交保险费的比例给付保险金。 </w:t>
      </w:r>
    </w:p>
    <w:p>
      <w:pPr>
        <w:pStyle w:val="BodyText"/>
        <w:spacing w:line="235" w:lineRule="auto"/>
        <w:ind w:left="132" w:right="287" w:firstLine="480"/>
      </w:pPr>
      <w:r>
        <w:rPr>
          <w:spacing w:val="-10"/>
        </w:rPr>
        <w:t>三、您申报的被保险人年龄不真实，致使您实交保险费多于应交保险费的，我们将在审核更正后，将多收的保险费无息退还您。 </w:t>
      </w:r>
    </w:p>
    <w:p>
      <w:pPr>
        <w:pStyle w:val="BodyText"/>
        <w:spacing w:before="3"/>
        <w:rPr>
          <w:sz w:val="14"/>
        </w:rPr>
      </w:pPr>
    </w:p>
    <w:p>
      <w:pPr>
        <w:pStyle w:val="Heading2"/>
        <w:tabs>
          <w:tab w:pos="1812" w:val="left" w:leader="none"/>
        </w:tabs>
        <w:ind w:left="344"/>
      </w:pPr>
      <w:bookmarkStart w:name="_TOC_250005" w:id="31"/>
      <w:bookmarkEnd w:id="31"/>
      <w:r>
        <w:rPr/>
        <w:t>第二十五条</w:t>
        <w:tab/>
        <w:t>住所或通讯地址变更</w:t>
      </w:r>
    </w:p>
    <w:p>
      <w:pPr>
        <w:pStyle w:val="BodyText"/>
        <w:spacing w:line="242" w:lineRule="auto" w:before="103"/>
        <w:ind w:left="132" w:right="287" w:firstLine="422"/>
      </w:pPr>
      <w:r>
        <w:rPr>
          <w:spacing w:val="-5"/>
        </w:rPr>
        <w:t>您的住所或通讯地址变更时，应及时通知我们。您未作前述通知的，我们按本合同载明的最后住所或通</w:t>
      </w:r>
      <w:r>
        <w:rPr>
          <w:spacing w:val="-1"/>
        </w:rPr>
        <w:t>讯地址发送有关通知，均视为已通知到您。 </w:t>
      </w:r>
    </w:p>
    <w:p>
      <w:pPr>
        <w:pStyle w:val="Heading2"/>
        <w:tabs>
          <w:tab w:pos="1812" w:val="left" w:leader="none"/>
        </w:tabs>
        <w:spacing w:before="174"/>
        <w:ind w:left="344"/>
      </w:pPr>
      <w:bookmarkStart w:name="_TOC_250004" w:id="32"/>
      <w:bookmarkEnd w:id="32"/>
      <w:r>
        <w:rPr/>
        <w:t>第二十六条</w:t>
        <w:tab/>
        <w:t>争议处理</w:t>
      </w:r>
    </w:p>
    <w:p>
      <w:pPr>
        <w:pStyle w:val="BodyText"/>
        <w:spacing w:before="114"/>
        <w:ind w:left="555"/>
      </w:pPr>
      <w:r>
        <w:rPr/>
        <w:t>本合同履行过程中如发生争议，双方首先应协商解决。协商不成，可以依法提起诉讼或通过仲裁解决。 </w:t>
      </w:r>
    </w:p>
    <w:p>
      <w:pPr>
        <w:spacing w:after="0"/>
        <w:sectPr>
          <w:footerReference w:type="default" r:id="rId10"/>
          <w:pgSz w:w="11900" w:h="16840"/>
          <w:pgMar w:footer="996" w:header="886" w:top="1080" w:bottom="1180" w:left="1000" w:right="620"/>
          <w:pgNumType w:start="7"/>
        </w:sectPr>
      </w:pPr>
    </w:p>
    <w:p>
      <w:pPr>
        <w:pStyle w:val="BodyText"/>
        <w:spacing w:before="7"/>
        <w:rPr>
          <w:sz w:val="3"/>
        </w:rPr>
      </w:pPr>
    </w:p>
    <w:p>
      <w:pPr>
        <w:pStyle w:val="BodyText"/>
        <w:spacing w:line="20" w:lineRule="exact"/>
        <w:ind w:left="100"/>
        <w:rPr>
          <w:sz w:val="2"/>
        </w:rPr>
      </w:pPr>
      <w:r>
        <w:rPr>
          <w:rFonts w:ascii="Times New Roman"/>
          <w:spacing w:val="5"/>
          <w:sz w:val="2"/>
        </w:rPr>
        <w:t> </w:t>
      </w:r>
      <w:r>
        <w:rPr>
          <w:spacing w:val="5"/>
          <w:sz w:val="2"/>
        </w:rPr>
        <w:pict>
          <v:group style="width:499.2pt;height:.5pt;mso-position-horizontal-relative:char;mso-position-vertical-relative:line" coordorigin="0,0" coordsize="9984,10">
            <v:line style="position:absolute" from="0,5" to="9984,5" stroked="true" strokeweight=".48pt" strokecolor="#000000">
              <v:stroke dashstyle="solid"/>
            </v:line>
          </v:group>
        </w:pict>
      </w:r>
      <w:r>
        <w:rPr>
          <w:spacing w:val="5"/>
          <w:sz w:val="2"/>
        </w:rPr>
      </w:r>
    </w:p>
    <w:p>
      <w:pPr>
        <w:pStyle w:val="BodyText"/>
        <w:spacing w:before="8"/>
        <w:rPr>
          <w:sz w:val="5"/>
        </w:rPr>
      </w:pPr>
    </w:p>
    <w:p>
      <w:pPr>
        <w:pStyle w:val="Heading1"/>
        <w:spacing w:before="12"/>
        <w:ind w:right="333"/>
      </w:pPr>
      <w:bookmarkStart w:name="_TOC_250003" w:id="33"/>
      <w:bookmarkEnd w:id="33"/>
      <w:r>
        <w:rPr/>
        <w:t>第七部分 其他事项</w:t>
      </w:r>
    </w:p>
    <w:p>
      <w:pPr>
        <w:pStyle w:val="BodyText"/>
        <w:spacing w:before="9"/>
        <w:rPr>
          <w:b/>
          <w:sz w:val="23"/>
        </w:rPr>
      </w:pPr>
    </w:p>
    <w:p>
      <w:pPr>
        <w:pStyle w:val="Heading2"/>
        <w:tabs>
          <w:tab w:pos="1814" w:val="left" w:leader="none"/>
        </w:tabs>
        <w:ind w:left="345"/>
      </w:pPr>
      <w:bookmarkStart w:name="_TOC_250002" w:id="34"/>
      <w:bookmarkEnd w:id="34"/>
      <w:r>
        <w:rPr/>
        <w:t>第二十七条</w:t>
        <w:tab/>
        <w:t>就医须知</w:t>
      </w:r>
    </w:p>
    <w:p>
      <w:pPr>
        <w:pStyle w:val="BodyText"/>
        <w:spacing w:line="235" w:lineRule="auto" w:before="119"/>
        <w:ind w:left="134" w:right="284" w:firstLine="422"/>
      </w:pPr>
      <w:r>
        <w:rPr>
          <w:spacing w:val="-5"/>
        </w:rPr>
        <w:t>被保险人须在定点医疗机构接受治疗，但被保险人确需紧急抢救的不受此限制；在病情稳定后，应将被</w:t>
      </w:r>
      <w:r>
        <w:rPr>
          <w:spacing w:val="-1"/>
        </w:rPr>
        <w:t>保险人转入定点医疗机构继续治疗。 </w:t>
      </w:r>
    </w:p>
    <w:p>
      <w:pPr>
        <w:pStyle w:val="BodyText"/>
        <w:spacing w:before="3"/>
        <w:rPr>
          <w:sz w:val="18"/>
        </w:rPr>
      </w:pPr>
    </w:p>
    <w:p>
      <w:pPr>
        <w:pStyle w:val="Heading1"/>
        <w:ind w:right="184"/>
      </w:pPr>
      <w:bookmarkStart w:name="_TOC_250001" w:id="35"/>
      <w:r>
        <w:rPr/>
        <w:t>第八部分 名词释义</w:t>
      </w:r>
      <w:bookmarkEnd w:id="35"/>
      <w:r>
        <w:rPr>
          <w:w w:val="98"/>
        </w:rPr>
        <w:t> </w:t>
      </w:r>
    </w:p>
    <w:p>
      <w:pPr>
        <w:pStyle w:val="BodyText"/>
        <w:spacing w:before="6"/>
        <w:rPr>
          <w:b/>
          <w:sz w:val="24"/>
        </w:rPr>
      </w:pPr>
    </w:p>
    <w:p>
      <w:pPr>
        <w:pStyle w:val="Heading2"/>
        <w:tabs>
          <w:tab w:pos="1814" w:val="left" w:leader="none"/>
        </w:tabs>
        <w:ind w:left="345"/>
      </w:pPr>
      <w:bookmarkStart w:name="_TOC_250000" w:id="36"/>
      <w:bookmarkEnd w:id="36"/>
      <w:r>
        <w:rPr/>
        <w:t>第二十八条</w:t>
        <w:tab/>
        <w:t>名词释义</w:t>
      </w:r>
    </w:p>
    <w:p>
      <w:pPr>
        <w:tabs>
          <w:tab w:pos="2188" w:val="left" w:leader="none"/>
        </w:tabs>
        <w:spacing w:before="66"/>
        <w:ind w:left="134" w:right="0" w:firstLine="0"/>
        <w:jc w:val="left"/>
        <w:rPr>
          <w:sz w:val="21"/>
        </w:rPr>
      </w:pPr>
      <w:r>
        <w:rPr>
          <w:rFonts w:ascii="Microsoft JhengHei" w:eastAsia="Microsoft JhengHei" w:hint="eastAsia"/>
          <w:b/>
          <w:sz w:val="21"/>
        </w:rPr>
        <w:t>身体高度残疾</w:t>
      </w:r>
      <w:r>
        <w:rPr>
          <w:rFonts w:ascii="Microsoft JhengHei" w:eastAsia="Microsoft JhengHei" w:hint="eastAsia"/>
          <w:b/>
          <w:spacing w:val="7"/>
          <w:sz w:val="21"/>
        </w:rPr>
        <w:t>：</w:t>
        <w:tab/>
      </w:r>
      <w:r>
        <w:rPr>
          <w:spacing w:val="-1"/>
          <w:sz w:val="21"/>
        </w:rPr>
        <w:t>指具有下列情况之一项或多项者</w:t>
      </w:r>
      <w:r>
        <w:rPr>
          <w:sz w:val="21"/>
        </w:rPr>
        <w:t>：  </w:t>
      </w:r>
    </w:p>
    <w:p>
      <w:pPr>
        <w:pStyle w:val="BodyText"/>
        <w:spacing w:before="8"/>
        <w:ind w:left="2188"/>
      </w:pPr>
      <w:r>
        <w:rPr>
          <w:w w:val="100"/>
        </w:rPr>
        <w:t>1.双目永久完全失明的（注</w:t>
      </w:r>
      <w:r>
        <w:rPr>
          <w:spacing w:val="-57"/>
        </w:rPr>
        <w:t> </w:t>
      </w:r>
      <w:r>
        <w:rPr>
          <w:w w:val="100"/>
        </w:rPr>
        <w:t>1</w:t>
      </w:r>
      <w:r>
        <w:rPr>
          <w:spacing w:val="-106"/>
          <w:w w:val="100"/>
        </w:rPr>
        <w:t>）</w:t>
      </w:r>
      <w:r>
        <w:rPr>
          <w:w w:val="100"/>
        </w:rPr>
        <w:t>；  </w:t>
      </w:r>
    </w:p>
    <w:p>
      <w:pPr>
        <w:pStyle w:val="BodyText"/>
        <w:spacing w:before="41"/>
        <w:ind w:left="2188"/>
      </w:pPr>
      <w:r>
        <w:rPr/>
        <w:t>2.两上肢腕关节以上（远端）或两下肢踝关节以上（远端）缺失的；   </w:t>
      </w:r>
    </w:p>
    <w:p>
      <w:pPr>
        <w:pStyle w:val="BodyText"/>
        <w:spacing w:before="32"/>
        <w:ind w:left="2188"/>
      </w:pPr>
      <w:r>
        <w:rPr/>
        <w:t>3.一上肢腕关节以上（远端）及一下肢踝关节以上（远端）缺失的；   </w:t>
      </w:r>
    </w:p>
    <w:p>
      <w:pPr>
        <w:pStyle w:val="BodyText"/>
        <w:spacing w:before="42"/>
        <w:ind w:left="2188"/>
      </w:pPr>
      <w:r>
        <w:rPr/>
        <w:t>4.一目永久完全失明及一上肢腕关节以上（远端）缺失的；  </w:t>
      </w:r>
    </w:p>
    <w:p>
      <w:pPr>
        <w:pStyle w:val="BodyText"/>
        <w:spacing w:before="32"/>
        <w:ind w:left="2188"/>
      </w:pPr>
      <w:r>
        <w:rPr/>
        <w:t>5.一目永久完全失明及一下肢踝关节以上（远端）缺失的；  </w:t>
      </w:r>
    </w:p>
    <w:p>
      <w:pPr>
        <w:pStyle w:val="BodyText"/>
        <w:spacing w:before="41"/>
        <w:ind w:left="2188"/>
      </w:pPr>
      <w:r>
        <w:rPr>
          <w:w w:val="100"/>
        </w:rPr>
        <w:t>6.</w:t>
      </w:r>
      <w:r>
        <w:rPr>
          <w:spacing w:val="-1"/>
          <w:w w:val="100"/>
        </w:rPr>
        <w:t>四肢关节机能永久完全丧失的</w:t>
      </w:r>
      <w:r>
        <w:rPr>
          <w:w w:val="100"/>
        </w:rPr>
        <w:t>（注</w:t>
      </w:r>
      <w:r>
        <w:rPr>
          <w:spacing w:val="-57"/>
        </w:rPr>
        <w:t> </w:t>
      </w:r>
      <w:r>
        <w:rPr>
          <w:w w:val="100"/>
        </w:rPr>
        <w:t>2、5</w:t>
      </w:r>
      <w:r>
        <w:rPr>
          <w:spacing w:val="-106"/>
          <w:w w:val="100"/>
        </w:rPr>
        <w:t>）</w:t>
      </w:r>
      <w:r>
        <w:rPr>
          <w:w w:val="100"/>
        </w:rPr>
        <w:t>；  </w:t>
      </w:r>
    </w:p>
    <w:p>
      <w:pPr>
        <w:pStyle w:val="BodyText"/>
        <w:spacing w:before="31"/>
        <w:ind w:left="2188"/>
      </w:pPr>
      <w:r>
        <w:rPr>
          <w:w w:val="100"/>
        </w:rPr>
        <w:t>7.</w:t>
      </w:r>
      <w:r>
        <w:rPr>
          <w:spacing w:val="-1"/>
          <w:w w:val="100"/>
        </w:rPr>
        <w:t>咀嚼、吞咽机能永久完全丧失的</w:t>
      </w:r>
      <w:r>
        <w:rPr>
          <w:w w:val="100"/>
        </w:rPr>
        <w:t>（注</w:t>
      </w:r>
      <w:r>
        <w:rPr>
          <w:spacing w:val="-57"/>
        </w:rPr>
        <w:t> </w:t>
      </w:r>
      <w:r>
        <w:rPr>
          <w:w w:val="100"/>
        </w:rPr>
        <w:t>3、5</w:t>
      </w:r>
      <w:r>
        <w:rPr>
          <w:spacing w:val="-106"/>
          <w:w w:val="100"/>
        </w:rPr>
        <w:t>）</w:t>
      </w:r>
      <w:r>
        <w:rPr>
          <w:w w:val="100"/>
        </w:rPr>
        <w:t>；  </w:t>
      </w:r>
    </w:p>
    <w:p>
      <w:pPr>
        <w:pStyle w:val="BodyText"/>
        <w:spacing w:before="41"/>
        <w:ind w:left="2207"/>
      </w:pPr>
      <w:r>
        <w:rPr/>
        <w:t>8.中枢神经系统机能或胸、腹部脏器机能极度障碍，永久完全丧失基本日常生活能力</w:t>
      </w:r>
    </w:p>
    <w:p>
      <w:pPr>
        <w:pStyle w:val="BodyText"/>
        <w:spacing w:before="32"/>
        <w:ind w:left="2207"/>
      </w:pPr>
      <w:r>
        <w:rPr>
          <w:w w:val="100"/>
        </w:rPr>
        <w:t>（注</w:t>
      </w:r>
      <w:r>
        <w:rPr>
          <w:spacing w:val="-57"/>
        </w:rPr>
        <w:t> </w:t>
      </w:r>
      <w:r>
        <w:rPr>
          <w:w w:val="100"/>
        </w:rPr>
        <w:t>4、5</w:t>
      </w:r>
      <w:r>
        <w:rPr>
          <w:spacing w:val="-106"/>
          <w:w w:val="100"/>
        </w:rPr>
        <w:t>）</w:t>
      </w:r>
      <w:r>
        <w:rPr>
          <w:w w:val="100"/>
        </w:rPr>
        <w:t>。  </w:t>
      </w:r>
    </w:p>
    <w:p>
      <w:pPr>
        <w:pStyle w:val="BodyText"/>
        <w:spacing w:line="273" w:lineRule="auto" w:before="42"/>
        <w:ind w:left="2207" w:right="226"/>
        <w:jc w:val="both"/>
      </w:pPr>
      <w:r>
        <w:rPr>
          <w:spacing w:val="25"/>
        </w:rPr>
        <w:t>注 </w:t>
      </w:r>
      <w:r>
        <w:rPr/>
        <w:t>1：</w:t>
      </w:r>
      <w:r>
        <w:rPr>
          <w:spacing w:val="-1"/>
        </w:rPr>
        <w:t>失明包括眼球缺失或摘除，或不能辨别明暗，或仅能辨别眼前手动者，最佳矫正视力低于国际标准视力表 </w:t>
      </w:r>
      <w:r>
        <w:rPr>
          <w:spacing w:val="-4"/>
        </w:rPr>
        <w:t>0.02</w:t>
      </w:r>
      <w:r>
        <w:rPr>
          <w:spacing w:val="-8"/>
        </w:rPr>
        <w:t>，或视野半径小于 </w:t>
      </w:r>
      <w:r>
        <w:rPr/>
        <w:t>5</w:t>
      </w:r>
      <w:r>
        <w:rPr>
          <w:spacing w:val="-9"/>
        </w:rPr>
        <w:t> 度，并由专科医生出具医疗诊断</w:t>
      </w:r>
      <w:r>
        <w:rPr>
          <w:spacing w:val="-1"/>
        </w:rPr>
        <w:t>证明。但由白内障引起的失明除外。  </w:t>
      </w:r>
    </w:p>
    <w:p>
      <w:pPr>
        <w:pStyle w:val="BodyText"/>
        <w:spacing w:line="273" w:lineRule="auto" w:before="3"/>
        <w:ind w:left="2207" w:right="171"/>
      </w:pPr>
      <w:r>
        <w:rPr/>
        <w:t>注     2：关节机能的丧失是指关节永久完全僵硬、麻痹或关节不能随意识活动。注 3：咀嚼、吞咽机能的丧失是指由于牙齿以外的原因引起的器质或功能障碍，以致不能作咀嚼、吞咽运动，除流质食物外不能摄取或吞咽的状态。  </w:t>
      </w:r>
    </w:p>
    <w:p>
      <w:pPr>
        <w:pStyle w:val="BodyText"/>
        <w:spacing w:line="268" w:lineRule="auto" w:before="12"/>
        <w:ind w:left="2207" w:right="111"/>
      </w:pPr>
      <w:r>
        <w:rPr>
          <w:spacing w:val="11"/>
        </w:rPr>
        <w:t>注 </w:t>
      </w:r>
      <w:r>
        <w:rPr>
          <w:spacing w:val="-5"/>
        </w:rPr>
        <w:t>4</w:t>
      </w:r>
      <w:r>
        <w:rPr>
          <w:spacing w:val="-7"/>
        </w:rPr>
        <w:t>：基本日常生活能力的丧失是指食物摄取、大小便始末、穿脱衣服、起居、步行、</w:t>
      </w:r>
      <w:r>
        <w:rPr>
          <w:spacing w:val="-8"/>
        </w:rPr>
        <w:t>入浴等，皆不能自己为之，需要他人帮助。  </w:t>
      </w:r>
    </w:p>
    <w:p>
      <w:pPr>
        <w:pStyle w:val="BodyText"/>
        <w:spacing w:line="268" w:lineRule="auto" w:before="16"/>
        <w:ind w:left="2207" w:right="226"/>
      </w:pPr>
      <w:r>
        <w:rPr/>
        <w:t>注 5：永久完全丧失是指自以上情况发生之日起经过一百八十天的治疗后，机能仍然完全丧失，但眼球摘除等明显无法恢复之情况，不在此限。 </w:t>
      </w:r>
    </w:p>
    <w:p>
      <w:pPr>
        <w:pStyle w:val="BodyText"/>
        <w:tabs>
          <w:tab w:pos="2188" w:val="left" w:leader="none"/>
        </w:tabs>
        <w:spacing w:line="308" w:lineRule="exact" w:before="15"/>
        <w:ind w:left="2188" w:right="226" w:hanging="2055"/>
      </w:pPr>
      <w:r>
        <w:rPr>
          <w:rFonts w:ascii="Microsoft JhengHei" w:eastAsia="Microsoft JhengHei" w:hint="eastAsia"/>
          <w:b/>
        </w:rPr>
        <w:t>长期护理状态：</w:t>
        <w:tab/>
      </w:r>
      <w:r>
        <w:rPr/>
        <w:t>指被保险人被认定自主生活能力永久完全丧失</w:t>
      </w:r>
      <w:r>
        <w:rPr>
          <w:spacing w:val="7"/>
        </w:rPr>
        <w:t>，</w:t>
      </w:r>
      <w:r>
        <w:rPr/>
        <w:t>即经过一百八十天的治疗</w:t>
      </w:r>
      <w:r>
        <w:rPr>
          <w:spacing w:val="10"/>
        </w:rPr>
        <w:t>后</w:t>
      </w:r>
      <w:r>
        <w:rPr/>
        <w:t>仍无法独 </w:t>
      </w:r>
      <w:r>
        <w:rPr>
          <w:spacing w:val="-1"/>
        </w:rPr>
        <w:t>立完成六项基本日常生活中的三项或三项以上</w:t>
      </w:r>
      <w:r>
        <w:rPr/>
        <w:t>。 </w:t>
      </w:r>
    </w:p>
    <w:p>
      <w:pPr>
        <w:spacing w:line="309" w:lineRule="exact" w:before="0"/>
        <w:ind w:left="134" w:right="0" w:firstLine="0"/>
        <w:jc w:val="left"/>
        <w:rPr>
          <w:sz w:val="21"/>
        </w:rPr>
      </w:pPr>
      <w:r>
        <w:rPr>
          <w:rFonts w:ascii="Microsoft JhengHei" w:eastAsia="Microsoft JhengHei" w:hint="eastAsia"/>
          <w:b/>
          <w:sz w:val="21"/>
        </w:rPr>
        <w:t>六项基本日常生活：   </w:t>
      </w:r>
      <w:r>
        <w:rPr>
          <w:sz w:val="21"/>
        </w:rPr>
        <w:t>（1）穿衣：自己能够穿衣及脱衣 </w:t>
      </w:r>
    </w:p>
    <w:p>
      <w:pPr>
        <w:pStyle w:val="BodyText"/>
        <w:spacing w:before="9"/>
        <w:ind w:left="2188"/>
      </w:pPr>
      <w:r>
        <w:rPr/>
        <w:t>（2）移动：自己从一个房间到另一个房间 </w:t>
      </w:r>
    </w:p>
    <w:p>
      <w:pPr>
        <w:pStyle w:val="BodyText"/>
        <w:spacing w:before="42"/>
        <w:ind w:left="2188"/>
      </w:pPr>
      <w:r>
        <w:rPr/>
        <w:t>（3）行动：自己上下床或上下轮椅 </w:t>
      </w:r>
    </w:p>
    <w:p>
      <w:pPr>
        <w:pStyle w:val="BodyText"/>
        <w:spacing w:before="32"/>
        <w:ind w:left="2188"/>
      </w:pPr>
      <w:r>
        <w:rPr/>
        <w:t>（4）如厕：自己控制进行大小便 </w:t>
      </w:r>
    </w:p>
    <w:p>
      <w:pPr>
        <w:pStyle w:val="BodyText"/>
        <w:spacing w:before="41"/>
        <w:ind w:left="2188"/>
      </w:pPr>
      <w:r>
        <w:rPr/>
        <w:t>（5）进食：自己从已准备好的碗或碟中取食物放入口中 </w:t>
      </w:r>
    </w:p>
    <w:p>
      <w:pPr>
        <w:pStyle w:val="BodyText"/>
        <w:spacing w:line="262" w:lineRule="exact" w:before="31"/>
        <w:ind w:left="2188"/>
      </w:pPr>
      <w:r>
        <w:rPr/>
        <w:t>（6）洗澡：自己进行淋浴或盆浴 </w:t>
      </w:r>
    </w:p>
    <w:p>
      <w:pPr>
        <w:pStyle w:val="BodyText"/>
        <w:tabs>
          <w:tab w:pos="2188" w:val="left" w:leader="none"/>
        </w:tabs>
        <w:spacing w:line="244" w:lineRule="auto"/>
        <w:ind w:left="2188" w:right="103" w:hanging="2055"/>
      </w:pPr>
      <w:r>
        <w:rPr>
          <w:rFonts w:ascii="Microsoft JhengHei" w:eastAsia="Microsoft JhengHei" w:hint="eastAsia"/>
          <w:b/>
        </w:rPr>
        <w:t>定点医疗机构：</w:t>
        <w:tab/>
      </w:r>
      <w:r>
        <w:rPr>
          <w:spacing w:val="-2"/>
        </w:rPr>
        <w:t>我们为被保险人提供多家不同</w:t>
      </w:r>
      <w:r>
        <w:rPr>
          <w:spacing w:val="-1"/>
        </w:rPr>
        <w:t>层次的专业医疗机构名单</w:t>
      </w:r>
      <w:r>
        <w:rPr>
          <w:spacing w:val="-10"/>
        </w:rPr>
        <w:t>，</w:t>
      </w:r>
      <w:r>
        <w:rPr>
          <w:spacing w:val="-1"/>
        </w:rPr>
        <w:t>供被保险人在此范围内选择， 定点医疗机构名单请见合同附件</w:t>
      </w:r>
      <w:r>
        <w:rPr/>
        <w:t>。 </w:t>
      </w:r>
    </w:p>
    <w:p>
      <w:pPr>
        <w:pStyle w:val="BodyText"/>
        <w:tabs>
          <w:tab w:pos="2188" w:val="left" w:leader="none"/>
        </w:tabs>
        <w:spacing w:line="308" w:lineRule="exact" w:before="50"/>
        <w:ind w:left="2188" w:right="226" w:hanging="2055"/>
      </w:pPr>
      <w:r>
        <w:rPr>
          <w:rFonts w:ascii="Microsoft JhengHei" w:eastAsia="Microsoft JhengHei" w:hint="eastAsia"/>
          <w:b/>
          <w:w w:val="100"/>
        </w:rPr>
        <w:t>专科医生：</w:t>
      </w:r>
      <w:r>
        <w:rPr>
          <w:rFonts w:ascii="Microsoft JhengHei" w:eastAsia="Microsoft JhengHei" w:hint="eastAsia"/>
          <w:b/>
        </w:rPr>
        <w:tab/>
      </w:r>
      <w:r>
        <w:rPr>
          <w:spacing w:val="0"/>
          <w:w w:val="100"/>
        </w:rPr>
        <w:t>专科医生应当同时满足以下四项资格条件</w:t>
      </w:r>
      <w:r>
        <w:rPr>
          <w:spacing w:val="-106"/>
          <w:w w:val="100"/>
        </w:rPr>
        <w:t>：</w:t>
      </w:r>
      <w:r>
        <w:rPr>
          <w:w w:val="100"/>
        </w:rPr>
        <w:t>（</w:t>
      </w:r>
      <w:r>
        <w:rPr>
          <w:spacing w:val="8"/>
          <w:w w:val="100"/>
        </w:rPr>
        <w:t>1</w:t>
      </w:r>
      <w:r>
        <w:rPr>
          <w:w w:val="100"/>
        </w:rPr>
        <w:t>）具有有效的中华人民共和</w:t>
      </w:r>
      <w:r>
        <w:rPr>
          <w:spacing w:val="10"/>
          <w:w w:val="100"/>
        </w:rPr>
        <w:t>国</w:t>
      </w:r>
      <w:r>
        <w:rPr>
          <w:w w:val="100"/>
        </w:rPr>
        <w:t>《医师资格证书</w:t>
      </w:r>
      <w:r>
        <w:rPr>
          <w:spacing w:val="-106"/>
          <w:w w:val="100"/>
        </w:rPr>
        <w:t>》；</w:t>
      </w:r>
      <w:r>
        <w:rPr>
          <w:w w:val="100"/>
        </w:rPr>
        <w:t>（2</w:t>
      </w:r>
      <w:r>
        <w:rPr>
          <w:spacing w:val="8"/>
          <w:w w:val="100"/>
        </w:rPr>
        <w:t>）</w:t>
      </w:r>
      <w:r>
        <w:rPr>
          <w:w w:val="100"/>
        </w:rPr>
        <w:t>具有有效的中华人民共和国《</w:t>
      </w:r>
      <w:r>
        <w:rPr>
          <w:spacing w:val="0"/>
          <w:w w:val="100"/>
        </w:rPr>
        <w:t>医师执业证书</w:t>
      </w:r>
      <w:r>
        <w:rPr>
          <w:spacing w:val="-96"/>
          <w:w w:val="100"/>
        </w:rPr>
        <w:t>》</w:t>
      </w:r>
      <w:r>
        <w:rPr>
          <w:w w:val="100"/>
        </w:rPr>
        <w:t>，并按期到相关部门登记</w:t>
      </w:r>
    </w:p>
    <w:p>
      <w:pPr>
        <w:pStyle w:val="BodyText"/>
        <w:spacing w:line="268" w:lineRule="auto" w:before="10"/>
        <w:ind w:left="2188" w:right="226"/>
      </w:pPr>
      <w:r>
        <w:rPr>
          <w:spacing w:val="-36"/>
          <w:w w:val="100"/>
        </w:rPr>
        <w:t>注册；</w:t>
      </w:r>
      <w:r>
        <w:rPr>
          <w:w w:val="100"/>
        </w:rPr>
        <w:t>（3）具有有效的中华人民共和国主治医师或主治医师以上职称的《医师职称证</w:t>
      </w:r>
      <w:r>
        <w:rPr>
          <w:spacing w:val="-71"/>
          <w:w w:val="100"/>
        </w:rPr>
        <w:t>书》；</w:t>
      </w:r>
      <w:r>
        <w:rPr>
          <w:w w:val="100"/>
        </w:rPr>
        <w:t>（4）</w:t>
      </w:r>
      <w:r>
        <w:rPr>
          <w:spacing w:val="-2"/>
          <w:w w:val="100"/>
        </w:rPr>
        <w:t>在二级或二级以上医院的相应科室从事临床工作三年以上。 </w:t>
      </w:r>
    </w:p>
    <w:p>
      <w:pPr>
        <w:pStyle w:val="BodyText"/>
        <w:tabs>
          <w:tab w:pos="2188" w:val="left" w:leader="none"/>
        </w:tabs>
        <w:spacing w:line="308" w:lineRule="exact" w:before="15"/>
        <w:ind w:left="2188" w:right="226" w:hanging="2055"/>
      </w:pPr>
      <w:r>
        <w:rPr>
          <w:rFonts w:ascii="Microsoft JhengHei" w:eastAsia="Microsoft JhengHei" w:hint="eastAsia"/>
          <w:b/>
        </w:rPr>
        <w:t>确诊：</w:t>
        <w:tab/>
      </w:r>
      <w:r>
        <w:rPr/>
        <w:t>是指专科医生针对患者临床症状</w:t>
      </w:r>
      <w:r>
        <w:rPr>
          <w:spacing w:val="7"/>
        </w:rPr>
        <w:t>，</w:t>
      </w:r>
      <w:r>
        <w:rPr/>
        <w:t>通过相应特异性化验、检</w:t>
      </w:r>
      <w:r>
        <w:rPr>
          <w:spacing w:val="7"/>
        </w:rPr>
        <w:t>验</w:t>
      </w:r>
      <w:r>
        <w:rPr/>
        <w:t>、查体和影像检查等医 </w:t>
      </w:r>
      <w:r>
        <w:rPr>
          <w:spacing w:val="-2"/>
        </w:rPr>
        <w:t>学手段，对患</w:t>
      </w:r>
      <w:r>
        <w:rPr>
          <w:spacing w:val="-1"/>
        </w:rPr>
        <w:t>者是否确实符合某项疾病指征所作出的病情诊断。 </w:t>
      </w:r>
    </w:p>
    <w:p>
      <w:pPr>
        <w:spacing w:after="0" w:line="308" w:lineRule="exact"/>
        <w:sectPr>
          <w:pgSz w:w="11900" w:h="16840"/>
          <w:pgMar w:header="886" w:footer="996" w:top="1080" w:bottom="1180" w:left="720" w:right="900"/>
        </w:sectPr>
      </w:pPr>
    </w:p>
    <w:p>
      <w:pPr>
        <w:pStyle w:val="BodyText"/>
        <w:spacing w:before="7"/>
        <w:rPr>
          <w:sz w:val="3"/>
        </w:rPr>
      </w:pPr>
    </w:p>
    <w:p>
      <w:pPr>
        <w:pStyle w:val="BodyText"/>
        <w:spacing w:line="20" w:lineRule="exact"/>
        <w:ind w:left="99"/>
        <w:rPr>
          <w:sz w:val="2"/>
        </w:rPr>
      </w:pPr>
      <w:r>
        <w:rPr>
          <w:rFonts w:ascii="Times New Roman"/>
          <w:spacing w:val="5"/>
          <w:sz w:val="2"/>
        </w:rPr>
        <w:t> </w:t>
      </w:r>
      <w:r>
        <w:rPr>
          <w:spacing w:val="5"/>
          <w:sz w:val="2"/>
        </w:rPr>
        <w:pict>
          <v:group style="width:499.2pt;height:.5pt;mso-position-horizontal-relative:char;mso-position-vertical-relative:line" coordorigin="0,0" coordsize="9984,10">
            <v:line style="position:absolute" from="0,5" to="9984,5" stroked="true" strokeweight=".48pt" strokecolor="#000000">
              <v:stroke dashstyle="solid"/>
            </v:line>
          </v:group>
        </w:pict>
      </w:r>
      <w:r>
        <w:rPr>
          <w:spacing w:val="5"/>
          <w:sz w:val="2"/>
        </w:rPr>
      </w:r>
    </w:p>
    <w:p>
      <w:pPr>
        <w:pStyle w:val="BodyText"/>
        <w:tabs>
          <w:tab w:pos="2187" w:val="left" w:leader="none"/>
        </w:tabs>
        <w:spacing w:line="300" w:lineRule="exact"/>
        <w:ind w:left="2187" w:right="228" w:hanging="2055"/>
        <w:jc w:val="both"/>
      </w:pPr>
      <w:r>
        <w:rPr>
          <w:rFonts w:ascii="Microsoft JhengHei" w:eastAsia="Microsoft JhengHei" w:hint="eastAsia"/>
          <w:b/>
        </w:rPr>
        <w:t>现金价值：</w:t>
        <w:tab/>
      </w:r>
      <w:r>
        <w:rPr/>
        <w:t>指保险单所具有的价</w:t>
      </w:r>
      <w:r>
        <w:rPr>
          <w:spacing w:val="-8"/>
        </w:rPr>
        <w:t>值</w:t>
      </w:r>
      <w:r>
        <w:rPr/>
        <w:t>，通常体现为解除合同</w:t>
      </w:r>
      <w:r>
        <w:rPr>
          <w:spacing w:val="10"/>
        </w:rPr>
        <w:t>时</w:t>
      </w:r>
      <w:r>
        <w:rPr/>
        <w:t>，根据精算原理计算的，由我们退还 的那部分金额。 </w:t>
      </w:r>
    </w:p>
    <w:p>
      <w:pPr>
        <w:pStyle w:val="BodyText"/>
        <w:tabs>
          <w:tab w:pos="2187" w:val="left" w:leader="none"/>
        </w:tabs>
        <w:spacing w:line="277" w:lineRule="exact"/>
        <w:ind w:left="132"/>
      </w:pPr>
      <w:r>
        <w:rPr>
          <w:rFonts w:ascii="Microsoft JhengHei" w:eastAsia="Microsoft JhengHei" w:hint="eastAsia"/>
          <w:b/>
          <w:position w:val="2"/>
        </w:rPr>
        <w:t>现金价值净</w:t>
      </w:r>
      <w:r>
        <w:rPr>
          <w:rFonts w:ascii="Microsoft JhengHei" w:eastAsia="Microsoft JhengHei" w:hint="eastAsia"/>
          <w:b/>
          <w:spacing w:val="7"/>
          <w:position w:val="2"/>
        </w:rPr>
        <w:t>额</w:t>
      </w:r>
      <w:r>
        <w:rPr>
          <w:rFonts w:ascii="Microsoft JhengHei" w:eastAsia="Microsoft JhengHei" w:hint="eastAsia"/>
          <w:b/>
          <w:spacing w:val="7"/>
          <w:position w:val="-7"/>
        </w:rPr>
        <w:tab/>
      </w:r>
      <w:r>
        <w:rPr>
          <w:spacing w:val="-2"/>
        </w:rPr>
        <w:t>现金价值扣除保险单借款和垫交保险费及</w:t>
      </w:r>
      <w:r>
        <w:rPr>
          <w:spacing w:val="-1"/>
        </w:rPr>
        <w:t>上述款项应付利息后的余</w:t>
      </w:r>
      <w:r>
        <w:rPr>
          <w:spacing w:val="-2"/>
        </w:rPr>
        <w:t>额</w:t>
      </w:r>
      <w:r>
        <w:rPr>
          <w:spacing w:val="-1"/>
        </w:rPr>
        <w:t>。 </w:t>
      </w:r>
    </w:p>
    <w:p>
      <w:pPr>
        <w:pStyle w:val="BodyText"/>
        <w:tabs>
          <w:tab w:pos="2187" w:val="left" w:leader="none"/>
        </w:tabs>
        <w:spacing w:line="259" w:lineRule="auto" w:before="29"/>
        <w:ind w:left="2187" w:right="228" w:hanging="2055"/>
        <w:jc w:val="both"/>
      </w:pPr>
      <w:r>
        <w:rPr>
          <w:rFonts w:ascii="Microsoft JhengHei" w:eastAsia="Microsoft JhengHei" w:hint="eastAsia"/>
          <w:b/>
        </w:rPr>
        <w:t>毒品：</w:t>
        <w:tab/>
      </w:r>
      <w:r>
        <w:rPr/>
        <w:t>指中华人民共和国刑法规定的鸦</w:t>
      </w:r>
      <w:r>
        <w:rPr>
          <w:spacing w:val="10"/>
        </w:rPr>
        <w:t>片</w:t>
      </w:r>
      <w:r>
        <w:rPr/>
        <w:t>、海洛因、甲基苯丙胺（</w:t>
      </w:r>
      <w:r>
        <w:rPr>
          <w:spacing w:val="7"/>
        </w:rPr>
        <w:t>冰</w:t>
      </w:r>
      <w:r>
        <w:rPr/>
        <w:t>毒）、吗啡</w:t>
      </w:r>
      <w:r>
        <w:rPr>
          <w:spacing w:val="7"/>
        </w:rPr>
        <w:t>、</w:t>
      </w:r>
      <w:r>
        <w:rPr/>
        <w:t>大麻、可 卡因以及国家规定管制的其他能够使人形成瘾癖的麻醉药品和精神药品，但不包括由</w:t>
      </w:r>
      <w:r>
        <w:rPr>
          <w:spacing w:val="-1"/>
        </w:rPr>
        <w:t>医生开具并遵医嘱使用的用于治疗疾病但含有毒品成分的处方药</w:t>
      </w:r>
      <w:r>
        <w:rPr>
          <w:spacing w:val="-11"/>
        </w:rPr>
        <w:t>品</w:t>
      </w:r>
      <w:r>
        <w:rPr/>
        <w:t>。 </w:t>
      </w:r>
    </w:p>
    <w:p>
      <w:pPr>
        <w:pStyle w:val="BodyText"/>
        <w:tabs>
          <w:tab w:pos="2187" w:val="left" w:leader="none"/>
        </w:tabs>
        <w:spacing w:line="314" w:lineRule="exact"/>
        <w:ind w:left="2187" w:hanging="2055"/>
      </w:pPr>
      <w:r>
        <w:rPr>
          <w:rFonts w:ascii="Microsoft JhengHei" w:eastAsia="Microsoft JhengHei" w:hint="eastAsia"/>
          <w:b/>
        </w:rPr>
        <w:t>酒后驾驶：</w:t>
        <w:tab/>
      </w:r>
      <w:r>
        <w:rPr/>
        <w:t>指经检测或鉴定，发生事故时车辆驾驶人员每百毫升血液中的</w:t>
      </w:r>
      <w:r>
        <w:rPr>
          <w:spacing w:val="-8"/>
        </w:rPr>
        <w:t>酒</w:t>
      </w:r>
      <w:r>
        <w:rPr/>
        <w:t>精含量达到或超过一</w:t>
      </w:r>
    </w:p>
    <w:p>
      <w:pPr>
        <w:pStyle w:val="BodyText"/>
        <w:spacing w:line="268" w:lineRule="auto" w:before="18"/>
        <w:ind w:left="2187" w:right="228"/>
      </w:pPr>
      <w:r>
        <w:rPr/>
        <w:t>定的标准，公安机关交通管理部门依据《道路交通安全法》的规定认定为饮酒后驾驶或醉酒后驾驶。 </w:t>
      </w:r>
    </w:p>
    <w:p>
      <w:pPr>
        <w:spacing w:after="0" w:line="268" w:lineRule="auto"/>
        <w:sectPr>
          <w:footerReference w:type="default" r:id="rId11"/>
          <w:pgSz w:w="11900" w:h="16840"/>
          <w:pgMar w:footer="1009" w:header="886" w:top="1080" w:bottom="1200" w:left="1000" w:right="620"/>
          <w:pgNumType w:start="9"/>
        </w:sectPr>
      </w:pPr>
    </w:p>
    <w:p>
      <w:pPr>
        <w:pStyle w:val="Heading2"/>
        <w:spacing w:line="201" w:lineRule="auto" w:before="8"/>
        <w:ind w:left="132"/>
      </w:pPr>
      <w:r>
        <w:rPr/>
        <w:t>无合法有效驾驶证驾驶：</w:t>
      </w:r>
    </w:p>
    <w:p>
      <w:pPr>
        <w:pStyle w:val="BodyText"/>
        <w:spacing w:before="17"/>
        <w:ind w:left="132"/>
      </w:pPr>
      <w:r>
        <w:rPr/>
        <w:br w:type="column"/>
      </w:r>
      <w:r>
        <w:rPr/>
        <w:t>指下列情形之一： </w:t>
      </w:r>
    </w:p>
    <w:p>
      <w:pPr>
        <w:pStyle w:val="BodyText"/>
        <w:tabs>
          <w:tab w:pos="977" w:val="left" w:leader="none"/>
        </w:tabs>
        <w:spacing w:before="32"/>
        <w:ind w:left="132"/>
      </w:pPr>
      <w:r>
        <w:rPr/>
        <w:t>（1）</w:t>
        <w:tab/>
        <w:t>没有取得驾驶资格； </w:t>
      </w:r>
    </w:p>
    <w:p>
      <w:pPr>
        <w:pStyle w:val="BodyText"/>
        <w:tabs>
          <w:tab w:pos="977" w:val="left" w:leader="none"/>
        </w:tabs>
        <w:spacing w:before="41"/>
        <w:ind w:left="132"/>
      </w:pPr>
      <w:r>
        <w:rPr/>
        <w:t>（2）</w:t>
        <w:tab/>
      </w:r>
      <w:r>
        <w:rPr>
          <w:spacing w:val="-1"/>
        </w:rPr>
        <w:t>驾驶与驾驶证准驾车型不相符合的车辆； </w:t>
      </w:r>
    </w:p>
    <w:p>
      <w:pPr>
        <w:pStyle w:val="BodyText"/>
        <w:tabs>
          <w:tab w:pos="977" w:val="left" w:leader="none"/>
        </w:tabs>
        <w:spacing w:before="32"/>
        <w:ind w:left="132"/>
      </w:pPr>
      <w:r>
        <w:rPr/>
        <w:t>（3）</w:t>
        <w:tab/>
      </w:r>
      <w:r>
        <w:rPr>
          <w:spacing w:val="-1"/>
        </w:rPr>
        <w:t>持审验不合格的驾驶证驾驶； </w:t>
      </w:r>
    </w:p>
    <w:p>
      <w:pPr>
        <w:pStyle w:val="BodyText"/>
        <w:tabs>
          <w:tab w:pos="977" w:val="left" w:leader="none"/>
        </w:tabs>
        <w:spacing w:line="268" w:lineRule="auto" w:before="42"/>
        <w:ind w:left="132" w:right="228"/>
      </w:pPr>
      <w:r>
        <w:rPr/>
        <w:t>（4）</w:t>
        <w:tab/>
      </w:r>
      <w:r>
        <w:rPr>
          <w:spacing w:val="-1"/>
        </w:rPr>
        <w:t>持学习驾驶证学习驾车时，无教练员随车指导，或不按指定时间、路线学习 驾车。 </w:t>
      </w:r>
    </w:p>
    <w:p>
      <w:pPr>
        <w:spacing w:after="0" w:line="268" w:lineRule="auto"/>
        <w:sectPr>
          <w:type w:val="continuous"/>
          <w:pgSz w:w="11900" w:h="16840"/>
          <w:pgMar w:top="1440" w:bottom="280" w:left="1000" w:right="620"/>
          <w:cols w:num="2" w:equalWidth="0">
            <w:col w:w="1996" w:space="59"/>
            <w:col w:w="8225"/>
          </w:cols>
        </w:sectPr>
      </w:pPr>
    </w:p>
    <w:p>
      <w:pPr>
        <w:tabs>
          <w:tab w:pos="2187" w:val="left" w:leader="none"/>
        </w:tabs>
        <w:spacing w:line="315" w:lineRule="exact" w:before="0"/>
        <w:ind w:left="132" w:right="0" w:firstLine="0"/>
        <w:jc w:val="left"/>
        <w:rPr>
          <w:sz w:val="21"/>
        </w:rPr>
      </w:pPr>
      <w:r>
        <w:rPr>
          <w:rFonts w:ascii="Microsoft JhengHei" w:eastAsia="Microsoft JhengHei" w:hint="eastAsia"/>
          <w:b/>
          <w:sz w:val="21"/>
        </w:rPr>
        <w:t>无有效行驶证：</w:t>
        <w:tab/>
      </w:r>
      <w:r>
        <w:rPr>
          <w:sz w:val="21"/>
        </w:rPr>
        <w:t>指下列情形之一： </w:t>
      </w:r>
    </w:p>
    <w:p>
      <w:pPr>
        <w:pStyle w:val="BodyText"/>
        <w:tabs>
          <w:tab w:pos="3031" w:val="left" w:leader="none"/>
        </w:tabs>
        <w:spacing w:before="8"/>
        <w:ind w:left="2187"/>
      </w:pPr>
      <w:r>
        <w:rPr/>
        <w:t>（1）</w:t>
        <w:tab/>
        <w:t>机动车被依法注销登记的； </w:t>
      </w:r>
    </w:p>
    <w:p>
      <w:pPr>
        <w:pStyle w:val="BodyText"/>
        <w:tabs>
          <w:tab w:pos="3031" w:val="left" w:leader="none"/>
        </w:tabs>
        <w:spacing w:line="258" w:lineRule="exact" w:before="41"/>
        <w:ind w:left="2187"/>
      </w:pPr>
      <w:r>
        <w:rPr/>
        <w:t>（2）</w:t>
        <w:tab/>
      </w:r>
      <w:r>
        <w:rPr>
          <w:spacing w:val="-1"/>
        </w:rPr>
        <w:t>未依法按时进行或通过机动车安全技术检验。 </w:t>
      </w:r>
    </w:p>
    <w:p>
      <w:pPr>
        <w:pStyle w:val="BodyText"/>
        <w:tabs>
          <w:tab w:pos="1390" w:val="left" w:leader="none"/>
        </w:tabs>
        <w:spacing w:line="324" w:lineRule="exact"/>
        <w:ind w:left="132"/>
      </w:pPr>
      <w:r>
        <w:rPr>
          <w:rFonts w:ascii="Microsoft JhengHei" w:eastAsia="Microsoft JhengHei" w:hint="eastAsia"/>
          <w:b/>
        </w:rPr>
        <w:t>轻症大病</w:t>
        <w:tab/>
      </w:r>
      <w:r>
        <w:rPr>
          <w:spacing w:val="-1"/>
        </w:rPr>
        <w:t>被保险人发生符合以下疾病定义所述条件的疾</w:t>
      </w:r>
      <w:r>
        <w:rPr>
          <w:spacing w:val="-10"/>
        </w:rPr>
        <w:t>病</w:t>
      </w:r>
      <w:r>
        <w:rPr>
          <w:spacing w:val="-1"/>
        </w:rPr>
        <w:t>，应当由专科医生明</w:t>
      </w:r>
      <w:r>
        <w:rPr/>
        <w:t>确诊断。 </w:t>
      </w:r>
    </w:p>
    <w:p>
      <w:pPr>
        <w:spacing w:line="341" w:lineRule="exact" w:before="0"/>
        <w:ind w:left="555" w:right="0" w:firstLine="0"/>
        <w:jc w:val="left"/>
        <w:rPr>
          <w:rFonts w:ascii="Microsoft JhengHei" w:eastAsia="Microsoft JhengHei" w:hint="eastAsia"/>
          <w:b/>
          <w:sz w:val="21"/>
        </w:rPr>
      </w:pPr>
      <w:r>
        <w:rPr>
          <w:rFonts w:ascii="Microsoft JhengHei" w:eastAsia="Microsoft JhengHei" w:hint="eastAsia"/>
          <w:b/>
          <w:sz w:val="21"/>
        </w:rPr>
        <w:t>1． 极早期的恶性肿瘤或恶性病变：</w:t>
      </w:r>
    </w:p>
    <w:p>
      <w:pPr>
        <w:pStyle w:val="BodyText"/>
        <w:spacing w:before="8"/>
        <w:ind w:left="555"/>
      </w:pPr>
      <w:r>
        <w:rPr/>
        <w:t>指经组织病理学检查被明确诊断为下列恶性病变，并且接受了相应的治疗。 </w:t>
      </w:r>
    </w:p>
    <w:p>
      <w:pPr>
        <w:pStyle w:val="BodyText"/>
        <w:spacing w:before="42"/>
        <w:ind w:left="555"/>
      </w:pPr>
      <w:r>
        <w:rPr/>
        <w:t>(一)原位癌； </w:t>
      </w:r>
    </w:p>
    <w:p>
      <w:pPr>
        <w:pStyle w:val="BodyText"/>
        <w:spacing w:before="32"/>
        <w:ind w:left="555"/>
      </w:pPr>
      <w:r>
        <w:rPr/>
        <w:t>(二)相当于 Binet 分期方案 A 期程度的慢性淋巴细胞白血病； </w:t>
      </w:r>
    </w:p>
    <w:p>
      <w:pPr>
        <w:pStyle w:val="BodyText"/>
        <w:spacing w:before="41"/>
        <w:ind w:left="555"/>
      </w:pPr>
      <w:r>
        <w:rPr/>
        <w:t>(三)相当于 Ann Arbor 分期方案 I 期程度的何杰金氏病； </w:t>
      </w:r>
    </w:p>
    <w:p>
      <w:pPr>
        <w:pStyle w:val="BodyText"/>
        <w:spacing w:before="32"/>
        <w:ind w:left="555"/>
      </w:pPr>
      <w:r>
        <w:rPr/>
        <w:t>(四)皮肤癌； </w:t>
      </w:r>
    </w:p>
    <w:p>
      <w:pPr>
        <w:pStyle w:val="BodyText"/>
        <w:spacing w:line="258" w:lineRule="exact" w:before="42"/>
        <w:ind w:left="555"/>
      </w:pPr>
      <w:r>
        <w:rPr/>
        <w:t>(五)TNM 分期为 T1N0M0 期或更轻分期的前列腺癌。 </w:t>
      </w:r>
    </w:p>
    <w:p>
      <w:pPr>
        <w:spacing w:line="348" w:lineRule="exact" w:before="0"/>
        <w:ind w:left="555" w:right="0" w:firstLine="0"/>
        <w:jc w:val="left"/>
        <w:rPr>
          <w:rFonts w:ascii="Microsoft JhengHei" w:eastAsia="Microsoft JhengHei" w:hint="eastAsia"/>
          <w:b/>
          <w:sz w:val="21"/>
        </w:rPr>
      </w:pPr>
      <w:r>
        <w:rPr>
          <w:rFonts w:ascii="Microsoft JhengHei" w:eastAsia="Microsoft JhengHei" w:hint="eastAsia"/>
          <w:b/>
          <w:w w:val="95"/>
          <w:sz w:val="21"/>
        </w:rPr>
        <w:t>2．不典型的急性心肌梗塞：</w:t>
      </w:r>
    </w:p>
    <w:p>
      <w:pPr>
        <w:pStyle w:val="BodyText"/>
        <w:spacing w:line="268" w:lineRule="auto" w:before="18"/>
        <w:ind w:left="132" w:right="257" w:firstLine="422"/>
      </w:pPr>
      <w:r>
        <w:rPr/>
        <w:t>指被临床诊断为急性心肌梗塞并接受了急性心肌梗塞治疗，虽然未达到重大疾病“急性心肌梗塞”的给付标准，但满足下列至少两项条件： </w:t>
      </w:r>
    </w:p>
    <w:p>
      <w:pPr>
        <w:pStyle w:val="BodyText"/>
        <w:spacing w:before="16"/>
        <w:ind w:left="555"/>
      </w:pPr>
      <w:r>
        <w:rPr/>
        <w:t>(一)典型临床表现，例如急性胸痛等； </w:t>
      </w:r>
    </w:p>
    <w:p>
      <w:pPr>
        <w:pStyle w:val="BodyText"/>
        <w:spacing w:before="32"/>
        <w:ind w:left="555"/>
      </w:pPr>
      <w:r>
        <w:rPr/>
        <w:t>(二)新近的心电图改变提示急性心肌梗塞； </w:t>
      </w:r>
    </w:p>
    <w:p>
      <w:pPr>
        <w:pStyle w:val="BodyText"/>
        <w:spacing w:before="42"/>
        <w:ind w:left="555"/>
      </w:pPr>
      <w:r>
        <w:rPr/>
        <w:t>(三)心肌酶或肌钙蛋白有诊断意义的升高，或呈符合急性心肌梗塞的动态性变化； </w:t>
      </w:r>
    </w:p>
    <w:p>
      <w:pPr>
        <w:pStyle w:val="BodyText"/>
        <w:spacing w:line="262" w:lineRule="exact" w:before="32"/>
        <w:ind w:left="555"/>
      </w:pPr>
      <w:r>
        <w:rPr/>
        <w:t>(四)发病 90 天后，经检查证实左心室功能降低，如左心室射血分数低于 50%。 </w:t>
      </w:r>
    </w:p>
    <w:p>
      <w:pPr>
        <w:spacing w:line="353" w:lineRule="exact" w:before="0"/>
        <w:ind w:left="555" w:right="0" w:firstLine="0"/>
        <w:jc w:val="left"/>
        <w:rPr>
          <w:rFonts w:ascii="Microsoft JhengHei" w:eastAsia="Microsoft JhengHei" w:hint="eastAsia"/>
          <w:b/>
          <w:sz w:val="21"/>
        </w:rPr>
      </w:pPr>
      <w:r>
        <w:rPr>
          <w:rFonts w:ascii="Microsoft JhengHei" w:eastAsia="Microsoft JhengHei" w:hint="eastAsia"/>
          <w:b/>
          <w:w w:val="95"/>
          <w:sz w:val="21"/>
        </w:rPr>
        <w:t>3．冠状动脉介入手术：</w:t>
      </w:r>
    </w:p>
    <w:p>
      <w:pPr>
        <w:pStyle w:val="BodyText"/>
        <w:spacing w:line="276" w:lineRule="auto" w:before="8"/>
        <w:ind w:left="132" w:right="257" w:firstLine="422"/>
      </w:pPr>
      <w:r>
        <w:rPr/>
        <w:t>为了治疗明显的冠状动脉狭窄性疾病，首次实际实施了冠状动脉球囊扩张成形术、冠状动脉支架植入术或激光冠状动脉成形术。 </w:t>
      </w:r>
    </w:p>
    <w:p>
      <w:pPr>
        <w:spacing w:line="300" w:lineRule="exact" w:before="0"/>
        <w:ind w:left="555" w:right="0" w:firstLine="0"/>
        <w:jc w:val="left"/>
        <w:rPr>
          <w:rFonts w:ascii="Microsoft JhengHei" w:eastAsia="Microsoft JhengHei" w:hint="eastAsia"/>
          <w:b/>
          <w:sz w:val="21"/>
        </w:rPr>
      </w:pPr>
      <w:r>
        <w:rPr>
          <w:rFonts w:ascii="Microsoft JhengHei" w:eastAsia="Microsoft JhengHei" w:hint="eastAsia"/>
          <w:b/>
          <w:w w:val="95"/>
          <w:sz w:val="21"/>
        </w:rPr>
        <w:t>4．轻微脑中风：</w:t>
      </w:r>
    </w:p>
    <w:p>
      <w:pPr>
        <w:pStyle w:val="BodyText"/>
        <w:spacing w:line="271" w:lineRule="auto" w:before="19"/>
        <w:ind w:left="132" w:right="257" w:firstLine="422"/>
        <w:jc w:val="both"/>
      </w:pPr>
      <w:r>
        <w:rPr>
          <w:spacing w:val="-2"/>
          <w:w w:val="100"/>
        </w:rPr>
        <w:t>指实际发生了脑血管的突发病变出现神经系统功能障碍表现，头颅断层扫描</w:t>
      </w:r>
      <w:r>
        <w:rPr>
          <w:w w:val="100"/>
        </w:rPr>
        <w:t>（CT</w:t>
      </w:r>
      <w:r>
        <w:rPr>
          <w:spacing w:val="-106"/>
          <w:w w:val="100"/>
        </w:rPr>
        <w:t>）</w:t>
      </w:r>
      <w:r>
        <w:rPr>
          <w:spacing w:val="-3"/>
          <w:w w:val="100"/>
        </w:rPr>
        <w:t>、核磁共振</w:t>
      </w:r>
      <w:r>
        <w:rPr>
          <w:w w:val="100"/>
        </w:rPr>
        <w:t>（MRI）等</w:t>
      </w:r>
      <w:r>
        <w:rPr>
          <w:spacing w:val="-4"/>
        </w:rPr>
        <w:t>影像学检查证实存在对应病灶，确诊为脑出血、脑栓塞或脑梗塞，在确诊 </w:t>
      </w:r>
      <w:r>
        <w:rPr>
          <w:spacing w:val="-5"/>
        </w:rPr>
        <w:t>180</w:t>
      </w:r>
      <w:r>
        <w:rPr>
          <w:spacing w:val="-9"/>
        </w:rPr>
        <w:t> 天后未遗留神经系统功能障碍</w:t>
      </w:r>
      <w:r>
        <w:rPr>
          <w:spacing w:val="-1"/>
        </w:rPr>
        <w:t>或后遗的神经系统功能障碍程度未达到重大疾病“脑中风后遗症”的给付标准。短暂性脑缺血发作</w:t>
      </w:r>
      <w:r>
        <w:rPr/>
        <w:t>(TIA)</w:t>
      </w:r>
      <w:r>
        <w:rPr>
          <w:spacing w:val="-1"/>
        </w:rPr>
        <w:t> 和</w:t>
      </w:r>
      <w:r>
        <w:rPr>
          <w:spacing w:val="-2"/>
        </w:rPr>
        <w:t>腔隙性脑梗塞不在保障范围内。 </w:t>
      </w:r>
    </w:p>
    <w:p>
      <w:pPr>
        <w:spacing w:line="313" w:lineRule="exact" w:before="0"/>
        <w:ind w:left="555" w:right="0" w:firstLine="0"/>
        <w:jc w:val="left"/>
        <w:rPr>
          <w:rFonts w:ascii="Microsoft JhengHei" w:eastAsia="Microsoft JhengHei" w:hint="eastAsia"/>
          <w:b/>
          <w:sz w:val="21"/>
        </w:rPr>
      </w:pPr>
      <w:r>
        <w:rPr>
          <w:rFonts w:ascii="Microsoft JhengHei" w:eastAsia="Microsoft JhengHei" w:hint="eastAsia"/>
          <w:b/>
          <w:w w:val="95"/>
          <w:sz w:val="21"/>
        </w:rPr>
        <w:t>5．心脏瓣膜介入手术：</w:t>
      </w:r>
    </w:p>
    <w:p>
      <w:pPr>
        <w:pStyle w:val="BodyText"/>
        <w:spacing w:line="276" w:lineRule="auto" w:before="8"/>
        <w:ind w:left="132" w:right="257" w:firstLine="422"/>
      </w:pPr>
      <w:r>
        <w:rPr/>
        <w:t>为了治疗心脏瓣膜疾病，实际实施了非开胸的经胸壁打孔内镜手术或经皮经导管介入手术进行的心脏瓣膜置换或修复手术。 </w:t>
      </w:r>
    </w:p>
    <w:p>
      <w:pPr>
        <w:spacing w:line="300" w:lineRule="exact" w:before="0"/>
        <w:ind w:left="555" w:right="0" w:firstLine="0"/>
        <w:jc w:val="left"/>
        <w:rPr>
          <w:rFonts w:ascii="Microsoft JhengHei" w:eastAsia="Microsoft JhengHei" w:hint="eastAsia"/>
          <w:b/>
          <w:sz w:val="21"/>
        </w:rPr>
      </w:pPr>
      <w:r>
        <w:rPr>
          <w:rFonts w:ascii="Microsoft JhengHei" w:eastAsia="Microsoft JhengHei" w:hint="eastAsia"/>
          <w:b/>
          <w:w w:val="95"/>
          <w:sz w:val="21"/>
        </w:rPr>
        <w:t>6．视力严重受损</w:t>
      </w:r>
    </w:p>
    <w:p>
      <w:pPr>
        <w:pStyle w:val="BodyText"/>
        <w:spacing w:before="18"/>
        <w:ind w:left="555"/>
      </w:pPr>
      <w:r>
        <w:rPr/>
        <w:t>指因疾病或意外伤害导致双目视力永久不可逆性丧失，虽然未达到重大疾病“双目失明”的给付标准，</w:t>
      </w:r>
    </w:p>
    <w:p>
      <w:pPr>
        <w:spacing w:after="0"/>
        <w:sectPr>
          <w:type w:val="continuous"/>
          <w:pgSz w:w="11900" w:h="16840"/>
          <w:pgMar w:top="1440" w:bottom="280" w:left="1000" w:right="620"/>
        </w:sectPr>
      </w:pPr>
    </w:p>
    <w:p>
      <w:pPr>
        <w:pStyle w:val="BodyText"/>
        <w:spacing w:before="7"/>
        <w:rPr>
          <w:sz w:val="3"/>
        </w:rPr>
      </w:pPr>
    </w:p>
    <w:p>
      <w:pPr>
        <w:pStyle w:val="BodyText"/>
        <w:spacing w:line="20" w:lineRule="exact"/>
        <w:ind w:left="100"/>
        <w:rPr>
          <w:sz w:val="2"/>
        </w:rPr>
      </w:pPr>
      <w:r>
        <w:rPr>
          <w:rFonts w:ascii="Times New Roman"/>
          <w:spacing w:val="5"/>
          <w:sz w:val="2"/>
        </w:rPr>
        <w:t> </w:t>
      </w:r>
      <w:r>
        <w:rPr>
          <w:spacing w:val="5"/>
          <w:sz w:val="2"/>
        </w:rPr>
        <w:pict>
          <v:group style="width:499.2pt;height:.5pt;mso-position-horizontal-relative:char;mso-position-vertical-relative:line" coordorigin="0,0" coordsize="9984,10">
            <v:line style="position:absolute" from="0,5" to="9984,5" stroked="true" strokeweight=".48pt" strokecolor="#000000">
              <v:stroke dashstyle="solid"/>
            </v:line>
          </v:group>
        </w:pict>
      </w:r>
      <w:r>
        <w:rPr>
          <w:spacing w:val="5"/>
          <w:sz w:val="2"/>
        </w:rPr>
      </w:r>
    </w:p>
    <w:p>
      <w:pPr>
        <w:pStyle w:val="BodyText"/>
        <w:ind w:left="134"/>
      </w:pPr>
      <w:r>
        <w:rPr/>
        <w:t>但满足下列全部条件： </w:t>
      </w:r>
    </w:p>
    <w:p>
      <w:pPr>
        <w:pStyle w:val="BodyText"/>
        <w:spacing w:before="42"/>
        <w:ind w:left="556"/>
      </w:pPr>
      <w:r>
        <w:rPr>
          <w:spacing w:val="-1"/>
          <w:w w:val="100"/>
        </w:rPr>
        <w:t>(一)双眼中较好眼矫正视力低于</w:t>
      </w:r>
      <w:r>
        <w:rPr>
          <w:spacing w:val="-58"/>
        </w:rPr>
        <w:t> </w:t>
      </w:r>
      <w:r>
        <w:rPr>
          <w:w w:val="100"/>
        </w:rPr>
        <w:t>0.1（</w:t>
      </w:r>
      <w:r>
        <w:rPr>
          <w:spacing w:val="-2"/>
          <w:w w:val="100"/>
        </w:rPr>
        <w:t>采用国际标准视力表，如果使用其他视力表应进行换算</w:t>
      </w:r>
      <w:r>
        <w:rPr>
          <w:spacing w:val="-106"/>
          <w:w w:val="100"/>
        </w:rPr>
        <w:t>）</w:t>
      </w:r>
      <w:r>
        <w:rPr>
          <w:w w:val="100"/>
        </w:rPr>
        <w:t>； </w:t>
      </w:r>
    </w:p>
    <w:p>
      <w:pPr>
        <w:pStyle w:val="BodyText"/>
        <w:spacing w:before="32"/>
        <w:ind w:left="556"/>
      </w:pPr>
      <w:r>
        <w:rPr/>
        <w:t>(二)视野半径小于 20 度。 </w:t>
      </w:r>
    </w:p>
    <w:p>
      <w:pPr>
        <w:pStyle w:val="BodyText"/>
        <w:spacing w:line="258" w:lineRule="exact" w:before="41"/>
        <w:ind w:left="556"/>
      </w:pPr>
      <w:r>
        <w:rPr/>
        <w:t>申请理赔时，被保险人年龄必须在 3 周岁以上，并且须提供理赔当时的视力丧失诊断及检查证据。 </w:t>
      </w:r>
    </w:p>
    <w:p>
      <w:pPr>
        <w:spacing w:line="348" w:lineRule="exact" w:before="0"/>
        <w:ind w:left="556" w:right="0" w:firstLine="0"/>
        <w:jc w:val="left"/>
        <w:rPr>
          <w:rFonts w:ascii="Microsoft JhengHei" w:eastAsia="Microsoft JhengHei" w:hint="eastAsia"/>
          <w:b/>
          <w:sz w:val="21"/>
        </w:rPr>
      </w:pPr>
      <w:r>
        <w:rPr>
          <w:rFonts w:ascii="Microsoft JhengHei" w:eastAsia="Microsoft JhengHei" w:hint="eastAsia"/>
          <w:b/>
          <w:w w:val="105"/>
          <w:sz w:val="21"/>
        </w:rPr>
        <w:t>7</w:t>
      </w:r>
      <w:r>
        <w:rPr>
          <w:rFonts w:ascii="Microsoft JhengHei" w:eastAsia="Microsoft JhengHei" w:hint="eastAsia"/>
          <w:b/>
          <w:spacing w:val="-7"/>
          <w:w w:val="105"/>
          <w:sz w:val="21"/>
        </w:rPr>
        <w:t>．较小面积 </w:t>
      </w:r>
      <w:r>
        <w:rPr>
          <w:rFonts w:ascii="Microsoft JhengHei" w:eastAsia="Microsoft JhengHei" w:hint="eastAsia"/>
          <w:b/>
          <w:spacing w:val="2"/>
          <w:w w:val="140"/>
          <w:sz w:val="21"/>
        </w:rPr>
        <w:t>III</w:t>
      </w:r>
      <w:r>
        <w:rPr>
          <w:rFonts w:ascii="Microsoft JhengHei" w:eastAsia="Microsoft JhengHei" w:hint="eastAsia"/>
          <w:b/>
          <w:spacing w:val="-59"/>
          <w:w w:val="140"/>
          <w:sz w:val="21"/>
        </w:rPr>
        <w:t> </w:t>
      </w:r>
      <w:r>
        <w:rPr>
          <w:rFonts w:ascii="Microsoft JhengHei" w:eastAsia="Microsoft JhengHei" w:hint="eastAsia"/>
          <w:b/>
          <w:w w:val="105"/>
          <w:sz w:val="21"/>
        </w:rPr>
        <w:t>度烧伤：</w:t>
      </w:r>
    </w:p>
    <w:p>
      <w:pPr>
        <w:pStyle w:val="BodyText"/>
        <w:spacing w:line="268" w:lineRule="auto" w:before="18"/>
        <w:ind w:left="134" w:right="255" w:firstLine="422"/>
      </w:pPr>
      <w:r>
        <w:rPr>
          <w:spacing w:val="-7"/>
        </w:rPr>
        <w:t>指烧伤程度为Ⅲ度，且Ⅲ度烧伤的面积达到全身体表面积的 </w:t>
      </w:r>
      <w:r>
        <w:rPr/>
        <w:t>15％</w:t>
      </w:r>
      <w:r>
        <w:rPr>
          <w:spacing w:val="-23"/>
        </w:rPr>
        <w:t>或 </w:t>
      </w:r>
      <w:r>
        <w:rPr/>
        <w:t>15％</w:t>
      </w:r>
      <w:r>
        <w:rPr>
          <w:spacing w:val="-9"/>
        </w:rPr>
        <w:t>以上。体表面积根据《中国新九分法》计算。 </w:t>
      </w:r>
    </w:p>
    <w:p>
      <w:pPr>
        <w:spacing w:line="315" w:lineRule="exact" w:before="0"/>
        <w:ind w:left="556" w:right="0" w:firstLine="0"/>
        <w:jc w:val="left"/>
        <w:rPr>
          <w:rFonts w:ascii="Microsoft JhengHei" w:eastAsia="Microsoft JhengHei" w:hint="eastAsia"/>
          <w:b/>
          <w:sz w:val="21"/>
        </w:rPr>
      </w:pPr>
      <w:r>
        <w:rPr>
          <w:rFonts w:ascii="Microsoft JhengHei" w:eastAsia="Microsoft JhengHei" w:hint="eastAsia"/>
          <w:b/>
          <w:w w:val="95"/>
          <w:sz w:val="21"/>
        </w:rPr>
        <w:t>8．主动脉内手术：</w:t>
      </w:r>
    </w:p>
    <w:p>
      <w:pPr>
        <w:pStyle w:val="BodyText"/>
        <w:spacing w:line="276" w:lineRule="auto" w:before="9"/>
        <w:ind w:left="134" w:right="255" w:firstLine="422"/>
      </w:pPr>
      <w:r>
        <w:rPr/>
        <w:t>为了治疗主动脉疾病实际实施了经皮经导管进行的动脉内手术。主动脉指胸主动脉和腹主动脉，不包括胸主动脉和腹主动脉的分支血管。 </w:t>
      </w:r>
    </w:p>
    <w:p>
      <w:pPr>
        <w:spacing w:line="300" w:lineRule="exact" w:before="0"/>
        <w:ind w:left="556" w:right="0" w:firstLine="0"/>
        <w:jc w:val="left"/>
        <w:rPr>
          <w:rFonts w:ascii="Microsoft JhengHei" w:eastAsia="Microsoft JhengHei" w:hint="eastAsia"/>
          <w:b/>
          <w:sz w:val="21"/>
        </w:rPr>
      </w:pPr>
      <w:r>
        <w:rPr>
          <w:rFonts w:ascii="Microsoft JhengHei" w:eastAsia="Microsoft JhengHei" w:hint="eastAsia"/>
          <w:b/>
          <w:sz w:val="21"/>
        </w:rPr>
        <w:t>9．脑垂体瘤、脑囊肿、脑动脉瘤及脑血管瘤：</w:t>
      </w:r>
    </w:p>
    <w:p>
      <w:pPr>
        <w:pStyle w:val="BodyText"/>
        <w:spacing w:line="268" w:lineRule="auto" w:before="18"/>
        <w:ind w:left="134" w:right="255" w:firstLine="422"/>
      </w:pPr>
      <w:r>
        <w:rPr>
          <w:w w:val="100"/>
        </w:rPr>
        <w:t>指经头颅断层扫描（CT</w:t>
      </w:r>
      <w:r>
        <w:rPr>
          <w:spacing w:val="-106"/>
          <w:w w:val="100"/>
        </w:rPr>
        <w:t>）</w:t>
      </w:r>
      <w:r>
        <w:rPr>
          <w:spacing w:val="-3"/>
          <w:w w:val="100"/>
        </w:rPr>
        <w:t>、核磁共振</w:t>
      </w:r>
      <w:r>
        <w:rPr>
          <w:w w:val="100"/>
        </w:rPr>
        <w:t>（MRI）</w:t>
      </w:r>
      <w:r>
        <w:rPr>
          <w:spacing w:val="-2"/>
          <w:w w:val="100"/>
        </w:rPr>
        <w:t>或其他影像学检查被确诊为下列病变，并实际接受了手术或</w:t>
      </w:r>
      <w:r>
        <w:rPr/>
        <w:t>放射治疗。 </w:t>
      </w:r>
    </w:p>
    <w:p>
      <w:pPr>
        <w:pStyle w:val="BodyText"/>
        <w:spacing w:before="16"/>
        <w:ind w:left="556"/>
      </w:pPr>
      <w:r>
        <w:rPr/>
        <w:t>(一)脑垂体瘤； </w:t>
      </w:r>
    </w:p>
    <w:p>
      <w:pPr>
        <w:pStyle w:val="BodyText"/>
        <w:spacing w:before="32"/>
        <w:ind w:left="556"/>
      </w:pPr>
      <w:r>
        <w:rPr/>
        <w:t>(二)脑囊肿； </w:t>
      </w:r>
    </w:p>
    <w:p>
      <w:pPr>
        <w:pStyle w:val="BodyText"/>
        <w:spacing w:line="258" w:lineRule="exact" w:before="42"/>
        <w:ind w:left="556"/>
      </w:pPr>
      <w:r>
        <w:rPr/>
        <w:t>(三)脑动脉瘤、脑血管瘤。 </w:t>
      </w:r>
    </w:p>
    <w:p>
      <w:pPr>
        <w:spacing w:line="348" w:lineRule="exact" w:before="0"/>
        <w:ind w:left="556" w:right="0" w:firstLine="0"/>
        <w:jc w:val="left"/>
        <w:rPr>
          <w:rFonts w:ascii="Microsoft JhengHei" w:eastAsia="Microsoft JhengHei" w:hint="eastAsia"/>
          <w:b/>
          <w:sz w:val="21"/>
        </w:rPr>
      </w:pPr>
      <w:r>
        <w:rPr>
          <w:rFonts w:ascii="Microsoft JhengHei" w:eastAsia="Microsoft JhengHei" w:hint="eastAsia"/>
          <w:b/>
          <w:sz w:val="21"/>
        </w:rPr>
        <w:t>10．重度头部外伤</w:t>
      </w:r>
      <w:r>
        <w:rPr>
          <w:rFonts w:ascii="Microsoft JhengHei" w:eastAsia="Microsoft JhengHei" w:hint="eastAsia"/>
          <w:b/>
          <w:w w:val="140"/>
          <w:sz w:val="21"/>
        </w:rPr>
        <w:t>:</w:t>
      </w:r>
    </w:p>
    <w:p>
      <w:pPr>
        <w:pStyle w:val="BodyText"/>
        <w:spacing w:before="18"/>
        <w:ind w:left="556"/>
      </w:pPr>
      <w:r>
        <w:rPr/>
        <w:t>指因头部遭受机械性外力，引起脑重要部位损伤，导致神经系统永久性的功能障碍。须由头颅断层扫描</w:t>
      </w:r>
    </w:p>
    <w:p>
      <w:pPr>
        <w:pStyle w:val="BodyText"/>
        <w:spacing w:line="276" w:lineRule="auto" w:before="32"/>
        <w:ind w:left="134" w:right="159"/>
      </w:pPr>
      <w:r>
        <w:rPr>
          <w:w w:val="100"/>
        </w:rPr>
        <w:t>（CT</w:t>
      </w:r>
      <w:r>
        <w:rPr>
          <w:spacing w:val="-106"/>
          <w:w w:val="100"/>
        </w:rPr>
        <w:t>）</w:t>
      </w:r>
      <w:r>
        <w:rPr>
          <w:spacing w:val="-13"/>
          <w:w w:val="100"/>
        </w:rPr>
        <w:t>、核磁共振检查</w:t>
      </w:r>
      <w:r>
        <w:rPr>
          <w:w w:val="100"/>
        </w:rPr>
        <w:t>（MRI</w:t>
      </w:r>
      <w:r>
        <w:rPr>
          <w:spacing w:val="-39"/>
          <w:w w:val="100"/>
        </w:rPr>
        <w:t>）</w:t>
      </w:r>
      <w:r>
        <w:rPr>
          <w:spacing w:val="-5"/>
          <w:w w:val="100"/>
        </w:rPr>
        <w:t>或正电子发射断层扫描</w:t>
      </w:r>
      <w:r>
        <w:rPr>
          <w:w w:val="100"/>
        </w:rPr>
        <w:t>（PET</w:t>
      </w:r>
      <w:r>
        <w:rPr>
          <w:spacing w:val="-39"/>
          <w:w w:val="100"/>
        </w:rPr>
        <w:t>）</w:t>
      </w:r>
      <w:r>
        <w:rPr>
          <w:spacing w:val="-6"/>
          <w:w w:val="100"/>
        </w:rPr>
        <w:t>等影像学检查证实。神经系统永久性的功能障碍，</w:t>
      </w:r>
      <w:r>
        <w:rPr>
          <w:spacing w:val="-14"/>
        </w:rPr>
        <w:t>指脑损伤 </w:t>
      </w:r>
      <w:r>
        <w:rPr/>
        <w:t>180</w:t>
      </w:r>
      <w:r>
        <w:rPr>
          <w:spacing w:val="-8"/>
        </w:rPr>
        <w:t> 天后，仍完全丧失自主生活能力，无法独立完成六项基本日常生活活动中的二项或以上。 </w:t>
      </w:r>
    </w:p>
    <w:p>
      <w:pPr>
        <w:pStyle w:val="BodyText"/>
        <w:spacing w:line="262" w:lineRule="exact"/>
        <w:ind w:left="556"/>
      </w:pPr>
      <w:r>
        <w:rPr>
          <w:w w:val="100"/>
        </w:rPr>
        <w:t> </w:t>
      </w:r>
    </w:p>
    <w:p>
      <w:pPr>
        <w:spacing w:line="353" w:lineRule="exact" w:before="0"/>
        <w:ind w:left="134" w:right="0" w:firstLine="0"/>
        <w:jc w:val="left"/>
        <w:rPr>
          <w:rFonts w:ascii="Microsoft JhengHei" w:eastAsia="Microsoft JhengHei" w:hint="eastAsia"/>
          <w:b/>
          <w:sz w:val="21"/>
        </w:rPr>
      </w:pPr>
      <w:r>
        <w:rPr>
          <w:rFonts w:ascii="Microsoft JhengHei" w:eastAsia="Microsoft JhengHei" w:hint="eastAsia"/>
          <w:b/>
          <w:sz w:val="21"/>
        </w:rPr>
        <w:t>重大疾病：</w:t>
      </w:r>
    </w:p>
    <w:p>
      <w:pPr>
        <w:pStyle w:val="BodyText"/>
        <w:spacing w:before="9"/>
        <w:ind w:left="556"/>
      </w:pPr>
      <w:r>
        <w:rPr/>
        <w:t>根据中国保险行业协会制定的《重大疾病保险的疾病定义使用规范》，本合同的重大疾病分为两种类型：</w:t>
      </w:r>
    </w:p>
    <w:p>
      <w:pPr>
        <w:pStyle w:val="BodyText"/>
        <w:spacing w:line="268" w:lineRule="auto" w:before="41"/>
        <w:ind w:left="134" w:right="274"/>
      </w:pPr>
      <w:r>
        <w:rPr>
          <w:spacing w:val="-4"/>
        </w:rPr>
        <w:t>《重大疾病保险的疾病定义使用规范》范围以内的疾病种类</w:t>
      </w:r>
      <w:r>
        <w:rPr>
          <w:spacing w:val="-16"/>
        </w:rPr>
        <w:t>；《重大疾病保险的疾病定义使用规范》范围以外</w:t>
      </w:r>
      <w:r>
        <w:rPr/>
        <w:t>的疾病种类。 </w:t>
      </w:r>
    </w:p>
    <w:p>
      <w:pPr>
        <w:spacing w:line="286" w:lineRule="exact" w:before="0"/>
        <w:ind w:left="499" w:right="0" w:firstLine="0"/>
        <w:jc w:val="left"/>
        <w:rPr>
          <w:rFonts w:ascii="Microsoft JhengHei" w:eastAsia="Microsoft JhengHei" w:hint="eastAsia"/>
          <w:b/>
          <w:sz w:val="21"/>
        </w:rPr>
      </w:pPr>
      <w:r>
        <w:rPr>
          <w:rFonts w:ascii="Microsoft JhengHei" w:eastAsia="Microsoft JhengHei" w:hint="eastAsia"/>
          <w:b/>
          <w:sz w:val="21"/>
        </w:rPr>
        <w:t>一、《重大疾病保险的疾病定义使用规范》范围以内的疾病种类：</w:t>
      </w:r>
    </w:p>
    <w:p>
      <w:pPr>
        <w:tabs>
          <w:tab w:pos="1084" w:val="left" w:leader="none"/>
        </w:tabs>
        <w:spacing w:line="336" w:lineRule="exact" w:before="0"/>
        <w:ind w:left="499" w:right="0" w:firstLine="0"/>
        <w:jc w:val="left"/>
        <w:rPr>
          <w:rFonts w:ascii="Microsoft JhengHei" w:eastAsia="Microsoft JhengHei" w:hint="eastAsia"/>
          <w:b/>
          <w:sz w:val="21"/>
        </w:rPr>
      </w:pPr>
      <w:r>
        <w:rPr>
          <w:rFonts w:ascii="Microsoft JhengHei" w:eastAsia="Microsoft JhengHei" w:hint="eastAsia"/>
          <w:b/>
          <w:sz w:val="21"/>
        </w:rPr>
        <w:t>1、</w:t>
        <w:tab/>
        <w:t>恶性肿瘤：</w:t>
      </w:r>
    </w:p>
    <w:p>
      <w:pPr>
        <w:pStyle w:val="BodyText"/>
        <w:spacing w:line="273" w:lineRule="auto" w:before="17"/>
        <w:ind w:left="489" w:right="284" w:firstLine="422"/>
        <w:jc w:val="both"/>
      </w:pPr>
      <w:r>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的恶性肿瘤范畴。                      </w:t>
      </w:r>
    </w:p>
    <w:p>
      <w:pPr>
        <w:pStyle w:val="BodyText"/>
        <w:spacing w:before="2"/>
        <w:ind w:left="911"/>
      </w:pPr>
      <w:r>
        <w:rPr/>
        <w:t>下列疾病不在保障范围内： </w:t>
      </w:r>
    </w:p>
    <w:p>
      <w:pPr>
        <w:pStyle w:val="BodyText"/>
        <w:spacing w:before="41"/>
        <w:ind w:left="911"/>
      </w:pPr>
      <w:r>
        <w:rPr/>
        <w:t>（1）原位癌；  </w:t>
      </w:r>
    </w:p>
    <w:p>
      <w:pPr>
        <w:pStyle w:val="BodyText"/>
        <w:spacing w:before="32"/>
        <w:ind w:left="912"/>
      </w:pPr>
      <w:r>
        <w:rPr/>
        <w:t>（2）相当于 Binet 分期方案 A 期程度的慢性淋巴细胞白血病；  </w:t>
      </w:r>
    </w:p>
    <w:p>
      <w:pPr>
        <w:pStyle w:val="BodyText"/>
        <w:spacing w:before="42"/>
        <w:ind w:left="911"/>
      </w:pPr>
      <w:r>
        <w:rPr/>
        <w:t>（3）相当于 Ann Arbor 分期方案 I 期程度的何杰金氏病；  </w:t>
      </w:r>
    </w:p>
    <w:p>
      <w:pPr>
        <w:pStyle w:val="BodyText"/>
        <w:spacing w:before="32"/>
        <w:ind w:left="911"/>
      </w:pPr>
      <w:r>
        <w:rPr>
          <w:w w:val="100"/>
        </w:rPr>
        <w:t>（4）皮肤癌（</w:t>
      </w:r>
      <w:r>
        <w:rPr>
          <w:spacing w:val="-2"/>
          <w:w w:val="100"/>
        </w:rPr>
        <w:t>不包括恶性黑色素瘤及已发生转移的皮肤癌</w:t>
      </w:r>
      <w:r>
        <w:rPr>
          <w:spacing w:val="-106"/>
          <w:w w:val="100"/>
        </w:rPr>
        <w:t>）</w:t>
      </w:r>
      <w:r>
        <w:rPr>
          <w:w w:val="100"/>
        </w:rPr>
        <w:t>；  </w:t>
      </w:r>
    </w:p>
    <w:p>
      <w:pPr>
        <w:pStyle w:val="BodyText"/>
        <w:spacing w:before="41"/>
        <w:ind w:left="911"/>
      </w:pPr>
      <w:r>
        <w:rPr>
          <w:w w:val="100"/>
          <w:position w:val="1"/>
        </w:rPr>
        <w:t>（5）TNM</w:t>
      </w:r>
      <w:r>
        <w:rPr>
          <w:spacing w:val="-57"/>
          <w:position w:val="1"/>
        </w:rPr>
        <w:t> </w:t>
      </w:r>
      <w:r>
        <w:rPr>
          <w:w w:val="100"/>
          <w:position w:val="1"/>
        </w:rPr>
        <w:t>分期为</w:t>
      </w:r>
      <w:r>
        <w:rPr>
          <w:spacing w:val="-57"/>
          <w:position w:val="1"/>
        </w:rPr>
        <w:t> </w:t>
      </w:r>
      <w:r>
        <w:rPr>
          <w:w w:val="100"/>
          <w:position w:val="1"/>
        </w:rPr>
        <w:t>T</w:t>
      </w:r>
      <w:r>
        <w:rPr>
          <w:spacing w:val="3"/>
          <w:w w:val="105"/>
          <w:sz w:val="10"/>
        </w:rPr>
        <w:t>1</w:t>
      </w:r>
      <w:r>
        <w:rPr>
          <w:w w:val="100"/>
          <w:position w:val="1"/>
        </w:rPr>
        <w:t>N</w:t>
      </w:r>
      <w:r>
        <w:rPr>
          <w:spacing w:val="3"/>
          <w:w w:val="105"/>
          <w:sz w:val="10"/>
        </w:rPr>
        <w:t>0</w:t>
      </w:r>
      <w:r>
        <w:rPr>
          <w:w w:val="100"/>
          <w:position w:val="1"/>
        </w:rPr>
        <w:t>M</w:t>
      </w:r>
      <w:r>
        <w:rPr>
          <w:w w:val="105"/>
          <w:sz w:val="10"/>
        </w:rPr>
        <w:t>0</w:t>
      </w:r>
      <w:r>
        <w:rPr>
          <w:spacing w:val="-17"/>
          <w:sz w:val="10"/>
        </w:rPr>
        <w:t> </w:t>
      </w:r>
      <w:r>
        <w:rPr>
          <w:spacing w:val="-1"/>
          <w:w w:val="100"/>
          <w:position w:val="1"/>
        </w:rPr>
        <w:t>期或更轻分期的前列腺癌； </w:t>
      </w:r>
    </w:p>
    <w:p>
      <w:pPr>
        <w:pStyle w:val="BodyText"/>
        <w:spacing w:line="262" w:lineRule="exact" w:before="32"/>
        <w:ind w:left="911"/>
      </w:pPr>
      <w:r>
        <w:rPr/>
        <w:t>（6）感染艾滋病病毒或患艾滋病期间所患恶性肿瘤。 </w:t>
      </w:r>
    </w:p>
    <w:p>
      <w:pPr>
        <w:spacing w:line="353" w:lineRule="exact" w:before="0"/>
        <w:ind w:left="499" w:right="0" w:firstLine="0"/>
        <w:jc w:val="left"/>
        <w:rPr>
          <w:rFonts w:ascii="Microsoft JhengHei" w:eastAsia="Microsoft JhengHei" w:hint="eastAsia"/>
          <w:b/>
          <w:sz w:val="21"/>
        </w:rPr>
      </w:pPr>
      <w:r>
        <w:rPr>
          <w:rFonts w:ascii="Microsoft JhengHei" w:eastAsia="Microsoft JhengHei" w:hint="eastAsia"/>
          <w:b/>
          <w:sz w:val="21"/>
        </w:rPr>
        <w:t>2、  急性心肌梗塞：</w:t>
      </w:r>
    </w:p>
    <w:p>
      <w:pPr>
        <w:pStyle w:val="BodyText"/>
        <w:spacing w:before="9"/>
        <w:ind w:left="969"/>
      </w:pPr>
      <w:r>
        <w:rPr/>
        <w:t>指因冠状动脉阻塞导致的相应区域供血不足造成部分心肌坏死。须满足下列至少三项条件：  </w:t>
      </w:r>
    </w:p>
    <w:p>
      <w:pPr>
        <w:pStyle w:val="BodyText"/>
        <w:spacing w:before="42"/>
        <w:ind w:left="854"/>
      </w:pPr>
      <w:r>
        <w:rPr/>
        <w:t>（1）典型临床表现，例如急性胸痛等；  </w:t>
      </w:r>
    </w:p>
    <w:p>
      <w:pPr>
        <w:pStyle w:val="BodyText"/>
        <w:spacing w:before="32"/>
        <w:ind w:left="854"/>
      </w:pPr>
      <w:r>
        <w:rPr/>
        <w:t>（2）新近的心电图改变提示急性心肌梗塞；  </w:t>
      </w:r>
    </w:p>
    <w:p>
      <w:pPr>
        <w:pStyle w:val="BodyText"/>
        <w:spacing w:before="41"/>
        <w:ind w:left="854"/>
      </w:pPr>
      <w:r>
        <w:rPr/>
        <w:t>（3）心肌酶或肌钙蛋白有诊断意义的升高，或呈符合急性心肌梗塞的动态性变化；  </w:t>
      </w:r>
    </w:p>
    <w:p>
      <w:pPr>
        <w:pStyle w:val="BodyText"/>
        <w:spacing w:line="262" w:lineRule="exact" w:before="32"/>
        <w:ind w:left="854"/>
      </w:pPr>
      <w:r>
        <w:rPr/>
        <w:t>（4）发病 90 天后，经检查证实左心室功能降低，如左心室射血分数低于 50%。 </w:t>
      </w:r>
    </w:p>
    <w:p>
      <w:pPr>
        <w:spacing w:line="353" w:lineRule="exact" w:before="0"/>
        <w:ind w:left="499" w:right="0" w:firstLine="0"/>
        <w:jc w:val="left"/>
        <w:rPr>
          <w:rFonts w:ascii="Microsoft JhengHei" w:eastAsia="Microsoft JhengHei" w:hint="eastAsia"/>
          <w:b/>
          <w:sz w:val="21"/>
        </w:rPr>
      </w:pPr>
      <w:r>
        <w:rPr>
          <w:rFonts w:ascii="Microsoft JhengHei" w:eastAsia="Microsoft JhengHei" w:hint="eastAsia"/>
          <w:b/>
          <w:sz w:val="21"/>
        </w:rPr>
        <w:t>3、  脑中风后遗症：</w:t>
      </w:r>
    </w:p>
    <w:p>
      <w:pPr>
        <w:pStyle w:val="BodyText"/>
        <w:spacing w:line="276" w:lineRule="auto" w:before="8"/>
        <w:ind w:left="489" w:right="265" w:firstLine="480"/>
      </w:pPr>
      <w:r>
        <w:rPr>
          <w:spacing w:val="-5"/>
        </w:rPr>
        <w:t>指因脑血管的突发病变引起脑血管出血、栓塞或梗塞，并导致神经系统永久性的功能障碍。神经系</w:t>
      </w:r>
      <w:r>
        <w:rPr>
          <w:spacing w:val="-8"/>
        </w:rPr>
        <w:t>统永久性的功能障碍，指疾病确诊 </w:t>
      </w:r>
      <w:r>
        <w:rPr/>
        <w:t>180</w:t>
      </w:r>
      <w:r>
        <w:rPr>
          <w:spacing w:val="-7"/>
        </w:rPr>
        <w:t> 天后，仍遗留下列一种或一种以上障碍：  </w:t>
      </w:r>
    </w:p>
    <w:p>
      <w:pPr>
        <w:spacing w:after="0" w:line="276" w:lineRule="auto"/>
        <w:sectPr>
          <w:pgSz w:w="11900" w:h="16840"/>
          <w:pgMar w:header="886" w:footer="1009" w:top="1080" w:bottom="1200" w:left="720" w:right="900"/>
        </w:sectPr>
      </w:pPr>
    </w:p>
    <w:p>
      <w:pPr>
        <w:pStyle w:val="BodyText"/>
        <w:spacing w:before="7"/>
        <w:rPr>
          <w:sz w:val="3"/>
        </w:rPr>
      </w:pPr>
    </w:p>
    <w:p>
      <w:pPr>
        <w:pStyle w:val="BodyText"/>
        <w:spacing w:line="20" w:lineRule="exact"/>
        <w:ind w:left="99"/>
        <w:rPr>
          <w:sz w:val="2"/>
        </w:rPr>
      </w:pPr>
      <w:r>
        <w:rPr>
          <w:rFonts w:ascii="Times New Roman"/>
          <w:spacing w:val="5"/>
          <w:sz w:val="2"/>
        </w:rPr>
        <w:t> </w:t>
      </w:r>
      <w:r>
        <w:rPr>
          <w:spacing w:val="5"/>
          <w:sz w:val="2"/>
        </w:rPr>
        <w:pict>
          <v:group style="width:499.2pt;height:.5pt;mso-position-horizontal-relative:char;mso-position-vertical-relative:line" coordorigin="0,0" coordsize="9984,10">
            <v:line style="position:absolute" from="0,5" to="9984,5" stroked="true" strokeweight=".48pt" strokecolor="#000000">
              <v:stroke dashstyle="solid"/>
            </v:line>
          </v:group>
        </w:pict>
      </w:r>
      <w:r>
        <w:rPr>
          <w:spacing w:val="5"/>
          <w:sz w:val="2"/>
        </w:rPr>
      </w:r>
    </w:p>
    <w:p>
      <w:pPr>
        <w:pStyle w:val="BodyText"/>
        <w:ind w:left="852"/>
      </w:pPr>
      <w:r>
        <w:rPr/>
        <w:t>（1）一肢或一肢以上肢体机能完全丧失；  </w:t>
      </w:r>
    </w:p>
    <w:p>
      <w:pPr>
        <w:pStyle w:val="BodyText"/>
        <w:spacing w:before="42"/>
        <w:ind w:left="852"/>
      </w:pPr>
      <w:r>
        <w:rPr/>
        <w:t>（2）语言能力或咀嚼吞咽能力完全丧失；  </w:t>
      </w:r>
    </w:p>
    <w:p>
      <w:pPr>
        <w:pStyle w:val="BodyText"/>
        <w:spacing w:line="262" w:lineRule="exact" w:before="32"/>
        <w:ind w:left="852"/>
      </w:pPr>
      <w:r>
        <w:rPr/>
        <w:t>（3）自主生活能力完全丧失，无法独立完成六项基本日常生活活动中的三项或三项以上。 </w:t>
      </w:r>
    </w:p>
    <w:p>
      <w:pPr>
        <w:spacing w:line="353" w:lineRule="exact" w:before="0"/>
        <w:ind w:left="497" w:right="0" w:firstLine="0"/>
        <w:jc w:val="left"/>
        <w:rPr>
          <w:rFonts w:ascii="Microsoft JhengHei" w:eastAsia="Microsoft JhengHei" w:hint="eastAsia"/>
          <w:b/>
          <w:sz w:val="21"/>
        </w:rPr>
      </w:pPr>
      <w:r>
        <w:rPr>
          <w:rFonts w:ascii="Microsoft JhengHei" w:eastAsia="Microsoft JhengHei" w:hint="eastAsia"/>
          <w:b/>
          <w:sz w:val="21"/>
        </w:rPr>
        <w:t>4、   重大器官移植术或造血干细胞移植术：</w:t>
      </w:r>
    </w:p>
    <w:p>
      <w:pPr>
        <w:pStyle w:val="BodyText"/>
        <w:spacing w:line="273" w:lineRule="auto" w:before="9"/>
        <w:ind w:left="488" w:right="667" w:firstLine="422"/>
        <w:jc w:val="both"/>
      </w:pPr>
      <w:r>
        <w:rPr/>
        <w:t>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 </w:t>
      </w:r>
    </w:p>
    <w:p>
      <w:pPr>
        <w:spacing w:line="311" w:lineRule="exact" w:before="0"/>
        <w:ind w:left="497" w:right="0" w:firstLine="0"/>
        <w:jc w:val="left"/>
        <w:rPr>
          <w:rFonts w:ascii="Microsoft JhengHei" w:eastAsia="Microsoft JhengHei" w:hint="eastAsia"/>
          <w:b/>
          <w:sz w:val="21"/>
        </w:rPr>
      </w:pPr>
      <w:r>
        <w:rPr>
          <w:rFonts w:ascii="Microsoft JhengHei" w:eastAsia="Microsoft JhengHei" w:hint="eastAsia"/>
          <w:b/>
          <w:sz w:val="21"/>
        </w:rPr>
        <w:t>5、   冠状动脉搭桥术（或称冠状动脉旁路移植术</w:t>
      </w:r>
      <w:r>
        <w:rPr>
          <w:rFonts w:ascii="Microsoft JhengHei" w:eastAsia="Microsoft JhengHei" w:hint="eastAsia"/>
          <w:b/>
          <w:spacing w:val="-106"/>
          <w:sz w:val="21"/>
        </w:rPr>
        <w:t>）：</w:t>
      </w:r>
    </w:p>
    <w:p>
      <w:pPr>
        <w:pStyle w:val="BodyText"/>
        <w:spacing w:line="276" w:lineRule="auto" w:before="8"/>
        <w:ind w:left="910" w:right="110" w:firstLine="67"/>
      </w:pPr>
      <w:r>
        <w:rPr/>
        <w:t>指为治疗严重的冠心病，实际实施了开胸进行的冠状动脉血管旁路移植的手术。                    冠状动脉支架植入术、心导管球囊扩张术、激光射频技术及其他非开胸的介入手术、腔镜手术不在</w:t>
      </w:r>
    </w:p>
    <w:p>
      <w:pPr>
        <w:pStyle w:val="BodyText"/>
        <w:spacing w:line="262" w:lineRule="exact"/>
        <w:ind w:left="488"/>
      </w:pPr>
      <w:r>
        <w:rPr/>
        <w:t>保障范围内。 </w:t>
      </w:r>
    </w:p>
    <w:p>
      <w:pPr>
        <w:spacing w:line="353" w:lineRule="exact" w:before="0"/>
        <w:ind w:left="497" w:right="0" w:firstLine="0"/>
        <w:jc w:val="left"/>
        <w:rPr>
          <w:rFonts w:ascii="Microsoft JhengHei" w:eastAsia="Microsoft JhengHei" w:hint="eastAsia"/>
          <w:b/>
          <w:sz w:val="21"/>
        </w:rPr>
      </w:pPr>
      <w:r>
        <w:rPr>
          <w:rFonts w:ascii="Microsoft JhengHei" w:eastAsia="Microsoft JhengHei" w:hint="eastAsia"/>
          <w:b/>
          <w:sz w:val="21"/>
        </w:rPr>
        <w:t>6、   终末期肾病（或称慢性肾功能衰竭尿毒症期</w:t>
      </w:r>
      <w:r>
        <w:rPr>
          <w:rFonts w:ascii="Microsoft JhengHei" w:eastAsia="Microsoft JhengHei" w:hint="eastAsia"/>
          <w:b/>
          <w:spacing w:val="-106"/>
          <w:sz w:val="21"/>
        </w:rPr>
        <w:t>）：</w:t>
      </w:r>
    </w:p>
    <w:p>
      <w:pPr>
        <w:pStyle w:val="BodyText"/>
        <w:spacing w:line="276" w:lineRule="auto" w:before="9"/>
        <w:ind w:left="488" w:right="646" w:firstLine="480"/>
      </w:pPr>
      <w:r>
        <w:rPr>
          <w:spacing w:val="-9"/>
        </w:rPr>
        <w:t>指双肾功能慢性不可逆性衰竭，达到尿毒症期，经诊断后已经进行了至少 </w:t>
      </w:r>
      <w:r>
        <w:rPr/>
        <w:t>90</w:t>
      </w:r>
      <w:r>
        <w:rPr>
          <w:spacing w:val="-8"/>
        </w:rPr>
        <w:t> 天的规律性透析治疗或实施了肾脏移植手术。 </w:t>
      </w:r>
    </w:p>
    <w:p>
      <w:pPr>
        <w:spacing w:line="300" w:lineRule="exact" w:before="0"/>
        <w:ind w:left="497" w:right="0" w:firstLine="0"/>
        <w:jc w:val="left"/>
        <w:rPr>
          <w:rFonts w:ascii="Microsoft JhengHei" w:eastAsia="Microsoft JhengHei" w:hint="eastAsia"/>
          <w:b/>
          <w:sz w:val="21"/>
        </w:rPr>
      </w:pPr>
      <w:r>
        <w:rPr>
          <w:rFonts w:ascii="Microsoft JhengHei" w:eastAsia="Microsoft JhengHei" w:hint="eastAsia"/>
          <w:b/>
          <w:sz w:val="21"/>
        </w:rPr>
        <w:t>7、  多个肢体缺失：</w:t>
      </w:r>
    </w:p>
    <w:p>
      <w:pPr>
        <w:pStyle w:val="BodyText"/>
        <w:spacing w:line="268" w:lineRule="auto" w:before="18"/>
        <w:ind w:left="488" w:right="667" w:firstLine="422"/>
      </w:pPr>
      <w:r>
        <w:rPr/>
        <w:t>指因疾病或意外伤害导致两个或两个以上肢体自腕关节或踝关节近端（靠近躯干端）以上完全性断离。 </w:t>
      </w:r>
    </w:p>
    <w:p>
      <w:pPr>
        <w:spacing w:line="315" w:lineRule="exact" w:before="0"/>
        <w:ind w:left="497" w:right="0" w:firstLine="0"/>
        <w:jc w:val="left"/>
        <w:rPr>
          <w:rFonts w:ascii="Microsoft JhengHei" w:eastAsia="Microsoft JhengHei" w:hint="eastAsia"/>
          <w:b/>
          <w:sz w:val="21"/>
        </w:rPr>
      </w:pPr>
      <w:r>
        <w:rPr>
          <w:rFonts w:ascii="Microsoft JhengHei" w:eastAsia="Microsoft JhengHei" w:hint="eastAsia"/>
          <w:b/>
          <w:sz w:val="21"/>
        </w:rPr>
        <w:t>8、  急性或亚急性重症肝炎：</w:t>
      </w:r>
    </w:p>
    <w:p>
      <w:pPr>
        <w:pStyle w:val="BodyText"/>
        <w:spacing w:line="276" w:lineRule="auto" w:before="8"/>
        <w:ind w:left="488" w:right="541" w:firstLine="480"/>
      </w:pPr>
      <w:r>
        <w:rPr>
          <w:spacing w:val="-8"/>
        </w:rPr>
        <w:t>指因肝炎病毒感染引起肝脏组织弥漫性坏死，导致急性肝功能衰竭，且经血清学或病毒学检查证实， </w:t>
      </w:r>
      <w:r>
        <w:rPr/>
        <w:t>并须满足下列全部条件：  </w:t>
      </w:r>
    </w:p>
    <w:p>
      <w:pPr>
        <w:pStyle w:val="BodyText"/>
        <w:ind w:left="852"/>
      </w:pPr>
      <w:r>
        <w:rPr/>
        <w:t>（1）重度黄疸或黄疸迅速加重；  </w:t>
      </w:r>
    </w:p>
    <w:p>
      <w:pPr>
        <w:pStyle w:val="BodyText"/>
        <w:spacing w:before="41"/>
        <w:ind w:left="852"/>
      </w:pPr>
      <w:r>
        <w:rPr/>
        <w:t>（2）肝性脑病；   </w:t>
      </w:r>
    </w:p>
    <w:p>
      <w:pPr>
        <w:pStyle w:val="BodyText"/>
        <w:spacing w:before="31"/>
        <w:ind w:left="852"/>
      </w:pPr>
      <w:r>
        <w:rPr/>
        <w:t>（3）B 超或其他影像学检查显示肝脏体积急速萎缩；  </w:t>
      </w:r>
    </w:p>
    <w:p>
      <w:pPr>
        <w:pStyle w:val="BodyText"/>
        <w:spacing w:line="258" w:lineRule="exact" w:before="41"/>
        <w:ind w:left="852"/>
      </w:pPr>
      <w:r>
        <w:rPr/>
        <w:t>（4）肝功能指标进行性恶化。 </w:t>
      </w:r>
    </w:p>
    <w:p>
      <w:pPr>
        <w:spacing w:line="348" w:lineRule="exact" w:before="0"/>
        <w:ind w:left="497" w:right="0" w:firstLine="0"/>
        <w:jc w:val="left"/>
        <w:rPr>
          <w:rFonts w:ascii="Microsoft JhengHei" w:eastAsia="Microsoft JhengHei" w:hint="eastAsia"/>
          <w:b/>
          <w:sz w:val="21"/>
        </w:rPr>
      </w:pPr>
      <w:r>
        <w:rPr>
          <w:rFonts w:ascii="Microsoft JhengHei" w:eastAsia="Microsoft JhengHei" w:hint="eastAsia"/>
          <w:b/>
          <w:sz w:val="21"/>
        </w:rPr>
        <w:t>9、  良性脑肿瘤：</w:t>
      </w:r>
    </w:p>
    <w:p>
      <w:pPr>
        <w:pStyle w:val="BodyText"/>
        <w:spacing w:line="273" w:lineRule="auto" w:before="18"/>
        <w:ind w:left="488" w:right="646" w:firstLine="480"/>
        <w:jc w:val="both"/>
      </w:pPr>
      <w:r>
        <w:rPr>
          <w:spacing w:val="-2"/>
        </w:rPr>
        <w:t>指脑的良性肿瘤，已经引起颅内压增高，临床表现为视神经乳头水肿、精神症状、癫痫及运动感觉</w:t>
      </w:r>
      <w:r>
        <w:rPr>
          <w:spacing w:val="-6"/>
          <w:w w:val="100"/>
        </w:rPr>
        <w:t>障碍等，并危及生命。须由头颅断层扫描</w:t>
      </w:r>
      <w:r>
        <w:rPr>
          <w:w w:val="100"/>
        </w:rPr>
        <w:t>（CT</w:t>
      </w:r>
      <w:r>
        <w:rPr>
          <w:spacing w:val="-106"/>
          <w:w w:val="100"/>
        </w:rPr>
        <w:t>）</w:t>
      </w:r>
      <w:r>
        <w:rPr>
          <w:spacing w:val="-4"/>
          <w:w w:val="100"/>
        </w:rPr>
        <w:t>、核磁共振检查</w:t>
      </w:r>
      <w:r>
        <w:rPr>
          <w:w w:val="100"/>
        </w:rPr>
        <w:t>（MRI</w:t>
      </w:r>
      <w:r>
        <w:rPr>
          <w:spacing w:val="-10"/>
          <w:w w:val="100"/>
        </w:rPr>
        <w:t>）</w:t>
      </w:r>
      <w:r>
        <w:rPr>
          <w:spacing w:val="-2"/>
          <w:w w:val="100"/>
        </w:rPr>
        <w:t>或正电子发射断层扫描</w:t>
      </w:r>
      <w:r>
        <w:rPr>
          <w:w w:val="100"/>
        </w:rPr>
        <w:t>（PET</w:t>
      </w:r>
      <w:r>
        <w:rPr>
          <w:spacing w:val="-10"/>
          <w:w w:val="100"/>
        </w:rPr>
        <w:t>）</w:t>
      </w:r>
      <w:r>
        <w:rPr>
          <w:w w:val="100"/>
        </w:rPr>
        <w:t>等</w:t>
      </w:r>
      <w:r>
        <w:rPr>
          <w:spacing w:val="-2"/>
        </w:rPr>
        <w:t>影像学检查证实，并须满足下列至少一项条件：</w:t>
      </w:r>
      <w:r>
        <w:rPr/>
        <w:t>  </w:t>
      </w:r>
    </w:p>
    <w:p>
      <w:pPr>
        <w:pStyle w:val="BodyText"/>
        <w:spacing w:before="2"/>
        <w:ind w:left="910"/>
      </w:pPr>
      <w:r>
        <w:rPr/>
        <w:t>（1）实际实施了开颅进行的脑肿瘤完全切除或部分切除的手术；  </w:t>
      </w:r>
    </w:p>
    <w:p>
      <w:pPr>
        <w:pStyle w:val="BodyText"/>
        <w:spacing w:before="41"/>
        <w:ind w:left="910"/>
      </w:pPr>
      <w:r>
        <w:rPr/>
        <w:t>（2）实际实施了对脑肿瘤进行的放射治疗。  </w:t>
      </w:r>
    </w:p>
    <w:p>
      <w:pPr>
        <w:pStyle w:val="BodyText"/>
        <w:spacing w:line="262" w:lineRule="exact" w:before="32"/>
        <w:ind w:left="910"/>
      </w:pPr>
      <w:r>
        <w:rPr/>
        <w:t>脑垂体瘤、脑囊肿、脑血管性疾病不在保障范围内。 </w:t>
      </w:r>
    </w:p>
    <w:p>
      <w:pPr>
        <w:spacing w:line="353" w:lineRule="exact" w:before="0"/>
        <w:ind w:left="497" w:right="0" w:firstLine="0"/>
        <w:jc w:val="left"/>
        <w:rPr>
          <w:rFonts w:ascii="Microsoft JhengHei" w:eastAsia="Microsoft JhengHei" w:hint="eastAsia"/>
          <w:b/>
          <w:sz w:val="21"/>
        </w:rPr>
      </w:pPr>
      <w:r>
        <w:rPr>
          <w:rFonts w:ascii="Microsoft JhengHei" w:eastAsia="Microsoft JhengHei" w:hint="eastAsia"/>
          <w:b/>
          <w:sz w:val="21"/>
        </w:rPr>
        <w:t>10、 慢性肝功能衰竭失代偿期：</w:t>
      </w:r>
    </w:p>
    <w:p>
      <w:pPr>
        <w:pStyle w:val="BodyText"/>
        <w:spacing w:before="8"/>
        <w:ind w:left="977"/>
      </w:pPr>
      <w:r>
        <w:rPr/>
        <w:t>指因慢性肝脏疾病导致肝功能衰竭。须满足下列全部条件：  </w:t>
      </w:r>
    </w:p>
    <w:p>
      <w:pPr>
        <w:pStyle w:val="BodyText"/>
        <w:spacing w:before="41"/>
        <w:ind w:left="977"/>
      </w:pPr>
      <w:r>
        <w:rPr/>
        <w:t>（1）持续性黄疸；  </w:t>
      </w:r>
    </w:p>
    <w:p>
      <w:pPr>
        <w:pStyle w:val="BodyText"/>
        <w:spacing w:before="32"/>
        <w:ind w:left="977"/>
      </w:pPr>
      <w:r>
        <w:rPr/>
        <w:t>（2）腹水；  </w:t>
      </w:r>
    </w:p>
    <w:p>
      <w:pPr>
        <w:pStyle w:val="BodyText"/>
        <w:spacing w:before="42"/>
        <w:ind w:left="977"/>
      </w:pPr>
      <w:r>
        <w:rPr/>
        <w:t>（3）肝性脑病；   </w:t>
      </w:r>
    </w:p>
    <w:p>
      <w:pPr>
        <w:pStyle w:val="BodyText"/>
        <w:spacing w:line="276" w:lineRule="auto" w:before="32"/>
        <w:ind w:left="910" w:right="4315" w:firstLine="67"/>
      </w:pPr>
      <w:r>
        <w:rPr/>
        <w:t>（4）充血性脾肿大伴脾功能亢进或食管胃底静脉曲张。 </w:t>
      </w:r>
      <w:r>
        <w:rPr>
          <w:spacing w:val="-1"/>
        </w:rPr>
        <w:t>因酗酒或药物滥用导致的肝功能衰竭不在保障范围内。 </w:t>
      </w:r>
    </w:p>
    <w:p>
      <w:pPr>
        <w:spacing w:line="300" w:lineRule="exact" w:before="0"/>
        <w:ind w:left="497" w:right="0" w:firstLine="0"/>
        <w:jc w:val="left"/>
        <w:rPr>
          <w:rFonts w:ascii="Microsoft JhengHei" w:eastAsia="Microsoft JhengHei" w:hint="eastAsia"/>
          <w:b/>
          <w:sz w:val="21"/>
        </w:rPr>
      </w:pPr>
      <w:r>
        <w:rPr>
          <w:rFonts w:ascii="Microsoft JhengHei" w:eastAsia="Microsoft JhengHei" w:hint="eastAsia"/>
          <w:b/>
          <w:sz w:val="21"/>
        </w:rPr>
        <w:t>11、 脑炎后遗症或脑膜炎后遗症：</w:t>
      </w:r>
    </w:p>
    <w:p>
      <w:pPr>
        <w:pStyle w:val="BodyText"/>
        <w:spacing w:before="18"/>
        <w:ind w:left="968"/>
      </w:pPr>
      <w:r>
        <w:rPr/>
        <w:t>指因患脑炎或脑膜炎导致的神经系统永久性的功能障碍。神经系统永久性的功能障碍，指疾病确诊</w:t>
      </w:r>
    </w:p>
    <w:p>
      <w:pPr>
        <w:pStyle w:val="BodyText"/>
        <w:spacing w:before="32"/>
        <w:ind w:left="488"/>
      </w:pPr>
      <w:r>
        <w:rPr/>
        <w:t>180 天后，仍遗留下列一种或一种以上障碍：  </w:t>
      </w:r>
    </w:p>
    <w:p>
      <w:pPr>
        <w:pStyle w:val="BodyText"/>
        <w:spacing w:before="42"/>
        <w:ind w:left="910"/>
      </w:pPr>
      <w:r>
        <w:rPr/>
        <w:t>（1）一肢或一肢以上肢体机能完全丧失；  </w:t>
      </w:r>
    </w:p>
    <w:p>
      <w:pPr>
        <w:pStyle w:val="BodyText"/>
        <w:spacing w:before="32"/>
        <w:ind w:left="910"/>
      </w:pPr>
      <w:r>
        <w:rPr/>
        <w:t>（2）语言能力或咀嚼吞咽能力完全丧失；  </w:t>
      </w:r>
    </w:p>
    <w:p>
      <w:pPr>
        <w:pStyle w:val="BodyText"/>
        <w:spacing w:line="258" w:lineRule="exact" w:before="41"/>
        <w:ind w:left="852"/>
      </w:pPr>
      <w:r>
        <w:rPr/>
        <w:t>（3）自主生活能力完全丧失，无法独立完成六项基本日常生活活动中的三项或三项以上。 </w:t>
      </w:r>
    </w:p>
    <w:p>
      <w:pPr>
        <w:spacing w:line="348" w:lineRule="exact" w:before="0"/>
        <w:ind w:left="497" w:right="0" w:firstLine="0"/>
        <w:jc w:val="left"/>
        <w:rPr>
          <w:rFonts w:ascii="Microsoft JhengHei" w:eastAsia="Microsoft JhengHei" w:hint="eastAsia"/>
          <w:b/>
          <w:sz w:val="21"/>
        </w:rPr>
      </w:pPr>
      <w:r>
        <w:rPr>
          <w:rFonts w:ascii="Microsoft JhengHei" w:eastAsia="Microsoft JhengHei" w:hint="eastAsia"/>
          <w:b/>
          <w:sz w:val="21"/>
        </w:rPr>
        <w:t>12、 深度昏迷：</w:t>
      </w:r>
    </w:p>
    <w:p>
      <w:pPr>
        <w:pStyle w:val="BodyText"/>
        <w:spacing w:before="18"/>
        <w:ind w:left="968"/>
      </w:pPr>
      <w:r>
        <w:rPr/>
        <w:t>指因疾病或意外伤害导致意识丧失,对外界刺激和体内需求均无反应,昏迷程度按照格拉斯哥昏迷分</w:t>
      </w:r>
    </w:p>
    <w:p>
      <w:pPr>
        <w:spacing w:after="0"/>
        <w:sectPr>
          <w:footerReference w:type="default" r:id="rId12"/>
          <w:pgSz w:w="11900" w:h="16840"/>
          <w:pgMar w:footer="1009" w:header="886" w:top="1080" w:bottom="1200" w:left="1000" w:right="240"/>
          <w:pgNumType w:start="11"/>
        </w:sectPr>
      </w:pPr>
    </w:p>
    <w:p>
      <w:pPr>
        <w:pStyle w:val="BodyText"/>
        <w:spacing w:before="7"/>
        <w:rPr>
          <w:sz w:val="3"/>
        </w:rPr>
      </w:pPr>
    </w:p>
    <w:p>
      <w:pPr>
        <w:pStyle w:val="BodyText"/>
        <w:spacing w:line="20" w:lineRule="exact"/>
        <w:ind w:left="100"/>
        <w:rPr>
          <w:sz w:val="2"/>
        </w:rPr>
      </w:pPr>
      <w:r>
        <w:rPr>
          <w:rFonts w:ascii="Times New Roman"/>
          <w:spacing w:val="5"/>
          <w:sz w:val="2"/>
        </w:rPr>
        <w:t> </w:t>
      </w:r>
      <w:r>
        <w:rPr>
          <w:spacing w:val="5"/>
          <w:sz w:val="2"/>
        </w:rPr>
        <w:pict>
          <v:group style="width:499.2pt;height:.5pt;mso-position-horizontal-relative:char;mso-position-vertical-relative:line" coordorigin="0,0" coordsize="9984,10">
            <v:line style="position:absolute" from="0,5" to="9984,5" stroked="true" strokeweight=".48pt" strokecolor="#000000">
              <v:stroke dashstyle="solid"/>
            </v:line>
          </v:group>
        </w:pict>
      </w:r>
      <w:r>
        <w:rPr>
          <w:spacing w:val="5"/>
          <w:sz w:val="2"/>
        </w:rPr>
      </w:r>
    </w:p>
    <w:p>
      <w:pPr>
        <w:pStyle w:val="BodyText"/>
        <w:spacing w:line="276" w:lineRule="auto"/>
        <w:ind w:left="489" w:right="265"/>
      </w:pPr>
      <w:r>
        <w:rPr/>
        <w:t>级（Glasgow coma scale）</w:t>
      </w:r>
      <w:r>
        <w:rPr>
          <w:spacing w:val="-14"/>
        </w:rPr>
        <w:t>结果为 </w:t>
      </w:r>
      <w:r>
        <w:rPr/>
        <w:t>5</w:t>
      </w:r>
      <w:r>
        <w:rPr>
          <w:spacing w:val="-27"/>
        </w:rPr>
        <w:t> 分或 </w:t>
      </w:r>
      <w:r>
        <w:rPr/>
        <w:t>5</w:t>
      </w:r>
      <w:r>
        <w:rPr>
          <w:spacing w:val="-10"/>
        </w:rPr>
        <w:t> 分以下，且已经持续使用呼吸机及其他生命维持系统 </w:t>
      </w:r>
      <w:r>
        <w:rPr/>
        <w:t>96</w:t>
      </w:r>
      <w:r>
        <w:rPr>
          <w:spacing w:val="-18"/>
        </w:rPr>
        <w:t> 小时以上。  </w:t>
      </w:r>
    </w:p>
    <w:p>
      <w:pPr>
        <w:pStyle w:val="BodyText"/>
        <w:spacing w:line="262" w:lineRule="exact" w:before="1"/>
        <w:ind w:left="911"/>
      </w:pPr>
      <w:r>
        <w:rPr/>
        <w:t>因酗酒或药物滥用导致的深度昏迷不在保障范围内。 </w:t>
      </w:r>
    </w:p>
    <w:p>
      <w:pPr>
        <w:spacing w:line="353" w:lineRule="exact" w:before="0"/>
        <w:ind w:left="499" w:right="0" w:firstLine="0"/>
        <w:jc w:val="left"/>
        <w:rPr>
          <w:rFonts w:ascii="Microsoft JhengHei" w:eastAsia="Microsoft JhengHei" w:hint="eastAsia"/>
          <w:b/>
          <w:sz w:val="21"/>
        </w:rPr>
      </w:pPr>
      <w:r>
        <w:rPr>
          <w:rFonts w:ascii="Microsoft JhengHei" w:eastAsia="Microsoft JhengHei" w:hint="eastAsia"/>
          <w:b/>
          <w:sz w:val="21"/>
        </w:rPr>
        <w:t>13、 双耳失聪：</w:t>
      </w:r>
    </w:p>
    <w:p>
      <w:pPr>
        <w:pStyle w:val="BodyText"/>
        <w:spacing w:before="8"/>
        <w:ind w:left="911"/>
      </w:pPr>
      <w:r>
        <w:rPr>
          <w:spacing w:val="-4"/>
        </w:rPr>
        <w:t>指因疾病或意外伤害导致双耳听力永久不可逆性丧失，在 </w:t>
      </w:r>
      <w:r>
        <w:rPr/>
        <w:t>500</w:t>
      </w:r>
      <w:r>
        <w:rPr>
          <w:spacing w:val="-26"/>
        </w:rPr>
        <w:t> 赫兹、</w:t>
      </w:r>
      <w:r>
        <w:rPr/>
        <w:t>1000</w:t>
      </w:r>
      <w:r>
        <w:rPr>
          <w:spacing w:val="-22"/>
        </w:rPr>
        <w:t> 赫兹和 </w:t>
      </w:r>
      <w:r>
        <w:rPr/>
        <w:t>2000</w:t>
      </w:r>
      <w:r>
        <w:rPr>
          <w:spacing w:val="-9"/>
        </w:rPr>
        <w:t> 赫兹语音频率</w:t>
      </w:r>
    </w:p>
    <w:p>
      <w:pPr>
        <w:pStyle w:val="BodyText"/>
        <w:spacing w:line="258" w:lineRule="exact" w:before="41"/>
        <w:ind w:left="489"/>
      </w:pPr>
      <w:r>
        <w:rPr/>
        <w:t>下，平均听阈大于 90 分贝，且经纯音听力测试、声导抗检测或听觉诱发电位检测等证实。 </w:t>
      </w:r>
    </w:p>
    <w:p>
      <w:pPr>
        <w:spacing w:line="348" w:lineRule="exact" w:before="0"/>
        <w:ind w:left="499" w:right="0" w:firstLine="0"/>
        <w:jc w:val="left"/>
        <w:rPr>
          <w:rFonts w:ascii="Microsoft JhengHei" w:eastAsia="Microsoft JhengHei" w:hint="eastAsia"/>
          <w:b/>
          <w:sz w:val="21"/>
        </w:rPr>
      </w:pPr>
      <w:r>
        <w:rPr>
          <w:rFonts w:ascii="Microsoft JhengHei" w:eastAsia="Microsoft JhengHei" w:hint="eastAsia"/>
          <w:b/>
          <w:sz w:val="21"/>
        </w:rPr>
        <w:t>14、 双目失明：</w:t>
      </w:r>
    </w:p>
    <w:p>
      <w:pPr>
        <w:pStyle w:val="BodyText"/>
        <w:spacing w:before="18"/>
        <w:ind w:left="969"/>
      </w:pPr>
      <w:r>
        <w:rPr/>
        <w:t>指因疾病或意外伤害导致双眼视力永久不可逆性丧失，双眼中较好眼须满足下列至少一项条件：  </w:t>
      </w:r>
    </w:p>
    <w:p>
      <w:pPr>
        <w:pStyle w:val="BodyText"/>
        <w:spacing w:before="31"/>
        <w:ind w:left="911"/>
      </w:pPr>
      <w:r>
        <w:rPr/>
        <w:t>（1）眼球缺失或摘除；  </w:t>
      </w:r>
    </w:p>
    <w:p>
      <w:pPr>
        <w:pStyle w:val="BodyText"/>
        <w:spacing w:before="41"/>
        <w:ind w:left="911"/>
      </w:pPr>
      <w:r>
        <w:rPr>
          <w:w w:val="100"/>
        </w:rPr>
        <w:t>（2）矫正视力低于</w:t>
      </w:r>
      <w:r>
        <w:rPr>
          <w:spacing w:val="-57"/>
        </w:rPr>
        <w:t> </w:t>
      </w:r>
      <w:r>
        <w:rPr>
          <w:w w:val="100"/>
        </w:rPr>
        <w:t>0.02（</w:t>
      </w:r>
      <w:r>
        <w:rPr>
          <w:spacing w:val="-2"/>
          <w:w w:val="100"/>
        </w:rPr>
        <w:t>采用国际标准视力表，如果使用其他视力表应进行换算</w:t>
      </w:r>
      <w:r>
        <w:rPr>
          <w:spacing w:val="-106"/>
          <w:w w:val="100"/>
        </w:rPr>
        <w:t>）</w:t>
      </w:r>
      <w:r>
        <w:rPr>
          <w:w w:val="100"/>
        </w:rPr>
        <w:t>；  </w:t>
      </w:r>
    </w:p>
    <w:p>
      <w:pPr>
        <w:pStyle w:val="BodyText"/>
        <w:spacing w:line="262" w:lineRule="exact" w:before="32"/>
        <w:ind w:left="911"/>
      </w:pPr>
      <w:r>
        <w:rPr/>
        <w:t>（3）视野半径小于 5 度。 </w:t>
      </w:r>
    </w:p>
    <w:p>
      <w:pPr>
        <w:spacing w:line="353" w:lineRule="exact" w:before="0"/>
        <w:ind w:left="499" w:right="0" w:firstLine="0"/>
        <w:jc w:val="left"/>
        <w:rPr>
          <w:rFonts w:ascii="Microsoft JhengHei" w:eastAsia="Microsoft JhengHei" w:hint="eastAsia"/>
          <w:b/>
          <w:sz w:val="21"/>
        </w:rPr>
      </w:pPr>
      <w:r>
        <w:rPr>
          <w:rFonts w:ascii="Microsoft JhengHei" w:eastAsia="Microsoft JhengHei" w:hint="eastAsia"/>
          <w:b/>
          <w:sz w:val="21"/>
        </w:rPr>
        <w:t>15、 瘫痪：</w:t>
      </w:r>
    </w:p>
    <w:p>
      <w:pPr>
        <w:pStyle w:val="BodyText"/>
        <w:spacing w:line="276" w:lineRule="auto" w:before="8"/>
        <w:ind w:left="489" w:right="169" w:firstLine="422"/>
      </w:pPr>
      <w:r>
        <w:rPr/>
        <w:t>指因疾病或意外伤害导致两肢或两肢以上肢体机能永久完全丧失。肢体机能永久完全丧失，指疾病</w:t>
      </w:r>
      <w:r>
        <w:rPr>
          <w:spacing w:val="-18"/>
        </w:rPr>
        <w:t>确诊 </w:t>
      </w:r>
      <w:r>
        <w:rPr/>
        <w:t>180</w:t>
      </w:r>
      <w:r>
        <w:rPr>
          <w:spacing w:val="-12"/>
        </w:rPr>
        <w:t> 天后或意外伤害发生 </w:t>
      </w:r>
      <w:r>
        <w:rPr/>
        <w:t>180</w:t>
      </w:r>
      <w:r>
        <w:rPr>
          <w:spacing w:val="-15"/>
        </w:rPr>
        <w:t> 天后，每肢三大关节中的两大关节仍然完全僵硬，或不能随意识活动。</w:t>
      </w:r>
      <w:r>
        <w:rPr/>
        <w:t> </w:t>
      </w:r>
    </w:p>
    <w:p>
      <w:pPr>
        <w:spacing w:line="300" w:lineRule="exact" w:before="0"/>
        <w:ind w:left="499" w:right="0" w:firstLine="0"/>
        <w:jc w:val="left"/>
        <w:rPr>
          <w:rFonts w:ascii="Microsoft JhengHei" w:eastAsia="Microsoft JhengHei" w:hint="eastAsia"/>
          <w:b/>
          <w:sz w:val="21"/>
        </w:rPr>
      </w:pPr>
      <w:r>
        <w:rPr>
          <w:rFonts w:ascii="Microsoft JhengHei" w:eastAsia="Microsoft JhengHei" w:hint="eastAsia"/>
          <w:b/>
          <w:sz w:val="21"/>
        </w:rPr>
        <w:t>16、 心脏瓣膜手术：</w:t>
      </w:r>
    </w:p>
    <w:p>
      <w:pPr>
        <w:pStyle w:val="BodyText"/>
        <w:spacing w:line="258" w:lineRule="exact" w:before="18"/>
        <w:ind w:left="911"/>
      </w:pPr>
      <w:r>
        <w:rPr/>
        <w:t>指为治疗心脏瓣膜疾病，实际实施了开胸进行的心脏瓣膜置换或修复的手术。 </w:t>
      </w:r>
    </w:p>
    <w:p>
      <w:pPr>
        <w:spacing w:line="348" w:lineRule="exact" w:before="0"/>
        <w:ind w:left="499" w:right="0" w:firstLine="0"/>
        <w:jc w:val="left"/>
        <w:rPr>
          <w:rFonts w:ascii="Microsoft JhengHei" w:eastAsia="Microsoft JhengHei" w:hint="eastAsia"/>
          <w:b/>
          <w:sz w:val="21"/>
        </w:rPr>
      </w:pPr>
      <w:r>
        <w:rPr>
          <w:rFonts w:ascii="Microsoft JhengHei" w:eastAsia="Microsoft JhengHei" w:hint="eastAsia"/>
          <w:b/>
          <w:sz w:val="21"/>
        </w:rPr>
        <w:t>17、 严重阿尔茨海默病：</w:t>
      </w:r>
    </w:p>
    <w:p>
      <w:pPr>
        <w:pStyle w:val="BodyText"/>
        <w:spacing w:line="271" w:lineRule="auto" w:before="19"/>
        <w:ind w:left="489" w:right="159" w:firstLine="480"/>
      </w:pPr>
      <w:r>
        <w:rPr>
          <w:spacing w:val="-1"/>
        </w:rPr>
        <w:t>指因大脑进行性、不可逆性改变导致智能严重衰退或丧失，临床表现为明显的认知能力障碍、行为</w:t>
      </w:r>
      <w:r>
        <w:rPr>
          <w:spacing w:val="-11"/>
          <w:w w:val="100"/>
        </w:rPr>
        <w:t>异常和社交能力减退，其日常生活必须持续受到他人监护。须由头颅断层扫描</w:t>
      </w:r>
      <w:r>
        <w:rPr>
          <w:w w:val="100"/>
        </w:rPr>
        <w:t>（CT</w:t>
      </w:r>
      <w:r>
        <w:rPr>
          <w:spacing w:val="-116"/>
          <w:w w:val="100"/>
        </w:rPr>
        <w:t>）</w:t>
      </w:r>
      <w:r>
        <w:rPr>
          <w:spacing w:val="-16"/>
          <w:w w:val="100"/>
        </w:rPr>
        <w:t>、核磁共振检查</w:t>
      </w:r>
      <w:r>
        <w:rPr>
          <w:w w:val="100"/>
        </w:rPr>
        <w:t>（MRI）</w:t>
      </w:r>
      <w:r>
        <w:rPr>
          <w:spacing w:val="-1"/>
        </w:rPr>
        <w:t>或正电子发射断层扫描</w:t>
      </w:r>
      <w:r>
        <w:rPr>
          <w:spacing w:val="-5"/>
        </w:rPr>
        <w:t>（PET）</w:t>
      </w:r>
      <w:r>
        <w:rPr>
          <w:spacing w:val="-4"/>
        </w:rPr>
        <w:t>等影像学检查证实，且自主生活能力完全丧失，无法独立完成六项基本日</w:t>
      </w:r>
      <w:r>
        <w:rPr>
          <w:spacing w:val="-1"/>
        </w:rPr>
        <w:t>常生活活动中的三项或三项以上。  </w:t>
      </w:r>
    </w:p>
    <w:p>
      <w:pPr>
        <w:pStyle w:val="BodyText"/>
        <w:spacing w:line="258" w:lineRule="exact" w:before="15"/>
        <w:ind w:left="911"/>
      </w:pPr>
      <w:r>
        <w:rPr/>
        <w:t>神经官能症和精神疾病不在保障范围内。 </w:t>
      </w:r>
    </w:p>
    <w:p>
      <w:pPr>
        <w:spacing w:line="348" w:lineRule="exact" w:before="0"/>
        <w:ind w:left="499" w:right="0" w:firstLine="0"/>
        <w:jc w:val="left"/>
        <w:rPr>
          <w:rFonts w:ascii="Microsoft JhengHei" w:eastAsia="Microsoft JhengHei" w:hint="eastAsia"/>
          <w:b/>
          <w:sz w:val="21"/>
        </w:rPr>
      </w:pPr>
      <w:r>
        <w:rPr>
          <w:rFonts w:ascii="Microsoft JhengHei" w:eastAsia="Microsoft JhengHei" w:hint="eastAsia"/>
          <w:b/>
          <w:sz w:val="21"/>
        </w:rPr>
        <w:t>18、 严重脑损伤：</w:t>
      </w:r>
    </w:p>
    <w:p>
      <w:pPr>
        <w:pStyle w:val="BodyText"/>
        <w:spacing w:line="273" w:lineRule="auto" w:before="18"/>
        <w:ind w:left="489" w:right="265" w:firstLine="480"/>
        <w:jc w:val="both"/>
      </w:pPr>
      <w:r>
        <w:rPr>
          <w:spacing w:val="-2"/>
        </w:rPr>
        <w:t>指因头部遭受机械性外力，引起脑重要部位损伤，导致神经系统永久性的功能障碍。须由头颅断层</w:t>
      </w:r>
      <w:r>
        <w:rPr>
          <w:spacing w:val="-6"/>
          <w:w w:val="100"/>
        </w:rPr>
        <w:t>扫描</w:t>
      </w:r>
      <w:r>
        <w:rPr>
          <w:w w:val="100"/>
        </w:rPr>
        <w:t>（CT</w:t>
      </w:r>
      <w:r>
        <w:rPr>
          <w:spacing w:val="-106"/>
          <w:w w:val="100"/>
        </w:rPr>
        <w:t>）</w:t>
      </w:r>
      <w:r>
        <w:rPr>
          <w:spacing w:val="-4"/>
          <w:w w:val="100"/>
        </w:rPr>
        <w:t>、核磁共振检查</w:t>
      </w:r>
      <w:r>
        <w:rPr>
          <w:w w:val="100"/>
        </w:rPr>
        <w:t>（MRI</w:t>
      </w:r>
      <w:r>
        <w:rPr>
          <w:spacing w:val="-10"/>
          <w:w w:val="100"/>
        </w:rPr>
        <w:t>）</w:t>
      </w:r>
      <w:r>
        <w:rPr>
          <w:spacing w:val="-3"/>
          <w:w w:val="100"/>
        </w:rPr>
        <w:t>或正电子发射断层扫描</w:t>
      </w:r>
      <w:r>
        <w:rPr>
          <w:w w:val="100"/>
        </w:rPr>
        <w:t>（PET</w:t>
      </w:r>
      <w:r>
        <w:rPr>
          <w:spacing w:val="-10"/>
          <w:w w:val="100"/>
        </w:rPr>
        <w:t>）</w:t>
      </w:r>
      <w:r>
        <w:rPr>
          <w:spacing w:val="-2"/>
          <w:w w:val="100"/>
        </w:rPr>
        <w:t>等影像学检查证实。神经系统永久性的</w:t>
      </w:r>
      <w:r>
        <w:rPr>
          <w:spacing w:val="-5"/>
        </w:rPr>
        <w:t>功能障碍，指脑损伤 </w:t>
      </w:r>
      <w:r>
        <w:rPr/>
        <w:t>180</w:t>
      </w:r>
      <w:r>
        <w:rPr>
          <w:spacing w:val="-7"/>
        </w:rPr>
        <w:t> 天后，仍遗留下列一种或一种以上障碍：  </w:t>
      </w:r>
    </w:p>
    <w:p>
      <w:pPr>
        <w:pStyle w:val="BodyText"/>
        <w:spacing w:before="3"/>
        <w:ind w:left="911"/>
      </w:pPr>
      <w:r>
        <w:rPr/>
        <w:t>（1）一肢或一肢以上肢体机能完全丧失；  </w:t>
      </w:r>
    </w:p>
    <w:p>
      <w:pPr>
        <w:pStyle w:val="BodyText"/>
        <w:spacing w:before="42"/>
        <w:ind w:left="911"/>
      </w:pPr>
      <w:r>
        <w:rPr/>
        <w:t>（2）语言能力或咀嚼吞咽能力完全丧失；  </w:t>
      </w:r>
    </w:p>
    <w:p>
      <w:pPr>
        <w:pStyle w:val="BodyText"/>
        <w:spacing w:line="262" w:lineRule="exact" w:before="32"/>
        <w:ind w:left="854"/>
      </w:pPr>
      <w:r>
        <w:rPr/>
        <w:t>（3）自主生活能力完全丧失，无法独立完成六项基本日常生活活动中的三项或三项以上。 </w:t>
      </w:r>
    </w:p>
    <w:p>
      <w:pPr>
        <w:spacing w:line="353" w:lineRule="exact" w:before="0"/>
        <w:ind w:left="499" w:right="0" w:firstLine="0"/>
        <w:jc w:val="left"/>
        <w:rPr>
          <w:rFonts w:ascii="Microsoft JhengHei" w:eastAsia="Microsoft JhengHei" w:hint="eastAsia"/>
          <w:b/>
          <w:sz w:val="21"/>
        </w:rPr>
      </w:pPr>
      <w:r>
        <w:rPr>
          <w:rFonts w:ascii="Microsoft JhengHei" w:eastAsia="Microsoft JhengHei" w:hint="eastAsia"/>
          <w:b/>
          <w:sz w:val="21"/>
        </w:rPr>
        <w:t>19、 严重帕金森病：</w:t>
      </w:r>
    </w:p>
    <w:p>
      <w:pPr>
        <w:pStyle w:val="BodyText"/>
        <w:spacing w:before="9"/>
        <w:ind w:left="969"/>
      </w:pPr>
      <w:r>
        <w:rPr/>
        <w:t>是一种中枢神经系统的退行性疾病，临床表现为震颤麻痹、共济失调等。须满足下列全部条件：  </w:t>
      </w:r>
    </w:p>
    <w:p>
      <w:pPr>
        <w:pStyle w:val="BodyText"/>
        <w:spacing w:before="42"/>
        <w:ind w:left="911"/>
      </w:pPr>
      <w:r>
        <w:rPr/>
        <w:t>（1）药物治疗无法控制病情；  </w:t>
      </w:r>
    </w:p>
    <w:p>
      <w:pPr>
        <w:pStyle w:val="BodyText"/>
        <w:spacing w:line="276" w:lineRule="auto" w:before="32"/>
        <w:ind w:left="979" w:right="850" w:hanging="68"/>
      </w:pPr>
      <w:r>
        <w:rPr/>
        <w:t>（2）</w:t>
      </w:r>
      <w:r>
        <w:rPr>
          <w:spacing w:val="-1"/>
        </w:rPr>
        <w:t>自主生活能力完全丧失，无法独立完成六项基本日常生活活动中的三项或三项以上。 继发性帕金森综合征不在保障范围内。 </w:t>
      </w:r>
    </w:p>
    <w:p>
      <w:pPr>
        <w:spacing w:line="300" w:lineRule="exact" w:before="0"/>
        <w:ind w:left="499" w:right="0" w:firstLine="0"/>
        <w:jc w:val="left"/>
        <w:rPr>
          <w:rFonts w:ascii="Microsoft JhengHei" w:hAnsi="Microsoft JhengHei" w:eastAsia="Microsoft JhengHei" w:hint="eastAsia"/>
          <w:b/>
          <w:sz w:val="21"/>
        </w:rPr>
      </w:pPr>
      <w:r>
        <w:rPr>
          <w:rFonts w:ascii="Microsoft JhengHei" w:hAnsi="Microsoft JhengHei" w:eastAsia="Microsoft JhengHei" w:hint="eastAsia"/>
          <w:b/>
          <w:sz w:val="21"/>
        </w:rPr>
        <w:t>20、 严重Ⅲ度烧伤：</w:t>
      </w:r>
    </w:p>
    <w:p>
      <w:pPr>
        <w:pStyle w:val="BodyText"/>
        <w:spacing w:line="268" w:lineRule="auto" w:before="18"/>
        <w:ind w:left="489" w:right="265" w:firstLine="422"/>
      </w:pPr>
      <w:r>
        <w:rPr>
          <w:spacing w:val="-5"/>
        </w:rPr>
        <w:t>指烧伤程度为Ⅲ度，且Ⅲ度烧伤的面积达到全身体表面积的 </w:t>
      </w:r>
      <w:r>
        <w:rPr/>
        <w:t>20％</w:t>
      </w:r>
      <w:r>
        <w:rPr>
          <w:spacing w:val="-23"/>
        </w:rPr>
        <w:t>或 </w:t>
      </w:r>
      <w:r>
        <w:rPr/>
        <w:t>20％</w:t>
      </w:r>
      <w:r>
        <w:rPr>
          <w:spacing w:val="-7"/>
        </w:rPr>
        <w:t>以上。体表面积根据《中国新九分法》计算。 </w:t>
      </w:r>
    </w:p>
    <w:p>
      <w:pPr>
        <w:spacing w:line="315" w:lineRule="exact" w:before="0"/>
        <w:ind w:left="499" w:right="0" w:firstLine="0"/>
        <w:jc w:val="left"/>
        <w:rPr>
          <w:rFonts w:ascii="Microsoft JhengHei" w:eastAsia="Microsoft JhengHei" w:hint="eastAsia"/>
          <w:b/>
          <w:sz w:val="21"/>
        </w:rPr>
      </w:pPr>
      <w:r>
        <w:rPr>
          <w:rFonts w:ascii="Microsoft JhengHei" w:eastAsia="Microsoft JhengHei" w:hint="eastAsia"/>
          <w:b/>
          <w:sz w:val="21"/>
        </w:rPr>
        <w:t>21、 严重原发性肺动脉高压：</w:t>
      </w:r>
    </w:p>
    <w:p>
      <w:pPr>
        <w:pStyle w:val="BodyText"/>
        <w:spacing w:line="276" w:lineRule="auto" w:before="9"/>
        <w:ind w:left="489" w:right="255" w:firstLine="422"/>
      </w:pPr>
      <w:r>
        <w:rPr/>
        <w:t>指不明原因的肺动脉压力持续性增高，进行性发展而导致的慢性疾病，已经造成永久不可逆性的体力活动能力受限，达到美国纽约心脏病学会心功能状态分级 IV 级，且静息状态下肺动脉平均压超过</w:t>
      </w:r>
    </w:p>
    <w:p>
      <w:pPr>
        <w:pStyle w:val="BodyText"/>
        <w:spacing w:line="262" w:lineRule="exact" w:before="1"/>
        <w:ind w:left="489"/>
      </w:pPr>
      <w:r>
        <w:rPr/>
        <w:t>30mmHg。 </w:t>
      </w:r>
    </w:p>
    <w:p>
      <w:pPr>
        <w:spacing w:line="353" w:lineRule="exact" w:before="0"/>
        <w:ind w:left="499" w:right="0" w:firstLine="0"/>
        <w:jc w:val="left"/>
        <w:rPr>
          <w:rFonts w:ascii="Microsoft JhengHei" w:eastAsia="Microsoft JhengHei" w:hint="eastAsia"/>
          <w:b/>
          <w:sz w:val="21"/>
        </w:rPr>
      </w:pPr>
      <w:r>
        <w:rPr>
          <w:rFonts w:ascii="Microsoft JhengHei" w:eastAsia="Microsoft JhengHei" w:hint="eastAsia"/>
          <w:b/>
          <w:sz w:val="21"/>
        </w:rPr>
        <w:t>22、 严重运动神经元病：</w:t>
      </w:r>
    </w:p>
    <w:p>
      <w:pPr>
        <w:pStyle w:val="BodyText"/>
        <w:spacing w:line="273" w:lineRule="auto" w:before="8"/>
        <w:ind w:left="489" w:right="284" w:firstLine="422"/>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 </w:t>
      </w:r>
    </w:p>
    <w:p>
      <w:pPr>
        <w:spacing w:line="311" w:lineRule="exact" w:before="0"/>
        <w:ind w:left="499" w:right="0" w:firstLine="0"/>
        <w:jc w:val="left"/>
        <w:rPr>
          <w:rFonts w:ascii="Microsoft JhengHei" w:eastAsia="Microsoft JhengHei" w:hint="eastAsia"/>
          <w:b/>
          <w:sz w:val="21"/>
        </w:rPr>
      </w:pPr>
      <w:r>
        <w:rPr>
          <w:rFonts w:ascii="Microsoft JhengHei" w:eastAsia="Microsoft JhengHei" w:hint="eastAsia"/>
          <w:b/>
          <w:sz w:val="21"/>
        </w:rPr>
        <w:t>23、 语言能力丧失：</w:t>
      </w:r>
    </w:p>
    <w:p>
      <w:pPr>
        <w:spacing w:after="0" w:line="311" w:lineRule="exact"/>
        <w:jc w:val="left"/>
        <w:rPr>
          <w:rFonts w:ascii="Microsoft JhengHei" w:eastAsia="Microsoft JhengHei" w:hint="eastAsia"/>
          <w:sz w:val="21"/>
        </w:rPr>
        <w:sectPr>
          <w:pgSz w:w="11900" w:h="16840"/>
          <w:pgMar w:header="886" w:footer="1009" w:top="1080" w:bottom="1200" w:left="720" w:right="900"/>
        </w:sectPr>
      </w:pPr>
    </w:p>
    <w:p>
      <w:pPr>
        <w:pStyle w:val="BodyText"/>
        <w:spacing w:before="12"/>
        <w:rPr>
          <w:rFonts w:ascii="Microsoft JhengHei"/>
          <w:b/>
          <w:sz w:val="2"/>
        </w:rPr>
      </w:pPr>
    </w:p>
    <w:p>
      <w:pPr>
        <w:pStyle w:val="BodyText"/>
        <w:spacing w:line="20" w:lineRule="exact"/>
        <w:ind w:left="99"/>
        <w:rPr>
          <w:rFonts w:ascii="Microsoft JhengHei"/>
          <w:sz w:val="2"/>
        </w:rPr>
      </w:pPr>
      <w:r>
        <w:rPr>
          <w:rFonts w:ascii="Times New Roman"/>
          <w:spacing w:val="5"/>
          <w:sz w:val="2"/>
        </w:rPr>
        <w:t> </w:t>
      </w:r>
      <w:r>
        <w:rPr>
          <w:rFonts w:ascii="Microsoft JhengHei"/>
          <w:spacing w:val="5"/>
          <w:sz w:val="2"/>
        </w:rPr>
        <w:pict>
          <v:group style="width:499.2pt;height:.5pt;mso-position-horizontal-relative:char;mso-position-vertical-relative:line" coordorigin="0,0" coordsize="9984,10">
            <v:line style="position:absolute" from="0,5" to="9984,5" stroked="true" strokeweight=".48pt" strokecolor="#000000">
              <v:stroke dashstyle="solid"/>
            </v:line>
          </v:group>
        </w:pict>
      </w:r>
      <w:r>
        <w:rPr>
          <w:rFonts w:ascii="Microsoft JhengHei"/>
          <w:spacing w:val="5"/>
          <w:sz w:val="2"/>
        </w:rPr>
      </w:r>
    </w:p>
    <w:p>
      <w:pPr>
        <w:pStyle w:val="BodyText"/>
        <w:spacing w:line="276" w:lineRule="auto"/>
        <w:ind w:left="488" w:right="686" w:firstLine="480"/>
      </w:pPr>
      <w:r>
        <w:rPr>
          <w:spacing w:val="-6"/>
        </w:rPr>
        <w:t>指因疾病或意外伤害导致完全丧失语言能力，经过积极治疗至少 </w:t>
      </w:r>
      <w:r>
        <w:rPr/>
        <w:t>12</w:t>
      </w:r>
      <w:r>
        <w:rPr>
          <w:spacing w:val="-34"/>
        </w:rPr>
        <w:t> 个月</w:t>
      </w:r>
      <w:r>
        <w:rPr/>
        <w:t>（声带完全切除不受此时间</w:t>
      </w:r>
      <w:r>
        <w:rPr>
          <w:w w:val="100"/>
        </w:rPr>
        <w:t>限制</w:t>
      </w:r>
      <w:r>
        <w:rPr>
          <w:spacing w:val="-106"/>
          <w:w w:val="100"/>
        </w:rPr>
        <w:t>）</w:t>
      </w:r>
      <w:r>
        <w:rPr>
          <w:spacing w:val="-1"/>
          <w:w w:val="100"/>
        </w:rPr>
        <w:t>，仍无法通过现有医疗手段恢复。  </w:t>
      </w:r>
    </w:p>
    <w:p>
      <w:pPr>
        <w:pStyle w:val="BodyText"/>
        <w:spacing w:line="262" w:lineRule="exact" w:before="1"/>
        <w:ind w:left="910"/>
      </w:pPr>
      <w:r>
        <w:rPr/>
        <w:t>精神心理因素所致的语言能力丧失不在保障范围内。   </w:t>
      </w:r>
    </w:p>
    <w:p>
      <w:pPr>
        <w:tabs>
          <w:tab w:pos="1390" w:val="left" w:leader="none"/>
        </w:tabs>
        <w:spacing w:line="353" w:lineRule="exact" w:before="0"/>
        <w:ind w:left="555" w:right="0" w:firstLine="0"/>
        <w:jc w:val="left"/>
        <w:rPr>
          <w:rFonts w:ascii="Microsoft JhengHei" w:eastAsia="Microsoft JhengHei" w:hint="eastAsia"/>
          <w:b/>
          <w:sz w:val="21"/>
        </w:rPr>
      </w:pPr>
      <w:r>
        <w:rPr>
          <w:rFonts w:ascii="Microsoft JhengHei" w:eastAsia="Microsoft JhengHei" w:hint="eastAsia"/>
          <w:b/>
          <w:sz w:val="21"/>
        </w:rPr>
        <w:t>24、</w:t>
        <w:tab/>
        <w:t>重型再生障碍性贫血：</w:t>
      </w:r>
    </w:p>
    <w:p>
      <w:pPr>
        <w:pStyle w:val="BodyText"/>
        <w:spacing w:line="276" w:lineRule="auto" w:before="8"/>
        <w:ind w:left="487" w:right="686" w:firstLine="480"/>
      </w:pPr>
      <w:r>
        <w:rPr/>
        <w:t>指因骨髓造血功能慢性持续性衰竭导致的贫血、中性粒细胞减少及血小板减少。须满足下列全部条件：  </w:t>
      </w:r>
    </w:p>
    <w:p>
      <w:pPr>
        <w:pStyle w:val="BodyText"/>
        <w:ind w:left="910"/>
      </w:pPr>
      <w:r>
        <w:rPr/>
        <w:t>（1）骨髓穿刺检查或骨髓活检结果支持诊断；  </w:t>
      </w:r>
    </w:p>
    <w:p>
      <w:pPr>
        <w:pStyle w:val="BodyText"/>
        <w:spacing w:before="41"/>
        <w:ind w:left="910"/>
      </w:pPr>
      <w:r>
        <w:rPr/>
        <w:t>（2）外周血象须具备以下三项条件：  </w:t>
      </w:r>
    </w:p>
    <w:p>
      <w:pPr>
        <w:pStyle w:val="BodyText"/>
        <w:spacing w:before="32"/>
        <w:ind w:left="1332"/>
      </w:pPr>
      <w:r>
        <w:rPr>
          <w:w w:val="100"/>
        </w:rPr>
        <w:t>① 中性粒细胞绝对值≤0.</w:t>
      </w:r>
      <w:r>
        <w:rPr>
          <w:spacing w:val="-10"/>
          <w:w w:val="100"/>
        </w:rPr>
        <w:t>5</w:t>
      </w:r>
      <w:r>
        <w:rPr>
          <w:w w:val="100"/>
        </w:rPr>
        <w:t>×10</w:t>
      </w:r>
      <w:r>
        <w:rPr>
          <w:spacing w:val="3"/>
          <w:w w:val="105"/>
          <w:position w:val="11"/>
          <w:sz w:val="10"/>
        </w:rPr>
        <w:t>9</w:t>
      </w:r>
      <w:r>
        <w:rPr>
          <w:w w:val="100"/>
        </w:rPr>
        <w:t>/L ；  </w:t>
      </w:r>
    </w:p>
    <w:p>
      <w:pPr>
        <w:pStyle w:val="BodyText"/>
        <w:spacing w:before="42"/>
        <w:ind w:left="1332"/>
      </w:pPr>
      <w:r>
        <w:rPr/>
        <w:t>② 网织红细胞＜1%；  </w:t>
      </w:r>
    </w:p>
    <w:p>
      <w:pPr>
        <w:pStyle w:val="BodyText"/>
        <w:spacing w:line="262" w:lineRule="exact" w:before="32"/>
        <w:ind w:left="1332"/>
      </w:pPr>
      <w:r>
        <w:rPr>
          <w:w w:val="100"/>
        </w:rPr>
        <w:t>③ 血小板绝对值≤20×1</w:t>
      </w:r>
      <w:r>
        <w:rPr>
          <w:spacing w:val="-10"/>
          <w:w w:val="100"/>
        </w:rPr>
        <w:t>0</w:t>
      </w:r>
      <w:r>
        <w:rPr>
          <w:spacing w:val="3"/>
          <w:w w:val="105"/>
          <w:position w:val="11"/>
          <w:sz w:val="10"/>
        </w:rPr>
        <w:t>9</w:t>
      </w:r>
      <w:r>
        <w:rPr>
          <w:w w:val="100"/>
        </w:rPr>
        <w:t>/L。 </w:t>
      </w:r>
    </w:p>
    <w:p>
      <w:pPr>
        <w:spacing w:line="353" w:lineRule="exact" w:before="0"/>
        <w:ind w:left="497" w:right="0" w:firstLine="0"/>
        <w:jc w:val="left"/>
        <w:rPr>
          <w:rFonts w:ascii="Microsoft JhengHei" w:eastAsia="Microsoft JhengHei" w:hint="eastAsia"/>
          <w:b/>
          <w:sz w:val="21"/>
        </w:rPr>
      </w:pPr>
      <w:r>
        <w:rPr>
          <w:rFonts w:ascii="Microsoft JhengHei" w:eastAsia="Microsoft JhengHei" w:hint="eastAsia"/>
          <w:b/>
          <w:sz w:val="21"/>
        </w:rPr>
        <w:t>25、 主动脉手术：</w:t>
      </w:r>
    </w:p>
    <w:p>
      <w:pPr>
        <w:pStyle w:val="BodyText"/>
        <w:spacing w:before="8"/>
        <w:ind w:left="967"/>
      </w:pPr>
      <w:r>
        <w:rPr/>
        <w:t>指为治疗主动脉疾病，实际实施了开胸或开腹进行的切除、置换、修补病损主动脉血管的手术。主</w:t>
      </w:r>
    </w:p>
    <w:p>
      <w:pPr>
        <w:pStyle w:val="BodyText"/>
        <w:spacing w:line="268" w:lineRule="auto" w:before="41"/>
        <w:ind w:left="910" w:right="116" w:hanging="423"/>
      </w:pPr>
      <w:r>
        <w:rPr>
          <w:spacing w:val="-1"/>
        </w:rPr>
        <w:t>动脉指胸主动脉和腹主动脉，不包括胸主动脉和腹主动脉的分支血管。                                 动脉内血管成形术不在保障范围内。 </w:t>
      </w:r>
    </w:p>
    <w:p>
      <w:pPr>
        <w:spacing w:line="286" w:lineRule="exact" w:before="0"/>
        <w:ind w:left="497" w:right="0" w:firstLine="0"/>
        <w:jc w:val="left"/>
        <w:rPr>
          <w:sz w:val="21"/>
        </w:rPr>
      </w:pPr>
      <w:r>
        <w:rPr>
          <w:rFonts w:ascii="Microsoft JhengHei" w:eastAsia="Microsoft JhengHei" w:hint="eastAsia"/>
          <w:b/>
          <w:sz w:val="21"/>
        </w:rPr>
        <w:t>二、《重大疾病保险的疾病定义使用规范》范围以外的疾病种类：</w:t>
      </w:r>
      <w:r>
        <w:rPr>
          <w:sz w:val="21"/>
        </w:rPr>
        <w:t> </w:t>
      </w:r>
    </w:p>
    <w:p>
      <w:pPr>
        <w:spacing w:line="336" w:lineRule="exact" w:before="0"/>
        <w:ind w:left="497" w:right="0" w:firstLine="0"/>
        <w:jc w:val="left"/>
        <w:rPr>
          <w:rFonts w:ascii="Microsoft JhengHei" w:eastAsia="Microsoft JhengHei" w:hint="eastAsia"/>
          <w:b/>
          <w:sz w:val="21"/>
        </w:rPr>
      </w:pPr>
      <w:r>
        <w:rPr>
          <w:rFonts w:ascii="Microsoft JhengHei" w:eastAsia="Microsoft JhengHei" w:hint="eastAsia"/>
          <w:b/>
          <w:sz w:val="21"/>
        </w:rPr>
        <w:t>26、 慢性呼吸功能衰竭</w:t>
      </w:r>
      <w:r>
        <w:rPr>
          <w:rFonts w:ascii="Microsoft JhengHei" w:eastAsia="Microsoft JhengHei" w:hint="eastAsia"/>
          <w:b/>
          <w:w w:val="175"/>
          <w:sz w:val="21"/>
        </w:rPr>
        <w:t>:</w:t>
      </w:r>
    </w:p>
    <w:p>
      <w:pPr>
        <w:pStyle w:val="BodyText"/>
        <w:spacing w:line="268" w:lineRule="auto" w:before="18"/>
        <w:ind w:left="488" w:right="686" w:firstLine="480"/>
      </w:pPr>
      <w:r>
        <w:rPr/>
        <w:t>慢性肺部疾病导致永久不可逆性的慢性呼吸功能衰竭。慢性呼吸功能衰竭必须明确诊断并满足下列全部条件： </w:t>
      </w:r>
    </w:p>
    <w:p>
      <w:pPr>
        <w:pStyle w:val="BodyText"/>
        <w:spacing w:before="17"/>
        <w:ind w:left="910"/>
      </w:pPr>
      <w:r>
        <w:rPr/>
        <w:t>（1）休息时出现呼吸困难； </w:t>
      </w:r>
    </w:p>
    <w:p>
      <w:pPr>
        <w:pStyle w:val="BodyText"/>
        <w:spacing w:before="32"/>
        <w:ind w:left="910"/>
      </w:pPr>
      <w:r>
        <w:rPr>
          <w:w w:val="100"/>
          <w:position w:val="1"/>
        </w:rPr>
        <w:t>（2）动脉血氧分压 （Pa</w:t>
      </w:r>
      <w:r>
        <w:rPr>
          <w:spacing w:val="-10"/>
          <w:w w:val="100"/>
          <w:position w:val="1"/>
        </w:rPr>
        <w:t>O</w:t>
      </w:r>
      <w:r>
        <w:rPr>
          <w:spacing w:val="3"/>
          <w:w w:val="105"/>
          <w:sz w:val="10"/>
        </w:rPr>
        <w:t>2</w:t>
      </w:r>
      <w:r>
        <w:rPr>
          <w:w w:val="100"/>
          <w:position w:val="1"/>
        </w:rPr>
        <w:t> ）&lt; 50mmHg； </w:t>
      </w:r>
    </w:p>
    <w:p>
      <w:pPr>
        <w:pStyle w:val="BodyText"/>
        <w:spacing w:before="42"/>
        <w:ind w:left="910"/>
      </w:pPr>
      <w:r>
        <w:rPr>
          <w:w w:val="100"/>
          <w:position w:val="1"/>
        </w:rPr>
        <w:t>（3）动脉血氧饱和度 （Sa</w:t>
      </w:r>
      <w:r>
        <w:rPr>
          <w:spacing w:val="-10"/>
          <w:w w:val="100"/>
          <w:position w:val="1"/>
        </w:rPr>
        <w:t>O</w:t>
      </w:r>
      <w:r>
        <w:rPr>
          <w:spacing w:val="3"/>
          <w:w w:val="105"/>
          <w:sz w:val="10"/>
        </w:rPr>
        <w:t>2</w:t>
      </w:r>
      <w:r>
        <w:rPr>
          <w:w w:val="100"/>
          <w:position w:val="1"/>
        </w:rPr>
        <w:t> ）&lt; 80％； </w:t>
      </w:r>
    </w:p>
    <w:p>
      <w:pPr>
        <w:pStyle w:val="BodyText"/>
        <w:spacing w:line="262" w:lineRule="exact" w:before="33"/>
        <w:ind w:left="910"/>
      </w:pPr>
      <w:r>
        <w:rPr/>
        <w:t>（4）因缺氧必须接受持续的输氧治疗。</w:t>
      </w:r>
    </w:p>
    <w:p>
      <w:pPr>
        <w:spacing w:line="353" w:lineRule="exact" w:before="0"/>
        <w:ind w:left="497" w:right="0" w:firstLine="0"/>
        <w:jc w:val="left"/>
        <w:rPr>
          <w:rFonts w:ascii="Microsoft JhengHei" w:eastAsia="Microsoft JhengHei" w:hint="eastAsia"/>
          <w:b/>
          <w:sz w:val="21"/>
        </w:rPr>
      </w:pPr>
      <w:r>
        <w:rPr>
          <w:rFonts w:ascii="Microsoft JhengHei" w:eastAsia="Microsoft JhengHei" w:hint="eastAsia"/>
          <w:b/>
          <w:sz w:val="21"/>
        </w:rPr>
        <w:t>27、 非阿尔茨海默病所致严重痴呆</w:t>
      </w:r>
      <w:r>
        <w:rPr>
          <w:rFonts w:ascii="Microsoft JhengHei" w:eastAsia="Microsoft JhengHei" w:hint="eastAsia"/>
          <w:b/>
          <w:w w:val="175"/>
          <w:sz w:val="21"/>
        </w:rPr>
        <w:t>:</w:t>
      </w:r>
    </w:p>
    <w:p>
      <w:pPr>
        <w:pStyle w:val="BodyText"/>
        <w:spacing w:line="273" w:lineRule="auto" w:before="8"/>
        <w:ind w:left="488" w:right="686" w:firstLine="480"/>
        <w:jc w:val="both"/>
      </w:pP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 </w:t>
      </w:r>
    </w:p>
    <w:p>
      <w:pPr>
        <w:pStyle w:val="BodyText"/>
        <w:spacing w:line="262" w:lineRule="exact" w:before="2"/>
        <w:ind w:left="968"/>
      </w:pPr>
      <w:r>
        <w:rPr/>
        <w:t>神经官能症,精神疾病及酒精中毒所致脑损害不在保障范围内。 </w:t>
      </w:r>
    </w:p>
    <w:p>
      <w:pPr>
        <w:spacing w:line="353" w:lineRule="exact" w:before="0"/>
        <w:ind w:left="497" w:right="0" w:firstLine="0"/>
        <w:jc w:val="left"/>
        <w:rPr>
          <w:rFonts w:ascii="Microsoft JhengHei" w:eastAsia="Microsoft JhengHei" w:hint="eastAsia"/>
          <w:b/>
          <w:sz w:val="21"/>
        </w:rPr>
      </w:pPr>
      <w:r>
        <w:rPr>
          <w:rFonts w:ascii="Microsoft JhengHei" w:eastAsia="Microsoft JhengHei" w:hint="eastAsia"/>
          <w:b/>
          <w:sz w:val="21"/>
        </w:rPr>
        <w:t>28、 严重多发性硬化</w:t>
      </w:r>
      <w:r>
        <w:rPr>
          <w:rFonts w:ascii="Microsoft JhengHei" w:eastAsia="Microsoft JhengHei" w:hint="eastAsia"/>
          <w:b/>
          <w:w w:val="175"/>
          <w:sz w:val="21"/>
        </w:rPr>
        <w:t>:</w:t>
      </w:r>
    </w:p>
    <w:p>
      <w:pPr>
        <w:pStyle w:val="BodyText"/>
        <w:spacing w:line="273" w:lineRule="auto" w:before="9"/>
        <w:ind w:left="488" w:right="581" w:firstLine="480"/>
      </w:pPr>
      <w:r>
        <w:rPr>
          <w:spacing w:val="-6"/>
        </w:rPr>
        <w:t>多发性硬化为中枢神经系统白质多灶性脱髓鞘病变，病变有时累及灰质。多发性硬化必须明确诊断， </w:t>
      </w:r>
      <w:r>
        <w:rPr>
          <w:spacing w:val="-2"/>
        </w:rPr>
        <w:t>并且已经造成永久不可逆的神经系统功能损害。永久不可逆的神经系统损害指被保险人持续 </w:t>
      </w:r>
      <w:r>
        <w:rPr>
          <w:spacing w:val="-5"/>
        </w:rPr>
        <w:t>180 天无法</w:t>
      </w:r>
      <w:r>
        <w:rPr>
          <w:spacing w:val="-1"/>
        </w:rPr>
        <w:t>独立完成下列基本日常生活活动： </w:t>
      </w:r>
    </w:p>
    <w:p>
      <w:pPr>
        <w:pStyle w:val="BodyText"/>
        <w:spacing w:before="12"/>
        <w:ind w:left="910"/>
      </w:pPr>
      <w:r>
        <w:rPr/>
        <w:t>（1）移动：自己从一个房间到另一个房间；或者 </w:t>
      </w:r>
    </w:p>
    <w:p>
      <w:pPr>
        <w:pStyle w:val="BodyText"/>
        <w:spacing w:line="262" w:lineRule="exact" w:before="32"/>
        <w:ind w:left="910"/>
      </w:pPr>
      <w:r>
        <w:rPr/>
        <w:t>（2）进食：自己从已准备好的碗或碟中取食物放入口中。 </w:t>
      </w:r>
    </w:p>
    <w:p>
      <w:pPr>
        <w:spacing w:line="353" w:lineRule="exact" w:before="0"/>
        <w:ind w:left="497" w:right="0" w:firstLine="0"/>
        <w:jc w:val="left"/>
        <w:rPr>
          <w:rFonts w:ascii="Microsoft JhengHei" w:eastAsia="Microsoft JhengHei" w:hint="eastAsia"/>
          <w:b/>
          <w:sz w:val="21"/>
        </w:rPr>
      </w:pPr>
      <w:r>
        <w:rPr>
          <w:rFonts w:ascii="Microsoft JhengHei" w:eastAsia="Microsoft JhengHei" w:hint="eastAsia"/>
          <w:b/>
          <w:w w:val="105"/>
          <w:sz w:val="21"/>
        </w:rPr>
        <w:t>29</w:t>
      </w:r>
      <w:r>
        <w:rPr>
          <w:rFonts w:ascii="Microsoft JhengHei" w:eastAsia="Microsoft JhengHei" w:hint="eastAsia"/>
          <w:b/>
          <w:spacing w:val="-5"/>
          <w:w w:val="105"/>
          <w:sz w:val="21"/>
        </w:rPr>
        <w:t>、 系统性红斑狼疮 － </w:t>
      </w:r>
      <w:r>
        <w:rPr>
          <w:rFonts w:ascii="Microsoft JhengHei" w:eastAsia="Microsoft JhengHei" w:hint="eastAsia"/>
          <w:b/>
          <w:w w:val="150"/>
          <w:sz w:val="21"/>
        </w:rPr>
        <w:t>III</w:t>
      </w:r>
      <w:r>
        <w:rPr>
          <w:rFonts w:ascii="Microsoft JhengHei" w:eastAsia="Microsoft JhengHei" w:hint="eastAsia"/>
          <w:b/>
          <w:spacing w:val="-54"/>
          <w:w w:val="150"/>
          <w:sz w:val="21"/>
        </w:rPr>
        <w:t> </w:t>
      </w:r>
      <w:r>
        <w:rPr>
          <w:rFonts w:ascii="Microsoft JhengHei" w:eastAsia="Microsoft JhengHei" w:hint="eastAsia"/>
          <w:b/>
          <w:w w:val="105"/>
          <w:sz w:val="21"/>
        </w:rPr>
        <w:t>型狼疮性肾炎</w:t>
      </w:r>
      <w:r>
        <w:rPr>
          <w:rFonts w:ascii="Microsoft JhengHei" w:eastAsia="Microsoft JhengHei" w:hint="eastAsia"/>
          <w:b/>
          <w:w w:val="170"/>
          <w:sz w:val="21"/>
        </w:rPr>
        <w:t>:</w:t>
      </w:r>
    </w:p>
    <w:p>
      <w:pPr>
        <w:pStyle w:val="BodyText"/>
        <w:spacing w:line="276" w:lineRule="auto" w:before="8"/>
        <w:ind w:left="488" w:right="686" w:firstLine="480"/>
      </w:pPr>
      <w:r>
        <w:rPr/>
        <w:t>指系统性红斑狼疮患者并发狼疮性肾炎而影响和损害肾脏功能，且肌酐清除率持续低于 30ml/分。系统性红斑狼疮性肾炎的诊断必须经专科医生确诊，并满足下列条件： </w:t>
      </w:r>
    </w:p>
    <w:p>
      <w:pPr>
        <w:pStyle w:val="BodyText"/>
        <w:ind w:left="968"/>
      </w:pPr>
      <w:r>
        <w:rPr/>
        <w:t>1）临床表现至少具备下列条件的四个： </w:t>
      </w:r>
    </w:p>
    <w:p>
      <w:pPr>
        <w:pStyle w:val="BodyText"/>
        <w:spacing w:before="41"/>
        <w:ind w:left="1390"/>
      </w:pPr>
      <w:r>
        <w:rPr/>
        <w:t>(1)蝶形红斑或盘形红斑； </w:t>
      </w:r>
    </w:p>
    <w:p>
      <w:pPr>
        <w:pStyle w:val="BodyText"/>
        <w:spacing w:before="32"/>
        <w:ind w:left="1390"/>
      </w:pPr>
      <w:r>
        <w:rPr/>
        <w:t>(2)光敏感； </w:t>
      </w:r>
    </w:p>
    <w:p>
      <w:pPr>
        <w:pStyle w:val="BodyText"/>
        <w:spacing w:before="42"/>
        <w:ind w:left="1390"/>
      </w:pPr>
      <w:r>
        <w:rPr/>
        <w:t>(3 口鼻腔黏膜溃疡； </w:t>
      </w:r>
    </w:p>
    <w:p>
      <w:pPr>
        <w:pStyle w:val="BodyText"/>
        <w:spacing w:before="32"/>
        <w:ind w:left="1390"/>
      </w:pPr>
      <w:r>
        <w:rPr/>
        <w:t>(4)非畸形性关节炎或多关节痛； </w:t>
      </w:r>
    </w:p>
    <w:p>
      <w:pPr>
        <w:pStyle w:val="BodyText"/>
        <w:spacing w:before="41"/>
        <w:ind w:left="1390"/>
      </w:pPr>
      <w:r>
        <w:rPr/>
        <w:t>(5)胸膜炎或心包炎； </w:t>
      </w:r>
    </w:p>
    <w:p>
      <w:pPr>
        <w:pStyle w:val="BodyText"/>
        <w:spacing w:before="31"/>
        <w:ind w:left="1390"/>
      </w:pPr>
      <w:r>
        <w:rPr/>
        <w:t>(6)癫痫或精神症状； </w:t>
      </w:r>
    </w:p>
    <w:p>
      <w:pPr>
        <w:pStyle w:val="BodyText"/>
        <w:spacing w:before="41"/>
        <w:ind w:left="1390"/>
      </w:pPr>
      <w:r>
        <w:rPr>
          <w:w w:val="100"/>
        </w:rPr>
        <w:t>(7)血象异常(_白细胞小于</w:t>
      </w:r>
      <w:r>
        <w:rPr>
          <w:spacing w:val="-57"/>
        </w:rPr>
        <w:t> </w:t>
      </w:r>
      <w:r>
        <w:rPr>
          <w:w w:val="100"/>
        </w:rPr>
        <w:t>4×10</w:t>
      </w:r>
      <w:r>
        <w:rPr>
          <w:spacing w:val="-5"/>
          <w:w w:val="105"/>
          <w:position w:val="11"/>
          <w:sz w:val="10"/>
        </w:rPr>
        <w:t>9</w:t>
      </w:r>
      <w:r>
        <w:rPr>
          <w:w w:val="100"/>
        </w:rPr>
        <w:t>/L</w:t>
      </w:r>
      <w:r>
        <w:rPr>
          <w:spacing w:val="-57"/>
        </w:rPr>
        <w:t> </w:t>
      </w:r>
      <w:r>
        <w:rPr>
          <w:w w:val="100"/>
        </w:rPr>
        <w:t>或血小板小于</w:t>
      </w:r>
      <w:r>
        <w:rPr>
          <w:spacing w:val="-57"/>
        </w:rPr>
        <w:t> </w:t>
      </w:r>
      <w:r>
        <w:rPr>
          <w:w w:val="100"/>
        </w:rPr>
        <w:t>100×10</w:t>
      </w:r>
      <w:r>
        <w:rPr>
          <w:spacing w:val="3"/>
          <w:w w:val="105"/>
          <w:position w:val="11"/>
          <w:sz w:val="10"/>
        </w:rPr>
        <w:t>9</w:t>
      </w:r>
      <w:r>
        <w:rPr>
          <w:w w:val="100"/>
        </w:rPr>
        <w:t>/L</w:t>
      </w:r>
      <w:r>
        <w:rPr>
          <w:spacing w:val="-57"/>
        </w:rPr>
        <w:t> </w:t>
      </w:r>
      <w:r>
        <w:rPr>
          <w:w w:val="100"/>
        </w:rPr>
        <w:t>或溶血性贫血)</w:t>
      </w:r>
      <w:r>
        <w:rPr>
          <w:spacing w:val="-10"/>
          <w:w w:val="100"/>
        </w:rPr>
        <w:t>_</w:t>
      </w:r>
      <w:r>
        <w:rPr>
          <w:w w:val="100"/>
        </w:rPr>
        <w:t>。 </w:t>
      </w:r>
    </w:p>
    <w:p>
      <w:pPr>
        <w:spacing w:after="0"/>
        <w:sectPr>
          <w:footerReference w:type="default" r:id="rId13"/>
          <w:pgSz w:w="11900" w:h="16840"/>
          <w:pgMar w:footer="1009" w:header="886" w:top="1080" w:bottom="1200" w:left="1000" w:right="200"/>
          <w:pgNumType w:start="13"/>
        </w:sectPr>
      </w:pPr>
    </w:p>
    <w:p>
      <w:pPr>
        <w:pStyle w:val="BodyText"/>
        <w:spacing w:before="7"/>
        <w:rPr>
          <w:sz w:val="3"/>
        </w:rPr>
      </w:pPr>
    </w:p>
    <w:p>
      <w:pPr>
        <w:pStyle w:val="BodyText"/>
        <w:spacing w:line="20" w:lineRule="exact"/>
        <w:ind w:left="100"/>
        <w:rPr>
          <w:sz w:val="2"/>
        </w:rPr>
      </w:pPr>
      <w:r>
        <w:rPr>
          <w:rFonts w:ascii="Times New Roman"/>
          <w:spacing w:val="5"/>
          <w:sz w:val="2"/>
        </w:rPr>
        <w:t> </w:t>
      </w:r>
      <w:r>
        <w:rPr>
          <w:spacing w:val="5"/>
          <w:sz w:val="2"/>
        </w:rPr>
        <w:pict>
          <v:group style="width:499.2pt;height:.5pt;mso-position-horizontal-relative:char;mso-position-vertical-relative:line" coordorigin="0,0" coordsize="9984,10">
            <v:line style="position:absolute" from="0,5" to="9984,5" stroked="true" strokeweight=".48pt" strokecolor="#000000">
              <v:stroke dashstyle="solid"/>
            </v:line>
          </v:group>
        </w:pict>
      </w:r>
      <w:r>
        <w:rPr>
          <w:spacing w:val="5"/>
          <w:sz w:val="2"/>
        </w:rPr>
      </w:r>
    </w:p>
    <w:p>
      <w:pPr>
        <w:pStyle w:val="BodyText"/>
        <w:ind w:left="969"/>
      </w:pPr>
      <w:r>
        <w:rPr/>
        <w:t>2）检测结果至少具备下列条件的两个： </w:t>
      </w:r>
    </w:p>
    <w:p>
      <w:pPr>
        <w:pStyle w:val="BodyText"/>
        <w:spacing w:before="42"/>
        <w:ind w:left="1392"/>
      </w:pPr>
      <w:r>
        <w:rPr/>
        <w:t>(1)抗 dsDNA 抗体阳性； </w:t>
      </w:r>
    </w:p>
    <w:p>
      <w:pPr>
        <w:pStyle w:val="BodyText"/>
        <w:spacing w:before="32"/>
        <w:ind w:left="1392"/>
      </w:pPr>
      <w:r>
        <w:rPr/>
        <w:t>(2)抗 Sm 抗体阳性； </w:t>
      </w:r>
    </w:p>
    <w:p>
      <w:pPr>
        <w:pStyle w:val="BodyText"/>
        <w:spacing w:before="41"/>
        <w:ind w:left="1392"/>
      </w:pPr>
      <w:r>
        <w:rPr/>
        <w:t>(3)抗核抗体阳性； </w:t>
      </w:r>
    </w:p>
    <w:p>
      <w:pPr>
        <w:pStyle w:val="BodyText"/>
        <w:spacing w:before="32"/>
        <w:ind w:left="1392"/>
      </w:pPr>
      <w:r>
        <w:rPr/>
        <w:t>(4)皮肤狼疮带试验(非病损部位)或肾活检阳性； </w:t>
      </w:r>
    </w:p>
    <w:p>
      <w:pPr>
        <w:pStyle w:val="BodyText"/>
        <w:spacing w:line="258" w:lineRule="exact" w:before="42"/>
        <w:ind w:left="1392"/>
      </w:pPr>
      <w:r>
        <w:rPr/>
        <w:t>(5)C3 降低。 </w:t>
      </w:r>
    </w:p>
    <w:p>
      <w:pPr>
        <w:spacing w:line="348" w:lineRule="exact" w:before="0"/>
        <w:ind w:left="499" w:right="0" w:firstLine="0"/>
        <w:jc w:val="left"/>
        <w:rPr>
          <w:rFonts w:ascii="Microsoft JhengHei" w:eastAsia="Microsoft JhengHei" w:hint="eastAsia"/>
          <w:b/>
          <w:sz w:val="21"/>
        </w:rPr>
      </w:pPr>
      <w:r>
        <w:rPr>
          <w:rFonts w:ascii="Microsoft JhengHei" w:eastAsia="Microsoft JhengHei" w:hint="eastAsia"/>
          <w:b/>
          <w:sz w:val="21"/>
        </w:rPr>
        <w:t>30、 严重心肌病</w:t>
      </w:r>
      <w:r>
        <w:rPr>
          <w:rFonts w:ascii="Microsoft JhengHei" w:eastAsia="Microsoft JhengHei" w:hint="eastAsia"/>
          <w:b/>
          <w:w w:val="175"/>
          <w:sz w:val="21"/>
        </w:rPr>
        <w:t>:</w:t>
      </w:r>
    </w:p>
    <w:p>
      <w:pPr>
        <w:pStyle w:val="BodyText"/>
        <w:spacing w:line="273" w:lineRule="auto" w:before="18"/>
        <w:ind w:left="489" w:right="265" w:firstLine="480"/>
        <w:jc w:val="both"/>
      </w:pPr>
      <w:r>
        <w:rPr>
          <w:spacing w:val="-2"/>
        </w:rPr>
        <w:t>指被保险人因心肌病导致慢性心功能损害造成永久不可逆性的心功能衰竭。心功能衰竭程度达到纽</w:t>
      </w:r>
      <w:r>
        <w:rPr>
          <w:spacing w:val="-5"/>
        </w:rPr>
        <w:t>约心脏病学会的心功能分级标准之心功能 </w:t>
      </w:r>
      <w:r>
        <w:rPr/>
        <w:t>IV</w:t>
      </w:r>
      <w:r>
        <w:rPr>
          <w:spacing w:val="-10"/>
        </w:rPr>
        <w:t> 级。被保险人永久不可逆性的体力活动能力受限，不能从事任何体力活动。 </w:t>
      </w:r>
    </w:p>
    <w:p>
      <w:pPr>
        <w:spacing w:line="302" w:lineRule="exact" w:before="0"/>
        <w:ind w:left="499" w:right="0" w:firstLine="0"/>
        <w:jc w:val="left"/>
        <w:rPr>
          <w:rFonts w:ascii="Microsoft JhengHei" w:eastAsia="Microsoft JhengHei" w:hint="eastAsia"/>
          <w:b/>
          <w:sz w:val="21"/>
        </w:rPr>
      </w:pPr>
      <w:r>
        <w:rPr>
          <w:rFonts w:ascii="Microsoft JhengHei" w:eastAsia="Microsoft JhengHei" w:hint="eastAsia"/>
          <w:b/>
          <w:sz w:val="21"/>
        </w:rPr>
        <w:t>31、 严重类风湿性关节炎</w:t>
      </w:r>
      <w:r>
        <w:rPr>
          <w:rFonts w:ascii="Microsoft JhengHei" w:eastAsia="Microsoft JhengHei" w:hint="eastAsia"/>
          <w:b/>
          <w:w w:val="175"/>
          <w:sz w:val="21"/>
        </w:rPr>
        <w:t>:</w:t>
      </w:r>
    </w:p>
    <w:p>
      <w:pPr>
        <w:pStyle w:val="BodyText"/>
        <w:spacing w:line="271" w:lineRule="auto" w:before="18"/>
        <w:ind w:left="489" w:right="265" w:firstLine="480"/>
        <w:jc w:val="both"/>
      </w:pPr>
      <w:r>
        <w:rPr>
          <w:spacing w:val="-2"/>
        </w:rPr>
        <w:t>类风湿性关节炎为广泛分布的慢性进行性多关节病变，表现为关节严重变形，侵犯至少三个主要关</w:t>
      </w:r>
      <w:r>
        <w:rPr>
          <w:spacing w:val="-5"/>
        </w:rPr>
        <w:t>节或关节组【如：双手</w:t>
      </w:r>
      <w:r>
        <w:rPr/>
        <w:t>（</w:t>
      </w:r>
      <w:r>
        <w:rPr>
          <w:spacing w:val="-4"/>
        </w:rPr>
        <w:t>多手指</w:t>
      </w:r>
      <w:r>
        <w:rPr/>
        <w:t>）</w:t>
      </w:r>
      <w:r>
        <w:rPr>
          <w:spacing w:val="-3"/>
        </w:rPr>
        <w:t>关节、双足</w:t>
      </w:r>
      <w:r>
        <w:rPr/>
        <w:t>（</w:t>
      </w:r>
      <w:r>
        <w:rPr>
          <w:spacing w:val="-5"/>
        </w:rPr>
        <w:t>多足趾</w:t>
      </w:r>
      <w:r>
        <w:rPr/>
        <w:t>）</w:t>
      </w:r>
      <w:r>
        <w:rPr>
          <w:spacing w:val="-4"/>
        </w:rPr>
        <w:t>关节、双腕关节、双膝关节和双髋关节</w:t>
      </w:r>
      <w:r>
        <w:rPr>
          <w:spacing w:val="-30"/>
        </w:rPr>
        <w:t>】。类风</w:t>
      </w:r>
      <w:r>
        <w:rPr>
          <w:spacing w:val="-18"/>
        </w:rPr>
        <w:t>湿性关节炎必须明确诊断并且已经达到类风湿性关节炎功能分类 </w:t>
      </w:r>
      <w:r>
        <w:rPr/>
        <w:t>IV</w:t>
      </w:r>
      <w:r>
        <w:rPr>
          <w:spacing w:val="-10"/>
        </w:rPr>
        <w:t> 级的永久不可逆性关节功能障碍</w:t>
      </w:r>
      <w:r>
        <w:rPr/>
        <w:t>（生</w:t>
      </w:r>
      <w:r>
        <w:rPr>
          <w:spacing w:val="-3"/>
        </w:rPr>
        <w:t>活不能自理，且丧失工作能力</w:t>
      </w:r>
      <w:r>
        <w:rPr/>
        <w:t>）</w:t>
      </w:r>
      <w:r>
        <w:rPr>
          <w:spacing w:val="-2"/>
        </w:rPr>
        <w:t>并且满足下列全部条件： </w:t>
      </w:r>
    </w:p>
    <w:p>
      <w:pPr>
        <w:pStyle w:val="BodyText"/>
        <w:spacing w:before="14"/>
        <w:ind w:left="911"/>
      </w:pPr>
      <w:r>
        <w:rPr/>
        <w:t>（1）晨僵； </w:t>
      </w:r>
    </w:p>
    <w:p>
      <w:pPr>
        <w:pStyle w:val="BodyText"/>
        <w:spacing w:before="32"/>
        <w:ind w:left="911"/>
      </w:pPr>
      <w:r>
        <w:rPr/>
        <w:t>（2）对称性关节炎； </w:t>
      </w:r>
    </w:p>
    <w:p>
      <w:pPr>
        <w:pStyle w:val="BodyText"/>
        <w:spacing w:before="42"/>
        <w:ind w:left="911"/>
      </w:pPr>
      <w:r>
        <w:rPr/>
        <w:t>（3）类风湿性皮下结节； </w:t>
      </w:r>
    </w:p>
    <w:p>
      <w:pPr>
        <w:pStyle w:val="BodyText"/>
        <w:spacing w:before="32"/>
        <w:ind w:left="911"/>
      </w:pPr>
      <w:r>
        <w:rPr/>
        <w:t>（4）类风湿因子滴度升高； </w:t>
      </w:r>
    </w:p>
    <w:p>
      <w:pPr>
        <w:pStyle w:val="BodyText"/>
        <w:spacing w:line="258" w:lineRule="exact" w:before="41"/>
        <w:ind w:left="911"/>
      </w:pPr>
      <w:r>
        <w:rPr/>
        <w:t>（5）X 线显示严重的关节（软骨和骨）破坏和关节畸形。 </w:t>
      </w:r>
    </w:p>
    <w:p>
      <w:pPr>
        <w:spacing w:line="348" w:lineRule="exact" w:before="0"/>
        <w:ind w:left="499" w:right="0" w:firstLine="0"/>
        <w:jc w:val="left"/>
        <w:rPr>
          <w:rFonts w:ascii="Microsoft JhengHei" w:eastAsia="Microsoft JhengHei" w:hint="eastAsia"/>
          <w:b/>
          <w:sz w:val="21"/>
        </w:rPr>
      </w:pPr>
      <w:r>
        <w:rPr>
          <w:rFonts w:ascii="Microsoft JhengHei" w:eastAsia="Microsoft JhengHei" w:hint="eastAsia"/>
          <w:b/>
          <w:sz w:val="21"/>
        </w:rPr>
        <w:t>32、 严重克隆病</w:t>
      </w:r>
      <w:r>
        <w:rPr>
          <w:rFonts w:ascii="Microsoft JhengHei" w:eastAsia="Microsoft JhengHei" w:hint="eastAsia"/>
          <w:b/>
          <w:w w:val="175"/>
          <w:sz w:val="21"/>
        </w:rPr>
        <w:t>:</w:t>
      </w:r>
    </w:p>
    <w:p>
      <w:pPr>
        <w:pStyle w:val="BodyText"/>
        <w:spacing w:line="268" w:lineRule="auto" w:before="18"/>
        <w:ind w:left="489" w:right="265" w:firstLine="480"/>
        <w:jc w:val="both"/>
      </w:pPr>
      <w:r>
        <w:rPr/>
        <w:t>克隆病是一种慢性肉芽肿性肠炎，具有特征性的克隆病病理组织学变化。诊断必须由病理检查结果证实。被保险人所患的克隆病必须已经造成瘘管形成并伴有肠梗阻或肠穿孔。 </w:t>
      </w:r>
    </w:p>
    <w:p>
      <w:pPr>
        <w:spacing w:line="315" w:lineRule="exact" w:before="0"/>
        <w:ind w:left="499" w:right="0" w:firstLine="0"/>
        <w:jc w:val="left"/>
        <w:rPr>
          <w:rFonts w:ascii="Microsoft JhengHei" w:eastAsia="Microsoft JhengHei" w:hint="eastAsia"/>
          <w:b/>
          <w:sz w:val="21"/>
        </w:rPr>
      </w:pPr>
      <w:r>
        <w:rPr>
          <w:rFonts w:ascii="Microsoft JhengHei" w:eastAsia="Microsoft JhengHei" w:hint="eastAsia"/>
          <w:b/>
          <w:sz w:val="21"/>
        </w:rPr>
        <w:t>33、 全身性重症肌无力</w:t>
      </w:r>
    </w:p>
    <w:p>
      <w:pPr>
        <w:pStyle w:val="BodyText"/>
        <w:spacing w:line="276" w:lineRule="auto" w:before="9"/>
        <w:ind w:left="489" w:right="265" w:firstLine="480"/>
        <w:jc w:val="both"/>
      </w:pPr>
      <w:r>
        <w:rPr/>
        <w:t>重症肌无力是一种神经肌肉接头传递障碍所致的疾病，表现为局部或全身骨骼肌（特别是眼外肌） 极易疲劳。疾病可以累及呼吸肌、上肢或下肢的近端肌群或全身肌肉，必须满足下列全部条件： </w:t>
      </w:r>
    </w:p>
    <w:p>
      <w:pPr>
        <w:pStyle w:val="BodyText"/>
        <w:ind w:left="911"/>
      </w:pPr>
      <w:r>
        <w:rPr/>
        <w:t>（1）经药物治疗和胸腺切除治疗一年以上仍无法控制病情； </w:t>
      </w:r>
    </w:p>
    <w:p>
      <w:pPr>
        <w:pStyle w:val="BodyText"/>
        <w:spacing w:line="258" w:lineRule="exact" w:before="41"/>
        <w:ind w:left="911"/>
      </w:pPr>
      <w:r>
        <w:rPr/>
        <w:t>（2）自主生活能力完全丧失，无法独立完成六项基本日常生活活动中的三项或三项以上。 </w:t>
      </w:r>
    </w:p>
    <w:p>
      <w:pPr>
        <w:spacing w:line="348" w:lineRule="exact" w:before="0"/>
        <w:ind w:left="499" w:right="0" w:firstLine="0"/>
        <w:jc w:val="left"/>
        <w:rPr>
          <w:rFonts w:ascii="Microsoft JhengHei" w:eastAsia="Microsoft JhengHei" w:hint="eastAsia"/>
          <w:b/>
          <w:sz w:val="21"/>
        </w:rPr>
      </w:pPr>
      <w:r>
        <w:rPr>
          <w:rFonts w:ascii="Microsoft JhengHei" w:eastAsia="Microsoft JhengHei" w:hint="eastAsia"/>
          <w:b/>
          <w:sz w:val="21"/>
        </w:rPr>
        <w:t>34、 经输血导致的人类免疫缺陷病毒（HIV）感染</w:t>
      </w:r>
      <w:r>
        <w:rPr>
          <w:rFonts w:ascii="Microsoft JhengHei" w:eastAsia="Microsoft JhengHei" w:hint="eastAsia"/>
          <w:b/>
          <w:w w:val="130"/>
          <w:sz w:val="21"/>
        </w:rPr>
        <w:t>:</w:t>
      </w:r>
    </w:p>
    <w:p>
      <w:pPr>
        <w:pStyle w:val="BodyText"/>
        <w:spacing w:before="18"/>
        <w:ind w:left="969"/>
      </w:pPr>
      <w:r>
        <w:rPr/>
        <w:t>被保险人感染上人类免疫缺陷病毒（HIV）并且满足下列全部条件： </w:t>
      </w:r>
    </w:p>
    <w:p>
      <w:pPr>
        <w:pStyle w:val="BodyText"/>
        <w:spacing w:before="32"/>
        <w:ind w:left="911"/>
      </w:pPr>
      <w:r>
        <w:rPr/>
        <w:t>（1）在保障起始日或复效日之后，被保险人因输血而感染 HIV； </w:t>
      </w:r>
    </w:p>
    <w:p>
      <w:pPr>
        <w:pStyle w:val="BodyText"/>
        <w:spacing w:line="268" w:lineRule="auto" w:before="42"/>
        <w:ind w:left="489" w:right="265" w:firstLine="422"/>
        <w:jc w:val="both"/>
      </w:pPr>
      <w:r>
        <w:rPr>
          <w:spacing w:val="-7"/>
        </w:rPr>
        <w:t>（2）</w:t>
      </w:r>
      <w:r>
        <w:rPr>
          <w:spacing w:val="-3"/>
        </w:rPr>
        <w:t>提供输血治疗的输血中心或医院出具该项输血感染属医疗责任事故的报告，或者法院终审裁定为医疗责任并且不准上诉； </w:t>
      </w:r>
    </w:p>
    <w:p>
      <w:pPr>
        <w:pStyle w:val="BodyText"/>
        <w:spacing w:before="17"/>
        <w:ind w:left="911"/>
      </w:pPr>
      <w:r>
        <w:rPr/>
        <w:t>（3）受感染的被保险人不是血友病患者。 </w:t>
      </w:r>
    </w:p>
    <w:p>
      <w:pPr>
        <w:pStyle w:val="BodyText"/>
        <w:spacing w:line="276" w:lineRule="auto" w:before="32"/>
        <w:ind w:left="489" w:right="265" w:firstLine="480"/>
        <w:jc w:val="both"/>
      </w:pPr>
      <w:r>
        <w:rPr>
          <w:spacing w:val="-5"/>
        </w:rPr>
        <w:t>在任何治愈艾滋病</w:t>
      </w:r>
      <w:r>
        <w:rPr>
          <w:spacing w:val="-7"/>
        </w:rPr>
        <w:t>（AIDS）</w:t>
      </w:r>
      <w:r>
        <w:rPr>
          <w:spacing w:val="-13"/>
        </w:rPr>
        <w:t>或阻止 </w:t>
      </w:r>
      <w:r>
        <w:rPr/>
        <w:t>HIV</w:t>
      </w:r>
      <w:r>
        <w:rPr>
          <w:spacing w:val="-13"/>
        </w:rPr>
        <w:t> 病毒作用的疗法被发现以后，或能防止 </w:t>
      </w:r>
      <w:r>
        <w:rPr/>
        <w:t>AIDS</w:t>
      </w:r>
      <w:r>
        <w:rPr>
          <w:spacing w:val="-8"/>
        </w:rPr>
        <w:t> 发生的医疗方法</w:t>
      </w:r>
      <w:r>
        <w:rPr>
          <w:spacing w:val="-1"/>
        </w:rPr>
        <w:t>被研究出来以后，本保障将不再予以赔付。 </w:t>
      </w:r>
    </w:p>
    <w:p>
      <w:pPr>
        <w:pStyle w:val="BodyText"/>
        <w:spacing w:line="276" w:lineRule="auto"/>
        <w:ind w:left="489" w:right="265" w:firstLine="480"/>
        <w:jc w:val="both"/>
      </w:pPr>
      <w:r>
        <w:rPr/>
        <w:t>任何因其他传播方式（</w:t>
      </w:r>
      <w:r>
        <w:rPr>
          <w:spacing w:val="-3"/>
        </w:rPr>
        <w:t>包括：性传播或静脉注射毒品</w:t>
      </w:r>
      <w:r>
        <w:rPr/>
        <w:t>）</w:t>
      </w:r>
      <w:r>
        <w:rPr>
          <w:spacing w:val="-11"/>
        </w:rPr>
        <w:t>导致的 </w:t>
      </w:r>
      <w:r>
        <w:rPr/>
        <w:t>HIV</w:t>
      </w:r>
      <w:r>
        <w:rPr>
          <w:spacing w:val="-8"/>
        </w:rPr>
        <w:t> 感染不在本保单保障范围内。保</w:t>
      </w:r>
      <w:r>
        <w:rPr>
          <w:spacing w:val="-1"/>
        </w:rPr>
        <w:t>险公司必须拥有获得使用被保险人的所有血液样本的权利和能够对这些样本进行独立检验的权利。 </w:t>
      </w:r>
    </w:p>
    <w:p>
      <w:pPr>
        <w:spacing w:line="300" w:lineRule="exact" w:before="0"/>
        <w:ind w:left="499" w:right="0" w:firstLine="0"/>
        <w:jc w:val="left"/>
        <w:rPr>
          <w:rFonts w:ascii="Microsoft JhengHei" w:eastAsia="Microsoft JhengHei" w:hint="eastAsia"/>
          <w:b/>
          <w:sz w:val="21"/>
        </w:rPr>
      </w:pPr>
      <w:r>
        <w:rPr>
          <w:rFonts w:ascii="Microsoft JhengHei" w:eastAsia="Microsoft JhengHei" w:hint="eastAsia"/>
          <w:b/>
          <w:sz w:val="21"/>
        </w:rPr>
        <w:t>35、 脑动脉瘤破裂开颅手术</w:t>
      </w:r>
      <w:r>
        <w:rPr>
          <w:rFonts w:ascii="Microsoft JhengHei" w:eastAsia="Microsoft JhengHei" w:hint="eastAsia"/>
          <w:b/>
          <w:w w:val="175"/>
          <w:sz w:val="21"/>
        </w:rPr>
        <w:t>:</w:t>
      </w:r>
    </w:p>
    <w:p>
      <w:pPr>
        <w:pStyle w:val="BodyText"/>
        <w:spacing w:line="273" w:lineRule="auto" w:before="18"/>
        <w:ind w:left="489" w:right="265" w:firstLine="480"/>
        <w:jc w:val="both"/>
      </w:pPr>
      <w:r>
        <w:rPr/>
        <w:t>指脑动脉瘤破裂引起蛛网膜下腔出血，导致突发神经系统功能损害。被保险人在蛛网膜下腔出血后实际实施了在全麻下经骨瓣开颅进行的脑动脉瘤的外科手术治疗。脑动脉瘤诊断必须由脑动脉造影或其他影像学检查证据支持。 </w:t>
      </w:r>
    </w:p>
    <w:p>
      <w:pPr>
        <w:pStyle w:val="BodyText"/>
        <w:spacing w:line="273" w:lineRule="auto" w:before="2"/>
        <w:ind w:left="489" w:right="265" w:firstLine="480"/>
        <w:jc w:val="both"/>
      </w:pPr>
      <w:r>
        <w:rPr/>
        <w:t>未破裂之脑动脉瘤的手术、钻孔或小骨窗开颅或其他颅内或脑内出血清除或吸除手术、非开颅的脑立体定向手术或伽玛刀手术、血管内介入治疗、脑囊肿切除、垂体瘤切除及颅内血管畸形手术不在保障范围内。 </w:t>
      </w:r>
    </w:p>
    <w:p>
      <w:pPr>
        <w:spacing w:line="311" w:lineRule="exact" w:before="0"/>
        <w:ind w:left="499" w:right="0" w:firstLine="0"/>
        <w:jc w:val="left"/>
        <w:rPr>
          <w:rFonts w:ascii="Microsoft JhengHei" w:eastAsia="Microsoft JhengHei" w:hint="eastAsia"/>
          <w:b/>
          <w:sz w:val="21"/>
        </w:rPr>
      </w:pPr>
      <w:r>
        <w:rPr>
          <w:rFonts w:ascii="Microsoft JhengHei" w:eastAsia="Microsoft JhengHei" w:hint="eastAsia"/>
          <w:b/>
          <w:sz w:val="21"/>
        </w:rPr>
        <w:t>36、 1 型糖尿病</w:t>
      </w:r>
      <w:r>
        <w:rPr>
          <w:rFonts w:ascii="Microsoft JhengHei" w:eastAsia="Microsoft JhengHei" w:hint="eastAsia"/>
          <w:b/>
          <w:w w:val="175"/>
          <w:sz w:val="21"/>
        </w:rPr>
        <w:t>:</w:t>
      </w:r>
    </w:p>
    <w:p>
      <w:pPr>
        <w:spacing w:after="0" w:line="311" w:lineRule="exact"/>
        <w:jc w:val="left"/>
        <w:rPr>
          <w:rFonts w:ascii="Microsoft JhengHei" w:eastAsia="Microsoft JhengHei" w:hint="eastAsia"/>
          <w:sz w:val="21"/>
        </w:rPr>
        <w:sectPr>
          <w:pgSz w:w="11900" w:h="16840"/>
          <w:pgMar w:header="886" w:footer="1009" w:top="1080" w:bottom="1200" w:left="720" w:right="900"/>
        </w:sectPr>
      </w:pPr>
    </w:p>
    <w:p>
      <w:pPr>
        <w:pStyle w:val="BodyText"/>
        <w:spacing w:before="12"/>
        <w:rPr>
          <w:rFonts w:ascii="Microsoft JhengHei"/>
          <w:b/>
          <w:sz w:val="2"/>
        </w:rPr>
      </w:pPr>
    </w:p>
    <w:p>
      <w:pPr>
        <w:pStyle w:val="BodyText"/>
        <w:spacing w:line="20" w:lineRule="exact"/>
        <w:ind w:left="199"/>
        <w:rPr>
          <w:rFonts w:ascii="Microsoft JhengHei"/>
          <w:sz w:val="2"/>
        </w:rPr>
      </w:pPr>
      <w:r>
        <w:rPr>
          <w:rFonts w:ascii="Times New Roman"/>
          <w:spacing w:val="5"/>
          <w:sz w:val="2"/>
        </w:rPr>
        <w:t> </w:t>
      </w:r>
      <w:r>
        <w:rPr>
          <w:rFonts w:ascii="Microsoft JhengHei"/>
          <w:spacing w:val="5"/>
          <w:sz w:val="2"/>
        </w:rPr>
        <w:pict>
          <v:group style="width:499.2pt;height:.5pt;mso-position-horizontal-relative:char;mso-position-vertical-relative:line" coordorigin="0,0" coordsize="9984,10">
            <v:line style="position:absolute" from="0,5" to="9984,5" stroked="true" strokeweight=".48pt" strokecolor="#000000">
              <v:stroke dashstyle="solid"/>
            </v:line>
          </v:group>
        </w:pict>
      </w:r>
      <w:r>
        <w:rPr>
          <w:rFonts w:ascii="Microsoft JhengHei"/>
          <w:spacing w:val="5"/>
          <w:sz w:val="2"/>
        </w:rPr>
      </w:r>
    </w:p>
    <w:p>
      <w:pPr>
        <w:pStyle w:val="BodyText"/>
        <w:ind w:left="1068"/>
      </w:pPr>
      <w:r>
        <w:rPr/>
        <w:t>1 型糖尿病的特征为由于胰岛素分泌绝对不足引起严重胰岛素缺乏导致慢性血糖升高，需要依赖外</w:t>
      </w:r>
    </w:p>
    <w:p>
      <w:pPr>
        <w:pStyle w:val="BodyText"/>
        <w:spacing w:line="268" w:lineRule="auto" w:before="42"/>
        <w:ind w:left="588" w:right="211"/>
      </w:pPr>
      <w:r>
        <w:rPr/>
        <w:t>源性胰岛素进行机体的葡萄糖代谢和维持生命。被保险人的 1 型糖尿病必须明确诊断，而且有血胰岛素测定及血 C 肽或尿 C 肽测定结果支持诊断，并且满足下列两项条件： </w:t>
      </w:r>
    </w:p>
    <w:p>
      <w:pPr>
        <w:pStyle w:val="BodyText"/>
        <w:spacing w:before="17"/>
        <w:ind w:left="1010"/>
      </w:pPr>
      <w:r>
        <w:rPr/>
        <w:t>（1）已经持续性地接受外源性胰岛素注射治疗连续 180 天以上； </w:t>
      </w:r>
    </w:p>
    <w:p>
      <w:pPr>
        <w:pStyle w:val="BodyText"/>
        <w:spacing w:before="32"/>
        <w:ind w:left="1010"/>
      </w:pPr>
      <w:r>
        <w:rPr/>
        <w:t>（2）因需要已经接受了下列治疗中的至少一种： </w:t>
      </w:r>
    </w:p>
    <w:p>
      <w:pPr>
        <w:pStyle w:val="BodyText"/>
        <w:spacing w:before="41"/>
        <w:ind w:left="1432"/>
      </w:pPr>
      <w:r>
        <w:rPr/>
        <w:t>①因严重心律失常植入了心脏起搏器；  </w:t>
      </w:r>
    </w:p>
    <w:p>
      <w:pPr>
        <w:pStyle w:val="BodyText"/>
        <w:spacing w:line="262" w:lineRule="exact" w:before="32"/>
        <w:ind w:left="1432"/>
      </w:pPr>
      <w:r>
        <w:rPr/>
        <w:t>②或因坏疽自跖趾关节或以上切除了一趾或多趾。 </w:t>
      </w:r>
    </w:p>
    <w:p>
      <w:pPr>
        <w:spacing w:line="353" w:lineRule="exact" w:before="0"/>
        <w:ind w:left="597" w:right="0" w:firstLine="0"/>
        <w:jc w:val="left"/>
        <w:rPr>
          <w:rFonts w:ascii="Microsoft JhengHei" w:eastAsia="Microsoft JhengHei" w:hint="eastAsia"/>
          <w:b/>
          <w:sz w:val="21"/>
        </w:rPr>
      </w:pPr>
      <w:r>
        <w:rPr>
          <w:rFonts w:ascii="Microsoft JhengHei" w:eastAsia="Microsoft JhengHei" w:hint="eastAsia"/>
          <w:b/>
          <w:sz w:val="21"/>
        </w:rPr>
        <w:t>37、 严重幼年型类风湿关节炎</w:t>
      </w:r>
      <w:r>
        <w:rPr>
          <w:rFonts w:ascii="Microsoft JhengHei" w:eastAsia="Microsoft JhengHei" w:hint="eastAsia"/>
          <w:b/>
          <w:w w:val="175"/>
          <w:sz w:val="21"/>
        </w:rPr>
        <w:t>:</w:t>
      </w:r>
    </w:p>
    <w:p>
      <w:pPr>
        <w:pStyle w:val="BodyText"/>
        <w:spacing w:line="276" w:lineRule="auto" w:before="8"/>
        <w:ind w:left="588" w:right="266" w:firstLine="480"/>
      </w:pPr>
      <w:r>
        <w:rPr/>
        <w:t>幼年型类风湿关节炎是一种儿童期发病的慢性关节炎，其特点为在高热和系统性病征出现数月后发生关节炎。  </w:t>
      </w:r>
    </w:p>
    <w:p>
      <w:pPr>
        <w:pStyle w:val="BodyText"/>
        <w:spacing w:line="262" w:lineRule="exact"/>
        <w:ind w:left="1068"/>
      </w:pPr>
      <w:r>
        <w:rPr/>
        <w:t>本保单仅对实际接受了膝关节或髋关节置换手术治疗的严重的幼年型类风湿关节炎予以理赔 </w:t>
      </w:r>
    </w:p>
    <w:p>
      <w:pPr>
        <w:spacing w:line="353" w:lineRule="exact" w:before="0"/>
        <w:ind w:left="597" w:right="0" w:firstLine="0"/>
        <w:jc w:val="left"/>
        <w:rPr>
          <w:rFonts w:ascii="Microsoft JhengHei" w:eastAsia="Microsoft JhengHei" w:hint="eastAsia"/>
          <w:b/>
          <w:sz w:val="21"/>
        </w:rPr>
      </w:pPr>
      <w:r>
        <w:rPr>
          <w:rFonts w:ascii="Microsoft JhengHei" w:eastAsia="Microsoft JhengHei" w:hint="eastAsia"/>
          <w:b/>
          <w:sz w:val="21"/>
        </w:rPr>
        <w:t>38、 </w:t>
      </w:r>
      <w:r>
        <w:rPr>
          <w:rFonts w:ascii="Microsoft JhengHei" w:eastAsia="Microsoft JhengHei" w:hint="eastAsia"/>
          <w:b/>
          <w:w w:val="150"/>
          <w:sz w:val="21"/>
        </w:rPr>
        <w:t>II </w:t>
      </w:r>
      <w:r>
        <w:rPr>
          <w:rFonts w:ascii="Microsoft JhengHei" w:eastAsia="Microsoft JhengHei" w:hint="eastAsia"/>
          <w:b/>
          <w:sz w:val="21"/>
        </w:rPr>
        <w:t>级重症急性胰腺炎</w:t>
      </w:r>
      <w:r>
        <w:rPr>
          <w:rFonts w:ascii="Microsoft JhengHei" w:eastAsia="Microsoft JhengHei" w:hint="eastAsia"/>
          <w:b/>
          <w:w w:val="175"/>
          <w:sz w:val="21"/>
        </w:rPr>
        <w:t>:</w:t>
      </w:r>
    </w:p>
    <w:p>
      <w:pPr>
        <w:pStyle w:val="BodyText"/>
        <w:spacing w:line="273" w:lineRule="auto" w:before="9"/>
        <w:ind w:left="588" w:right="266" w:firstLine="480"/>
        <w:jc w:val="both"/>
      </w:pPr>
      <w:r>
        <w:rPr>
          <w:spacing w:val="-3"/>
        </w:rPr>
        <w:t>Ⅱ级重症急性胰腺炎是指急性胰腺炎伴有脏器功能障碍。被保险人所患的Ⅱ级重症急性胰腺炎必须</w:t>
      </w:r>
      <w:r>
        <w:rPr>
          <w:spacing w:val="-9"/>
        </w:rPr>
        <w:t>明确诊断，按 </w:t>
      </w:r>
      <w:r>
        <w:rPr/>
        <w:t>APACHE</w:t>
      </w:r>
      <w:r>
        <w:rPr>
          <w:spacing w:val="-9"/>
        </w:rPr>
        <w:t>Ⅱ评分达到 </w:t>
      </w:r>
      <w:r>
        <w:rPr/>
        <w:t>8</w:t>
      </w:r>
      <w:r>
        <w:rPr>
          <w:spacing w:val="-24"/>
        </w:rPr>
        <w:t> 分或 </w:t>
      </w:r>
      <w:r>
        <w:rPr/>
        <w:t>8</w:t>
      </w:r>
      <w:r>
        <w:rPr>
          <w:spacing w:val="-17"/>
        </w:rPr>
        <w:t> 分以上和 </w:t>
      </w:r>
      <w:r>
        <w:rPr>
          <w:spacing w:val="-3"/>
        </w:rPr>
        <w:t>Balthazar</w:t>
      </w:r>
      <w:r>
        <w:rPr>
          <w:spacing w:val="-8"/>
        </w:rPr>
        <w:t> 分级系统达到Ⅱ级或Ⅱ级以上，并且接受</w:t>
      </w:r>
      <w:r>
        <w:rPr>
          <w:spacing w:val="-2"/>
        </w:rPr>
        <w:t>了外科剖腹手术治疗，以进行坏死组织清除、坏死病灶切除或胰腺切除。 </w:t>
      </w:r>
    </w:p>
    <w:p>
      <w:pPr>
        <w:pStyle w:val="BodyText"/>
        <w:spacing w:line="258" w:lineRule="exact" w:before="12"/>
        <w:ind w:left="1068"/>
      </w:pPr>
      <w:r>
        <w:rPr/>
        <w:t>因酗酒或饮酒过量所致的急性坏死性胰腺炎以及腹腔镜手术不在本合同保障范围内。 </w:t>
      </w:r>
    </w:p>
    <w:p>
      <w:pPr>
        <w:spacing w:line="348" w:lineRule="exact" w:before="0"/>
        <w:ind w:left="597" w:right="0" w:firstLine="0"/>
        <w:jc w:val="left"/>
        <w:rPr>
          <w:rFonts w:ascii="Microsoft JhengHei" w:eastAsia="Microsoft JhengHei" w:hint="eastAsia"/>
          <w:b/>
          <w:sz w:val="21"/>
        </w:rPr>
      </w:pPr>
      <w:r>
        <w:rPr>
          <w:rFonts w:ascii="Microsoft JhengHei" w:eastAsia="Microsoft JhengHei" w:hint="eastAsia"/>
          <w:b/>
          <w:sz w:val="21"/>
        </w:rPr>
        <w:t>39、 肌营养不良症</w:t>
      </w:r>
      <w:r>
        <w:rPr>
          <w:rFonts w:ascii="Microsoft JhengHei" w:eastAsia="Microsoft JhengHei" w:hint="eastAsia"/>
          <w:b/>
          <w:w w:val="175"/>
          <w:sz w:val="21"/>
        </w:rPr>
        <w:t>:</w:t>
      </w:r>
    </w:p>
    <w:p>
      <w:pPr>
        <w:pStyle w:val="BodyText"/>
        <w:spacing w:line="268" w:lineRule="auto" w:before="18"/>
        <w:ind w:left="588" w:right="266" w:firstLine="480"/>
      </w:pPr>
      <w:r>
        <w:rPr/>
        <w:t>肌营养不良症是一组遗传性肌肉变性性病变，临床特征为与神经系统无关的肌肉无力和肌肉萎缩。须满足自主生活能力完全丧失，无法独立完成六项基本日常生活活动中的三项或三项以上。 </w:t>
      </w:r>
    </w:p>
    <w:p>
      <w:pPr>
        <w:spacing w:line="315" w:lineRule="exact" w:before="0"/>
        <w:ind w:left="597" w:right="0" w:firstLine="0"/>
        <w:jc w:val="left"/>
        <w:rPr>
          <w:rFonts w:ascii="Microsoft JhengHei" w:eastAsia="Microsoft JhengHei" w:hint="eastAsia"/>
          <w:b/>
          <w:sz w:val="21"/>
        </w:rPr>
      </w:pPr>
      <w:r>
        <w:rPr>
          <w:rFonts w:ascii="Microsoft JhengHei" w:eastAsia="Microsoft JhengHei" w:hint="eastAsia"/>
          <w:b/>
          <w:sz w:val="21"/>
        </w:rPr>
        <w:t>40、 植物人状态</w:t>
      </w:r>
      <w:r>
        <w:rPr>
          <w:rFonts w:ascii="Microsoft JhengHei" w:eastAsia="Microsoft JhengHei" w:hint="eastAsia"/>
          <w:b/>
          <w:w w:val="175"/>
          <w:sz w:val="21"/>
        </w:rPr>
        <w:t>:</w:t>
      </w:r>
    </w:p>
    <w:p>
      <w:pPr>
        <w:pStyle w:val="BodyText"/>
        <w:spacing w:line="273" w:lineRule="auto" w:before="9"/>
        <w:ind w:left="588" w:right="285" w:firstLine="480"/>
        <w:jc w:val="both"/>
      </w:pPr>
      <w:r>
        <w:rPr/>
        <w:t>植物人状态系指由于严重颅脑外伤造成大脑和/或脑干严重损害导致完全永久性的对自身和环境的意识丧失和中枢神经系统功能丧失，仅残存植物神经功能的疾病状态。诊断必须明确并且具有严重颅脑外伤和脑损害的证据。植物人状态必须持续 30 天以上方可申请理赔。 </w:t>
      </w:r>
    </w:p>
    <w:p>
      <w:pPr>
        <w:spacing w:line="282" w:lineRule="exact" w:before="0"/>
        <w:ind w:left="232" w:right="0" w:firstLine="0"/>
        <w:jc w:val="left"/>
        <w:rPr>
          <w:rFonts w:ascii="Microsoft JhengHei" w:eastAsia="Microsoft JhengHei" w:hint="eastAsia"/>
          <w:b/>
          <w:sz w:val="21"/>
        </w:rPr>
      </w:pPr>
      <w:r>
        <w:rPr>
          <w:rFonts w:ascii="Microsoft JhengHei" w:eastAsia="Microsoft JhengHei" w:hint="eastAsia"/>
          <w:b/>
          <w:sz w:val="21"/>
        </w:rPr>
        <w:t>术语解释：</w:t>
      </w:r>
    </w:p>
    <w:p>
      <w:pPr>
        <w:spacing w:line="336" w:lineRule="exact" w:before="0"/>
        <w:ind w:left="655" w:right="0" w:firstLine="0"/>
        <w:jc w:val="left"/>
        <w:rPr>
          <w:rFonts w:ascii="Microsoft JhengHei" w:eastAsia="Microsoft JhengHei" w:hint="eastAsia"/>
          <w:b/>
          <w:sz w:val="21"/>
        </w:rPr>
      </w:pPr>
      <w:r>
        <w:rPr>
          <w:rFonts w:ascii="Microsoft JhengHei" w:eastAsia="Microsoft JhengHei" w:hint="eastAsia"/>
          <w:b/>
          <w:sz w:val="21"/>
        </w:rPr>
        <w:t>六项基本日常生活活动  ：</w:t>
      </w:r>
    </w:p>
    <w:p>
      <w:pPr>
        <w:pStyle w:val="BodyText"/>
        <w:spacing w:line="273" w:lineRule="auto" w:before="18"/>
        <w:ind w:left="655" w:right="257" w:firstLine="422"/>
        <w:jc w:val="both"/>
      </w:pPr>
      <w:r>
        <w:rPr>
          <w:w w:val="100"/>
        </w:rPr>
        <w:t>六项基本日常生活活动是指</w:t>
      </w:r>
      <w:r>
        <w:rPr>
          <w:spacing w:val="-116"/>
          <w:w w:val="100"/>
        </w:rPr>
        <w:t>：</w:t>
      </w:r>
      <w:r>
        <w:rPr>
          <w:w w:val="100"/>
        </w:rPr>
        <w:t>（1）</w:t>
      </w:r>
      <w:r>
        <w:rPr>
          <w:spacing w:val="-10"/>
          <w:w w:val="100"/>
        </w:rPr>
        <w:t>穿衣：自己能够穿衣及脱衣；</w:t>
      </w:r>
      <w:r>
        <w:rPr>
          <w:w w:val="100"/>
        </w:rPr>
        <w:t>（</w:t>
      </w:r>
      <w:r>
        <w:rPr>
          <w:spacing w:val="-10"/>
          <w:w w:val="100"/>
        </w:rPr>
        <w:t>2</w:t>
      </w:r>
      <w:r>
        <w:rPr>
          <w:w w:val="100"/>
        </w:rPr>
        <w:t>）</w:t>
      </w:r>
      <w:r>
        <w:rPr>
          <w:spacing w:val="-1"/>
          <w:w w:val="100"/>
        </w:rPr>
        <w:t>移动：自己从一个房间到另一</w:t>
      </w:r>
      <w:r>
        <w:rPr>
          <w:spacing w:val="-27"/>
          <w:w w:val="100"/>
        </w:rPr>
        <w:t>个房间；</w:t>
      </w:r>
      <w:r>
        <w:rPr>
          <w:w w:val="100"/>
        </w:rPr>
        <w:t>（3）</w:t>
      </w:r>
      <w:r>
        <w:rPr>
          <w:spacing w:val="-9"/>
          <w:w w:val="100"/>
        </w:rPr>
        <w:t>行动：自己上下床或上下轮椅；</w:t>
      </w:r>
      <w:r>
        <w:rPr>
          <w:spacing w:val="-10"/>
          <w:w w:val="100"/>
        </w:rPr>
        <w:t>（</w:t>
      </w:r>
      <w:r>
        <w:rPr>
          <w:w w:val="100"/>
        </w:rPr>
        <w:t>4）</w:t>
      </w:r>
      <w:r>
        <w:rPr>
          <w:spacing w:val="-10"/>
          <w:w w:val="100"/>
        </w:rPr>
        <w:t>如厕：自己控制进行大小便；</w:t>
      </w:r>
      <w:r>
        <w:rPr>
          <w:w w:val="100"/>
        </w:rPr>
        <w:t>（5</w:t>
      </w:r>
      <w:r>
        <w:rPr>
          <w:spacing w:val="-10"/>
          <w:w w:val="100"/>
        </w:rPr>
        <w:t>）</w:t>
      </w:r>
      <w:r>
        <w:rPr>
          <w:w w:val="100"/>
        </w:rPr>
        <w:t>进食：自己从已准</w:t>
      </w:r>
      <w:r>
        <w:rPr>
          <w:spacing w:val="-8"/>
          <w:w w:val="100"/>
        </w:rPr>
        <w:t>备好的碗或碟中取食物放入口中；</w:t>
      </w:r>
      <w:r>
        <w:rPr>
          <w:w w:val="100"/>
        </w:rPr>
        <w:t>（6）</w:t>
      </w:r>
      <w:r>
        <w:rPr>
          <w:spacing w:val="-3"/>
          <w:w w:val="100"/>
        </w:rPr>
        <w:t>洗澡：自己进行淋浴或盆浴。 </w:t>
      </w:r>
    </w:p>
    <w:p>
      <w:pPr>
        <w:spacing w:line="302" w:lineRule="exact" w:before="0"/>
        <w:ind w:left="655" w:right="0" w:firstLine="0"/>
        <w:jc w:val="left"/>
        <w:rPr>
          <w:rFonts w:ascii="Microsoft JhengHei" w:eastAsia="Microsoft JhengHei" w:hint="eastAsia"/>
          <w:b/>
          <w:sz w:val="21"/>
        </w:rPr>
      </w:pPr>
      <w:r>
        <w:rPr>
          <w:rFonts w:ascii="Microsoft JhengHei" w:eastAsia="Microsoft JhengHei" w:hint="eastAsia"/>
          <w:b/>
          <w:sz w:val="21"/>
        </w:rPr>
        <w:t>肢体机能完全丧失：</w:t>
      </w:r>
    </w:p>
    <w:p>
      <w:pPr>
        <w:pStyle w:val="BodyText"/>
        <w:spacing w:line="268" w:lineRule="auto" w:before="18"/>
        <w:ind w:left="655" w:right="257" w:firstLine="422"/>
      </w:pPr>
      <w:r>
        <w:rPr/>
        <w:t>指肢体的三大关节中的两大关节僵硬，或不能随意识活动。肢体是指包括肩关节的整个上肢或包括髋关节的整个下肢。 </w:t>
      </w:r>
    </w:p>
    <w:p>
      <w:pPr>
        <w:spacing w:line="315" w:lineRule="exact" w:before="0"/>
        <w:ind w:left="655" w:right="0" w:firstLine="0"/>
        <w:jc w:val="left"/>
        <w:rPr>
          <w:rFonts w:ascii="Microsoft JhengHei" w:eastAsia="Microsoft JhengHei" w:hint="eastAsia"/>
          <w:b/>
          <w:sz w:val="21"/>
        </w:rPr>
      </w:pPr>
      <w:r>
        <w:rPr>
          <w:rFonts w:ascii="Microsoft JhengHei" w:eastAsia="Microsoft JhengHei" w:hint="eastAsia"/>
          <w:b/>
          <w:sz w:val="21"/>
        </w:rPr>
        <w:t>语言能力或咀嚼吞咽能力完全丧失：</w:t>
      </w:r>
    </w:p>
    <w:p>
      <w:pPr>
        <w:pStyle w:val="BodyText"/>
        <w:spacing w:line="276" w:lineRule="auto" w:before="8"/>
        <w:ind w:left="655" w:right="151" w:firstLine="422"/>
      </w:pPr>
      <w:r>
        <w:rPr>
          <w:spacing w:val="-6"/>
        </w:rPr>
        <w:t>语言能力完全丧失，指无法发出四种语音</w:t>
      </w:r>
      <w:r>
        <w:rPr>
          <w:spacing w:val="-1"/>
        </w:rPr>
        <w:t>（</w:t>
      </w:r>
      <w:r>
        <w:rPr>
          <w:spacing w:val="-8"/>
        </w:rPr>
        <w:t>包括口唇音、齿舌音、口盖音和喉头音</w:t>
      </w:r>
      <w:r>
        <w:rPr>
          <w:spacing w:val="-29"/>
        </w:rPr>
        <w:t>）</w:t>
      </w:r>
      <w:r>
        <w:rPr/>
        <w:t>中的任何三种、</w:t>
      </w:r>
      <w:r>
        <w:rPr>
          <w:spacing w:val="-2"/>
        </w:rPr>
        <w:t>或声带全部切除，或因大脑语言中枢受伤害而患失语症。  </w:t>
      </w:r>
    </w:p>
    <w:p>
      <w:pPr>
        <w:pStyle w:val="BodyText"/>
        <w:spacing w:line="276" w:lineRule="auto"/>
        <w:ind w:left="655" w:right="151" w:firstLine="422"/>
      </w:pPr>
      <w:r>
        <w:rPr>
          <w:spacing w:val="-10"/>
        </w:rPr>
        <w:t>咀嚼吞咽能力完全丧失，指因牙齿以外的原因导致器质障碍或机能障碍，以致不能作咀嚼吞咽运动， </w:t>
      </w:r>
      <w:r>
        <w:rPr>
          <w:spacing w:val="-1"/>
        </w:rPr>
        <w:t>除流质食物外不能摄取或吞咽的状态。 </w:t>
      </w:r>
    </w:p>
    <w:p>
      <w:pPr>
        <w:spacing w:line="300" w:lineRule="exact" w:before="0"/>
        <w:ind w:left="655" w:right="0" w:firstLine="0"/>
        <w:jc w:val="left"/>
        <w:rPr>
          <w:rFonts w:ascii="Microsoft JhengHei" w:eastAsia="Microsoft JhengHei" w:hint="eastAsia"/>
          <w:b/>
          <w:sz w:val="21"/>
        </w:rPr>
      </w:pPr>
      <w:r>
        <w:rPr>
          <w:rFonts w:ascii="Microsoft JhengHei" w:eastAsia="Microsoft JhengHei" w:hint="eastAsia"/>
          <w:b/>
          <w:sz w:val="21"/>
        </w:rPr>
        <w:t>永久不可逆：</w:t>
      </w:r>
    </w:p>
    <w:p>
      <w:pPr>
        <w:pStyle w:val="BodyText"/>
        <w:spacing w:line="258" w:lineRule="exact" w:before="18"/>
        <w:ind w:left="1077"/>
      </w:pPr>
      <w:r>
        <w:rPr/>
        <w:t>指自疾病确诊或意外伤害发生之日起，经过积极治疗 180 天后，仍无法通过现有医疗手段恢复。</w:t>
      </w:r>
    </w:p>
    <w:p>
      <w:pPr>
        <w:spacing w:line="348" w:lineRule="exact" w:before="0"/>
        <w:ind w:left="655" w:right="0" w:firstLine="0"/>
        <w:jc w:val="left"/>
        <w:rPr>
          <w:rFonts w:ascii="Microsoft JhengHei" w:eastAsia="Microsoft JhengHei" w:hint="eastAsia"/>
          <w:b/>
          <w:sz w:val="21"/>
        </w:rPr>
      </w:pPr>
      <w:r>
        <w:rPr>
          <w:rFonts w:ascii="Microsoft JhengHei" w:eastAsia="Microsoft JhengHei" w:hint="eastAsia"/>
          <w:b/>
          <w:sz w:val="21"/>
        </w:rPr>
        <w:t>感染艾滋病病毒或患艾滋病：</w:t>
      </w:r>
    </w:p>
    <w:p>
      <w:pPr>
        <w:pStyle w:val="BodyText"/>
        <w:spacing w:line="268" w:lineRule="auto" w:before="18"/>
        <w:ind w:left="655" w:right="257" w:firstLine="422"/>
      </w:pPr>
      <w:r>
        <w:rPr/>
        <w:t>艾滋病病毒指人类免疫缺陷病毒，英文缩写为 HIV。艾滋病指人类免疫缺陷病毒引起的获得性免疫缺陷综合征，英文缩写为 AIDS。  </w:t>
      </w:r>
    </w:p>
    <w:p>
      <w:pPr>
        <w:pStyle w:val="BodyText"/>
        <w:spacing w:line="268" w:lineRule="auto" w:before="16"/>
        <w:ind w:left="655" w:right="257" w:firstLine="422"/>
      </w:pPr>
      <w:r>
        <w:rPr/>
        <w:t>在人体血液或其他样本中检测到艾滋病病毒或其抗体呈阳性，没有出现临床症状或体征的，为感染艾滋病病毒；如果同时出现了明显临床症状或体征的，为患艾滋病。 </w:t>
      </w:r>
    </w:p>
    <w:p>
      <w:pPr>
        <w:spacing w:line="315" w:lineRule="exact" w:before="0" w:after="23"/>
        <w:ind w:left="232" w:right="0" w:firstLine="0"/>
        <w:jc w:val="left"/>
        <w:rPr>
          <w:rFonts w:ascii="Microsoft JhengHei" w:eastAsia="Microsoft JhengHei" w:hint="eastAsia"/>
          <w:b/>
          <w:sz w:val="21"/>
        </w:rPr>
      </w:pPr>
      <w:r>
        <w:rPr>
          <w:rFonts w:ascii="Microsoft JhengHei" w:eastAsia="Microsoft JhengHei" w:hint="eastAsia"/>
          <w:b/>
          <w:sz w:val="21"/>
        </w:rPr>
        <w:t>重大疾病分组</w:t>
      </w: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96"/>
        <w:gridCol w:w="2678"/>
        <w:gridCol w:w="3763"/>
      </w:tblGrid>
      <w:tr>
        <w:trPr>
          <w:trHeight w:val="316" w:hRule="atLeast"/>
        </w:trPr>
        <w:tc>
          <w:tcPr>
            <w:tcW w:w="3696" w:type="dxa"/>
          </w:tcPr>
          <w:p>
            <w:pPr>
              <w:pStyle w:val="TableParagraph"/>
              <w:ind w:left="1683" w:right="1563"/>
              <w:jc w:val="center"/>
              <w:rPr>
                <w:sz w:val="20"/>
              </w:rPr>
            </w:pPr>
            <w:r>
              <w:rPr>
                <w:sz w:val="20"/>
              </w:rPr>
              <w:t>A 组 </w:t>
            </w:r>
          </w:p>
        </w:tc>
        <w:tc>
          <w:tcPr>
            <w:tcW w:w="2678" w:type="dxa"/>
          </w:tcPr>
          <w:p>
            <w:pPr>
              <w:pStyle w:val="TableParagraph"/>
              <w:ind w:left="1174" w:right="1054"/>
              <w:jc w:val="center"/>
              <w:rPr>
                <w:sz w:val="20"/>
              </w:rPr>
            </w:pPr>
            <w:r>
              <w:rPr>
                <w:sz w:val="20"/>
              </w:rPr>
              <w:t>B 组 </w:t>
            </w:r>
          </w:p>
        </w:tc>
        <w:tc>
          <w:tcPr>
            <w:tcW w:w="3763" w:type="dxa"/>
          </w:tcPr>
          <w:p>
            <w:pPr>
              <w:pStyle w:val="TableParagraph"/>
              <w:ind w:left="1712" w:right="1601"/>
              <w:jc w:val="center"/>
              <w:rPr>
                <w:sz w:val="20"/>
              </w:rPr>
            </w:pPr>
            <w:r>
              <w:rPr>
                <w:sz w:val="20"/>
              </w:rPr>
              <w:t>C 组 </w:t>
            </w:r>
          </w:p>
        </w:tc>
      </w:tr>
      <w:tr>
        <w:trPr>
          <w:trHeight w:val="306" w:hRule="atLeast"/>
        </w:trPr>
        <w:tc>
          <w:tcPr>
            <w:tcW w:w="3696" w:type="dxa"/>
          </w:tcPr>
          <w:p>
            <w:pPr>
              <w:pStyle w:val="TableParagraph"/>
              <w:ind w:left="110"/>
              <w:rPr>
                <w:sz w:val="20"/>
              </w:rPr>
            </w:pPr>
            <w:r>
              <w:rPr>
                <w:sz w:val="20"/>
              </w:rPr>
              <w:t>1、恶性肿瘤 </w:t>
            </w:r>
          </w:p>
        </w:tc>
        <w:tc>
          <w:tcPr>
            <w:tcW w:w="2678" w:type="dxa"/>
          </w:tcPr>
          <w:p>
            <w:pPr>
              <w:pStyle w:val="TableParagraph"/>
              <w:ind w:left="119"/>
              <w:rPr>
                <w:sz w:val="20"/>
              </w:rPr>
            </w:pPr>
            <w:r>
              <w:rPr>
                <w:sz w:val="20"/>
              </w:rPr>
              <w:t>3、脑中风后遗症 </w:t>
            </w:r>
          </w:p>
        </w:tc>
        <w:tc>
          <w:tcPr>
            <w:tcW w:w="3763" w:type="dxa"/>
          </w:tcPr>
          <w:p>
            <w:pPr>
              <w:pStyle w:val="TableParagraph"/>
              <w:ind w:left="110"/>
              <w:rPr>
                <w:sz w:val="20"/>
              </w:rPr>
            </w:pPr>
            <w:r>
              <w:rPr>
                <w:sz w:val="20"/>
              </w:rPr>
              <w:t>2、急性心肌梗塞 </w:t>
            </w:r>
          </w:p>
        </w:tc>
      </w:tr>
    </w:tbl>
    <w:p>
      <w:pPr>
        <w:spacing w:after="0"/>
        <w:rPr>
          <w:sz w:val="20"/>
        </w:rPr>
        <w:sectPr>
          <w:footerReference w:type="default" r:id="rId14"/>
          <w:pgSz w:w="11900" w:h="16840"/>
          <w:pgMar w:footer="1009" w:header="886" w:top="1080" w:bottom="1200" w:left="900" w:right="620"/>
          <w:pgNumType w:start="15"/>
        </w:sectPr>
      </w:pPr>
    </w:p>
    <w:p>
      <w:pPr>
        <w:pStyle w:val="BodyText"/>
        <w:spacing w:before="12"/>
        <w:rPr>
          <w:rFonts w:ascii="Microsoft JhengHei"/>
          <w:b/>
          <w:sz w:val="2"/>
        </w:rPr>
      </w:pPr>
    </w:p>
    <w:tbl>
      <w:tblPr>
        <w:tblW w:w="0" w:type="auto"/>
        <w:jc w:val="left"/>
        <w:tblInd w:w="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696"/>
        <w:gridCol w:w="2678"/>
        <w:gridCol w:w="3763"/>
      </w:tblGrid>
      <w:tr>
        <w:trPr>
          <w:trHeight w:val="623" w:hRule="atLeast"/>
        </w:trPr>
        <w:tc>
          <w:tcPr>
            <w:tcW w:w="3696" w:type="dxa"/>
            <w:tcBorders>
              <w:left w:val="single" w:sz="4" w:space="0" w:color="000000"/>
              <w:bottom w:val="single" w:sz="4" w:space="0" w:color="000000"/>
              <w:right w:val="single" w:sz="4" w:space="0" w:color="000000"/>
            </w:tcBorders>
          </w:tcPr>
          <w:p>
            <w:pPr>
              <w:pStyle w:val="TableParagraph"/>
              <w:ind w:left="110" w:right="-15"/>
              <w:rPr>
                <w:sz w:val="20"/>
              </w:rPr>
            </w:pPr>
            <w:r>
              <w:rPr>
                <w:spacing w:val="-1"/>
                <w:sz w:val="20"/>
              </w:rPr>
              <w:t>4</w:t>
            </w:r>
            <w:r>
              <w:rPr>
                <w:spacing w:val="-7"/>
                <w:sz w:val="20"/>
              </w:rPr>
              <w:t>、重大器官移植术或造血干细胞移植术</w:t>
            </w:r>
            <w:r>
              <w:rPr>
                <w:sz w:val="20"/>
              </w:rPr>
              <w:t> </w:t>
            </w:r>
          </w:p>
        </w:tc>
        <w:tc>
          <w:tcPr>
            <w:tcW w:w="2678" w:type="dxa"/>
            <w:tcBorders>
              <w:left w:val="single" w:sz="4" w:space="0" w:color="000000"/>
              <w:bottom w:val="single" w:sz="4" w:space="0" w:color="000000"/>
              <w:right w:val="single" w:sz="4" w:space="0" w:color="000000"/>
            </w:tcBorders>
          </w:tcPr>
          <w:p>
            <w:pPr>
              <w:pStyle w:val="TableParagraph"/>
              <w:ind w:left="119"/>
              <w:rPr>
                <w:sz w:val="20"/>
              </w:rPr>
            </w:pPr>
            <w:r>
              <w:rPr>
                <w:sz w:val="20"/>
              </w:rPr>
              <w:t>9、良性脑肿瘤 </w:t>
            </w:r>
          </w:p>
        </w:tc>
        <w:tc>
          <w:tcPr>
            <w:tcW w:w="3763" w:type="dxa"/>
            <w:tcBorders>
              <w:left w:val="single" w:sz="4" w:space="0" w:color="000000"/>
              <w:bottom w:val="single" w:sz="4" w:space="0" w:color="000000"/>
              <w:right w:val="single" w:sz="4" w:space="0" w:color="000000"/>
            </w:tcBorders>
          </w:tcPr>
          <w:p>
            <w:pPr>
              <w:pStyle w:val="TableParagraph"/>
              <w:ind w:left="110"/>
              <w:rPr>
                <w:sz w:val="20"/>
              </w:rPr>
            </w:pPr>
            <w:r>
              <w:rPr>
                <w:sz w:val="20"/>
              </w:rPr>
              <w:t>5、冠状动脉搭桥术（或称冠状动脉旁路</w:t>
            </w:r>
          </w:p>
          <w:p>
            <w:pPr>
              <w:pStyle w:val="TableParagraph"/>
              <w:spacing w:line="240" w:lineRule="auto" w:before="55"/>
              <w:ind w:left="110"/>
              <w:rPr>
                <w:sz w:val="20"/>
              </w:rPr>
            </w:pPr>
            <w:r>
              <w:rPr>
                <w:sz w:val="20"/>
              </w:rPr>
              <w:t>移植术） </w:t>
            </w:r>
          </w:p>
        </w:tc>
      </w:tr>
      <w:tr>
        <w:trPr>
          <w:trHeight w:val="623" w:hRule="atLeast"/>
        </w:trPr>
        <w:tc>
          <w:tcPr>
            <w:tcW w:w="3696" w:type="dxa"/>
            <w:tcBorders>
              <w:top w:val="single" w:sz="4" w:space="0" w:color="000000"/>
              <w:left w:val="single" w:sz="4" w:space="0" w:color="000000"/>
              <w:bottom w:val="single" w:sz="4" w:space="0" w:color="000000"/>
              <w:right w:val="single" w:sz="4" w:space="0" w:color="000000"/>
            </w:tcBorders>
          </w:tcPr>
          <w:p>
            <w:pPr>
              <w:pStyle w:val="TableParagraph"/>
              <w:ind w:left="110"/>
              <w:rPr>
                <w:sz w:val="20"/>
              </w:rPr>
            </w:pPr>
            <w:r>
              <w:rPr>
                <w:sz w:val="20"/>
              </w:rPr>
              <w:t>6、终末期肾病（或称慢性肾功能衰竭尿</w:t>
            </w:r>
          </w:p>
          <w:p>
            <w:pPr>
              <w:pStyle w:val="TableParagraph"/>
              <w:spacing w:line="240" w:lineRule="auto" w:before="55"/>
              <w:ind w:left="110"/>
              <w:rPr>
                <w:sz w:val="20"/>
              </w:rPr>
            </w:pPr>
            <w:r>
              <w:rPr>
                <w:sz w:val="20"/>
              </w:rPr>
              <w:t>毒症期） </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ind w:left="119"/>
              <w:rPr>
                <w:sz w:val="20"/>
              </w:rPr>
            </w:pPr>
            <w:r>
              <w:rPr>
                <w:sz w:val="20"/>
              </w:rPr>
              <w:t>11、脑炎后遗症或脑膜炎后</w:t>
            </w:r>
          </w:p>
          <w:p>
            <w:pPr>
              <w:pStyle w:val="TableParagraph"/>
              <w:spacing w:line="240" w:lineRule="auto" w:before="55"/>
              <w:ind w:left="119"/>
              <w:rPr>
                <w:sz w:val="20"/>
              </w:rPr>
            </w:pPr>
            <w:r>
              <w:rPr>
                <w:sz w:val="20"/>
              </w:rPr>
              <w:t>遗症 </w:t>
            </w:r>
          </w:p>
        </w:tc>
        <w:tc>
          <w:tcPr>
            <w:tcW w:w="3763" w:type="dxa"/>
            <w:tcBorders>
              <w:top w:val="single" w:sz="4" w:space="0" w:color="000000"/>
              <w:left w:val="single" w:sz="4" w:space="0" w:color="000000"/>
              <w:bottom w:val="single" w:sz="4" w:space="0" w:color="000000"/>
              <w:right w:val="single" w:sz="4" w:space="0" w:color="000000"/>
            </w:tcBorders>
          </w:tcPr>
          <w:p>
            <w:pPr>
              <w:pStyle w:val="TableParagraph"/>
              <w:ind w:left="110"/>
              <w:rPr>
                <w:sz w:val="20"/>
              </w:rPr>
            </w:pPr>
            <w:r>
              <w:rPr>
                <w:sz w:val="20"/>
              </w:rPr>
              <w:t>16、心脏瓣膜手术 </w:t>
            </w:r>
          </w:p>
        </w:tc>
      </w:tr>
      <w:tr>
        <w:trPr>
          <w:trHeight w:val="316" w:hRule="atLeast"/>
        </w:trPr>
        <w:tc>
          <w:tcPr>
            <w:tcW w:w="3696" w:type="dxa"/>
            <w:tcBorders>
              <w:top w:val="single" w:sz="4" w:space="0" w:color="000000"/>
              <w:left w:val="single" w:sz="4" w:space="0" w:color="000000"/>
              <w:bottom w:val="single" w:sz="4" w:space="0" w:color="000000"/>
              <w:right w:val="single" w:sz="4" w:space="0" w:color="000000"/>
            </w:tcBorders>
          </w:tcPr>
          <w:p>
            <w:pPr>
              <w:pStyle w:val="TableParagraph"/>
              <w:ind w:left="110"/>
              <w:rPr>
                <w:sz w:val="20"/>
              </w:rPr>
            </w:pPr>
            <w:r>
              <w:rPr>
                <w:sz w:val="20"/>
              </w:rPr>
              <w:t>7、多个肢体缺失 </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ind w:left="119"/>
              <w:rPr>
                <w:sz w:val="20"/>
              </w:rPr>
            </w:pPr>
            <w:r>
              <w:rPr>
                <w:sz w:val="20"/>
              </w:rPr>
              <w:t>12、深度昏迷 </w:t>
            </w:r>
          </w:p>
        </w:tc>
        <w:tc>
          <w:tcPr>
            <w:tcW w:w="3763" w:type="dxa"/>
            <w:tcBorders>
              <w:top w:val="single" w:sz="4" w:space="0" w:color="000000"/>
              <w:left w:val="single" w:sz="4" w:space="0" w:color="000000"/>
              <w:bottom w:val="single" w:sz="4" w:space="0" w:color="000000"/>
              <w:right w:val="single" w:sz="4" w:space="0" w:color="000000"/>
            </w:tcBorders>
          </w:tcPr>
          <w:p>
            <w:pPr>
              <w:pStyle w:val="TableParagraph"/>
              <w:ind w:left="110"/>
              <w:rPr>
                <w:sz w:val="20"/>
              </w:rPr>
            </w:pPr>
            <w:r>
              <w:rPr>
                <w:sz w:val="20"/>
              </w:rPr>
              <w:t>21、严重原发性肺动脉高压 </w:t>
            </w:r>
          </w:p>
        </w:tc>
      </w:tr>
      <w:tr>
        <w:trPr>
          <w:trHeight w:val="306" w:hRule="atLeast"/>
        </w:trPr>
        <w:tc>
          <w:tcPr>
            <w:tcW w:w="3696" w:type="dxa"/>
            <w:tcBorders>
              <w:top w:val="single" w:sz="4" w:space="0" w:color="000000"/>
              <w:left w:val="single" w:sz="4" w:space="0" w:color="000000"/>
              <w:bottom w:val="single" w:sz="4" w:space="0" w:color="000000"/>
              <w:right w:val="single" w:sz="4" w:space="0" w:color="000000"/>
            </w:tcBorders>
          </w:tcPr>
          <w:p>
            <w:pPr>
              <w:pStyle w:val="TableParagraph"/>
              <w:ind w:left="110"/>
              <w:rPr>
                <w:sz w:val="20"/>
              </w:rPr>
            </w:pPr>
            <w:r>
              <w:rPr>
                <w:sz w:val="20"/>
              </w:rPr>
              <w:t>8、急性或亚急性重症肝炎 </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ind w:left="119"/>
              <w:rPr>
                <w:sz w:val="20"/>
              </w:rPr>
            </w:pPr>
            <w:r>
              <w:rPr>
                <w:sz w:val="20"/>
              </w:rPr>
              <w:t>13、双耳失聪 </w:t>
            </w:r>
          </w:p>
        </w:tc>
        <w:tc>
          <w:tcPr>
            <w:tcW w:w="3763" w:type="dxa"/>
            <w:tcBorders>
              <w:top w:val="single" w:sz="4" w:space="0" w:color="000000"/>
              <w:left w:val="single" w:sz="4" w:space="0" w:color="000000"/>
              <w:bottom w:val="single" w:sz="4" w:space="0" w:color="000000"/>
              <w:right w:val="single" w:sz="4" w:space="0" w:color="000000"/>
            </w:tcBorders>
          </w:tcPr>
          <w:p>
            <w:pPr>
              <w:pStyle w:val="TableParagraph"/>
              <w:ind w:left="110"/>
              <w:rPr>
                <w:sz w:val="20"/>
              </w:rPr>
            </w:pPr>
            <w:r>
              <w:rPr>
                <w:sz w:val="20"/>
              </w:rPr>
              <w:t>25、主动脉手术 </w:t>
            </w:r>
          </w:p>
        </w:tc>
      </w:tr>
      <w:tr>
        <w:trPr>
          <w:trHeight w:val="316" w:hRule="atLeast"/>
        </w:trPr>
        <w:tc>
          <w:tcPr>
            <w:tcW w:w="3696" w:type="dxa"/>
            <w:tcBorders>
              <w:top w:val="single" w:sz="4" w:space="0" w:color="000000"/>
              <w:left w:val="single" w:sz="4" w:space="0" w:color="000000"/>
              <w:bottom w:val="single" w:sz="4" w:space="0" w:color="000000"/>
              <w:right w:val="single" w:sz="4" w:space="0" w:color="000000"/>
            </w:tcBorders>
          </w:tcPr>
          <w:p>
            <w:pPr>
              <w:pStyle w:val="TableParagraph"/>
              <w:ind w:left="110"/>
              <w:rPr>
                <w:sz w:val="20"/>
              </w:rPr>
            </w:pPr>
            <w:r>
              <w:rPr>
                <w:sz w:val="20"/>
              </w:rPr>
              <w:t>10、慢性肝功能衰竭失代偿期 </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ind w:left="119"/>
              <w:rPr>
                <w:sz w:val="20"/>
              </w:rPr>
            </w:pPr>
            <w:r>
              <w:rPr>
                <w:sz w:val="20"/>
              </w:rPr>
              <w:t>14、双目失明 </w:t>
            </w:r>
          </w:p>
        </w:tc>
        <w:tc>
          <w:tcPr>
            <w:tcW w:w="3763" w:type="dxa"/>
            <w:tcBorders>
              <w:top w:val="single" w:sz="4" w:space="0" w:color="000000"/>
              <w:left w:val="single" w:sz="4" w:space="0" w:color="000000"/>
              <w:bottom w:val="single" w:sz="4" w:space="0" w:color="000000"/>
              <w:right w:val="single" w:sz="4" w:space="0" w:color="000000"/>
            </w:tcBorders>
          </w:tcPr>
          <w:p>
            <w:pPr>
              <w:pStyle w:val="TableParagraph"/>
              <w:ind w:left="110"/>
              <w:rPr>
                <w:sz w:val="20"/>
              </w:rPr>
            </w:pPr>
            <w:r>
              <w:rPr>
                <w:sz w:val="20"/>
              </w:rPr>
              <w:t>30、严重心肌病 </w:t>
            </w:r>
          </w:p>
        </w:tc>
      </w:tr>
      <w:tr>
        <w:trPr>
          <w:trHeight w:val="306" w:hRule="atLeast"/>
        </w:trPr>
        <w:tc>
          <w:tcPr>
            <w:tcW w:w="3696" w:type="dxa"/>
            <w:tcBorders>
              <w:top w:val="single" w:sz="4" w:space="0" w:color="000000"/>
              <w:left w:val="single" w:sz="4" w:space="0" w:color="000000"/>
              <w:bottom w:val="single" w:sz="4" w:space="0" w:color="000000"/>
              <w:right w:val="single" w:sz="4" w:space="0" w:color="000000"/>
            </w:tcBorders>
          </w:tcPr>
          <w:p>
            <w:pPr>
              <w:pStyle w:val="TableParagraph"/>
              <w:ind w:left="110"/>
              <w:rPr>
                <w:sz w:val="20"/>
              </w:rPr>
            </w:pPr>
            <w:r>
              <w:rPr>
                <w:sz w:val="20"/>
              </w:rPr>
              <w:t>20、严重Ⅲ度烧伤 </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ind w:left="119"/>
              <w:rPr>
                <w:sz w:val="20"/>
              </w:rPr>
            </w:pPr>
            <w:r>
              <w:rPr>
                <w:sz w:val="20"/>
              </w:rPr>
              <w:t>15、瘫痪 </w:t>
            </w:r>
          </w:p>
        </w:tc>
        <w:tc>
          <w:tcPr>
            <w:tcW w:w="3763" w:type="dxa"/>
            <w:tcBorders>
              <w:top w:val="single" w:sz="4" w:space="0" w:color="000000"/>
              <w:left w:val="single" w:sz="4" w:space="0" w:color="000000"/>
              <w:bottom w:val="single" w:sz="4" w:space="0" w:color="000000"/>
              <w:right w:val="single" w:sz="4" w:space="0" w:color="000000"/>
            </w:tcBorders>
          </w:tcPr>
          <w:p>
            <w:pPr>
              <w:pStyle w:val="TableParagraph"/>
              <w:ind w:left="110"/>
              <w:rPr>
                <w:sz w:val="20"/>
              </w:rPr>
            </w:pPr>
            <w:r>
              <w:rPr>
                <w:sz w:val="20"/>
              </w:rPr>
              <w:t>31、严重类风湿性关节炎 </w:t>
            </w:r>
          </w:p>
        </w:tc>
      </w:tr>
      <w:tr>
        <w:trPr>
          <w:trHeight w:val="623" w:hRule="atLeast"/>
        </w:trPr>
        <w:tc>
          <w:tcPr>
            <w:tcW w:w="3696" w:type="dxa"/>
            <w:tcBorders>
              <w:top w:val="single" w:sz="4" w:space="0" w:color="000000"/>
              <w:left w:val="single" w:sz="4" w:space="0" w:color="000000"/>
              <w:bottom w:val="single" w:sz="4" w:space="0" w:color="000000"/>
              <w:right w:val="single" w:sz="4" w:space="0" w:color="000000"/>
            </w:tcBorders>
          </w:tcPr>
          <w:p>
            <w:pPr>
              <w:pStyle w:val="TableParagraph"/>
              <w:ind w:left="110"/>
              <w:rPr>
                <w:sz w:val="20"/>
              </w:rPr>
            </w:pPr>
            <w:r>
              <w:rPr>
                <w:sz w:val="20"/>
              </w:rPr>
              <w:t>24、重型再生障碍性贫血 </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ind w:left="119"/>
              <w:rPr>
                <w:sz w:val="20"/>
              </w:rPr>
            </w:pPr>
            <w:r>
              <w:rPr>
                <w:sz w:val="20"/>
              </w:rPr>
              <w:t>17、严重阿尔茨海默病 </w:t>
            </w:r>
          </w:p>
        </w:tc>
        <w:tc>
          <w:tcPr>
            <w:tcW w:w="3763" w:type="dxa"/>
            <w:tcBorders>
              <w:top w:val="single" w:sz="4" w:space="0" w:color="000000"/>
              <w:left w:val="single" w:sz="4" w:space="0" w:color="000000"/>
              <w:bottom w:val="single" w:sz="4" w:space="0" w:color="000000"/>
              <w:right w:val="single" w:sz="4" w:space="0" w:color="000000"/>
            </w:tcBorders>
          </w:tcPr>
          <w:p>
            <w:pPr>
              <w:pStyle w:val="TableParagraph"/>
              <w:ind w:left="110"/>
              <w:rPr>
                <w:sz w:val="20"/>
              </w:rPr>
            </w:pPr>
            <w:r>
              <w:rPr>
                <w:sz w:val="20"/>
              </w:rPr>
              <w:t>34、经输血导致的人类免疫缺陷病毒</w:t>
            </w:r>
          </w:p>
          <w:p>
            <w:pPr>
              <w:pStyle w:val="TableParagraph"/>
              <w:spacing w:line="240" w:lineRule="auto" w:before="55"/>
              <w:ind w:left="110"/>
              <w:rPr>
                <w:sz w:val="20"/>
              </w:rPr>
            </w:pPr>
            <w:r>
              <w:rPr>
                <w:sz w:val="20"/>
              </w:rPr>
              <w:t>（HIV）感染 </w:t>
            </w:r>
          </w:p>
        </w:tc>
      </w:tr>
      <w:tr>
        <w:trPr>
          <w:trHeight w:val="316" w:hRule="atLeast"/>
        </w:trPr>
        <w:tc>
          <w:tcPr>
            <w:tcW w:w="3696" w:type="dxa"/>
            <w:tcBorders>
              <w:top w:val="single" w:sz="4" w:space="0" w:color="000000"/>
              <w:left w:val="single" w:sz="4" w:space="0" w:color="000000"/>
              <w:bottom w:val="single" w:sz="4" w:space="0" w:color="000000"/>
              <w:right w:val="single" w:sz="4" w:space="0" w:color="000000"/>
            </w:tcBorders>
          </w:tcPr>
          <w:p>
            <w:pPr>
              <w:pStyle w:val="TableParagraph"/>
              <w:ind w:left="110"/>
              <w:rPr>
                <w:sz w:val="20"/>
              </w:rPr>
            </w:pPr>
            <w:r>
              <w:rPr>
                <w:sz w:val="20"/>
              </w:rPr>
              <w:t>26、慢性呼吸功能衰竭 </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ind w:left="119"/>
              <w:rPr>
                <w:sz w:val="20"/>
              </w:rPr>
            </w:pPr>
            <w:r>
              <w:rPr>
                <w:sz w:val="20"/>
              </w:rPr>
              <w:t>18、严重脑损伤 </w:t>
            </w:r>
          </w:p>
        </w:tc>
        <w:tc>
          <w:tcPr>
            <w:tcW w:w="3763" w:type="dxa"/>
            <w:tcBorders>
              <w:top w:val="single" w:sz="4" w:space="0" w:color="000000"/>
              <w:left w:val="single" w:sz="4" w:space="0" w:color="000000"/>
              <w:bottom w:val="single" w:sz="4" w:space="0" w:color="000000"/>
              <w:right w:val="single" w:sz="4" w:space="0" w:color="000000"/>
            </w:tcBorders>
          </w:tcPr>
          <w:p>
            <w:pPr>
              <w:pStyle w:val="TableParagraph"/>
              <w:ind w:left="110"/>
              <w:rPr>
                <w:sz w:val="20"/>
              </w:rPr>
            </w:pPr>
            <w:r>
              <w:rPr>
                <w:sz w:val="20"/>
              </w:rPr>
              <w:t>37、严重幼年型类风湿关节炎 </w:t>
            </w:r>
          </w:p>
        </w:tc>
      </w:tr>
      <w:tr>
        <w:trPr>
          <w:trHeight w:val="623" w:hRule="atLeas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ind w:left="110" w:right="79"/>
              <w:rPr>
                <w:sz w:val="20"/>
              </w:rPr>
            </w:pPr>
            <w:r>
              <w:rPr>
                <w:spacing w:val="2"/>
                <w:sz w:val="20"/>
              </w:rPr>
              <w:t>29</w:t>
            </w:r>
            <w:r>
              <w:rPr>
                <w:spacing w:val="-9"/>
                <w:sz w:val="20"/>
              </w:rPr>
              <w:t>、系统性红斑狼疮 － </w:t>
            </w:r>
            <w:r>
              <w:rPr>
                <w:sz w:val="20"/>
              </w:rPr>
              <w:t>III</w:t>
            </w:r>
            <w:r>
              <w:rPr>
                <w:spacing w:val="-10"/>
                <w:sz w:val="20"/>
              </w:rPr>
              <w:t> 型狼疮性肾炎 </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ind w:left="119"/>
              <w:rPr>
                <w:sz w:val="20"/>
              </w:rPr>
            </w:pPr>
            <w:r>
              <w:rPr>
                <w:sz w:val="20"/>
              </w:rPr>
              <w:t>19、严重帕金森病 </w:t>
            </w:r>
          </w:p>
        </w:tc>
        <w:tc>
          <w:tcPr>
            <w:tcW w:w="3763" w:type="dxa"/>
            <w:vMerge w:val="restart"/>
            <w:tcBorders>
              <w:top w:val="single" w:sz="4" w:space="0" w:color="000000"/>
              <w:left w:val="single" w:sz="4" w:space="0" w:color="000000"/>
              <w:bottom w:val="single" w:sz="4" w:space="0" w:color="000000"/>
              <w:right w:val="single" w:sz="4" w:space="0" w:color="000000"/>
            </w:tcBorders>
          </w:tcPr>
          <w:p>
            <w:pPr>
              <w:pStyle w:val="TableParagraph"/>
              <w:ind w:left="110"/>
              <w:rPr>
                <w:sz w:val="20"/>
              </w:rPr>
            </w:pPr>
            <w:r>
              <w:rPr>
                <w:w w:val="100"/>
                <w:sz w:val="20"/>
              </w:rPr>
              <w:t> </w:t>
            </w:r>
            <w:r>
              <w:rPr>
                <w:sz w:val="20"/>
              </w:rPr>
              <w:t> </w:t>
            </w:r>
            <w:r>
              <w:rPr>
                <w:w w:val="100"/>
                <w:sz w:val="20"/>
              </w:rPr>
              <w:t> </w:t>
            </w:r>
          </w:p>
        </w:tc>
      </w:tr>
      <w:tr>
        <w:trPr>
          <w:trHeight w:val="306" w:hRule="atLeast"/>
        </w:trPr>
        <w:tc>
          <w:tcPr>
            <w:tcW w:w="3696" w:type="dxa"/>
            <w:tcBorders>
              <w:top w:val="single" w:sz="4" w:space="0" w:color="000000"/>
              <w:left w:val="single" w:sz="4" w:space="0" w:color="000000"/>
              <w:bottom w:val="single" w:sz="4" w:space="0" w:color="000000"/>
              <w:right w:val="single" w:sz="4" w:space="0" w:color="000000"/>
            </w:tcBorders>
          </w:tcPr>
          <w:p>
            <w:pPr>
              <w:pStyle w:val="TableParagraph"/>
              <w:ind w:left="110"/>
              <w:rPr>
                <w:sz w:val="20"/>
              </w:rPr>
            </w:pPr>
            <w:r>
              <w:rPr>
                <w:sz w:val="20"/>
              </w:rPr>
              <w:t>32、严重克隆病 </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ind w:left="119"/>
              <w:rPr>
                <w:sz w:val="20"/>
              </w:rPr>
            </w:pPr>
            <w:r>
              <w:rPr>
                <w:sz w:val="20"/>
              </w:rPr>
              <w:t>22、严重运动神经元病 </w:t>
            </w:r>
          </w:p>
        </w:tc>
        <w:tc>
          <w:tcPr>
            <w:tcW w:w="3763"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3696" w:type="dxa"/>
            <w:tcBorders>
              <w:top w:val="single" w:sz="4" w:space="0" w:color="000000"/>
              <w:left w:val="single" w:sz="4" w:space="0" w:color="000000"/>
              <w:bottom w:val="single" w:sz="4" w:space="0" w:color="000000"/>
              <w:right w:val="single" w:sz="4" w:space="0" w:color="000000"/>
            </w:tcBorders>
          </w:tcPr>
          <w:p>
            <w:pPr>
              <w:pStyle w:val="TableParagraph"/>
              <w:ind w:left="110"/>
              <w:rPr>
                <w:sz w:val="20"/>
              </w:rPr>
            </w:pPr>
            <w:r>
              <w:rPr>
                <w:sz w:val="20"/>
              </w:rPr>
              <w:t>38、II 级重症急性胰腺炎 </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ind w:left="119"/>
              <w:rPr>
                <w:sz w:val="20"/>
              </w:rPr>
            </w:pPr>
            <w:r>
              <w:rPr>
                <w:sz w:val="20"/>
              </w:rPr>
              <w:t>23、语言能力丧失 </w:t>
            </w:r>
          </w:p>
        </w:tc>
        <w:tc>
          <w:tcPr>
            <w:tcW w:w="3763" w:type="dxa"/>
            <w:vMerge/>
            <w:tcBorders>
              <w:top w:val="nil"/>
              <w:left w:val="single" w:sz="4" w:space="0" w:color="000000"/>
              <w:bottom w:val="single" w:sz="4" w:space="0" w:color="000000"/>
              <w:right w:val="single" w:sz="4" w:space="0" w:color="000000"/>
            </w:tcBorders>
          </w:tcPr>
          <w:p>
            <w:pPr>
              <w:rPr>
                <w:sz w:val="2"/>
                <w:szCs w:val="2"/>
              </w:rPr>
            </w:pPr>
          </w:p>
        </w:tc>
      </w:tr>
      <w:tr>
        <w:trPr>
          <w:trHeight w:val="623" w:hRule="atLeast"/>
        </w:trPr>
        <w:tc>
          <w:tcPr>
            <w:tcW w:w="3696" w:type="dxa"/>
            <w:vMerge w:val="restart"/>
            <w:tcBorders>
              <w:top w:val="single" w:sz="4" w:space="0" w:color="000000"/>
              <w:left w:val="single" w:sz="4" w:space="0" w:color="000000"/>
              <w:bottom w:val="single" w:sz="4" w:space="0" w:color="000000"/>
              <w:right w:val="single" w:sz="4" w:space="0" w:color="000000"/>
            </w:tcBorders>
          </w:tcPr>
          <w:p>
            <w:pPr>
              <w:pStyle w:val="TableParagraph"/>
              <w:ind w:left="110"/>
              <w:rPr>
                <w:sz w:val="20"/>
              </w:rPr>
            </w:pPr>
            <w:r>
              <w:rPr>
                <w:w w:val="100"/>
                <w:sz w:val="20"/>
              </w:rPr>
              <w:t> </w:t>
            </w:r>
            <w:r>
              <w:rPr>
                <w:sz w:val="20"/>
              </w:rPr>
              <w:t> </w:t>
            </w:r>
            <w:r>
              <w:rPr>
                <w:w w:val="100"/>
                <w:sz w:val="20"/>
              </w:rPr>
              <w:t> </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ind w:left="119" w:right="136"/>
              <w:rPr>
                <w:sz w:val="20"/>
              </w:rPr>
            </w:pPr>
            <w:r>
              <w:rPr>
                <w:sz w:val="20"/>
              </w:rPr>
              <w:t>27、非阿尔茨海默病所致严重痴呆 </w:t>
            </w:r>
          </w:p>
        </w:tc>
        <w:tc>
          <w:tcPr>
            <w:tcW w:w="3763"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3696" w:type="dxa"/>
            <w:vMerge/>
            <w:tcBorders>
              <w:top w:val="nil"/>
              <w:left w:val="single" w:sz="4" w:space="0" w:color="000000"/>
              <w:bottom w:val="single" w:sz="4" w:space="0" w:color="000000"/>
              <w:right w:val="single" w:sz="4" w:space="0" w:color="000000"/>
            </w:tcBorders>
          </w:tcPr>
          <w:p>
            <w:pPr>
              <w:rPr>
                <w:sz w:val="2"/>
                <w:szCs w:val="2"/>
              </w:rPr>
            </w:pPr>
          </w:p>
        </w:tc>
        <w:tc>
          <w:tcPr>
            <w:tcW w:w="2678" w:type="dxa"/>
            <w:tcBorders>
              <w:top w:val="single" w:sz="4" w:space="0" w:color="000000"/>
              <w:left w:val="single" w:sz="4" w:space="0" w:color="000000"/>
              <w:bottom w:val="single" w:sz="4" w:space="0" w:color="000000"/>
              <w:right w:val="single" w:sz="4" w:space="0" w:color="000000"/>
            </w:tcBorders>
          </w:tcPr>
          <w:p>
            <w:pPr>
              <w:pStyle w:val="TableParagraph"/>
              <w:ind w:left="119"/>
              <w:rPr>
                <w:sz w:val="20"/>
              </w:rPr>
            </w:pPr>
            <w:r>
              <w:rPr>
                <w:sz w:val="20"/>
              </w:rPr>
              <w:t>28、严重多发性硬化 </w:t>
            </w:r>
          </w:p>
        </w:tc>
        <w:tc>
          <w:tcPr>
            <w:tcW w:w="3763" w:type="dxa"/>
            <w:vMerge/>
            <w:tcBorders>
              <w:top w:val="nil"/>
              <w:left w:val="single" w:sz="4" w:space="0" w:color="000000"/>
              <w:bottom w:val="single" w:sz="4" w:space="0" w:color="000000"/>
              <w:right w:val="single" w:sz="4" w:space="0" w:color="000000"/>
            </w:tcBorders>
          </w:tcPr>
          <w:p>
            <w:pPr>
              <w:rPr>
                <w:sz w:val="2"/>
                <w:szCs w:val="2"/>
              </w:rPr>
            </w:pPr>
          </w:p>
        </w:tc>
      </w:tr>
      <w:tr>
        <w:trPr>
          <w:trHeight w:val="306" w:hRule="atLeast"/>
        </w:trPr>
        <w:tc>
          <w:tcPr>
            <w:tcW w:w="3696" w:type="dxa"/>
            <w:vMerge/>
            <w:tcBorders>
              <w:top w:val="nil"/>
              <w:left w:val="single" w:sz="4" w:space="0" w:color="000000"/>
              <w:bottom w:val="single" w:sz="4" w:space="0" w:color="000000"/>
              <w:right w:val="single" w:sz="4" w:space="0" w:color="000000"/>
            </w:tcBorders>
          </w:tcPr>
          <w:p>
            <w:pPr>
              <w:rPr>
                <w:sz w:val="2"/>
                <w:szCs w:val="2"/>
              </w:rPr>
            </w:pPr>
          </w:p>
        </w:tc>
        <w:tc>
          <w:tcPr>
            <w:tcW w:w="2678" w:type="dxa"/>
            <w:tcBorders>
              <w:top w:val="single" w:sz="4" w:space="0" w:color="000000"/>
              <w:left w:val="single" w:sz="4" w:space="0" w:color="000000"/>
              <w:bottom w:val="single" w:sz="4" w:space="0" w:color="000000"/>
              <w:right w:val="single" w:sz="4" w:space="0" w:color="000000"/>
            </w:tcBorders>
          </w:tcPr>
          <w:p>
            <w:pPr>
              <w:pStyle w:val="TableParagraph"/>
              <w:ind w:left="119"/>
              <w:rPr>
                <w:sz w:val="20"/>
              </w:rPr>
            </w:pPr>
            <w:r>
              <w:rPr>
                <w:sz w:val="20"/>
              </w:rPr>
              <w:t>33、全身性重症肌无力 </w:t>
            </w:r>
          </w:p>
        </w:tc>
        <w:tc>
          <w:tcPr>
            <w:tcW w:w="3763"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3696" w:type="dxa"/>
            <w:vMerge/>
            <w:tcBorders>
              <w:top w:val="nil"/>
              <w:left w:val="single" w:sz="4" w:space="0" w:color="000000"/>
              <w:bottom w:val="single" w:sz="4" w:space="0" w:color="000000"/>
              <w:right w:val="single" w:sz="4" w:space="0" w:color="000000"/>
            </w:tcBorders>
          </w:tcPr>
          <w:p>
            <w:pPr>
              <w:rPr>
                <w:sz w:val="2"/>
                <w:szCs w:val="2"/>
              </w:rPr>
            </w:pPr>
          </w:p>
        </w:tc>
        <w:tc>
          <w:tcPr>
            <w:tcW w:w="2678" w:type="dxa"/>
            <w:tcBorders>
              <w:top w:val="single" w:sz="4" w:space="0" w:color="000000"/>
              <w:left w:val="single" w:sz="4" w:space="0" w:color="000000"/>
              <w:bottom w:val="single" w:sz="4" w:space="0" w:color="000000"/>
              <w:right w:val="single" w:sz="4" w:space="0" w:color="000000"/>
            </w:tcBorders>
          </w:tcPr>
          <w:p>
            <w:pPr>
              <w:pStyle w:val="TableParagraph"/>
              <w:ind w:left="119"/>
              <w:rPr>
                <w:sz w:val="20"/>
              </w:rPr>
            </w:pPr>
            <w:r>
              <w:rPr>
                <w:sz w:val="20"/>
              </w:rPr>
              <w:t>35、脑动脉瘤破裂开颅手术 </w:t>
            </w:r>
          </w:p>
        </w:tc>
        <w:tc>
          <w:tcPr>
            <w:tcW w:w="3763" w:type="dxa"/>
            <w:vMerge/>
            <w:tcBorders>
              <w:top w:val="nil"/>
              <w:left w:val="single" w:sz="4" w:space="0" w:color="000000"/>
              <w:bottom w:val="single" w:sz="4" w:space="0" w:color="000000"/>
              <w:right w:val="single" w:sz="4" w:space="0" w:color="000000"/>
            </w:tcBorders>
          </w:tcPr>
          <w:p>
            <w:pPr>
              <w:rPr>
                <w:sz w:val="2"/>
                <w:szCs w:val="2"/>
              </w:rPr>
            </w:pPr>
          </w:p>
        </w:tc>
      </w:tr>
      <w:tr>
        <w:trPr>
          <w:trHeight w:val="306" w:hRule="atLeast"/>
        </w:trPr>
        <w:tc>
          <w:tcPr>
            <w:tcW w:w="3696" w:type="dxa"/>
            <w:vMerge/>
            <w:tcBorders>
              <w:top w:val="nil"/>
              <w:left w:val="single" w:sz="4" w:space="0" w:color="000000"/>
              <w:bottom w:val="single" w:sz="4" w:space="0" w:color="000000"/>
              <w:right w:val="single" w:sz="4" w:space="0" w:color="000000"/>
            </w:tcBorders>
          </w:tcPr>
          <w:p>
            <w:pPr>
              <w:rPr>
                <w:sz w:val="2"/>
                <w:szCs w:val="2"/>
              </w:rPr>
            </w:pPr>
          </w:p>
        </w:tc>
        <w:tc>
          <w:tcPr>
            <w:tcW w:w="2678" w:type="dxa"/>
            <w:tcBorders>
              <w:top w:val="single" w:sz="4" w:space="0" w:color="000000"/>
              <w:left w:val="single" w:sz="4" w:space="0" w:color="000000"/>
              <w:bottom w:val="single" w:sz="4" w:space="0" w:color="000000"/>
              <w:right w:val="single" w:sz="4" w:space="0" w:color="000000"/>
            </w:tcBorders>
          </w:tcPr>
          <w:p>
            <w:pPr>
              <w:pStyle w:val="TableParagraph"/>
              <w:ind w:left="119"/>
              <w:rPr>
                <w:sz w:val="20"/>
              </w:rPr>
            </w:pPr>
            <w:r>
              <w:rPr>
                <w:sz w:val="20"/>
              </w:rPr>
              <w:t>36、1 型糖尿病 </w:t>
            </w:r>
          </w:p>
        </w:tc>
        <w:tc>
          <w:tcPr>
            <w:tcW w:w="3763"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3696" w:type="dxa"/>
            <w:vMerge/>
            <w:tcBorders>
              <w:top w:val="nil"/>
              <w:left w:val="single" w:sz="4" w:space="0" w:color="000000"/>
              <w:bottom w:val="single" w:sz="4" w:space="0" w:color="000000"/>
              <w:right w:val="single" w:sz="4" w:space="0" w:color="000000"/>
            </w:tcBorders>
          </w:tcPr>
          <w:p>
            <w:pPr>
              <w:rPr>
                <w:sz w:val="2"/>
                <w:szCs w:val="2"/>
              </w:rPr>
            </w:pPr>
          </w:p>
        </w:tc>
        <w:tc>
          <w:tcPr>
            <w:tcW w:w="2678" w:type="dxa"/>
            <w:tcBorders>
              <w:top w:val="single" w:sz="4" w:space="0" w:color="000000"/>
              <w:left w:val="single" w:sz="4" w:space="0" w:color="000000"/>
              <w:bottom w:val="single" w:sz="4" w:space="0" w:color="000000"/>
              <w:right w:val="single" w:sz="4" w:space="0" w:color="000000"/>
            </w:tcBorders>
          </w:tcPr>
          <w:p>
            <w:pPr>
              <w:pStyle w:val="TableParagraph"/>
              <w:ind w:left="119"/>
              <w:rPr>
                <w:sz w:val="20"/>
              </w:rPr>
            </w:pPr>
            <w:r>
              <w:rPr>
                <w:sz w:val="20"/>
              </w:rPr>
              <w:t>39、肌营养不良症 </w:t>
            </w:r>
          </w:p>
        </w:tc>
        <w:tc>
          <w:tcPr>
            <w:tcW w:w="3763" w:type="dxa"/>
            <w:vMerge/>
            <w:tcBorders>
              <w:top w:val="nil"/>
              <w:left w:val="single" w:sz="4" w:space="0" w:color="000000"/>
              <w:bottom w:val="single" w:sz="4" w:space="0" w:color="000000"/>
              <w:right w:val="single" w:sz="4" w:space="0" w:color="000000"/>
            </w:tcBorders>
          </w:tcPr>
          <w:p>
            <w:pPr>
              <w:rPr>
                <w:sz w:val="2"/>
                <w:szCs w:val="2"/>
              </w:rPr>
            </w:pPr>
          </w:p>
        </w:tc>
      </w:tr>
      <w:tr>
        <w:trPr>
          <w:trHeight w:val="306" w:hRule="atLeast"/>
        </w:trPr>
        <w:tc>
          <w:tcPr>
            <w:tcW w:w="3696" w:type="dxa"/>
            <w:vMerge/>
            <w:tcBorders>
              <w:top w:val="nil"/>
              <w:left w:val="single" w:sz="4" w:space="0" w:color="000000"/>
              <w:bottom w:val="single" w:sz="4" w:space="0" w:color="000000"/>
              <w:right w:val="single" w:sz="4" w:space="0" w:color="000000"/>
            </w:tcBorders>
          </w:tcPr>
          <w:p>
            <w:pPr>
              <w:rPr>
                <w:sz w:val="2"/>
                <w:szCs w:val="2"/>
              </w:rPr>
            </w:pPr>
          </w:p>
        </w:tc>
        <w:tc>
          <w:tcPr>
            <w:tcW w:w="2678" w:type="dxa"/>
            <w:tcBorders>
              <w:top w:val="single" w:sz="4" w:space="0" w:color="000000"/>
              <w:left w:val="single" w:sz="4" w:space="0" w:color="000000"/>
              <w:bottom w:val="single" w:sz="4" w:space="0" w:color="000000"/>
              <w:right w:val="single" w:sz="4" w:space="0" w:color="000000"/>
            </w:tcBorders>
          </w:tcPr>
          <w:p>
            <w:pPr>
              <w:pStyle w:val="TableParagraph"/>
              <w:ind w:left="119"/>
              <w:rPr>
                <w:sz w:val="20"/>
              </w:rPr>
            </w:pPr>
            <w:r>
              <w:rPr>
                <w:sz w:val="20"/>
              </w:rPr>
              <w:t>40、植物人状态 </w:t>
            </w:r>
          </w:p>
        </w:tc>
        <w:tc>
          <w:tcPr>
            <w:tcW w:w="3763" w:type="dxa"/>
            <w:vMerge/>
            <w:tcBorders>
              <w:top w:val="nil"/>
              <w:left w:val="single" w:sz="4" w:space="0" w:color="000000"/>
              <w:bottom w:val="single" w:sz="4" w:space="0" w:color="000000"/>
              <w:right w:val="single" w:sz="4" w:space="0" w:color="000000"/>
            </w:tcBorders>
          </w:tcPr>
          <w:p>
            <w:pPr>
              <w:rPr>
                <w:sz w:val="2"/>
                <w:szCs w:val="2"/>
              </w:rPr>
            </w:pPr>
          </w:p>
        </w:tc>
      </w:tr>
    </w:tbl>
    <w:p>
      <w:pPr>
        <w:pStyle w:val="BodyText"/>
        <w:rPr>
          <w:rFonts w:ascii="Microsoft JhengHei"/>
          <w:b/>
          <w:sz w:val="20"/>
        </w:rPr>
      </w:pPr>
    </w:p>
    <w:p>
      <w:pPr>
        <w:pStyle w:val="BodyText"/>
        <w:spacing w:before="9"/>
        <w:rPr>
          <w:rFonts w:ascii="Microsoft JhengHei"/>
          <w:b/>
          <w:sz w:val="10"/>
        </w:rPr>
      </w:pPr>
    </w:p>
    <w:p>
      <w:pPr>
        <w:spacing w:before="11" w:after="33"/>
        <w:ind w:left="234" w:right="0" w:firstLine="0"/>
        <w:jc w:val="left"/>
        <w:rPr>
          <w:rFonts w:ascii="Microsoft JhengHei" w:eastAsia="Microsoft JhengHei" w:hint="eastAsia"/>
          <w:b/>
          <w:sz w:val="21"/>
        </w:rPr>
      </w:pPr>
      <w:r>
        <w:rPr>
          <w:rFonts w:ascii="Microsoft JhengHei" w:eastAsia="Microsoft JhengHei" w:hint="eastAsia"/>
          <w:b/>
          <w:sz w:val="21"/>
        </w:rPr>
        <w:t>轻症大病分组</w:t>
      </w: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0"/>
        <w:gridCol w:w="2515"/>
        <w:gridCol w:w="4118"/>
      </w:tblGrid>
      <w:tr>
        <w:trPr>
          <w:trHeight w:val="306" w:hRule="atLeast"/>
        </w:trPr>
        <w:tc>
          <w:tcPr>
            <w:tcW w:w="3110" w:type="dxa"/>
          </w:tcPr>
          <w:p>
            <w:pPr>
              <w:pStyle w:val="TableParagraph"/>
              <w:ind w:left="1385" w:right="1275"/>
              <w:jc w:val="center"/>
              <w:rPr>
                <w:sz w:val="20"/>
              </w:rPr>
            </w:pPr>
            <w:r>
              <w:rPr>
                <w:sz w:val="20"/>
              </w:rPr>
              <w:t>A 组 </w:t>
            </w:r>
          </w:p>
        </w:tc>
        <w:tc>
          <w:tcPr>
            <w:tcW w:w="2515" w:type="dxa"/>
          </w:tcPr>
          <w:p>
            <w:pPr>
              <w:pStyle w:val="TableParagraph"/>
              <w:ind w:left="1097" w:right="967"/>
              <w:jc w:val="center"/>
              <w:rPr>
                <w:sz w:val="20"/>
              </w:rPr>
            </w:pPr>
            <w:r>
              <w:rPr>
                <w:sz w:val="20"/>
              </w:rPr>
              <w:t>B 组 </w:t>
            </w:r>
          </w:p>
        </w:tc>
        <w:tc>
          <w:tcPr>
            <w:tcW w:w="4118" w:type="dxa"/>
          </w:tcPr>
          <w:p>
            <w:pPr>
              <w:pStyle w:val="TableParagraph"/>
              <w:ind w:left="1894" w:right="1773"/>
              <w:jc w:val="center"/>
              <w:rPr>
                <w:sz w:val="20"/>
              </w:rPr>
            </w:pPr>
            <w:r>
              <w:rPr>
                <w:sz w:val="20"/>
              </w:rPr>
              <w:t>C 组 </w:t>
            </w:r>
          </w:p>
        </w:tc>
      </w:tr>
      <w:tr>
        <w:trPr>
          <w:trHeight w:val="316" w:hRule="atLeast"/>
        </w:trPr>
        <w:tc>
          <w:tcPr>
            <w:tcW w:w="3110" w:type="dxa"/>
          </w:tcPr>
          <w:p>
            <w:pPr>
              <w:pStyle w:val="TableParagraph"/>
              <w:ind w:left="110" w:right="-15"/>
              <w:rPr>
                <w:sz w:val="20"/>
              </w:rPr>
            </w:pPr>
            <w:r>
              <w:rPr>
                <w:spacing w:val="-1"/>
                <w:sz w:val="20"/>
              </w:rPr>
              <w:t>1</w:t>
            </w:r>
            <w:r>
              <w:rPr>
                <w:spacing w:val="-3"/>
                <w:sz w:val="20"/>
              </w:rPr>
              <w:t>、极早期的恶性肿瘤或恶性病变</w:t>
            </w:r>
            <w:r>
              <w:rPr>
                <w:sz w:val="20"/>
              </w:rPr>
              <w:t> </w:t>
            </w:r>
          </w:p>
        </w:tc>
        <w:tc>
          <w:tcPr>
            <w:tcW w:w="2515" w:type="dxa"/>
          </w:tcPr>
          <w:p>
            <w:pPr>
              <w:pStyle w:val="TableParagraph"/>
              <w:ind w:left="120" w:right="-29"/>
              <w:rPr>
                <w:sz w:val="20"/>
              </w:rPr>
            </w:pPr>
            <w:r>
              <w:rPr>
                <w:sz w:val="20"/>
              </w:rPr>
              <w:t>2</w:t>
            </w:r>
            <w:r>
              <w:rPr>
                <w:spacing w:val="-2"/>
                <w:sz w:val="20"/>
              </w:rPr>
              <w:t>、不典型的急性心肌梗塞</w:t>
            </w:r>
            <w:r>
              <w:rPr>
                <w:sz w:val="20"/>
              </w:rPr>
              <w:t> </w:t>
            </w:r>
          </w:p>
        </w:tc>
        <w:tc>
          <w:tcPr>
            <w:tcW w:w="4118" w:type="dxa"/>
          </w:tcPr>
          <w:p>
            <w:pPr>
              <w:pStyle w:val="TableParagraph"/>
              <w:ind w:left="120"/>
              <w:rPr>
                <w:sz w:val="20"/>
              </w:rPr>
            </w:pPr>
            <w:r>
              <w:rPr>
                <w:sz w:val="20"/>
              </w:rPr>
              <w:t>6、视力严重受损 </w:t>
            </w:r>
          </w:p>
        </w:tc>
      </w:tr>
      <w:tr>
        <w:trPr>
          <w:trHeight w:val="306" w:hRule="atLeast"/>
        </w:trPr>
        <w:tc>
          <w:tcPr>
            <w:tcW w:w="3110" w:type="dxa"/>
          </w:tcPr>
          <w:p>
            <w:pPr>
              <w:pStyle w:val="TableParagraph"/>
              <w:ind w:left="110"/>
              <w:rPr>
                <w:sz w:val="20"/>
              </w:rPr>
            </w:pPr>
            <w:r>
              <w:rPr>
                <w:sz w:val="20"/>
              </w:rPr>
              <w:t>7、较小面积 III 度烧伤 </w:t>
            </w:r>
          </w:p>
        </w:tc>
        <w:tc>
          <w:tcPr>
            <w:tcW w:w="2515" w:type="dxa"/>
          </w:tcPr>
          <w:p>
            <w:pPr>
              <w:pStyle w:val="TableParagraph"/>
              <w:ind w:left="120"/>
              <w:rPr>
                <w:sz w:val="20"/>
              </w:rPr>
            </w:pPr>
            <w:r>
              <w:rPr>
                <w:sz w:val="20"/>
              </w:rPr>
              <w:t>3、冠状动脉介入手术 </w:t>
            </w:r>
          </w:p>
        </w:tc>
        <w:tc>
          <w:tcPr>
            <w:tcW w:w="4118" w:type="dxa"/>
          </w:tcPr>
          <w:p>
            <w:pPr>
              <w:pStyle w:val="TableParagraph"/>
              <w:ind w:left="120" w:right="-15"/>
              <w:rPr>
                <w:sz w:val="20"/>
              </w:rPr>
            </w:pPr>
            <w:r>
              <w:rPr>
                <w:sz w:val="20"/>
              </w:rPr>
              <w:t>9</w:t>
            </w:r>
            <w:r>
              <w:rPr>
                <w:spacing w:val="-5"/>
                <w:sz w:val="20"/>
              </w:rPr>
              <w:t>、脑垂体瘤、脑囊肿、脑动脉瘤及脑血管瘤</w:t>
            </w:r>
            <w:r>
              <w:rPr>
                <w:sz w:val="20"/>
              </w:rPr>
              <w:t> </w:t>
            </w:r>
          </w:p>
        </w:tc>
      </w:tr>
      <w:tr>
        <w:trPr>
          <w:trHeight w:val="316" w:hRule="atLeast"/>
        </w:trPr>
        <w:tc>
          <w:tcPr>
            <w:tcW w:w="3110" w:type="dxa"/>
            <w:vMerge w:val="restart"/>
          </w:tcPr>
          <w:p>
            <w:pPr>
              <w:pStyle w:val="TableParagraph"/>
              <w:ind w:left="110"/>
              <w:rPr>
                <w:sz w:val="20"/>
              </w:rPr>
            </w:pPr>
            <w:r>
              <w:rPr>
                <w:w w:val="100"/>
                <w:sz w:val="20"/>
              </w:rPr>
              <w:t> </w:t>
            </w:r>
          </w:p>
        </w:tc>
        <w:tc>
          <w:tcPr>
            <w:tcW w:w="2515" w:type="dxa"/>
          </w:tcPr>
          <w:p>
            <w:pPr>
              <w:pStyle w:val="TableParagraph"/>
              <w:ind w:left="120"/>
              <w:rPr>
                <w:sz w:val="20"/>
              </w:rPr>
            </w:pPr>
            <w:r>
              <w:rPr>
                <w:sz w:val="20"/>
              </w:rPr>
              <w:t>4、轻微脑中风 </w:t>
            </w:r>
          </w:p>
        </w:tc>
        <w:tc>
          <w:tcPr>
            <w:tcW w:w="4118" w:type="dxa"/>
          </w:tcPr>
          <w:p>
            <w:pPr>
              <w:pStyle w:val="TableParagraph"/>
              <w:ind w:left="120"/>
              <w:rPr>
                <w:sz w:val="20"/>
              </w:rPr>
            </w:pPr>
            <w:r>
              <w:rPr>
                <w:sz w:val="20"/>
              </w:rPr>
              <w:t>10、重度头部外伤 </w:t>
            </w:r>
          </w:p>
        </w:tc>
      </w:tr>
      <w:tr>
        <w:trPr>
          <w:trHeight w:val="316" w:hRule="atLeast"/>
        </w:trPr>
        <w:tc>
          <w:tcPr>
            <w:tcW w:w="3110" w:type="dxa"/>
            <w:vMerge/>
            <w:tcBorders>
              <w:top w:val="nil"/>
            </w:tcBorders>
          </w:tcPr>
          <w:p>
            <w:pPr>
              <w:rPr>
                <w:sz w:val="2"/>
                <w:szCs w:val="2"/>
              </w:rPr>
            </w:pPr>
          </w:p>
        </w:tc>
        <w:tc>
          <w:tcPr>
            <w:tcW w:w="2515" w:type="dxa"/>
          </w:tcPr>
          <w:p>
            <w:pPr>
              <w:pStyle w:val="TableParagraph"/>
              <w:ind w:left="120"/>
              <w:rPr>
                <w:sz w:val="20"/>
              </w:rPr>
            </w:pPr>
            <w:r>
              <w:rPr>
                <w:sz w:val="20"/>
              </w:rPr>
              <w:t>5、心脏瓣膜介入手术 </w:t>
            </w:r>
          </w:p>
        </w:tc>
        <w:tc>
          <w:tcPr>
            <w:tcW w:w="4118" w:type="dxa"/>
            <w:vMerge w:val="restart"/>
          </w:tcPr>
          <w:p>
            <w:pPr>
              <w:pStyle w:val="TableParagraph"/>
              <w:ind w:left="120"/>
              <w:rPr>
                <w:sz w:val="20"/>
              </w:rPr>
            </w:pPr>
            <w:r>
              <w:rPr>
                <w:w w:val="100"/>
                <w:sz w:val="20"/>
              </w:rPr>
              <w:t> </w:t>
            </w:r>
          </w:p>
        </w:tc>
      </w:tr>
      <w:tr>
        <w:trPr>
          <w:trHeight w:val="306" w:hRule="atLeast"/>
        </w:trPr>
        <w:tc>
          <w:tcPr>
            <w:tcW w:w="3110" w:type="dxa"/>
            <w:vMerge/>
            <w:tcBorders>
              <w:top w:val="nil"/>
            </w:tcBorders>
          </w:tcPr>
          <w:p>
            <w:pPr>
              <w:rPr>
                <w:sz w:val="2"/>
                <w:szCs w:val="2"/>
              </w:rPr>
            </w:pPr>
          </w:p>
        </w:tc>
        <w:tc>
          <w:tcPr>
            <w:tcW w:w="2515" w:type="dxa"/>
          </w:tcPr>
          <w:p>
            <w:pPr>
              <w:pStyle w:val="TableParagraph"/>
              <w:ind w:left="120"/>
              <w:rPr>
                <w:sz w:val="20"/>
              </w:rPr>
            </w:pPr>
            <w:r>
              <w:rPr>
                <w:sz w:val="20"/>
              </w:rPr>
              <w:t>8、主动脉内手术 </w:t>
            </w:r>
          </w:p>
        </w:tc>
        <w:tc>
          <w:tcPr>
            <w:tcW w:w="4118" w:type="dxa"/>
            <w:vMerge/>
            <w:tcBorders>
              <w:top w:val="nil"/>
            </w:tcBorders>
          </w:tcPr>
          <w:p>
            <w:pPr>
              <w:rPr>
                <w:sz w:val="2"/>
                <w:szCs w:val="2"/>
              </w:rPr>
            </w:pPr>
          </w:p>
        </w:tc>
      </w:tr>
    </w:tbl>
    <w:p>
      <w:pPr>
        <w:pStyle w:val="BodyText"/>
        <w:spacing w:before="6"/>
        <w:rPr>
          <w:rFonts w:ascii="Microsoft JhengHei"/>
          <w:b/>
          <w:sz w:val="17"/>
        </w:rPr>
      </w:pPr>
    </w:p>
    <w:p>
      <w:pPr>
        <w:pStyle w:val="BodyText"/>
        <w:ind w:left="234"/>
      </w:pPr>
      <w:r>
        <w:rPr>
          <w:w w:val="100"/>
        </w:rPr>
        <w:t> </w:t>
      </w:r>
    </w:p>
    <w:sectPr>
      <w:pgSz w:w="11900" w:h="16840"/>
      <w:pgMar w:header="886" w:footer="1009" w:top="1080" w:bottom="1200" w:left="6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0.55304pt;width:8.6pt;height:12.1pt;mso-position-horizontal-relative:page;mso-position-vertical-relative:page;z-index:-2953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0.55304pt;width:8.6pt;height:12.1pt;mso-position-horizontal-relative:page;mso-position-vertical-relative:page;z-index:-2948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287.480011pt;margin-top:780.55304pt;width:6.6pt;height:12.1pt;mso-position-horizontal-relative:page;mso-position-vertical-relative:page;z-index:-29464" type="#_x0000_t202" filled="false" stroked="false">
          <v:textbox inset="0,0,0,0">
            <w:txbxContent>
              <w:p>
                <w:pPr>
                  <w:spacing w:before="14"/>
                  <w:ind w:left="20" w:right="0" w:firstLine="0"/>
                  <w:jc w:val="left"/>
                  <w:rPr>
                    <w:rFonts w:ascii="Times New Roman"/>
                    <w:sz w:val="18"/>
                  </w:rPr>
                </w:pPr>
                <w:r>
                  <w:rPr/>
                  <w:fldChar w:fldCharType="begin"/>
                </w:r>
                <w:r>
                  <w:rPr>
                    <w:rFonts w:ascii="Times New Roman"/>
                    <w:w w:val="101"/>
                    <w:sz w:val="18"/>
                  </w:rPr>
                  <w:instrText> PAGE </w:instrText>
                </w:r>
                <w:r>
                  <w:rPr/>
                  <w:fldChar w:fldCharType="separate"/>
                </w:r>
                <w:r>
                  <w:rPr/>
                  <w:t>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87.480011pt;margin-top:780.55304pt;width:6.6pt;height:12.1pt;mso-position-horizontal-relative:page;mso-position-vertical-relative:page;z-index:-29440" type="#_x0000_t202" filled="false" stroked="false">
          <v:textbox inset="0,0,0,0">
            <w:txbxContent>
              <w:p>
                <w:pPr>
                  <w:spacing w:before="14"/>
                  <w:ind w:left="20" w:right="0" w:firstLine="0"/>
                  <w:jc w:val="left"/>
                  <w:rPr>
                    <w:rFonts w:ascii="Times New Roman"/>
                    <w:sz w:val="18"/>
                  </w:rPr>
                </w:pPr>
                <w:r>
                  <w:rPr/>
                  <w:fldChar w:fldCharType="begin"/>
                </w:r>
                <w:r>
                  <w:rPr>
                    <w:rFonts w:ascii="Times New Roman"/>
                    <w:w w:val="101"/>
                    <w:sz w:val="18"/>
                  </w:rPr>
                  <w:instrText> PAGE </w:instrText>
                </w:r>
                <w:r>
                  <w:rPr/>
                  <w:fldChar w:fldCharType="separate"/>
                </w:r>
                <w:r>
                  <w:rPr/>
                  <w:t>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0.55304pt;width:8.6pt;height:12.1pt;mso-position-horizontal-relative:page;mso-position-vertical-relative:page;z-index:-2941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480011pt;margin-top:780.55304pt;width:12.65pt;height:12.1pt;mso-position-horizontal-relative:page;mso-position-vertical-relative:page;z-index:-2939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480011pt;margin-top:780.55304pt;width:12.65pt;height:12.1pt;mso-position-horizontal-relative:page;mso-position-vertical-relative:page;z-index:-2936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480011pt;margin-top:780.55304pt;width:12.65pt;height:12.1pt;mso-position-horizontal-relative:page;mso-position-vertical-relative:page;z-index:-2934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9584" from="55.200001pt,57.439999pt" to="554.400001pt,57.439999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25.23999pt;margin-top:43.285pt;width:134pt;height:12.6pt;mso-position-horizontal-relative:page;mso-position-vertical-relative:page;z-index:-29560" type="#_x0000_t202" filled="false" stroked="false">
          <v:textbox inset="0,0,0,0">
            <w:txbxContent>
              <w:p>
                <w:pPr>
                  <w:pStyle w:val="BodyText"/>
                  <w:spacing w:line="231" w:lineRule="exact"/>
                  <w:ind w:left="20"/>
                </w:pPr>
                <w:r>
                  <w:rPr/>
                  <w:t>光大永明人寿保险有限公司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5.23999pt;margin-top:43.285pt;width:134pt;height:12.6pt;mso-position-horizontal-relative:page;mso-position-vertical-relative:page;z-index:-29512" type="#_x0000_t202" filled="false" stroked="false">
          <v:textbox inset="0,0,0,0">
            <w:txbxContent>
              <w:p>
                <w:pPr>
                  <w:pStyle w:val="BodyText"/>
                  <w:spacing w:line="231" w:lineRule="exact"/>
                  <w:ind w:left="20"/>
                </w:pPr>
                <w:r>
                  <w:rPr/>
                  <w:t>光大永明人寿保险有限公司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979" w:hanging="423"/>
        <w:jc w:val="left"/>
      </w:pPr>
      <w:rPr>
        <w:rFonts w:hint="default" w:ascii="黑体" w:hAnsi="黑体" w:eastAsia="黑体" w:cs="黑体"/>
        <w:w w:val="100"/>
        <w:sz w:val="21"/>
        <w:szCs w:val="21"/>
      </w:rPr>
    </w:lvl>
    <w:lvl w:ilvl="1">
      <w:start w:val="0"/>
      <w:numFmt w:val="bullet"/>
      <w:lvlText w:val="•"/>
      <w:lvlJc w:val="left"/>
      <w:pPr>
        <w:ind w:left="1440" w:hanging="423"/>
      </w:pPr>
      <w:rPr>
        <w:rFonts w:hint="default"/>
      </w:rPr>
    </w:lvl>
    <w:lvl w:ilvl="2">
      <w:start w:val="0"/>
      <w:numFmt w:val="bullet"/>
      <w:lvlText w:val="•"/>
      <w:lvlJc w:val="left"/>
      <w:pPr>
        <w:ind w:left="2422" w:hanging="423"/>
      </w:pPr>
      <w:rPr>
        <w:rFonts w:hint="default"/>
      </w:rPr>
    </w:lvl>
    <w:lvl w:ilvl="3">
      <w:start w:val="0"/>
      <w:numFmt w:val="bullet"/>
      <w:lvlText w:val="•"/>
      <w:lvlJc w:val="left"/>
      <w:pPr>
        <w:ind w:left="3404" w:hanging="423"/>
      </w:pPr>
      <w:rPr>
        <w:rFonts w:hint="default"/>
      </w:rPr>
    </w:lvl>
    <w:lvl w:ilvl="4">
      <w:start w:val="0"/>
      <w:numFmt w:val="bullet"/>
      <w:lvlText w:val="•"/>
      <w:lvlJc w:val="left"/>
      <w:pPr>
        <w:ind w:left="4386" w:hanging="423"/>
      </w:pPr>
      <w:rPr>
        <w:rFonts w:hint="default"/>
      </w:rPr>
    </w:lvl>
    <w:lvl w:ilvl="5">
      <w:start w:val="0"/>
      <w:numFmt w:val="bullet"/>
      <w:lvlText w:val="•"/>
      <w:lvlJc w:val="left"/>
      <w:pPr>
        <w:ind w:left="5368" w:hanging="423"/>
      </w:pPr>
      <w:rPr>
        <w:rFonts w:hint="default"/>
      </w:rPr>
    </w:lvl>
    <w:lvl w:ilvl="6">
      <w:start w:val="0"/>
      <w:numFmt w:val="bullet"/>
      <w:lvlText w:val="•"/>
      <w:lvlJc w:val="left"/>
      <w:pPr>
        <w:ind w:left="6351" w:hanging="423"/>
      </w:pPr>
      <w:rPr>
        <w:rFonts w:hint="default"/>
      </w:rPr>
    </w:lvl>
    <w:lvl w:ilvl="7">
      <w:start w:val="0"/>
      <w:numFmt w:val="bullet"/>
      <w:lvlText w:val="•"/>
      <w:lvlJc w:val="left"/>
      <w:pPr>
        <w:ind w:left="7333" w:hanging="423"/>
      </w:pPr>
      <w:rPr>
        <w:rFonts w:hint="default"/>
      </w:rPr>
    </w:lvl>
    <w:lvl w:ilvl="8">
      <w:start w:val="0"/>
      <w:numFmt w:val="bullet"/>
      <w:lvlText w:val="•"/>
      <w:lvlJc w:val="left"/>
      <w:pPr>
        <w:ind w:left="8315" w:hanging="423"/>
      </w:pPr>
      <w:rPr>
        <w:rFonts w:hint="default"/>
      </w:rPr>
    </w:lvl>
  </w:abstractNum>
  <w:abstractNum w:abstractNumId="1">
    <w:multiLevelType w:val="hybridMultilevel"/>
    <w:lvl w:ilvl="0">
      <w:start w:val="1"/>
      <w:numFmt w:val="decimal"/>
      <w:lvlText w:val="%1."/>
      <w:lvlJc w:val="left"/>
      <w:pPr>
        <w:ind w:left="1027" w:hanging="423"/>
        <w:jc w:val="left"/>
      </w:pPr>
      <w:rPr>
        <w:rFonts w:hint="default" w:ascii="黑体" w:hAnsi="黑体" w:eastAsia="黑体" w:cs="黑体"/>
        <w:w w:val="100"/>
        <w:sz w:val="21"/>
        <w:szCs w:val="21"/>
      </w:rPr>
    </w:lvl>
    <w:lvl w:ilvl="1">
      <w:start w:val="0"/>
      <w:numFmt w:val="bullet"/>
      <w:lvlText w:val="•"/>
      <w:lvlJc w:val="left"/>
      <w:pPr>
        <w:ind w:left="1946" w:hanging="423"/>
      </w:pPr>
      <w:rPr>
        <w:rFonts w:hint="default"/>
      </w:rPr>
    </w:lvl>
    <w:lvl w:ilvl="2">
      <w:start w:val="0"/>
      <w:numFmt w:val="bullet"/>
      <w:lvlText w:val="•"/>
      <w:lvlJc w:val="left"/>
      <w:pPr>
        <w:ind w:left="2872" w:hanging="423"/>
      </w:pPr>
      <w:rPr>
        <w:rFonts w:hint="default"/>
      </w:rPr>
    </w:lvl>
    <w:lvl w:ilvl="3">
      <w:start w:val="0"/>
      <w:numFmt w:val="bullet"/>
      <w:lvlText w:val="•"/>
      <w:lvlJc w:val="left"/>
      <w:pPr>
        <w:ind w:left="3798" w:hanging="423"/>
      </w:pPr>
      <w:rPr>
        <w:rFonts w:hint="default"/>
      </w:rPr>
    </w:lvl>
    <w:lvl w:ilvl="4">
      <w:start w:val="0"/>
      <w:numFmt w:val="bullet"/>
      <w:lvlText w:val="•"/>
      <w:lvlJc w:val="left"/>
      <w:pPr>
        <w:ind w:left="4724" w:hanging="423"/>
      </w:pPr>
      <w:rPr>
        <w:rFonts w:hint="default"/>
      </w:rPr>
    </w:lvl>
    <w:lvl w:ilvl="5">
      <w:start w:val="0"/>
      <w:numFmt w:val="bullet"/>
      <w:lvlText w:val="•"/>
      <w:lvlJc w:val="left"/>
      <w:pPr>
        <w:ind w:left="5650" w:hanging="423"/>
      </w:pPr>
      <w:rPr>
        <w:rFonts w:hint="default"/>
      </w:rPr>
    </w:lvl>
    <w:lvl w:ilvl="6">
      <w:start w:val="0"/>
      <w:numFmt w:val="bullet"/>
      <w:lvlText w:val="•"/>
      <w:lvlJc w:val="left"/>
      <w:pPr>
        <w:ind w:left="6576" w:hanging="423"/>
      </w:pPr>
      <w:rPr>
        <w:rFonts w:hint="default"/>
      </w:rPr>
    </w:lvl>
    <w:lvl w:ilvl="7">
      <w:start w:val="0"/>
      <w:numFmt w:val="bullet"/>
      <w:lvlText w:val="•"/>
      <w:lvlJc w:val="left"/>
      <w:pPr>
        <w:ind w:left="7502" w:hanging="423"/>
      </w:pPr>
      <w:rPr>
        <w:rFonts w:hint="default"/>
      </w:rPr>
    </w:lvl>
    <w:lvl w:ilvl="8">
      <w:start w:val="0"/>
      <w:numFmt w:val="bullet"/>
      <w:lvlText w:val="•"/>
      <w:lvlJc w:val="left"/>
      <w:pPr>
        <w:ind w:left="8428" w:hanging="423"/>
      </w:pPr>
      <w:rPr>
        <w:rFonts w:hint="default"/>
      </w:rPr>
    </w:lvl>
  </w:abstractNum>
  <w:abstractNum w:abstractNumId="0">
    <w:multiLevelType w:val="hybridMultilevel"/>
    <w:lvl w:ilvl="0">
      <w:start w:val="1"/>
      <w:numFmt w:val="decimal"/>
      <w:lvlText w:val="%1."/>
      <w:lvlJc w:val="left"/>
      <w:pPr>
        <w:ind w:left="1179" w:hanging="624"/>
        <w:jc w:val="left"/>
      </w:pPr>
      <w:rPr>
        <w:rFonts w:hint="default"/>
        <w:w w:val="100"/>
      </w:rPr>
    </w:lvl>
    <w:lvl w:ilvl="1">
      <w:start w:val="0"/>
      <w:numFmt w:val="bullet"/>
      <w:lvlText w:val="•"/>
      <w:lvlJc w:val="left"/>
      <w:pPr>
        <w:ind w:left="2090" w:hanging="624"/>
      </w:pPr>
      <w:rPr>
        <w:rFonts w:hint="default"/>
      </w:rPr>
    </w:lvl>
    <w:lvl w:ilvl="2">
      <w:start w:val="0"/>
      <w:numFmt w:val="bullet"/>
      <w:lvlText w:val="•"/>
      <w:lvlJc w:val="left"/>
      <w:pPr>
        <w:ind w:left="3000" w:hanging="624"/>
      </w:pPr>
      <w:rPr>
        <w:rFonts w:hint="default"/>
      </w:rPr>
    </w:lvl>
    <w:lvl w:ilvl="3">
      <w:start w:val="0"/>
      <w:numFmt w:val="bullet"/>
      <w:lvlText w:val="•"/>
      <w:lvlJc w:val="left"/>
      <w:pPr>
        <w:ind w:left="3910" w:hanging="624"/>
      </w:pPr>
      <w:rPr>
        <w:rFonts w:hint="default"/>
      </w:rPr>
    </w:lvl>
    <w:lvl w:ilvl="4">
      <w:start w:val="0"/>
      <w:numFmt w:val="bullet"/>
      <w:lvlText w:val="•"/>
      <w:lvlJc w:val="left"/>
      <w:pPr>
        <w:ind w:left="4820" w:hanging="624"/>
      </w:pPr>
      <w:rPr>
        <w:rFonts w:hint="default"/>
      </w:rPr>
    </w:lvl>
    <w:lvl w:ilvl="5">
      <w:start w:val="0"/>
      <w:numFmt w:val="bullet"/>
      <w:lvlText w:val="•"/>
      <w:lvlJc w:val="left"/>
      <w:pPr>
        <w:ind w:left="5730" w:hanging="624"/>
      </w:pPr>
      <w:rPr>
        <w:rFonts w:hint="default"/>
      </w:rPr>
    </w:lvl>
    <w:lvl w:ilvl="6">
      <w:start w:val="0"/>
      <w:numFmt w:val="bullet"/>
      <w:lvlText w:val="•"/>
      <w:lvlJc w:val="left"/>
      <w:pPr>
        <w:ind w:left="6640" w:hanging="624"/>
      </w:pPr>
      <w:rPr>
        <w:rFonts w:hint="default"/>
      </w:rPr>
    </w:lvl>
    <w:lvl w:ilvl="7">
      <w:start w:val="0"/>
      <w:numFmt w:val="bullet"/>
      <w:lvlText w:val="•"/>
      <w:lvlJc w:val="left"/>
      <w:pPr>
        <w:ind w:left="7550" w:hanging="624"/>
      </w:pPr>
      <w:rPr>
        <w:rFonts w:hint="default"/>
      </w:rPr>
    </w:lvl>
    <w:lvl w:ilvl="8">
      <w:start w:val="0"/>
      <w:numFmt w:val="bullet"/>
      <w:lvlText w:val="•"/>
      <w:lvlJc w:val="left"/>
      <w:pPr>
        <w:ind w:left="8460" w:hanging="624"/>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45"/>
      <w:ind w:left="114"/>
    </w:pPr>
    <w:rPr>
      <w:rFonts w:ascii="宋体" w:hAnsi="宋体" w:eastAsia="宋体" w:cs="宋体"/>
      <w:b/>
      <w:bCs/>
      <w:sz w:val="20"/>
      <w:szCs w:val="20"/>
    </w:rPr>
  </w:style>
  <w:style w:styleId="TOC2" w:type="paragraph">
    <w:name w:val="TOC 2"/>
    <w:basedOn w:val="Normal"/>
    <w:uiPriority w:val="1"/>
    <w:qFormat/>
    <w:pPr>
      <w:spacing w:before="39"/>
      <w:ind w:left="325"/>
    </w:pPr>
    <w:rPr>
      <w:rFonts w:ascii="宋体" w:hAnsi="宋体" w:eastAsia="宋体" w:cs="宋体"/>
      <w:sz w:val="20"/>
      <w:szCs w:val="20"/>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74"/>
      <w:jc w:val="center"/>
      <w:outlineLvl w:val="1"/>
    </w:pPr>
    <w:rPr>
      <w:rFonts w:ascii="宋体" w:hAnsi="宋体" w:eastAsia="宋体" w:cs="宋体"/>
      <w:b/>
      <w:bCs/>
      <w:sz w:val="28"/>
      <w:szCs w:val="28"/>
    </w:rPr>
  </w:style>
  <w:style w:styleId="Heading2" w:type="paragraph">
    <w:name w:val="Heading 2"/>
    <w:basedOn w:val="Normal"/>
    <w:uiPriority w:val="1"/>
    <w:qFormat/>
    <w:pPr>
      <w:ind w:left="499"/>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32"/>
      <w:ind w:left="979" w:hanging="423"/>
    </w:pPr>
    <w:rPr>
      <w:rFonts w:ascii="黑体" w:hAnsi="黑体" w:eastAsia="黑体" w:cs="黑体"/>
    </w:rPr>
  </w:style>
  <w:style w:styleId="TableParagraph" w:type="paragraph">
    <w:name w:val="Table Paragraph"/>
    <w:basedOn w:val="Normal"/>
    <w:uiPriority w:val="1"/>
    <w:qFormat/>
    <w:pPr>
      <w:spacing w:line="258"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yezhang</dc:creator>
  <dc:title>1-02 光大永明关爱终生综合疾病保险产品条款 02221455.doc</dc:title>
  <dcterms:created xsi:type="dcterms:W3CDTF">2018-10-19T21:49:21Z</dcterms:created>
  <dcterms:modified xsi:type="dcterms:W3CDTF">2018-10-19T21:49:21Z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2012-03-07T00:00:00Z</vt:filetime>
  </property>
  <property fmtid="{D5CDD505-2E9C-101B-9397-08002B2CF9AE}" pid="3" name="Creator">
    <vt:lpwstr>1-02 光大永明关爱终生综合疾病保险产品条款 02221455 - Microsoft Word</vt:lpwstr>
  </property>
  <property fmtid="{D5CDD505-2E9C-101B-9397-08002B2CF9AE}" pid="4" name="LastSaved">
    <vt:filetime>2012-03-07T00:00:00Z</vt:filetime>
  </property>
</Properties>
</file>