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13"/>
        </w:rPr>
      </w:pPr>
    </w:p>
    <w:p>
      <w:pPr>
        <w:pStyle w:val="BodyText"/>
        <w:ind w:left="8504"/>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00" cy="723900"/>
                    </a:xfrm>
                    <a:prstGeom prst="rect">
                      <a:avLst/>
                    </a:prstGeom>
                  </pic:spPr>
                </pic:pic>
              </a:graphicData>
            </a:graphic>
          </wp:inline>
        </w:drawing>
      </w:r>
      <w:r>
        <w:rPr>
          <w:rFonts w:ascii="Times New Roman"/>
          <w:sz w:val="20"/>
        </w:rPr>
      </w:r>
    </w:p>
    <w:p>
      <w:pPr>
        <w:spacing w:line="235" w:lineRule="auto" w:before="35"/>
        <w:ind w:left="8173" w:right="140" w:hanging="562"/>
        <w:jc w:val="right"/>
        <w:rPr>
          <w:sz w:val="14"/>
        </w:rPr>
      </w:pPr>
      <w:r>
        <w:rPr>
          <w:sz w:val="14"/>
        </w:rPr>
        <w:t>和谐健康[2015]疾病保险 016 号</w:t>
      </w:r>
      <w:r>
        <w:rPr>
          <w:w w:val="95"/>
          <w:sz w:val="14"/>
        </w:rPr>
        <w:t>请扫描以查询验证条款</w:t>
      </w:r>
    </w:p>
    <w:p>
      <w:pPr>
        <w:spacing w:line="577" w:lineRule="exact" w:before="0"/>
        <w:ind w:left="0" w:right="0" w:firstLine="0"/>
        <w:jc w:val="center"/>
        <w:rPr>
          <w:rFonts w:ascii="Microsoft JhengHei" w:eastAsia="Microsoft JhengHei" w:hint="eastAsia"/>
          <w:b/>
          <w:sz w:val="44"/>
        </w:rPr>
      </w:pPr>
      <w:r>
        <w:rPr>
          <w:rFonts w:ascii="Microsoft JhengHei" w:eastAsia="Microsoft JhengHei" w:hint="eastAsia"/>
          <w:b/>
          <w:sz w:val="44"/>
        </w:rPr>
        <w:t>和谐健康之星少儿重大疾病保险条款</w:t>
      </w:r>
    </w:p>
    <w:p>
      <w:pPr>
        <w:spacing w:line="536" w:lineRule="exact" w:before="219"/>
        <w:ind w:left="0" w:right="0" w:firstLine="0"/>
        <w:jc w:val="center"/>
        <w:rPr>
          <w:rFonts w:ascii="Microsoft JhengHei" w:eastAsia="Microsoft JhengHei" w:hint="eastAsia"/>
          <w:b/>
          <w:sz w:val="32"/>
        </w:rPr>
      </w:pPr>
      <w:r>
        <w:rPr>
          <w:rFonts w:ascii="Microsoft JhengHei" w:eastAsia="Microsoft JhengHei" w:hint="eastAsia"/>
          <w:b/>
          <w:sz w:val="32"/>
        </w:rPr>
        <w:t>阅  读  指  引</w:t>
      </w:r>
    </w:p>
    <w:p>
      <w:pPr>
        <w:pStyle w:val="BodyText"/>
        <w:spacing w:line="334" w:lineRule="exact"/>
        <w:ind w:left="62"/>
        <w:jc w:val="center"/>
      </w:pPr>
      <w:r>
        <w:rPr>
          <w:spacing w:val="-149"/>
        </w:rPr>
        <w:t>本</w:t>
      </w:r>
      <w:r>
        <w:rPr>
          <w:spacing w:val="-63"/>
          <w:position w:val="-7"/>
        </w:rPr>
        <w:t>．</w:t>
      </w:r>
      <w:r>
        <w:rPr>
          <w:spacing w:val="-149"/>
        </w:rPr>
        <w:t>阅</w:t>
      </w:r>
      <w:r>
        <w:rPr>
          <w:spacing w:val="-63"/>
          <w:position w:val="-7"/>
        </w:rPr>
        <w:t>．</w:t>
      </w:r>
      <w:r>
        <w:rPr>
          <w:spacing w:val="-152"/>
        </w:rPr>
        <w:t>读</w:t>
      </w:r>
      <w:r>
        <w:rPr>
          <w:spacing w:val="-63"/>
          <w:position w:val="-7"/>
        </w:rPr>
        <w:t>．</w:t>
      </w:r>
      <w:r>
        <w:rPr>
          <w:spacing w:val="-149"/>
        </w:rPr>
        <w:t>指</w:t>
      </w:r>
      <w:r>
        <w:rPr>
          <w:spacing w:val="-63"/>
          <w:position w:val="-7"/>
        </w:rPr>
        <w:t>．</w:t>
      </w:r>
      <w:r>
        <w:rPr>
          <w:spacing w:val="-152"/>
        </w:rPr>
        <w:t>引</w:t>
      </w:r>
      <w:r>
        <w:rPr>
          <w:spacing w:val="-63"/>
          <w:position w:val="-7"/>
        </w:rPr>
        <w:t>．</w:t>
      </w:r>
      <w:r>
        <w:rPr>
          <w:spacing w:val="-149"/>
        </w:rPr>
        <w:t>有</w:t>
      </w:r>
      <w:r>
        <w:rPr>
          <w:spacing w:val="-63"/>
          <w:position w:val="-7"/>
        </w:rPr>
        <w:t>．</w:t>
      </w:r>
      <w:r>
        <w:rPr>
          <w:spacing w:val="-152"/>
        </w:rPr>
        <w:t>助</w:t>
      </w:r>
      <w:r>
        <w:rPr>
          <w:spacing w:val="-63"/>
          <w:position w:val="-7"/>
        </w:rPr>
        <w:t>．</w:t>
      </w:r>
      <w:r>
        <w:rPr>
          <w:spacing w:val="-150"/>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1"/>
        </w:rPr>
        <w:t>解</w:t>
      </w:r>
      <w:r>
        <w:rPr>
          <w:spacing w:val="-63"/>
          <w:position w:val="-7"/>
        </w:rPr>
        <w:t>．</w:t>
      </w:r>
      <w:r>
        <w:rPr>
          <w:spacing w:val="-149"/>
        </w:rPr>
        <w:t>条</w:t>
      </w:r>
      <w:r>
        <w:rPr>
          <w:spacing w:val="-63"/>
          <w:position w:val="-7"/>
        </w:rPr>
        <w:t>．</w:t>
      </w:r>
      <w:r>
        <w:rPr>
          <w:spacing w:val="-151"/>
        </w:rPr>
        <w:t>款</w:t>
      </w:r>
      <w:r>
        <w:rPr>
          <w:position w:val="-7"/>
        </w:rPr>
        <w:t>．</w:t>
      </w:r>
    </w:p>
    <w:p>
      <w:pPr>
        <w:pStyle w:val="BodyText"/>
        <w:spacing w:before="5"/>
        <w:rPr>
          <w:sz w:val="22"/>
        </w:rPr>
      </w:pPr>
    </w:p>
    <w:p>
      <w:pPr>
        <w:pStyle w:val="Heading1"/>
      </w:pPr>
      <w:r>
        <w:rPr/>
        <w:t>您拥有的重要权益</w:t>
      </w:r>
    </w:p>
    <w:p>
      <w:pPr>
        <w:pStyle w:val="BodyText"/>
        <w:tabs>
          <w:tab w:pos="9505" w:val="right" w:leader="dot"/>
        </w:tabs>
        <w:spacing w:before="12"/>
        <w:ind w:left="2"/>
        <w:jc w:val="center"/>
        <w:rPr>
          <w:rFonts w:ascii="Times New Roman" w:eastAsia="Times New Roman"/>
        </w:rPr>
      </w:pPr>
      <w:r>
        <w:rPr/>
        <w:t>签收</w:t>
      </w:r>
      <w:r>
        <w:rPr>
          <w:spacing w:val="-3"/>
        </w:rPr>
        <w:t>合</w:t>
      </w:r>
      <w:r>
        <w:rPr/>
        <w:t>同</w:t>
      </w:r>
      <w:r>
        <w:rPr>
          <w:spacing w:val="-3"/>
        </w:rPr>
        <w:t>次日</w:t>
      </w:r>
      <w:r>
        <w:rPr/>
        <w:t>起</w:t>
      </w:r>
      <w:r>
        <w:rPr>
          <w:spacing w:val="-52"/>
        </w:rPr>
        <w:t> </w:t>
      </w:r>
      <w:r>
        <w:rPr>
          <w:rFonts w:ascii="Times New Roman" w:eastAsia="Times New Roman"/>
        </w:rPr>
        <w:t>15</w:t>
      </w:r>
      <w:r>
        <w:rPr>
          <w:rFonts w:ascii="Times New Roman" w:eastAsia="Times New Roman"/>
          <w:spacing w:val="-2"/>
        </w:rPr>
        <w:t> </w:t>
      </w:r>
      <w:r>
        <w:rPr>
          <w:spacing w:val="-20"/>
        </w:rPr>
        <w:t>天</w:t>
      </w:r>
      <w:r>
        <w:rPr/>
        <w:t>（</w:t>
      </w:r>
      <w:r>
        <w:rPr>
          <w:spacing w:val="-3"/>
        </w:rPr>
        <w:t>即</w:t>
      </w:r>
      <w:r>
        <w:rPr/>
        <w:t>犹豫</w:t>
      </w:r>
      <w:r>
        <w:rPr>
          <w:spacing w:val="-3"/>
        </w:rPr>
        <w:t>期</w:t>
      </w:r>
      <w:r>
        <w:rPr>
          <w:spacing w:val="-20"/>
        </w:rPr>
        <w:t>）</w:t>
      </w:r>
      <w:r>
        <w:rPr/>
        <w:t>内</w:t>
      </w:r>
      <w:r>
        <w:rPr>
          <w:spacing w:val="-3"/>
        </w:rPr>
        <w:t>您</w:t>
      </w:r>
      <w:r>
        <w:rPr/>
        <w:t>若</w:t>
      </w:r>
      <w:r>
        <w:rPr>
          <w:spacing w:val="-3"/>
        </w:rPr>
        <w:t>要</w:t>
      </w:r>
      <w:r>
        <w:rPr/>
        <w:t>求</w:t>
      </w:r>
      <w:r>
        <w:rPr>
          <w:spacing w:val="-3"/>
        </w:rPr>
        <w:t>撤销</w:t>
      </w:r>
      <w:r>
        <w:rPr/>
        <w:t>合</w:t>
      </w:r>
      <w:r>
        <w:rPr>
          <w:spacing w:val="-3"/>
        </w:rPr>
        <w:t>同</w:t>
      </w:r>
      <w:r>
        <w:rPr>
          <w:spacing w:val="-17"/>
        </w:rPr>
        <w:t>，</w:t>
      </w:r>
      <w:r>
        <w:rPr>
          <w:spacing w:val="-3"/>
        </w:rPr>
        <w:t>我</w:t>
      </w:r>
      <w:r>
        <w:rPr/>
        <w:t>们</w:t>
      </w:r>
      <w:r>
        <w:rPr>
          <w:spacing w:val="-3"/>
        </w:rPr>
        <w:t>无</w:t>
      </w:r>
      <w:r>
        <w:rPr/>
        <w:t>息</w:t>
      </w:r>
      <w:r>
        <w:rPr>
          <w:spacing w:val="-3"/>
        </w:rPr>
        <w:t>退</w:t>
      </w:r>
      <w:r>
        <w:rPr/>
        <w:t>还</w:t>
      </w:r>
      <w:r>
        <w:rPr>
          <w:spacing w:val="-3"/>
        </w:rPr>
        <w:t>您所</w:t>
      </w:r>
      <w:r>
        <w:rPr/>
        <w:t>交保</w:t>
      </w:r>
      <w:r>
        <w:rPr>
          <w:spacing w:val="-3"/>
        </w:rPr>
        <w:t>险</w:t>
      </w:r>
      <w:r>
        <w:rPr/>
        <w:t>费</w:t>
        <w:tab/>
      </w:r>
      <w:r>
        <w:rPr>
          <w:rFonts w:ascii="Times New Roman" w:eastAsia="Times New Roman"/>
        </w:rPr>
        <w:t>1.4</w:t>
      </w:r>
    </w:p>
    <w:p>
      <w:pPr>
        <w:pStyle w:val="BodyText"/>
        <w:tabs>
          <w:tab w:pos="9510" w:val="right" w:leader="dot"/>
        </w:tabs>
        <w:spacing w:before="21"/>
        <w:ind w:left="4"/>
        <w:jc w:val="center"/>
        <w:rPr>
          <w:rFonts w:ascii="Times New Roman" w:eastAsia="Times New Roman"/>
        </w:rPr>
      </w:pPr>
      <w:r>
        <w:rPr>
          <w:spacing w:val="2"/>
        </w:rPr>
        <w:t>本合</w:t>
      </w:r>
      <w:r>
        <w:rPr>
          <w:spacing w:val="5"/>
        </w:rPr>
        <w:t>同</w:t>
      </w:r>
      <w:r>
        <w:rPr>
          <w:spacing w:val="2"/>
        </w:rPr>
        <w:t>提供的</w:t>
      </w:r>
      <w:r>
        <w:rPr>
          <w:spacing w:val="5"/>
        </w:rPr>
        <w:t>保</w:t>
      </w:r>
      <w:r>
        <w:rPr>
          <w:spacing w:val="2"/>
        </w:rPr>
        <w:t>障在保险责任条款中列</w:t>
      </w:r>
      <w:r>
        <w:rPr/>
        <w:t>明</w:t>
        <w:tab/>
      </w:r>
      <w:r>
        <w:rPr>
          <w:rFonts w:ascii="Times New Roman" w:eastAsia="Times New Roman"/>
          <w:spacing w:val="2"/>
        </w:rPr>
        <w:t>2.3</w:t>
      </w:r>
    </w:p>
    <w:p>
      <w:pPr>
        <w:pStyle w:val="BodyText"/>
        <w:tabs>
          <w:tab w:pos="9503" w:val="right" w:leader="dot"/>
        </w:tabs>
        <w:spacing w:before="21"/>
        <w:jc w:val="center"/>
        <w:rPr>
          <w:rFonts w:ascii="Times New Roman" w:eastAsia="Times New Roman"/>
        </w:rPr>
      </w:pPr>
      <w:r>
        <w:rPr/>
        <w:t>本合同保证续保，保证续保期间为</w:t>
      </w:r>
      <w:r>
        <w:rPr>
          <w:spacing w:val="3"/>
        </w:rPr>
        <w:t> </w:t>
      </w:r>
      <w:r>
        <w:rPr>
          <w:rFonts w:ascii="Times New Roman" w:eastAsia="Times New Roman"/>
        </w:rPr>
        <w:t>5 </w:t>
      </w:r>
      <w:r>
        <w:rPr>
          <w:rFonts w:ascii="Times New Roman" w:eastAsia="Times New Roman"/>
          <w:spacing w:val="2"/>
        </w:rPr>
        <w:t> </w:t>
      </w:r>
      <w:r>
        <w:rPr/>
        <w:t>年</w:t>
        <w:tab/>
      </w:r>
      <w:r>
        <w:rPr>
          <w:rFonts w:ascii="Times New Roman" w:eastAsia="Times New Roman"/>
        </w:rPr>
        <w:t>2.5</w:t>
      </w:r>
    </w:p>
    <w:p>
      <w:pPr>
        <w:pStyle w:val="BodyText"/>
        <w:tabs>
          <w:tab w:pos="9503" w:val="right" w:leader="dot"/>
        </w:tabs>
        <w:spacing w:before="21"/>
        <w:ind w:left="1"/>
        <w:jc w:val="center"/>
        <w:rPr>
          <w:rFonts w:ascii="Times New Roman" w:eastAsia="Times New Roman"/>
        </w:rPr>
      </w:pPr>
      <w:r>
        <w:rPr>
          <w:spacing w:val="2"/>
        </w:rPr>
        <w:t>您有解除合同的权利</w:t>
        <w:tab/>
      </w:r>
      <w:r>
        <w:rPr>
          <w:rFonts w:ascii="Times New Roman" w:eastAsia="Times New Roman"/>
        </w:rPr>
        <w:t>5.1</w:t>
      </w:r>
    </w:p>
    <w:p>
      <w:pPr>
        <w:pStyle w:val="Heading1"/>
        <w:spacing w:before="266"/>
        <w:ind w:left="2"/>
      </w:pPr>
      <w:r>
        <w:rPr/>
        <w:t>您应当特别注意的事项</w:t>
      </w:r>
    </w:p>
    <w:p>
      <w:pPr>
        <w:pStyle w:val="BodyText"/>
        <w:tabs>
          <w:tab w:pos="9501" w:val="right" w:leader="dot"/>
        </w:tabs>
        <w:spacing w:before="13"/>
        <w:jc w:val="center"/>
        <w:rPr>
          <w:rFonts w:ascii="Times New Roman" w:eastAsia="Times New Roman"/>
        </w:rPr>
      </w:pPr>
      <w:r>
        <w:rPr>
          <w:spacing w:val="2"/>
        </w:rPr>
        <w:t>本合</w:t>
      </w:r>
      <w:r>
        <w:rPr/>
        <w:t>同有</w:t>
      </w:r>
      <w:r>
        <w:rPr>
          <w:spacing w:val="5"/>
        </w:rPr>
        <w:t> </w:t>
      </w:r>
      <w:r>
        <w:rPr>
          <w:rFonts w:ascii="Times New Roman" w:eastAsia="Times New Roman"/>
        </w:rPr>
        <w:t>30 </w:t>
      </w:r>
      <w:r>
        <w:rPr>
          <w:rFonts w:ascii="Times New Roman" w:eastAsia="Times New Roman"/>
          <w:spacing w:val="5"/>
        </w:rPr>
        <w:t> </w:t>
      </w:r>
      <w:r>
        <w:rPr/>
        <w:t>日</w:t>
      </w:r>
      <w:r>
        <w:rPr>
          <w:spacing w:val="2"/>
        </w:rPr>
        <w:t>的</w:t>
      </w:r>
      <w:r>
        <w:rPr>
          <w:spacing w:val="5"/>
        </w:rPr>
        <w:t>等</w:t>
      </w:r>
      <w:r>
        <w:rPr/>
        <w:t>待期</w:t>
        <w:tab/>
      </w:r>
      <w:r>
        <w:rPr>
          <w:rFonts w:ascii="Times New Roman" w:eastAsia="Times New Roman"/>
        </w:rPr>
        <w:t>2.3</w:t>
      </w:r>
    </w:p>
    <w:p>
      <w:pPr>
        <w:pStyle w:val="BodyText"/>
        <w:tabs>
          <w:tab w:pos="9510" w:val="right" w:leader="dot"/>
        </w:tabs>
        <w:spacing w:before="21"/>
        <w:ind w:left="4"/>
        <w:jc w:val="center"/>
        <w:rPr>
          <w:rFonts w:ascii="Times New Roman" w:eastAsia="Times New Roman"/>
        </w:rPr>
      </w:pPr>
      <w:r>
        <w:rPr>
          <w:spacing w:val="2"/>
        </w:rPr>
        <w:t>在某</w:t>
      </w:r>
      <w:r>
        <w:rPr/>
        <w:t>些</w:t>
      </w:r>
      <w:r>
        <w:rPr>
          <w:spacing w:val="2"/>
        </w:rPr>
        <w:t>情</w:t>
      </w:r>
      <w:r>
        <w:rPr/>
        <w:t>况</w:t>
      </w:r>
      <w:r>
        <w:rPr>
          <w:spacing w:val="2"/>
        </w:rPr>
        <w:t>下，</w:t>
      </w:r>
      <w:r>
        <w:rPr/>
        <w:t>本</w:t>
      </w:r>
      <w:r>
        <w:rPr>
          <w:spacing w:val="2"/>
        </w:rPr>
        <w:t>公</w:t>
      </w:r>
      <w:r>
        <w:rPr/>
        <w:t>司不</w:t>
      </w:r>
      <w:r>
        <w:rPr>
          <w:spacing w:val="2"/>
        </w:rPr>
        <w:t>承担</w:t>
      </w:r>
      <w:r>
        <w:rPr/>
        <w:t>保</w:t>
      </w:r>
      <w:r>
        <w:rPr>
          <w:spacing w:val="2"/>
        </w:rPr>
        <w:t>险</w:t>
      </w:r>
      <w:r>
        <w:rPr/>
        <w:t>责任</w:t>
        <w:tab/>
      </w:r>
      <w:r>
        <w:rPr>
          <w:rFonts w:ascii="Times New Roman" w:eastAsia="Times New Roman"/>
        </w:rPr>
        <w:t>2.4</w:t>
      </w:r>
    </w:p>
    <w:p>
      <w:pPr>
        <w:pStyle w:val="BodyText"/>
        <w:tabs>
          <w:tab w:pos="9484" w:val="right" w:leader="dot"/>
        </w:tabs>
        <w:spacing w:before="21"/>
        <w:ind w:right="14"/>
        <w:jc w:val="center"/>
        <w:rPr>
          <w:rFonts w:ascii="Times New Roman" w:eastAsia="Times New Roman"/>
        </w:rPr>
      </w:pPr>
      <w:r>
        <w:rPr>
          <w:spacing w:val="2"/>
        </w:rPr>
        <w:t>保险事故发生后请您及</w:t>
      </w:r>
      <w:r>
        <w:rPr/>
        <w:t>时</w:t>
      </w:r>
      <w:r>
        <w:rPr>
          <w:spacing w:val="2"/>
        </w:rPr>
        <w:t>通知本公司</w:t>
        <w:tab/>
      </w:r>
      <w:r>
        <w:rPr>
          <w:rFonts w:ascii="Times New Roman" w:eastAsia="Times New Roman"/>
        </w:rPr>
        <w:t>3.2</w:t>
      </w:r>
    </w:p>
    <w:p>
      <w:pPr>
        <w:pStyle w:val="BodyText"/>
        <w:tabs>
          <w:tab w:pos="9488" w:val="right" w:leader="dot"/>
        </w:tabs>
        <w:spacing w:before="21"/>
        <w:ind w:right="10"/>
        <w:jc w:val="center"/>
        <w:rPr>
          <w:rFonts w:ascii="Times New Roman" w:eastAsia="Times New Roman"/>
        </w:rPr>
      </w:pPr>
      <w:r>
        <w:rPr>
          <w:spacing w:val="2"/>
        </w:rPr>
        <w:t>退</w:t>
      </w:r>
      <w:r>
        <w:rPr/>
        <w:t>保</w:t>
      </w:r>
      <w:r>
        <w:rPr>
          <w:spacing w:val="2"/>
        </w:rPr>
        <w:t>会</w:t>
      </w:r>
      <w:r>
        <w:rPr/>
        <w:t>给</w:t>
      </w:r>
      <w:r>
        <w:rPr>
          <w:spacing w:val="2"/>
        </w:rPr>
        <w:t>您</w:t>
      </w:r>
      <w:r>
        <w:rPr/>
        <w:t>造</w:t>
      </w:r>
      <w:r>
        <w:rPr>
          <w:spacing w:val="2"/>
        </w:rPr>
        <w:t>成</w:t>
      </w:r>
      <w:r>
        <w:rPr/>
        <w:t>一</w:t>
      </w:r>
      <w:r>
        <w:rPr>
          <w:spacing w:val="2"/>
        </w:rPr>
        <w:t>定</w:t>
      </w:r>
      <w:r>
        <w:rPr/>
        <w:t>的损</w:t>
      </w:r>
      <w:r>
        <w:rPr>
          <w:spacing w:val="2"/>
        </w:rPr>
        <w:t>失</w:t>
      </w:r>
      <w:r>
        <w:rPr/>
        <w:t>，</w:t>
      </w:r>
      <w:r>
        <w:rPr>
          <w:spacing w:val="2"/>
        </w:rPr>
        <w:t>请</w:t>
      </w:r>
      <w:r>
        <w:rPr/>
        <w:t>您</w:t>
      </w:r>
      <w:r>
        <w:rPr>
          <w:spacing w:val="2"/>
        </w:rPr>
        <w:t>慎</w:t>
      </w:r>
      <w:r>
        <w:rPr/>
        <w:t>重</w:t>
      </w:r>
      <w:r>
        <w:rPr>
          <w:spacing w:val="2"/>
        </w:rPr>
        <w:t>决</w:t>
      </w:r>
      <w:r>
        <w:rPr/>
        <w:t>策</w:t>
        <w:tab/>
      </w:r>
      <w:r>
        <w:rPr>
          <w:rFonts w:ascii="Times New Roman" w:eastAsia="Times New Roman"/>
        </w:rPr>
        <w:t>5.1</w:t>
      </w:r>
    </w:p>
    <w:p>
      <w:pPr>
        <w:pStyle w:val="BodyText"/>
        <w:tabs>
          <w:tab w:pos="9510" w:val="right" w:leader="dot"/>
        </w:tabs>
        <w:spacing w:before="21"/>
        <w:ind w:left="4"/>
        <w:jc w:val="center"/>
        <w:rPr>
          <w:rFonts w:ascii="Times New Roman" w:eastAsia="Times New Roman"/>
        </w:rPr>
      </w:pPr>
      <w:r>
        <w:rPr>
          <w:spacing w:val="2"/>
        </w:rPr>
        <w:t>您有如实</w:t>
      </w:r>
      <w:r>
        <w:rPr>
          <w:spacing w:val="5"/>
        </w:rPr>
        <w:t>告</w:t>
      </w:r>
      <w:r>
        <w:rPr>
          <w:spacing w:val="2"/>
        </w:rPr>
        <w:t>知</w:t>
      </w:r>
      <w:r>
        <w:rPr>
          <w:spacing w:val="5"/>
        </w:rPr>
        <w:t>的</w:t>
      </w:r>
      <w:r>
        <w:rPr>
          <w:spacing w:val="2"/>
        </w:rPr>
        <w:t>义务</w:t>
        <w:tab/>
      </w:r>
      <w:r>
        <w:rPr>
          <w:rFonts w:ascii="Times New Roman" w:eastAsia="Times New Roman"/>
          <w:spacing w:val="2"/>
        </w:rPr>
        <w:t>6.1</w:t>
      </w:r>
    </w:p>
    <w:p>
      <w:pPr>
        <w:pStyle w:val="BodyText"/>
        <w:tabs>
          <w:tab w:pos="9510" w:val="right" w:leader="dot"/>
        </w:tabs>
        <w:spacing w:before="21"/>
        <w:ind w:left="4"/>
        <w:jc w:val="center"/>
        <w:rPr>
          <w:rFonts w:ascii="Times New Roman" w:eastAsia="Times New Roman"/>
        </w:rPr>
      </w:pPr>
      <w:r>
        <w:rPr/>
        <w:t>本公司对一些重要术语进行了解释，并作了显著标识，请您注意</w:t>
        <w:tab/>
      </w:r>
      <w:r>
        <w:rPr>
          <w:rFonts w:ascii="Times New Roman" w:eastAsia="Times New Roman"/>
        </w:rPr>
        <w:t>7</w:t>
      </w:r>
    </w:p>
    <w:p>
      <w:pPr>
        <w:spacing w:after="0"/>
        <w:jc w:val="center"/>
        <w:rPr>
          <w:rFonts w:ascii="Times New Roman" w:eastAsia="Times New Roman"/>
        </w:rPr>
        <w:sectPr>
          <w:headerReference w:type="default" r:id="rId5"/>
          <w:footerReference w:type="default" r:id="rId6"/>
          <w:type w:val="continuous"/>
          <w:pgSz w:w="11910" w:h="16840"/>
          <w:pgMar w:header="877" w:footer="1202" w:top="1080" w:bottom="1400" w:left="1060" w:right="1060"/>
        </w:sectPr>
      </w:pPr>
    </w:p>
    <w:p>
      <w:pPr>
        <w:pStyle w:val="Heading1"/>
        <w:spacing w:line="363" w:lineRule="exact" w:before="2"/>
      </w:pPr>
      <w:r>
        <w:rPr/>
        <w:t>条款目录</w:t>
      </w:r>
    </w:p>
    <w:p>
      <w:pPr>
        <w:pStyle w:val="BodyText"/>
        <w:spacing w:line="272" w:lineRule="exact" w:after="50"/>
        <w:ind w:left="4"/>
        <w:jc w:val="center"/>
      </w:pPr>
      <w:r>
        <w:rPr/>
        <w:pict>
          <v:group style="position:absolute;margin-left:217.490005pt;margin-top:17.516247pt;width:.5pt;height:310.25pt;mso-position-horizontal-relative:page;mso-position-vertical-relative:paragraph;z-index:-26992" coordorigin="4350,350" coordsize="10,6205">
            <v:shape style="position:absolute;left:4349;top:350;width:10;height:3" type="#_x0000_t75" stroked="false">
              <v:imagedata r:id="rId9" o:title=""/>
            </v:shape>
            <v:shape style="position:absolute;left:4349;top:352;width:10;height:6203" type="#_x0000_t75" stroked="false">
              <v:imagedata r:id="rId10" o:title=""/>
            </v:shape>
            <w10:wrap type="none"/>
          </v:group>
        </w:pict>
      </w:r>
      <w:r>
        <w:rPr/>
        <w:pict>
          <v:group style="position:absolute;margin-left:384.910004pt;margin-top:17.516247pt;width:.5pt;height:310.25pt;mso-position-horizontal-relative:page;mso-position-vertical-relative:paragraph;z-index:-26968" coordorigin="7698,350" coordsize="10,6205">
            <v:shape style="position:absolute;left:7698;top:350;width:10;height:3" type="#_x0000_t75" stroked="false">
              <v:imagedata r:id="rId9" o:title=""/>
            </v:shape>
            <v:shape style="position:absolute;left:7698;top:352;width:10;height:6203" type="#_x0000_t75" stroked="false">
              <v:imagedata r:id="rId10" o:title=""/>
            </v:shape>
            <w10:wrap type="none"/>
          </v:group>
        </w:pict>
      </w:r>
      <w:r>
        <w:rPr/>
        <w:t>条款是保险合同的重要内容，为充分保障您的权益，请您仔细阅读本条款。</w:t>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9"/>
        <w:gridCol w:w="3092"/>
        <w:gridCol w:w="3306"/>
      </w:tblGrid>
      <w:tr>
        <w:trPr>
          <w:trHeight w:val="6203" w:hRule="atLeast"/>
        </w:trPr>
        <w:tc>
          <w:tcPr>
            <w:tcW w:w="3109" w:type="dxa"/>
            <w:tcBorders>
              <w:top w:val="single" w:sz="12" w:space="0" w:color="000000"/>
              <w:bottom w:val="single" w:sz="12" w:space="0" w:color="000000"/>
            </w:tcBorders>
          </w:tcPr>
          <w:p>
            <w:pPr>
              <w:pStyle w:val="TableParagraph"/>
              <w:numPr>
                <w:ilvl w:val="0"/>
                <w:numId w:val="1"/>
              </w:numPr>
              <w:tabs>
                <w:tab w:pos="535" w:val="left" w:leader="none"/>
                <w:tab w:pos="536" w:val="left" w:leader="none"/>
              </w:tabs>
              <w:spacing w:line="288" w:lineRule="exact" w:before="0" w:after="0"/>
              <w:ind w:left="535" w:right="0" w:hanging="420"/>
              <w:jc w:val="left"/>
              <w:rPr>
                <w:rFonts w:ascii="Microsoft JhengHei" w:eastAsia="Microsoft JhengHei" w:hint="eastAsia"/>
                <w:b/>
                <w:sz w:val="21"/>
              </w:rPr>
            </w:pPr>
            <w:r>
              <w:rPr>
                <w:rFonts w:ascii="Microsoft JhengHei" w:eastAsia="Microsoft JhengHei" w:hint="eastAsia"/>
                <w:b/>
                <w:sz w:val="21"/>
              </w:rPr>
              <w:t>您与我们的合同</w:t>
            </w:r>
          </w:p>
          <w:p>
            <w:pPr>
              <w:pStyle w:val="TableParagraph"/>
              <w:numPr>
                <w:ilvl w:val="1"/>
                <w:numId w:val="1"/>
              </w:numPr>
              <w:tabs>
                <w:tab w:pos="642" w:val="left" w:leader="none"/>
              </w:tabs>
              <w:spacing w:line="240" w:lineRule="auto" w:before="13" w:after="0"/>
              <w:ind w:left="641" w:right="0" w:hanging="420"/>
              <w:jc w:val="left"/>
              <w:rPr>
                <w:sz w:val="21"/>
              </w:rPr>
            </w:pPr>
            <w:r>
              <w:rPr>
                <w:spacing w:val="-2"/>
                <w:sz w:val="21"/>
              </w:rPr>
              <w:t>合同构成</w:t>
            </w:r>
          </w:p>
          <w:p>
            <w:pPr>
              <w:pStyle w:val="TableParagraph"/>
              <w:numPr>
                <w:ilvl w:val="1"/>
                <w:numId w:val="1"/>
              </w:numPr>
              <w:tabs>
                <w:tab w:pos="642" w:val="left" w:leader="none"/>
              </w:tabs>
              <w:spacing w:line="240" w:lineRule="auto" w:before="21" w:after="0"/>
              <w:ind w:left="641" w:right="0" w:hanging="420"/>
              <w:jc w:val="left"/>
              <w:rPr>
                <w:sz w:val="21"/>
              </w:rPr>
            </w:pPr>
            <w:r>
              <w:rPr>
                <w:spacing w:val="-2"/>
                <w:sz w:val="21"/>
              </w:rPr>
              <w:t>投保范围</w:t>
            </w:r>
          </w:p>
          <w:p>
            <w:pPr>
              <w:pStyle w:val="TableParagraph"/>
              <w:numPr>
                <w:ilvl w:val="1"/>
                <w:numId w:val="1"/>
              </w:numPr>
              <w:tabs>
                <w:tab w:pos="642" w:val="left" w:leader="none"/>
              </w:tabs>
              <w:spacing w:line="256" w:lineRule="auto" w:before="21" w:after="0"/>
              <w:ind w:left="641" w:right="154" w:hanging="420"/>
              <w:jc w:val="left"/>
              <w:rPr>
                <w:sz w:val="21"/>
              </w:rPr>
            </w:pPr>
            <w:r>
              <w:rPr>
                <w:spacing w:val="-3"/>
                <w:sz w:val="21"/>
              </w:rPr>
              <w:t>合同成立与生效和保险责任开始</w:t>
            </w:r>
          </w:p>
          <w:p>
            <w:pPr>
              <w:pStyle w:val="TableParagraph"/>
              <w:numPr>
                <w:ilvl w:val="1"/>
                <w:numId w:val="1"/>
              </w:numPr>
              <w:tabs>
                <w:tab w:pos="642" w:val="left" w:leader="none"/>
              </w:tabs>
              <w:spacing w:line="240" w:lineRule="auto" w:before="22" w:after="0"/>
              <w:ind w:left="641" w:right="0" w:hanging="420"/>
              <w:jc w:val="left"/>
              <w:rPr>
                <w:sz w:val="21"/>
              </w:rPr>
            </w:pPr>
            <w:r>
              <w:rPr>
                <w:spacing w:val="-2"/>
                <w:sz w:val="21"/>
              </w:rPr>
              <w:t>犹豫期</w:t>
            </w:r>
          </w:p>
          <w:p>
            <w:pPr>
              <w:pStyle w:val="TableParagraph"/>
              <w:numPr>
                <w:ilvl w:val="1"/>
                <w:numId w:val="1"/>
              </w:numPr>
              <w:tabs>
                <w:tab w:pos="642" w:val="left" w:leader="none"/>
              </w:tabs>
              <w:spacing w:line="240" w:lineRule="auto" w:before="21" w:after="0"/>
              <w:ind w:left="641" w:right="0" w:hanging="420"/>
              <w:jc w:val="left"/>
              <w:rPr>
                <w:sz w:val="21"/>
              </w:rPr>
            </w:pPr>
            <w:r>
              <w:rPr>
                <w:spacing w:val="-3"/>
                <w:sz w:val="21"/>
              </w:rPr>
              <w:t>合同内容变更</w:t>
            </w:r>
          </w:p>
          <w:p>
            <w:pPr>
              <w:pStyle w:val="TableParagraph"/>
              <w:spacing w:before="4"/>
              <w:ind w:left="0"/>
              <w:rPr>
                <w:sz w:val="20"/>
              </w:rPr>
            </w:pPr>
          </w:p>
          <w:p>
            <w:pPr>
              <w:pStyle w:val="TableParagraph"/>
              <w:numPr>
                <w:ilvl w:val="0"/>
                <w:numId w:val="1"/>
              </w:numPr>
              <w:tabs>
                <w:tab w:pos="535" w:val="left" w:leader="none"/>
                <w:tab w:pos="536" w:val="left" w:leader="none"/>
              </w:tabs>
              <w:spacing w:line="240" w:lineRule="auto" w:before="0" w:after="0"/>
              <w:ind w:left="535" w:right="0" w:hanging="420"/>
              <w:jc w:val="left"/>
              <w:rPr>
                <w:rFonts w:ascii="Microsoft JhengHei" w:eastAsia="Microsoft JhengHei" w:hint="eastAsia"/>
                <w:b/>
                <w:sz w:val="21"/>
              </w:rPr>
            </w:pPr>
            <w:r>
              <w:rPr>
                <w:rFonts w:ascii="Microsoft JhengHei" w:eastAsia="Microsoft JhengHei" w:hint="eastAsia"/>
                <w:b/>
                <w:sz w:val="21"/>
              </w:rPr>
              <w:t>我们提供的保障</w:t>
            </w:r>
          </w:p>
          <w:p>
            <w:pPr>
              <w:pStyle w:val="TableParagraph"/>
              <w:numPr>
                <w:ilvl w:val="1"/>
                <w:numId w:val="1"/>
              </w:numPr>
              <w:tabs>
                <w:tab w:pos="642" w:val="left" w:leader="none"/>
              </w:tabs>
              <w:spacing w:line="240" w:lineRule="auto" w:before="12" w:after="0"/>
              <w:ind w:left="641" w:right="0" w:hanging="420"/>
              <w:jc w:val="left"/>
              <w:rPr>
                <w:sz w:val="21"/>
              </w:rPr>
            </w:pPr>
            <w:r>
              <w:rPr>
                <w:spacing w:val="-2"/>
                <w:sz w:val="21"/>
              </w:rPr>
              <w:t>保险金额</w:t>
            </w:r>
          </w:p>
          <w:p>
            <w:pPr>
              <w:pStyle w:val="TableParagraph"/>
              <w:numPr>
                <w:ilvl w:val="1"/>
                <w:numId w:val="1"/>
              </w:numPr>
              <w:tabs>
                <w:tab w:pos="642" w:val="left" w:leader="none"/>
              </w:tabs>
              <w:spacing w:line="240" w:lineRule="auto" w:before="20" w:after="0"/>
              <w:ind w:left="641" w:right="0" w:hanging="420"/>
              <w:jc w:val="left"/>
              <w:rPr>
                <w:sz w:val="21"/>
              </w:rPr>
            </w:pPr>
            <w:r>
              <w:rPr>
                <w:spacing w:val="-2"/>
                <w:sz w:val="21"/>
              </w:rPr>
              <w:t>保险期间</w:t>
            </w:r>
          </w:p>
          <w:p>
            <w:pPr>
              <w:pStyle w:val="TableParagraph"/>
              <w:numPr>
                <w:ilvl w:val="1"/>
                <w:numId w:val="1"/>
              </w:numPr>
              <w:tabs>
                <w:tab w:pos="642" w:val="left" w:leader="none"/>
              </w:tabs>
              <w:spacing w:line="240" w:lineRule="auto" w:before="20" w:after="0"/>
              <w:ind w:left="641" w:right="0" w:hanging="420"/>
              <w:jc w:val="left"/>
              <w:rPr>
                <w:sz w:val="21"/>
              </w:rPr>
            </w:pPr>
            <w:r>
              <w:rPr>
                <w:spacing w:val="-2"/>
                <w:sz w:val="21"/>
              </w:rPr>
              <w:t>保险责任</w:t>
            </w:r>
          </w:p>
          <w:p>
            <w:pPr>
              <w:pStyle w:val="TableParagraph"/>
              <w:numPr>
                <w:ilvl w:val="1"/>
                <w:numId w:val="1"/>
              </w:numPr>
              <w:tabs>
                <w:tab w:pos="642" w:val="left" w:leader="none"/>
              </w:tabs>
              <w:spacing w:line="240" w:lineRule="auto" w:before="21" w:after="0"/>
              <w:ind w:left="641" w:right="0" w:hanging="420"/>
              <w:jc w:val="left"/>
              <w:rPr>
                <w:sz w:val="21"/>
              </w:rPr>
            </w:pPr>
            <w:r>
              <w:rPr>
                <w:spacing w:val="-2"/>
                <w:sz w:val="21"/>
              </w:rPr>
              <w:t>责任免除</w:t>
            </w:r>
          </w:p>
          <w:p>
            <w:pPr>
              <w:pStyle w:val="TableParagraph"/>
              <w:numPr>
                <w:ilvl w:val="1"/>
                <w:numId w:val="1"/>
              </w:numPr>
              <w:tabs>
                <w:tab w:pos="642" w:val="left" w:leader="none"/>
              </w:tabs>
              <w:spacing w:line="240" w:lineRule="auto" w:before="21" w:after="0"/>
              <w:ind w:left="641" w:right="0" w:hanging="420"/>
              <w:jc w:val="left"/>
              <w:rPr>
                <w:sz w:val="21"/>
              </w:rPr>
            </w:pPr>
            <w:r>
              <w:rPr>
                <w:spacing w:val="-3"/>
                <w:sz w:val="21"/>
              </w:rPr>
              <w:t>保证续保期间</w:t>
            </w:r>
          </w:p>
          <w:p>
            <w:pPr>
              <w:pStyle w:val="TableParagraph"/>
              <w:numPr>
                <w:ilvl w:val="1"/>
                <w:numId w:val="1"/>
              </w:numPr>
              <w:tabs>
                <w:tab w:pos="642" w:val="left" w:leader="none"/>
              </w:tabs>
              <w:spacing w:line="240" w:lineRule="auto" w:before="21" w:after="0"/>
              <w:ind w:left="641" w:right="0" w:hanging="420"/>
              <w:jc w:val="left"/>
              <w:rPr>
                <w:sz w:val="21"/>
              </w:rPr>
            </w:pPr>
            <w:r>
              <w:rPr>
                <w:spacing w:val="-2"/>
                <w:sz w:val="21"/>
              </w:rPr>
              <w:t>保证续保</w:t>
            </w:r>
          </w:p>
          <w:p>
            <w:pPr>
              <w:pStyle w:val="TableParagraph"/>
              <w:numPr>
                <w:ilvl w:val="1"/>
                <w:numId w:val="1"/>
              </w:numPr>
              <w:tabs>
                <w:tab w:pos="642" w:val="left" w:leader="none"/>
              </w:tabs>
              <w:spacing w:line="256" w:lineRule="auto" w:before="21" w:after="0"/>
              <w:ind w:left="641" w:right="154" w:hanging="420"/>
              <w:jc w:val="left"/>
              <w:rPr>
                <w:sz w:val="21"/>
              </w:rPr>
            </w:pPr>
            <w:r>
              <w:rPr>
                <w:spacing w:val="-3"/>
                <w:sz w:val="21"/>
              </w:rPr>
              <w:t>保证续保期间届满后的续保</w:t>
            </w:r>
          </w:p>
          <w:p>
            <w:pPr>
              <w:pStyle w:val="TableParagraph"/>
              <w:numPr>
                <w:ilvl w:val="0"/>
                <w:numId w:val="1"/>
              </w:numPr>
              <w:tabs>
                <w:tab w:pos="535" w:val="left" w:leader="none"/>
                <w:tab w:pos="536" w:val="left" w:leader="none"/>
              </w:tabs>
              <w:spacing w:line="317" w:lineRule="exact" w:before="0" w:after="0"/>
              <w:ind w:left="535" w:right="0" w:hanging="420"/>
              <w:jc w:val="left"/>
              <w:rPr>
                <w:rFonts w:ascii="Microsoft JhengHei" w:eastAsia="Microsoft JhengHei" w:hint="eastAsia"/>
                <w:b/>
                <w:sz w:val="21"/>
              </w:rPr>
            </w:pPr>
            <w:r>
              <w:rPr>
                <w:rFonts w:ascii="Microsoft JhengHei" w:eastAsia="Microsoft JhengHei" w:hint="eastAsia"/>
                <w:b/>
                <w:sz w:val="21"/>
              </w:rPr>
              <w:t>如何申请领取保险金</w:t>
            </w:r>
          </w:p>
          <w:p>
            <w:pPr>
              <w:pStyle w:val="TableParagraph"/>
              <w:numPr>
                <w:ilvl w:val="1"/>
                <w:numId w:val="1"/>
              </w:numPr>
              <w:tabs>
                <w:tab w:pos="642" w:val="left" w:leader="none"/>
              </w:tabs>
              <w:spacing w:line="287" w:lineRule="exact" w:before="0" w:after="0"/>
              <w:ind w:left="641" w:right="0" w:hanging="418"/>
              <w:jc w:val="left"/>
              <w:rPr>
                <w:sz w:val="21"/>
              </w:rPr>
            </w:pPr>
            <w:r>
              <w:rPr>
                <w:spacing w:val="-3"/>
                <w:sz w:val="21"/>
              </w:rPr>
              <w:t>保险金受益人</w:t>
            </w:r>
          </w:p>
        </w:tc>
        <w:tc>
          <w:tcPr>
            <w:tcW w:w="3092" w:type="dxa"/>
            <w:tcBorders>
              <w:top w:val="single" w:sz="12" w:space="0" w:color="000000"/>
              <w:bottom w:val="single" w:sz="12" w:space="0" w:color="000000"/>
            </w:tcBorders>
          </w:tcPr>
          <w:p>
            <w:pPr>
              <w:pStyle w:val="TableParagraph"/>
              <w:numPr>
                <w:ilvl w:val="1"/>
                <w:numId w:val="2"/>
              </w:numPr>
              <w:tabs>
                <w:tab w:pos="682" w:val="left" w:leader="none"/>
              </w:tabs>
              <w:spacing w:line="249" w:lineRule="exact" w:before="0" w:after="0"/>
              <w:ind w:left="681" w:right="0" w:hanging="417"/>
              <w:jc w:val="left"/>
              <w:rPr>
                <w:sz w:val="21"/>
              </w:rPr>
            </w:pPr>
            <w:r>
              <w:rPr>
                <w:spacing w:val="-3"/>
                <w:sz w:val="21"/>
              </w:rPr>
              <w:t>保险事故通知</w:t>
            </w:r>
          </w:p>
          <w:p>
            <w:pPr>
              <w:pStyle w:val="TableParagraph"/>
              <w:numPr>
                <w:ilvl w:val="1"/>
                <w:numId w:val="2"/>
              </w:numPr>
              <w:tabs>
                <w:tab w:pos="682" w:val="left" w:leader="none"/>
              </w:tabs>
              <w:spacing w:line="272" w:lineRule="exact" w:before="0" w:after="0"/>
              <w:ind w:left="681" w:right="0" w:hanging="417"/>
              <w:jc w:val="left"/>
              <w:rPr>
                <w:sz w:val="21"/>
              </w:rPr>
            </w:pPr>
            <w:r>
              <w:rPr>
                <w:spacing w:val="-3"/>
                <w:sz w:val="21"/>
              </w:rPr>
              <w:t>保险金申请</w:t>
            </w:r>
          </w:p>
          <w:p>
            <w:pPr>
              <w:pStyle w:val="TableParagraph"/>
              <w:numPr>
                <w:ilvl w:val="1"/>
                <w:numId w:val="2"/>
              </w:numPr>
              <w:tabs>
                <w:tab w:pos="682" w:val="left" w:leader="none"/>
              </w:tabs>
              <w:spacing w:line="282" w:lineRule="exact" w:before="0" w:after="0"/>
              <w:ind w:left="681" w:right="0" w:hanging="417"/>
              <w:jc w:val="left"/>
              <w:rPr>
                <w:sz w:val="21"/>
              </w:rPr>
            </w:pPr>
            <w:r>
              <w:rPr>
                <w:spacing w:val="-3"/>
                <w:sz w:val="21"/>
              </w:rPr>
              <w:t>保险金给付</w:t>
            </w:r>
          </w:p>
          <w:p>
            <w:pPr>
              <w:pStyle w:val="TableParagraph"/>
              <w:spacing w:before="11"/>
              <w:ind w:left="0"/>
              <w:rPr>
                <w:sz w:val="18"/>
              </w:rPr>
            </w:pPr>
          </w:p>
          <w:p>
            <w:pPr>
              <w:pStyle w:val="TableParagraph"/>
              <w:numPr>
                <w:ilvl w:val="0"/>
                <w:numId w:val="3"/>
              </w:numPr>
              <w:tabs>
                <w:tab w:pos="575" w:val="left" w:leader="none"/>
                <w:tab w:pos="576" w:val="left" w:leader="none"/>
              </w:tabs>
              <w:spacing w:line="240" w:lineRule="auto" w:before="0" w:after="0"/>
              <w:ind w:left="576" w:right="0" w:hanging="420"/>
              <w:jc w:val="left"/>
              <w:rPr>
                <w:rFonts w:ascii="Microsoft JhengHei" w:eastAsia="Microsoft JhengHei" w:hint="eastAsia"/>
                <w:b/>
                <w:sz w:val="21"/>
              </w:rPr>
            </w:pPr>
            <w:r>
              <w:rPr>
                <w:rFonts w:ascii="Microsoft JhengHei" w:eastAsia="Microsoft JhengHei" w:hint="eastAsia"/>
                <w:b/>
                <w:sz w:val="21"/>
              </w:rPr>
              <w:t>如何交纳保险费</w:t>
            </w:r>
          </w:p>
          <w:p>
            <w:pPr>
              <w:pStyle w:val="TableParagraph"/>
              <w:numPr>
                <w:ilvl w:val="1"/>
                <w:numId w:val="3"/>
              </w:numPr>
              <w:tabs>
                <w:tab w:pos="682" w:val="left" w:leader="none"/>
              </w:tabs>
              <w:spacing w:line="240" w:lineRule="auto" w:before="12" w:after="0"/>
              <w:ind w:left="681" w:right="0" w:hanging="417"/>
              <w:jc w:val="left"/>
              <w:rPr>
                <w:sz w:val="21"/>
              </w:rPr>
            </w:pPr>
            <w:r>
              <w:rPr>
                <w:spacing w:val="-3"/>
                <w:sz w:val="21"/>
              </w:rPr>
              <w:t>保险费的交纳</w:t>
            </w:r>
          </w:p>
          <w:p>
            <w:pPr>
              <w:pStyle w:val="TableParagraph"/>
              <w:spacing w:before="4"/>
              <w:ind w:left="0"/>
              <w:rPr>
                <w:sz w:val="20"/>
              </w:rPr>
            </w:pPr>
          </w:p>
          <w:p>
            <w:pPr>
              <w:pStyle w:val="TableParagraph"/>
              <w:numPr>
                <w:ilvl w:val="0"/>
                <w:numId w:val="3"/>
              </w:numPr>
              <w:tabs>
                <w:tab w:pos="575" w:val="left" w:leader="none"/>
                <w:tab w:pos="576" w:val="left" w:leader="none"/>
              </w:tabs>
              <w:spacing w:line="240" w:lineRule="auto" w:before="0" w:after="0"/>
              <w:ind w:left="576" w:right="0" w:hanging="420"/>
              <w:jc w:val="left"/>
              <w:rPr>
                <w:rFonts w:ascii="Microsoft JhengHei" w:eastAsia="Microsoft JhengHei" w:hint="eastAsia"/>
                <w:b/>
                <w:sz w:val="21"/>
              </w:rPr>
            </w:pPr>
            <w:r>
              <w:rPr>
                <w:rFonts w:ascii="Microsoft JhengHei" w:eastAsia="Microsoft JhengHei" w:hint="eastAsia"/>
                <w:b/>
                <w:sz w:val="21"/>
              </w:rPr>
              <w:t>如何解除保险合同</w:t>
            </w:r>
          </w:p>
          <w:p>
            <w:pPr>
              <w:pStyle w:val="TableParagraph"/>
              <w:numPr>
                <w:ilvl w:val="1"/>
                <w:numId w:val="3"/>
              </w:numPr>
              <w:tabs>
                <w:tab w:pos="682" w:val="left" w:leader="none"/>
              </w:tabs>
              <w:spacing w:line="240" w:lineRule="auto" w:before="13" w:after="0"/>
              <w:ind w:left="681" w:right="0" w:hanging="417"/>
              <w:jc w:val="left"/>
              <w:rPr>
                <w:sz w:val="21"/>
              </w:rPr>
            </w:pPr>
            <w:r>
              <w:rPr>
                <w:spacing w:val="-2"/>
                <w:sz w:val="21"/>
              </w:rPr>
              <w:t>合同解除</w:t>
            </w:r>
          </w:p>
          <w:p>
            <w:pPr>
              <w:pStyle w:val="TableParagraph"/>
              <w:spacing w:before="4"/>
              <w:ind w:left="0"/>
              <w:rPr>
                <w:sz w:val="20"/>
              </w:rPr>
            </w:pPr>
          </w:p>
          <w:p>
            <w:pPr>
              <w:pStyle w:val="TableParagraph"/>
              <w:numPr>
                <w:ilvl w:val="0"/>
                <w:numId w:val="3"/>
              </w:numPr>
              <w:tabs>
                <w:tab w:pos="575" w:val="left" w:leader="none"/>
                <w:tab w:pos="576" w:val="left" w:leader="none"/>
              </w:tabs>
              <w:spacing w:line="240" w:lineRule="auto" w:before="0" w:after="0"/>
              <w:ind w:left="576" w:right="0" w:hanging="420"/>
              <w:jc w:val="left"/>
              <w:rPr>
                <w:rFonts w:ascii="Microsoft JhengHei" w:eastAsia="Microsoft JhengHei" w:hint="eastAsia"/>
                <w:b/>
                <w:sz w:val="21"/>
              </w:rPr>
            </w:pPr>
            <w:r>
              <w:rPr>
                <w:rFonts w:ascii="Microsoft JhengHei" w:eastAsia="Microsoft JhengHei" w:hint="eastAsia"/>
                <w:b/>
                <w:sz w:val="21"/>
              </w:rPr>
              <w:t>其他事项</w:t>
            </w:r>
          </w:p>
          <w:p>
            <w:pPr>
              <w:pStyle w:val="TableParagraph"/>
              <w:numPr>
                <w:ilvl w:val="1"/>
                <w:numId w:val="3"/>
              </w:numPr>
              <w:tabs>
                <w:tab w:pos="682" w:val="left" w:leader="none"/>
              </w:tabs>
              <w:spacing w:line="240" w:lineRule="auto" w:before="12" w:after="0"/>
              <w:ind w:left="681" w:right="0" w:hanging="417"/>
              <w:jc w:val="left"/>
              <w:rPr>
                <w:sz w:val="21"/>
              </w:rPr>
            </w:pPr>
            <w:r>
              <w:rPr>
                <w:spacing w:val="-3"/>
                <w:sz w:val="21"/>
              </w:rPr>
              <w:t>明确说明与如实告知</w:t>
            </w:r>
          </w:p>
          <w:p>
            <w:pPr>
              <w:pStyle w:val="TableParagraph"/>
              <w:numPr>
                <w:ilvl w:val="1"/>
                <w:numId w:val="3"/>
              </w:numPr>
              <w:tabs>
                <w:tab w:pos="682" w:val="left" w:leader="none"/>
              </w:tabs>
              <w:spacing w:line="240" w:lineRule="auto" w:before="21" w:after="0"/>
              <w:ind w:left="681" w:right="0" w:hanging="417"/>
              <w:jc w:val="left"/>
              <w:rPr>
                <w:sz w:val="21"/>
              </w:rPr>
            </w:pPr>
            <w:r>
              <w:rPr>
                <w:spacing w:val="-3"/>
                <w:sz w:val="21"/>
              </w:rPr>
              <w:t>年龄性别错误</w:t>
            </w:r>
          </w:p>
          <w:p>
            <w:pPr>
              <w:pStyle w:val="TableParagraph"/>
              <w:numPr>
                <w:ilvl w:val="1"/>
                <w:numId w:val="3"/>
              </w:numPr>
              <w:tabs>
                <w:tab w:pos="682" w:val="left" w:leader="none"/>
              </w:tabs>
              <w:spacing w:line="240" w:lineRule="auto" w:before="21" w:after="0"/>
              <w:ind w:left="681" w:right="0" w:hanging="417"/>
              <w:jc w:val="left"/>
              <w:rPr>
                <w:sz w:val="21"/>
              </w:rPr>
            </w:pPr>
            <w:r>
              <w:rPr>
                <w:spacing w:val="-3"/>
                <w:sz w:val="21"/>
              </w:rPr>
              <w:t>合同解除权的限制</w:t>
            </w:r>
          </w:p>
          <w:p>
            <w:pPr>
              <w:pStyle w:val="TableParagraph"/>
              <w:numPr>
                <w:ilvl w:val="1"/>
                <w:numId w:val="3"/>
              </w:numPr>
              <w:tabs>
                <w:tab w:pos="682" w:val="left" w:leader="none"/>
              </w:tabs>
              <w:spacing w:line="240" w:lineRule="auto" w:before="21" w:after="0"/>
              <w:ind w:left="681" w:right="0" w:hanging="417"/>
              <w:jc w:val="left"/>
              <w:rPr>
                <w:sz w:val="21"/>
              </w:rPr>
            </w:pPr>
            <w:r>
              <w:rPr>
                <w:spacing w:val="-2"/>
                <w:sz w:val="21"/>
              </w:rPr>
              <w:t>事故鉴定</w:t>
            </w:r>
          </w:p>
          <w:p>
            <w:pPr>
              <w:pStyle w:val="TableParagraph"/>
              <w:numPr>
                <w:ilvl w:val="1"/>
                <w:numId w:val="3"/>
              </w:numPr>
              <w:tabs>
                <w:tab w:pos="682" w:val="left" w:leader="none"/>
              </w:tabs>
              <w:spacing w:line="240" w:lineRule="auto" w:before="21" w:after="0"/>
              <w:ind w:left="681" w:right="0" w:hanging="417"/>
              <w:jc w:val="left"/>
              <w:rPr>
                <w:sz w:val="21"/>
              </w:rPr>
            </w:pPr>
            <w:r>
              <w:rPr>
                <w:spacing w:val="-2"/>
                <w:sz w:val="21"/>
              </w:rPr>
              <w:t>争议处理</w:t>
            </w:r>
          </w:p>
          <w:p>
            <w:pPr>
              <w:pStyle w:val="TableParagraph"/>
              <w:spacing w:before="4"/>
              <w:ind w:left="0"/>
              <w:rPr>
                <w:sz w:val="20"/>
              </w:rPr>
            </w:pPr>
          </w:p>
          <w:p>
            <w:pPr>
              <w:pStyle w:val="TableParagraph"/>
              <w:numPr>
                <w:ilvl w:val="0"/>
                <w:numId w:val="3"/>
              </w:numPr>
              <w:tabs>
                <w:tab w:pos="575" w:val="left" w:leader="none"/>
                <w:tab w:pos="576" w:val="left" w:leader="none"/>
              </w:tabs>
              <w:spacing w:line="240" w:lineRule="auto" w:before="0" w:after="0"/>
              <w:ind w:left="576" w:right="0" w:hanging="420"/>
              <w:jc w:val="left"/>
              <w:rPr>
                <w:rFonts w:ascii="Microsoft JhengHei" w:eastAsia="Microsoft JhengHei" w:hint="eastAsia"/>
                <w:b/>
                <w:sz w:val="21"/>
              </w:rPr>
            </w:pPr>
            <w:r>
              <w:rPr>
                <w:rFonts w:ascii="Microsoft JhengHei" w:eastAsia="Microsoft JhengHei" w:hint="eastAsia"/>
                <w:b/>
                <w:sz w:val="21"/>
              </w:rPr>
              <w:t>释义</w:t>
            </w:r>
          </w:p>
          <w:p>
            <w:pPr>
              <w:pStyle w:val="TableParagraph"/>
              <w:numPr>
                <w:ilvl w:val="1"/>
                <w:numId w:val="3"/>
              </w:numPr>
              <w:tabs>
                <w:tab w:pos="682" w:val="left" w:leader="none"/>
              </w:tabs>
              <w:spacing w:line="240" w:lineRule="auto" w:before="12" w:after="0"/>
              <w:ind w:left="681" w:right="0" w:hanging="417"/>
              <w:jc w:val="left"/>
              <w:rPr>
                <w:sz w:val="21"/>
              </w:rPr>
            </w:pPr>
            <w:r>
              <w:rPr>
                <w:sz w:val="21"/>
              </w:rPr>
              <w:t>周岁</w:t>
            </w:r>
          </w:p>
          <w:p>
            <w:pPr>
              <w:pStyle w:val="TableParagraph"/>
              <w:numPr>
                <w:ilvl w:val="1"/>
                <w:numId w:val="3"/>
              </w:numPr>
              <w:tabs>
                <w:tab w:pos="682" w:val="left" w:leader="none"/>
              </w:tabs>
              <w:spacing w:line="240" w:lineRule="auto" w:before="20" w:after="0"/>
              <w:ind w:left="681" w:right="0" w:hanging="417"/>
              <w:jc w:val="left"/>
              <w:rPr>
                <w:sz w:val="21"/>
              </w:rPr>
            </w:pPr>
            <w:r>
              <w:rPr>
                <w:spacing w:val="-3"/>
                <w:sz w:val="21"/>
              </w:rPr>
              <w:t>有效身份证件</w:t>
            </w:r>
          </w:p>
        </w:tc>
        <w:tc>
          <w:tcPr>
            <w:tcW w:w="3306" w:type="dxa"/>
            <w:tcBorders>
              <w:top w:val="single" w:sz="12" w:space="0" w:color="000000"/>
              <w:bottom w:val="single" w:sz="12" w:space="0" w:color="000000"/>
            </w:tcBorders>
          </w:tcPr>
          <w:p>
            <w:pPr>
              <w:pStyle w:val="TableParagraph"/>
              <w:numPr>
                <w:ilvl w:val="1"/>
                <w:numId w:val="4"/>
              </w:numPr>
              <w:tabs>
                <w:tab w:pos="936" w:val="left" w:leader="none"/>
              </w:tabs>
              <w:spacing w:line="280" w:lineRule="exact" w:before="0" w:after="0"/>
              <w:ind w:left="1041" w:right="0" w:hanging="523"/>
              <w:jc w:val="left"/>
              <w:rPr>
                <w:sz w:val="21"/>
              </w:rPr>
            </w:pPr>
            <w:r>
              <w:rPr>
                <w:sz w:val="21"/>
              </w:rPr>
              <w:t>医院</w:t>
            </w:r>
          </w:p>
          <w:p>
            <w:pPr>
              <w:pStyle w:val="TableParagraph"/>
              <w:numPr>
                <w:ilvl w:val="1"/>
                <w:numId w:val="4"/>
              </w:numPr>
              <w:tabs>
                <w:tab w:pos="936" w:val="left" w:leader="none"/>
              </w:tabs>
              <w:spacing w:line="240" w:lineRule="auto" w:before="21" w:after="0"/>
              <w:ind w:left="1041" w:right="0" w:hanging="523"/>
              <w:jc w:val="left"/>
              <w:rPr>
                <w:sz w:val="21"/>
              </w:rPr>
            </w:pPr>
            <w:r>
              <w:rPr>
                <w:spacing w:val="-2"/>
                <w:sz w:val="21"/>
              </w:rPr>
              <w:t>专科医生</w:t>
            </w:r>
          </w:p>
          <w:p>
            <w:pPr>
              <w:pStyle w:val="TableParagraph"/>
              <w:numPr>
                <w:ilvl w:val="1"/>
                <w:numId w:val="4"/>
              </w:numPr>
              <w:tabs>
                <w:tab w:pos="936" w:val="left" w:leader="none"/>
              </w:tabs>
              <w:spacing w:line="240" w:lineRule="auto" w:before="21" w:after="0"/>
              <w:ind w:left="1041" w:right="0" w:hanging="523"/>
              <w:jc w:val="left"/>
              <w:rPr>
                <w:sz w:val="21"/>
              </w:rPr>
            </w:pPr>
            <w:r>
              <w:rPr>
                <w:spacing w:val="-2"/>
                <w:sz w:val="21"/>
              </w:rPr>
              <w:t>重大疾病</w:t>
            </w:r>
          </w:p>
          <w:p>
            <w:pPr>
              <w:pStyle w:val="TableParagraph"/>
              <w:numPr>
                <w:ilvl w:val="1"/>
                <w:numId w:val="4"/>
              </w:numPr>
              <w:tabs>
                <w:tab w:pos="936" w:val="left" w:leader="none"/>
              </w:tabs>
              <w:spacing w:line="240" w:lineRule="auto" w:before="21" w:after="0"/>
              <w:ind w:left="1041" w:right="0" w:hanging="523"/>
              <w:jc w:val="left"/>
              <w:rPr>
                <w:sz w:val="21"/>
              </w:rPr>
            </w:pPr>
            <w:r>
              <w:rPr>
                <w:spacing w:val="-2"/>
                <w:sz w:val="21"/>
              </w:rPr>
              <w:t>意外伤害</w:t>
            </w:r>
          </w:p>
          <w:p>
            <w:pPr>
              <w:pStyle w:val="TableParagraph"/>
              <w:numPr>
                <w:ilvl w:val="1"/>
                <w:numId w:val="4"/>
              </w:numPr>
              <w:tabs>
                <w:tab w:pos="936" w:val="left" w:leader="none"/>
              </w:tabs>
              <w:spacing w:line="240" w:lineRule="auto" w:before="21" w:after="0"/>
              <w:ind w:left="1041" w:right="0" w:hanging="523"/>
              <w:jc w:val="left"/>
              <w:rPr>
                <w:sz w:val="21"/>
              </w:rPr>
            </w:pPr>
            <w:r>
              <w:rPr>
                <w:sz w:val="21"/>
              </w:rPr>
              <w:t>毒品</w:t>
            </w:r>
          </w:p>
          <w:p>
            <w:pPr>
              <w:pStyle w:val="TableParagraph"/>
              <w:numPr>
                <w:ilvl w:val="1"/>
                <w:numId w:val="4"/>
              </w:numPr>
              <w:tabs>
                <w:tab w:pos="936" w:val="left" w:leader="none"/>
              </w:tabs>
              <w:spacing w:line="240" w:lineRule="auto" w:before="21" w:after="0"/>
              <w:ind w:left="1041" w:right="0" w:hanging="523"/>
              <w:jc w:val="left"/>
              <w:rPr>
                <w:sz w:val="21"/>
              </w:rPr>
            </w:pPr>
            <w:r>
              <w:rPr>
                <w:spacing w:val="-2"/>
                <w:sz w:val="21"/>
              </w:rPr>
              <w:t>酒后驾驶</w:t>
            </w:r>
          </w:p>
          <w:p>
            <w:pPr>
              <w:pStyle w:val="TableParagraph"/>
              <w:numPr>
                <w:ilvl w:val="1"/>
                <w:numId w:val="4"/>
              </w:numPr>
              <w:tabs>
                <w:tab w:pos="936" w:val="left" w:leader="none"/>
              </w:tabs>
              <w:spacing w:line="240" w:lineRule="auto" w:before="21" w:after="0"/>
              <w:ind w:left="1041" w:right="0" w:hanging="523"/>
              <w:jc w:val="left"/>
              <w:rPr>
                <w:sz w:val="21"/>
              </w:rPr>
            </w:pPr>
            <w:r>
              <w:rPr>
                <w:spacing w:val="-3"/>
                <w:sz w:val="21"/>
              </w:rPr>
              <w:t>无合法有效驾驶证驾驶</w:t>
            </w:r>
          </w:p>
          <w:p>
            <w:pPr>
              <w:pStyle w:val="TableParagraph"/>
              <w:numPr>
                <w:ilvl w:val="1"/>
                <w:numId w:val="4"/>
              </w:numPr>
              <w:tabs>
                <w:tab w:pos="1049" w:val="left" w:leader="none"/>
              </w:tabs>
              <w:spacing w:line="240" w:lineRule="auto" w:before="21" w:after="0"/>
              <w:ind w:left="1048" w:right="0" w:hanging="530"/>
              <w:jc w:val="left"/>
              <w:rPr>
                <w:sz w:val="21"/>
              </w:rPr>
            </w:pPr>
            <w:r>
              <w:rPr>
                <w:spacing w:val="-3"/>
                <w:sz w:val="21"/>
              </w:rPr>
              <w:t>无有效行驶证</w:t>
            </w:r>
          </w:p>
          <w:p>
            <w:pPr>
              <w:pStyle w:val="TableParagraph"/>
              <w:numPr>
                <w:ilvl w:val="1"/>
                <w:numId w:val="4"/>
              </w:numPr>
              <w:tabs>
                <w:tab w:pos="1049" w:val="left" w:leader="none"/>
              </w:tabs>
              <w:spacing w:line="240" w:lineRule="auto" w:before="21" w:after="0"/>
              <w:ind w:left="1048" w:right="0" w:hanging="530"/>
              <w:jc w:val="left"/>
              <w:rPr>
                <w:sz w:val="21"/>
              </w:rPr>
            </w:pPr>
            <w:r>
              <w:rPr>
                <w:spacing w:val="-3"/>
                <w:sz w:val="21"/>
              </w:rPr>
              <w:t>遗传性疾病</w:t>
            </w:r>
          </w:p>
          <w:p>
            <w:pPr>
              <w:pStyle w:val="TableParagraph"/>
              <w:numPr>
                <w:ilvl w:val="1"/>
                <w:numId w:val="4"/>
              </w:numPr>
              <w:tabs>
                <w:tab w:pos="1049" w:val="left" w:leader="none"/>
              </w:tabs>
              <w:spacing w:line="256" w:lineRule="auto" w:before="21" w:after="0"/>
              <w:ind w:left="1041" w:right="152" w:hanging="523"/>
              <w:jc w:val="left"/>
              <w:rPr>
                <w:sz w:val="21"/>
              </w:rPr>
            </w:pPr>
            <w:r>
              <w:rPr>
                <w:spacing w:val="-3"/>
                <w:sz w:val="21"/>
              </w:rPr>
              <w:t>先天性畸形、变形或染色体异常</w:t>
            </w:r>
          </w:p>
          <w:p>
            <w:pPr>
              <w:pStyle w:val="TableParagraph"/>
              <w:numPr>
                <w:ilvl w:val="1"/>
                <w:numId w:val="4"/>
              </w:numPr>
              <w:tabs>
                <w:tab w:pos="1049" w:val="left" w:leader="none"/>
              </w:tabs>
              <w:spacing w:line="259" w:lineRule="auto" w:before="22" w:after="0"/>
              <w:ind w:left="1041" w:right="152" w:hanging="523"/>
              <w:jc w:val="left"/>
              <w:rPr>
                <w:sz w:val="21"/>
              </w:rPr>
            </w:pPr>
            <w:r>
              <w:rPr>
                <w:spacing w:val="-3"/>
                <w:sz w:val="21"/>
              </w:rPr>
              <w:t>感染艾滋病病毒或患艾滋病</w:t>
            </w:r>
          </w:p>
          <w:p>
            <w:pPr>
              <w:pStyle w:val="TableParagraph"/>
              <w:numPr>
                <w:ilvl w:val="1"/>
                <w:numId w:val="4"/>
              </w:numPr>
              <w:tabs>
                <w:tab w:pos="1049" w:val="left" w:leader="none"/>
              </w:tabs>
              <w:spacing w:line="240" w:lineRule="auto" w:before="20" w:after="0"/>
              <w:ind w:left="1048" w:right="0" w:hanging="530"/>
              <w:jc w:val="left"/>
              <w:rPr>
                <w:sz w:val="21"/>
              </w:rPr>
            </w:pPr>
            <w:r>
              <w:rPr>
                <w:spacing w:val="-3"/>
                <w:sz w:val="21"/>
              </w:rPr>
              <w:t>未满期净保费</w:t>
            </w:r>
          </w:p>
          <w:p>
            <w:pPr>
              <w:pStyle w:val="TableParagraph"/>
              <w:numPr>
                <w:ilvl w:val="1"/>
                <w:numId w:val="4"/>
              </w:numPr>
              <w:tabs>
                <w:tab w:pos="1049" w:val="left" w:leader="none"/>
              </w:tabs>
              <w:spacing w:line="240" w:lineRule="auto" w:before="21" w:after="0"/>
              <w:ind w:left="1048" w:right="0" w:hanging="530"/>
              <w:jc w:val="left"/>
              <w:rPr>
                <w:sz w:val="21"/>
              </w:rPr>
            </w:pPr>
            <w:r>
              <w:rPr>
                <w:spacing w:val="-3"/>
                <w:sz w:val="21"/>
              </w:rPr>
              <w:t>六项基本日常生活活动</w:t>
            </w:r>
          </w:p>
          <w:p>
            <w:pPr>
              <w:pStyle w:val="TableParagraph"/>
              <w:numPr>
                <w:ilvl w:val="1"/>
                <w:numId w:val="4"/>
              </w:numPr>
              <w:tabs>
                <w:tab w:pos="1049" w:val="left" w:leader="none"/>
              </w:tabs>
              <w:spacing w:line="240" w:lineRule="auto" w:before="21" w:after="0"/>
              <w:ind w:left="1048" w:right="0" w:hanging="530"/>
              <w:jc w:val="left"/>
              <w:rPr>
                <w:sz w:val="21"/>
              </w:rPr>
            </w:pPr>
            <w:r>
              <w:rPr>
                <w:spacing w:val="-3"/>
                <w:sz w:val="21"/>
              </w:rPr>
              <w:t>永久不可逆</w:t>
            </w:r>
          </w:p>
          <w:p>
            <w:pPr>
              <w:pStyle w:val="TableParagraph"/>
              <w:numPr>
                <w:ilvl w:val="1"/>
                <w:numId w:val="4"/>
              </w:numPr>
              <w:tabs>
                <w:tab w:pos="1049" w:val="left" w:leader="none"/>
              </w:tabs>
              <w:spacing w:line="240" w:lineRule="auto" w:before="21" w:after="0"/>
              <w:ind w:left="1048" w:right="0" w:hanging="530"/>
              <w:jc w:val="left"/>
              <w:rPr>
                <w:sz w:val="21"/>
              </w:rPr>
            </w:pPr>
            <w:r>
              <w:rPr>
                <w:spacing w:val="-3"/>
                <w:sz w:val="21"/>
              </w:rPr>
              <w:t>肢体机能完全丧失</w:t>
            </w:r>
          </w:p>
          <w:p>
            <w:pPr>
              <w:pStyle w:val="TableParagraph"/>
              <w:numPr>
                <w:ilvl w:val="1"/>
                <w:numId w:val="4"/>
              </w:numPr>
              <w:tabs>
                <w:tab w:pos="1049" w:val="left" w:leader="none"/>
              </w:tabs>
              <w:spacing w:line="256" w:lineRule="auto" w:before="21" w:after="0"/>
              <w:ind w:left="1041" w:right="152" w:hanging="523"/>
              <w:jc w:val="left"/>
              <w:rPr>
                <w:sz w:val="21"/>
              </w:rPr>
            </w:pPr>
            <w:r>
              <w:rPr>
                <w:spacing w:val="-3"/>
                <w:sz w:val="21"/>
              </w:rPr>
              <w:t>语言能力或咀嚼吞咽能力完全丧失</w:t>
            </w:r>
          </w:p>
        </w:tc>
      </w:tr>
    </w:tbl>
    <w:p>
      <w:pPr>
        <w:spacing w:after="0" w:line="256" w:lineRule="auto"/>
        <w:jc w:val="left"/>
        <w:rPr>
          <w:sz w:val="21"/>
        </w:rPr>
        <w:sectPr>
          <w:footerReference w:type="default" r:id="rId8"/>
          <w:pgSz w:w="11910" w:h="16840"/>
          <w:pgMar w:footer="683" w:header="877" w:top="1080" w:bottom="880" w:left="1060" w:right="1060"/>
          <w:pgNumType w:start="2"/>
        </w:sectPr>
      </w:pPr>
    </w:p>
    <w:p>
      <w:pPr>
        <w:pStyle w:val="BodyText"/>
        <w:rPr>
          <w:sz w:val="2"/>
        </w:rPr>
      </w:pPr>
    </w:p>
    <w:p>
      <w:pPr>
        <w:pStyle w:val="BodyText"/>
        <w:spacing w:line="20" w:lineRule="exact"/>
        <w:ind w:left="105"/>
        <w:rPr>
          <w:sz w:val="2"/>
        </w:rPr>
      </w:pPr>
      <w:r>
        <w:rPr>
          <w:rFonts w:ascii="Times New Roman"/>
          <w:spacing w:val="5"/>
          <w:sz w:val="2"/>
        </w:rPr>
        <w:t> </w:t>
      </w:r>
      <w:r>
        <w:rPr>
          <w:spacing w:val="5"/>
          <w:sz w:val="2"/>
        </w:rPr>
        <w:pict>
          <v:group style="width:478.1pt;height:.75pt;mso-position-horizontal-relative:char;mso-position-vertical-relative:line" coordorigin="0,0" coordsize="9562,15">
            <v:line style="position:absolute" from="0,7" to="9561,7" stroked="true" strokeweight=".72pt" strokecolor="#000000">
              <v:stroke dashstyle="solid"/>
            </v:line>
          </v:group>
        </w:pict>
      </w:r>
      <w:r>
        <w:rPr>
          <w:spacing w:val="5"/>
          <w:sz w:val="2"/>
        </w:rPr>
      </w:r>
    </w:p>
    <w:p>
      <w:pPr>
        <w:pStyle w:val="BodyText"/>
        <w:spacing w:before="65"/>
        <w:ind w:left="142"/>
      </w:pPr>
      <w:r>
        <w:rPr>
          <w:spacing w:val="-149"/>
          <w:w w:val="100"/>
        </w:rPr>
        <w:t>在</w:t>
      </w:r>
      <w:r>
        <w:rPr>
          <w:spacing w:val="-63"/>
          <w:w w:val="100"/>
          <w:position w:val="-7"/>
        </w:rPr>
        <w:t>．</w:t>
      </w:r>
      <w:r>
        <w:rPr>
          <w:spacing w:val="-149"/>
          <w:w w:val="100"/>
        </w:rPr>
        <w:t>本</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中</w:t>
      </w:r>
      <w:r>
        <w:rPr>
          <w:spacing w:val="-63"/>
          <w:w w:val="100"/>
          <w:position w:val="-7"/>
        </w:rPr>
        <w:t>．</w:t>
      </w:r>
      <w:r>
        <w:rPr>
          <w:spacing w:val="-149"/>
          <w:w w:val="100"/>
        </w:rPr>
        <w:t>，</w:t>
      </w:r>
      <w:r>
        <w:rPr>
          <w:spacing w:val="-63"/>
          <w:w w:val="100"/>
          <w:position w:val="-7"/>
        </w:rPr>
        <w:t>．</w:t>
      </w:r>
      <w:r>
        <w:rPr>
          <w:rFonts w:ascii="Times New Roman" w:hAnsi="Times New Roman" w:eastAsia="Times New Roman"/>
          <w:spacing w:val="-92"/>
          <w:w w:val="100"/>
        </w:rPr>
        <w:t>“</w:t>
      </w:r>
      <w:r>
        <w:rPr>
          <w:spacing w:val="-123"/>
          <w:w w:val="100"/>
          <w:position w:val="-7"/>
        </w:rPr>
        <w:t>．</w:t>
      </w:r>
      <w:r>
        <w:rPr>
          <w:spacing w:val="-149"/>
          <w:w w:val="100"/>
        </w:rPr>
        <w:t>您</w:t>
      </w:r>
      <w:r>
        <w:rPr>
          <w:spacing w:val="-63"/>
          <w:w w:val="100"/>
          <w:position w:val="-7"/>
        </w:rPr>
        <w:t>．</w:t>
      </w:r>
      <w:r>
        <w:rPr>
          <w:rFonts w:ascii="Times New Roman" w:hAnsi="Times New Roman" w:eastAsia="Times New Roman"/>
          <w:spacing w:val="-92"/>
          <w:w w:val="100"/>
        </w:rPr>
        <w:t>”</w:t>
      </w:r>
      <w:r>
        <w:rPr>
          <w:spacing w:val="-120"/>
          <w:w w:val="100"/>
          <w:position w:val="-7"/>
        </w:rPr>
        <w:t>．</w:t>
      </w:r>
      <w:r>
        <w:rPr>
          <w:spacing w:val="-152"/>
          <w:w w:val="100"/>
        </w:rPr>
        <w:t>指</w:t>
      </w:r>
      <w:r>
        <w:rPr>
          <w:spacing w:val="-63"/>
          <w:w w:val="100"/>
          <w:position w:val="-7"/>
        </w:rPr>
        <w:t>．</w:t>
      </w:r>
      <w:r>
        <w:rPr>
          <w:spacing w:val="-2"/>
          <w:w w:val="100"/>
        </w:rPr>
        <w:t>投保人</w:t>
      </w:r>
      <w:r>
        <w:rPr>
          <w:spacing w:val="-149"/>
          <w:w w:val="100"/>
        </w:rPr>
        <w:t>，</w:t>
      </w:r>
      <w:r>
        <w:rPr>
          <w:spacing w:val="-63"/>
          <w:w w:val="100"/>
          <w:position w:val="-7"/>
        </w:rPr>
        <w:t>．</w:t>
      </w:r>
      <w:r>
        <w:rPr>
          <w:rFonts w:ascii="Times New Roman" w:hAnsi="Times New Roman" w:eastAsia="Times New Roman"/>
          <w:spacing w:val="-92"/>
          <w:w w:val="100"/>
        </w:rPr>
        <w:t>“</w:t>
      </w:r>
      <w:r>
        <w:rPr>
          <w:spacing w:val="-123"/>
          <w:w w:val="100"/>
          <w:position w:val="-7"/>
        </w:rPr>
        <w:t>．</w:t>
      </w:r>
      <w:r>
        <w:rPr>
          <w:spacing w:val="-149"/>
          <w:w w:val="100"/>
        </w:rPr>
        <w:t>我</w:t>
      </w:r>
      <w:r>
        <w:rPr>
          <w:spacing w:val="-63"/>
          <w:w w:val="100"/>
          <w:position w:val="-7"/>
        </w:rPr>
        <w:t>．</w:t>
      </w:r>
      <w:r>
        <w:rPr>
          <w:spacing w:val="-149"/>
          <w:w w:val="100"/>
        </w:rPr>
        <w:t>们</w:t>
      </w:r>
      <w:r>
        <w:rPr>
          <w:spacing w:val="-63"/>
          <w:w w:val="100"/>
          <w:position w:val="-7"/>
        </w:rPr>
        <w:t>．</w:t>
      </w:r>
      <w:r>
        <w:rPr>
          <w:rFonts w:ascii="Times New Roman" w:hAnsi="Times New Roman" w:eastAsia="Times New Roman"/>
          <w:spacing w:val="-92"/>
          <w:w w:val="100"/>
        </w:rPr>
        <w:t>”</w:t>
      </w:r>
      <w:r>
        <w:rPr>
          <w:spacing w:val="-123"/>
          <w:w w:val="100"/>
          <w:position w:val="-7"/>
        </w:rPr>
        <w:t>．</w:t>
      </w:r>
      <w:r>
        <w:rPr>
          <w:spacing w:val="-149"/>
          <w:w w:val="100"/>
        </w:rPr>
        <w:t>、</w:t>
      </w:r>
      <w:r>
        <w:rPr>
          <w:spacing w:val="-63"/>
          <w:w w:val="100"/>
          <w:position w:val="-7"/>
        </w:rPr>
        <w:t>．</w:t>
      </w:r>
      <w:r>
        <w:rPr>
          <w:rFonts w:ascii="Times New Roman" w:hAnsi="Times New Roman" w:eastAsia="Times New Roman"/>
          <w:spacing w:val="-92"/>
          <w:w w:val="100"/>
        </w:rPr>
        <w:t>“</w:t>
      </w:r>
      <w:r>
        <w:rPr>
          <w:spacing w:val="-120"/>
          <w:w w:val="100"/>
          <w:position w:val="-7"/>
        </w:rPr>
        <w:t>．</w:t>
      </w:r>
      <w:r>
        <w:rPr>
          <w:spacing w:val="-152"/>
          <w:w w:val="100"/>
        </w:rPr>
        <w:t>本</w:t>
      </w:r>
      <w:r>
        <w:rPr>
          <w:spacing w:val="-63"/>
          <w:w w:val="100"/>
          <w:position w:val="-7"/>
        </w:rPr>
        <w:t>．</w:t>
      </w:r>
      <w:r>
        <w:rPr>
          <w:spacing w:val="-149"/>
          <w:w w:val="100"/>
        </w:rPr>
        <w:t>公</w:t>
      </w:r>
      <w:r>
        <w:rPr>
          <w:spacing w:val="-63"/>
          <w:w w:val="100"/>
          <w:position w:val="-7"/>
        </w:rPr>
        <w:t>．</w:t>
      </w:r>
      <w:r>
        <w:rPr>
          <w:spacing w:val="-152"/>
          <w:w w:val="100"/>
        </w:rPr>
        <w:t>司</w:t>
      </w:r>
      <w:r>
        <w:rPr>
          <w:spacing w:val="-63"/>
          <w:w w:val="100"/>
          <w:position w:val="-7"/>
        </w:rPr>
        <w:t>．</w:t>
      </w:r>
      <w:r>
        <w:rPr>
          <w:rFonts w:ascii="Times New Roman" w:hAnsi="Times New Roman" w:eastAsia="Times New Roman"/>
          <w:spacing w:val="-92"/>
          <w:w w:val="100"/>
        </w:rPr>
        <w:t>”</w:t>
      </w:r>
      <w:r>
        <w:rPr>
          <w:spacing w:val="-120"/>
          <w:w w:val="100"/>
          <w:position w:val="-7"/>
        </w:rPr>
        <w:t>．</w:t>
      </w:r>
      <w:r>
        <w:rPr>
          <w:spacing w:val="-152"/>
          <w:w w:val="100"/>
        </w:rPr>
        <w:t>均</w:t>
      </w:r>
      <w:r>
        <w:rPr>
          <w:spacing w:val="-63"/>
          <w:w w:val="100"/>
          <w:position w:val="-7"/>
        </w:rPr>
        <w:t>．</w:t>
      </w:r>
      <w:r>
        <w:rPr>
          <w:spacing w:val="-149"/>
          <w:w w:val="100"/>
        </w:rPr>
        <w:t>指</w:t>
      </w:r>
      <w:r>
        <w:rPr>
          <w:spacing w:val="-63"/>
          <w:w w:val="100"/>
          <w:position w:val="-7"/>
        </w:rPr>
        <w:t>．</w:t>
      </w:r>
      <w:r>
        <w:rPr>
          <w:spacing w:val="-149"/>
          <w:w w:val="100"/>
        </w:rPr>
        <w:t>和</w:t>
      </w:r>
      <w:r>
        <w:rPr>
          <w:spacing w:val="-63"/>
          <w:w w:val="100"/>
          <w:position w:val="-7"/>
        </w:rPr>
        <w:t>．</w:t>
      </w:r>
      <w:r>
        <w:rPr>
          <w:spacing w:val="-152"/>
          <w:w w:val="100"/>
        </w:rPr>
        <w:t>谐</w:t>
      </w:r>
      <w:r>
        <w:rPr>
          <w:spacing w:val="-63"/>
          <w:w w:val="100"/>
          <w:position w:val="-7"/>
        </w:rPr>
        <w:t>．</w:t>
      </w:r>
      <w:r>
        <w:rPr>
          <w:spacing w:val="-149"/>
          <w:w w:val="100"/>
        </w:rPr>
        <w:t>健</w:t>
      </w:r>
      <w:r>
        <w:rPr>
          <w:spacing w:val="-63"/>
          <w:w w:val="100"/>
          <w:position w:val="-7"/>
        </w:rPr>
        <w:t>．</w:t>
      </w:r>
      <w:r>
        <w:rPr>
          <w:spacing w:val="-152"/>
          <w:w w:val="100"/>
        </w:rPr>
        <w:t>康</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股</w:t>
      </w:r>
      <w:r>
        <w:rPr>
          <w:spacing w:val="-63"/>
          <w:w w:val="100"/>
          <w:position w:val="-7"/>
        </w:rPr>
        <w:t>．</w:t>
      </w:r>
      <w:r>
        <w:rPr>
          <w:spacing w:val="-152"/>
          <w:w w:val="100"/>
        </w:rPr>
        <w:t>份</w:t>
      </w:r>
      <w:r>
        <w:rPr>
          <w:spacing w:val="-63"/>
          <w:w w:val="100"/>
          <w:position w:val="-7"/>
        </w:rPr>
        <w:t>．</w:t>
      </w:r>
      <w:r>
        <w:rPr>
          <w:spacing w:val="-149"/>
          <w:w w:val="100"/>
        </w:rPr>
        <w:t>有</w:t>
      </w:r>
      <w:r>
        <w:rPr>
          <w:spacing w:val="-63"/>
          <w:w w:val="100"/>
          <w:position w:val="-7"/>
        </w:rPr>
        <w:t>．</w:t>
      </w:r>
      <w:r>
        <w:rPr>
          <w:spacing w:val="-152"/>
          <w:w w:val="100"/>
        </w:rPr>
        <w:t>限</w:t>
      </w:r>
      <w:r>
        <w:rPr>
          <w:spacing w:val="-63"/>
          <w:w w:val="100"/>
          <w:position w:val="-7"/>
        </w:rPr>
        <w:t>．</w:t>
      </w:r>
      <w:r>
        <w:rPr>
          <w:spacing w:val="-149"/>
          <w:w w:val="100"/>
        </w:rPr>
        <w:t>公</w:t>
      </w:r>
      <w:r>
        <w:rPr>
          <w:spacing w:val="-63"/>
          <w:w w:val="100"/>
          <w:position w:val="-7"/>
        </w:rPr>
        <w:t>．</w:t>
      </w:r>
      <w:r>
        <w:rPr>
          <w:spacing w:val="-149"/>
          <w:w w:val="100"/>
        </w:rPr>
        <w:t>司</w:t>
      </w:r>
      <w:r>
        <w:rPr>
          <w:spacing w:val="-63"/>
          <w:w w:val="100"/>
          <w:position w:val="-7"/>
        </w:rPr>
        <w:t>．</w:t>
      </w:r>
      <w:r>
        <w:rPr>
          <w:spacing w:val="-152"/>
          <w:w w:val="100"/>
        </w:rPr>
        <w:t>。</w:t>
      </w:r>
      <w:r>
        <w:rPr>
          <w:w w:val="100"/>
          <w:position w:val="-7"/>
        </w:rPr>
        <w:t>．</w:t>
      </w:r>
    </w:p>
    <w:p>
      <w:pPr>
        <w:pStyle w:val="BodyText"/>
        <w:spacing w:before="10"/>
        <w:rPr>
          <w:sz w:val="6"/>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gridCol w:w="1426"/>
        <w:gridCol w:w="7631"/>
      </w:tblGrid>
      <w:tr>
        <w:trPr>
          <w:trHeight w:val="555" w:hRule="atLeast"/>
        </w:trPr>
        <w:tc>
          <w:tcPr>
            <w:tcW w:w="537" w:type="dxa"/>
            <w:tcBorders>
              <w:bottom w:val="single" w:sz="8" w:space="0" w:color="000000"/>
            </w:tcBorders>
          </w:tcPr>
          <w:p>
            <w:pPr>
              <w:pStyle w:val="TableParagraph"/>
              <w:spacing w:line="488" w:lineRule="exact"/>
              <w:ind w:left="57"/>
              <w:rPr>
                <w:rFonts w:ascii="Wingdings" w:hAnsi="Wingdings"/>
                <w:b/>
                <w:sz w:val="44"/>
              </w:rPr>
            </w:pPr>
            <w:r>
              <w:rPr>
                <w:rFonts w:ascii="Wingdings" w:hAnsi="Wingdings"/>
                <w:b/>
                <w:w w:val="99"/>
                <w:sz w:val="44"/>
              </w:rPr>
              <w:t></w:t>
            </w:r>
          </w:p>
        </w:tc>
        <w:tc>
          <w:tcPr>
            <w:tcW w:w="9057" w:type="dxa"/>
            <w:gridSpan w:val="2"/>
          </w:tcPr>
          <w:p>
            <w:pPr>
              <w:pStyle w:val="TableParagraph"/>
              <w:spacing w:line="391" w:lineRule="exact"/>
              <w:ind w:left="87"/>
              <w:rPr>
                <w:rFonts w:ascii="Microsoft JhengHei" w:eastAsia="Microsoft JhengHei" w:hint="eastAsia"/>
                <w:b/>
                <w:sz w:val="24"/>
              </w:rPr>
            </w:pPr>
            <w:r>
              <w:rPr>
                <w:rFonts w:ascii="Microsoft JhengHei" w:eastAsia="Microsoft JhengHei" w:hint="eastAsia"/>
                <w:b/>
                <w:sz w:val="24"/>
              </w:rPr>
              <w:t>您与我们的合同</w:t>
            </w:r>
          </w:p>
        </w:tc>
      </w:tr>
      <w:tr>
        <w:trPr>
          <w:trHeight w:val="1420" w:hRule="atLeast"/>
        </w:trPr>
        <w:tc>
          <w:tcPr>
            <w:tcW w:w="537" w:type="dxa"/>
            <w:tcBorders>
              <w:top w:val="single" w:sz="8" w:space="0" w:color="000000"/>
            </w:tcBorders>
          </w:tcPr>
          <w:p>
            <w:pPr>
              <w:pStyle w:val="TableParagraph"/>
              <w:spacing w:before="8"/>
              <w:ind w:left="0"/>
              <w:rPr>
                <w:sz w:val="15"/>
              </w:rPr>
            </w:pPr>
          </w:p>
          <w:p>
            <w:pPr>
              <w:pStyle w:val="TableParagraph"/>
              <w:ind w:left="57"/>
              <w:rPr>
                <w:rFonts w:ascii="Times New Roman"/>
                <w:b/>
                <w:sz w:val="21"/>
              </w:rPr>
            </w:pPr>
            <w:r>
              <w:rPr>
                <w:rFonts w:ascii="Times New Roman"/>
                <w:b/>
                <w:sz w:val="21"/>
              </w:rPr>
              <w:t>1.1</w:t>
            </w:r>
          </w:p>
        </w:tc>
        <w:tc>
          <w:tcPr>
            <w:tcW w:w="1426" w:type="dxa"/>
            <w:tcBorders>
              <w:top w:val="single" w:sz="8" w:space="0" w:color="000000"/>
            </w:tcBorders>
          </w:tcPr>
          <w:p>
            <w:pPr>
              <w:pStyle w:val="TableParagraph"/>
              <w:spacing w:before="105"/>
              <w:ind w:left="87"/>
              <w:rPr>
                <w:rFonts w:ascii="Microsoft JhengHei" w:eastAsia="Microsoft JhengHei" w:hint="eastAsia"/>
                <w:b/>
                <w:sz w:val="21"/>
              </w:rPr>
            </w:pPr>
            <w:r>
              <w:rPr>
                <w:rFonts w:ascii="Microsoft JhengHei" w:eastAsia="Microsoft JhengHei" w:hint="eastAsia"/>
                <w:b/>
                <w:sz w:val="21"/>
              </w:rPr>
              <w:t>合同构成</w:t>
            </w:r>
          </w:p>
        </w:tc>
        <w:tc>
          <w:tcPr>
            <w:tcW w:w="7631" w:type="dxa"/>
            <w:tcBorders>
              <w:top w:val="single" w:sz="8" w:space="0" w:color="000000"/>
            </w:tcBorders>
          </w:tcPr>
          <w:p>
            <w:pPr>
              <w:pStyle w:val="TableParagraph"/>
              <w:spacing w:before="10"/>
              <w:ind w:left="0"/>
              <w:rPr>
                <w:sz w:val="13"/>
              </w:rPr>
            </w:pPr>
          </w:p>
          <w:p>
            <w:pPr>
              <w:pStyle w:val="TableParagraph"/>
              <w:spacing w:line="232" w:lineRule="auto"/>
              <w:ind w:left="53" w:right="199"/>
              <w:rPr>
                <w:sz w:val="21"/>
              </w:rPr>
            </w:pPr>
            <w:r>
              <w:rPr>
                <w:spacing w:val="-9"/>
                <w:sz w:val="21"/>
              </w:rPr>
              <w:t>和谐健康之星少儿重大疾病保险合同</w:t>
            </w:r>
            <w:r>
              <w:rPr>
                <w:sz w:val="21"/>
              </w:rPr>
              <w:t>（</w:t>
            </w:r>
            <w:r>
              <w:rPr>
                <w:spacing w:val="-3"/>
                <w:sz w:val="21"/>
              </w:rPr>
              <w:t>以下简称</w:t>
            </w:r>
            <w:r>
              <w:rPr>
                <w:rFonts w:ascii="Times New Roman" w:hAnsi="Times New Roman" w:eastAsia="Times New Roman"/>
                <w:sz w:val="21"/>
              </w:rPr>
              <w:t>“</w:t>
            </w:r>
            <w:r>
              <w:rPr>
                <w:spacing w:val="-2"/>
                <w:sz w:val="21"/>
              </w:rPr>
              <w:t>本合同</w:t>
            </w:r>
            <w:r>
              <w:rPr>
                <w:rFonts w:ascii="Times New Roman" w:hAnsi="Times New Roman" w:eastAsia="Times New Roman"/>
                <w:spacing w:val="-44"/>
                <w:sz w:val="21"/>
              </w:rPr>
              <w:t>”</w:t>
            </w:r>
            <w:r>
              <w:rPr>
                <w:spacing w:val="-44"/>
                <w:sz w:val="21"/>
              </w:rPr>
              <w:t>）</w:t>
            </w:r>
            <w:r>
              <w:rPr>
                <w:spacing w:val="-3"/>
                <w:sz w:val="21"/>
              </w:rPr>
              <w:t>由以下几个部分构成： </w:t>
            </w:r>
            <w:r>
              <w:rPr>
                <w:spacing w:val="-11"/>
                <w:sz w:val="21"/>
              </w:rPr>
              <w:t>本保险条款、保险单或其他保险凭证、投保单</w:t>
            </w:r>
            <w:r>
              <w:rPr>
                <w:sz w:val="21"/>
              </w:rPr>
              <w:t>（</w:t>
            </w:r>
            <w:r>
              <w:rPr>
                <w:spacing w:val="-3"/>
                <w:sz w:val="21"/>
              </w:rPr>
              <w:t>经本公司核实的复印件或电子影像印刷件与正本具有同等效力</w:t>
            </w:r>
            <w:r>
              <w:rPr>
                <w:spacing w:val="-108"/>
                <w:sz w:val="21"/>
              </w:rPr>
              <w:t>）</w:t>
            </w:r>
            <w:r>
              <w:rPr>
                <w:spacing w:val="-3"/>
                <w:sz w:val="21"/>
              </w:rPr>
              <w:t>、合法有效的声明、批注、批单，及您与本公司共同认可的、与本合同有关的其它书面文件或电子协议。</w:t>
            </w:r>
          </w:p>
        </w:tc>
      </w:tr>
      <w:tr>
        <w:trPr>
          <w:trHeight w:val="1095" w:hRule="atLeast"/>
        </w:trPr>
        <w:tc>
          <w:tcPr>
            <w:tcW w:w="537" w:type="dxa"/>
          </w:tcPr>
          <w:p>
            <w:pPr>
              <w:pStyle w:val="TableParagraph"/>
              <w:spacing w:before="147"/>
              <w:ind w:left="57"/>
              <w:rPr>
                <w:rFonts w:ascii="Times New Roman"/>
                <w:b/>
                <w:sz w:val="21"/>
              </w:rPr>
            </w:pPr>
            <w:r>
              <w:rPr>
                <w:rFonts w:ascii="Times New Roman"/>
                <w:b/>
                <w:sz w:val="21"/>
              </w:rPr>
              <w:t>1.2</w:t>
            </w:r>
          </w:p>
        </w:tc>
        <w:tc>
          <w:tcPr>
            <w:tcW w:w="1426" w:type="dxa"/>
          </w:tcPr>
          <w:p>
            <w:pPr>
              <w:pStyle w:val="TableParagraph"/>
              <w:spacing w:before="48"/>
              <w:ind w:left="87"/>
              <w:rPr>
                <w:rFonts w:ascii="Microsoft JhengHei" w:eastAsia="Microsoft JhengHei" w:hint="eastAsia"/>
                <w:b/>
                <w:sz w:val="21"/>
              </w:rPr>
            </w:pPr>
            <w:r>
              <w:rPr>
                <w:rFonts w:ascii="Microsoft JhengHei" w:eastAsia="Microsoft JhengHei" w:hint="eastAsia"/>
                <w:b/>
                <w:sz w:val="21"/>
              </w:rPr>
              <w:t>投保范围</w:t>
            </w:r>
          </w:p>
        </w:tc>
        <w:tc>
          <w:tcPr>
            <w:tcW w:w="7631" w:type="dxa"/>
          </w:tcPr>
          <w:p>
            <w:pPr>
              <w:pStyle w:val="TableParagraph"/>
              <w:spacing w:line="218" w:lineRule="auto" w:before="81"/>
              <w:ind w:left="53" w:right="323"/>
              <w:rPr>
                <w:sz w:val="21"/>
              </w:rPr>
            </w:pPr>
            <w:r>
              <w:rPr>
                <w:spacing w:val="-2"/>
                <w:w w:val="100"/>
                <w:sz w:val="21"/>
              </w:rPr>
              <w:t>凡年满</w:t>
            </w:r>
            <w:r>
              <w:rPr>
                <w:spacing w:val="-53"/>
                <w:sz w:val="21"/>
              </w:rPr>
              <w:t> </w:t>
            </w:r>
            <w:r>
              <w:rPr>
                <w:rFonts w:ascii="Times New Roman" w:eastAsia="Times New Roman"/>
                <w:w w:val="100"/>
                <w:sz w:val="21"/>
              </w:rPr>
              <w:t>18</w:t>
            </w:r>
            <w:r>
              <w:rPr>
                <w:rFonts w:ascii="Times New Roman" w:eastAsia="Times New Roman"/>
                <w:sz w:val="21"/>
              </w:rPr>
              <w:t> </w:t>
            </w:r>
            <w:r>
              <w:rPr>
                <w:rFonts w:ascii="Microsoft JhengHei" w:eastAsia="Microsoft JhengHei" w:hint="eastAsia"/>
                <w:b/>
                <w:w w:val="100"/>
                <w:sz w:val="21"/>
              </w:rPr>
              <w:t>周岁</w:t>
            </w:r>
            <w:r>
              <w:rPr>
                <w:spacing w:val="-3"/>
                <w:w w:val="100"/>
                <w:sz w:val="21"/>
              </w:rPr>
              <w:t>（</w:t>
            </w:r>
            <w:r>
              <w:rPr>
                <w:spacing w:val="-2"/>
                <w:w w:val="100"/>
                <w:sz w:val="21"/>
              </w:rPr>
              <w:t>见释义</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spacing w:val="-1"/>
                <w:w w:val="100"/>
                <w:sz w:val="21"/>
              </w:rPr>
              <w:t>1</w:t>
            </w:r>
            <w:r>
              <w:rPr>
                <w:spacing w:val="-106"/>
                <w:w w:val="100"/>
                <w:sz w:val="21"/>
              </w:rPr>
              <w:t>）</w:t>
            </w:r>
            <w:r>
              <w:rPr>
                <w:spacing w:val="-3"/>
                <w:w w:val="100"/>
                <w:sz w:val="21"/>
              </w:rPr>
              <w:t>、具有完全民事行为能力且在本合同订立时对被保</w:t>
            </w:r>
            <w:r>
              <w:rPr>
                <w:spacing w:val="-3"/>
                <w:sz w:val="21"/>
              </w:rPr>
              <w:t>险人具有保险利益的人，均可以作为投保人。</w:t>
            </w:r>
          </w:p>
          <w:p>
            <w:pPr>
              <w:pStyle w:val="TableParagraph"/>
              <w:spacing w:line="287" w:lineRule="exact"/>
              <w:ind w:left="53"/>
              <w:rPr>
                <w:sz w:val="21"/>
              </w:rPr>
            </w:pPr>
            <w:r>
              <w:rPr>
                <w:sz w:val="21"/>
              </w:rPr>
              <w:t>凡出生满 </w:t>
            </w:r>
            <w:r>
              <w:rPr>
                <w:rFonts w:ascii="Times New Roman" w:eastAsia="Times New Roman"/>
                <w:sz w:val="21"/>
              </w:rPr>
              <w:t>28 </w:t>
            </w:r>
            <w:r>
              <w:rPr>
                <w:sz w:val="21"/>
              </w:rPr>
              <w:t>日至 </w:t>
            </w:r>
            <w:r>
              <w:rPr>
                <w:rFonts w:ascii="Times New Roman" w:eastAsia="Times New Roman"/>
                <w:sz w:val="21"/>
              </w:rPr>
              <w:t>17 </w:t>
            </w:r>
            <w:r>
              <w:rPr>
                <w:sz w:val="21"/>
              </w:rPr>
              <w:t>周岁符合本公司承保条件的人，均可作为被保险人。</w:t>
            </w:r>
          </w:p>
        </w:tc>
      </w:tr>
      <w:tr>
        <w:trPr>
          <w:trHeight w:val="1355" w:hRule="atLeast"/>
        </w:trPr>
        <w:tc>
          <w:tcPr>
            <w:tcW w:w="537" w:type="dxa"/>
          </w:tcPr>
          <w:p>
            <w:pPr>
              <w:pStyle w:val="TableParagraph"/>
              <w:spacing w:before="139"/>
              <w:ind w:left="57"/>
              <w:rPr>
                <w:rFonts w:ascii="Times New Roman"/>
                <w:b/>
                <w:sz w:val="21"/>
              </w:rPr>
            </w:pPr>
            <w:r>
              <w:rPr>
                <w:rFonts w:ascii="Times New Roman"/>
                <w:b/>
                <w:sz w:val="21"/>
              </w:rPr>
              <w:t>1.3</w:t>
            </w:r>
          </w:p>
        </w:tc>
        <w:tc>
          <w:tcPr>
            <w:tcW w:w="1426" w:type="dxa"/>
          </w:tcPr>
          <w:p>
            <w:pPr>
              <w:pStyle w:val="TableParagraph"/>
              <w:spacing w:line="180" w:lineRule="auto" w:before="131"/>
              <w:ind w:left="87" w:right="69"/>
              <w:jc w:val="both"/>
              <w:rPr>
                <w:rFonts w:ascii="Microsoft JhengHei" w:eastAsia="Microsoft JhengHei" w:hint="eastAsia"/>
                <w:b/>
                <w:sz w:val="21"/>
              </w:rPr>
            </w:pPr>
            <w:r>
              <w:rPr>
                <w:rFonts w:ascii="Microsoft JhengHei" w:eastAsia="Microsoft JhengHei" w:hint="eastAsia"/>
                <w:b/>
                <w:sz w:val="21"/>
              </w:rPr>
              <w:t>合同成立与生效和保险责任开始</w:t>
            </w:r>
          </w:p>
        </w:tc>
        <w:tc>
          <w:tcPr>
            <w:tcW w:w="7631" w:type="dxa"/>
          </w:tcPr>
          <w:p>
            <w:pPr>
              <w:pStyle w:val="TableParagraph"/>
              <w:spacing w:line="237" w:lineRule="auto" w:before="109"/>
              <w:ind w:left="53" w:right="201"/>
              <w:rPr>
                <w:sz w:val="21"/>
              </w:rPr>
            </w:pPr>
            <w:r>
              <w:rPr>
                <w:spacing w:val="-17"/>
                <w:sz w:val="21"/>
              </w:rPr>
              <w:t>您提出保险申请、本公司同意承保，本合同成立，合同成立日期在保险单上载明。</w:t>
            </w:r>
            <w:r>
              <w:rPr>
                <w:spacing w:val="-13"/>
                <w:sz w:val="21"/>
              </w:rPr>
              <w:t>自本合同成立、本公司收取保险费并签发保险单的次日零时起本合同生效，合同</w:t>
            </w:r>
            <w:r>
              <w:rPr>
                <w:spacing w:val="-6"/>
                <w:sz w:val="21"/>
              </w:rPr>
              <w:t>生效日期在保险单上载明。</w:t>
            </w:r>
          </w:p>
          <w:p>
            <w:pPr>
              <w:pStyle w:val="TableParagraph"/>
              <w:spacing w:line="274" w:lineRule="exact"/>
              <w:ind w:left="53"/>
              <w:rPr>
                <w:sz w:val="21"/>
              </w:rPr>
            </w:pPr>
            <w:r>
              <w:rPr>
                <w:sz w:val="21"/>
              </w:rPr>
              <w:t>除另有约定外，本合同生效的日期为本公司开始承担保险责任的日期。</w:t>
            </w:r>
          </w:p>
        </w:tc>
      </w:tr>
      <w:tr>
        <w:trPr>
          <w:trHeight w:val="1784" w:hRule="atLeast"/>
        </w:trPr>
        <w:tc>
          <w:tcPr>
            <w:tcW w:w="537" w:type="dxa"/>
          </w:tcPr>
          <w:p>
            <w:pPr>
              <w:pStyle w:val="TableParagraph"/>
              <w:spacing w:before="147"/>
              <w:ind w:left="57"/>
              <w:rPr>
                <w:rFonts w:ascii="Times New Roman"/>
                <w:b/>
                <w:sz w:val="21"/>
              </w:rPr>
            </w:pPr>
            <w:r>
              <w:rPr>
                <w:rFonts w:ascii="Times New Roman"/>
                <w:b/>
                <w:sz w:val="21"/>
              </w:rPr>
              <w:t>1.4</w:t>
            </w:r>
          </w:p>
        </w:tc>
        <w:tc>
          <w:tcPr>
            <w:tcW w:w="1426" w:type="dxa"/>
          </w:tcPr>
          <w:p>
            <w:pPr>
              <w:pStyle w:val="TableParagraph"/>
              <w:spacing w:before="48"/>
              <w:ind w:left="87"/>
              <w:rPr>
                <w:rFonts w:ascii="Microsoft JhengHei" w:eastAsia="Microsoft JhengHei" w:hint="eastAsia"/>
                <w:b/>
                <w:sz w:val="21"/>
              </w:rPr>
            </w:pPr>
            <w:r>
              <w:rPr>
                <w:rFonts w:ascii="Microsoft JhengHei" w:eastAsia="Microsoft JhengHei" w:hint="eastAsia"/>
                <w:b/>
                <w:sz w:val="21"/>
              </w:rPr>
              <w:t>犹豫期</w:t>
            </w:r>
          </w:p>
        </w:tc>
        <w:tc>
          <w:tcPr>
            <w:tcW w:w="7631" w:type="dxa"/>
          </w:tcPr>
          <w:p>
            <w:pPr>
              <w:pStyle w:val="TableParagraph"/>
              <w:spacing w:line="199" w:lineRule="auto" w:before="164"/>
              <w:ind w:left="53" w:right="307"/>
              <w:jc w:val="both"/>
              <w:rPr>
                <w:sz w:val="21"/>
              </w:rPr>
            </w:pPr>
            <w:r>
              <w:rPr>
                <w:spacing w:val="-7"/>
                <w:sz w:val="21"/>
              </w:rPr>
              <w:t>自您签收本合同次日起有 </w:t>
            </w:r>
            <w:r>
              <w:rPr>
                <w:rFonts w:ascii="Times New Roman" w:eastAsia="Times New Roman"/>
                <w:sz w:val="21"/>
              </w:rPr>
              <w:t>15 </w:t>
            </w:r>
            <w:r>
              <w:rPr>
                <w:spacing w:val="-3"/>
                <w:sz w:val="21"/>
              </w:rPr>
              <w:t>日的犹豫期。如果您在此期间提出撤销合同，需要</w:t>
            </w:r>
            <w:r>
              <w:rPr>
                <w:spacing w:val="-7"/>
                <w:w w:val="100"/>
                <w:sz w:val="21"/>
              </w:rPr>
              <w:t>填写书面申请，并提供您的保险合同及</w:t>
            </w:r>
            <w:r>
              <w:rPr>
                <w:rFonts w:ascii="Microsoft JhengHei" w:eastAsia="Microsoft JhengHei" w:hint="eastAsia"/>
                <w:b/>
                <w:spacing w:val="-6"/>
                <w:w w:val="100"/>
                <w:sz w:val="21"/>
              </w:rPr>
              <w:t>有效身份证件</w:t>
            </w:r>
            <w:r>
              <w:rPr>
                <w:spacing w:val="-3"/>
                <w:w w:val="100"/>
                <w:sz w:val="21"/>
              </w:rPr>
              <w:t>（</w:t>
            </w:r>
            <w:r>
              <w:rPr>
                <w:spacing w:val="-2"/>
                <w:w w:val="100"/>
                <w:sz w:val="21"/>
              </w:rPr>
              <w:t>见释义</w:t>
            </w:r>
            <w:r>
              <w:rPr>
                <w:spacing w:val="-53"/>
                <w:sz w:val="21"/>
              </w:rPr>
              <w:t> </w:t>
            </w:r>
            <w:r>
              <w:rPr>
                <w:rFonts w:ascii="Times New Roman" w:eastAsia="Times New Roman"/>
                <w:w w:val="100"/>
                <w:sz w:val="21"/>
              </w:rPr>
              <w:t>7.</w:t>
            </w:r>
            <w:r>
              <w:rPr>
                <w:rFonts w:ascii="Times New Roman" w:eastAsia="Times New Roman"/>
                <w:spacing w:val="-3"/>
                <w:w w:val="100"/>
                <w:sz w:val="21"/>
              </w:rPr>
              <w:t>2</w:t>
            </w:r>
            <w:r>
              <w:rPr>
                <w:spacing w:val="-106"/>
                <w:w w:val="100"/>
                <w:sz w:val="21"/>
              </w:rPr>
              <w:t>）</w:t>
            </w:r>
            <w:r>
              <w:rPr>
                <w:spacing w:val="-7"/>
                <w:w w:val="100"/>
                <w:sz w:val="21"/>
              </w:rPr>
              <w:t>，我们将无息</w:t>
            </w:r>
            <w:r>
              <w:rPr>
                <w:spacing w:val="-5"/>
                <w:sz w:val="21"/>
              </w:rPr>
              <w:t>退还您所交的保险费。</w:t>
            </w:r>
          </w:p>
          <w:p>
            <w:pPr>
              <w:pStyle w:val="TableParagraph"/>
              <w:spacing w:line="358" w:lineRule="exact" w:before="3"/>
              <w:ind w:left="53" w:right="309"/>
              <w:jc w:val="both"/>
              <w:rPr>
                <w:rFonts w:ascii="Microsoft JhengHei" w:eastAsia="Microsoft JhengHei" w:hint="eastAsia"/>
                <w:b/>
                <w:sz w:val="21"/>
              </w:rPr>
            </w:pPr>
            <w:r>
              <w:rPr>
                <w:spacing w:val="-6"/>
                <w:sz w:val="21"/>
              </w:rPr>
              <w:t>自我们收到您撤销合同的书面申请时起，</w:t>
            </w:r>
            <w:r>
              <w:rPr>
                <w:rFonts w:ascii="Microsoft JhengHei" w:eastAsia="Microsoft JhengHei" w:hint="eastAsia"/>
                <w:b/>
                <w:spacing w:val="-6"/>
                <w:sz w:val="21"/>
              </w:rPr>
              <w:t>本合同及其附加险合同即被撤销，我们不再承担自您申请之日后的保险责任。</w:t>
            </w:r>
          </w:p>
        </w:tc>
      </w:tr>
      <w:tr>
        <w:trPr>
          <w:trHeight w:val="2268" w:hRule="atLeast"/>
        </w:trPr>
        <w:tc>
          <w:tcPr>
            <w:tcW w:w="537" w:type="dxa"/>
          </w:tcPr>
          <w:p>
            <w:pPr>
              <w:pStyle w:val="TableParagraph"/>
              <w:spacing w:before="167"/>
              <w:ind w:left="57"/>
              <w:rPr>
                <w:rFonts w:ascii="Times New Roman"/>
                <w:b/>
                <w:sz w:val="21"/>
              </w:rPr>
            </w:pPr>
            <w:r>
              <w:rPr>
                <w:rFonts w:ascii="Times New Roman"/>
                <w:b/>
                <w:sz w:val="21"/>
              </w:rPr>
              <w:t>1.5</w:t>
            </w:r>
          </w:p>
        </w:tc>
        <w:tc>
          <w:tcPr>
            <w:tcW w:w="1426" w:type="dxa"/>
          </w:tcPr>
          <w:p>
            <w:pPr>
              <w:pStyle w:val="TableParagraph"/>
              <w:spacing w:before="68"/>
              <w:ind w:left="87"/>
              <w:rPr>
                <w:rFonts w:ascii="Microsoft JhengHei" w:eastAsia="Microsoft JhengHei" w:hint="eastAsia"/>
                <w:b/>
                <w:sz w:val="21"/>
              </w:rPr>
            </w:pPr>
            <w:r>
              <w:rPr>
                <w:rFonts w:ascii="Microsoft JhengHei" w:eastAsia="Microsoft JhengHei" w:hint="eastAsia"/>
                <w:b/>
                <w:sz w:val="21"/>
              </w:rPr>
              <w:t>合同内容变更</w:t>
            </w:r>
          </w:p>
        </w:tc>
        <w:tc>
          <w:tcPr>
            <w:tcW w:w="7631" w:type="dxa"/>
          </w:tcPr>
          <w:p>
            <w:pPr>
              <w:pStyle w:val="TableParagraph"/>
              <w:spacing w:before="135"/>
              <w:ind w:left="53" w:right="218"/>
              <w:jc w:val="both"/>
              <w:rPr>
                <w:sz w:val="21"/>
              </w:rPr>
            </w:pPr>
            <w:r>
              <w:rPr>
                <w:sz w:val="21"/>
              </w:rPr>
              <w:t>在本合同有效期内，您与本公司可以协商变更本合同内容。变更本合同内容的， 应当由本公司在保险单或其他保险凭证上批注或者附贴批单。</w:t>
            </w:r>
          </w:p>
          <w:p>
            <w:pPr>
              <w:pStyle w:val="TableParagraph"/>
              <w:spacing w:line="237" w:lineRule="auto"/>
              <w:ind w:left="53" w:right="305"/>
              <w:jc w:val="both"/>
              <w:rPr>
                <w:sz w:val="21"/>
              </w:rPr>
            </w:pPr>
            <w:r>
              <w:rPr>
                <w:spacing w:val="-9"/>
                <w:sz w:val="21"/>
              </w:rPr>
              <w:t>为了保障您的合法权益，在本合同有效期内，若您提供给本公司的住所或其他投</w:t>
            </w:r>
            <w:r>
              <w:rPr>
                <w:spacing w:val="-11"/>
                <w:sz w:val="21"/>
              </w:rPr>
              <w:t>保信息发生了变更，请及时以书面形式通知本公司，以便于本公司及时为您变更</w:t>
            </w:r>
            <w:r>
              <w:rPr>
                <w:spacing w:val="-6"/>
                <w:sz w:val="21"/>
              </w:rPr>
              <w:t>保险合同上的相关信息。</w:t>
            </w:r>
          </w:p>
          <w:p>
            <w:pPr>
              <w:pStyle w:val="TableParagraph"/>
              <w:spacing w:line="237" w:lineRule="auto" w:before="3"/>
              <w:ind w:left="53" w:right="307"/>
              <w:jc w:val="both"/>
              <w:rPr>
                <w:sz w:val="21"/>
              </w:rPr>
            </w:pPr>
            <w:r>
              <w:rPr>
                <w:spacing w:val="-7"/>
                <w:sz w:val="21"/>
              </w:rPr>
              <w:t>如因您的住所或通讯地址变更后未及时通知本公司，则本公司按本合同载明的最</w:t>
            </w:r>
            <w:r>
              <w:rPr>
                <w:spacing w:val="-5"/>
                <w:sz w:val="21"/>
              </w:rPr>
              <w:t>后住所或通讯地址发送的有关通知，均视为已送达给您。</w:t>
            </w:r>
          </w:p>
        </w:tc>
      </w:tr>
      <w:tr>
        <w:trPr>
          <w:trHeight w:val="778" w:hRule="atLeast"/>
        </w:trPr>
        <w:tc>
          <w:tcPr>
            <w:tcW w:w="537" w:type="dxa"/>
            <w:tcBorders>
              <w:bottom w:val="single" w:sz="8" w:space="0" w:color="000000"/>
            </w:tcBorders>
          </w:tcPr>
          <w:p>
            <w:pPr>
              <w:pStyle w:val="TableParagraph"/>
              <w:spacing w:before="222"/>
              <w:ind w:left="57"/>
              <w:rPr>
                <w:rFonts w:ascii="Wingdings" w:hAnsi="Wingdings"/>
                <w:b/>
                <w:sz w:val="44"/>
              </w:rPr>
            </w:pPr>
            <w:r>
              <w:rPr>
                <w:rFonts w:ascii="Wingdings" w:hAnsi="Wingdings"/>
                <w:b/>
                <w:w w:val="99"/>
                <w:sz w:val="44"/>
              </w:rPr>
              <w:t></w:t>
            </w:r>
          </w:p>
        </w:tc>
        <w:tc>
          <w:tcPr>
            <w:tcW w:w="9057" w:type="dxa"/>
            <w:gridSpan w:val="2"/>
          </w:tcPr>
          <w:p>
            <w:pPr>
              <w:pStyle w:val="TableParagraph"/>
              <w:spacing w:before="199"/>
              <w:ind w:left="87"/>
              <w:rPr>
                <w:rFonts w:ascii="Microsoft JhengHei" w:eastAsia="Microsoft JhengHei" w:hint="eastAsia"/>
                <w:b/>
                <w:sz w:val="24"/>
              </w:rPr>
            </w:pPr>
            <w:r>
              <w:rPr>
                <w:rFonts w:ascii="Microsoft JhengHei" w:eastAsia="Microsoft JhengHei" w:hint="eastAsia"/>
                <w:b/>
                <w:sz w:val="24"/>
              </w:rPr>
              <w:t>我们提供的保障</w:t>
            </w:r>
          </w:p>
        </w:tc>
      </w:tr>
      <w:tr>
        <w:trPr>
          <w:trHeight w:val="604" w:hRule="atLeast"/>
        </w:trPr>
        <w:tc>
          <w:tcPr>
            <w:tcW w:w="537" w:type="dxa"/>
            <w:tcBorders>
              <w:top w:val="single" w:sz="8" w:space="0" w:color="000000"/>
            </w:tcBorders>
          </w:tcPr>
          <w:p>
            <w:pPr>
              <w:pStyle w:val="TableParagraph"/>
              <w:spacing w:before="10"/>
              <w:ind w:left="0"/>
              <w:rPr>
                <w:sz w:val="15"/>
              </w:rPr>
            </w:pPr>
          </w:p>
          <w:p>
            <w:pPr>
              <w:pStyle w:val="TableParagraph"/>
              <w:ind w:left="57"/>
              <w:rPr>
                <w:rFonts w:ascii="Times New Roman"/>
                <w:b/>
                <w:sz w:val="21"/>
              </w:rPr>
            </w:pPr>
            <w:r>
              <w:rPr>
                <w:rFonts w:ascii="Times New Roman"/>
                <w:b/>
                <w:sz w:val="21"/>
              </w:rPr>
              <w:t>2.1</w:t>
            </w:r>
          </w:p>
        </w:tc>
        <w:tc>
          <w:tcPr>
            <w:tcW w:w="1426" w:type="dxa"/>
            <w:tcBorders>
              <w:top w:val="single" w:sz="8" w:space="0" w:color="000000"/>
            </w:tcBorders>
          </w:tcPr>
          <w:p>
            <w:pPr>
              <w:pStyle w:val="TableParagraph"/>
              <w:spacing w:before="107"/>
              <w:ind w:left="87"/>
              <w:rPr>
                <w:rFonts w:ascii="Microsoft JhengHei" w:eastAsia="Microsoft JhengHei" w:hint="eastAsia"/>
                <w:b/>
                <w:sz w:val="21"/>
              </w:rPr>
            </w:pPr>
            <w:r>
              <w:rPr>
                <w:rFonts w:ascii="Microsoft JhengHei" w:eastAsia="Microsoft JhengHei" w:hint="eastAsia"/>
                <w:b/>
                <w:sz w:val="21"/>
              </w:rPr>
              <w:t>保险金额</w:t>
            </w:r>
          </w:p>
        </w:tc>
        <w:tc>
          <w:tcPr>
            <w:tcW w:w="7631" w:type="dxa"/>
            <w:tcBorders>
              <w:top w:val="single" w:sz="8" w:space="0" w:color="000000"/>
            </w:tcBorders>
          </w:tcPr>
          <w:p>
            <w:pPr>
              <w:pStyle w:val="TableParagraph"/>
              <w:spacing w:before="174"/>
              <w:ind w:left="53"/>
              <w:rPr>
                <w:sz w:val="21"/>
              </w:rPr>
            </w:pPr>
            <w:r>
              <w:rPr>
                <w:sz w:val="21"/>
              </w:rPr>
              <w:t>保险金额是本公司承担给付保险金责任的最高限额。保险金额在保险单中载明。</w:t>
            </w:r>
          </w:p>
        </w:tc>
      </w:tr>
      <w:tr>
        <w:trPr>
          <w:trHeight w:val="552" w:hRule="atLeast"/>
        </w:trPr>
        <w:tc>
          <w:tcPr>
            <w:tcW w:w="537" w:type="dxa"/>
          </w:tcPr>
          <w:p>
            <w:pPr>
              <w:pStyle w:val="TableParagraph"/>
              <w:spacing w:before="147"/>
              <w:ind w:left="57"/>
              <w:rPr>
                <w:rFonts w:ascii="Times New Roman"/>
                <w:b/>
                <w:sz w:val="21"/>
              </w:rPr>
            </w:pPr>
            <w:r>
              <w:rPr>
                <w:rFonts w:ascii="Times New Roman"/>
                <w:b/>
                <w:sz w:val="21"/>
              </w:rPr>
              <w:t>2.2</w:t>
            </w:r>
          </w:p>
        </w:tc>
        <w:tc>
          <w:tcPr>
            <w:tcW w:w="1426" w:type="dxa"/>
          </w:tcPr>
          <w:p>
            <w:pPr>
              <w:pStyle w:val="TableParagraph"/>
              <w:spacing w:before="48"/>
              <w:ind w:left="87"/>
              <w:rPr>
                <w:rFonts w:ascii="Microsoft JhengHei" w:eastAsia="Microsoft JhengHei" w:hint="eastAsia"/>
                <w:b/>
                <w:sz w:val="21"/>
              </w:rPr>
            </w:pPr>
            <w:r>
              <w:rPr>
                <w:rFonts w:ascii="Microsoft JhengHei" w:eastAsia="Microsoft JhengHei" w:hint="eastAsia"/>
                <w:b/>
                <w:sz w:val="21"/>
              </w:rPr>
              <w:t>保险期间</w:t>
            </w:r>
          </w:p>
        </w:tc>
        <w:tc>
          <w:tcPr>
            <w:tcW w:w="7631" w:type="dxa"/>
          </w:tcPr>
          <w:p>
            <w:pPr>
              <w:pStyle w:val="TableParagraph"/>
              <w:spacing w:before="114"/>
              <w:ind w:left="53"/>
              <w:rPr>
                <w:sz w:val="21"/>
              </w:rPr>
            </w:pPr>
            <w:r>
              <w:rPr>
                <w:sz w:val="21"/>
              </w:rPr>
              <w:t>本合同保险期间为一年，最高可续保至 </w:t>
            </w:r>
            <w:r>
              <w:rPr>
                <w:rFonts w:ascii="Times New Roman" w:eastAsia="Times New Roman"/>
                <w:sz w:val="21"/>
              </w:rPr>
              <w:t>22 </w:t>
            </w:r>
            <w:r>
              <w:rPr>
                <w:sz w:val="21"/>
              </w:rPr>
              <w:t>周岁。</w:t>
            </w:r>
          </w:p>
        </w:tc>
      </w:tr>
      <w:tr>
        <w:trPr>
          <w:trHeight w:val="529" w:hRule="atLeast"/>
        </w:trPr>
        <w:tc>
          <w:tcPr>
            <w:tcW w:w="537" w:type="dxa"/>
          </w:tcPr>
          <w:p>
            <w:pPr>
              <w:pStyle w:val="TableParagraph"/>
              <w:spacing w:before="139"/>
              <w:ind w:left="57"/>
              <w:rPr>
                <w:rFonts w:ascii="Times New Roman"/>
                <w:b/>
                <w:sz w:val="21"/>
              </w:rPr>
            </w:pPr>
            <w:r>
              <w:rPr>
                <w:rFonts w:ascii="Times New Roman"/>
                <w:b/>
                <w:sz w:val="21"/>
              </w:rPr>
              <w:t>2.3</w:t>
            </w:r>
          </w:p>
        </w:tc>
        <w:tc>
          <w:tcPr>
            <w:tcW w:w="1426" w:type="dxa"/>
          </w:tcPr>
          <w:p>
            <w:pPr>
              <w:pStyle w:val="TableParagraph"/>
              <w:spacing w:before="40"/>
              <w:ind w:left="87"/>
              <w:rPr>
                <w:rFonts w:ascii="Microsoft JhengHei" w:eastAsia="Microsoft JhengHei" w:hint="eastAsia"/>
                <w:b/>
                <w:sz w:val="21"/>
              </w:rPr>
            </w:pPr>
            <w:r>
              <w:rPr>
                <w:rFonts w:ascii="Microsoft JhengHei" w:eastAsia="Microsoft JhengHei" w:hint="eastAsia"/>
                <w:b/>
                <w:sz w:val="21"/>
              </w:rPr>
              <w:t>保险责任</w:t>
            </w:r>
          </w:p>
        </w:tc>
        <w:tc>
          <w:tcPr>
            <w:tcW w:w="7631" w:type="dxa"/>
          </w:tcPr>
          <w:p>
            <w:pPr>
              <w:pStyle w:val="TableParagraph"/>
              <w:spacing w:before="106"/>
              <w:ind w:left="53"/>
              <w:rPr>
                <w:sz w:val="21"/>
              </w:rPr>
            </w:pPr>
            <w:r>
              <w:rPr>
                <w:sz w:val="21"/>
              </w:rPr>
              <w:t>在本合同保险期间内，本公司承担如下保险责任：</w:t>
            </w:r>
          </w:p>
        </w:tc>
      </w:tr>
      <w:tr>
        <w:trPr>
          <w:trHeight w:val="1333" w:hRule="atLeast"/>
        </w:trPr>
        <w:tc>
          <w:tcPr>
            <w:tcW w:w="537" w:type="dxa"/>
          </w:tcPr>
          <w:p>
            <w:pPr>
              <w:pStyle w:val="TableParagraph"/>
              <w:ind w:left="0"/>
              <w:rPr>
                <w:rFonts w:ascii="Times New Roman"/>
                <w:sz w:val="20"/>
              </w:rPr>
            </w:pPr>
          </w:p>
        </w:tc>
        <w:tc>
          <w:tcPr>
            <w:tcW w:w="1426" w:type="dxa"/>
          </w:tcPr>
          <w:p>
            <w:pPr>
              <w:pStyle w:val="TableParagraph"/>
              <w:spacing w:before="90"/>
              <w:ind w:left="87"/>
              <w:rPr>
                <w:sz w:val="21"/>
              </w:rPr>
            </w:pPr>
            <w:r>
              <w:rPr>
                <w:sz w:val="21"/>
              </w:rPr>
              <w:t>等待期</w:t>
            </w:r>
          </w:p>
        </w:tc>
        <w:tc>
          <w:tcPr>
            <w:tcW w:w="7631" w:type="dxa"/>
          </w:tcPr>
          <w:p>
            <w:pPr>
              <w:pStyle w:val="TableParagraph"/>
              <w:spacing w:line="196" w:lineRule="auto" w:before="89"/>
              <w:ind w:left="53" w:right="220"/>
              <w:jc w:val="both"/>
              <w:rPr>
                <w:sz w:val="21"/>
              </w:rPr>
            </w:pPr>
            <w:r>
              <w:rPr>
                <w:spacing w:val="-6"/>
                <w:sz w:val="21"/>
              </w:rPr>
              <w:t>被保险人在本合同生效之日起 </w:t>
            </w:r>
            <w:r>
              <w:rPr>
                <w:rFonts w:ascii="Times New Roman" w:eastAsia="Times New Roman"/>
                <w:sz w:val="21"/>
              </w:rPr>
              <w:t>30 </w:t>
            </w:r>
            <w:r>
              <w:rPr>
                <w:spacing w:val="-6"/>
                <w:sz w:val="21"/>
              </w:rPr>
              <w:t>天内，由</w:t>
            </w:r>
            <w:r>
              <w:rPr>
                <w:rFonts w:ascii="Microsoft JhengHei" w:eastAsia="Microsoft JhengHei" w:hint="eastAsia"/>
                <w:b/>
                <w:spacing w:val="-6"/>
                <w:sz w:val="21"/>
              </w:rPr>
              <w:t>医院</w:t>
            </w:r>
            <w:r>
              <w:rPr>
                <w:sz w:val="21"/>
              </w:rPr>
              <w:t>（</w:t>
            </w:r>
            <w:r>
              <w:rPr>
                <w:spacing w:val="-13"/>
                <w:sz w:val="21"/>
              </w:rPr>
              <w:t>见释义 </w:t>
            </w:r>
            <w:r>
              <w:rPr>
                <w:rFonts w:ascii="Times New Roman" w:eastAsia="Times New Roman"/>
                <w:spacing w:val="-4"/>
                <w:sz w:val="21"/>
              </w:rPr>
              <w:t>7.3</w:t>
            </w:r>
            <w:r>
              <w:rPr>
                <w:spacing w:val="-4"/>
                <w:sz w:val="21"/>
              </w:rPr>
              <w:t>）</w:t>
            </w:r>
            <w:r>
              <w:rPr>
                <w:spacing w:val="-3"/>
                <w:sz w:val="21"/>
              </w:rPr>
              <w:t>的</w:t>
            </w:r>
            <w:r>
              <w:rPr>
                <w:rFonts w:ascii="Microsoft JhengHei" w:eastAsia="Microsoft JhengHei" w:hint="eastAsia"/>
                <w:b/>
                <w:spacing w:val="-3"/>
                <w:sz w:val="21"/>
              </w:rPr>
              <w:t>专科医生</w:t>
            </w:r>
            <w:r>
              <w:rPr>
                <w:spacing w:val="-3"/>
                <w:sz w:val="21"/>
              </w:rPr>
              <w:t>（见释</w:t>
            </w:r>
            <w:r>
              <w:rPr>
                <w:w w:val="100"/>
                <w:sz w:val="21"/>
              </w:rPr>
              <w:t>义</w:t>
            </w:r>
            <w:r>
              <w:rPr>
                <w:spacing w:val="-53"/>
                <w:sz w:val="21"/>
              </w:rPr>
              <w:t> </w:t>
            </w:r>
            <w:r>
              <w:rPr>
                <w:rFonts w:ascii="Times New Roman" w:eastAsia="Times New Roman"/>
                <w:w w:val="100"/>
                <w:sz w:val="21"/>
              </w:rPr>
              <w:t>7.</w:t>
            </w:r>
            <w:r>
              <w:rPr>
                <w:rFonts w:ascii="Times New Roman" w:eastAsia="Times New Roman"/>
                <w:spacing w:val="-3"/>
                <w:w w:val="100"/>
                <w:sz w:val="21"/>
              </w:rPr>
              <w:t>4</w:t>
            </w:r>
            <w:r>
              <w:rPr>
                <w:w w:val="100"/>
                <w:sz w:val="21"/>
              </w:rPr>
              <w:t>）</w:t>
            </w:r>
            <w:r>
              <w:rPr>
                <w:spacing w:val="-3"/>
                <w:w w:val="100"/>
                <w:sz w:val="21"/>
              </w:rPr>
              <w:t>确诊初次发生本合同所指的</w:t>
            </w:r>
            <w:r>
              <w:rPr>
                <w:rFonts w:ascii="Microsoft JhengHei" w:eastAsia="Microsoft JhengHei" w:hint="eastAsia"/>
                <w:b/>
                <w:w w:val="100"/>
                <w:sz w:val="21"/>
              </w:rPr>
              <w:t>重大疾病</w:t>
            </w:r>
            <w:r>
              <w:rPr>
                <w:spacing w:val="-3"/>
                <w:w w:val="100"/>
                <w:sz w:val="21"/>
              </w:rPr>
              <w:t>（</w:t>
            </w:r>
            <w:r>
              <w:rPr>
                <w:spacing w:val="-2"/>
                <w:w w:val="100"/>
                <w:sz w:val="21"/>
              </w:rPr>
              <w:t>见释义</w:t>
            </w:r>
            <w:r>
              <w:rPr>
                <w:spacing w:val="-53"/>
                <w:sz w:val="21"/>
              </w:rPr>
              <w:t> </w:t>
            </w:r>
            <w:r>
              <w:rPr>
                <w:rFonts w:ascii="Times New Roman" w:eastAsia="Times New Roman"/>
                <w:w w:val="100"/>
                <w:sz w:val="21"/>
              </w:rPr>
              <w:t>7.5</w:t>
            </w:r>
            <w:r>
              <w:rPr>
                <w:spacing w:val="-108"/>
                <w:w w:val="100"/>
                <w:sz w:val="21"/>
              </w:rPr>
              <w:t>）</w:t>
            </w:r>
            <w:r>
              <w:rPr>
                <w:w w:val="100"/>
                <w:sz w:val="21"/>
              </w:rPr>
              <w:t>（</w:t>
            </w:r>
            <w:r>
              <w:rPr>
                <w:spacing w:val="-3"/>
                <w:w w:val="100"/>
                <w:sz w:val="21"/>
              </w:rPr>
              <w:t>无论一种或多种</w:t>
            </w:r>
            <w:r>
              <w:rPr>
                <w:spacing w:val="-108"/>
                <w:w w:val="100"/>
                <w:sz w:val="21"/>
              </w:rPr>
              <w:t>）</w:t>
            </w:r>
            <w:r>
              <w:rPr>
                <w:w w:val="100"/>
                <w:sz w:val="21"/>
              </w:rPr>
              <w:t>，</w:t>
            </w:r>
            <w:r>
              <w:rPr>
                <w:spacing w:val="-3"/>
                <w:sz w:val="21"/>
              </w:rPr>
              <w:t>本公司无息退还您交纳的本合同保险费，同时本合同效力终止。这 </w:t>
            </w:r>
            <w:r>
              <w:rPr>
                <w:rFonts w:ascii="Times New Roman" w:eastAsia="Times New Roman"/>
                <w:sz w:val="21"/>
              </w:rPr>
              <w:t>30</w:t>
            </w:r>
            <w:r>
              <w:rPr>
                <w:rFonts w:ascii="Times New Roman" w:eastAsia="Times New Roman"/>
                <w:spacing w:val="51"/>
                <w:sz w:val="21"/>
              </w:rPr>
              <w:t> </w:t>
            </w:r>
            <w:r>
              <w:rPr>
                <w:spacing w:val="-2"/>
                <w:sz w:val="21"/>
              </w:rPr>
              <w:t>天的时间</w:t>
            </w:r>
          </w:p>
          <w:p>
            <w:pPr>
              <w:pStyle w:val="TableParagraph"/>
              <w:spacing w:line="255" w:lineRule="exact"/>
              <w:ind w:left="53"/>
              <w:jc w:val="both"/>
              <w:rPr>
                <w:sz w:val="21"/>
              </w:rPr>
            </w:pPr>
            <w:r>
              <w:rPr>
                <w:sz w:val="21"/>
              </w:rPr>
              <w:t>称为等待期。您续保本合同时，无等待期。</w:t>
            </w:r>
          </w:p>
        </w:tc>
      </w:tr>
      <w:tr>
        <w:trPr>
          <w:trHeight w:val="1172" w:hRule="atLeast"/>
        </w:trPr>
        <w:tc>
          <w:tcPr>
            <w:tcW w:w="537" w:type="dxa"/>
          </w:tcPr>
          <w:p>
            <w:pPr>
              <w:pStyle w:val="TableParagraph"/>
              <w:ind w:left="0"/>
              <w:rPr>
                <w:rFonts w:ascii="Times New Roman"/>
                <w:sz w:val="20"/>
              </w:rPr>
            </w:pPr>
          </w:p>
        </w:tc>
        <w:tc>
          <w:tcPr>
            <w:tcW w:w="1426" w:type="dxa"/>
          </w:tcPr>
          <w:p>
            <w:pPr>
              <w:pStyle w:val="TableParagraph"/>
              <w:spacing w:before="87"/>
              <w:ind w:left="87" w:right="52"/>
              <w:rPr>
                <w:sz w:val="21"/>
              </w:rPr>
            </w:pPr>
            <w:r>
              <w:rPr>
                <w:sz w:val="21"/>
              </w:rPr>
              <w:t>重大疾病保险金</w:t>
            </w:r>
          </w:p>
        </w:tc>
        <w:tc>
          <w:tcPr>
            <w:tcW w:w="7631" w:type="dxa"/>
          </w:tcPr>
          <w:p>
            <w:pPr>
              <w:pStyle w:val="TableParagraph"/>
              <w:spacing w:line="259" w:lineRule="auto" w:before="42"/>
              <w:ind w:left="53" w:right="326"/>
              <w:jc w:val="both"/>
              <w:rPr>
                <w:sz w:val="21"/>
              </w:rPr>
            </w:pPr>
            <w:r>
              <w:rPr>
                <w:spacing w:val="-1"/>
                <w:sz w:val="21"/>
              </w:rPr>
              <w:t>被保险人因</w:t>
            </w:r>
            <w:r>
              <w:rPr>
                <w:rFonts w:ascii="Microsoft JhengHei" w:eastAsia="Microsoft JhengHei" w:hint="eastAsia"/>
                <w:b/>
                <w:sz w:val="21"/>
              </w:rPr>
              <w:t>意外伤害</w:t>
            </w:r>
            <w:r>
              <w:rPr>
                <w:spacing w:val="-3"/>
                <w:sz w:val="21"/>
              </w:rPr>
              <w:t>（</w:t>
            </w:r>
            <w:r>
              <w:rPr>
                <w:spacing w:val="-2"/>
                <w:sz w:val="21"/>
              </w:rPr>
              <w:t>见释义</w:t>
            </w:r>
            <w:r>
              <w:rPr>
                <w:rFonts w:ascii="Times New Roman" w:eastAsia="Times New Roman"/>
                <w:sz w:val="21"/>
              </w:rPr>
              <w:t>7.6</w:t>
            </w:r>
            <w:r>
              <w:rPr>
                <w:sz w:val="21"/>
              </w:rPr>
              <w:t>）</w:t>
            </w:r>
            <w:r>
              <w:rPr>
                <w:spacing w:val="-3"/>
                <w:sz w:val="21"/>
              </w:rPr>
              <w:t>或于等待期后因疾病，由医院的专科医生确</w:t>
            </w:r>
            <w:r>
              <w:rPr>
                <w:spacing w:val="-3"/>
                <w:w w:val="100"/>
                <w:sz w:val="21"/>
              </w:rPr>
              <w:t>诊初次发生本合同所指的重大疾病（无论一种或多种</w:t>
            </w:r>
            <w:r>
              <w:rPr>
                <w:spacing w:val="-106"/>
                <w:w w:val="100"/>
                <w:sz w:val="21"/>
              </w:rPr>
              <w:t>）</w:t>
            </w:r>
            <w:r>
              <w:rPr>
                <w:spacing w:val="-3"/>
                <w:w w:val="100"/>
                <w:sz w:val="21"/>
              </w:rPr>
              <w:t>，本公司按保险金额给付</w:t>
            </w:r>
            <w:r>
              <w:rPr>
                <w:spacing w:val="-3"/>
                <w:sz w:val="21"/>
              </w:rPr>
              <w:t>重大疾病保险金，本合同终止。本公司给付的重大疾病保险金以一次为限。</w:t>
            </w:r>
          </w:p>
        </w:tc>
      </w:tr>
      <w:tr>
        <w:trPr>
          <w:trHeight w:val="399" w:hRule="atLeast"/>
        </w:trPr>
        <w:tc>
          <w:tcPr>
            <w:tcW w:w="537" w:type="dxa"/>
          </w:tcPr>
          <w:p>
            <w:pPr>
              <w:pStyle w:val="TableParagraph"/>
              <w:spacing w:line="223" w:lineRule="exact" w:before="156"/>
              <w:ind w:left="57"/>
              <w:rPr>
                <w:rFonts w:ascii="Times New Roman"/>
                <w:b/>
                <w:sz w:val="21"/>
              </w:rPr>
            </w:pPr>
            <w:r>
              <w:rPr>
                <w:rFonts w:ascii="Times New Roman"/>
                <w:b/>
                <w:sz w:val="21"/>
              </w:rPr>
              <w:t>2.4</w:t>
            </w:r>
          </w:p>
        </w:tc>
        <w:tc>
          <w:tcPr>
            <w:tcW w:w="1426" w:type="dxa"/>
          </w:tcPr>
          <w:p>
            <w:pPr>
              <w:pStyle w:val="TableParagraph"/>
              <w:spacing w:line="322" w:lineRule="exact" w:before="57"/>
              <w:ind w:left="87"/>
              <w:rPr>
                <w:rFonts w:ascii="Microsoft JhengHei" w:eastAsia="Microsoft JhengHei" w:hint="eastAsia"/>
                <w:b/>
                <w:sz w:val="21"/>
              </w:rPr>
            </w:pPr>
            <w:r>
              <w:rPr>
                <w:rFonts w:ascii="Microsoft JhengHei" w:eastAsia="Microsoft JhengHei" w:hint="eastAsia"/>
                <w:b/>
                <w:sz w:val="21"/>
              </w:rPr>
              <w:t>责任免除</w:t>
            </w:r>
          </w:p>
        </w:tc>
        <w:tc>
          <w:tcPr>
            <w:tcW w:w="7631" w:type="dxa"/>
          </w:tcPr>
          <w:p>
            <w:pPr>
              <w:pStyle w:val="TableParagraph"/>
              <w:spacing w:line="255" w:lineRule="exact" w:before="124"/>
              <w:ind w:left="53"/>
              <w:rPr>
                <w:sz w:val="21"/>
              </w:rPr>
            </w:pPr>
            <w:r>
              <w:rPr>
                <w:sz w:val="21"/>
              </w:rPr>
              <w:t>因下列情形之一，导致被保险人发生本合同所定义的重大疾病的，本公司不承担</w:t>
            </w:r>
          </w:p>
        </w:tc>
      </w:tr>
    </w:tbl>
    <w:p>
      <w:pPr>
        <w:spacing w:after="0" w:line="255" w:lineRule="exact"/>
        <w:rPr>
          <w:sz w:val="21"/>
        </w:rPr>
        <w:sectPr>
          <w:headerReference w:type="default" r:id="rId11"/>
          <w:pgSz w:w="11910" w:h="16840"/>
          <w:pgMar w:header="857" w:footer="683" w:top="1040" w:bottom="880" w:left="1060" w:right="960"/>
        </w:sectPr>
      </w:pPr>
    </w:p>
    <w:p>
      <w:pPr>
        <w:pStyle w:val="BodyText"/>
        <w:spacing w:before="4"/>
        <w:rPr>
          <w:rFonts w:ascii="Times New Roman"/>
          <w:sz w:val="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6"/>
        <w:gridCol w:w="1424"/>
        <w:gridCol w:w="7522"/>
      </w:tblGrid>
      <w:tr>
        <w:trPr>
          <w:trHeight w:val="4982" w:hRule="atLeast"/>
        </w:trPr>
        <w:tc>
          <w:tcPr>
            <w:tcW w:w="616" w:type="dxa"/>
            <w:tcBorders>
              <w:top w:val="single" w:sz="6" w:space="0" w:color="000000"/>
            </w:tcBorders>
          </w:tcPr>
          <w:p>
            <w:pPr>
              <w:pStyle w:val="TableParagraph"/>
              <w:ind w:left="0"/>
              <w:rPr>
                <w:rFonts w:ascii="Times New Roman"/>
                <w:sz w:val="20"/>
              </w:rPr>
            </w:pPr>
          </w:p>
        </w:tc>
        <w:tc>
          <w:tcPr>
            <w:tcW w:w="1424" w:type="dxa"/>
            <w:tcBorders>
              <w:top w:val="single" w:sz="6" w:space="0" w:color="000000"/>
            </w:tcBorders>
          </w:tcPr>
          <w:p>
            <w:pPr>
              <w:pStyle w:val="TableParagraph"/>
              <w:ind w:left="0"/>
              <w:rPr>
                <w:rFonts w:ascii="Times New Roman"/>
                <w:sz w:val="20"/>
              </w:rPr>
            </w:pPr>
          </w:p>
        </w:tc>
        <w:tc>
          <w:tcPr>
            <w:tcW w:w="7522" w:type="dxa"/>
            <w:tcBorders>
              <w:top w:val="single" w:sz="6" w:space="0" w:color="000000"/>
            </w:tcBorders>
          </w:tcPr>
          <w:p>
            <w:pPr>
              <w:pStyle w:val="TableParagraph"/>
              <w:spacing w:before="69"/>
              <w:ind w:left="55"/>
              <w:rPr>
                <w:sz w:val="21"/>
              </w:rPr>
            </w:pPr>
            <w:r>
              <w:rPr>
                <w:sz w:val="21"/>
              </w:rPr>
              <w:t>给付保险金的责任：</w:t>
            </w:r>
          </w:p>
          <w:p>
            <w:pPr>
              <w:pStyle w:val="TableParagraph"/>
              <w:numPr>
                <w:ilvl w:val="0"/>
                <w:numId w:val="5"/>
              </w:numPr>
              <w:tabs>
                <w:tab w:pos="622" w:val="left" w:leader="none"/>
              </w:tabs>
              <w:spacing w:line="240" w:lineRule="auto" w:before="42" w:after="0"/>
              <w:ind w:left="622" w:right="0" w:hanging="567"/>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622" w:val="left" w:leader="none"/>
              </w:tabs>
              <w:spacing w:line="240" w:lineRule="auto" w:before="69" w:after="0"/>
              <w:ind w:left="622" w:right="0" w:hanging="567"/>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5"/>
              </w:numPr>
              <w:tabs>
                <w:tab w:pos="622" w:val="left" w:leader="none"/>
              </w:tabs>
              <w:spacing w:line="240" w:lineRule="auto" w:before="66" w:after="0"/>
              <w:ind w:left="622" w:right="0" w:hanging="567"/>
              <w:jc w:val="left"/>
              <w:rPr>
                <w:rFonts w:ascii="黑体" w:eastAsia="黑体" w:hint="eastAsia"/>
                <w:sz w:val="21"/>
              </w:rPr>
            </w:pPr>
            <w:r>
              <w:rPr>
                <w:rFonts w:ascii="黑体" w:eastAsia="黑体" w:hint="eastAsia"/>
                <w:spacing w:val="-3"/>
                <w:w w:val="100"/>
                <w:sz w:val="21"/>
              </w:rPr>
              <w:t>被保险人故意自伤、主动吸食或注射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5"/>
                <w:sz w:val="21"/>
              </w:rPr>
              <w:t> </w:t>
            </w:r>
            <w:r>
              <w:rPr>
                <w:rFonts w:ascii="Times New Roman" w:eastAsia="Times New Roman"/>
                <w:w w:val="100"/>
                <w:sz w:val="21"/>
              </w:rPr>
              <w:t>7.7</w:t>
            </w:r>
            <w:r>
              <w:rPr>
                <w:rFonts w:ascii="黑体" w:eastAsia="黑体" w:hint="eastAsia"/>
                <w:spacing w:val="-106"/>
                <w:w w:val="100"/>
                <w:sz w:val="21"/>
              </w:rPr>
              <w:t>）；</w:t>
            </w:r>
          </w:p>
          <w:p>
            <w:pPr>
              <w:pStyle w:val="TableParagraph"/>
              <w:numPr>
                <w:ilvl w:val="0"/>
                <w:numId w:val="5"/>
              </w:numPr>
              <w:tabs>
                <w:tab w:pos="622" w:val="left" w:leader="none"/>
              </w:tabs>
              <w:spacing w:line="295" w:lineRule="auto" w:before="69" w:after="0"/>
              <w:ind w:left="622" w:right="195" w:hanging="567"/>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17"/>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8</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无合法有效驾驶证驾驶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16"/>
                <w:sz w:val="21"/>
              </w:rPr>
              <w:t> </w:t>
            </w:r>
            <w:r>
              <w:rPr>
                <w:rFonts w:ascii="Times New Roman" w:eastAsia="Times New Roman"/>
                <w:w w:val="100"/>
                <w:sz w:val="21"/>
              </w:rPr>
              <w:t>7.</w:t>
            </w:r>
            <w:r>
              <w:rPr>
                <w:rFonts w:ascii="Times New Roman" w:eastAsia="Times New Roman"/>
                <w:spacing w:val="-3"/>
                <w:w w:val="100"/>
                <w:sz w:val="21"/>
              </w:rPr>
              <w:t>9</w:t>
            </w:r>
            <w:r>
              <w:rPr>
                <w:rFonts w:ascii="黑体" w:eastAsia="黑体" w:hint="eastAsia"/>
                <w:w w:val="100"/>
                <w:sz w:val="21"/>
              </w:rPr>
              <w:t>）</w:t>
            </w:r>
            <w:r>
              <w:rPr>
                <w:rFonts w:ascii="黑体" w:eastAsia="黑体" w:hint="eastAsia"/>
                <w:sz w:val="21"/>
              </w:rPr>
              <w:t>或驾驶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12"/>
                <w:sz w:val="21"/>
              </w:rPr>
              <w:t>见释义 </w:t>
            </w:r>
            <w:r>
              <w:rPr>
                <w:rFonts w:ascii="Times New Roman" w:eastAsia="Times New Roman"/>
                <w:sz w:val="21"/>
              </w:rPr>
              <w:t>7.10</w:t>
            </w:r>
            <w:r>
              <w:rPr>
                <w:rFonts w:ascii="黑体" w:eastAsia="黑体" w:hint="eastAsia"/>
                <w:sz w:val="21"/>
              </w:rPr>
              <w:t>）</w:t>
            </w:r>
            <w:r>
              <w:rPr>
                <w:rFonts w:ascii="黑体" w:eastAsia="黑体" w:hint="eastAsia"/>
                <w:spacing w:val="-3"/>
                <w:sz w:val="21"/>
              </w:rPr>
              <w:t>的机动车；</w:t>
            </w:r>
          </w:p>
          <w:p>
            <w:pPr>
              <w:pStyle w:val="TableParagraph"/>
              <w:numPr>
                <w:ilvl w:val="0"/>
                <w:numId w:val="5"/>
              </w:numPr>
              <w:tabs>
                <w:tab w:pos="622" w:val="left" w:leader="none"/>
              </w:tabs>
              <w:spacing w:line="240" w:lineRule="auto" w:before="16" w:after="0"/>
              <w:ind w:left="622" w:right="0" w:hanging="567"/>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5"/>
              </w:numPr>
              <w:tabs>
                <w:tab w:pos="622" w:val="left" w:leader="none"/>
              </w:tabs>
              <w:spacing w:line="240" w:lineRule="auto" w:before="67" w:after="0"/>
              <w:ind w:left="622" w:right="0" w:hanging="567"/>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5"/>
              </w:numPr>
              <w:tabs>
                <w:tab w:pos="622" w:val="left" w:leader="none"/>
              </w:tabs>
              <w:spacing w:line="240" w:lineRule="auto" w:before="69" w:after="0"/>
              <w:ind w:left="622" w:right="0" w:hanging="567"/>
              <w:jc w:val="left"/>
              <w:rPr>
                <w:rFonts w:ascii="黑体" w:eastAsia="黑体" w:hint="eastAsia"/>
                <w:sz w:val="21"/>
              </w:rPr>
            </w:pPr>
            <w:r>
              <w:rPr>
                <w:rFonts w:ascii="黑体" w:eastAsia="黑体" w:hint="eastAsia"/>
                <w:b/>
                <w:spacing w:val="-18"/>
                <w:w w:val="100"/>
                <w:sz w:val="21"/>
              </w:rPr>
              <w:t>遗传性疾病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spacing w:val="-8"/>
                <w:w w:val="100"/>
                <w:sz w:val="21"/>
              </w:rPr>
              <w:t>1</w:t>
            </w:r>
            <w:r>
              <w:rPr>
                <w:rFonts w:ascii="Times New Roman" w:eastAsia="Times New Roman"/>
                <w:w w:val="100"/>
                <w:sz w:val="21"/>
              </w:rPr>
              <w:t>1</w:t>
            </w:r>
            <w:r>
              <w:rPr>
                <w:rFonts w:ascii="黑体" w:eastAsia="黑体" w:hint="eastAsia"/>
                <w:spacing w:val="-108"/>
                <w:w w:val="100"/>
                <w:sz w:val="21"/>
              </w:rPr>
              <w:t>）</w:t>
            </w:r>
            <w:r>
              <w:rPr>
                <w:rFonts w:ascii="黑体" w:eastAsia="黑体" w:hint="eastAsia"/>
                <w:spacing w:val="-89"/>
                <w:w w:val="100"/>
                <w:sz w:val="21"/>
              </w:rPr>
              <w:t>，</w:t>
            </w:r>
            <w:r>
              <w:rPr>
                <w:rFonts w:ascii="黑体" w:eastAsia="黑体" w:hint="eastAsia"/>
                <w:b/>
                <w:spacing w:val="-16"/>
                <w:w w:val="100"/>
                <w:sz w:val="21"/>
              </w:rPr>
              <w:t>先天性畸形、变形或染色体异常</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Times New Roman" w:eastAsia="Times New Roman"/>
                <w:w w:val="100"/>
                <w:sz w:val="21"/>
              </w:rPr>
              <w:t>7.12</w:t>
            </w:r>
            <w:r>
              <w:rPr>
                <w:rFonts w:ascii="黑体" w:eastAsia="黑体" w:hint="eastAsia"/>
                <w:spacing w:val="-108"/>
                <w:w w:val="100"/>
                <w:sz w:val="21"/>
              </w:rPr>
              <w:t>）</w:t>
            </w:r>
            <w:r>
              <w:rPr>
                <w:rFonts w:ascii="黑体" w:eastAsia="黑体" w:hint="eastAsia"/>
                <w:w w:val="100"/>
                <w:sz w:val="21"/>
              </w:rPr>
              <w:t>；</w:t>
            </w:r>
          </w:p>
          <w:p>
            <w:pPr>
              <w:pStyle w:val="TableParagraph"/>
              <w:numPr>
                <w:ilvl w:val="0"/>
                <w:numId w:val="5"/>
              </w:numPr>
              <w:tabs>
                <w:tab w:pos="622" w:val="left" w:leader="none"/>
              </w:tabs>
              <w:spacing w:line="297" w:lineRule="auto" w:before="66" w:after="0"/>
              <w:ind w:left="622" w:right="196" w:hanging="567"/>
              <w:jc w:val="left"/>
              <w:rPr>
                <w:sz w:val="21"/>
              </w:rPr>
            </w:pPr>
            <w:r>
              <w:rPr>
                <w:rFonts w:ascii="黑体" w:eastAsia="黑体" w:hint="eastAsia"/>
                <w:spacing w:val="-1"/>
                <w:w w:val="100"/>
                <w:sz w:val="21"/>
              </w:rPr>
              <w:t>被保险人感染艾滋病病毒或患艾滋病</w:t>
            </w:r>
            <w:r>
              <w:rPr>
                <w:w w:val="100"/>
                <w:sz w:val="21"/>
              </w:rPr>
              <w:t>（见释义</w:t>
            </w:r>
            <w:r>
              <w:rPr>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spacing w:val="-1"/>
                <w:w w:val="100"/>
                <w:sz w:val="21"/>
              </w:rPr>
              <w:t>1</w:t>
            </w:r>
            <w:r>
              <w:rPr>
                <w:rFonts w:ascii="Times New Roman" w:eastAsia="Times New Roman"/>
                <w:w w:val="100"/>
                <w:sz w:val="21"/>
              </w:rPr>
              <w:t>3</w:t>
            </w:r>
            <w:r>
              <w:rPr>
                <w:spacing w:val="-104"/>
                <w:w w:val="100"/>
                <w:sz w:val="21"/>
              </w:rPr>
              <w:t>）</w:t>
            </w:r>
            <w:r>
              <w:rPr>
                <w:w w:val="100"/>
                <w:sz w:val="21"/>
              </w:rPr>
              <w:t>（</w:t>
            </w:r>
            <w:r>
              <w:rPr>
                <w:spacing w:val="-1"/>
                <w:w w:val="100"/>
                <w:sz w:val="21"/>
              </w:rPr>
              <w:t>因输血感染艾滋病除外</w:t>
            </w:r>
            <w:r>
              <w:rPr>
                <w:spacing w:val="-108"/>
                <w:w w:val="100"/>
                <w:sz w:val="21"/>
              </w:rPr>
              <w:t>）</w:t>
            </w:r>
            <w:r>
              <w:rPr>
                <w:w w:val="100"/>
                <w:sz w:val="21"/>
              </w:rPr>
              <w:t>；</w:t>
            </w:r>
          </w:p>
          <w:p>
            <w:pPr>
              <w:pStyle w:val="TableParagraph"/>
              <w:numPr>
                <w:ilvl w:val="0"/>
                <w:numId w:val="5"/>
              </w:numPr>
              <w:tabs>
                <w:tab w:pos="622" w:val="left" w:leader="none"/>
              </w:tabs>
              <w:spacing w:line="240" w:lineRule="auto" w:before="31" w:after="0"/>
              <w:ind w:left="622" w:right="0" w:hanging="567"/>
              <w:jc w:val="left"/>
              <w:rPr>
                <w:sz w:val="21"/>
              </w:rPr>
            </w:pPr>
            <w:r>
              <w:rPr>
                <w:rFonts w:ascii="黑体" w:eastAsia="黑体" w:hint="eastAsia"/>
                <w:spacing w:val="-3"/>
                <w:sz w:val="21"/>
              </w:rPr>
              <w:t>由于脊髓灰质炎疫苗引起的脊髓灰质炎</w:t>
            </w:r>
            <w:r>
              <w:rPr>
                <w:color w:val="1F487C"/>
                <w:sz w:val="21"/>
              </w:rPr>
              <w:t>。</w:t>
            </w:r>
          </w:p>
          <w:p>
            <w:pPr>
              <w:pStyle w:val="TableParagraph"/>
              <w:spacing w:line="192" w:lineRule="auto" w:before="78"/>
              <w:ind w:left="55" w:right="196"/>
              <w:rPr>
                <w:sz w:val="21"/>
              </w:rPr>
            </w:pPr>
            <w:r>
              <w:rPr>
                <w:spacing w:val="-7"/>
                <w:sz w:val="21"/>
              </w:rPr>
              <w:t>因上述情形导致被保险人发生本合同定义的重大疾病的，本合同终止，我们向您</w:t>
            </w:r>
            <w:r>
              <w:rPr>
                <w:spacing w:val="-5"/>
                <w:w w:val="100"/>
                <w:sz w:val="21"/>
              </w:rPr>
              <w:t>退还本合同终止之日的</w:t>
            </w:r>
            <w:r>
              <w:rPr>
                <w:rFonts w:ascii="Microsoft JhengHei" w:eastAsia="Microsoft JhengHei" w:hint="eastAsia"/>
                <w:b/>
                <w:w w:val="100"/>
                <w:sz w:val="21"/>
              </w:rPr>
              <w:t>未满期净保费</w:t>
            </w:r>
            <w:r>
              <w:rPr>
                <w:spacing w:val="-2"/>
                <w:w w:val="100"/>
                <w:sz w:val="21"/>
              </w:rPr>
              <w:t>（见释义</w:t>
            </w:r>
            <w:r>
              <w:rPr>
                <w:spacing w:val="-53"/>
                <w:sz w:val="21"/>
              </w:rPr>
              <w:t> </w:t>
            </w:r>
            <w:r>
              <w:rPr>
                <w:rFonts w:ascii="Times New Roman" w:eastAsia="Times New Roman"/>
                <w:w w:val="100"/>
                <w:sz w:val="21"/>
              </w:rPr>
              <w:t>7.</w:t>
            </w:r>
            <w:r>
              <w:rPr>
                <w:rFonts w:ascii="Times New Roman" w:eastAsia="Times New Roman"/>
                <w:spacing w:val="-3"/>
                <w:w w:val="100"/>
                <w:sz w:val="21"/>
              </w:rPr>
              <w:t>1</w:t>
            </w:r>
            <w:r>
              <w:rPr>
                <w:rFonts w:ascii="Times New Roman" w:eastAsia="Times New Roman"/>
                <w:w w:val="100"/>
                <w:sz w:val="21"/>
              </w:rPr>
              <w:t>4</w:t>
            </w:r>
            <w:r>
              <w:rPr>
                <w:spacing w:val="-108"/>
                <w:w w:val="100"/>
                <w:sz w:val="21"/>
              </w:rPr>
              <w:t>）</w:t>
            </w:r>
            <w:r>
              <w:rPr>
                <w:w w:val="100"/>
                <w:sz w:val="21"/>
              </w:rPr>
              <w:t>。</w:t>
            </w:r>
          </w:p>
        </w:tc>
      </w:tr>
      <w:tr>
        <w:trPr>
          <w:trHeight w:val="779" w:hRule="atLeast"/>
        </w:trPr>
        <w:tc>
          <w:tcPr>
            <w:tcW w:w="616" w:type="dxa"/>
          </w:tcPr>
          <w:p>
            <w:pPr>
              <w:pStyle w:val="TableParagraph"/>
              <w:spacing w:before="123"/>
              <w:ind w:left="118" w:right="194"/>
              <w:jc w:val="center"/>
              <w:rPr>
                <w:rFonts w:ascii="Times New Roman"/>
                <w:b/>
                <w:sz w:val="21"/>
              </w:rPr>
            </w:pPr>
            <w:r>
              <w:rPr>
                <w:rFonts w:ascii="Times New Roman"/>
                <w:b/>
                <w:sz w:val="21"/>
              </w:rPr>
              <w:t>2.5</w:t>
            </w:r>
          </w:p>
        </w:tc>
        <w:tc>
          <w:tcPr>
            <w:tcW w:w="1424" w:type="dxa"/>
          </w:tcPr>
          <w:p>
            <w:pPr>
              <w:pStyle w:val="TableParagraph"/>
              <w:spacing w:before="24"/>
              <w:ind w:left="87"/>
              <w:rPr>
                <w:rFonts w:ascii="Microsoft JhengHei" w:eastAsia="Microsoft JhengHei" w:hint="eastAsia"/>
                <w:b/>
                <w:sz w:val="21"/>
              </w:rPr>
            </w:pPr>
            <w:r>
              <w:rPr>
                <w:rFonts w:ascii="Microsoft JhengHei" w:eastAsia="Microsoft JhengHei" w:hint="eastAsia"/>
                <w:b/>
                <w:sz w:val="21"/>
              </w:rPr>
              <w:t>保证续保期间</w:t>
            </w:r>
          </w:p>
        </w:tc>
        <w:tc>
          <w:tcPr>
            <w:tcW w:w="7522" w:type="dxa"/>
          </w:tcPr>
          <w:p>
            <w:pPr>
              <w:pStyle w:val="TableParagraph"/>
              <w:spacing w:line="225" w:lineRule="auto" w:before="108"/>
              <w:ind w:left="55" w:right="198"/>
              <w:rPr>
                <w:sz w:val="21"/>
              </w:rPr>
            </w:pPr>
            <w:r>
              <w:rPr>
                <w:sz w:val="21"/>
              </w:rPr>
              <w:t>自您首次投保本合同或非连续投保本合同的生效日起，每 </w:t>
            </w:r>
            <w:r>
              <w:rPr>
                <w:rFonts w:ascii="Times New Roman" w:eastAsia="Times New Roman"/>
                <w:sz w:val="21"/>
              </w:rPr>
              <w:t>5 </w:t>
            </w:r>
            <w:r>
              <w:rPr>
                <w:sz w:val="21"/>
              </w:rPr>
              <w:t>年为一保证续保期间，在保证续保期间内您享有保证续保权。</w:t>
            </w:r>
          </w:p>
        </w:tc>
      </w:tr>
      <w:tr>
        <w:trPr>
          <w:trHeight w:val="1058" w:hRule="atLeast"/>
        </w:trPr>
        <w:tc>
          <w:tcPr>
            <w:tcW w:w="616" w:type="dxa"/>
          </w:tcPr>
          <w:p>
            <w:pPr>
              <w:pStyle w:val="TableParagraph"/>
              <w:spacing w:before="131"/>
              <w:ind w:left="118" w:right="194"/>
              <w:jc w:val="center"/>
              <w:rPr>
                <w:rFonts w:ascii="Times New Roman"/>
                <w:b/>
                <w:sz w:val="21"/>
              </w:rPr>
            </w:pPr>
            <w:r>
              <w:rPr>
                <w:rFonts w:ascii="Times New Roman"/>
                <w:b/>
                <w:sz w:val="21"/>
              </w:rPr>
              <w:t>2.6</w:t>
            </w:r>
          </w:p>
        </w:tc>
        <w:tc>
          <w:tcPr>
            <w:tcW w:w="1424" w:type="dxa"/>
          </w:tcPr>
          <w:p>
            <w:pPr>
              <w:pStyle w:val="TableParagraph"/>
              <w:spacing w:before="32"/>
              <w:ind w:left="87"/>
              <w:rPr>
                <w:rFonts w:ascii="Microsoft JhengHei" w:eastAsia="Microsoft JhengHei" w:hint="eastAsia"/>
                <w:b/>
                <w:sz w:val="21"/>
              </w:rPr>
            </w:pPr>
            <w:r>
              <w:rPr>
                <w:rFonts w:ascii="Microsoft JhengHei" w:eastAsia="Microsoft JhengHei" w:hint="eastAsia"/>
                <w:b/>
                <w:sz w:val="21"/>
              </w:rPr>
              <w:t>保证续保</w:t>
            </w:r>
          </w:p>
        </w:tc>
        <w:tc>
          <w:tcPr>
            <w:tcW w:w="7522" w:type="dxa"/>
          </w:tcPr>
          <w:p>
            <w:pPr>
              <w:pStyle w:val="TableParagraph"/>
              <w:spacing w:line="230" w:lineRule="auto" w:before="111"/>
              <w:ind w:left="55" w:right="193"/>
              <w:jc w:val="both"/>
              <w:rPr>
                <w:sz w:val="21"/>
              </w:rPr>
            </w:pPr>
            <w:r>
              <w:rPr>
                <w:spacing w:val="-5"/>
                <w:sz w:val="21"/>
              </w:rPr>
              <w:t>在保证续保期间内，您在本合同届满前 </w:t>
            </w:r>
            <w:r>
              <w:rPr>
                <w:rFonts w:ascii="Times New Roman" w:eastAsia="Times New Roman"/>
                <w:sz w:val="21"/>
              </w:rPr>
              <w:t>30 </w:t>
            </w:r>
            <w:r>
              <w:rPr>
                <w:spacing w:val="-3"/>
                <w:sz w:val="21"/>
              </w:rPr>
              <w:t>日前未提出不续保申请，本公司视为</w:t>
            </w:r>
            <w:r>
              <w:rPr>
                <w:spacing w:val="-9"/>
                <w:sz w:val="21"/>
              </w:rPr>
              <w:t>您已申请续保本合同，本公司将提供保证续保。您应于每个保险期间届满时，按</w:t>
            </w:r>
            <w:r>
              <w:rPr>
                <w:spacing w:val="-5"/>
                <w:sz w:val="21"/>
              </w:rPr>
              <w:t>续保时对应的费率向本公司支付保险费。</w:t>
            </w:r>
          </w:p>
        </w:tc>
      </w:tr>
      <w:tr>
        <w:trPr>
          <w:trHeight w:val="1910" w:hRule="atLeast"/>
        </w:trPr>
        <w:tc>
          <w:tcPr>
            <w:tcW w:w="616" w:type="dxa"/>
          </w:tcPr>
          <w:p>
            <w:pPr>
              <w:pStyle w:val="TableParagraph"/>
              <w:spacing w:before="131"/>
              <w:ind w:left="118" w:right="194"/>
              <w:jc w:val="center"/>
              <w:rPr>
                <w:rFonts w:ascii="Times New Roman"/>
                <w:b/>
                <w:sz w:val="21"/>
              </w:rPr>
            </w:pPr>
            <w:r>
              <w:rPr>
                <w:rFonts w:ascii="Times New Roman"/>
                <w:b/>
                <w:sz w:val="21"/>
              </w:rPr>
              <w:t>2.7</w:t>
            </w:r>
          </w:p>
        </w:tc>
        <w:tc>
          <w:tcPr>
            <w:tcW w:w="1424" w:type="dxa"/>
          </w:tcPr>
          <w:p>
            <w:pPr>
              <w:pStyle w:val="TableParagraph"/>
              <w:spacing w:line="177" w:lineRule="auto" w:before="127"/>
              <w:ind w:left="87" w:right="67"/>
              <w:rPr>
                <w:rFonts w:ascii="Microsoft JhengHei" w:eastAsia="Microsoft JhengHei" w:hint="eastAsia"/>
                <w:b/>
                <w:sz w:val="21"/>
              </w:rPr>
            </w:pPr>
            <w:r>
              <w:rPr>
                <w:rFonts w:ascii="Microsoft JhengHei" w:eastAsia="Microsoft JhengHei" w:hint="eastAsia"/>
                <w:b/>
                <w:sz w:val="21"/>
              </w:rPr>
              <w:t>保证续保期间届满后的续保</w:t>
            </w:r>
          </w:p>
        </w:tc>
        <w:tc>
          <w:tcPr>
            <w:tcW w:w="7522" w:type="dxa"/>
          </w:tcPr>
          <w:p>
            <w:pPr>
              <w:pStyle w:val="TableParagraph"/>
              <w:spacing w:line="223" w:lineRule="auto" w:before="119"/>
              <w:ind w:left="55" w:right="141"/>
              <w:rPr>
                <w:sz w:val="21"/>
              </w:rPr>
            </w:pPr>
            <w:r>
              <w:rPr>
                <w:sz w:val="21"/>
              </w:rPr>
              <w:t>保证续保期间届满时，您在本合同届满前 </w:t>
            </w:r>
            <w:r>
              <w:rPr>
                <w:rFonts w:ascii="Times New Roman" w:eastAsia="Times New Roman"/>
                <w:sz w:val="21"/>
              </w:rPr>
              <w:t>30 </w:t>
            </w:r>
            <w:r>
              <w:rPr>
                <w:sz w:val="21"/>
              </w:rPr>
              <w:t>日前未提出不续保申请，本公司视为您已申请续保本合同，本公司会审核被保险人是否符合续保条件。</w:t>
            </w:r>
          </w:p>
          <w:p>
            <w:pPr>
              <w:pStyle w:val="TableParagraph"/>
              <w:spacing w:line="237" w:lineRule="auto" w:before="1"/>
              <w:ind w:left="55" w:right="193"/>
              <w:rPr>
                <w:sz w:val="21"/>
              </w:rPr>
            </w:pPr>
            <w:r>
              <w:rPr>
                <w:spacing w:val="-9"/>
                <w:sz w:val="21"/>
              </w:rPr>
              <w:t>如果本公司审核同意您续保，则进入下一个保证续保期间，您应于每个保险期间</w:t>
            </w:r>
            <w:r>
              <w:rPr>
                <w:spacing w:val="-5"/>
                <w:sz w:val="21"/>
              </w:rPr>
              <w:t>届满时，按续保时对应的费率向本公司支付保险费，本合同将延续有效。</w:t>
            </w:r>
          </w:p>
          <w:p>
            <w:pPr>
              <w:pStyle w:val="TableParagraph"/>
              <w:spacing w:line="237" w:lineRule="auto" w:before="1"/>
              <w:ind w:left="55" w:right="195"/>
              <w:rPr>
                <w:sz w:val="21"/>
              </w:rPr>
            </w:pPr>
            <w:r>
              <w:rPr>
                <w:spacing w:val="-8"/>
                <w:sz w:val="21"/>
              </w:rPr>
              <w:t>如果本公司不接受续保或须附加条件续保，本公司会在本合同保险期间届满前以</w:t>
            </w:r>
            <w:r>
              <w:rPr>
                <w:spacing w:val="-5"/>
                <w:sz w:val="21"/>
              </w:rPr>
              <w:t>书面形式通知您。</w:t>
            </w:r>
          </w:p>
        </w:tc>
      </w:tr>
      <w:tr>
        <w:trPr>
          <w:trHeight w:val="720" w:hRule="atLeast"/>
        </w:trPr>
        <w:tc>
          <w:tcPr>
            <w:tcW w:w="616" w:type="dxa"/>
            <w:tcBorders>
              <w:bottom w:val="single" w:sz="8" w:space="0" w:color="000000"/>
            </w:tcBorders>
          </w:tcPr>
          <w:p>
            <w:pPr>
              <w:pStyle w:val="TableParagraph"/>
              <w:spacing w:before="133"/>
              <w:ind w:left="49"/>
              <w:jc w:val="center"/>
              <w:rPr>
                <w:rFonts w:ascii="Arial" w:hAnsi="Arial"/>
                <w:b/>
                <w:sz w:val="44"/>
              </w:rPr>
            </w:pPr>
            <w:r>
              <w:rPr>
                <w:rFonts w:ascii="Arial" w:hAnsi="Arial"/>
                <w:b/>
                <w:w w:val="118"/>
                <w:sz w:val="44"/>
              </w:rPr>
              <w:t></w:t>
            </w:r>
          </w:p>
        </w:tc>
        <w:tc>
          <w:tcPr>
            <w:tcW w:w="8946" w:type="dxa"/>
            <w:gridSpan w:val="2"/>
            <w:tcBorders>
              <w:bottom w:val="single" w:sz="8" w:space="0" w:color="000000"/>
            </w:tcBorders>
          </w:tcPr>
          <w:p>
            <w:pPr>
              <w:pStyle w:val="TableParagraph"/>
              <w:spacing w:before="141"/>
              <w:ind w:left="87"/>
              <w:rPr>
                <w:rFonts w:ascii="Microsoft JhengHei" w:eastAsia="Microsoft JhengHei" w:hint="eastAsia"/>
                <w:b/>
                <w:sz w:val="24"/>
              </w:rPr>
            </w:pPr>
            <w:r>
              <w:rPr>
                <w:rFonts w:ascii="Microsoft JhengHei" w:eastAsia="Microsoft JhengHei" w:hint="eastAsia"/>
                <w:b/>
                <w:sz w:val="24"/>
              </w:rPr>
              <w:t>如何申请领取保险金</w:t>
            </w:r>
          </w:p>
        </w:tc>
      </w:tr>
      <w:tr>
        <w:trPr>
          <w:trHeight w:val="604" w:hRule="atLeast"/>
        </w:trPr>
        <w:tc>
          <w:tcPr>
            <w:tcW w:w="616" w:type="dxa"/>
            <w:tcBorders>
              <w:top w:val="single" w:sz="8" w:space="0" w:color="000000"/>
            </w:tcBorders>
          </w:tcPr>
          <w:p>
            <w:pPr>
              <w:pStyle w:val="TableParagraph"/>
              <w:spacing w:before="11"/>
              <w:ind w:left="0"/>
              <w:rPr>
                <w:rFonts w:ascii="Times New Roman"/>
                <w:sz w:val="17"/>
              </w:rPr>
            </w:pPr>
          </w:p>
          <w:p>
            <w:pPr>
              <w:pStyle w:val="TableParagraph"/>
              <w:ind w:left="118" w:right="194"/>
              <w:jc w:val="center"/>
              <w:rPr>
                <w:rFonts w:ascii="Times New Roman"/>
                <w:b/>
                <w:sz w:val="21"/>
              </w:rPr>
            </w:pPr>
            <w:r>
              <w:rPr>
                <w:rFonts w:ascii="Times New Roman"/>
                <w:b/>
                <w:sz w:val="21"/>
              </w:rPr>
              <w:t>3.1</w:t>
            </w:r>
          </w:p>
        </w:tc>
        <w:tc>
          <w:tcPr>
            <w:tcW w:w="1424" w:type="dxa"/>
            <w:tcBorders>
              <w:top w:val="single" w:sz="8" w:space="0" w:color="000000"/>
            </w:tcBorders>
          </w:tcPr>
          <w:p>
            <w:pPr>
              <w:pStyle w:val="TableParagraph"/>
              <w:spacing w:before="107"/>
              <w:ind w:left="87"/>
              <w:rPr>
                <w:rFonts w:ascii="Microsoft JhengHei" w:eastAsia="Microsoft JhengHei" w:hint="eastAsia"/>
                <w:b/>
                <w:sz w:val="21"/>
              </w:rPr>
            </w:pPr>
            <w:r>
              <w:rPr>
                <w:rFonts w:ascii="Microsoft JhengHei" w:eastAsia="Microsoft JhengHei" w:hint="eastAsia"/>
                <w:b/>
                <w:sz w:val="21"/>
              </w:rPr>
              <w:t>保险金受益人</w:t>
            </w:r>
          </w:p>
        </w:tc>
        <w:tc>
          <w:tcPr>
            <w:tcW w:w="7522" w:type="dxa"/>
            <w:tcBorders>
              <w:top w:val="single" w:sz="8" w:space="0" w:color="000000"/>
            </w:tcBorders>
          </w:tcPr>
          <w:p>
            <w:pPr>
              <w:pStyle w:val="TableParagraph"/>
              <w:spacing w:before="174"/>
              <w:ind w:left="55"/>
              <w:rPr>
                <w:sz w:val="21"/>
              </w:rPr>
            </w:pPr>
            <w:r>
              <w:rPr>
                <w:sz w:val="21"/>
              </w:rPr>
              <w:t>除另有约定外，本合同重大疾病保险金的受益人为被保险人本人。</w:t>
            </w:r>
          </w:p>
        </w:tc>
      </w:tr>
      <w:tr>
        <w:trPr>
          <w:trHeight w:val="1629" w:hRule="atLeast"/>
        </w:trPr>
        <w:tc>
          <w:tcPr>
            <w:tcW w:w="616" w:type="dxa"/>
          </w:tcPr>
          <w:p>
            <w:pPr>
              <w:pStyle w:val="TableParagraph"/>
              <w:spacing w:before="147"/>
              <w:ind w:left="118" w:right="194"/>
              <w:jc w:val="center"/>
              <w:rPr>
                <w:rFonts w:ascii="Times New Roman"/>
                <w:b/>
                <w:sz w:val="21"/>
              </w:rPr>
            </w:pPr>
            <w:r>
              <w:rPr>
                <w:rFonts w:ascii="Times New Roman"/>
                <w:b/>
                <w:sz w:val="21"/>
              </w:rPr>
              <w:t>3.2</w:t>
            </w:r>
          </w:p>
        </w:tc>
        <w:tc>
          <w:tcPr>
            <w:tcW w:w="1424" w:type="dxa"/>
          </w:tcPr>
          <w:p>
            <w:pPr>
              <w:pStyle w:val="TableParagraph"/>
              <w:spacing w:before="48"/>
              <w:ind w:left="87"/>
              <w:rPr>
                <w:rFonts w:ascii="Microsoft JhengHei" w:eastAsia="Microsoft JhengHei" w:hint="eastAsia"/>
                <w:b/>
                <w:sz w:val="21"/>
              </w:rPr>
            </w:pPr>
            <w:r>
              <w:rPr>
                <w:rFonts w:ascii="Microsoft JhengHei" w:eastAsia="Microsoft JhengHei" w:hint="eastAsia"/>
                <w:b/>
                <w:sz w:val="21"/>
              </w:rPr>
              <w:t>保险事故通知</w:t>
            </w:r>
          </w:p>
        </w:tc>
        <w:tc>
          <w:tcPr>
            <w:tcW w:w="7522" w:type="dxa"/>
          </w:tcPr>
          <w:p>
            <w:pPr>
              <w:pStyle w:val="TableParagraph"/>
              <w:spacing w:line="180" w:lineRule="auto" w:before="139"/>
              <w:ind w:left="55" w:right="198"/>
              <w:jc w:val="both"/>
              <w:rPr>
                <w:sz w:val="21"/>
              </w:rPr>
            </w:pPr>
            <w:r>
              <w:rPr>
                <w:spacing w:val="-5"/>
                <w:sz w:val="21"/>
              </w:rPr>
              <w:t>您或被保险人应在知道保险事故发生之日起 </w:t>
            </w:r>
            <w:r>
              <w:rPr>
                <w:rFonts w:ascii="Times New Roman" w:eastAsia="Times New Roman"/>
                <w:sz w:val="21"/>
              </w:rPr>
              <w:t>10 </w:t>
            </w:r>
            <w:r>
              <w:rPr>
                <w:spacing w:val="-3"/>
                <w:sz w:val="21"/>
              </w:rPr>
              <w:t>日内通知本公司。</w:t>
            </w:r>
            <w:r>
              <w:rPr>
                <w:rFonts w:ascii="Microsoft JhengHei" w:eastAsia="Microsoft JhengHei" w:hint="eastAsia"/>
                <w:b/>
                <w:spacing w:val="-1"/>
                <w:sz w:val="21"/>
              </w:rPr>
              <w:t>如果您或受益人故意或者因重大过失未及时通知，致使保险事故的性质、原因、损失程度等</w:t>
            </w:r>
            <w:r>
              <w:rPr>
                <w:rFonts w:ascii="Microsoft JhengHei" w:eastAsia="Microsoft JhengHei" w:hint="eastAsia"/>
                <w:b/>
                <w:sz w:val="21"/>
              </w:rPr>
              <w:t>难以确定的，我们对无法确定的部分，不承担给付保险金的责任，</w:t>
            </w:r>
            <w:r>
              <w:rPr>
                <w:sz w:val="21"/>
              </w:rPr>
              <w:t>但我们通过</w:t>
            </w:r>
          </w:p>
          <w:p>
            <w:pPr>
              <w:pStyle w:val="TableParagraph"/>
              <w:spacing w:line="247" w:lineRule="exact"/>
              <w:ind w:left="55"/>
              <w:jc w:val="both"/>
              <w:rPr>
                <w:sz w:val="21"/>
              </w:rPr>
            </w:pPr>
            <w:r>
              <w:rPr>
                <w:sz w:val="21"/>
              </w:rPr>
              <w:t>其他途径已经及时知道或者应当及时知道保险事故发生或者虽未及时通知但不</w:t>
            </w:r>
          </w:p>
          <w:p>
            <w:pPr>
              <w:pStyle w:val="TableParagraph"/>
              <w:spacing w:line="274" w:lineRule="exact"/>
              <w:ind w:left="55"/>
              <w:jc w:val="both"/>
              <w:rPr>
                <w:sz w:val="21"/>
              </w:rPr>
            </w:pPr>
            <w:r>
              <w:rPr>
                <w:sz w:val="21"/>
              </w:rPr>
              <w:t>影响我们确定保险事故的性质、原因、损失程度的除外。</w:t>
            </w:r>
          </w:p>
        </w:tc>
      </w:tr>
      <w:tr>
        <w:trPr>
          <w:trHeight w:val="416" w:hRule="atLeast"/>
        </w:trPr>
        <w:tc>
          <w:tcPr>
            <w:tcW w:w="616" w:type="dxa"/>
          </w:tcPr>
          <w:p>
            <w:pPr>
              <w:pStyle w:val="TableParagraph"/>
              <w:spacing w:before="142"/>
              <w:ind w:left="118" w:right="193"/>
              <w:jc w:val="center"/>
              <w:rPr>
                <w:rFonts w:ascii="Times New Roman"/>
                <w:b/>
                <w:sz w:val="21"/>
              </w:rPr>
            </w:pPr>
            <w:r>
              <w:rPr>
                <w:rFonts w:ascii="Times New Roman"/>
                <w:b/>
                <w:sz w:val="21"/>
              </w:rPr>
              <w:t>3.3</w:t>
            </w:r>
          </w:p>
        </w:tc>
        <w:tc>
          <w:tcPr>
            <w:tcW w:w="1424" w:type="dxa"/>
          </w:tcPr>
          <w:p>
            <w:pPr>
              <w:pStyle w:val="TableParagraph"/>
              <w:spacing w:line="353" w:lineRule="exact" w:before="43"/>
              <w:ind w:left="87"/>
              <w:rPr>
                <w:rFonts w:ascii="Microsoft JhengHei" w:eastAsia="Microsoft JhengHei" w:hint="eastAsia"/>
                <w:b/>
                <w:sz w:val="21"/>
              </w:rPr>
            </w:pPr>
            <w:r>
              <w:rPr>
                <w:rFonts w:ascii="Microsoft JhengHei" w:eastAsia="Microsoft JhengHei" w:hint="eastAsia"/>
                <w:b/>
                <w:sz w:val="21"/>
              </w:rPr>
              <w:t>保险金申请</w:t>
            </w:r>
          </w:p>
        </w:tc>
        <w:tc>
          <w:tcPr>
            <w:tcW w:w="7522" w:type="dxa"/>
          </w:tcPr>
          <w:p>
            <w:pPr>
              <w:pStyle w:val="TableParagraph"/>
              <w:spacing w:before="110"/>
              <w:ind w:left="55"/>
              <w:rPr>
                <w:sz w:val="21"/>
              </w:rPr>
            </w:pPr>
            <w:r>
              <w:rPr>
                <w:sz w:val="21"/>
              </w:rPr>
              <w:t>在申请保险金时，请按照下列方式办理：</w:t>
            </w:r>
          </w:p>
        </w:tc>
      </w:tr>
      <w:tr>
        <w:trPr>
          <w:trHeight w:val="2148" w:hRule="atLeast"/>
        </w:trPr>
        <w:tc>
          <w:tcPr>
            <w:tcW w:w="616" w:type="dxa"/>
          </w:tcPr>
          <w:p>
            <w:pPr>
              <w:pStyle w:val="TableParagraph"/>
              <w:ind w:left="0"/>
              <w:rPr>
                <w:rFonts w:ascii="Times New Roman"/>
                <w:sz w:val="20"/>
              </w:rPr>
            </w:pPr>
          </w:p>
        </w:tc>
        <w:tc>
          <w:tcPr>
            <w:tcW w:w="1424" w:type="dxa"/>
          </w:tcPr>
          <w:p>
            <w:pPr>
              <w:pStyle w:val="TableParagraph"/>
              <w:spacing w:line="241" w:lineRule="exact"/>
              <w:ind w:left="87"/>
              <w:rPr>
                <w:sz w:val="21"/>
              </w:rPr>
            </w:pPr>
            <w:r>
              <w:rPr>
                <w:sz w:val="21"/>
              </w:rPr>
              <w:t>重大疾病保险</w:t>
            </w:r>
          </w:p>
          <w:p>
            <w:pPr>
              <w:pStyle w:val="TableParagraph"/>
              <w:spacing w:line="273" w:lineRule="exact"/>
              <w:ind w:left="87"/>
              <w:rPr>
                <w:sz w:val="21"/>
              </w:rPr>
            </w:pPr>
            <w:r>
              <w:rPr>
                <w:sz w:val="21"/>
              </w:rPr>
              <w:t>金申请</w:t>
            </w:r>
          </w:p>
        </w:tc>
        <w:tc>
          <w:tcPr>
            <w:tcW w:w="7522" w:type="dxa"/>
          </w:tcPr>
          <w:p>
            <w:pPr>
              <w:pStyle w:val="TableParagraph"/>
              <w:spacing w:line="241" w:lineRule="exact"/>
              <w:ind w:left="55"/>
              <w:rPr>
                <w:sz w:val="21"/>
              </w:rPr>
            </w:pPr>
            <w:r>
              <w:rPr>
                <w:sz w:val="21"/>
              </w:rPr>
              <w:t>申请人须填写保险金给付申请书，并须提供下列证明和资料：</w:t>
            </w:r>
          </w:p>
          <w:p>
            <w:pPr>
              <w:pStyle w:val="TableParagraph"/>
              <w:spacing w:line="280" w:lineRule="exact"/>
              <w:ind w:left="55"/>
              <w:rPr>
                <w:sz w:val="21"/>
              </w:rPr>
            </w:pPr>
            <w:r>
              <w:rPr>
                <w:sz w:val="21"/>
              </w:rPr>
              <w:t>（</w:t>
            </w:r>
            <w:r>
              <w:rPr>
                <w:rFonts w:ascii="Times New Roman" w:eastAsia="Times New Roman"/>
                <w:sz w:val="21"/>
              </w:rPr>
              <w:t>1</w:t>
            </w:r>
            <w:r>
              <w:rPr>
                <w:sz w:val="21"/>
              </w:rPr>
              <w:t>）本合同原件；</w:t>
            </w:r>
          </w:p>
          <w:p>
            <w:pPr>
              <w:pStyle w:val="TableParagraph"/>
              <w:spacing w:line="272" w:lineRule="exact"/>
              <w:ind w:left="55"/>
              <w:rPr>
                <w:sz w:val="21"/>
              </w:rPr>
            </w:pPr>
            <w:r>
              <w:rPr>
                <w:sz w:val="21"/>
              </w:rPr>
              <w:t>（</w:t>
            </w:r>
            <w:r>
              <w:rPr>
                <w:rFonts w:ascii="Times New Roman" w:eastAsia="Times New Roman"/>
                <w:sz w:val="21"/>
              </w:rPr>
              <w:t>2</w:t>
            </w:r>
            <w:r>
              <w:rPr>
                <w:sz w:val="21"/>
              </w:rPr>
              <w:t>）受益人的有效身份证件；</w:t>
            </w:r>
          </w:p>
          <w:p>
            <w:pPr>
              <w:pStyle w:val="TableParagraph"/>
              <w:spacing w:line="225" w:lineRule="auto" w:before="7"/>
              <w:ind w:left="55" w:right="138"/>
              <w:rPr>
                <w:sz w:val="21"/>
              </w:rPr>
            </w:pPr>
            <w:r>
              <w:rPr>
                <w:sz w:val="21"/>
              </w:rPr>
              <w:t>（</w:t>
            </w:r>
            <w:r>
              <w:rPr>
                <w:rFonts w:ascii="Times New Roman" w:eastAsia="Times New Roman"/>
                <w:sz w:val="21"/>
              </w:rPr>
              <w:t>3</w:t>
            </w:r>
            <w:r>
              <w:rPr>
                <w:sz w:val="21"/>
              </w:rPr>
              <w:t>）由医院专科医生出具的诊断证明书</w:t>
            </w:r>
            <w:r>
              <w:rPr>
                <w:rFonts w:ascii="Times New Roman" w:eastAsia="Times New Roman"/>
                <w:sz w:val="21"/>
              </w:rPr>
              <w:t>(</w:t>
            </w:r>
            <w:r>
              <w:rPr>
                <w:sz w:val="21"/>
              </w:rPr>
              <w:t>包括：完整病历、出院小结、病理组织检查报告、血液检查、其他科学方法检验报告的病史资料及疾病诊断报告书</w:t>
            </w:r>
            <w:r>
              <w:rPr>
                <w:rFonts w:ascii="Times New Roman" w:eastAsia="Times New Roman"/>
                <w:sz w:val="21"/>
              </w:rPr>
              <w:t>)</w:t>
            </w:r>
            <w:r>
              <w:rPr>
                <w:sz w:val="21"/>
              </w:rPr>
              <w:t>；</w:t>
            </w:r>
          </w:p>
          <w:p>
            <w:pPr>
              <w:pStyle w:val="TableParagraph"/>
              <w:spacing w:line="263" w:lineRule="exact"/>
              <w:ind w:left="55"/>
              <w:rPr>
                <w:sz w:val="21"/>
              </w:rPr>
            </w:pPr>
            <w:r>
              <w:rPr>
                <w:sz w:val="21"/>
              </w:rPr>
              <w:t>（</w:t>
            </w:r>
            <w:r>
              <w:rPr>
                <w:rFonts w:ascii="Times New Roman" w:eastAsia="Times New Roman"/>
                <w:sz w:val="21"/>
              </w:rPr>
              <w:t>4</w:t>
            </w:r>
            <w:r>
              <w:rPr>
                <w:sz w:val="21"/>
              </w:rPr>
              <w:t>）所能提供的与确认保险事故的性质、原因等有关的其他证明和资料。</w:t>
            </w:r>
          </w:p>
          <w:p>
            <w:pPr>
              <w:pStyle w:val="TableParagraph"/>
              <w:spacing w:line="272" w:lineRule="exact" w:before="19"/>
              <w:ind w:left="55" w:right="193"/>
              <w:rPr>
                <w:sz w:val="21"/>
              </w:rPr>
            </w:pPr>
            <w:r>
              <w:rPr>
                <w:spacing w:val="-10"/>
                <w:sz w:val="21"/>
              </w:rPr>
              <w:t>以上保险金申请，若办理人为委托代理人，需提供授权委托书、代理人有效身份</w:t>
            </w:r>
            <w:r>
              <w:rPr>
                <w:spacing w:val="-5"/>
                <w:sz w:val="21"/>
              </w:rPr>
              <w:t>证件等文件。</w:t>
            </w:r>
          </w:p>
        </w:tc>
      </w:tr>
    </w:tbl>
    <w:p>
      <w:pPr>
        <w:spacing w:after="0" w:line="272" w:lineRule="exact"/>
        <w:rPr>
          <w:sz w:val="21"/>
        </w:rPr>
        <w:sectPr>
          <w:pgSz w:w="11910" w:h="16840"/>
          <w:pgMar w:header="857" w:footer="683" w:top="1040" w:bottom="880" w:left="1060" w:right="1060"/>
        </w:sectPr>
      </w:pPr>
    </w:p>
    <w:p>
      <w:pPr>
        <w:pStyle w:val="BodyText"/>
        <w:spacing w:before="4"/>
        <w:rPr>
          <w:rFonts w:ascii="Times New Roman"/>
          <w:sz w:val="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6"/>
        <w:gridCol w:w="1417"/>
        <w:gridCol w:w="7528"/>
      </w:tblGrid>
      <w:tr>
        <w:trPr>
          <w:trHeight w:val="770" w:hRule="atLeast"/>
        </w:trPr>
        <w:tc>
          <w:tcPr>
            <w:tcW w:w="616" w:type="dxa"/>
            <w:tcBorders>
              <w:top w:val="single" w:sz="6" w:space="0" w:color="000000"/>
            </w:tcBorders>
          </w:tcPr>
          <w:p>
            <w:pPr>
              <w:pStyle w:val="TableParagraph"/>
              <w:ind w:left="0"/>
              <w:rPr>
                <w:rFonts w:ascii="Times New Roman"/>
                <w:sz w:val="20"/>
              </w:rPr>
            </w:pPr>
          </w:p>
        </w:tc>
        <w:tc>
          <w:tcPr>
            <w:tcW w:w="1417" w:type="dxa"/>
            <w:tcBorders>
              <w:top w:val="single" w:sz="6" w:space="0" w:color="000000"/>
            </w:tcBorders>
          </w:tcPr>
          <w:p>
            <w:pPr>
              <w:pStyle w:val="TableParagraph"/>
              <w:ind w:left="0"/>
              <w:rPr>
                <w:rFonts w:ascii="Times New Roman"/>
                <w:sz w:val="20"/>
              </w:rPr>
            </w:pPr>
          </w:p>
        </w:tc>
        <w:tc>
          <w:tcPr>
            <w:tcW w:w="7528" w:type="dxa"/>
            <w:tcBorders>
              <w:top w:val="single" w:sz="6" w:space="0" w:color="000000"/>
            </w:tcBorders>
          </w:tcPr>
          <w:p>
            <w:pPr>
              <w:pStyle w:val="TableParagraph"/>
              <w:spacing w:line="237" w:lineRule="auto" w:before="71"/>
              <w:ind w:right="194"/>
              <w:rPr>
                <w:sz w:val="21"/>
              </w:rPr>
            </w:pPr>
            <w:r>
              <w:rPr>
                <w:spacing w:val="-11"/>
                <w:sz w:val="21"/>
              </w:rPr>
              <w:t>以上证明和资料不完整的，本公司将及时一次性通知申请人补充提供有关证明和资料。</w:t>
            </w:r>
          </w:p>
        </w:tc>
      </w:tr>
      <w:tr>
        <w:trPr>
          <w:trHeight w:val="3305" w:hRule="atLeast"/>
        </w:trPr>
        <w:tc>
          <w:tcPr>
            <w:tcW w:w="616" w:type="dxa"/>
          </w:tcPr>
          <w:p>
            <w:pPr>
              <w:pStyle w:val="TableParagraph"/>
              <w:spacing w:before="147"/>
              <w:ind w:left="118" w:right="193"/>
              <w:jc w:val="center"/>
              <w:rPr>
                <w:rFonts w:ascii="Times New Roman"/>
                <w:b/>
                <w:sz w:val="21"/>
              </w:rPr>
            </w:pPr>
            <w:r>
              <w:rPr>
                <w:rFonts w:ascii="Times New Roman"/>
                <w:b/>
                <w:sz w:val="21"/>
              </w:rPr>
              <w:t>3.4</w:t>
            </w:r>
          </w:p>
        </w:tc>
        <w:tc>
          <w:tcPr>
            <w:tcW w:w="1417" w:type="dxa"/>
          </w:tcPr>
          <w:p>
            <w:pPr>
              <w:pStyle w:val="TableParagraph"/>
              <w:spacing w:before="48"/>
              <w:ind w:left="87"/>
              <w:rPr>
                <w:rFonts w:ascii="Microsoft JhengHei" w:eastAsia="Microsoft JhengHei" w:hint="eastAsia"/>
                <w:b/>
                <w:sz w:val="21"/>
              </w:rPr>
            </w:pPr>
            <w:r>
              <w:rPr>
                <w:rFonts w:ascii="Microsoft JhengHei" w:eastAsia="Microsoft JhengHei" w:hint="eastAsia"/>
                <w:b/>
                <w:sz w:val="21"/>
              </w:rPr>
              <w:t>保险金给付</w:t>
            </w:r>
          </w:p>
        </w:tc>
        <w:tc>
          <w:tcPr>
            <w:tcW w:w="7528" w:type="dxa"/>
          </w:tcPr>
          <w:p>
            <w:pPr>
              <w:pStyle w:val="TableParagraph"/>
              <w:spacing w:line="282" w:lineRule="exact" w:before="115"/>
              <w:rPr>
                <w:sz w:val="21"/>
              </w:rPr>
            </w:pPr>
            <w:r>
              <w:rPr>
                <w:sz w:val="21"/>
              </w:rPr>
              <w:t>本公司在收到保险金给付申请书及合同约定的证明和资料后，将在 </w:t>
            </w:r>
            <w:r>
              <w:rPr>
                <w:rFonts w:ascii="Times New Roman" w:eastAsia="Times New Roman"/>
                <w:sz w:val="21"/>
              </w:rPr>
              <w:t>5 </w:t>
            </w:r>
            <w:r>
              <w:rPr>
                <w:sz w:val="21"/>
              </w:rPr>
              <w:t>日内作出核</w:t>
            </w:r>
          </w:p>
          <w:p>
            <w:pPr>
              <w:pStyle w:val="TableParagraph"/>
              <w:spacing w:line="272" w:lineRule="exact"/>
              <w:rPr>
                <w:sz w:val="21"/>
              </w:rPr>
            </w:pPr>
            <w:r>
              <w:rPr>
                <w:sz w:val="21"/>
              </w:rPr>
              <w:t>定；情形复杂的，在 </w:t>
            </w:r>
            <w:r>
              <w:rPr>
                <w:rFonts w:ascii="Times New Roman" w:eastAsia="Times New Roman"/>
                <w:sz w:val="21"/>
              </w:rPr>
              <w:t>30 </w:t>
            </w:r>
            <w:r>
              <w:rPr>
                <w:sz w:val="21"/>
              </w:rPr>
              <w:t>日内作出核定，本合同另有约定的除外。</w:t>
            </w:r>
          </w:p>
          <w:p>
            <w:pPr>
              <w:pStyle w:val="TableParagraph"/>
              <w:spacing w:line="225" w:lineRule="auto" w:before="7"/>
              <w:ind w:right="194"/>
              <w:jc w:val="both"/>
              <w:rPr>
                <w:sz w:val="21"/>
              </w:rPr>
            </w:pPr>
            <w:r>
              <w:rPr>
                <w:spacing w:val="-4"/>
                <w:sz w:val="21"/>
              </w:rPr>
              <w:t>对属于保险责任的，本公司在与受益人达成给付保险金的协议后 </w:t>
            </w:r>
            <w:r>
              <w:rPr>
                <w:rFonts w:ascii="Times New Roman" w:eastAsia="Times New Roman"/>
                <w:sz w:val="21"/>
              </w:rPr>
              <w:t>10 </w:t>
            </w:r>
            <w:r>
              <w:rPr>
                <w:spacing w:val="-3"/>
                <w:sz w:val="21"/>
              </w:rPr>
              <w:t>日内，履行给付保险金义务。</w:t>
            </w:r>
          </w:p>
          <w:p>
            <w:pPr>
              <w:pStyle w:val="TableParagraph"/>
              <w:ind w:right="192"/>
              <w:jc w:val="both"/>
              <w:rPr>
                <w:sz w:val="21"/>
              </w:rPr>
            </w:pPr>
            <w:r>
              <w:rPr>
                <w:spacing w:val="-8"/>
                <w:sz w:val="21"/>
              </w:rPr>
              <w:t>本公司未及时履行前款规定义务的，除支付保险金外，应当赔偿受益人因此受到</w:t>
            </w:r>
            <w:r>
              <w:rPr>
                <w:spacing w:val="-6"/>
                <w:sz w:val="21"/>
              </w:rPr>
              <w:t>的损失。</w:t>
            </w:r>
          </w:p>
          <w:p>
            <w:pPr>
              <w:pStyle w:val="TableParagraph"/>
              <w:spacing w:line="223" w:lineRule="auto" w:before="21"/>
              <w:ind w:right="194"/>
              <w:jc w:val="both"/>
              <w:rPr>
                <w:sz w:val="21"/>
              </w:rPr>
            </w:pPr>
            <w:r>
              <w:rPr>
                <w:spacing w:val="-13"/>
                <w:sz w:val="21"/>
              </w:rPr>
              <w:t>对不属于保险责任的，本公司自作出核定之日起 </w:t>
            </w:r>
            <w:r>
              <w:rPr>
                <w:rFonts w:ascii="Times New Roman" w:eastAsia="Times New Roman"/>
                <w:sz w:val="21"/>
              </w:rPr>
              <w:t>3 </w:t>
            </w:r>
            <w:r>
              <w:rPr>
                <w:spacing w:val="-3"/>
                <w:sz w:val="21"/>
              </w:rPr>
              <w:t>日内向受益人发出拒绝给付保险金通知书并说明理由。</w:t>
            </w:r>
          </w:p>
          <w:p>
            <w:pPr>
              <w:pStyle w:val="TableParagraph"/>
              <w:spacing w:line="230" w:lineRule="auto" w:before="10"/>
              <w:ind w:right="192"/>
              <w:jc w:val="both"/>
              <w:rPr>
                <w:sz w:val="21"/>
              </w:rPr>
            </w:pPr>
            <w:r>
              <w:rPr>
                <w:spacing w:val="-4"/>
                <w:sz w:val="21"/>
              </w:rPr>
              <w:t>本公司在收到保险金给付申请书及有关证明和资料之日起 </w:t>
            </w:r>
            <w:r>
              <w:rPr>
                <w:rFonts w:ascii="Times New Roman" w:eastAsia="Times New Roman"/>
                <w:sz w:val="21"/>
              </w:rPr>
              <w:t>60 </w:t>
            </w:r>
            <w:r>
              <w:rPr>
                <w:spacing w:val="-3"/>
                <w:sz w:val="21"/>
              </w:rPr>
              <w:t>日内，对给付保险</w:t>
            </w:r>
            <w:r>
              <w:rPr>
                <w:spacing w:val="-10"/>
                <w:sz w:val="21"/>
              </w:rPr>
              <w:t>金的数额不能确定的，根据已有证明和资料可以确定的数额先予支付；本公司最</w:t>
            </w:r>
            <w:r>
              <w:rPr>
                <w:spacing w:val="-5"/>
                <w:sz w:val="21"/>
              </w:rPr>
              <w:t>终确定给付保险金的数额后，将支付相应的差额。</w:t>
            </w:r>
          </w:p>
        </w:tc>
      </w:tr>
      <w:tr>
        <w:trPr>
          <w:trHeight w:val="736" w:hRule="atLeast"/>
        </w:trPr>
        <w:tc>
          <w:tcPr>
            <w:tcW w:w="616" w:type="dxa"/>
            <w:tcBorders>
              <w:bottom w:val="single" w:sz="8" w:space="0" w:color="000000"/>
            </w:tcBorders>
          </w:tcPr>
          <w:p>
            <w:pPr>
              <w:pStyle w:val="TableParagraph"/>
              <w:spacing w:before="149"/>
              <w:ind w:left="49"/>
              <w:jc w:val="center"/>
              <w:rPr>
                <w:rFonts w:ascii="Arial" w:hAnsi="Arial"/>
                <w:b/>
                <w:sz w:val="44"/>
              </w:rPr>
            </w:pPr>
            <w:r>
              <w:rPr>
                <w:rFonts w:ascii="Arial" w:hAnsi="Arial"/>
                <w:b/>
                <w:w w:val="118"/>
                <w:sz w:val="44"/>
              </w:rPr>
              <w:t></w:t>
            </w:r>
          </w:p>
        </w:tc>
        <w:tc>
          <w:tcPr>
            <w:tcW w:w="8945" w:type="dxa"/>
            <w:gridSpan w:val="2"/>
            <w:tcBorders>
              <w:bottom w:val="single" w:sz="8" w:space="0" w:color="000000"/>
            </w:tcBorders>
          </w:tcPr>
          <w:p>
            <w:pPr>
              <w:pStyle w:val="TableParagraph"/>
              <w:spacing w:before="154"/>
              <w:ind w:left="87"/>
              <w:rPr>
                <w:rFonts w:ascii="Microsoft JhengHei" w:eastAsia="Microsoft JhengHei" w:hint="eastAsia"/>
                <w:b/>
                <w:sz w:val="24"/>
              </w:rPr>
            </w:pPr>
            <w:r>
              <w:rPr>
                <w:rFonts w:ascii="Microsoft JhengHei" w:eastAsia="Microsoft JhengHei" w:hint="eastAsia"/>
                <w:b/>
                <w:sz w:val="24"/>
              </w:rPr>
              <w:t>如何交纳保险费</w:t>
            </w:r>
          </w:p>
        </w:tc>
      </w:tr>
      <w:tr>
        <w:trPr>
          <w:trHeight w:val="896" w:hRule="atLeast"/>
        </w:trPr>
        <w:tc>
          <w:tcPr>
            <w:tcW w:w="616" w:type="dxa"/>
            <w:tcBorders>
              <w:top w:val="single" w:sz="8" w:space="0" w:color="000000"/>
            </w:tcBorders>
          </w:tcPr>
          <w:p>
            <w:pPr>
              <w:pStyle w:val="TableParagraph"/>
              <w:spacing w:before="8"/>
              <w:ind w:left="0"/>
              <w:rPr>
                <w:rFonts w:ascii="Times New Roman"/>
                <w:sz w:val="17"/>
              </w:rPr>
            </w:pPr>
          </w:p>
          <w:p>
            <w:pPr>
              <w:pStyle w:val="TableParagraph"/>
              <w:spacing w:before="1"/>
              <w:ind w:left="118" w:right="194"/>
              <w:jc w:val="center"/>
              <w:rPr>
                <w:rFonts w:ascii="Times New Roman"/>
                <w:b/>
                <w:sz w:val="21"/>
              </w:rPr>
            </w:pPr>
            <w:r>
              <w:rPr>
                <w:rFonts w:ascii="Times New Roman"/>
                <w:b/>
                <w:sz w:val="21"/>
              </w:rPr>
              <w:t>4.1</w:t>
            </w:r>
          </w:p>
        </w:tc>
        <w:tc>
          <w:tcPr>
            <w:tcW w:w="1417" w:type="dxa"/>
            <w:tcBorders>
              <w:top w:val="single" w:sz="8" w:space="0" w:color="000000"/>
            </w:tcBorders>
          </w:tcPr>
          <w:p>
            <w:pPr>
              <w:pStyle w:val="TableParagraph"/>
              <w:spacing w:before="105"/>
              <w:ind w:left="87"/>
              <w:rPr>
                <w:rFonts w:ascii="Microsoft JhengHei" w:eastAsia="Microsoft JhengHei" w:hint="eastAsia"/>
                <w:b/>
                <w:sz w:val="21"/>
              </w:rPr>
            </w:pPr>
            <w:r>
              <w:rPr>
                <w:rFonts w:ascii="Microsoft JhengHei" w:eastAsia="Microsoft JhengHei" w:hint="eastAsia"/>
                <w:b/>
                <w:sz w:val="21"/>
              </w:rPr>
              <w:t>保险费的交纳</w:t>
            </w:r>
          </w:p>
        </w:tc>
        <w:tc>
          <w:tcPr>
            <w:tcW w:w="7528" w:type="dxa"/>
            <w:tcBorders>
              <w:top w:val="single" w:sz="8" w:space="0" w:color="000000"/>
            </w:tcBorders>
          </w:tcPr>
          <w:p>
            <w:pPr>
              <w:pStyle w:val="TableParagraph"/>
              <w:spacing w:before="172"/>
              <w:ind w:right="194"/>
              <w:rPr>
                <w:sz w:val="21"/>
              </w:rPr>
            </w:pPr>
            <w:r>
              <w:rPr>
                <w:spacing w:val="-7"/>
                <w:sz w:val="21"/>
              </w:rPr>
              <w:t>您应当在本合同的约定交费日期一次性交清保险费，或按本公司同意的其他方式交纳。</w:t>
            </w:r>
          </w:p>
        </w:tc>
      </w:tr>
      <w:tr>
        <w:trPr>
          <w:trHeight w:val="720" w:hRule="atLeast"/>
        </w:trPr>
        <w:tc>
          <w:tcPr>
            <w:tcW w:w="9561" w:type="dxa"/>
            <w:gridSpan w:val="3"/>
            <w:tcBorders>
              <w:bottom w:val="single" w:sz="4" w:space="0" w:color="000000"/>
            </w:tcBorders>
          </w:tcPr>
          <w:p>
            <w:pPr>
              <w:pStyle w:val="TableParagraph"/>
              <w:tabs>
                <w:tab w:pos="751" w:val="left" w:leader="none"/>
              </w:tabs>
              <w:spacing w:before="133"/>
              <w:ind w:left="136"/>
              <w:rPr>
                <w:rFonts w:ascii="Microsoft JhengHei" w:hAnsi="Microsoft JhengHei" w:eastAsia="Microsoft JhengHei" w:hint="eastAsia"/>
                <w:b/>
                <w:sz w:val="24"/>
              </w:rPr>
            </w:pPr>
            <w:r>
              <w:rPr>
                <w:rFonts w:ascii="Arial" w:hAnsi="Arial" w:eastAsia="Arial"/>
                <w:b/>
                <w:sz w:val="44"/>
              </w:rPr>
              <w:t></w:t>
              <w:tab/>
            </w:r>
            <w:r>
              <w:rPr>
                <w:rFonts w:ascii="Microsoft JhengHei" w:hAnsi="Microsoft JhengHei" w:eastAsia="Microsoft JhengHei" w:hint="eastAsia"/>
                <w:b/>
                <w:sz w:val="24"/>
              </w:rPr>
              <w:t>如何解除保险合同</w:t>
            </w:r>
          </w:p>
        </w:tc>
      </w:tr>
      <w:tr>
        <w:trPr>
          <w:trHeight w:val="2564" w:hRule="atLeast"/>
        </w:trPr>
        <w:tc>
          <w:tcPr>
            <w:tcW w:w="616" w:type="dxa"/>
            <w:tcBorders>
              <w:top w:val="single" w:sz="4" w:space="0" w:color="000000"/>
            </w:tcBorders>
          </w:tcPr>
          <w:p>
            <w:pPr>
              <w:pStyle w:val="TableParagraph"/>
              <w:spacing w:before="10"/>
              <w:ind w:left="0"/>
              <w:rPr>
                <w:rFonts w:ascii="Times New Roman"/>
                <w:sz w:val="20"/>
              </w:rPr>
            </w:pPr>
          </w:p>
          <w:p>
            <w:pPr>
              <w:pStyle w:val="TableParagraph"/>
              <w:ind w:left="118" w:right="194"/>
              <w:jc w:val="center"/>
              <w:rPr>
                <w:rFonts w:ascii="Times New Roman"/>
                <w:b/>
                <w:sz w:val="21"/>
              </w:rPr>
            </w:pPr>
            <w:r>
              <w:rPr>
                <w:rFonts w:ascii="Times New Roman"/>
                <w:b/>
                <w:sz w:val="21"/>
              </w:rPr>
              <w:t>5.1</w:t>
            </w:r>
          </w:p>
        </w:tc>
        <w:tc>
          <w:tcPr>
            <w:tcW w:w="1417" w:type="dxa"/>
            <w:tcBorders>
              <w:top w:val="single" w:sz="4" w:space="0" w:color="000000"/>
            </w:tcBorders>
          </w:tcPr>
          <w:p>
            <w:pPr>
              <w:pStyle w:val="TableParagraph"/>
              <w:spacing w:before="141"/>
              <w:ind w:left="87"/>
              <w:rPr>
                <w:rFonts w:ascii="Microsoft JhengHei" w:eastAsia="Microsoft JhengHei" w:hint="eastAsia"/>
                <w:b/>
                <w:sz w:val="21"/>
              </w:rPr>
            </w:pPr>
            <w:r>
              <w:rPr>
                <w:rFonts w:ascii="Microsoft JhengHei" w:eastAsia="Microsoft JhengHei" w:hint="eastAsia"/>
                <w:b/>
                <w:sz w:val="21"/>
              </w:rPr>
              <w:t>合同解除</w:t>
            </w:r>
          </w:p>
        </w:tc>
        <w:tc>
          <w:tcPr>
            <w:tcW w:w="7528" w:type="dxa"/>
            <w:tcBorders>
              <w:top w:val="single" w:sz="4" w:space="0" w:color="000000"/>
            </w:tcBorders>
          </w:tcPr>
          <w:p>
            <w:pPr>
              <w:pStyle w:val="TableParagraph"/>
              <w:spacing w:before="3"/>
              <w:ind w:left="0"/>
              <w:rPr>
                <w:rFonts w:ascii="Times New Roman"/>
                <w:sz w:val="18"/>
              </w:rPr>
            </w:pPr>
          </w:p>
          <w:p>
            <w:pPr>
              <w:pStyle w:val="TableParagraph"/>
              <w:spacing w:line="237" w:lineRule="auto" w:before="1"/>
              <w:ind w:right="192"/>
              <w:rPr>
                <w:sz w:val="21"/>
              </w:rPr>
            </w:pPr>
            <w:r>
              <w:rPr>
                <w:spacing w:val="-10"/>
                <w:sz w:val="21"/>
              </w:rPr>
              <w:t>本合同生效后，您可以以书面形式通知本公司要求解除本合同。要求解除本合同</w:t>
            </w:r>
            <w:r>
              <w:rPr>
                <w:spacing w:val="-5"/>
                <w:sz w:val="21"/>
              </w:rPr>
              <w:t>时应提供下列文件和资料：</w:t>
            </w:r>
          </w:p>
          <w:p>
            <w:pPr>
              <w:pStyle w:val="TableParagraph"/>
              <w:spacing w:line="280" w:lineRule="exact"/>
              <w:rPr>
                <w:sz w:val="21"/>
              </w:rPr>
            </w:pPr>
            <w:r>
              <w:rPr>
                <w:sz w:val="21"/>
              </w:rPr>
              <w:t>（</w:t>
            </w:r>
            <w:r>
              <w:rPr>
                <w:rFonts w:ascii="Times New Roman" w:eastAsia="Times New Roman"/>
                <w:sz w:val="21"/>
              </w:rPr>
              <w:t>1</w:t>
            </w:r>
            <w:r>
              <w:rPr>
                <w:sz w:val="21"/>
              </w:rPr>
              <w:t>）本保险合同及相关凭证的原件；</w:t>
            </w:r>
          </w:p>
          <w:p>
            <w:pPr>
              <w:pStyle w:val="TableParagraph"/>
              <w:spacing w:line="272" w:lineRule="exact"/>
              <w:rPr>
                <w:sz w:val="21"/>
              </w:rPr>
            </w:pPr>
            <w:r>
              <w:rPr>
                <w:sz w:val="21"/>
              </w:rPr>
              <w:t>（</w:t>
            </w:r>
            <w:r>
              <w:rPr>
                <w:rFonts w:ascii="Times New Roman" w:eastAsia="Times New Roman"/>
                <w:sz w:val="21"/>
              </w:rPr>
              <w:t>2</w:t>
            </w:r>
            <w:r>
              <w:rPr>
                <w:sz w:val="21"/>
              </w:rPr>
              <w:t>）您的有效身份证件。</w:t>
            </w:r>
          </w:p>
          <w:p>
            <w:pPr>
              <w:pStyle w:val="TableParagraph"/>
              <w:spacing w:line="264" w:lineRule="exact"/>
              <w:rPr>
                <w:sz w:val="21"/>
              </w:rPr>
            </w:pPr>
            <w:r>
              <w:rPr>
                <w:sz w:val="21"/>
              </w:rPr>
              <w:t>自我们收到退保申请书之日起，本合同终止。我们在收到上述证明和资料之日起</w:t>
            </w:r>
          </w:p>
          <w:p>
            <w:pPr>
              <w:pStyle w:val="TableParagraph"/>
              <w:spacing w:line="223" w:lineRule="auto" w:before="18"/>
              <w:ind w:right="197"/>
              <w:rPr>
                <w:sz w:val="21"/>
              </w:rPr>
            </w:pPr>
            <w:r>
              <w:rPr>
                <w:rFonts w:ascii="Times New Roman" w:eastAsia="Times New Roman"/>
                <w:sz w:val="21"/>
              </w:rPr>
              <w:t>30 </w:t>
            </w:r>
            <w:r>
              <w:rPr>
                <w:sz w:val="21"/>
              </w:rPr>
              <w:t>日内向您退还未满期净保费；但若被保险人领取过理赔金，则不退还本合同的未满期净保费。</w:t>
            </w:r>
          </w:p>
          <w:p>
            <w:pPr>
              <w:pStyle w:val="TableParagraph"/>
              <w:spacing w:line="297" w:lineRule="exact"/>
              <w:rPr>
                <w:rFonts w:ascii="Microsoft JhengHei" w:eastAsia="Microsoft JhengHei" w:hint="eastAsia"/>
                <w:b/>
                <w:sz w:val="21"/>
              </w:rPr>
            </w:pPr>
            <w:r>
              <w:rPr>
                <w:rFonts w:ascii="Microsoft JhengHei" w:eastAsia="Microsoft JhengHei" w:hint="eastAsia"/>
                <w:b/>
                <w:sz w:val="21"/>
              </w:rPr>
              <w:t>您解除本合同会有一定损失。</w:t>
            </w:r>
          </w:p>
        </w:tc>
      </w:tr>
      <w:tr>
        <w:trPr>
          <w:trHeight w:val="720" w:hRule="atLeast"/>
        </w:trPr>
        <w:tc>
          <w:tcPr>
            <w:tcW w:w="616" w:type="dxa"/>
            <w:tcBorders>
              <w:bottom w:val="single" w:sz="8" w:space="0" w:color="000000"/>
            </w:tcBorders>
          </w:tcPr>
          <w:p>
            <w:pPr>
              <w:pStyle w:val="TableParagraph"/>
              <w:spacing w:before="174"/>
              <w:ind w:left="49"/>
              <w:jc w:val="center"/>
              <w:rPr>
                <w:rFonts w:ascii="Wingdings" w:hAnsi="Wingdings"/>
                <w:sz w:val="44"/>
              </w:rPr>
            </w:pPr>
            <w:r>
              <w:rPr>
                <w:rFonts w:ascii="Wingdings" w:hAnsi="Wingdings"/>
                <w:w w:val="99"/>
                <w:sz w:val="44"/>
              </w:rPr>
              <w:t></w:t>
            </w:r>
          </w:p>
        </w:tc>
        <w:tc>
          <w:tcPr>
            <w:tcW w:w="1417" w:type="dxa"/>
            <w:tcBorders>
              <w:bottom w:val="single" w:sz="8" w:space="0" w:color="000000"/>
            </w:tcBorders>
          </w:tcPr>
          <w:p>
            <w:pPr>
              <w:pStyle w:val="TableParagraph"/>
              <w:spacing w:before="139"/>
              <w:ind w:left="87"/>
              <w:rPr>
                <w:rFonts w:ascii="Microsoft JhengHei" w:eastAsia="Microsoft JhengHei" w:hint="eastAsia"/>
                <w:b/>
                <w:sz w:val="24"/>
              </w:rPr>
            </w:pPr>
            <w:r>
              <w:rPr>
                <w:rFonts w:ascii="Microsoft JhengHei" w:eastAsia="Microsoft JhengHei" w:hint="eastAsia"/>
                <w:b/>
                <w:sz w:val="24"/>
              </w:rPr>
              <w:t>其他事项</w:t>
            </w:r>
          </w:p>
        </w:tc>
        <w:tc>
          <w:tcPr>
            <w:tcW w:w="7528" w:type="dxa"/>
            <w:tcBorders>
              <w:bottom w:val="single" w:sz="8" w:space="0" w:color="000000"/>
            </w:tcBorders>
          </w:tcPr>
          <w:p>
            <w:pPr>
              <w:pStyle w:val="TableParagraph"/>
              <w:ind w:left="0"/>
              <w:rPr>
                <w:rFonts w:ascii="Times New Roman"/>
                <w:sz w:val="20"/>
              </w:rPr>
            </w:pPr>
          </w:p>
        </w:tc>
      </w:tr>
      <w:tr>
        <w:trPr>
          <w:trHeight w:val="1357" w:hRule="atLeast"/>
        </w:trPr>
        <w:tc>
          <w:tcPr>
            <w:tcW w:w="616" w:type="dxa"/>
            <w:tcBorders>
              <w:top w:val="single" w:sz="8" w:space="0" w:color="000000"/>
            </w:tcBorders>
          </w:tcPr>
          <w:p>
            <w:pPr>
              <w:pStyle w:val="TableParagraph"/>
              <w:spacing w:before="8"/>
              <w:ind w:left="0"/>
              <w:rPr>
                <w:rFonts w:ascii="Times New Roman"/>
                <w:sz w:val="21"/>
              </w:rPr>
            </w:pPr>
          </w:p>
          <w:p>
            <w:pPr>
              <w:pStyle w:val="TableParagraph"/>
              <w:ind w:left="118" w:right="194"/>
              <w:jc w:val="center"/>
              <w:rPr>
                <w:rFonts w:ascii="Times New Roman"/>
                <w:b/>
                <w:sz w:val="21"/>
              </w:rPr>
            </w:pPr>
            <w:r>
              <w:rPr>
                <w:rFonts w:ascii="Times New Roman"/>
                <w:b/>
                <w:sz w:val="21"/>
              </w:rPr>
              <w:t>6.1</w:t>
            </w:r>
          </w:p>
        </w:tc>
        <w:tc>
          <w:tcPr>
            <w:tcW w:w="1417" w:type="dxa"/>
            <w:tcBorders>
              <w:top w:val="single" w:sz="8" w:space="0" w:color="000000"/>
            </w:tcBorders>
          </w:tcPr>
          <w:p>
            <w:pPr>
              <w:pStyle w:val="TableParagraph"/>
              <w:ind w:left="0"/>
              <w:rPr>
                <w:rFonts w:ascii="Times New Roman"/>
                <w:sz w:val="21"/>
              </w:rPr>
            </w:pPr>
          </w:p>
          <w:p>
            <w:pPr>
              <w:pStyle w:val="TableParagraph"/>
              <w:spacing w:line="180" w:lineRule="auto"/>
              <w:ind w:left="87" w:right="60"/>
              <w:rPr>
                <w:rFonts w:ascii="Microsoft JhengHei" w:eastAsia="Microsoft JhengHei" w:hint="eastAsia"/>
                <w:b/>
                <w:sz w:val="21"/>
              </w:rPr>
            </w:pPr>
            <w:r>
              <w:rPr>
                <w:rFonts w:ascii="Microsoft JhengHei" w:eastAsia="Microsoft JhengHei" w:hint="eastAsia"/>
                <w:b/>
                <w:sz w:val="21"/>
              </w:rPr>
              <w:t>明确说明与如实告知</w:t>
            </w:r>
          </w:p>
        </w:tc>
        <w:tc>
          <w:tcPr>
            <w:tcW w:w="7528" w:type="dxa"/>
            <w:tcBorders>
              <w:top w:val="single" w:sz="8" w:space="0" w:color="000000"/>
            </w:tcBorders>
          </w:tcPr>
          <w:p>
            <w:pPr>
              <w:pStyle w:val="TableParagraph"/>
              <w:spacing w:before="10"/>
              <w:ind w:left="0"/>
              <w:rPr>
                <w:rFonts w:ascii="Times New Roman"/>
                <w:sz w:val="18"/>
              </w:rPr>
            </w:pPr>
          </w:p>
          <w:p>
            <w:pPr>
              <w:pStyle w:val="TableParagraph"/>
              <w:spacing w:line="274" w:lineRule="exact"/>
              <w:rPr>
                <w:sz w:val="21"/>
              </w:rPr>
            </w:pPr>
            <w:r>
              <w:rPr>
                <w:sz w:val="21"/>
              </w:rPr>
              <w:t>订立本合同时，本公司应向您说明本合同的内容。</w:t>
            </w:r>
          </w:p>
          <w:p>
            <w:pPr>
              <w:pStyle w:val="TableParagraph"/>
              <w:spacing w:line="237" w:lineRule="auto" w:before="1"/>
              <w:ind w:right="108"/>
              <w:jc w:val="both"/>
              <w:rPr>
                <w:sz w:val="21"/>
              </w:rPr>
            </w:pPr>
            <w:r>
              <w:rPr>
                <w:spacing w:val="-8"/>
                <w:sz w:val="21"/>
              </w:rPr>
              <w:t>对保险条款中免除本公司责任的条款，本公司在订立合同时应当在投保单、保险</w:t>
            </w:r>
            <w:r>
              <w:rPr>
                <w:spacing w:val="-9"/>
                <w:sz w:val="21"/>
              </w:rPr>
              <w:t>单或者其他保险凭证上作出足以引起您注意的提示，并对该条款的内容以书面或</w:t>
            </w:r>
            <w:r>
              <w:rPr>
                <w:spacing w:val="-5"/>
                <w:sz w:val="21"/>
              </w:rPr>
              <w:t>者口头形式向您作出明确说明，未作提示或者明确说明的，该条款不产生效力。</w:t>
            </w:r>
          </w:p>
        </w:tc>
      </w:tr>
      <w:tr>
        <w:trPr>
          <w:trHeight w:val="2298" w:hRule="atLeast"/>
        </w:trPr>
        <w:tc>
          <w:tcPr>
            <w:tcW w:w="616" w:type="dxa"/>
          </w:tcPr>
          <w:p>
            <w:pPr>
              <w:pStyle w:val="TableParagraph"/>
              <w:ind w:left="0"/>
              <w:rPr>
                <w:rFonts w:ascii="Times New Roman"/>
                <w:sz w:val="20"/>
              </w:rPr>
            </w:pPr>
          </w:p>
        </w:tc>
        <w:tc>
          <w:tcPr>
            <w:tcW w:w="1417" w:type="dxa"/>
          </w:tcPr>
          <w:p>
            <w:pPr>
              <w:pStyle w:val="TableParagraph"/>
              <w:ind w:left="0"/>
              <w:rPr>
                <w:rFonts w:ascii="Times New Roman"/>
                <w:sz w:val="20"/>
              </w:rPr>
            </w:pPr>
          </w:p>
        </w:tc>
        <w:tc>
          <w:tcPr>
            <w:tcW w:w="7528" w:type="dxa"/>
          </w:tcPr>
          <w:p>
            <w:pPr>
              <w:pStyle w:val="TableParagraph"/>
              <w:spacing w:line="224" w:lineRule="exact"/>
              <w:rPr>
                <w:sz w:val="21"/>
              </w:rPr>
            </w:pPr>
            <w:r>
              <w:rPr>
                <w:sz w:val="21"/>
              </w:rPr>
              <w:t>本公司就您和被保险人的有关情况提出询问，您应当如实告知。</w:t>
            </w:r>
          </w:p>
          <w:p>
            <w:pPr>
              <w:pStyle w:val="TableParagraph"/>
              <w:spacing w:line="177" w:lineRule="auto" w:before="61"/>
              <w:ind w:right="205"/>
              <w:rPr>
                <w:sz w:val="21"/>
              </w:rPr>
            </w:pPr>
            <w:r>
              <w:rPr>
                <w:rFonts w:ascii="Microsoft JhengHei" w:eastAsia="Microsoft JhengHei" w:hint="eastAsia"/>
                <w:b/>
                <w:sz w:val="21"/>
              </w:rPr>
              <w:t>如果您故意或者因重大过失未履行前款规定的如实告知义务，足以影响本公司决定是否同意承保或者提高保险费率的，本公司有权解除本合同</w:t>
            </w:r>
            <w:r>
              <w:rPr>
                <w:sz w:val="21"/>
              </w:rPr>
              <w:t>。</w:t>
            </w:r>
          </w:p>
          <w:p>
            <w:pPr>
              <w:pStyle w:val="TableParagraph"/>
              <w:spacing w:line="177" w:lineRule="auto" w:before="3"/>
              <w:ind w:right="205"/>
              <w:rPr>
                <w:rFonts w:ascii="Microsoft JhengHei" w:eastAsia="Microsoft JhengHei" w:hint="eastAsia"/>
                <w:b/>
                <w:sz w:val="21"/>
              </w:rPr>
            </w:pPr>
            <w:r>
              <w:rPr>
                <w:rFonts w:ascii="Microsoft JhengHei" w:eastAsia="Microsoft JhengHei" w:hint="eastAsia"/>
                <w:b/>
                <w:sz w:val="21"/>
              </w:rPr>
              <w:t>如果您故意不履行如实告知义务，对于本合同解除前发生的保险事故，本公司不承担给付保险金的责任，并不退还保险费。</w:t>
            </w:r>
          </w:p>
          <w:p>
            <w:pPr>
              <w:pStyle w:val="TableParagraph"/>
              <w:spacing w:line="177" w:lineRule="auto" w:before="2"/>
              <w:ind w:right="197"/>
              <w:rPr>
                <w:sz w:val="21"/>
              </w:rPr>
            </w:pPr>
            <w:r>
              <w:rPr>
                <w:rFonts w:ascii="Microsoft JhengHei" w:eastAsia="Microsoft JhengHei" w:hint="eastAsia"/>
                <w:b/>
                <w:sz w:val="21"/>
              </w:rPr>
              <w:t>如果您因重大过失未履行如实告知义务，对保险事故的发生有严重影响的，对于本合同解除前发生的保险事故，本公司不承担给付保险金的责任</w:t>
            </w:r>
            <w:r>
              <w:rPr>
                <w:sz w:val="21"/>
              </w:rPr>
              <w:t>，但应当退</w:t>
            </w:r>
          </w:p>
          <w:p>
            <w:pPr>
              <w:pStyle w:val="TableParagraph"/>
              <w:spacing w:line="250" w:lineRule="exact"/>
              <w:rPr>
                <w:sz w:val="21"/>
              </w:rPr>
            </w:pPr>
            <w:r>
              <w:rPr>
                <w:sz w:val="21"/>
              </w:rPr>
              <w:t>还保险费。</w:t>
            </w:r>
          </w:p>
        </w:tc>
      </w:tr>
      <w:tr>
        <w:trPr>
          <w:trHeight w:val="614" w:hRule="atLeast"/>
        </w:trPr>
        <w:tc>
          <w:tcPr>
            <w:tcW w:w="616" w:type="dxa"/>
          </w:tcPr>
          <w:p>
            <w:pPr>
              <w:pStyle w:val="TableParagraph"/>
              <w:ind w:left="0"/>
              <w:rPr>
                <w:rFonts w:ascii="Times New Roman"/>
                <w:sz w:val="20"/>
              </w:rPr>
            </w:pPr>
          </w:p>
        </w:tc>
        <w:tc>
          <w:tcPr>
            <w:tcW w:w="1417" w:type="dxa"/>
          </w:tcPr>
          <w:p>
            <w:pPr>
              <w:pStyle w:val="TableParagraph"/>
              <w:ind w:left="0"/>
              <w:rPr>
                <w:rFonts w:ascii="Times New Roman"/>
                <w:sz w:val="20"/>
              </w:rPr>
            </w:pPr>
          </w:p>
        </w:tc>
        <w:tc>
          <w:tcPr>
            <w:tcW w:w="7528" w:type="dxa"/>
          </w:tcPr>
          <w:p>
            <w:pPr>
              <w:pStyle w:val="TableParagraph"/>
              <w:spacing w:line="272" w:lineRule="exact" w:before="96"/>
              <w:ind w:right="195"/>
              <w:rPr>
                <w:sz w:val="21"/>
              </w:rPr>
            </w:pPr>
            <w:r>
              <w:rPr>
                <w:spacing w:val="-7"/>
                <w:sz w:val="21"/>
              </w:rPr>
              <w:t>本公司在合同订立时已经知道您未如实告知的情况的，本公司不得解除合同；发</w:t>
            </w:r>
            <w:r>
              <w:rPr>
                <w:spacing w:val="-5"/>
                <w:sz w:val="21"/>
              </w:rPr>
              <w:t>生保险事故的，本公司承担给付保险金的责任。</w:t>
            </w:r>
          </w:p>
        </w:tc>
      </w:tr>
    </w:tbl>
    <w:p>
      <w:pPr>
        <w:spacing w:after="0" w:line="272" w:lineRule="exact"/>
        <w:rPr>
          <w:sz w:val="21"/>
        </w:rPr>
        <w:sectPr>
          <w:pgSz w:w="11910" w:h="16840"/>
          <w:pgMar w:header="857" w:footer="683" w:top="1040" w:bottom="880" w:left="1060" w:right="1060"/>
        </w:sectPr>
      </w:pPr>
    </w:p>
    <w:p>
      <w:pPr>
        <w:pStyle w:val="BodyText"/>
        <w:spacing w:before="4"/>
        <w:rPr>
          <w:rFonts w:ascii="Times New Roman"/>
          <w:sz w:val="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6"/>
        <w:gridCol w:w="1417"/>
        <w:gridCol w:w="7528"/>
      </w:tblGrid>
      <w:tr>
        <w:trPr>
          <w:trHeight w:val="3259" w:hRule="atLeast"/>
        </w:trPr>
        <w:tc>
          <w:tcPr>
            <w:tcW w:w="616" w:type="dxa"/>
            <w:tcBorders>
              <w:top w:val="single" w:sz="6" w:space="0" w:color="000000"/>
            </w:tcBorders>
          </w:tcPr>
          <w:p>
            <w:pPr>
              <w:pStyle w:val="TableParagraph"/>
              <w:spacing w:before="101"/>
              <w:ind w:left="118" w:right="193"/>
              <w:jc w:val="center"/>
              <w:rPr>
                <w:rFonts w:ascii="Times New Roman"/>
                <w:b/>
                <w:sz w:val="21"/>
              </w:rPr>
            </w:pPr>
            <w:r>
              <w:rPr>
                <w:rFonts w:ascii="Times New Roman"/>
                <w:b/>
                <w:sz w:val="21"/>
              </w:rPr>
              <w:t>6.2</w:t>
            </w:r>
          </w:p>
        </w:tc>
        <w:tc>
          <w:tcPr>
            <w:tcW w:w="1417" w:type="dxa"/>
            <w:tcBorders>
              <w:top w:val="single" w:sz="6" w:space="0" w:color="000000"/>
            </w:tcBorders>
          </w:tcPr>
          <w:p>
            <w:pPr>
              <w:pStyle w:val="TableParagraph"/>
              <w:spacing w:before="2"/>
              <w:ind w:left="87"/>
              <w:rPr>
                <w:rFonts w:ascii="Microsoft JhengHei" w:eastAsia="Microsoft JhengHei" w:hint="eastAsia"/>
                <w:b/>
                <w:sz w:val="21"/>
              </w:rPr>
            </w:pPr>
            <w:r>
              <w:rPr>
                <w:rFonts w:ascii="Microsoft JhengHei" w:eastAsia="Microsoft JhengHei" w:hint="eastAsia"/>
                <w:b/>
                <w:sz w:val="21"/>
              </w:rPr>
              <w:t>年龄性别错误</w:t>
            </w:r>
          </w:p>
        </w:tc>
        <w:tc>
          <w:tcPr>
            <w:tcW w:w="7528" w:type="dxa"/>
            <w:tcBorders>
              <w:top w:val="single" w:sz="6" w:space="0" w:color="000000"/>
            </w:tcBorders>
          </w:tcPr>
          <w:p>
            <w:pPr>
              <w:pStyle w:val="TableParagraph"/>
              <w:spacing w:line="237" w:lineRule="auto" w:before="71"/>
              <w:ind w:right="106"/>
              <w:rPr>
                <w:sz w:val="21"/>
              </w:rPr>
            </w:pPr>
            <w:r>
              <w:rPr>
                <w:spacing w:val="-9"/>
                <w:sz w:val="21"/>
              </w:rPr>
              <w:t>被保险人的年龄按周岁计算，其中投保年龄以合同生效日时的周岁为准。在投保</w:t>
            </w:r>
            <w:r>
              <w:rPr>
                <w:spacing w:val="-5"/>
                <w:sz w:val="21"/>
              </w:rPr>
              <w:t>本保险时，您应将被保险人的真实年龄和性别在投保单上填明，如果发生错误， </w:t>
            </w:r>
            <w:r>
              <w:rPr>
                <w:spacing w:val="-4"/>
                <w:sz w:val="21"/>
              </w:rPr>
              <w:t>我们将按照下列规则处理：</w:t>
            </w:r>
          </w:p>
          <w:p>
            <w:pPr>
              <w:pStyle w:val="TableParagraph"/>
              <w:spacing w:line="237" w:lineRule="auto"/>
              <w:ind w:right="194"/>
              <w:jc w:val="both"/>
              <w:rPr>
                <w:sz w:val="21"/>
              </w:rPr>
            </w:pPr>
            <w:r>
              <w:rPr>
                <w:spacing w:val="-9"/>
                <w:sz w:val="21"/>
              </w:rPr>
              <w:t>如果您申报的被保险人年龄不真实，并且其真实年龄不符合合同约定的年龄限制</w:t>
            </w:r>
            <w:r>
              <w:rPr>
                <w:spacing w:val="-6"/>
                <w:sz w:val="21"/>
              </w:rPr>
              <w:t>的，我们可以解除合同并对合同解除前发生的保险事故不承担给付保险金的责</w:t>
            </w:r>
            <w:r>
              <w:rPr>
                <w:spacing w:val="-4"/>
                <w:sz w:val="21"/>
              </w:rPr>
              <w:t>任。解除本合同的，我们将按合同解除处理。</w:t>
            </w:r>
          </w:p>
          <w:p>
            <w:pPr>
              <w:pStyle w:val="TableParagraph"/>
              <w:spacing w:line="237" w:lineRule="auto" w:before="3"/>
              <w:ind w:right="90"/>
              <w:rPr>
                <w:sz w:val="21"/>
              </w:rPr>
            </w:pPr>
            <w:r>
              <w:rPr>
                <w:spacing w:val="-3"/>
                <w:sz w:val="21"/>
              </w:rPr>
              <w:t>如果您申报的被保险人年龄或性别不真实，致使实交保险费少于应交保险费的， </w:t>
            </w:r>
            <w:r>
              <w:rPr>
                <w:spacing w:val="-16"/>
                <w:sz w:val="21"/>
              </w:rPr>
              <w:t>我们有权更正，并要求您补交保险费。如果已经发生保险事故，在给付保险金时， </w:t>
            </w:r>
            <w:r>
              <w:rPr>
                <w:spacing w:val="-11"/>
                <w:sz w:val="21"/>
              </w:rPr>
              <w:t>我们将按实交保险费和应交保险费的比例给付。如果您申报的被保险人年龄或性</w:t>
            </w:r>
            <w:r>
              <w:rPr>
                <w:spacing w:val="-12"/>
                <w:sz w:val="21"/>
              </w:rPr>
              <w:t>别不真实，致使实交保险费多于应交保险费的，我们会将多收的保险费无息退还给您。</w:t>
            </w:r>
          </w:p>
        </w:tc>
      </w:tr>
      <w:tr>
        <w:trPr>
          <w:trHeight w:val="923" w:hRule="atLeast"/>
        </w:trPr>
        <w:tc>
          <w:tcPr>
            <w:tcW w:w="616" w:type="dxa"/>
          </w:tcPr>
          <w:p>
            <w:pPr>
              <w:pStyle w:val="TableParagraph"/>
              <w:spacing w:before="183"/>
              <w:ind w:left="118" w:right="193"/>
              <w:jc w:val="center"/>
              <w:rPr>
                <w:rFonts w:ascii="Times New Roman"/>
                <w:b/>
                <w:sz w:val="21"/>
              </w:rPr>
            </w:pPr>
            <w:r>
              <w:rPr>
                <w:rFonts w:ascii="Times New Roman"/>
                <w:b/>
                <w:sz w:val="21"/>
              </w:rPr>
              <w:t>6.3</w:t>
            </w:r>
          </w:p>
        </w:tc>
        <w:tc>
          <w:tcPr>
            <w:tcW w:w="1417" w:type="dxa"/>
          </w:tcPr>
          <w:p>
            <w:pPr>
              <w:pStyle w:val="TableParagraph"/>
              <w:spacing w:line="177" w:lineRule="auto" w:before="179"/>
              <w:ind w:left="87" w:right="60"/>
              <w:rPr>
                <w:rFonts w:ascii="Microsoft JhengHei" w:eastAsia="Microsoft JhengHei" w:hint="eastAsia"/>
                <w:b/>
                <w:sz w:val="21"/>
              </w:rPr>
            </w:pPr>
            <w:r>
              <w:rPr>
                <w:rFonts w:ascii="Microsoft JhengHei" w:eastAsia="Microsoft JhengHei" w:hint="eastAsia"/>
                <w:b/>
                <w:sz w:val="21"/>
              </w:rPr>
              <w:t>合同解除权的限制</w:t>
            </w:r>
          </w:p>
        </w:tc>
        <w:tc>
          <w:tcPr>
            <w:tcW w:w="7528" w:type="dxa"/>
          </w:tcPr>
          <w:p>
            <w:pPr>
              <w:pStyle w:val="TableParagraph"/>
              <w:spacing w:line="256" w:lineRule="auto" w:before="172"/>
              <w:ind w:right="213"/>
              <w:rPr>
                <w:sz w:val="21"/>
              </w:rPr>
            </w:pPr>
            <w:r>
              <w:rPr>
                <w:sz w:val="21"/>
              </w:rPr>
              <w:t>条款</w:t>
            </w:r>
            <w:r>
              <w:rPr>
                <w:rFonts w:ascii="Times New Roman" w:eastAsia="Times New Roman"/>
                <w:sz w:val="21"/>
              </w:rPr>
              <w:t>6.1</w:t>
            </w:r>
            <w:r>
              <w:rPr>
                <w:sz w:val="21"/>
              </w:rPr>
              <w:t>及</w:t>
            </w:r>
            <w:r>
              <w:rPr>
                <w:rFonts w:ascii="Times New Roman" w:eastAsia="Times New Roman"/>
                <w:sz w:val="21"/>
              </w:rPr>
              <w:t>6.2</w:t>
            </w:r>
            <w:r>
              <w:rPr>
                <w:sz w:val="21"/>
              </w:rPr>
              <w:t>中规定的合同解除权，自本公司知道有解除事由之日起，超过</w:t>
            </w:r>
            <w:r>
              <w:rPr>
                <w:rFonts w:ascii="Times New Roman" w:eastAsia="Times New Roman"/>
                <w:sz w:val="21"/>
              </w:rPr>
              <w:t>30</w:t>
            </w:r>
            <w:r>
              <w:rPr>
                <w:sz w:val="21"/>
              </w:rPr>
              <w:t>日不行使而消灭。</w:t>
            </w:r>
          </w:p>
        </w:tc>
      </w:tr>
      <w:tr>
        <w:trPr>
          <w:trHeight w:val="871" w:hRule="atLeast"/>
        </w:trPr>
        <w:tc>
          <w:tcPr>
            <w:tcW w:w="616" w:type="dxa"/>
          </w:tcPr>
          <w:p>
            <w:pPr>
              <w:pStyle w:val="TableParagraph"/>
              <w:spacing w:before="159"/>
              <w:ind w:left="118" w:right="193"/>
              <w:jc w:val="center"/>
              <w:rPr>
                <w:rFonts w:ascii="Times New Roman"/>
                <w:b/>
                <w:sz w:val="21"/>
              </w:rPr>
            </w:pPr>
            <w:r>
              <w:rPr>
                <w:rFonts w:ascii="Times New Roman"/>
                <w:b/>
                <w:sz w:val="21"/>
              </w:rPr>
              <w:t>6.4</w:t>
            </w:r>
          </w:p>
        </w:tc>
        <w:tc>
          <w:tcPr>
            <w:tcW w:w="1417" w:type="dxa"/>
          </w:tcPr>
          <w:p>
            <w:pPr>
              <w:pStyle w:val="TableParagraph"/>
              <w:spacing w:before="106"/>
              <w:ind w:left="87"/>
              <w:rPr>
                <w:rFonts w:ascii="Microsoft JhengHei" w:eastAsia="Microsoft JhengHei" w:hint="eastAsia"/>
                <w:b/>
                <w:sz w:val="21"/>
              </w:rPr>
            </w:pPr>
            <w:r>
              <w:rPr>
                <w:rFonts w:ascii="Microsoft JhengHei" w:eastAsia="Microsoft JhengHei" w:hint="eastAsia"/>
                <w:b/>
                <w:sz w:val="21"/>
              </w:rPr>
              <w:t>事故鉴定</w:t>
            </w:r>
          </w:p>
        </w:tc>
        <w:tc>
          <w:tcPr>
            <w:tcW w:w="7528" w:type="dxa"/>
          </w:tcPr>
          <w:p>
            <w:pPr>
              <w:pStyle w:val="TableParagraph"/>
              <w:spacing w:line="237" w:lineRule="auto" w:before="129"/>
              <w:ind w:right="192"/>
              <w:rPr>
                <w:sz w:val="21"/>
              </w:rPr>
            </w:pPr>
            <w:r>
              <w:rPr>
                <w:spacing w:val="-8"/>
                <w:sz w:val="21"/>
              </w:rPr>
              <w:t>如果被保险人罹患重疾且重疾原因不明，除法律不允许的情形外，本公司可以要</w:t>
            </w:r>
            <w:r>
              <w:rPr>
                <w:spacing w:val="-5"/>
                <w:sz w:val="21"/>
              </w:rPr>
              <w:t>求解剖检验或要求司法鉴定机构对保险事故进行鉴定。</w:t>
            </w:r>
          </w:p>
        </w:tc>
      </w:tr>
      <w:tr>
        <w:trPr>
          <w:trHeight w:val="921" w:hRule="atLeast"/>
        </w:trPr>
        <w:tc>
          <w:tcPr>
            <w:tcW w:w="616" w:type="dxa"/>
          </w:tcPr>
          <w:p>
            <w:pPr>
              <w:pStyle w:val="TableParagraph"/>
              <w:spacing w:before="190"/>
              <w:ind w:left="118" w:right="193"/>
              <w:jc w:val="center"/>
              <w:rPr>
                <w:rFonts w:ascii="Times New Roman"/>
                <w:b/>
                <w:sz w:val="21"/>
              </w:rPr>
            </w:pPr>
            <w:r>
              <w:rPr>
                <w:rFonts w:ascii="Times New Roman"/>
                <w:b/>
                <w:sz w:val="21"/>
              </w:rPr>
              <w:t>6.5</w:t>
            </w:r>
          </w:p>
        </w:tc>
        <w:tc>
          <w:tcPr>
            <w:tcW w:w="1417" w:type="dxa"/>
          </w:tcPr>
          <w:p>
            <w:pPr>
              <w:pStyle w:val="TableParagraph"/>
              <w:spacing w:before="91"/>
              <w:ind w:left="87"/>
              <w:rPr>
                <w:rFonts w:ascii="Microsoft JhengHei" w:eastAsia="Microsoft JhengHei" w:hint="eastAsia"/>
                <w:b/>
                <w:sz w:val="21"/>
              </w:rPr>
            </w:pPr>
            <w:r>
              <w:rPr>
                <w:rFonts w:ascii="Microsoft JhengHei" w:eastAsia="Microsoft JhengHei" w:hint="eastAsia"/>
                <w:b/>
                <w:sz w:val="21"/>
              </w:rPr>
              <w:t>争议处理</w:t>
            </w:r>
          </w:p>
        </w:tc>
        <w:tc>
          <w:tcPr>
            <w:tcW w:w="7528" w:type="dxa"/>
          </w:tcPr>
          <w:p>
            <w:pPr>
              <w:pStyle w:val="TableParagraph"/>
              <w:spacing w:before="158"/>
              <w:ind w:right="195"/>
              <w:rPr>
                <w:sz w:val="21"/>
              </w:rPr>
            </w:pPr>
            <w:r>
              <w:rPr>
                <w:spacing w:val="-9"/>
                <w:sz w:val="21"/>
              </w:rPr>
              <w:t>因履行本合同发生的争议，当事人协商解决不成，依法向保单签发机构所在地的</w:t>
            </w:r>
            <w:r>
              <w:rPr>
                <w:spacing w:val="-5"/>
                <w:sz w:val="21"/>
              </w:rPr>
              <w:t>人民法院起诉。</w:t>
            </w:r>
          </w:p>
        </w:tc>
      </w:tr>
      <w:tr>
        <w:trPr>
          <w:trHeight w:val="760" w:hRule="atLeast"/>
        </w:trPr>
        <w:tc>
          <w:tcPr>
            <w:tcW w:w="616" w:type="dxa"/>
            <w:tcBorders>
              <w:bottom w:val="single" w:sz="8" w:space="0" w:color="000000"/>
            </w:tcBorders>
          </w:tcPr>
          <w:p>
            <w:pPr>
              <w:pStyle w:val="TableParagraph"/>
              <w:spacing w:before="214"/>
              <w:ind w:left="49"/>
              <w:jc w:val="center"/>
              <w:rPr>
                <w:rFonts w:ascii="Wingdings" w:hAnsi="Wingdings"/>
                <w:sz w:val="44"/>
              </w:rPr>
            </w:pPr>
            <w:r>
              <w:rPr>
                <w:rFonts w:ascii="Wingdings" w:hAnsi="Wingdings"/>
                <w:w w:val="99"/>
                <w:sz w:val="44"/>
              </w:rPr>
              <w:t></w:t>
            </w:r>
          </w:p>
        </w:tc>
        <w:tc>
          <w:tcPr>
            <w:tcW w:w="1417" w:type="dxa"/>
            <w:tcBorders>
              <w:bottom w:val="single" w:sz="8" w:space="0" w:color="000000"/>
            </w:tcBorders>
          </w:tcPr>
          <w:p>
            <w:pPr>
              <w:pStyle w:val="TableParagraph"/>
              <w:spacing w:before="178"/>
              <w:ind w:left="207"/>
              <w:rPr>
                <w:rFonts w:ascii="Microsoft JhengHei" w:eastAsia="Microsoft JhengHei" w:hint="eastAsia"/>
                <w:b/>
                <w:sz w:val="24"/>
              </w:rPr>
            </w:pPr>
            <w:r>
              <w:rPr>
                <w:rFonts w:ascii="Microsoft JhengHei" w:eastAsia="Microsoft JhengHei" w:hint="eastAsia"/>
                <w:b/>
                <w:sz w:val="24"/>
              </w:rPr>
              <w:t>释义</w:t>
            </w:r>
          </w:p>
        </w:tc>
        <w:tc>
          <w:tcPr>
            <w:tcW w:w="7528" w:type="dxa"/>
            <w:tcBorders>
              <w:bottom w:val="single" w:sz="8" w:space="0" w:color="000000"/>
            </w:tcBorders>
          </w:tcPr>
          <w:p>
            <w:pPr>
              <w:pStyle w:val="TableParagraph"/>
              <w:ind w:left="0"/>
              <w:rPr>
                <w:rFonts w:ascii="Times New Roman"/>
                <w:sz w:val="20"/>
              </w:rPr>
            </w:pPr>
          </w:p>
        </w:tc>
      </w:tr>
      <w:tr>
        <w:trPr>
          <w:trHeight w:val="875" w:hRule="atLeast"/>
        </w:trPr>
        <w:tc>
          <w:tcPr>
            <w:tcW w:w="616" w:type="dxa"/>
            <w:tcBorders>
              <w:top w:val="single" w:sz="8" w:space="0" w:color="000000"/>
            </w:tcBorders>
          </w:tcPr>
          <w:p>
            <w:pPr>
              <w:pStyle w:val="TableParagraph"/>
              <w:spacing w:before="11"/>
              <w:ind w:left="0"/>
              <w:rPr>
                <w:rFonts w:ascii="Times New Roman"/>
                <w:sz w:val="17"/>
              </w:rPr>
            </w:pPr>
          </w:p>
          <w:p>
            <w:pPr>
              <w:pStyle w:val="TableParagraph"/>
              <w:ind w:left="118" w:right="194"/>
              <w:jc w:val="center"/>
              <w:rPr>
                <w:rFonts w:ascii="Times New Roman"/>
                <w:b/>
                <w:sz w:val="21"/>
              </w:rPr>
            </w:pPr>
            <w:r>
              <w:rPr>
                <w:rFonts w:ascii="Times New Roman"/>
                <w:b/>
                <w:sz w:val="21"/>
              </w:rPr>
              <w:t>7.1</w:t>
            </w:r>
          </w:p>
        </w:tc>
        <w:tc>
          <w:tcPr>
            <w:tcW w:w="1417" w:type="dxa"/>
            <w:tcBorders>
              <w:top w:val="single" w:sz="8" w:space="0" w:color="000000"/>
            </w:tcBorders>
          </w:tcPr>
          <w:p>
            <w:pPr>
              <w:pStyle w:val="TableParagraph"/>
              <w:spacing w:before="107"/>
              <w:ind w:left="87"/>
              <w:rPr>
                <w:rFonts w:ascii="Microsoft JhengHei" w:eastAsia="Microsoft JhengHei" w:hint="eastAsia"/>
                <w:b/>
                <w:sz w:val="21"/>
              </w:rPr>
            </w:pPr>
            <w:r>
              <w:rPr>
                <w:rFonts w:ascii="Microsoft JhengHei" w:eastAsia="Microsoft JhengHei" w:hint="eastAsia"/>
                <w:b/>
                <w:sz w:val="21"/>
              </w:rPr>
              <w:t>周岁</w:t>
            </w:r>
          </w:p>
        </w:tc>
        <w:tc>
          <w:tcPr>
            <w:tcW w:w="7528" w:type="dxa"/>
            <w:tcBorders>
              <w:top w:val="single" w:sz="8" w:space="0" w:color="000000"/>
            </w:tcBorders>
          </w:tcPr>
          <w:p>
            <w:pPr>
              <w:pStyle w:val="TableParagraph"/>
              <w:spacing w:line="237" w:lineRule="auto" w:before="177"/>
              <w:ind w:right="106"/>
              <w:rPr>
                <w:sz w:val="21"/>
              </w:rPr>
            </w:pPr>
            <w:r>
              <w:rPr>
                <w:sz w:val="21"/>
              </w:rPr>
              <w:t>指按法定身份证明文件中记载的出生日期计算的年龄，自出生之日起为零周岁， 每经过一年增加一岁，不足一年的不计。</w:t>
            </w:r>
          </w:p>
        </w:tc>
      </w:tr>
      <w:tr>
        <w:trPr>
          <w:trHeight w:val="802" w:hRule="atLeast"/>
        </w:trPr>
        <w:tc>
          <w:tcPr>
            <w:tcW w:w="616" w:type="dxa"/>
          </w:tcPr>
          <w:p>
            <w:pPr>
              <w:pStyle w:val="TableParagraph"/>
              <w:spacing w:before="147"/>
              <w:ind w:left="118" w:right="194"/>
              <w:jc w:val="center"/>
              <w:rPr>
                <w:rFonts w:ascii="Times New Roman"/>
                <w:b/>
                <w:sz w:val="21"/>
              </w:rPr>
            </w:pPr>
            <w:r>
              <w:rPr>
                <w:rFonts w:ascii="Times New Roman"/>
                <w:b/>
                <w:sz w:val="21"/>
              </w:rPr>
              <w:t>7.2</w:t>
            </w:r>
          </w:p>
        </w:tc>
        <w:tc>
          <w:tcPr>
            <w:tcW w:w="1417" w:type="dxa"/>
          </w:tcPr>
          <w:p>
            <w:pPr>
              <w:pStyle w:val="TableParagraph"/>
              <w:spacing w:before="48"/>
              <w:ind w:left="87"/>
              <w:rPr>
                <w:rFonts w:ascii="Microsoft JhengHei" w:eastAsia="Microsoft JhengHei" w:hint="eastAsia"/>
                <w:b/>
                <w:sz w:val="21"/>
              </w:rPr>
            </w:pPr>
            <w:r>
              <w:rPr>
                <w:rFonts w:ascii="Microsoft JhengHei" w:eastAsia="Microsoft JhengHei" w:hint="eastAsia"/>
                <w:b/>
                <w:sz w:val="21"/>
              </w:rPr>
              <w:t>有效身份证件</w:t>
            </w:r>
          </w:p>
        </w:tc>
        <w:tc>
          <w:tcPr>
            <w:tcW w:w="7528" w:type="dxa"/>
          </w:tcPr>
          <w:p>
            <w:pPr>
              <w:pStyle w:val="TableParagraph"/>
              <w:spacing w:before="114"/>
              <w:ind w:right="194"/>
              <w:rPr>
                <w:sz w:val="21"/>
              </w:rPr>
            </w:pPr>
            <w:r>
              <w:rPr>
                <w:spacing w:val="-9"/>
                <w:sz w:val="21"/>
              </w:rPr>
              <w:t>指依据法律规定，由有权机构制作颁发的证明身份的证件、文件等，如：居民身</w:t>
            </w:r>
            <w:r>
              <w:rPr>
                <w:spacing w:val="-5"/>
                <w:sz w:val="21"/>
              </w:rPr>
              <w:t>份证、护照、军人证等。</w:t>
            </w:r>
          </w:p>
        </w:tc>
      </w:tr>
      <w:tr>
        <w:trPr>
          <w:trHeight w:val="1329" w:hRule="atLeast"/>
        </w:trPr>
        <w:tc>
          <w:tcPr>
            <w:tcW w:w="616" w:type="dxa"/>
          </w:tcPr>
          <w:p>
            <w:pPr>
              <w:pStyle w:val="TableParagraph"/>
              <w:spacing w:before="131"/>
              <w:ind w:left="118" w:right="193"/>
              <w:jc w:val="center"/>
              <w:rPr>
                <w:rFonts w:ascii="Times New Roman"/>
                <w:b/>
                <w:sz w:val="21"/>
              </w:rPr>
            </w:pPr>
            <w:r>
              <w:rPr>
                <w:rFonts w:ascii="Times New Roman"/>
                <w:b/>
                <w:sz w:val="21"/>
              </w:rPr>
              <w:t>7.3</w:t>
            </w:r>
          </w:p>
        </w:tc>
        <w:tc>
          <w:tcPr>
            <w:tcW w:w="1417" w:type="dxa"/>
          </w:tcPr>
          <w:p>
            <w:pPr>
              <w:pStyle w:val="TableParagraph"/>
              <w:spacing w:before="32"/>
              <w:ind w:left="87"/>
              <w:rPr>
                <w:rFonts w:ascii="Microsoft JhengHei" w:eastAsia="Microsoft JhengHei" w:hint="eastAsia"/>
                <w:b/>
                <w:sz w:val="21"/>
              </w:rPr>
            </w:pPr>
            <w:r>
              <w:rPr>
                <w:rFonts w:ascii="Microsoft JhengHei" w:eastAsia="Microsoft JhengHei" w:hint="eastAsia"/>
                <w:b/>
                <w:sz w:val="21"/>
              </w:rPr>
              <w:t>医院</w:t>
            </w:r>
          </w:p>
        </w:tc>
        <w:tc>
          <w:tcPr>
            <w:tcW w:w="7528" w:type="dxa"/>
          </w:tcPr>
          <w:p>
            <w:pPr>
              <w:pStyle w:val="TableParagraph"/>
              <w:spacing w:line="237" w:lineRule="auto" w:before="102"/>
              <w:ind w:right="192"/>
              <w:jc w:val="both"/>
              <w:rPr>
                <w:sz w:val="21"/>
              </w:rPr>
            </w:pPr>
            <w:r>
              <w:rPr>
                <w:spacing w:val="-8"/>
                <w:sz w:val="21"/>
              </w:rPr>
              <w:t>指本公司与投保人约定的定点医院，未约定定点医院的，则指依法设立的国家卫</w:t>
            </w:r>
            <w:r>
              <w:rPr>
                <w:spacing w:val="-9"/>
                <w:sz w:val="21"/>
              </w:rPr>
              <w:t>生部医院等级分类中的二级或以上医疗机构，但不包括民办医院、疗养院、护理</w:t>
            </w:r>
            <w:r>
              <w:rPr>
                <w:spacing w:val="-12"/>
                <w:sz w:val="21"/>
              </w:rPr>
              <w:t>院、康复中心、戒酒或戒毒中心、精神心理治疗中心以及无相应医护人员或设备</w:t>
            </w:r>
            <w:r>
              <w:rPr>
                <w:spacing w:val="-6"/>
                <w:sz w:val="21"/>
              </w:rPr>
              <w:t>的二级或三级医院的联合医院或联合病房。</w:t>
            </w:r>
          </w:p>
        </w:tc>
      </w:tr>
      <w:tr>
        <w:trPr>
          <w:trHeight w:val="1899" w:hRule="atLeast"/>
        </w:trPr>
        <w:tc>
          <w:tcPr>
            <w:tcW w:w="616" w:type="dxa"/>
          </w:tcPr>
          <w:p>
            <w:pPr>
              <w:pStyle w:val="TableParagraph"/>
              <w:spacing w:before="131"/>
              <w:ind w:left="118" w:right="193"/>
              <w:jc w:val="center"/>
              <w:rPr>
                <w:rFonts w:ascii="Times New Roman"/>
                <w:b/>
                <w:sz w:val="21"/>
              </w:rPr>
            </w:pPr>
            <w:r>
              <w:rPr>
                <w:rFonts w:ascii="Times New Roman"/>
                <w:b/>
                <w:sz w:val="21"/>
              </w:rPr>
              <w:t>7.4</w:t>
            </w:r>
          </w:p>
        </w:tc>
        <w:tc>
          <w:tcPr>
            <w:tcW w:w="1417" w:type="dxa"/>
          </w:tcPr>
          <w:p>
            <w:pPr>
              <w:pStyle w:val="TableParagraph"/>
              <w:spacing w:before="32"/>
              <w:ind w:left="87"/>
              <w:rPr>
                <w:rFonts w:ascii="Microsoft JhengHei" w:eastAsia="Microsoft JhengHei" w:hint="eastAsia"/>
                <w:b/>
                <w:sz w:val="21"/>
              </w:rPr>
            </w:pPr>
            <w:r>
              <w:rPr>
                <w:rFonts w:ascii="Microsoft JhengHei" w:eastAsia="Microsoft JhengHei" w:hint="eastAsia"/>
                <w:b/>
                <w:sz w:val="21"/>
              </w:rPr>
              <w:t>专科医生</w:t>
            </w:r>
          </w:p>
        </w:tc>
        <w:tc>
          <w:tcPr>
            <w:tcW w:w="7528" w:type="dxa"/>
          </w:tcPr>
          <w:p>
            <w:pPr>
              <w:pStyle w:val="TableParagraph"/>
              <w:spacing w:line="274" w:lineRule="exact" w:before="99"/>
              <w:rPr>
                <w:sz w:val="21"/>
              </w:rPr>
            </w:pPr>
            <w:r>
              <w:rPr>
                <w:sz w:val="21"/>
              </w:rPr>
              <w:t>专科医生应当同时满足以下四项资格条件：</w:t>
            </w:r>
          </w:p>
          <w:p>
            <w:pPr>
              <w:pStyle w:val="TableParagraph"/>
              <w:spacing w:line="280" w:lineRule="exact"/>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line="272" w:lineRule="exact"/>
              <w:rPr>
                <w:sz w:val="21"/>
              </w:rPr>
            </w:pPr>
            <w:r>
              <w:rPr>
                <w:spacing w:val="-22"/>
                <w:sz w:val="21"/>
              </w:rPr>
              <w:t>（</w:t>
            </w:r>
            <w:r>
              <w:rPr>
                <w:rFonts w:ascii="Times New Roman" w:eastAsia="Times New Roman"/>
                <w:spacing w:val="-22"/>
                <w:sz w:val="21"/>
              </w:rPr>
              <w:t>2</w:t>
            </w:r>
            <w:r>
              <w:rPr>
                <w:spacing w:val="-22"/>
                <w:sz w:val="21"/>
              </w:rPr>
              <w:t>）</w:t>
            </w:r>
            <w:r>
              <w:rPr>
                <w:spacing w:val="-17"/>
                <w:sz w:val="21"/>
              </w:rPr>
              <w:t>具有有效的中华人民共和国《医师执业证书》，并按期到相关部门登记注册；</w:t>
            </w:r>
          </w:p>
          <w:p>
            <w:pPr>
              <w:pStyle w:val="TableParagraph"/>
              <w:spacing w:line="223" w:lineRule="auto" w:before="11"/>
              <w:ind w:right="197"/>
              <w:rPr>
                <w:sz w:val="21"/>
              </w:rPr>
            </w:pPr>
            <w:r>
              <w:rPr>
                <w:sz w:val="21"/>
              </w:rPr>
              <w:t>（</w:t>
            </w:r>
            <w:r>
              <w:rPr>
                <w:rFonts w:ascii="Times New Roman" w:eastAsia="Times New Roman"/>
                <w:sz w:val="21"/>
              </w:rPr>
              <w:t>3</w:t>
            </w:r>
            <w:r>
              <w:rPr>
                <w:sz w:val="21"/>
              </w:rPr>
              <w:t>）具有有效的中华人民共和国主治医师或主治医师以上职称的《医师职称证书》；</w:t>
            </w:r>
          </w:p>
          <w:p>
            <w:pPr>
              <w:pStyle w:val="TableParagraph"/>
              <w:spacing w:line="289" w:lineRule="exact"/>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1199" w:hRule="atLeast"/>
        </w:trPr>
        <w:tc>
          <w:tcPr>
            <w:tcW w:w="616" w:type="dxa"/>
          </w:tcPr>
          <w:p>
            <w:pPr>
              <w:pStyle w:val="TableParagraph"/>
              <w:spacing w:before="138"/>
              <w:ind w:left="118" w:right="193"/>
              <w:jc w:val="center"/>
              <w:rPr>
                <w:rFonts w:ascii="Times New Roman"/>
                <w:b/>
                <w:sz w:val="21"/>
              </w:rPr>
            </w:pPr>
            <w:r>
              <w:rPr>
                <w:rFonts w:ascii="Times New Roman"/>
                <w:b/>
                <w:sz w:val="21"/>
              </w:rPr>
              <w:t>7.5</w:t>
            </w:r>
          </w:p>
        </w:tc>
        <w:tc>
          <w:tcPr>
            <w:tcW w:w="1417" w:type="dxa"/>
          </w:tcPr>
          <w:p>
            <w:pPr>
              <w:pStyle w:val="TableParagraph"/>
              <w:spacing w:before="38"/>
              <w:ind w:left="87"/>
              <w:rPr>
                <w:rFonts w:ascii="Microsoft JhengHei" w:eastAsia="Microsoft JhengHei" w:hint="eastAsia"/>
                <w:b/>
                <w:sz w:val="21"/>
              </w:rPr>
            </w:pPr>
            <w:r>
              <w:rPr>
                <w:rFonts w:ascii="Microsoft JhengHei" w:eastAsia="Microsoft JhengHei" w:hint="eastAsia"/>
                <w:b/>
                <w:sz w:val="21"/>
              </w:rPr>
              <w:t>重大疾病</w:t>
            </w:r>
          </w:p>
        </w:tc>
        <w:tc>
          <w:tcPr>
            <w:tcW w:w="7528" w:type="dxa"/>
          </w:tcPr>
          <w:p>
            <w:pPr>
              <w:pStyle w:val="TableParagraph"/>
              <w:spacing w:line="225" w:lineRule="auto" w:before="123"/>
              <w:ind w:right="194"/>
              <w:rPr>
                <w:sz w:val="21"/>
              </w:rPr>
            </w:pPr>
            <w:r>
              <w:rPr>
                <w:spacing w:val="-7"/>
                <w:sz w:val="21"/>
              </w:rPr>
              <w:t>本合同所定义的重大疾病共有 </w:t>
            </w:r>
            <w:r>
              <w:rPr>
                <w:rFonts w:ascii="Times New Roman" w:hAnsi="Times New Roman" w:eastAsia="Times New Roman"/>
                <w:sz w:val="21"/>
              </w:rPr>
              <w:t>31 </w:t>
            </w:r>
            <w:r>
              <w:rPr>
                <w:spacing w:val="-25"/>
                <w:sz w:val="21"/>
              </w:rPr>
              <w:t>种，其中第 </w:t>
            </w:r>
            <w:r>
              <w:rPr>
                <w:rFonts w:ascii="Times New Roman" w:hAnsi="Times New Roman" w:eastAsia="Times New Roman"/>
                <w:sz w:val="21"/>
              </w:rPr>
              <w:t>1 </w:t>
            </w:r>
            <w:r>
              <w:rPr>
                <w:spacing w:val="-24"/>
                <w:sz w:val="21"/>
              </w:rPr>
              <w:t>至 </w:t>
            </w:r>
            <w:r>
              <w:rPr>
                <w:rFonts w:ascii="Times New Roman" w:hAnsi="Times New Roman" w:eastAsia="Times New Roman"/>
                <w:sz w:val="21"/>
              </w:rPr>
              <w:t>16 </w:t>
            </w:r>
            <w:r>
              <w:rPr>
                <w:spacing w:val="-3"/>
                <w:sz w:val="21"/>
              </w:rPr>
              <w:t>种重大疾病为中国保险行业</w:t>
            </w:r>
            <w:r>
              <w:rPr>
                <w:spacing w:val="-8"/>
                <w:sz w:val="21"/>
              </w:rPr>
              <w:t>协会颁布的《重大疾病保险的疾病定义使用规范》</w:t>
            </w:r>
            <w:r>
              <w:rPr>
                <w:sz w:val="21"/>
              </w:rPr>
              <w:t>（以下简称</w:t>
            </w:r>
            <w:r>
              <w:rPr>
                <w:rFonts w:ascii="Times New Roman" w:hAnsi="Times New Roman" w:eastAsia="Times New Roman"/>
                <w:sz w:val="21"/>
              </w:rPr>
              <w:t>“</w:t>
            </w:r>
            <w:r>
              <w:rPr>
                <w:sz w:val="21"/>
              </w:rPr>
              <w:t>规范</w:t>
            </w:r>
            <w:r>
              <w:rPr>
                <w:rFonts w:ascii="Times New Roman" w:hAnsi="Times New Roman" w:eastAsia="Times New Roman"/>
                <w:sz w:val="21"/>
              </w:rPr>
              <w:t>”</w:t>
            </w:r>
            <w:r>
              <w:rPr>
                <w:sz w:val="21"/>
              </w:rPr>
              <w:t>）规定的疾</w:t>
            </w:r>
          </w:p>
          <w:p>
            <w:pPr>
              <w:pStyle w:val="TableParagraph"/>
              <w:spacing w:line="274" w:lineRule="exact" w:before="6"/>
              <w:ind w:right="198"/>
              <w:rPr>
                <w:sz w:val="21"/>
              </w:rPr>
            </w:pPr>
            <w:r>
              <w:rPr>
                <w:spacing w:val="-6"/>
                <w:sz w:val="21"/>
              </w:rPr>
              <w:t>病，且疾病名称和疾病定义与</w:t>
            </w:r>
            <w:r>
              <w:rPr>
                <w:rFonts w:ascii="Times New Roman" w:hAnsi="Times New Roman" w:eastAsia="Times New Roman"/>
                <w:spacing w:val="-3"/>
                <w:sz w:val="21"/>
              </w:rPr>
              <w:t>“</w:t>
            </w:r>
            <w:r>
              <w:rPr>
                <w:sz w:val="21"/>
              </w:rPr>
              <w:t>规范</w:t>
            </w:r>
            <w:r>
              <w:rPr>
                <w:rFonts w:ascii="Times New Roman" w:hAnsi="Times New Roman" w:eastAsia="Times New Roman"/>
                <w:spacing w:val="-3"/>
                <w:sz w:val="21"/>
              </w:rPr>
              <w:t>”</w:t>
            </w:r>
            <w:r>
              <w:rPr>
                <w:spacing w:val="-14"/>
                <w:sz w:val="21"/>
              </w:rPr>
              <w:t>一致，第 </w:t>
            </w:r>
            <w:r>
              <w:rPr>
                <w:rFonts w:ascii="Times New Roman" w:hAnsi="Times New Roman" w:eastAsia="Times New Roman"/>
                <w:sz w:val="21"/>
              </w:rPr>
              <w:t>17 </w:t>
            </w:r>
            <w:r>
              <w:rPr>
                <w:spacing w:val="-16"/>
                <w:sz w:val="21"/>
              </w:rPr>
              <w:t>至第 </w:t>
            </w:r>
            <w:r>
              <w:rPr>
                <w:rFonts w:ascii="Times New Roman" w:hAnsi="Times New Roman" w:eastAsia="Times New Roman"/>
                <w:sz w:val="21"/>
              </w:rPr>
              <w:t>31 </w:t>
            </w:r>
            <w:r>
              <w:rPr>
                <w:spacing w:val="-3"/>
                <w:sz w:val="21"/>
              </w:rPr>
              <w:t>种重大疾病为</w:t>
            </w:r>
            <w:r>
              <w:rPr>
                <w:rFonts w:ascii="Times New Roman" w:hAnsi="Times New Roman" w:eastAsia="Times New Roman"/>
                <w:spacing w:val="-3"/>
                <w:sz w:val="21"/>
              </w:rPr>
              <w:t>“</w:t>
            </w:r>
            <w:r>
              <w:rPr>
                <w:sz w:val="21"/>
              </w:rPr>
              <w:t>规范</w:t>
            </w:r>
            <w:r>
              <w:rPr>
                <w:rFonts w:ascii="Times New Roman" w:hAnsi="Times New Roman" w:eastAsia="Times New Roman"/>
                <w:spacing w:val="-3"/>
                <w:sz w:val="21"/>
              </w:rPr>
              <w:t>”</w:t>
            </w:r>
            <w:r>
              <w:rPr>
                <w:sz w:val="21"/>
              </w:rPr>
              <w:t>规</w:t>
            </w:r>
            <w:r>
              <w:rPr>
                <w:spacing w:val="-3"/>
                <w:sz w:val="21"/>
              </w:rPr>
              <w:t>定范围之外的疾病。符合定义的重大疾病应当由专科医生明确诊断。</w:t>
            </w:r>
          </w:p>
        </w:tc>
      </w:tr>
    </w:tbl>
    <w:p>
      <w:pPr>
        <w:spacing w:after="0" w:line="274" w:lineRule="exact"/>
        <w:rPr>
          <w:sz w:val="21"/>
        </w:rPr>
        <w:sectPr>
          <w:pgSz w:w="11910" w:h="16840"/>
          <w:pgMar w:header="857" w:footer="683" w:top="1040" w:bottom="880" w:left="1060" w:right="1060"/>
        </w:sectPr>
      </w:pPr>
    </w:p>
    <w:p>
      <w:pPr>
        <w:pStyle w:val="BodyText"/>
        <w:spacing w:before="4"/>
        <w:rPr>
          <w:rFonts w:ascii="Times New Roman"/>
          <w:sz w:val="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3"/>
        <w:gridCol w:w="7528"/>
      </w:tblGrid>
      <w:tr>
        <w:trPr>
          <w:trHeight w:val="3461" w:hRule="atLeast"/>
        </w:trPr>
        <w:tc>
          <w:tcPr>
            <w:tcW w:w="2033" w:type="dxa"/>
            <w:tcBorders>
              <w:top w:val="single" w:sz="6" w:space="0" w:color="000000"/>
            </w:tcBorders>
          </w:tcPr>
          <w:p>
            <w:pPr>
              <w:pStyle w:val="TableParagraph"/>
              <w:spacing w:before="2"/>
              <w:ind w:left="703"/>
              <w:rPr>
                <w:rFonts w:ascii="Microsoft JhengHei" w:eastAsia="Microsoft JhengHei" w:hint="eastAsia"/>
                <w:b/>
                <w:sz w:val="21"/>
              </w:rPr>
            </w:pPr>
            <w:r>
              <w:rPr>
                <w:rFonts w:ascii="Times New Roman" w:eastAsia="Times New Roman"/>
                <w:b/>
                <w:sz w:val="21"/>
              </w:rPr>
              <w:t>1.</w:t>
            </w:r>
            <w:r>
              <w:rPr>
                <w:rFonts w:ascii="Microsoft JhengHei" w:eastAsia="Microsoft JhengHei" w:hint="eastAsia"/>
                <w:b/>
                <w:sz w:val="21"/>
              </w:rPr>
              <w:t>恶性肿瘤</w:t>
            </w:r>
          </w:p>
        </w:tc>
        <w:tc>
          <w:tcPr>
            <w:tcW w:w="7528" w:type="dxa"/>
            <w:tcBorders>
              <w:top w:val="single" w:sz="6" w:space="0" w:color="000000"/>
            </w:tcBorders>
          </w:tcPr>
          <w:p>
            <w:pPr>
              <w:pStyle w:val="TableParagraph"/>
              <w:spacing w:line="232" w:lineRule="auto" w:before="77"/>
              <w:ind w:right="91"/>
              <w:rPr>
                <w:sz w:val="21"/>
              </w:rPr>
            </w:pPr>
            <w:r>
              <w:rPr>
                <w:spacing w:val="-8"/>
                <w:sz w:val="21"/>
              </w:rPr>
              <w:t>指恶性细胞不受控制的进行性增长和扩散，浸润和破坏周围正常组织，可以经血</w:t>
            </w:r>
            <w:r>
              <w:rPr>
                <w:spacing w:val="-16"/>
                <w:sz w:val="21"/>
              </w:rPr>
              <w:t>管、淋巴管和体腔扩散转移到身体其它部位的疾病。经病理学检查结果明确诊断， </w:t>
            </w:r>
            <w:r>
              <w:rPr>
                <w:spacing w:val="-11"/>
                <w:sz w:val="21"/>
              </w:rPr>
              <w:t>临床诊断属于世界卫生组织《疾病和有关健康问题的国际统计分类》</w:t>
            </w:r>
            <w:r>
              <w:rPr>
                <w:sz w:val="21"/>
              </w:rPr>
              <w:t>（</w:t>
            </w:r>
            <w:r>
              <w:rPr>
                <w:rFonts w:ascii="Times New Roman" w:eastAsia="Times New Roman"/>
                <w:sz w:val="21"/>
              </w:rPr>
              <w:t>ICD-10</w:t>
            </w:r>
            <w:r>
              <w:rPr>
                <w:sz w:val="21"/>
              </w:rPr>
              <w:t>） </w:t>
            </w:r>
            <w:r>
              <w:rPr>
                <w:spacing w:val="-3"/>
                <w:sz w:val="21"/>
              </w:rPr>
              <w:t>的恶性肿瘤范畴。</w:t>
            </w:r>
          </w:p>
          <w:p>
            <w:pPr>
              <w:pStyle w:val="TableParagraph"/>
              <w:spacing w:line="272" w:lineRule="exact"/>
              <w:rPr>
                <w:sz w:val="21"/>
              </w:rPr>
            </w:pPr>
            <w:r>
              <w:rPr>
                <w:sz w:val="21"/>
              </w:rPr>
              <w:t>下列疾病不在保障范围内：</w:t>
            </w:r>
          </w:p>
          <w:p>
            <w:pPr>
              <w:pStyle w:val="TableParagraph"/>
              <w:spacing w:line="289" w:lineRule="exact"/>
              <w:rPr>
                <w:sz w:val="21"/>
              </w:rPr>
            </w:pPr>
            <w:r>
              <w:rPr>
                <w:sz w:val="21"/>
              </w:rPr>
              <w:t>（</w:t>
            </w:r>
            <w:r>
              <w:rPr>
                <w:rFonts w:ascii="Times New Roman" w:eastAsia="Times New Roman"/>
                <w:sz w:val="21"/>
              </w:rPr>
              <w:t>1</w:t>
            </w:r>
            <w:r>
              <w:rPr>
                <w:sz w:val="21"/>
              </w:rPr>
              <w:t>）原位癌；</w:t>
            </w:r>
          </w:p>
          <w:p>
            <w:pPr>
              <w:pStyle w:val="TableParagraph"/>
              <w:spacing w:before="11"/>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35"/>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38"/>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5"/>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before="8"/>
              <w:rPr>
                <w:sz w:val="21"/>
              </w:rPr>
            </w:pPr>
            <w:r>
              <w:rPr>
                <w:sz w:val="21"/>
              </w:rPr>
              <w:t>（</w:t>
            </w:r>
            <w:r>
              <w:rPr>
                <w:rFonts w:ascii="Times New Roman" w:eastAsia="Times New Roman"/>
                <w:sz w:val="21"/>
              </w:rPr>
              <w:t>6</w:t>
            </w:r>
            <w:r>
              <w:rPr>
                <w:sz w:val="21"/>
              </w:rPr>
              <w:t>）感染艾滋病病毒或患艾滋病期间所患恶性肿瘤。</w:t>
            </w:r>
          </w:p>
        </w:tc>
      </w:tr>
      <w:tr>
        <w:trPr>
          <w:trHeight w:val="2218" w:hRule="atLeast"/>
        </w:trPr>
        <w:tc>
          <w:tcPr>
            <w:tcW w:w="2033" w:type="dxa"/>
          </w:tcPr>
          <w:p>
            <w:pPr>
              <w:pStyle w:val="TableParagraph"/>
              <w:spacing w:line="180" w:lineRule="auto" w:before="124"/>
              <w:ind w:left="703" w:right="222"/>
              <w:rPr>
                <w:rFonts w:ascii="Microsoft JhengHei" w:eastAsia="Microsoft JhengHei" w:hint="eastAsia"/>
                <w:b/>
                <w:sz w:val="21"/>
              </w:rPr>
            </w:pPr>
            <w:r>
              <w:rPr>
                <w:rFonts w:ascii="Times New Roman" w:eastAsia="Times New Roman"/>
                <w:b/>
                <w:sz w:val="21"/>
              </w:rPr>
              <w:t>2. </w:t>
            </w:r>
            <w:r>
              <w:rPr>
                <w:rFonts w:ascii="Microsoft JhengHei" w:eastAsia="Microsoft JhengHei" w:hint="eastAsia"/>
                <w:b/>
                <w:sz w:val="21"/>
              </w:rPr>
              <w:t>急性心肌梗塞</w:t>
            </w:r>
          </w:p>
        </w:tc>
        <w:tc>
          <w:tcPr>
            <w:tcW w:w="7528" w:type="dxa"/>
          </w:tcPr>
          <w:p>
            <w:pPr>
              <w:pStyle w:val="TableParagraph"/>
              <w:spacing w:before="99"/>
              <w:ind w:right="194"/>
              <w:rPr>
                <w:sz w:val="21"/>
              </w:rPr>
            </w:pPr>
            <w:r>
              <w:rPr>
                <w:spacing w:val="-6"/>
                <w:sz w:val="21"/>
              </w:rPr>
              <w:t>指因冠状动脉阻塞导致的相应区域供血不足造成部分心肌坏死。须满足下列至少</w:t>
            </w:r>
            <w:r>
              <w:rPr>
                <w:spacing w:val="-4"/>
                <w:sz w:val="21"/>
              </w:rPr>
              <w:t>三项条件：</w:t>
            </w:r>
          </w:p>
          <w:p>
            <w:pPr>
              <w:pStyle w:val="TableParagraph"/>
              <w:spacing w:line="279" w:lineRule="exact"/>
              <w:rPr>
                <w:sz w:val="21"/>
              </w:rPr>
            </w:pPr>
            <w:r>
              <w:rPr>
                <w:sz w:val="21"/>
              </w:rPr>
              <w:t>（</w:t>
            </w:r>
            <w:r>
              <w:rPr>
                <w:rFonts w:ascii="Times New Roman" w:eastAsia="Times New Roman"/>
                <w:sz w:val="21"/>
              </w:rPr>
              <w:t>1</w:t>
            </w:r>
            <w:r>
              <w:rPr>
                <w:sz w:val="21"/>
              </w:rPr>
              <w:t>）典型临床表现，例如急性胸痛等；</w:t>
            </w:r>
          </w:p>
          <w:p>
            <w:pPr>
              <w:pStyle w:val="TableParagraph"/>
              <w:spacing w:line="273" w:lineRule="exact"/>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25" w:lineRule="auto" w:before="7"/>
              <w:ind w:right="196"/>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line="287" w:lineRule="exact"/>
              <w:rPr>
                <w:sz w:val="21"/>
              </w:rPr>
            </w:pPr>
            <w:r>
              <w:rPr>
                <w:sz w:val="21"/>
              </w:rPr>
              <w:t>（</w:t>
            </w:r>
            <w:r>
              <w:rPr>
                <w:rFonts w:ascii="Times New Roman" w:eastAsia="Times New Roman"/>
                <w:sz w:val="21"/>
              </w:rPr>
              <w:t>4</w:t>
            </w:r>
            <w:r>
              <w:rPr>
                <w:sz w:val="21"/>
              </w:rPr>
              <w:t>）</w:t>
            </w:r>
            <w:r>
              <w:rPr>
                <w:spacing w:val="-14"/>
                <w:sz w:val="21"/>
              </w:rPr>
              <w:t>发病 </w:t>
            </w:r>
            <w:r>
              <w:rPr>
                <w:rFonts w:ascii="Times New Roman" w:eastAsia="Times New Roman"/>
                <w:sz w:val="21"/>
              </w:rPr>
              <w:t>90 </w:t>
            </w:r>
            <w:r>
              <w:rPr>
                <w:spacing w:val="-5"/>
                <w:sz w:val="21"/>
              </w:rPr>
              <w:t>天后，经检查证实左心室功能降低，如左心室射血分数低于 </w:t>
            </w:r>
            <w:r>
              <w:rPr>
                <w:rFonts w:ascii="Times New Roman" w:eastAsia="Times New Roman"/>
                <w:spacing w:val="-3"/>
                <w:sz w:val="21"/>
              </w:rPr>
              <w:t>50%</w:t>
            </w:r>
            <w:r>
              <w:rPr>
                <w:sz w:val="21"/>
              </w:rPr>
              <w:t>。</w:t>
            </w:r>
          </w:p>
        </w:tc>
      </w:tr>
      <w:tr>
        <w:trPr>
          <w:trHeight w:val="1696" w:hRule="atLeast"/>
        </w:trPr>
        <w:tc>
          <w:tcPr>
            <w:tcW w:w="2033" w:type="dxa"/>
          </w:tcPr>
          <w:p>
            <w:pPr>
              <w:pStyle w:val="TableParagraph"/>
              <w:spacing w:line="180" w:lineRule="auto" w:before="160"/>
              <w:ind w:left="703" w:right="60"/>
              <w:jc w:val="both"/>
              <w:rPr>
                <w:rFonts w:ascii="Microsoft JhengHei" w:eastAsia="Microsoft JhengHei" w:hint="eastAsia"/>
                <w:b/>
                <w:sz w:val="21"/>
              </w:rPr>
            </w:pPr>
            <w:r>
              <w:rPr>
                <w:rFonts w:ascii="Times New Roman" w:eastAsia="Times New Roman"/>
                <w:b/>
                <w:sz w:val="21"/>
              </w:rPr>
              <w:t>3.</w:t>
            </w:r>
            <w:r>
              <w:rPr>
                <w:rFonts w:ascii="Microsoft JhengHei" w:eastAsia="Microsoft JhengHei" w:hint="eastAsia"/>
                <w:b/>
                <w:sz w:val="21"/>
              </w:rPr>
              <w:t>重大器官移植术或造血干细胞移植术</w:t>
            </w:r>
          </w:p>
        </w:tc>
        <w:tc>
          <w:tcPr>
            <w:tcW w:w="7528" w:type="dxa"/>
          </w:tcPr>
          <w:p>
            <w:pPr>
              <w:pStyle w:val="TableParagraph"/>
              <w:spacing w:line="237" w:lineRule="auto" w:before="138"/>
              <w:ind w:right="192"/>
              <w:jc w:val="both"/>
              <w:rPr>
                <w:sz w:val="21"/>
              </w:rPr>
            </w:pPr>
            <w:r>
              <w:rPr>
                <w:spacing w:val="-9"/>
                <w:sz w:val="21"/>
              </w:rPr>
              <w:t>重大器官移植术，指因相应器官功能衰竭，已经实施了肾脏、肝脏、心脏或肺脏</w:t>
            </w:r>
            <w:r>
              <w:rPr>
                <w:spacing w:val="-5"/>
                <w:sz w:val="21"/>
              </w:rPr>
              <w:t>的异体移植手术。</w:t>
            </w:r>
          </w:p>
          <w:p>
            <w:pPr>
              <w:pStyle w:val="TableParagraph"/>
              <w:spacing w:line="237" w:lineRule="auto" w:before="1"/>
              <w:ind w:right="192"/>
              <w:jc w:val="both"/>
              <w:rPr>
                <w:sz w:val="21"/>
              </w:rPr>
            </w:pPr>
            <w:r>
              <w:rPr>
                <w:spacing w:val="-10"/>
                <w:sz w:val="21"/>
              </w:rPr>
              <w:t>造血干细胞移植术，指因造血功能损害或造血系统恶性肿瘤，已经实施了造血干</w:t>
            </w:r>
            <w:r>
              <w:rPr>
                <w:spacing w:val="-20"/>
                <w:sz w:val="21"/>
              </w:rPr>
              <w:t>细胞</w:t>
            </w:r>
            <w:r>
              <w:rPr>
                <w:spacing w:val="-3"/>
                <w:sz w:val="21"/>
              </w:rPr>
              <w:t>（</w:t>
            </w:r>
            <w:r>
              <w:rPr>
                <w:spacing w:val="-6"/>
                <w:sz w:val="21"/>
              </w:rPr>
              <w:t>包括骨髓造血干细胞、外周血造血干细胞和脐血造血干细胞</w:t>
            </w:r>
            <w:r>
              <w:rPr>
                <w:spacing w:val="-29"/>
                <w:sz w:val="21"/>
              </w:rPr>
              <w:t>）</w:t>
            </w:r>
            <w:r>
              <w:rPr>
                <w:spacing w:val="-3"/>
                <w:sz w:val="21"/>
              </w:rPr>
              <w:t>的异体移植手术。</w:t>
            </w:r>
          </w:p>
        </w:tc>
      </w:tr>
      <w:tr>
        <w:trPr>
          <w:trHeight w:val="1382" w:hRule="atLeast"/>
        </w:trPr>
        <w:tc>
          <w:tcPr>
            <w:tcW w:w="2033" w:type="dxa"/>
          </w:tcPr>
          <w:p>
            <w:pPr>
              <w:pStyle w:val="TableParagraph"/>
              <w:spacing w:line="320" w:lineRule="exact" w:before="74"/>
              <w:ind w:left="703"/>
              <w:rPr>
                <w:rFonts w:ascii="Microsoft JhengHei" w:eastAsia="Microsoft JhengHei" w:hint="eastAsia"/>
                <w:b/>
                <w:sz w:val="21"/>
              </w:rPr>
            </w:pPr>
            <w:r>
              <w:rPr>
                <w:rFonts w:ascii="Times New Roman" w:eastAsia="Times New Roman"/>
                <w:b/>
                <w:sz w:val="21"/>
              </w:rPr>
              <w:t>4.</w:t>
            </w:r>
            <w:r>
              <w:rPr>
                <w:rFonts w:ascii="Microsoft JhengHei" w:eastAsia="Microsoft JhengHei" w:hint="eastAsia"/>
                <w:b/>
                <w:sz w:val="21"/>
              </w:rPr>
              <w:t>终末期肾病</w:t>
            </w:r>
          </w:p>
          <w:p>
            <w:pPr>
              <w:pStyle w:val="TableParagraph"/>
              <w:spacing w:line="180" w:lineRule="auto" w:before="45"/>
              <w:ind w:left="703" w:right="60"/>
              <w:jc w:val="both"/>
              <w:rPr>
                <w:rFonts w:ascii="Microsoft JhengHei" w:eastAsia="Microsoft JhengHei" w:hint="eastAsia"/>
                <w:b/>
                <w:sz w:val="21"/>
              </w:rPr>
            </w:pPr>
            <w:r>
              <w:rPr>
                <w:rFonts w:ascii="Microsoft JhengHei" w:eastAsia="Microsoft JhengHei" w:hint="eastAsia"/>
                <w:b/>
                <w:sz w:val="21"/>
              </w:rPr>
              <w:t>（或称慢性肾功能衰竭尿毒症期）</w:t>
            </w:r>
          </w:p>
        </w:tc>
        <w:tc>
          <w:tcPr>
            <w:tcW w:w="7528" w:type="dxa"/>
          </w:tcPr>
          <w:p>
            <w:pPr>
              <w:pStyle w:val="TableParagraph"/>
              <w:spacing w:line="282" w:lineRule="exact" w:before="141"/>
              <w:rPr>
                <w:rFonts w:ascii="Times New Roman" w:eastAsia="Times New Roman"/>
                <w:sz w:val="21"/>
              </w:rPr>
            </w:pPr>
            <w:r>
              <w:rPr>
                <w:sz w:val="21"/>
              </w:rPr>
              <w:t>指双肾功能慢性不可逆性衰竭，达到尿毒症期，经诊断后已经进行了至少 </w:t>
            </w:r>
            <w:r>
              <w:rPr>
                <w:rFonts w:ascii="Times New Roman" w:eastAsia="Times New Roman"/>
                <w:sz w:val="21"/>
              </w:rPr>
              <w:t>90</w:t>
            </w:r>
          </w:p>
          <w:p>
            <w:pPr>
              <w:pStyle w:val="TableParagraph"/>
              <w:spacing w:line="266" w:lineRule="exact"/>
              <w:rPr>
                <w:sz w:val="21"/>
              </w:rPr>
            </w:pPr>
            <w:r>
              <w:rPr>
                <w:sz w:val="21"/>
              </w:rPr>
              <w:t>天的规律性透析治疗或实施了肾脏移植手术。</w:t>
            </w:r>
          </w:p>
        </w:tc>
      </w:tr>
      <w:tr>
        <w:trPr>
          <w:trHeight w:val="784" w:hRule="atLeast"/>
        </w:trPr>
        <w:tc>
          <w:tcPr>
            <w:tcW w:w="2033" w:type="dxa"/>
          </w:tcPr>
          <w:p>
            <w:pPr>
              <w:pStyle w:val="TableParagraph"/>
              <w:spacing w:line="177" w:lineRule="auto" w:before="119"/>
              <w:ind w:left="703" w:right="115"/>
              <w:rPr>
                <w:rFonts w:ascii="Microsoft JhengHei" w:eastAsia="Microsoft JhengHei" w:hint="eastAsia"/>
                <w:b/>
                <w:sz w:val="21"/>
              </w:rPr>
            </w:pPr>
            <w:r>
              <w:rPr>
                <w:rFonts w:ascii="Times New Roman" w:eastAsia="Times New Roman"/>
                <w:b/>
                <w:sz w:val="21"/>
              </w:rPr>
              <w:t>5.</w:t>
            </w:r>
            <w:r>
              <w:rPr>
                <w:rFonts w:ascii="Microsoft JhengHei" w:eastAsia="Microsoft JhengHei" w:hint="eastAsia"/>
                <w:b/>
                <w:sz w:val="21"/>
              </w:rPr>
              <w:t>多个肢体缺失</w:t>
            </w:r>
          </w:p>
        </w:tc>
        <w:tc>
          <w:tcPr>
            <w:tcW w:w="7528" w:type="dxa"/>
          </w:tcPr>
          <w:p>
            <w:pPr>
              <w:pStyle w:val="TableParagraph"/>
              <w:spacing w:line="237" w:lineRule="auto" w:before="93"/>
              <w:ind w:right="420"/>
              <w:rPr>
                <w:sz w:val="21"/>
              </w:rPr>
            </w:pPr>
            <w:r>
              <w:rPr>
                <w:spacing w:val="-7"/>
                <w:sz w:val="21"/>
              </w:rPr>
              <w:t>指因疾病或意外伤害导致两个或两个以上肢体自腕关节或踝关节近端</w:t>
            </w:r>
            <w:r>
              <w:rPr>
                <w:spacing w:val="-3"/>
                <w:sz w:val="21"/>
              </w:rPr>
              <w:t>（</w:t>
            </w:r>
            <w:r>
              <w:rPr>
                <w:spacing w:val="-2"/>
                <w:sz w:val="21"/>
              </w:rPr>
              <w:t>靠近躯干端</w:t>
            </w:r>
            <w:r>
              <w:rPr>
                <w:spacing w:val="-3"/>
                <w:sz w:val="21"/>
              </w:rPr>
              <w:t>）以上完全性断离。</w:t>
            </w:r>
          </w:p>
        </w:tc>
      </w:tr>
      <w:tr>
        <w:trPr>
          <w:trHeight w:val="1884" w:hRule="atLeast"/>
        </w:trPr>
        <w:tc>
          <w:tcPr>
            <w:tcW w:w="2033" w:type="dxa"/>
          </w:tcPr>
          <w:p>
            <w:pPr>
              <w:pStyle w:val="TableParagraph"/>
              <w:spacing w:line="180" w:lineRule="auto" w:before="115"/>
              <w:ind w:left="703" w:right="115"/>
              <w:rPr>
                <w:rFonts w:ascii="Microsoft JhengHei" w:eastAsia="Microsoft JhengHei" w:hint="eastAsia"/>
                <w:b/>
                <w:sz w:val="21"/>
              </w:rPr>
            </w:pPr>
            <w:r>
              <w:rPr>
                <w:rFonts w:ascii="Times New Roman" w:eastAsia="Times New Roman"/>
                <w:b/>
                <w:sz w:val="21"/>
              </w:rPr>
              <w:t>6.</w:t>
            </w:r>
            <w:r>
              <w:rPr>
                <w:rFonts w:ascii="Microsoft JhengHei" w:eastAsia="Microsoft JhengHei" w:hint="eastAsia"/>
                <w:b/>
                <w:sz w:val="21"/>
              </w:rPr>
              <w:t>急性或亚急性重症肝炎</w:t>
            </w:r>
          </w:p>
        </w:tc>
        <w:tc>
          <w:tcPr>
            <w:tcW w:w="7528" w:type="dxa"/>
          </w:tcPr>
          <w:p>
            <w:pPr>
              <w:pStyle w:val="TableParagraph"/>
              <w:spacing w:before="90"/>
              <w:ind w:right="192"/>
              <w:rPr>
                <w:sz w:val="21"/>
              </w:rPr>
            </w:pPr>
            <w:r>
              <w:rPr>
                <w:spacing w:val="-8"/>
                <w:sz w:val="21"/>
              </w:rPr>
              <w:t>指因肝炎病毒感染引起肝脏组织弥漫性坏死，导致急性肝功能衰竭，且经血清学</w:t>
            </w:r>
            <w:r>
              <w:rPr>
                <w:spacing w:val="-5"/>
                <w:sz w:val="21"/>
              </w:rPr>
              <w:t>或病毒学检查证实，并须满足下列全部条件：</w:t>
            </w:r>
          </w:p>
          <w:p>
            <w:pPr>
              <w:pStyle w:val="TableParagraph"/>
              <w:numPr>
                <w:ilvl w:val="0"/>
                <w:numId w:val="6"/>
              </w:numPr>
              <w:tabs>
                <w:tab w:pos="799" w:val="left" w:leader="none"/>
                <w:tab w:pos="800" w:val="left" w:leader="none"/>
              </w:tabs>
              <w:spacing w:line="279" w:lineRule="exact" w:before="0" w:after="0"/>
              <w:ind w:left="799" w:right="0" w:hanging="737"/>
              <w:jc w:val="left"/>
              <w:rPr>
                <w:sz w:val="21"/>
              </w:rPr>
            </w:pPr>
            <w:r>
              <w:rPr>
                <w:spacing w:val="-3"/>
                <w:sz w:val="21"/>
              </w:rPr>
              <w:t>重度黄疸或黄疸迅速加重；</w:t>
            </w:r>
          </w:p>
          <w:p>
            <w:pPr>
              <w:pStyle w:val="TableParagraph"/>
              <w:numPr>
                <w:ilvl w:val="0"/>
                <w:numId w:val="6"/>
              </w:numPr>
              <w:tabs>
                <w:tab w:pos="799" w:val="left" w:leader="none"/>
                <w:tab w:pos="800" w:val="left" w:leader="none"/>
              </w:tabs>
              <w:spacing w:line="272" w:lineRule="exact" w:before="0" w:after="0"/>
              <w:ind w:left="799" w:right="0" w:hanging="737"/>
              <w:jc w:val="left"/>
              <w:rPr>
                <w:sz w:val="21"/>
              </w:rPr>
            </w:pPr>
            <w:r>
              <w:rPr>
                <w:spacing w:val="-3"/>
                <w:sz w:val="21"/>
              </w:rPr>
              <w:t>肝性脑病；</w:t>
            </w:r>
          </w:p>
          <w:p>
            <w:pPr>
              <w:pStyle w:val="TableParagraph"/>
              <w:numPr>
                <w:ilvl w:val="0"/>
                <w:numId w:val="6"/>
              </w:numPr>
              <w:tabs>
                <w:tab w:pos="799" w:val="left" w:leader="none"/>
                <w:tab w:pos="800" w:val="left" w:leader="none"/>
              </w:tabs>
              <w:spacing w:line="272" w:lineRule="exact" w:before="0" w:after="0"/>
              <w:ind w:left="799" w:right="0" w:hanging="737"/>
              <w:jc w:val="left"/>
              <w:rPr>
                <w:sz w:val="21"/>
              </w:rPr>
            </w:pPr>
            <w:r>
              <w:rPr>
                <w:rFonts w:ascii="Times New Roman" w:eastAsia="Times New Roman"/>
                <w:sz w:val="21"/>
              </w:rPr>
              <w:t>B</w:t>
            </w:r>
            <w:r>
              <w:rPr>
                <w:rFonts w:ascii="Times New Roman" w:eastAsia="Times New Roman"/>
                <w:spacing w:val="22"/>
                <w:sz w:val="21"/>
              </w:rPr>
              <w:t> </w:t>
            </w:r>
            <w:r>
              <w:rPr>
                <w:spacing w:val="-3"/>
                <w:sz w:val="21"/>
              </w:rPr>
              <w:t>超或其它影像学检查显示肝脏体积急速萎缩；</w:t>
            </w:r>
          </w:p>
          <w:p>
            <w:pPr>
              <w:pStyle w:val="TableParagraph"/>
              <w:numPr>
                <w:ilvl w:val="0"/>
                <w:numId w:val="6"/>
              </w:numPr>
              <w:tabs>
                <w:tab w:pos="799" w:val="left" w:leader="none"/>
                <w:tab w:pos="800" w:val="left" w:leader="none"/>
              </w:tabs>
              <w:spacing w:line="282" w:lineRule="exact" w:before="0" w:after="0"/>
              <w:ind w:left="799" w:right="0" w:hanging="737"/>
              <w:jc w:val="left"/>
              <w:rPr>
                <w:sz w:val="21"/>
              </w:rPr>
            </w:pPr>
            <w:r>
              <w:rPr>
                <w:spacing w:val="-3"/>
                <w:sz w:val="21"/>
              </w:rPr>
              <w:t>肝功能指标进行性恶化。</w:t>
            </w:r>
          </w:p>
        </w:tc>
      </w:tr>
      <w:tr>
        <w:trPr>
          <w:trHeight w:val="2182" w:hRule="atLeast"/>
        </w:trPr>
        <w:tc>
          <w:tcPr>
            <w:tcW w:w="2033" w:type="dxa"/>
          </w:tcPr>
          <w:p>
            <w:pPr>
              <w:pStyle w:val="TableParagraph"/>
              <w:spacing w:before="16"/>
              <w:ind w:left="703"/>
              <w:rPr>
                <w:rFonts w:ascii="Microsoft JhengHei" w:eastAsia="Microsoft JhengHei" w:hint="eastAsia"/>
                <w:b/>
                <w:sz w:val="21"/>
              </w:rPr>
            </w:pPr>
            <w:r>
              <w:rPr>
                <w:rFonts w:ascii="Times New Roman" w:eastAsia="Times New Roman"/>
                <w:b/>
                <w:sz w:val="21"/>
              </w:rPr>
              <w:t>7.</w:t>
            </w:r>
            <w:r>
              <w:rPr>
                <w:rFonts w:ascii="Microsoft JhengHei" w:eastAsia="Microsoft JhengHei" w:hint="eastAsia"/>
                <w:b/>
                <w:sz w:val="21"/>
              </w:rPr>
              <w:t>良性脑肿瘤</w:t>
            </w:r>
          </w:p>
        </w:tc>
        <w:tc>
          <w:tcPr>
            <w:tcW w:w="7528" w:type="dxa"/>
          </w:tcPr>
          <w:p>
            <w:pPr>
              <w:pStyle w:val="TableParagraph"/>
              <w:spacing w:line="237" w:lineRule="auto" w:before="85"/>
              <w:ind w:right="89"/>
              <w:rPr>
                <w:sz w:val="21"/>
              </w:rPr>
            </w:pPr>
            <w:r>
              <w:rPr>
                <w:spacing w:val="-16"/>
                <w:sz w:val="21"/>
              </w:rPr>
              <w:t>指脑的良性肿瘤，已经引起颅内压增高，临床表现为视神经乳头水肿、精神症状、</w:t>
            </w:r>
            <w:r>
              <w:rPr>
                <w:spacing w:val="-10"/>
                <w:w w:val="100"/>
                <w:sz w:val="21"/>
              </w:rPr>
              <w:t>癫痫及运动感觉障碍等，并危及生命。须由头颅断层扫描</w:t>
            </w:r>
            <w:r>
              <w:rPr>
                <w:spacing w:val="-3"/>
                <w:w w:val="100"/>
                <w:sz w:val="21"/>
              </w:rPr>
              <w:t>（</w:t>
            </w:r>
            <w:r>
              <w:rPr>
                <w:rFonts w:ascii="Times New Roman" w:eastAsia="Times New Roman"/>
                <w:w w:val="100"/>
                <w:sz w:val="21"/>
              </w:rPr>
              <w:t>CT</w:t>
            </w:r>
            <w:r>
              <w:rPr>
                <w:spacing w:val="-108"/>
                <w:w w:val="100"/>
                <w:sz w:val="21"/>
              </w:rPr>
              <w:t>）</w:t>
            </w:r>
            <w:r>
              <w:rPr>
                <w:spacing w:val="-5"/>
                <w:w w:val="100"/>
                <w:sz w:val="21"/>
              </w:rPr>
              <w:t>、核磁共振检查</w:t>
            </w:r>
          </w:p>
          <w:p>
            <w:pPr>
              <w:pStyle w:val="TableParagraph"/>
              <w:spacing w:line="223" w:lineRule="auto" w:before="3"/>
              <w:ind w:right="149"/>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）等影像学检查证实，并须满足下列至少一项条件：</w:t>
            </w:r>
          </w:p>
          <w:p>
            <w:pPr>
              <w:pStyle w:val="TableParagraph"/>
              <w:numPr>
                <w:ilvl w:val="0"/>
                <w:numId w:val="7"/>
              </w:numPr>
              <w:tabs>
                <w:tab w:pos="799" w:val="left" w:leader="none"/>
                <w:tab w:pos="800" w:val="left" w:leader="none"/>
              </w:tabs>
              <w:spacing w:line="280" w:lineRule="exact" w:before="0" w:after="0"/>
              <w:ind w:left="799" w:right="0" w:hanging="737"/>
              <w:jc w:val="left"/>
              <w:rPr>
                <w:sz w:val="21"/>
              </w:rPr>
            </w:pPr>
            <w:r>
              <w:rPr>
                <w:spacing w:val="-3"/>
                <w:sz w:val="21"/>
              </w:rPr>
              <w:t>实际实施了开颅进行的脑肿瘤完全切除或部分切除的手术；</w:t>
            </w:r>
          </w:p>
          <w:p>
            <w:pPr>
              <w:pStyle w:val="TableParagraph"/>
              <w:numPr>
                <w:ilvl w:val="0"/>
                <w:numId w:val="7"/>
              </w:numPr>
              <w:tabs>
                <w:tab w:pos="799" w:val="left" w:leader="none"/>
                <w:tab w:pos="800" w:val="left" w:leader="none"/>
              </w:tabs>
              <w:spacing w:line="281" w:lineRule="exact" w:before="0" w:after="0"/>
              <w:ind w:left="799" w:right="0" w:hanging="737"/>
              <w:jc w:val="left"/>
              <w:rPr>
                <w:sz w:val="21"/>
              </w:rPr>
            </w:pPr>
            <w:r>
              <w:rPr>
                <w:spacing w:val="-3"/>
                <w:sz w:val="21"/>
              </w:rPr>
              <w:t>实际实施了对脑肿瘤进行的放射治疗。</w:t>
            </w:r>
          </w:p>
          <w:p>
            <w:pPr>
              <w:pStyle w:val="TableParagraph"/>
              <w:spacing w:before="11"/>
              <w:rPr>
                <w:sz w:val="21"/>
              </w:rPr>
            </w:pPr>
            <w:r>
              <w:rPr>
                <w:sz w:val="21"/>
              </w:rPr>
              <w:t>脑垂体瘤、脑囊肿、脑血管性疾病不在保障范围内。</w:t>
            </w:r>
          </w:p>
        </w:tc>
      </w:tr>
      <w:tr>
        <w:trPr>
          <w:trHeight w:val="666" w:hRule="atLeast"/>
        </w:trPr>
        <w:tc>
          <w:tcPr>
            <w:tcW w:w="2033" w:type="dxa"/>
          </w:tcPr>
          <w:p>
            <w:pPr>
              <w:pStyle w:val="TableParagraph"/>
              <w:spacing w:line="318" w:lineRule="exact" w:before="37"/>
              <w:ind w:left="703"/>
              <w:rPr>
                <w:rFonts w:ascii="Microsoft JhengHei" w:eastAsia="Microsoft JhengHei" w:hint="eastAsia"/>
                <w:b/>
                <w:sz w:val="21"/>
              </w:rPr>
            </w:pPr>
            <w:r>
              <w:rPr>
                <w:rFonts w:ascii="Times New Roman" w:eastAsia="Times New Roman"/>
                <w:b/>
                <w:sz w:val="21"/>
              </w:rPr>
              <w:t>8.</w:t>
            </w:r>
            <w:r>
              <w:rPr>
                <w:rFonts w:ascii="Microsoft JhengHei" w:eastAsia="Microsoft JhengHei" w:hint="eastAsia"/>
                <w:b/>
                <w:sz w:val="21"/>
              </w:rPr>
              <w:t>脑炎后遗症</w:t>
            </w:r>
          </w:p>
          <w:p>
            <w:pPr>
              <w:pStyle w:val="TableParagraph"/>
              <w:spacing w:line="291" w:lineRule="exact"/>
              <w:ind w:left="703"/>
              <w:rPr>
                <w:rFonts w:ascii="Microsoft JhengHei" w:eastAsia="Microsoft JhengHei" w:hint="eastAsia"/>
                <w:b/>
                <w:sz w:val="21"/>
              </w:rPr>
            </w:pPr>
            <w:r>
              <w:rPr>
                <w:rFonts w:ascii="Microsoft JhengHei" w:eastAsia="Microsoft JhengHei" w:hint="eastAsia"/>
                <w:b/>
                <w:sz w:val="21"/>
              </w:rPr>
              <w:t>或脑膜炎后遗</w:t>
            </w:r>
          </w:p>
        </w:tc>
        <w:tc>
          <w:tcPr>
            <w:tcW w:w="7528" w:type="dxa"/>
          </w:tcPr>
          <w:p>
            <w:pPr>
              <w:pStyle w:val="TableParagraph"/>
              <w:spacing w:line="272" w:lineRule="exact" w:before="131"/>
              <w:ind w:right="194"/>
              <w:rPr>
                <w:sz w:val="21"/>
              </w:rPr>
            </w:pPr>
            <w:r>
              <w:rPr>
                <w:spacing w:val="-7"/>
                <w:sz w:val="21"/>
              </w:rPr>
              <w:t>指因患脑炎或脑膜炎导致的神经系统永久性的功能障碍。神经系统永久性的功能</w:t>
            </w:r>
            <w:r>
              <w:rPr>
                <w:spacing w:val="-9"/>
                <w:sz w:val="21"/>
              </w:rPr>
              <w:t>障碍，指疾病确诊 </w:t>
            </w:r>
            <w:r>
              <w:rPr>
                <w:rFonts w:ascii="Times New Roman" w:eastAsia="Times New Roman"/>
                <w:sz w:val="21"/>
              </w:rPr>
              <w:t>180 </w:t>
            </w:r>
            <w:r>
              <w:rPr>
                <w:spacing w:val="-3"/>
                <w:sz w:val="21"/>
              </w:rPr>
              <w:t>天后，仍遗留下列一种或一种以上障碍：</w:t>
            </w:r>
          </w:p>
        </w:tc>
      </w:tr>
    </w:tbl>
    <w:p>
      <w:pPr>
        <w:spacing w:after="0" w:line="272" w:lineRule="exact"/>
        <w:rPr>
          <w:sz w:val="21"/>
        </w:rPr>
        <w:sectPr>
          <w:pgSz w:w="11910" w:h="16840"/>
          <w:pgMar w:header="857" w:footer="683" w:top="1040" w:bottom="880" w:left="1060" w:right="1060"/>
        </w:sectPr>
      </w:pPr>
    </w:p>
    <w:p>
      <w:pPr>
        <w:pStyle w:val="BodyText"/>
        <w:spacing w:before="4"/>
        <w:rPr>
          <w:rFonts w:ascii="Times New Roman"/>
          <w:sz w:val="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556"/>
      </w:tblGrid>
      <w:tr>
        <w:trPr>
          <w:trHeight w:val="1308" w:hRule="atLeast"/>
        </w:trPr>
        <w:tc>
          <w:tcPr>
            <w:tcW w:w="2006" w:type="dxa"/>
            <w:tcBorders>
              <w:top w:val="single" w:sz="6" w:space="0" w:color="000000"/>
            </w:tcBorders>
          </w:tcPr>
          <w:p>
            <w:pPr>
              <w:pStyle w:val="TableParagraph"/>
              <w:spacing w:before="2"/>
              <w:ind w:left="703"/>
              <w:rPr>
                <w:rFonts w:ascii="Microsoft JhengHei" w:eastAsia="Microsoft JhengHei" w:hint="eastAsia"/>
                <w:b/>
                <w:sz w:val="21"/>
              </w:rPr>
            </w:pPr>
            <w:r>
              <w:rPr>
                <w:rFonts w:ascii="Microsoft JhengHei" w:eastAsia="Microsoft JhengHei" w:hint="eastAsia"/>
                <w:b/>
                <w:w w:val="100"/>
                <w:sz w:val="21"/>
              </w:rPr>
              <w:t>症</w:t>
            </w:r>
          </w:p>
        </w:tc>
        <w:tc>
          <w:tcPr>
            <w:tcW w:w="7556" w:type="dxa"/>
            <w:tcBorders>
              <w:top w:val="single" w:sz="6" w:space="0" w:color="000000"/>
            </w:tcBorders>
          </w:tcPr>
          <w:p>
            <w:pPr>
              <w:pStyle w:val="TableParagraph"/>
              <w:spacing w:line="281" w:lineRule="exact" w:before="69"/>
              <w:ind w:left="89"/>
              <w:rPr>
                <w:sz w:val="21"/>
              </w:rPr>
            </w:pPr>
            <w:r>
              <w:rPr>
                <w:sz w:val="21"/>
              </w:rPr>
              <w:t>（</w:t>
            </w:r>
            <w:r>
              <w:rPr>
                <w:rFonts w:ascii="Times New Roman" w:eastAsia="Times New Roman"/>
                <w:sz w:val="21"/>
              </w:rPr>
              <w:t>1</w:t>
            </w:r>
            <w:r>
              <w:rPr>
                <w:sz w:val="21"/>
              </w:rPr>
              <w:t>）一肢或一肢以上肢体机能完全丧失；</w:t>
            </w:r>
          </w:p>
          <w:p>
            <w:pPr>
              <w:pStyle w:val="TableParagraph"/>
              <w:spacing w:line="239" w:lineRule="exact"/>
              <w:ind w:left="89"/>
              <w:rPr>
                <w:sz w:val="21"/>
              </w:rPr>
            </w:pPr>
            <w:r>
              <w:rPr>
                <w:sz w:val="21"/>
              </w:rPr>
              <w:t>（</w:t>
            </w:r>
            <w:r>
              <w:rPr>
                <w:rFonts w:ascii="Times New Roman" w:eastAsia="Times New Roman"/>
                <w:sz w:val="21"/>
              </w:rPr>
              <w:t>2</w:t>
            </w:r>
            <w:r>
              <w:rPr>
                <w:sz w:val="21"/>
              </w:rPr>
              <w:t>）语言能力或咀嚼吞咽能力完全丧失；</w:t>
            </w:r>
          </w:p>
          <w:p>
            <w:pPr>
              <w:pStyle w:val="TableParagraph"/>
              <w:spacing w:line="310" w:lineRule="exact"/>
              <w:ind w:left="89"/>
              <w:rPr>
                <w:rFonts w:ascii="Times New Roman" w:eastAsia="Times New Roman"/>
                <w:sz w:val="21"/>
              </w:rPr>
            </w:pPr>
            <w:r>
              <w:rPr>
                <w:sz w:val="21"/>
              </w:rPr>
              <w:t>（</w:t>
            </w:r>
            <w:r>
              <w:rPr>
                <w:rFonts w:ascii="Times New Roman" w:eastAsia="Times New Roman"/>
                <w:sz w:val="21"/>
              </w:rPr>
              <w:t>3</w:t>
            </w:r>
            <w:r>
              <w:rPr>
                <w:sz w:val="21"/>
              </w:rPr>
              <w:t>）自主生活能力完全丧失，无法独立完成</w:t>
            </w:r>
            <w:r>
              <w:rPr>
                <w:rFonts w:ascii="Microsoft JhengHei" w:eastAsia="Microsoft JhengHei" w:hint="eastAsia"/>
                <w:b/>
                <w:sz w:val="21"/>
              </w:rPr>
              <w:t>六项基本日常生活活动</w:t>
            </w:r>
            <w:r>
              <w:rPr>
                <w:rFonts w:ascii="Times New Roman" w:eastAsia="Times New Roman"/>
                <w:sz w:val="21"/>
              </w:rPr>
              <w:t>(</w:t>
            </w:r>
            <w:r>
              <w:rPr>
                <w:sz w:val="21"/>
              </w:rPr>
              <w:t>见释义 </w:t>
            </w:r>
            <w:r>
              <w:rPr>
                <w:rFonts w:ascii="Times New Roman" w:eastAsia="Times New Roman"/>
                <w:sz w:val="21"/>
              </w:rPr>
              <w:t>7.15)</w:t>
            </w:r>
          </w:p>
          <w:p>
            <w:pPr>
              <w:pStyle w:val="TableParagraph"/>
              <w:spacing w:line="261" w:lineRule="exact"/>
              <w:ind w:left="89"/>
              <w:rPr>
                <w:sz w:val="21"/>
              </w:rPr>
            </w:pPr>
            <w:r>
              <w:rPr>
                <w:sz w:val="21"/>
              </w:rPr>
              <w:t>中的三项或三项以上。</w:t>
            </w:r>
          </w:p>
        </w:tc>
      </w:tr>
      <w:tr>
        <w:trPr>
          <w:trHeight w:val="1058" w:hRule="atLeast"/>
        </w:trPr>
        <w:tc>
          <w:tcPr>
            <w:tcW w:w="2006" w:type="dxa"/>
          </w:tcPr>
          <w:p>
            <w:pPr>
              <w:pStyle w:val="TableParagraph"/>
              <w:spacing w:before="24"/>
              <w:ind w:left="703"/>
              <w:rPr>
                <w:rFonts w:ascii="Microsoft JhengHei" w:eastAsia="Microsoft JhengHei" w:hint="eastAsia"/>
                <w:b/>
                <w:sz w:val="21"/>
              </w:rPr>
            </w:pPr>
            <w:r>
              <w:rPr>
                <w:rFonts w:ascii="Times New Roman" w:eastAsia="Times New Roman"/>
                <w:b/>
                <w:sz w:val="21"/>
              </w:rPr>
              <w:t>9.</w:t>
            </w:r>
            <w:r>
              <w:rPr>
                <w:rFonts w:ascii="Microsoft JhengHei" w:eastAsia="Microsoft JhengHei" w:hint="eastAsia"/>
                <w:b/>
                <w:sz w:val="21"/>
              </w:rPr>
              <w:t>双耳失聪</w:t>
            </w:r>
          </w:p>
        </w:tc>
        <w:tc>
          <w:tcPr>
            <w:tcW w:w="7556" w:type="dxa"/>
          </w:tcPr>
          <w:p>
            <w:pPr>
              <w:pStyle w:val="TableParagraph"/>
              <w:spacing w:line="353" w:lineRule="exact" w:before="24"/>
              <w:ind w:left="89"/>
              <w:rPr>
                <w:sz w:val="21"/>
              </w:rPr>
            </w:pPr>
            <w:r>
              <w:rPr>
                <w:spacing w:val="-3"/>
                <w:sz w:val="21"/>
              </w:rPr>
              <w:t>指因疾病或意外伤害导致双耳听力</w:t>
            </w:r>
            <w:r>
              <w:rPr>
                <w:rFonts w:ascii="Microsoft JhengHei" w:eastAsia="Microsoft JhengHei" w:hint="eastAsia"/>
                <w:b/>
                <w:sz w:val="21"/>
              </w:rPr>
              <w:t>永久不可逆</w:t>
            </w:r>
            <w:r>
              <w:rPr>
                <w:rFonts w:ascii="Times New Roman" w:eastAsia="Times New Roman"/>
                <w:sz w:val="21"/>
              </w:rPr>
              <w:t>(</w:t>
            </w:r>
            <w:r>
              <w:rPr>
                <w:spacing w:val="-14"/>
                <w:sz w:val="21"/>
              </w:rPr>
              <w:t>见释义 </w:t>
            </w:r>
            <w:r>
              <w:rPr>
                <w:rFonts w:ascii="Times New Roman" w:eastAsia="Times New Roman"/>
                <w:sz w:val="21"/>
              </w:rPr>
              <w:t>7.16)</w:t>
            </w:r>
            <w:r>
              <w:rPr>
                <w:spacing w:val="-28"/>
                <w:sz w:val="21"/>
              </w:rPr>
              <w:t>性丧失，在 </w:t>
            </w:r>
            <w:r>
              <w:rPr>
                <w:rFonts w:ascii="Times New Roman" w:eastAsia="Times New Roman"/>
                <w:sz w:val="21"/>
              </w:rPr>
              <w:t>500 </w:t>
            </w:r>
            <w:r>
              <w:rPr>
                <w:spacing w:val="-2"/>
                <w:sz w:val="21"/>
              </w:rPr>
              <w:t>赫兹、</w:t>
            </w:r>
          </w:p>
          <w:p>
            <w:pPr>
              <w:pStyle w:val="TableParagraph"/>
              <w:spacing w:line="223" w:lineRule="auto" w:before="8"/>
              <w:ind w:left="89" w:right="92"/>
              <w:rPr>
                <w:sz w:val="21"/>
              </w:rPr>
            </w:pPr>
            <w:r>
              <w:rPr>
                <w:rFonts w:ascii="Times New Roman" w:eastAsia="Times New Roman"/>
                <w:sz w:val="21"/>
              </w:rPr>
              <w:t>1000 </w:t>
            </w:r>
            <w:r>
              <w:rPr>
                <w:spacing w:val="-13"/>
                <w:sz w:val="21"/>
              </w:rPr>
              <w:t>赫兹和 </w:t>
            </w:r>
            <w:r>
              <w:rPr>
                <w:rFonts w:ascii="Times New Roman" w:eastAsia="Times New Roman"/>
                <w:sz w:val="21"/>
              </w:rPr>
              <w:t>2000 </w:t>
            </w:r>
            <w:r>
              <w:rPr>
                <w:spacing w:val="-9"/>
                <w:sz w:val="21"/>
              </w:rPr>
              <w:t>赫兹语音频率下，平均听阈大于 </w:t>
            </w:r>
            <w:r>
              <w:rPr>
                <w:rFonts w:ascii="Times New Roman" w:eastAsia="Times New Roman"/>
                <w:sz w:val="21"/>
              </w:rPr>
              <w:t>90 </w:t>
            </w:r>
            <w:r>
              <w:rPr>
                <w:spacing w:val="-5"/>
                <w:sz w:val="21"/>
              </w:rPr>
              <w:t>分贝，且经纯音听力测试、</w:t>
            </w:r>
            <w:r>
              <w:rPr>
                <w:spacing w:val="-4"/>
                <w:sz w:val="21"/>
              </w:rPr>
              <w:t>声导抗检测或听觉诱发电位检测等证实。</w:t>
            </w:r>
          </w:p>
        </w:tc>
      </w:tr>
      <w:tr>
        <w:trPr>
          <w:trHeight w:val="1885" w:hRule="atLeast"/>
        </w:trPr>
        <w:tc>
          <w:tcPr>
            <w:tcW w:w="2006" w:type="dxa"/>
          </w:tcPr>
          <w:p>
            <w:pPr>
              <w:pStyle w:val="TableParagraph"/>
              <w:spacing w:before="24"/>
              <w:ind w:left="703"/>
              <w:rPr>
                <w:rFonts w:ascii="Microsoft JhengHei" w:eastAsia="Microsoft JhengHei" w:hint="eastAsia"/>
                <w:b/>
                <w:sz w:val="21"/>
              </w:rPr>
            </w:pPr>
            <w:r>
              <w:rPr>
                <w:rFonts w:ascii="Times New Roman" w:eastAsia="Times New Roman"/>
                <w:b/>
                <w:sz w:val="21"/>
              </w:rPr>
              <w:t>10.</w:t>
            </w:r>
            <w:r>
              <w:rPr>
                <w:rFonts w:ascii="Microsoft JhengHei" w:eastAsia="Microsoft JhengHei" w:hint="eastAsia"/>
                <w:b/>
                <w:sz w:val="21"/>
              </w:rPr>
              <w:t>双目失明</w:t>
            </w:r>
          </w:p>
        </w:tc>
        <w:tc>
          <w:tcPr>
            <w:tcW w:w="7556" w:type="dxa"/>
          </w:tcPr>
          <w:p>
            <w:pPr>
              <w:pStyle w:val="TableParagraph"/>
              <w:spacing w:before="90"/>
              <w:ind w:left="89" w:right="195"/>
              <w:rPr>
                <w:sz w:val="21"/>
              </w:rPr>
            </w:pPr>
            <w:r>
              <w:rPr>
                <w:spacing w:val="-7"/>
                <w:sz w:val="21"/>
              </w:rPr>
              <w:t>指因疾病或意外伤害导致双眼视力永久不可逆性丧失，双眼中较好眼须满足下列</w:t>
            </w:r>
            <w:r>
              <w:rPr>
                <w:spacing w:val="-5"/>
                <w:sz w:val="21"/>
              </w:rPr>
              <w:t>至少一项条件：</w:t>
            </w:r>
          </w:p>
          <w:p>
            <w:pPr>
              <w:pStyle w:val="TableParagraph"/>
              <w:numPr>
                <w:ilvl w:val="0"/>
                <w:numId w:val="8"/>
              </w:numPr>
              <w:tabs>
                <w:tab w:pos="826" w:val="left" w:leader="none"/>
                <w:tab w:pos="827" w:val="left" w:leader="none"/>
              </w:tabs>
              <w:spacing w:line="279" w:lineRule="exact" w:before="0" w:after="0"/>
              <w:ind w:left="89" w:right="0" w:firstLine="0"/>
              <w:jc w:val="left"/>
              <w:rPr>
                <w:sz w:val="21"/>
              </w:rPr>
            </w:pPr>
            <w:r>
              <w:rPr>
                <w:spacing w:val="-3"/>
                <w:sz w:val="21"/>
              </w:rPr>
              <w:t>眼球缺失或摘除；</w:t>
            </w:r>
          </w:p>
          <w:p>
            <w:pPr>
              <w:pStyle w:val="TableParagraph"/>
              <w:numPr>
                <w:ilvl w:val="0"/>
                <w:numId w:val="8"/>
              </w:numPr>
              <w:tabs>
                <w:tab w:pos="826" w:val="left" w:leader="none"/>
                <w:tab w:pos="827" w:val="left" w:leader="none"/>
              </w:tabs>
              <w:spacing w:line="223" w:lineRule="auto" w:before="12" w:after="0"/>
              <w:ind w:left="89" w:right="195" w:firstLine="0"/>
              <w:jc w:val="left"/>
              <w:rPr>
                <w:sz w:val="21"/>
              </w:rPr>
            </w:pPr>
            <w:r>
              <w:rPr>
                <w:spacing w:val="-4"/>
                <w:sz w:val="21"/>
              </w:rPr>
              <w:t>矫正视力低于 </w:t>
            </w:r>
            <w:r>
              <w:rPr>
                <w:rFonts w:ascii="Times New Roman" w:eastAsia="Times New Roman"/>
                <w:sz w:val="21"/>
              </w:rPr>
              <w:t>0.02</w:t>
            </w:r>
            <w:r>
              <w:rPr>
                <w:sz w:val="21"/>
              </w:rPr>
              <w:t>（</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8"/>
              </w:numPr>
              <w:tabs>
                <w:tab w:pos="826" w:val="left" w:leader="none"/>
                <w:tab w:pos="827" w:val="left" w:leader="none"/>
              </w:tabs>
              <w:spacing w:line="289" w:lineRule="exact" w:before="0" w:after="0"/>
              <w:ind w:left="89" w:right="0" w:firstLine="0"/>
              <w:jc w:val="left"/>
              <w:rPr>
                <w:sz w:val="21"/>
              </w:rPr>
            </w:pPr>
            <w:r>
              <w:rPr>
                <w:spacing w:val="-10"/>
                <w:sz w:val="21"/>
              </w:rPr>
              <w:t>视野半径小于 </w:t>
            </w:r>
            <w:r>
              <w:rPr>
                <w:rFonts w:ascii="Times New Roman" w:eastAsia="Times New Roman"/>
                <w:sz w:val="21"/>
              </w:rPr>
              <w:t>5</w:t>
            </w:r>
            <w:r>
              <w:rPr>
                <w:rFonts w:ascii="Times New Roman" w:eastAsia="Times New Roman"/>
                <w:spacing w:val="0"/>
                <w:sz w:val="21"/>
              </w:rPr>
              <w:t> </w:t>
            </w:r>
            <w:r>
              <w:rPr>
                <w:spacing w:val="-3"/>
                <w:sz w:val="21"/>
              </w:rPr>
              <w:t>度。</w:t>
            </w:r>
          </w:p>
        </w:tc>
      </w:tr>
      <w:tr>
        <w:trPr>
          <w:trHeight w:val="1050" w:hRule="atLeast"/>
        </w:trPr>
        <w:tc>
          <w:tcPr>
            <w:tcW w:w="2006" w:type="dxa"/>
          </w:tcPr>
          <w:p>
            <w:pPr>
              <w:pStyle w:val="TableParagraph"/>
              <w:spacing w:before="16"/>
              <w:ind w:left="703"/>
              <w:rPr>
                <w:rFonts w:ascii="Microsoft JhengHei" w:eastAsia="Microsoft JhengHei" w:hint="eastAsia"/>
                <w:b/>
                <w:sz w:val="21"/>
              </w:rPr>
            </w:pPr>
            <w:r>
              <w:rPr>
                <w:rFonts w:ascii="Times New Roman" w:eastAsia="Times New Roman"/>
                <w:b/>
                <w:sz w:val="21"/>
              </w:rPr>
              <w:t>11.</w:t>
            </w:r>
            <w:r>
              <w:rPr>
                <w:rFonts w:ascii="Microsoft JhengHei" w:eastAsia="Microsoft JhengHei" w:hint="eastAsia"/>
                <w:b/>
                <w:sz w:val="21"/>
              </w:rPr>
              <w:t>瘫痪</w:t>
            </w:r>
          </w:p>
        </w:tc>
        <w:tc>
          <w:tcPr>
            <w:tcW w:w="7556" w:type="dxa"/>
          </w:tcPr>
          <w:p>
            <w:pPr>
              <w:pStyle w:val="TableParagraph"/>
              <w:spacing w:line="230" w:lineRule="auto" w:before="94"/>
              <w:ind w:left="89" w:right="195"/>
              <w:jc w:val="both"/>
              <w:rPr>
                <w:sz w:val="21"/>
              </w:rPr>
            </w:pPr>
            <w:r>
              <w:rPr>
                <w:spacing w:val="-6"/>
                <w:sz w:val="21"/>
              </w:rPr>
              <w:t>指因疾病或意外伤害导致两肢或两肢以上肢体机能永久完全丧失。肢体机能永久</w:t>
            </w:r>
            <w:r>
              <w:rPr>
                <w:spacing w:val="-13"/>
                <w:sz w:val="21"/>
              </w:rPr>
              <w:t>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8"/>
                <w:sz w:val="21"/>
              </w:rPr>
              <w:t>天后，每肢三大关节中的两</w:t>
            </w:r>
            <w:r>
              <w:rPr>
                <w:spacing w:val="-5"/>
                <w:sz w:val="21"/>
              </w:rPr>
              <w:t>大关节仍然完全僵硬，或不能随意识活动。</w:t>
            </w:r>
          </w:p>
        </w:tc>
      </w:tr>
      <w:tr>
        <w:trPr>
          <w:trHeight w:val="2419" w:hRule="atLeast"/>
        </w:trPr>
        <w:tc>
          <w:tcPr>
            <w:tcW w:w="2006" w:type="dxa"/>
          </w:tcPr>
          <w:p>
            <w:pPr>
              <w:pStyle w:val="TableParagraph"/>
              <w:spacing w:line="177" w:lineRule="auto" w:before="119"/>
              <w:ind w:left="703" w:right="195"/>
              <w:rPr>
                <w:rFonts w:ascii="Microsoft JhengHei" w:eastAsia="Microsoft JhengHei" w:hint="eastAsia"/>
                <w:b/>
                <w:sz w:val="21"/>
              </w:rPr>
            </w:pPr>
            <w:r>
              <w:rPr>
                <w:rFonts w:ascii="Times New Roman" w:eastAsia="Times New Roman"/>
                <w:b/>
                <w:sz w:val="21"/>
              </w:rPr>
              <w:t>12.</w:t>
            </w:r>
            <w:r>
              <w:rPr>
                <w:rFonts w:ascii="Microsoft JhengHei" w:eastAsia="Microsoft JhengHei" w:hint="eastAsia"/>
                <w:b/>
                <w:sz w:val="21"/>
              </w:rPr>
              <w:t>严重脑损伤</w:t>
            </w:r>
          </w:p>
        </w:tc>
        <w:tc>
          <w:tcPr>
            <w:tcW w:w="7556" w:type="dxa"/>
          </w:tcPr>
          <w:p>
            <w:pPr>
              <w:pStyle w:val="TableParagraph"/>
              <w:spacing w:line="228" w:lineRule="auto" w:before="104"/>
              <w:ind w:left="89" w:right="92"/>
              <w:rPr>
                <w:sz w:val="21"/>
              </w:rPr>
            </w:pPr>
            <w:r>
              <w:rPr>
                <w:spacing w:val="-9"/>
                <w:sz w:val="21"/>
              </w:rPr>
              <w:t>指因头部遭受机械性外力，引起脑重要部位损伤，导致神经系统永久性的功能障</w:t>
            </w:r>
            <w:r>
              <w:rPr>
                <w:spacing w:val="-22"/>
                <w:w w:val="100"/>
                <w:sz w:val="21"/>
              </w:rPr>
              <w:t>碍。须由头颅断层扫描</w:t>
            </w:r>
            <w:r>
              <w:rPr>
                <w:spacing w:val="-2"/>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26"/>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82"/>
                <w:w w:val="100"/>
                <w:sz w:val="21"/>
              </w:rPr>
              <w:t>）</w:t>
            </w:r>
            <w:r>
              <w:rPr>
                <w:spacing w:val="-12"/>
                <w:w w:val="100"/>
                <w:sz w:val="21"/>
              </w:rPr>
              <w:t>或正电子发射断层扫描</w:t>
            </w:r>
            <w:r>
              <w:rPr>
                <w:spacing w:val="-3"/>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spacing w:val="-2"/>
                <w:w w:val="100"/>
                <w:sz w:val="21"/>
              </w:rPr>
              <w:t>T</w:t>
            </w:r>
            <w:r>
              <w:rPr>
                <w:w w:val="100"/>
                <w:sz w:val="21"/>
              </w:rPr>
              <w:t>）</w:t>
            </w:r>
            <w:r>
              <w:rPr>
                <w:spacing w:val="-3"/>
                <w:sz w:val="21"/>
              </w:rPr>
              <w:t>等影像学检查证实。神经系统永久性的功能障碍，指脑损伤 </w:t>
            </w:r>
            <w:r>
              <w:rPr>
                <w:rFonts w:ascii="Times New Roman" w:eastAsia="Times New Roman"/>
                <w:sz w:val="21"/>
              </w:rPr>
              <w:t>180 </w:t>
            </w:r>
            <w:r>
              <w:rPr>
                <w:spacing w:val="-3"/>
                <w:sz w:val="21"/>
              </w:rPr>
              <w:t>天后，仍遗留下列一种或一种以上障碍：</w:t>
            </w:r>
          </w:p>
          <w:p>
            <w:pPr>
              <w:pStyle w:val="TableParagraph"/>
              <w:spacing w:line="250" w:lineRule="exact"/>
              <w:ind w:left="89"/>
              <w:rPr>
                <w:sz w:val="21"/>
              </w:rPr>
            </w:pPr>
            <w:r>
              <w:rPr>
                <w:sz w:val="21"/>
              </w:rPr>
              <w:t>（</w:t>
            </w:r>
            <w:r>
              <w:rPr>
                <w:rFonts w:ascii="Times New Roman" w:eastAsia="Times New Roman"/>
                <w:sz w:val="21"/>
              </w:rPr>
              <w:t>1</w:t>
            </w:r>
            <w:r>
              <w:rPr>
                <w:sz w:val="21"/>
              </w:rPr>
              <w:t>）一肢或一肢以上</w:t>
            </w:r>
            <w:r>
              <w:rPr>
                <w:rFonts w:ascii="Microsoft JhengHei" w:eastAsia="Microsoft JhengHei" w:hint="eastAsia"/>
                <w:b/>
                <w:sz w:val="21"/>
              </w:rPr>
              <w:t>肢体机能完全丧失</w:t>
            </w:r>
            <w:r>
              <w:rPr>
                <w:rFonts w:ascii="Times New Roman" w:eastAsia="Times New Roman"/>
                <w:sz w:val="21"/>
              </w:rPr>
              <w:t>(</w:t>
            </w:r>
            <w:r>
              <w:rPr>
                <w:sz w:val="21"/>
              </w:rPr>
              <w:t>见释义 </w:t>
            </w:r>
            <w:r>
              <w:rPr>
                <w:rFonts w:ascii="Times New Roman" w:eastAsia="Times New Roman"/>
                <w:sz w:val="21"/>
              </w:rPr>
              <w:t>7.17)</w:t>
            </w:r>
            <w:r>
              <w:rPr>
                <w:sz w:val="21"/>
              </w:rPr>
              <w:t>；</w:t>
            </w:r>
          </w:p>
          <w:p>
            <w:pPr>
              <w:pStyle w:val="TableParagraph"/>
              <w:spacing w:line="306" w:lineRule="exact"/>
              <w:ind w:left="89"/>
              <w:rPr>
                <w:sz w:val="21"/>
              </w:rPr>
            </w:pPr>
            <w:r>
              <w:rPr>
                <w:sz w:val="21"/>
              </w:rPr>
              <w:t>（</w:t>
            </w:r>
            <w:r>
              <w:rPr>
                <w:rFonts w:ascii="Times New Roman" w:eastAsia="Times New Roman"/>
                <w:sz w:val="21"/>
              </w:rPr>
              <w:t>2</w:t>
            </w:r>
            <w:r>
              <w:rPr>
                <w:sz w:val="21"/>
              </w:rPr>
              <w:t>）语言能力或</w:t>
            </w:r>
            <w:r>
              <w:rPr>
                <w:rFonts w:ascii="Microsoft JhengHei" w:eastAsia="Microsoft JhengHei" w:hint="eastAsia"/>
                <w:b/>
                <w:sz w:val="21"/>
              </w:rPr>
              <w:t>咀嚼吞咽能力完全丧失</w:t>
            </w:r>
            <w:r>
              <w:rPr>
                <w:rFonts w:ascii="Times New Roman" w:eastAsia="Times New Roman"/>
                <w:sz w:val="21"/>
              </w:rPr>
              <w:t>(</w:t>
            </w:r>
            <w:r>
              <w:rPr>
                <w:sz w:val="21"/>
              </w:rPr>
              <w:t>见释义 </w:t>
            </w:r>
            <w:r>
              <w:rPr>
                <w:rFonts w:ascii="Times New Roman" w:eastAsia="Times New Roman"/>
                <w:sz w:val="21"/>
              </w:rPr>
              <w:t>7.18)</w:t>
            </w:r>
            <w:r>
              <w:rPr>
                <w:sz w:val="21"/>
              </w:rPr>
              <w:t>；</w:t>
            </w:r>
          </w:p>
          <w:p>
            <w:pPr>
              <w:pStyle w:val="TableParagraph"/>
              <w:spacing w:line="223" w:lineRule="auto" w:before="7"/>
              <w:ind w:left="89" w:right="198"/>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830" w:hRule="atLeast"/>
        </w:trPr>
        <w:tc>
          <w:tcPr>
            <w:tcW w:w="2006" w:type="dxa"/>
          </w:tcPr>
          <w:p>
            <w:pPr>
              <w:pStyle w:val="TableParagraph"/>
              <w:spacing w:line="180" w:lineRule="auto" w:before="115"/>
              <w:ind w:left="703" w:right="195"/>
              <w:rPr>
                <w:rFonts w:ascii="Microsoft JhengHei" w:hAnsi="Microsoft JhengHei" w:eastAsia="Microsoft JhengHei" w:hint="eastAsia"/>
                <w:b/>
                <w:sz w:val="21"/>
              </w:rPr>
            </w:pPr>
            <w:r>
              <w:rPr>
                <w:rFonts w:ascii="Times New Roman" w:hAnsi="Times New Roman" w:eastAsia="Times New Roman"/>
                <w:b/>
                <w:sz w:val="21"/>
              </w:rPr>
              <w:t>13.</w:t>
            </w:r>
            <w:r>
              <w:rPr>
                <w:rFonts w:ascii="Microsoft JhengHei" w:hAnsi="Microsoft JhengHei" w:eastAsia="Microsoft JhengHei" w:hint="eastAsia"/>
                <w:b/>
                <w:sz w:val="21"/>
              </w:rPr>
              <w:t>严重</w:t>
            </w:r>
            <w:r>
              <w:rPr>
                <w:b/>
                <w:sz w:val="21"/>
              </w:rPr>
              <w:t>Ⅲ</w:t>
            </w:r>
            <w:r>
              <w:rPr>
                <w:rFonts w:ascii="Microsoft JhengHei" w:hAnsi="Microsoft JhengHei" w:eastAsia="Microsoft JhengHei" w:hint="eastAsia"/>
                <w:b/>
                <w:sz w:val="21"/>
              </w:rPr>
              <w:t>度烧伤</w:t>
            </w:r>
          </w:p>
        </w:tc>
        <w:tc>
          <w:tcPr>
            <w:tcW w:w="7556" w:type="dxa"/>
          </w:tcPr>
          <w:p>
            <w:pPr>
              <w:pStyle w:val="TableParagraph"/>
              <w:spacing w:line="225" w:lineRule="auto" w:before="108"/>
              <w:ind w:left="89" w:right="115"/>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％以上。体表面积根据《中国新九分法》计算。</w:t>
            </w:r>
          </w:p>
        </w:tc>
      </w:tr>
      <w:tr>
        <w:trPr>
          <w:trHeight w:val="1101" w:hRule="atLeast"/>
        </w:trPr>
        <w:tc>
          <w:tcPr>
            <w:tcW w:w="2006" w:type="dxa"/>
          </w:tcPr>
          <w:p>
            <w:pPr>
              <w:pStyle w:val="TableParagraph"/>
              <w:spacing w:line="177" w:lineRule="auto" w:before="162"/>
              <w:ind w:left="703" w:right="88"/>
              <w:rPr>
                <w:rFonts w:ascii="Microsoft JhengHei" w:eastAsia="Microsoft JhengHei" w:hint="eastAsia"/>
                <w:b/>
                <w:sz w:val="21"/>
              </w:rPr>
            </w:pPr>
            <w:r>
              <w:rPr>
                <w:rFonts w:ascii="Times New Roman" w:eastAsia="Times New Roman"/>
                <w:b/>
                <w:sz w:val="21"/>
              </w:rPr>
              <w:t>14. </w:t>
            </w:r>
            <w:r>
              <w:rPr>
                <w:rFonts w:ascii="Microsoft JhengHei" w:eastAsia="Microsoft JhengHei" w:hint="eastAsia"/>
                <w:b/>
                <w:sz w:val="21"/>
              </w:rPr>
              <w:t>严重运动神经元病</w:t>
            </w:r>
          </w:p>
        </w:tc>
        <w:tc>
          <w:tcPr>
            <w:tcW w:w="7556" w:type="dxa"/>
          </w:tcPr>
          <w:p>
            <w:pPr>
              <w:pStyle w:val="TableParagraph"/>
              <w:spacing w:line="237" w:lineRule="auto" w:before="137"/>
              <w:ind w:left="89" w:right="109"/>
              <w:jc w:val="both"/>
              <w:rPr>
                <w:sz w:val="21"/>
              </w:rPr>
            </w:pPr>
            <w:r>
              <w:rPr>
                <w:spacing w:val="-7"/>
                <w:sz w:val="21"/>
              </w:rPr>
              <w:t>是一组中枢神经系统运动神经元的进行性变性疾病，包括进行性脊肌萎缩症、进</w:t>
            </w:r>
            <w:r>
              <w:rPr>
                <w:spacing w:val="-11"/>
                <w:sz w:val="21"/>
              </w:rPr>
              <w:t>行性延髓麻痹症、原发性侧索硬化症、肌萎缩性侧索硬化症。须满足自主生活能</w:t>
            </w:r>
            <w:r>
              <w:rPr>
                <w:spacing w:val="-6"/>
                <w:sz w:val="21"/>
              </w:rPr>
              <w:t>力完全丧失，无法独立完成六项基本日常生活活动中的三项或三项以上的条件。</w:t>
            </w:r>
          </w:p>
        </w:tc>
      </w:tr>
      <w:tr>
        <w:trPr>
          <w:trHeight w:val="2156" w:hRule="atLeast"/>
        </w:trPr>
        <w:tc>
          <w:tcPr>
            <w:tcW w:w="2006" w:type="dxa"/>
          </w:tcPr>
          <w:p>
            <w:pPr>
              <w:pStyle w:val="TableParagraph"/>
              <w:spacing w:line="177" w:lineRule="auto" w:before="119"/>
              <w:ind w:left="703" w:right="195"/>
              <w:rPr>
                <w:rFonts w:ascii="Microsoft JhengHei" w:eastAsia="Microsoft JhengHei" w:hint="eastAsia"/>
                <w:b/>
                <w:sz w:val="21"/>
              </w:rPr>
            </w:pPr>
            <w:r>
              <w:rPr>
                <w:rFonts w:ascii="Times New Roman" w:eastAsia="Times New Roman"/>
                <w:b/>
                <w:sz w:val="21"/>
              </w:rPr>
              <w:t>15.</w:t>
            </w:r>
            <w:r>
              <w:rPr>
                <w:rFonts w:ascii="Microsoft JhengHei" w:eastAsia="Microsoft JhengHei" w:hint="eastAsia"/>
                <w:b/>
                <w:sz w:val="21"/>
              </w:rPr>
              <w:t>重型再生障碍性贫血</w:t>
            </w:r>
          </w:p>
        </w:tc>
        <w:tc>
          <w:tcPr>
            <w:tcW w:w="7556" w:type="dxa"/>
          </w:tcPr>
          <w:p>
            <w:pPr>
              <w:pStyle w:val="TableParagraph"/>
              <w:spacing w:line="237" w:lineRule="auto" w:before="93"/>
              <w:ind w:left="89" w:right="107"/>
              <w:rPr>
                <w:sz w:val="21"/>
              </w:rPr>
            </w:pPr>
            <w:r>
              <w:rPr>
                <w:sz w:val="21"/>
              </w:rPr>
              <w:t>指因骨髓造血功能慢性持续性衰竭导致的贫血、中性粒细胞减少及血小板减少。须满足下列全部条件：</w:t>
            </w:r>
          </w:p>
          <w:p>
            <w:pPr>
              <w:pStyle w:val="TableParagraph"/>
              <w:numPr>
                <w:ilvl w:val="0"/>
                <w:numId w:val="9"/>
              </w:numPr>
              <w:tabs>
                <w:tab w:pos="826" w:val="left" w:leader="none"/>
                <w:tab w:pos="827" w:val="left" w:leader="none"/>
              </w:tabs>
              <w:spacing w:line="280" w:lineRule="exact" w:before="0" w:after="0"/>
              <w:ind w:left="826" w:right="0" w:hanging="737"/>
              <w:jc w:val="left"/>
              <w:rPr>
                <w:sz w:val="21"/>
              </w:rPr>
            </w:pPr>
            <w:r>
              <w:rPr>
                <w:spacing w:val="-3"/>
                <w:sz w:val="21"/>
              </w:rPr>
              <w:t>骨髓穿刺检查或骨髓活检结果支持诊断；</w:t>
            </w:r>
          </w:p>
          <w:p>
            <w:pPr>
              <w:pStyle w:val="TableParagraph"/>
              <w:numPr>
                <w:ilvl w:val="0"/>
                <w:numId w:val="9"/>
              </w:numPr>
              <w:tabs>
                <w:tab w:pos="826" w:val="left" w:leader="none"/>
                <w:tab w:pos="827" w:val="left" w:leader="none"/>
              </w:tabs>
              <w:spacing w:line="272" w:lineRule="exact" w:before="0" w:after="0"/>
              <w:ind w:left="826" w:right="0" w:hanging="737"/>
              <w:jc w:val="left"/>
              <w:rPr>
                <w:sz w:val="21"/>
              </w:rPr>
            </w:pPr>
            <w:r>
              <w:rPr>
                <w:spacing w:val="-3"/>
                <w:sz w:val="21"/>
              </w:rPr>
              <w:t>外周血象须具备以下三项条件：</w:t>
            </w:r>
          </w:p>
          <w:p>
            <w:pPr>
              <w:pStyle w:val="TableParagraph"/>
              <w:spacing w:line="272" w:lineRule="exact"/>
              <w:ind w:left="89"/>
              <w:rPr>
                <w:sz w:val="21"/>
              </w:rPr>
            </w:pPr>
            <w:r>
              <w:rPr>
                <w:sz w:val="21"/>
              </w:rPr>
              <w:t>① 中性粒细胞绝对值</w:t>
            </w:r>
            <w:r>
              <w:rPr>
                <w:rFonts w:ascii="Times New Roman" w:hAnsi="Times New Roman" w:eastAsia="Times New Roman"/>
                <w:sz w:val="21"/>
              </w:rPr>
              <w:t>≤0.5×109/L </w:t>
            </w:r>
            <w:r>
              <w:rPr>
                <w:sz w:val="21"/>
              </w:rPr>
              <w:t>；</w:t>
            </w:r>
          </w:p>
          <w:p>
            <w:pPr>
              <w:pStyle w:val="TableParagraph"/>
              <w:spacing w:line="272" w:lineRule="exact"/>
              <w:ind w:left="89"/>
              <w:rPr>
                <w:sz w:val="21"/>
              </w:rPr>
            </w:pPr>
            <w:r>
              <w:rPr>
                <w:sz w:val="21"/>
              </w:rPr>
              <w:t>② 网织红细胞＜</w:t>
            </w:r>
            <w:r>
              <w:rPr>
                <w:rFonts w:ascii="Times New Roman" w:hAnsi="Times New Roman" w:eastAsia="Times New Roman"/>
                <w:sz w:val="21"/>
              </w:rPr>
              <w:t>1%</w:t>
            </w:r>
            <w:r>
              <w:rPr>
                <w:sz w:val="21"/>
              </w:rPr>
              <w:t>；</w:t>
            </w:r>
          </w:p>
          <w:p>
            <w:pPr>
              <w:pStyle w:val="TableParagraph"/>
              <w:spacing w:line="282" w:lineRule="exact"/>
              <w:ind w:left="89"/>
              <w:rPr>
                <w:sz w:val="21"/>
              </w:rPr>
            </w:pPr>
            <w:r>
              <w:rPr>
                <w:sz w:val="21"/>
              </w:rPr>
              <w:t>③ 血小板绝对值</w:t>
            </w:r>
            <w:r>
              <w:rPr>
                <w:rFonts w:ascii="Times New Roman" w:hAnsi="Times New Roman" w:eastAsia="Times New Roman"/>
                <w:sz w:val="21"/>
              </w:rPr>
              <w:t>≤20×109/L</w:t>
            </w:r>
            <w:r>
              <w:rPr>
                <w:sz w:val="21"/>
              </w:rPr>
              <w:t>。</w:t>
            </w:r>
          </w:p>
        </w:tc>
      </w:tr>
      <w:tr>
        <w:trPr>
          <w:trHeight w:val="1321" w:hRule="atLeast"/>
        </w:trPr>
        <w:tc>
          <w:tcPr>
            <w:tcW w:w="2006" w:type="dxa"/>
          </w:tcPr>
          <w:p>
            <w:pPr>
              <w:pStyle w:val="TableParagraph"/>
              <w:spacing w:line="177" w:lineRule="auto" w:before="111"/>
              <w:ind w:left="703" w:right="195"/>
              <w:rPr>
                <w:rFonts w:ascii="Microsoft JhengHei" w:eastAsia="Microsoft JhengHei" w:hint="eastAsia"/>
                <w:b/>
                <w:sz w:val="21"/>
              </w:rPr>
            </w:pPr>
            <w:r>
              <w:rPr>
                <w:rFonts w:ascii="Times New Roman" w:eastAsia="Times New Roman"/>
                <w:b/>
                <w:sz w:val="21"/>
              </w:rPr>
              <w:t>16.</w:t>
            </w:r>
            <w:r>
              <w:rPr>
                <w:rFonts w:ascii="Microsoft JhengHei" w:eastAsia="Microsoft JhengHei" w:hint="eastAsia"/>
                <w:b/>
                <w:sz w:val="21"/>
              </w:rPr>
              <w:t>主动脉手术</w:t>
            </w:r>
          </w:p>
        </w:tc>
        <w:tc>
          <w:tcPr>
            <w:tcW w:w="7556" w:type="dxa"/>
          </w:tcPr>
          <w:p>
            <w:pPr>
              <w:pStyle w:val="TableParagraph"/>
              <w:spacing w:line="237" w:lineRule="auto" w:before="86"/>
              <w:ind w:left="89" w:right="193"/>
              <w:jc w:val="both"/>
              <w:rPr>
                <w:sz w:val="21"/>
              </w:rPr>
            </w:pPr>
            <w:r>
              <w:rPr>
                <w:spacing w:val="-8"/>
                <w:sz w:val="21"/>
              </w:rPr>
              <w:t>指为治疗主动脉疾病，实际实施了开胸或开腹进行的切除、置换、修补病损主动</w:t>
            </w:r>
            <w:r>
              <w:rPr>
                <w:spacing w:val="-11"/>
                <w:sz w:val="21"/>
              </w:rPr>
              <w:t>脉血管的手术。主动脉指胸主动脉和腹主动脉，不包括胸主动脉和腹主动脉的分</w:t>
            </w:r>
            <w:r>
              <w:rPr>
                <w:spacing w:val="-7"/>
                <w:sz w:val="21"/>
              </w:rPr>
              <w:t>支血管。</w:t>
            </w:r>
          </w:p>
          <w:p>
            <w:pPr>
              <w:pStyle w:val="TableParagraph"/>
              <w:spacing w:line="271" w:lineRule="exact"/>
              <w:ind w:left="89"/>
              <w:jc w:val="both"/>
              <w:rPr>
                <w:sz w:val="21"/>
              </w:rPr>
            </w:pPr>
            <w:r>
              <w:rPr>
                <w:sz w:val="21"/>
              </w:rPr>
              <w:t>动脉内血管成形术不在保障范围内。</w:t>
            </w:r>
          </w:p>
        </w:tc>
      </w:tr>
      <w:tr>
        <w:trPr>
          <w:trHeight w:val="787" w:hRule="atLeast"/>
        </w:trPr>
        <w:tc>
          <w:tcPr>
            <w:tcW w:w="2006" w:type="dxa"/>
          </w:tcPr>
          <w:p>
            <w:pPr>
              <w:pStyle w:val="TableParagraph"/>
              <w:spacing w:line="180" w:lineRule="auto" w:before="115"/>
              <w:ind w:left="703" w:right="195"/>
              <w:rPr>
                <w:rFonts w:ascii="Microsoft JhengHei" w:eastAsia="Microsoft JhengHei" w:hint="eastAsia"/>
                <w:b/>
                <w:sz w:val="21"/>
              </w:rPr>
            </w:pPr>
            <w:r>
              <w:rPr>
                <w:rFonts w:ascii="Times New Roman" w:eastAsia="Times New Roman"/>
                <w:b/>
                <w:sz w:val="21"/>
              </w:rPr>
              <w:t>17.</w:t>
            </w:r>
            <w:r>
              <w:rPr>
                <w:rFonts w:ascii="Microsoft JhengHei" w:eastAsia="Microsoft JhengHei" w:hint="eastAsia"/>
                <w:b/>
                <w:sz w:val="21"/>
              </w:rPr>
              <w:t>严重胃肠炎</w:t>
            </w:r>
          </w:p>
        </w:tc>
        <w:tc>
          <w:tcPr>
            <w:tcW w:w="7556" w:type="dxa"/>
          </w:tcPr>
          <w:p>
            <w:pPr>
              <w:pStyle w:val="TableParagraph"/>
              <w:spacing w:before="90"/>
              <w:ind w:left="89" w:right="193"/>
              <w:rPr>
                <w:sz w:val="21"/>
              </w:rPr>
            </w:pPr>
            <w:r>
              <w:rPr>
                <w:spacing w:val="-10"/>
                <w:sz w:val="21"/>
              </w:rPr>
              <w:t>以严重的腹泻、便血和肠段坏死为特征的胃肠道严重感染。大肠或小肠的一处或</w:t>
            </w:r>
            <w:r>
              <w:rPr>
                <w:spacing w:val="-5"/>
                <w:sz w:val="21"/>
              </w:rPr>
              <w:t>多处需手术切除，且经病理检查证实存在严重感染和坏死。</w:t>
            </w:r>
          </w:p>
        </w:tc>
      </w:tr>
      <w:tr>
        <w:trPr>
          <w:trHeight w:val="381" w:hRule="atLeast"/>
        </w:trPr>
        <w:tc>
          <w:tcPr>
            <w:tcW w:w="2006" w:type="dxa"/>
          </w:tcPr>
          <w:p>
            <w:pPr>
              <w:pStyle w:val="TableParagraph"/>
              <w:spacing w:line="338" w:lineRule="exact" w:before="24"/>
              <w:ind w:left="703"/>
              <w:rPr>
                <w:rFonts w:ascii="Microsoft JhengHei" w:eastAsia="Microsoft JhengHei" w:hint="eastAsia"/>
                <w:b/>
                <w:sz w:val="21"/>
              </w:rPr>
            </w:pPr>
            <w:r>
              <w:rPr>
                <w:rFonts w:ascii="Times New Roman" w:eastAsia="Times New Roman"/>
                <w:b/>
                <w:sz w:val="21"/>
              </w:rPr>
              <w:t>18.</w:t>
            </w:r>
            <w:r>
              <w:rPr>
                <w:rFonts w:ascii="Microsoft JhengHei" w:eastAsia="Microsoft JhengHei" w:hint="eastAsia"/>
                <w:b/>
                <w:sz w:val="21"/>
              </w:rPr>
              <w:t>严重心肌</w:t>
            </w:r>
          </w:p>
        </w:tc>
        <w:tc>
          <w:tcPr>
            <w:tcW w:w="7556" w:type="dxa"/>
          </w:tcPr>
          <w:p>
            <w:pPr>
              <w:pStyle w:val="TableParagraph"/>
              <w:spacing w:line="271" w:lineRule="exact" w:before="90"/>
              <w:ind w:left="89"/>
              <w:rPr>
                <w:sz w:val="21"/>
              </w:rPr>
            </w:pPr>
            <w:r>
              <w:rPr>
                <w:sz w:val="21"/>
              </w:rPr>
              <w:t>心肌的严重感染而导致至少持续 </w:t>
            </w:r>
            <w:r>
              <w:rPr>
                <w:rFonts w:ascii="Times New Roman" w:eastAsia="Times New Roman"/>
                <w:sz w:val="21"/>
              </w:rPr>
              <w:t>6 </w:t>
            </w:r>
            <w:r>
              <w:rPr>
                <w:sz w:val="21"/>
              </w:rPr>
              <w:t>个月的心功能损害。严重的心功能损害必须具</w:t>
            </w:r>
          </w:p>
        </w:tc>
      </w:tr>
    </w:tbl>
    <w:p>
      <w:pPr>
        <w:spacing w:after="0" w:line="271" w:lineRule="exact"/>
        <w:rPr>
          <w:sz w:val="21"/>
        </w:rPr>
        <w:sectPr>
          <w:pgSz w:w="11910" w:h="16840"/>
          <w:pgMar w:header="857" w:footer="683" w:top="1040" w:bottom="880" w:left="1060" w:right="1060"/>
        </w:sectPr>
      </w:pPr>
    </w:p>
    <w:p>
      <w:pPr>
        <w:pStyle w:val="BodyText"/>
        <w:spacing w:before="4"/>
        <w:rPr>
          <w:rFonts w:ascii="Times New Roman"/>
          <w:sz w:val="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3"/>
        <w:gridCol w:w="7468"/>
      </w:tblGrid>
      <w:tr>
        <w:trPr>
          <w:trHeight w:val="771" w:hRule="atLeast"/>
        </w:trPr>
        <w:tc>
          <w:tcPr>
            <w:tcW w:w="2093" w:type="dxa"/>
            <w:tcBorders>
              <w:top w:val="single" w:sz="6" w:space="0" w:color="000000"/>
            </w:tcBorders>
          </w:tcPr>
          <w:p>
            <w:pPr>
              <w:pStyle w:val="TableParagraph"/>
              <w:spacing w:before="2"/>
              <w:ind w:left="703"/>
              <w:rPr>
                <w:rFonts w:ascii="Microsoft JhengHei" w:eastAsia="Microsoft JhengHei" w:hint="eastAsia"/>
                <w:b/>
                <w:sz w:val="21"/>
              </w:rPr>
            </w:pPr>
            <w:r>
              <w:rPr>
                <w:rFonts w:ascii="Microsoft JhengHei" w:eastAsia="Microsoft JhengHei" w:hint="eastAsia"/>
                <w:b/>
                <w:w w:val="100"/>
                <w:sz w:val="21"/>
              </w:rPr>
              <w:t>炎</w:t>
            </w:r>
          </w:p>
        </w:tc>
        <w:tc>
          <w:tcPr>
            <w:tcW w:w="7468" w:type="dxa"/>
            <w:tcBorders>
              <w:top w:val="single" w:sz="6" w:space="0" w:color="000000"/>
            </w:tcBorders>
          </w:tcPr>
          <w:p>
            <w:pPr>
              <w:pStyle w:val="TableParagraph"/>
              <w:spacing w:line="223" w:lineRule="auto" w:before="89"/>
              <w:ind w:left="2" w:right="197"/>
              <w:rPr>
                <w:sz w:val="21"/>
              </w:rPr>
            </w:pPr>
            <w:r>
              <w:rPr>
                <w:spacing w:val="-6"/>
                <w:sz w:val="21"/>
              </w:rPr>
              <w:t>备如下条件：左室腔扩大至少达到正常值上限的 </w:t>
            </w:r>
            <w:r>
              <w:rPr>
                <w:rFonts w:ascii="Times New Roman" w:eastAsia="Times New Roman"/>
                <w:spacing w:val="-6"/>
                <w:sz w:val="21"/>
              </w:rPr>
              <w:t>120</w:t>
            </w:r>
            <w:r>
              <w:rPr>
                <w:spacing w:val="-4"/>
                <w:sz w:val="21"/>
              </w:rPr>
              <w:t>％，且左室射血分数持续性</w:t>
            </w:r>
            <w:r>
              <w:rPr>
                <w:spacing w:val="-21"/>
                <w:sz w:val="21"/>
              </w:rPr>
              <w:t>低于 </w:t>
            </w:r>
            <w:r>
              <w:rPr>
                <w:rFonts w:ascii="Times New Roman" w:eastAsia="Times New Roman"/>
                <w:sz w:val="21"/>
              </w:rPr>
              <w:t>40</w:t>
            </w:r>
            <w:r>
              <w:rPr>
                <w:spacing w:val="-2"/>
                <w:sz w:val="21"/>
              </w:rPr>
              <w:t>％。</w:t>
            </w:r>
          </w:p>
        </w:tc>
      </w:tr>
      <w:tr>
        <w:trPr>
          <w:trHeight w:val="1869" w:hRule="atLeast"/>
        </w:trPr>
        <w:tc>
          <w:tcPr>
            <w:tcW w:w="2093" w:type="dxa"/>
          </w:tcPr>
          <w:p>
            <w:pPr>
              <w:pStyle w:val="TableParagraph"/>
              <w:spacing w:line="180" w:lineRule="auto" w:before="107"/>
              <w:ind w:left="703" w:right="282"/>
              <w:rPr>
                <w:rFonts w:ascii="Microsoft JhengHei" w:eastAsia="Microsoft JhengHei" w:hint="eastAsia"/>
                <w:b/>
                <w:sz w:val="21"/>
              </w:rPr>
            </w:pPr>
            <w:r>
              <w:rPr>
                <w:rFonts w:ascii="Times New Roman" w:eastAsia="Times New Roman"/>
                <w:b/>
                <w:sz w:val="21"/>
              </w:rPr>
              <w:t>19.</w:t>
            </w:r>
            <w:r>
              <w:rPr>
                <w:rFonts w:ascii="Microsoft JhengHei" w:eastAsia="Microsoft JhengHei" w:hint="eastAsia"/>
                <w:b/>
                <w:sz w:val="21"/>
              </w:rPr>
              <w:t>输血感染艾滋病</w:t>
            </w:r>
          </w:p>
        </w:tc>
        <w:tc>
          <w:tcPr>
            <w:tcW w:w="7468" w:type="dxa"/>
          </w:tcPr>
          <w:p>
            <w:pPr>
              <w:pStyle w:val="TableParagraph"/>
              <w:spacing w:line="282" w:lineRule="exact" w:before="83"/>
              <w:ind w:left="2"/>
              <w:rPr>
                <w:sz w:val="21"/>
              </w:rPr>
            </w:pPr>
            <w:r>
              <w:rPr>
                <w:sz w:val="21"/>
              </w:rPr>
              <w:t>被保险人因输血而感染人类免疫缺陷病毒（</w:t>
            </w:r>
            <w:r>
              <w:rPr>
                <w:rFonts w:ascii="Times New Roman" w:eastAsia="Times New Roman"/>
                <w:sz w:val="21"/>
              </w:rPr>
              <w:t>HIV</w:t>
            </w:r>
            <w:r>
              <w:rPr>
                <w:sz w:val="21"/>
              </w:rPr>
              <w:t>）必须满足以下的条件：</w:t>
            </w:r>
          </w:p>
          <w:p>
            <w:pPr>
              <w:pStyle w:val="TableParagraph"/>
              <w:spacing w:line="272" w:lineRule="exact"/>
              <w:ind w:left="2"/>
              <w:rPr>
                <w:sz w:val="21"/>
              </w:rPr>
            </w:pPr>
            <w:r>
              <w:rPr>
                <w:sz w:val="21"/>
              </w:rPr>
              <w:t>（</w:t>
            </w:r>
            <w:r>
              <w:rPr>
                <w:rFonts w:ascii="Times New Roman" w:eastAsia="Times New Roman"/>
                <w:sz w:val="21"/>
              </w:rPr>
              <w:t>1</w:t>
            </w:r>
            <w:r>
              <w:rPr>
                <w:sz w:val="21"/>
              </w:rPr>
              <w:t>）在保障起始日或复效日之后，被保险人因输血而感染 </w:t>
            </w:r>
            <w:r>
              <w:rPr>
                <w:rFonts w:ascii="Times New Roman" w:eastAsia="Times New Roman"/>
                <w:sz w:val="21"/>
              </w:rPr>
              <w:t>HIV</w:t>
            </w:r>
            <w:r>
              <w:rPr>
                <w:sz w:val="21"/>
              </w:rPr>
              <w:t>；</w:t>
            </w:r>
          </w:p>
          <w:p>
            <w:pPr>
              <w:pStyle w:val="TableParagraph"/>
              <w:spacing w:line="230" w:lineRule="auto" w:before="2"/>
              <w:ind w:left="2" w:right="89"/>
              <w:rPr>
                <w:sz w:val="21"/>
              </w:rPr>
            </w:pPr>
            <w:r>
              <w:rPr>
                <w:w w:val="100"/>
                <w:sz w:val="21"/>
              </w:rPr>
              <w:t>（</w:t>
            </w:r>
            <w:r>
              <w:rPr>
                <w:rFonts w:ascii="Times New Roman" w:eastAsia="Times New Roman"/>
                <w:w w:val="100"/>
                <w:sz w:val="21"/>
              </w:rPr>
              <w:t>2</w:t>
            </w:r>
            <w:r>
              <w:rPr>
                <w:spacing w:val="-106"/>
                <w:w w:val="100"/>
                <w:sz w:val="21"/>
              </w:rPr>
              <w:t>）</w:t>
            </w:r>
            <w:r>
              <w:rPr>
                <w:w w:val="100"/>
                <w:sz w:val="21"/>
              </w:rPr>
              <w:t>提供输血前一个月内</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w w:val="100"/>
                <w:sz w:val="21"/>
              </w:rPr>
              <w:t>V</w:t>
            </w:r>
            <w:r>
              <w:rPr>
                <w:rFonts w:ascii="Times New Roman" w:eastAsia="Times New Roman"/>
                <w:sz w:val="21"/>
              </w:rPr>
              <w:t> </w:t>
            </w:r>
            <w:r>
              <w:rPr>
                <w:spacing w:val="-1"/>
                <w:w w:val="100"/>
                <w:sz w:val="21"/>
              </w:rPr>
              <w:t>检查阴性的报告以及输血后</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w w:val="100"/>
                <w:sz w:val="21"/>
              </w:rPr>
              <w:t>V</w:t>
            </w:r>
            <w:r>
              <w:rPr>
                <w:rFonts w:ascii="Times New Roman" w:eastAsia="Times New Roman"/>
                <w:sz w:val="21"/>
              </w:rPr>
              <w:t> </w:t>
            </w:r>
            <w:r>
              <w:rPr>
                <w:spacing w:val="-3"/>
                <w:w w:val="100"/>
                <w:sz w:val="21"/>
              </w:rPr>
              <w:t>检查阳性的报告。</w:t>
            </w:r>
            <w:r>
              <w:rPr>
                <w:spacing w:val="-3"/>
                <w:sz w:val="21"/>
              </w:rPr>
              <w:t>任何因其他传播方式</w:t>
            </w:r>
            <w:r>
              <w:rPr>
                <w:sz w:val="21"/>
              </w:rPr>
              <w:t>（</w:t>
            </w:r>
            <w:r>
              <w:rPr>
                <w:spacing w:val="-3"/>
                <w:sz w:val="21"/>
              </w:rPr>
              <w:t>包括：性传播或静脉注射毒品</w:t>
            </w:r>
            <w:r>
              <w:rPr>
                <w:sz w:val="21"/>
              </w:rPr>
              <w:t>）</w:t>
            </w:r>
            <w:r>
              <w:rPr>
                <w:spacing w:val="-5"/>
                <w:sz w:val="21"/>
              </w:rPr>
              <w:t>导致的 </w:t>
            </w:r>
            <w:r>
              <w:rPr>
                <w:rFonts w:ascii="Times New Roman" w:eastAsia="Times New Roman"/>
                <w:sz w:val="21"/>
              </w:rPr>
              <w:t>HIV </w:t>
            </w:r>
            <w:r>
              <w:rPr>
                <w:spacing w:val="-3"/>
                <w:sz w:val="21"/>
              </w:rPr>
              <w:t>感染不在本</w:t>
            </w:r>
            <w:r>
              <w:rPr>
                <w:spacing w:val="-12"/>
                <w:sz w:val="21"/>
              </w:rPr>
              <w:t>保单保障范围内。保险公司必须拥有获得使用被保险人的所有血液样本的权利和</w:t>
            </w:r>
            <w:r>
              <w:rPr>
                <w:spacing w:val="-6"/>
                <w:sz w:val="21"/>
              </w:rPr>
              <w:t>能够对这些样本进行独立检验的权利。</w:t>
            </w:r>
          </w:p>
        </w:tc>
      </w:tr>
      <w:tr>
        <w:trPr>
          <w:trHeight w:val="1058" w:hRule="atLeast"/>
        </w:trPr>
        <w:tc>
          <w:tcPr>
            <w:tcW w:w="2093" w:type="dxa"/>
          </w:tcPr>
          <w:p>
            <w:pPr>
              <w:pStyle w:val="TableParagraph"/>
              <w:spacing w:line="177" w:lineRule="auto" w:before="119"/>
              <w:ind w:left="703" w:right="120"/>
              <w:rPr>
                <w:rFonts w:ascii="Microsoft JhengHei" w:eastAsia="Microsoft JhengHei" w:hint="eastAsia"/>
                <w:b/>
                <w:sz w:val="21"/>
              </w:rPr>
            </w:pPr>
            <w:r>
              <w:rPr>
                <w:rFonts w:ascii="Times New Roman" w:eastAsia="Times New Roman"/>
                <w:b/>
                <w:sz w:val="21"/>
              </w:rPr>
              <w:t>20.</w:t>
            </w:r>
            <w:r>
              <w:rPr>
                <w:rFonts w:ascii="Microsoft JhengHei" w:eastAsia="Microsoft JhengHei" w:hint="eastAsia"/>
                <w:b/>
                <w:sz w:val="21"/>
              </w:rPr>
              <w:t>严重幼年性类风湿关节</w:t>
            </w:r>
          </w:p>
          <w:p>
            <w:pPr>
              <w:pStyle w:val="TableParagraph"/>
              <w:spacing w:line="274" w:lineRule="exact"/>
              <w:ind w:left="703"/>
              <w:rPr>
                <w:rFonts w:ascii="Microsoft JhengHei" w:eastAsia="Microsoft JhengHei" w:hint="eastAsia"/>
                <w:b/>
                <w:sz w:val="21"/>
              </w:rPr>
            </w:pPr>
            <w:r>
              <w:rPr>
                <w:rFonts w:ascii="Microsoft JhengHei" w:eastAsia="Microsoft JhengHei" w:hint="eastAsia"/>
                <w:b/>
                <w:spacing w:val="-92"/>
                <w:sz w:val="21"/>
              </w:rPr>
              <w:t>炎</w:t>
            </w:r>
            <w:r>
              <w:rPr>
                <w:rFonts w:ascii="Microsoft JhengHei" w:eastAsia="Microsoft JhengHei" w:hint="eastAsia"/>
                <w:b/>
                <w:sz w:val="21"/>
              </w:rPr>
              <w:t>（斯蒂尔病）</w:t>
            </w:r>
          </w:p>
        </w:tc>
        <w:tc>
          <w:tcPr>
            <w:tcW w:w="7468" w:type="dxa"/>
          </w:tcPr>
          <w:p>
            <w:pPr>
              <w:pStyle w:val="TableParagraph"/>
              <w:spacing w:line="237" w:lineRule="auto" w:before="93"/>
              <w:ind w:left="2" w:right="192"/>
              <w:jc w:val="both"/>
              <w:rPr>
                <w:sz w:val="21"/>
              </w:rPr>
            </w:pPr>
            <w:r>
              <w:rPr>
                <w:spacing w:val="-10"/>
                <w:sz w:val="21"/>
              </w:rPr>
              <w:t>实施关节置换手术，又称为斯蒂尔病，指一种少儿的结缔组织病，以慢性关节炎</w:t>
            </w:r>
            <w:r>
              <w:rPr>
                <w:spacing w:val="-12"/>
                <w:sz w:val="21"/>
              </w:rPr>
              <w:t>为其主要特点，并伴有全身多个系统的受累，包括关节、肌肉、肝、脾、淋巴结</w:t>
            </w:r>
            <w:r>
              <w:rPr>
                <w:spacing w:val="-6"/>
                <w:sz w:val="21"/>
              </w:rPr>
              <w:t>等。本病须经专科医生明确诊断，同时须已经实施膝关节或髋关节置换手术。</w:t>
            </w:r>
          </w:p>
        </w:tc>
      </w:tr>
      <w:tr>
        <w:trPr>
          <w:trHeight w:val="2427" w:hRule="atLeast"/>
        </w:trPr>
        <w:tc>
          <w:tcPr>
            <w:tcW w:w="2093" w:type="dxa"/>
          </w:tcPr>
          <w:p>
            <w:pPr>
              <w:pStyle w:val="TableParagraph"/>
              <w:spacing w:line="177" w:lineRule="auto" w:before="119"/>
              <w:ind w:left="703" w:right="282"/>
              <w:rPr>
                <w:rFonts w:ascii="Microsoft JhengHei" w:eastAsia="Microsoft JhengHei" w:hint="eastAsia"/>
                <w:b/>
                <w:sz w:val="21"/>
              </w:rPr>
            </w:pPr>
            <w:r>
              <w:rPr>
                <w:rFonts w:ascii="Times New Roman" w:eastAsia="Times New Roman"/>
                <w:b/>
                <w:sz w:val="21"/>
              </w:rPr>
              <w:t>21.</w:t>
            </w:r>
            <w:r>
              <w:rPr>
                <w:rFonts w:ascii="Microsoft JhengHei" w:eastAsia="Microsoft JhengHei" w:hint="eastAsia"/>
                <w:b/>
                <w:sz w:val="21"/>
              </w:rPr>
              <w:t>川崎病伴冠状动脉瘤</w:t>
            </w:r>
          </w:p>
        </w:tc>
        <w:tc>
          <w:tcPr>
            <w:tcW w:w="7468" w:type="dxa"/>
          </w:tcPr>
          <w:p>
            <w:pPr>
              <w:pStyle w:val="TableParagraph"/>
              <w:spacing w:line="237" w:lineRule="auto" w:before="93"/>
              <w:ind w:left="2" w:right="192"/>
              <w:rPr>
                <w:sz w:val="21"/>
              </w:rPr>
            </w:pPr>
            <w:r>
              <w:rPr>
                <w:spacing w:val="-8"/>
                <w:sz w:val="21"/>
              </w:rPr>
              <w:t>本保障仅限于伴有冠状动脉瘤的川崎病，必须有超声心动图检查诊断，并且临床</w:t>
            </w:r>
            <w:r>
              <w:rPr>
                <w:spacing w:val="-5"/>
                <w:sz w:val="21"/>
              </w:rPr>
              <w:t>表现至少具备如下条件的 </w:t>
            </w:r>
            <w:r>
              <w:rPr>
                <w:rFonts w:ascii="Times New Roman" w:eastAsia="Times New Roman"/>
                <w:sz w:val="21"/>
              </w:rPr>
              <w:t>5</w:t>
            </w:r>
            <w:r>
              <w:rPr>
                <w:rFonts w:ascii="Times New Roman" w:eastAsia="Times New Roman"/>
                <w:spacing w:val="2"/>
                <w:sz w:val="21"/>
              </w:rPr>
              <w:t>  </w:t>
            </w:r>
            <w:r>
              <w:rPr>
                <w:sz w:val="21"/>
              </w:rPr>
              <w:t>个：</w:t>
            </w:r>
          </w:p>
          <w:p>
            <w:pPr>
              <w:pStyle w:val="TableParagraph"/>
              <w:spacing w:line="264" w:lineRule="exact"/>
              <w:ind w:left="108"/>
              <w:rPr>
                <w:sz w:val="21"/>
              </w:rPr>
            </w:pPr>
            <w:r>
              <w:rPr>
                <w:sz w:val="21"/>
              </w:rPr>
              <w:t>（</w:t>
            </w:r>
            <w:r>
              <w:rPr>
                <w:rFonts w:ascii="Times New Roman" w:eastAsia="Times New Roman"/>
                <w:sz w:val="21"/>
              </w:rPr>
              <w:t>1</w:t>
            </w:r>
            <w:r>
              <w:rPr>
                <w:sz w:val="21"/>
              </w:rPr>
              <w:t>）不明原因的发热，持续 </w:t>
            </w:r>
            <w:r>
              <w:rPr>
                <w:rFonts w:ascii="Times New Roman" w:eastAsia="Times New Roman"/>
                <w:sz w:val="21"/>
              </w:rPr>
              <w:t>5  </w:t>
            </w:r>
            <w:r>
              <w:rPr>
                <w:sz w:val="21"/>
              </w:rPr>
              <w:t>天或更久；</w:t>
            </w:r>
          </w:p>
          <w:p>
            <w:pPr>
              <w:pStyle w:val="TableParagraph"/>
              <w:spacing w:line="272" w:lineRule="exact"/>
              <w:ind w:left="108"/>
              <w:rPr>
                <w:sz w:val="21"/>
              </w:rPr>
            </w:pPr>
            <w:r>
              <w:rPr>
                <w:sz w:val="21"/>
              </w:rPr>
              <w:t>（</w:t>
            </w:r>
            <w:r>
              <w:rPr>
                <w:rFonts w:ascii="Times New Roman" w:eastAsia="Times New Roman"/>
                <w:sz w:val="21"/>
              </w:rPr>
              <w:t>2</w:t>
            </w:r>
            <w:r>
              <w:rPr>
                <w:sz w:val="21"/>
              </w:rPr>
              <w:t>）双侧结膜炎；</w:t>
            </w:r>
          </w:p>
          <w:p>
            <w:pPr>
              <w:pStyle w:val="TableParagraph"/>
              <w:spacing w:line="272" w:lineRule="exact"/>
              <w:ind w:left="108"/>
              <w:rPr>
                <w:sz w:val="21"/>
              </w:rPr>
            </w:pPr>
            <w:r>
              <w:rPr>
                <w:sz w:val="21"/>
              </w:rPr>
              <w:t>（</w:t>
            </w:r>
            <w:r>
              <w:rPr>
                <w:rFonts w:ascii="Times New Roman" w:eastAsia="Times New Roman"/>
                <w:sz w:val="21"/>
              </w:rPr>
              <w:t>3</w:t>
            </w:r>
            <w:r>
              <w:rPr>
                <w:sz w:val="21"/>
              </w:rPr>
              <w:t>）口腔及咽部的变化，包括口唇红肿和干裂、杨梅舌及咽粘膜弥漫性发红；</w:t>
            </w:r>
          </w:p>
          <w:p>
            <w:pPr>
              <w:pStyle w:val="TableParagraph"/>
              <w:spacing w:line="272" w:lineRule="exact"/>
              <w:ind w:left="108"/>
              <w:rPr>
                <w:sz w:val="21"/>
              </w:rPr>
            </w:pPr>
            <w:r>
              <w:rPr>
                <w:sz w:val="21"/>
              </w:rPr>
              <w:t>（</w:t>
            </w:r>
            <w:r>
              <w:rPr>
                <w:rFonts w:ascii="Times New Roman" w:eastAsia="Times New Roman"/>
                <w:sz w:val="21"/>
              </w:rPr>
              <w:t>4</w:t>
            </w:r>
            <w:r>
              <w:rPr>
                <w:sz w:val="21"/>
              </w:rPr>
              <w:t>）发病初期手足硬肿和掌跖发红，以及恢复期指趾端出现膜状脱皮；</w:t>
            </w:r>
          </w:p>
          <w:p>
            <w:pPr>
              <w:pStyle w:val="TableParagraph"/>
              <w:spacing w:line="272" w:lineRule="exact"/>
              <w:ind w:left="108"/>
              <w:rPr>
                <w:sz w:val="21"/>
              </w:rPr>
            </w:pPr>
            <w:r>
              <w:rPr>
                <w:sz w:val="21"/>
              </w:rPr>
              <w:t>（</w:t>
            </w:r>
            <w:r>
              <w:rPr>
                <w:rFonts w:ascii="Times New Roman" w:eastAsia="Times New Roman"/>
                <w:sz w:val="21"/>
              </w:rPr>
              <w:t>5</w:t>
            </w:r>
            <w:r>
              <w:rPr>
                <w:sz w:val="21"/>
              </w:rPr>
              <w:t>）躯干部多形性红斑疹，但无水疱及结痂；</w:t>
            </w:r>
          </w:p>
          <w:p>
            <w:pPr>
              <w:pStyle w:val="TableParagraph"/>
              <w:spacing w:line="281" w:lineRule="exact"/>
              <w:ind w:left="108"/>
              <w:rPr>
                <w:sz w:val="21"/>
              </w:rPr>
            </w:pPr>
            <w:r>
              <w:rPr>
                <w:sz w:val="21"/>
              </w:rPr>
              <w:t>（</w:t>
            </w:r>
            <w:r>
              <w:rPr>
                <w:rFonts w:ascii="Times New Roman" w:eastAsia="Times New Roman"/>
                <w:sz w:val="21"/>
              </w:rPr>
              <w:t>6</w:t>
            </w:r>
            <w:r>
              <w:rPr>
                <w:sz w:val="21"/>
              </w:rPr>
              <w:t>）颈淋巴结非化脓性肿胀，其直径达 </w:t>
            </w:r>
            <w:r>
              <w:rPr>
                <w:rFonts w:ascii="Times New Roman" w:eastAsia="Times New Roman"/>
                <w:sz w:val="21"/>
              </w:rPr>
              <w:t>1.5cm  </w:t>
            </w:r>
            <w:r>
              <w:rPr>
                <w:sz w:val="21"/>
              </w:rPr>
              <w:t>或更大。</w:t>
            </w:r>
          </w:p>
        </w:tc>
      </w:tr>
      <w:tr>
        <w:trPr>
          <w:trHeight w:val="1324" w:hRule="atLeast"/>
        </w:trPr>
        <w:tc>
          <w:tcPr>
            <w:tcW w:w="2093" w:type="dxa"/>
          </w:tcPr>
          <w:p>
            <w:pPr>
              <w:pStyle w:val="TableParagraph"/>
              <w:spacing w:before="16"/>
              <w:ind w:left="703"/>
              <w:rPr>
                <w:rFonts w:ascii="Microsoft JhengHei" w:eastAsia="Microsoft JhengHei" w:hint="eastAsia"/>
                <w:b/>
                <w:sz w:val="21"/>
              </w:rPr>
            </w:pPr>
            <w:r>
              <w:rPr>
                <w:rFonts w:ascii="Times New Roman" w:eastAsia="Times New Roman"/>
                <w:b/>
                <w:sz w:val="21"/>
              </w:rPr>
              <w:t>22.  </w:t>
            </w:r>
            <w:r>
              <w:rPr>
                <w:rFonts w:ascii="Microsoft JhengHei" w:eastAsia="Microsoft JhengHei" w:hint="eastAsia"/>
                <w:b/>
                <w:sz w:val="21"/>
              </w:rPr>
              <w:t>严重癫痫</w:t>
            </w:r>
          </w:p>
        </w:tc>
        <w:tc>
          <w:tcPr>
            <w:tcW w:w="7468" w:type="dxa"/>
          </w:tcPr>
          <w:p>
            <w:pPr>
              <w:pStyle w:val="TableParagraph"/>
              <w:spacing w:line="282" w:lineRule="exact" w:before="82"/>
              <w:ind w:left="2"/>
              <w:rPr>
                <w:sz w:val="21"/>
              </w:rPr>
            </w:pPr>
            <w:r>
              <w:rPr>
                <w:sz w:val="21"/>
              </w:rPr>
              <w:t>本病的诊断须由神经科或儿科专科医生根据典型临床症状和脑电图及 </w:t>
            </w:r>
            <w:r>
              <w:rPr>
                <w:rFonts w:ascii="Times New Roman" w:eastAsia="Times New Roman"/>
                <w:sz w:val="21"/>
              </w:rPr>
              <w:t>MRI</w:t>
            </w:r>
            <w:r>
              <w:rPr>
                <w:sz w:val="21"/>
              </w:rPr>
              <w:t>、</w:t>
            </w:r>
          </w:p>
          <w:p>
            <w:pPr>
              <w:pStyle w:val="TableParagraph"/>
              <w:spacing w:line="230" w:lineRule="auto" w:before="2"/>
              <w:ind w:left="2" w:right="194"/>
              <w:jc w:val="both"/>
              <w:rPr>
                <w:sz w:val="21"/>
              </w:rPr>
            </w:pPr>
            <w:r>
              <w:rPr>
                <w:rFonts w:ascii="Times New Roman" w:eastAsia="Times New Roman"/>
                <w:sz w:val="21"/>
              </w:rPr>
              <w:t>PET</w:t>
            </w:r>
            <w:r>
              <w:rPr>
                <w:sz w:val="21"/>
              </w:rPr>
              <w:t>、</w:t>
            </w:r>
            <w:r>
              <w:rPr>
                <w:rFonts w:ascii="Times New Roman" w:eastAsia="Times New Roman"/>
                <w:sz w:val="21"/>
              </w:rPr>
              <w:t>CT </w:t>
            </w:r>
            <w:r>
              <w:rPr>
                <w:sz w:val="21"/>
              </w:rPr>
              <w:t>等影相学检查做出。理赔时必须提供 </w:t>
            </w:r>
            <w:r>
              <w:rPr>
                <w:rFonts w:ascii="Times New Roman" w:eastAsia="Times New Roman"/>
                <w:sz w:val="21"/>
              </w:rPr>
              <w:t>6 </w:t>
            </w:r>
            <w:r>
              <w:rPr>
                <w:sz w:val="21"/>
              </w:rPr>
              <w:t>个月以上的相关病历记录证明被保险人存在经抗癫痫药物治疗无效而反复发作的强直阵挛性发作或癫痫大发作，或者已行神经外科手术以治疗反复发作的癫痫。</w:t>
            </w:r>
          </w:p>
        </w:tc>
      </w:tr>
      <w:tr>
        <w:trPr>
          <w:trHeight w:val="1882" w:hRule="atLeast"/>
        </w:trPr>
        <w:tc>
          <w:tcPr>
            <w:tcW w:w="2093" w:type="dxa"/>
          </w:tcPr>
          <w:p>
            <w:pPr>
              <w:pStyle w:val="TableParagraph"/>
              <w:spacing w:before="24"/>
              <w:ind w:left="703"/>
              <w:rPr>
                <w:rFonts w:ascii="Microsoft JhengHei" w:eastAsia="Microsoft JhengHei" w:hint="eastAsia"/>
                <w:b/>
                <w:sz w:val="21"/>
              </w:rPr>
            </w:pPr>
            <w:r>
              <w:rPr>
                <w:rFonts w:ascii="Times New Roman" w:eastAsia="Times New Roman"/>
                <w:b/>
                <w:sz w:val="21"/>
              </w:rPr>
              <w:t>23.</w:t>
            </w:r>
            <w:r>
              <w:rPr>
                <w:rFonts w:ascii="Times New Roman" w:eastAsia="Times New Roman"/>
                <w:b/>
                <w:spacing w:val="50"/>
                <w:sz w:val="21"/>
              </w:rPr>
              <w:t> </w:t>
            </w:r>
            <w:r>
              <w:rPr>
                <w:rFonts w:ascii="Microsoft JhengHei" w:eastAsia="Microsoft JhengHei" w:hint="eastAsia"/>
                <w:b/>
                <w:sz w:val="21"/>
              </w:rPr>
              <w:t>重度哮喘</w:t>
            </w:r>
          </w:p>
        </w:tc>
        <w:tc>
          <w:tcPr>
            <w:tcW w:w="7468" w:type="dxa"/>
          </w:tcPr>
          <w:p>
            <w:pPr>
              <w:pStyle w:val="TableParagraph"/>
              <w:spacing w:line="273" w:lineRule="exact" w:before="90"/>
              <w:ind w:left="2"/>
              <w:rPr>
                <w:sz w:val="21"/>
              </w:rPr>
            </w:pPr>
            <w:r>
              <w:rPr>
                <w:sz w:val="21"/>
              </w:rPr>
              <w:t>指一种可逆性、反复发作的支气管阻塞性疾病。须满足下列至少三项条件：</w:t>
            </w:r>
          </w:p>
          <w:p>
            <w:pPr>
              <w:pStyle w:val="TableParagraph"/>
              <w:spacing w:line="280" w:lineRule="exact"/>
              <w:ind w:left="2"/>
              <w:rPr>
                <w:sz w:val="21"/>
              </w:rPr>
            </w:pPr>
            <w:r>
              <w:rPr>
                <w:sz w:val="21"/>
              </w:rPr>
              <w:t>（</w:t>
            </w:r>
            <w:r>
              <w:rPr>
                <w:rFonts w:ascii="Times New Roman" w:eastAsia="Times New Roman"/>
                <w:sz w:val="21"/>
              </w:rPr>
              <w:t>1</w:t>
            </w:r>
            <w:r>
              <w:rPr>
                <w:sz w:val="21"/>
              </w:rPr>
              <w:t>）过去 </w:t>
            </w:r>
            <w:r>
              <w:rPr>
                <w:rFonts w:ascii="Times New Roman" w:eastAsia="Times New Roman"/>
                <w:sz w:val="21"/>
              </w:rPr>
              <w:t>2 </w:t>
            </w:r>
            <w:r>
              <w:rPr>
                <w:sz w:val="21"/>
              </w:rPr>
              <w:t>年中有哮喘持续状态病史；</w:t>
            </w:r>
          </w:p>
          <w:p>
            <w:pPr>
              <w:pStyle w:val="TableParagraph"/>
              <w:spacing w:line="273" w:lineRule="exact"/>
              <w:ind w:left="2"/>
              <w:rPr>
                <w:sz w:val="21"/>
              </w:rPr>
            </w:pPr>
            <w:r>
              <w:rPr>
                <w:sz w:val="21"/>
              </w:rPr>
              <w:t>（</w:t>
            </w:r>
            <w:r>
              <w:rPr>
                <w:rFonts w:ascii="Times New Roman" w:eastAsia="Times New Roman"/>
                <w:sz w:val="21"/>
              </w:rPr>
              <w:t>2</w:t>
            </w:r>
            <w:r>
              <w:rPr>
                <w:sz w:val="21"/>
              </w:rPr>
              <w:t>）身体活动耐受能力显著且持续下降；</w:t>
            </w:r>
          </w:p>
          <w:p>
            <w:pPr>
              <w:pStyle w:val="TableParagraph"/>
              <w:spacing w:line="273" w:lineRule="exact"/>
              <w:ind w:left="2"/>
              <w:rPr>
                <w:sz w:val="21"/>
              </w:rPr>
            </w:pPr>
            <w:r>
              <w:rPr>
                <w:sz w:val="21"/>
              </w:rPr>
              <w:t>（</w:t>
            </w:r>
            <w:r>
              <w:rPr>
                <w:rFonts w:ascii="Times New Roman" w:eastAsia="Times New Roman"/>
                <w:sz w:val="21"/>
              </w:rPr>
              <w:t>3</w:t>
            </w:r>
            <w:r>
              <w:rPr>
                <w:sz w:val="21"/>
              </w:rPr>
              <w:t>）肺部慢性过度膨胀充气导致的胸廓畸形；</w:t>
            </w:r>
          </w:p>
          <w:p>
            <w:pPr>
              <w:pStyle w:val="TableParagraph"/>
              <w:spacing w:line="272" w:lineRule="exact"/>
              <w:ind w:left="2"/>
              <w:rPr>
                <w:sz w:val="21"/>
              </w:rPr>
            </w:pPr>
            <w:r>
              <w:rPr>
                <w:sz w:val="21"/>
              </w:rPr>
              <w:t>（</w:t>
            </w:r>
            <w:r>
              <w:rPr>
                <w:rFonts w:ascii="Times New Roman" w:eastAsia="Times New Roman"/>
                <w:sz w:val="21"/>
              </w:rPr>
              <w:t>4</w:t>
            </w:r>
            <w:r>
              <w:rPr>
                <w:sz w:val="21"/>
              </w:rPr>
              <w:t>）在家中需要医师处方的氧气治疗法；</w:t>
            </w:r>
          </w:p>
          <w:p>
            <w:pPr>
              <w:pStyle w:val="TableParagraph"/>
              <w:spacing w:line="281" w:lineRule="exact"/>
              <w:ind w:left="2"/>
              <w:rPr>
                <w:sz w:val="21"/>
              </w:rPr>
            </w:pPr>
            <w:r>
              <w:rPr>
                <w:sz w:val="21"/>
              </w:rPr>
              <w:t>（</w:t>
            </w:r>
            <w:r>
              <w:rPr>
                <w:rFonts w:ascii="Times New Roman" w:eastAsia="Times New Roman"/>
                <w:sz w:val="21"/>
              </w:rPr>
              <w:t>5</w:t>
            </w:r>
            <w:r>
              <w:rPr>
                <w:sz w:val="21"/>
              </w:rPr>
              <w:t>）</w:t>
            </w:r>
            <w:r>
              <w:rPr>
                <w:spacing w:val="-3"/>
                <w:sz w:val="21"/>
              </w:rPr>
              <w:t>持续日常服用口服可的松类固醇激素</w:t>
            </w:r>
            <w:r>
              <w:rPr>
                <w:sz w:val="21"/>
              </w:rPr>
              <w:t>（</w:t>
            </w:r>
            <w:r>
              <w:rPr>
                <w:spacing w:val="-8"/>
                <w:sz w:val="21"/>
              </w:rPr>
              <w:t>至少持续服用 </w:t>
            </w:r>
            <w:r>
              <w:rPr>
                <w:rFonts w:ascii="Times New Roman" w:eastAsia="Times New Roman"/>
                <w:sz w:val="21"/>
              </w:rPr>
              <w:t>6 </w:t>
            </w:r>
            <w:r>
              <w:rPr>
                <w:spacing w:val="-3"/>
                <w:sz w:val="21"/>
              </w:rPr>
              <w:t>个月以上</w:t>
            </w:r>
            <w:r>
              <w:rPr>
                <w:spacing w:val="-108"/>
                <w:sz w:val="21"/>
              </w:rPr>
              <w:t>）</w:t>
            </w:r>
            <w:r>
              <w:rPr>
                <w:sz w:val="21"/>
              </w:rPr>
              <w:t>。</w:t>
            </w:r>
          </w:p>
        </w:tc>
      </w:tr>
      <w:tr>
        <w:trPr>
          <w:trHeight w:val="2148" w:hRule="atLeast"/>
        </w:trPr>
        <w:tc>
          <w:tcPr>
            <w:tcW w:w="2093" w:type="dxa"/>
          </w:tcPr>
          <w:p>
            <w:pPr>
              <w:pStyle w:val="TableParagraph"/>
              <w:spacing w:line="180" w:lineRule="auto" w:before="107"/>
              <w:ind w:left="703" w:right="282"/>
              <w:rPr>
                <w:rFonts w:ascii="Microsoft JhengHei" w:eastAsia="Microsoft JhengHei" w:hint="eastAsia"/>
                <w:b/>
                <w:sz w:val="21"/>
              </w:rPr>
            </w:pPr>
            <w:r>
              <w:rPr>
                <w:rFonts w:ascii="Times New Roman" w:eastAsia="Times New Roman"/>
                <w:b/>
                <w:sz w:val="21"/>
              </w:rPr>
              <w:t>24.</w:t>
            </w:r>
            <w:r>
              <w:rPr>
                <w:rFonts w:ascii="Microsoft JhengHei" w:eastAsia="Microsoft JhengHei" w:hint="eastAsia"/>
                <w:b/>
                <w:sz w:val="21"/>
              </w:rPr>
              <w:t>严重的Ｉ 型糖尿病</w:t>
            </w:r>
          </w:p>
        </w:tc>
        <w:tc>
          <w:tcPr>
            <w:tcW w:w="7468" w:type="dxa"/>
          </w:tcPr>
          <w:p>
            <w:pPr>
              <w:pStyle w:val="TableParagraph"/>
              <w:spacing w:line="230" w:lineRule="auto" w:before="94"/>
              <w:ind w:left="2" w:right="106"/>
              <w:rPr>
                <w:sz w:val="21"/>
              </w:rPr>
            </w:pPr>
            <w:r>
              <w:rPr>
                <w:spacing w:val="-13"/>
                <w:sz w:val="21"/>
              </w:rPr>
              <w:t>严重的 </w:t>
            </w:r>
            <w:r>
              <w:rPr>
                <w:rFonts w:ascii="Times New Roman" w:eastAsia="Times New Roman"/>
                <w:sz w:val="21"/>
              </w:rPr>
              <w:t>I</w:t>
            </w:r>
            <w:r>
              <w:rPr>
                <w:rFonts w:ascii="Times New Roman" w:eastAsia="Times New Roman"/>
                <w:spacing w:val="6"/>
                <w:sz w:val="21"/>
              </w:rPr>
              <w:t> </w:t>
            </w:r>
            <w:r>
              <w:rPr>
                <w:spacing w:val="-5"/>
                <w:sz w:val="21"/>
              </w:rPr>
              <w:t>型糖尿病为由于胰岛素分泌绝对不足引起的慢性血糖升高，且已经持续</w:t>
            </w:r>
            <w:r>
              <w:rPr>
                <w:spacing w:val="-8"/>
                <w:sz w:val="21"/>
              </w:rPr>
              <w:t>性地依赖外源性胰岛素维持 </w:t>
            </w:r>
            <w:r>
              <w:rPr>
                <w:rFonts w:ascii="Times New Roman" w:eastAsia="Times New Roman"/>
                <w:sz w:val="21"/>
              </w:rPr>
              <w:t>180</w:t>
            </w:r>
            <w:r>
              <w:rPr>
                <w:rFonts w:ascii="Times New Roman" w:eastAsia="Times New Roman"/>
                <w:spacing w:val="1"/>
                <w:sz w:val="21"/>
              </w:rPr>
              <w:t> </w:t>
            </w:r>
            <w:r>
              <w:rPr>
                <w:spacing w:val="-16"/>
                <w:sz w:val="21"/>
              </w:rPr>
              <w:t>天以上。须经血胰岛素测定、血 </w:t>
            </w:r>
            <w:r>
              <w:rPr>
                <w:rFonts w:ascii="Times New Roman" w:eastAsia="Times New Roman"/>
                <w:sz w:val="21"/>
              </w:rPr>
              <w:t>C</w:t>
            </w:r>
            <w:r>
              <w:rPr>
                <w:rFonts w:ascii="Times New Roman" w:eastAsia="Times New Roman"/>
                <w:spacing w:val="2"/>
                <w:sz w:val="21"/>
              </w:rPr>
              <w:t> </w:t>
            </w:r>
            <w:r>
              <w:rPr>
                <w:spacing w:val="-11"/>
                <w:sz w:val="21"/>
              </w:rPr>
              <w:t>肽测定或尿 </w:t>
            </w:r>
            <w:r>
              <w:rPr>
                <w:rFonts w:ascii="Times New Roman" w:eastAsia="Times New Roman"/>
                <w:sz w:val="21"/>
              </w:rPr>
              <w:t>C </w:t>
            </w:r>
            <w:r>
              <w:rPr>
                <w:spacing w:val="-3"/>
                <w:sz w:val="21"/>
              </w:rPr>
              <w:t>肽测定，结果异常，并由内分泌科专科医生明确诊断。并须在本合同有效期内， </w:t>
            </w:r>
            <w:r>
              <w:rPr>
                <w:spacing w:val="-10"/>
                <w:sz w:val="21"/>
              </w:rPr>
              <w:t>满足下述至少 </w:t>
            </w:r>
            <w:r>
              <w:rPr>
                <w:rFonts w:ascii="Times New Roman" w:eastAsia="Times New Roman"/>
                <w:sz w:val="21"/>
              </w:rPr>
              <w:t>1</w:t>
            </w:r>
            <w:r>
              <w:rPr>
                <w:rFonts w:ascii="Times New Roman" w:eastAsia="Times New Roman"/>
                <w:spacing w:val="2"/>
                <w:sz w:val="21"/>
              </w:rPr>
              <w:t> </w:t>
            </w:r>
            <w:r>
              <w:rPr>
                <w:spacing w:val="-2"/>
                <w:sz w:val="21"/>
              </w:rPr>
              <w:t>个条件：</w:t>
            </w:r>
          </w:p>
          <w:p>
            <w:pPr>
              <w:pStyle w:val="TableParagraph"/>
              <w:spacing w:line="263" w:lineRule="exact"/>
              <w:ind w:left="2"/>
              <w:rPr>
                <w:sz w:val="21"/>
              </w:rPr>
            </w:pPr>
            <w:r>
              <w:rPr>
                <w:sz w:val="21"/>
              </w:rPr>
              <w:t>（</w:t>
            </w:r>
            <w:r>
              <w:rPr>
                <w:rFonts w:ascii="Times New Roman" w:eastAsia="Times New Roman"/>
                <w:sz w:val="21"/>
              </w:rPr>
              <w:t>1</w:t>
            </w:r>
            <w:r>
              <w:rPr>
                <w:sz w:val="21"/>
              </w:rPr>
              <w:t>）已出现增殖性视网膜病变；</w:t>
            </w:r>
          </w:p>
          <w:p>
            <w:pPr>
              <w:pStyle w:val="TableParagraph"/>
              <w:spacing w:line="272" w:lineRule="exact"/>
              <w:ind w:left="2"/>
              <w:rPr>
                <w:sz w:val="21"/>
              </w:rPr>
            </w:pPr>
            <w:r>
              <w:rPr>
                <w:sz w:val="21"/>
              </w:rPr>
              <w:t>（</w:t>
            </w:r>
            <w:r>
              <w:rPr>
                <w:rFonts w:ascii="Times New Roman" w:eastAsia="Times New Roman"/>
                <w:sz w:val="21"/>
              </w:rPr>
              <w:t>2</w:t>
            </w:r>
            <w:r>
              <w:rPr>
                <w:sz w:val="21"/>
              </w:rPr>
              <w:t>）须植入心脏起搏器治疗心脏病；</w:t>
            </w:r>
          </w:p>
          <w:p>
            <w:pPr>
              <w:pStyle w:val="TableParagraph"/>
              <w:spacing w:line="281" w:lineRule="exact"/>
              <w:ind w:left="2"/>
              <w:rPr>
                <w:sz w:val="21"/>
              </w:rPr>
            </w:pPr>
            <w:r>
              <w:rPr>
                <w:sz w:val="21"/>
              </w:rPr>
              <w:t>（</w:t>
            </w:r>
            <w:r>
              <w:rPr>
                <w:rFonts w:ascii="Times New Roman" w:eastAsia="Times New Roman"/>
                <w:sz w:val="21"/>
              </w:rPr>
              <w:t>3</w:t>
            </w:r>
            <w:r>
              <w:rPr>
                <w:sz w:val="21"/>
              </w:rPr>
              <w:t>）因坏疽需切除至少一个脚趾。</w:t>
            </w:r>
          </w:p>
        </w:tc>
      </w:tr>
      <w:tr>
        <w:trPr>
          <w:trHeight w:val="1051" w:hRule="atLeast"/>
        </w:trPr>
        <w:tc>
          <w:tcPr>
            <w:tcW w:w="2093" w:type="dxa"/>
          </w:tcPr>
          <w:p>
            <w:pPr>
              <w:pStyle w:val="TableParagraph"/>
              <w:spacing w:line="180" w:lineRule="auto" w:before="107"/>
              <w:ind w:left="703" w:right="175"/>
              <w:rPr>
                <w:rFonts w:ascii="Microsoft JhengHei" w:eastAsia="Microsoft JhengHei" w:hint="eastAsia"/>
                <w:b/>
                <w:sz w:val="21"/>
              </w:rPr>
            </w:pPr>
            <w:r>
              <w:rPr>
                <w:rFonts w:ascii="Times New Roman" w:eastAsia="Times New Roman"/>
                <w:b/>
                <w:sz w:val="21"/>
              </w:rPr>
              <w:t>25. </w:t>
            </w:r>
            <w:r>
              <w:rPr>
                <w:rFonts w:ascii="Microsoft JhengHei" w:eastAsia="Microsoft JhengHei" w:hint="eastAsia"/>
                <w:b/>
                <w:sz w:val="21"/>
              </w:rPr>
              <w:t>丝虫病所致象皮病</w:t>
            </w:r>
          </w:p>
        </w:tc>
        <w:tc>
          <w:tcPr>
            <w:tcW w:w="7468" w:type="dxa"/>
          </w:tcPr>
          <w:p>
            <w:pPr>
              <w:pStyle w:val="TableParagraph"/>
              <w:spacing w:line="230" w:lineRule="auto" w:before="93"/>
              <w:ind w:left="2" w:right="194"/>
              <w:jc w:val="both"/>
              <w:rPr>
                <w:sz w:val="21"/>
              </w:rPr>
            </w:pPr>
            <w:r>
              <w:rPr>
                <w:spacing w:val="-7"/>
                <w:sz w:val="21"/>
              </w:rPr>
              <w:t>指因丝虫感染导致淋巴阻塞性出现严重淋巴水肿，达到国际淋巴学会淋巴肿分期</w:t>
            </w:r>
            <w:r>
              <w:rPr>
                <w:spacing w:val="-25"/>
                <w:sz w:val="21"/>
              </w:rPr>
              <w:t>第 </w:t>
            </w:r>
            <w:r>
              <w:rPr>
                <w:rFonts w:ascii="Times New Roman" w:eastAsia="Times New Roman"/>
                <w:sz w:val="21"/>
              </w:rPr>
              <w:t>III </w:t>
            </w:r>
            <w:r>
              <w:rPr>
                <w:spacing w:val="-5"/>
                <w:sz w:val="21"/>
              </w:rPr>
              <w:t>期，临床表现为肢体象皮肿，患肢较健肢增粗 </w:t>
            </w:r>
            <w:r>
              <w:rPr>
                <w:rFonts w:ascii="Times New Roman" w:eastAsia="Times New Roman"/>
                <w:sz w:val="21"/>
              </w:rPr>
              <w:t>30%</w:t>
            </w:r>
            <w:r>
              <w:rPr>
                <w:spacing w:val="-3"/>
                <w:sz w:val="21"/>
              </w:rPr>
              <w:t>以上，日常生活不能自理。此病症须经专科医生根据临床表现和微丝蚴的化验结果确诊。</w:t>
            </w:r>
          </w:p>
        </w:tc>
      </w:tr>
      <w:tr>
        <w:trPr>
          <w:trHeight w:val="1744" w:hRule="atLeast"/>
        </w:trPr>
        <w:tc>
          <w:tcPr>
            <w:tcW w:w="2093" w:type="dxa"/>
          </w:tcPr>
          <w:p>
            <w:pPr>
              <w:pStyle w:val="TableParagraph"/>
              <w:spacing w:line="180" w:lineRule="auto" w:before="115"/>
              <w:ind w:left="703" w:right="175"/>
              <w:rPr>
                <w:rFonts w:ascii="Microsoft JhengHei" w:eastAsia="Microsoft JhengHei" w:hint="eastAsia"/>
                <w:b/>
                <w:sz w:val="21"/>
              </w:rPr>
            </w:pPr>
            <w:r>
              <w:rPr>
                <w:rFonts w:ascii="Times New Roman" w:eastAsia="Times New Roman"/>
                <w:b/>
                <w:sz w:val="21"/>
              </w:rPr>
              <w:t>26. </w:t>
            </w:r>
            <w:r>
              <w:rPr>
                <w:rFonts w:ascii="Microsoft JhengHei" w:eastAsia="Microsoft JhengHei" w:hint="eastAsia"/>
                <w:b/>
                <w:sz w:val="21"/>
              </w:rPr>
              <w:t>严重自身免疫性肝炎</w:t>
            </w:r>
          </w:p>
        </w:tc>
        <w:tc>
          <w:tcPr>
            <w:tcW w:w="7468" w:type="dxa"/>
          </w:tcPr>
          <w:p>
            <w:pPr>
              <w:pStyle w:val="TableParagraph"/>
              <w:spacing w:line="237" w:lineRule="auto" w:before="93"/>
              <w:ind w:left="2" w:right="192"/>
              <w:jc w:val="both"/>
              <w:rPr>
                <w:sz w:val="21"/>
              </w:rPr>
            </w:pPr>
            <w:r>
              <w:rPr>
                <w:spacing w:val="-6"/>
                <w:sz w:val="21"/>
              </w:rPr>
              <w:t>自身免疫性肝炎是一种原因不明的慢性肝脏的坏死性炎性疾病，机体免疫机制被</w:t>
            </w:r>
            <w:r>
              <w:rPr>
                <w:spacing w:val="-11"/>
                <w:sz w:val="21"/>
              </w:rPr>
              <w:t>破坏，产生针对肝脏自身抗原的抗体导致自身免疫反应，从而破坏肝细胞造成肝</w:t>
            </w:r>
            <w:r>
              <w:rPr>
                <w:spacing w:val="-6"/>
                <w:sz w:val="21"/>
              </w:rPr>
              <w:t>脏炎症坏死，进而发展为肝硬化。必须满足所有以下条件：</w:t>
            </w:r>
          </w:p>
          <w:p>
            <w:pPr>
              <w:pStyle w:val="TableParagraph"/>
              <w:spacing w:line="280" w:lineRule="exact"/>
              <w:ind w:left="2"/>
              <w:rPr>
                <w:sz w:val="21"/>
              </w:rPr>
            </w:pPr>
            <w:r>
              <w:rPr>
                <w:sz w:val="21"/>
              </w:rPr>
              <w:t>（</w:t>
            </w:r>
            <w:r>
              <w:rPr>
                <w:rFonts w:ascii="Times New Roman" w:hAnsi="Times New Roman" w:eastAsia="Times New Roman"/>
                <w:sz w:val="21"/>
              </w:rPr>
              <w:t>1</w:t>
            </w:r>
            <w:r>
              <w:rPr>
                <w:sz w:val="21"/>
              </w:rPr>
              <w:t>）高 </w:t>
            </w:r>
            <w:r>
              <w:rPr>
                <w:rFonts w:ascii="Times New Roman" w:hAnsi="Times New Roman" w:eastAsia="Times New Roman"/>
                <w:sz w:val="21"/>
              </w:rPr>
              <w:t>γ </w:t>
            </w:r>
            <w:r>
              <w:rPr>
                <w:sz w:val="21"/>
              </w:rPr>
              <w:t>球蛋白血症；</w:t>
            </w:r>
          </w:p>
          <w:p>
            <w:pPr>
              <w:pStyle w:val="TableParagraph"/>
              <w:spacing w:line="274" w:lineRule="exact" w:before="17"/>
              <w:ind w:left="2" w:right="194"/>
              <w:jc w:val="both"/>
              <w:rPr>
                <w:sz w:val="21"/>
              </w:rPr>
            </w:pPr>
            <w:r>
              <w:rPr>
                <w:sz w:val="21"/>
              </w:rPr>
              <w:t>（</w:t>
            </w:r>
            <w:r>
              <w:rPr>
                <w:rFonts w:ascii="Times New Roman" w:eastAsia="Times New Roman"/>
                <w:sz w:val="21"/>
              </w:rPr>
              <w:t>2</w:t>
            </w:r>
            <w:r>
              <w:rPr>
                <w:sz w:val="21"/>
              </w:rPr>
              <w:t>）</w:t>
            </w:r>
            <w:r>
              <w:rPr>
                <w:spacing w:val="-5"/>
                <w:sz w:val="21"/>
              </w:rPr>
              <w:t>血液中存在高水平的自身免疫抗体，如 </w:t>
            </w:r>
            <w:r>
              <w:rPr>
                <w:rFonts w:ascii="Times New Roman" w:eastAsia="Times New Roman"/>
                <w:sz w:val="21"/>
              </w:rPr>
              <w:t>ANA</w:t>
            </w:r>
            <w:r>
              <w:rPr>
                <w:sz w:val="21"/>
              </w:rPr>
              <w:t>（</w:t>
            </w:r>
            <w:r>
              <w:rPr>
                <w:spacing w:val="-1"/>
                <w:sz w:val="21"/>
              </w:rPr>
              <w:t>抗核抗体</w:t>
            </w:r>
            <w:r>
              <w:rPr>
                <w:spacing w:val="-108"/>
                <w:sz w:val="21"/>
              </w:rPr>
              <w:t>）</w:t>
            </w:r>
            <w:r>
              <w:rPr>
                <w:sz w:val="21"/>
              </w:rPr>
              <w:t>、</w:t>
            </w:r>
            <w:r>
              <w:rPr>
                <w:rFonts w:ascii="Times New Roman" w:eastAsia="Times New Roman"/>
                <w:sz w:val="21"/>
              </w:rPr>
              <w:t>SMA</w:t>
            </w:r>
            <w:r>
              <w:rPr>
                <w:sz w:val="21"/>
              </w:rPr>
              <w:t>（</w:t>
            </w:r>
            <w:r>
              <w:rPr>
                <w:spacing w:val="-2"/>
                <w:sz w:val="21"/>
              </w:rPr>
              <w:t>抗平滑</w:t>
            </w:r>
            <w:r>
              <w:rPr>
                <w:spacing w:val="-3"/>
                <w:sz w:val="21"/>
              </w:rPr>
              <w:t>肌抗体</w:t>
            </w:r>
            <w:r>
              <w:rPr>
                <w:spacing w:val="-106"/>
                <w:sz w:val="21"/>
              </w:rPr>
              <w:t>）</w:t>
            </w:r>
            <w:r>
              <w:rPr>
                <w:spacing w:val="-19"/>
                <w:sz w:val="21"/>
              </w:rPr>
              <w:t>、抗 </w:t>
            </w:r>
            <w:r>
              <w:rPr>
                <w:rFonts w:ascii="Times New Roman" w:eastAsia="Times New Roman"/>
                <w:sz w:val="21"/>
              </w:rPr>
              <w:t>LKM1 </w:t>
            </w:r>
            <w:r>
              <w:rPr>
                <w:spacing w:val="-2"/>
                <w:sz w:val="21"/>
              </w:rPr>
              <w:t>抗体或抗</w:t>
            </w:r>
            <w:r>
              <w:rPr>
                <w:rFonts w:ascii="Times New Roman" w:eastAsia="Times New Roman"/>
                <w:sz w:val="21"/>
              </w:rPr>
              <w:t>-SLA/LP </w:t>
            </w:r>
            <w:r>
              <w:rPr>
                <w:spacing w:val="-2"/>
                <w:sz w:val="21"/>
              </w:rPr>
              <w:t>抗体；</w:t>
            </w:r>
          </w:p>
        </w:tc>
      </w:tr>
    </w:tbl>
    <w:p>
      <w:pPr>
        <w:spacing w:after="0" w:line="274" w:lineRule="exact"/>
        <w:jc w:val="both"/>
        <w:rPr>
          <w:sz w:val="21"/>
        </w:rPr>
        <w:sectPr>
          <w:pgSz w:w="11910" w:h="16840"/>
          <w:pgMar w:header="857" w:footer="683" w:top="1040" w:bottom="880" w:left="1060" w:right="1060"/>
        </w:sectPr>
      </w:pPr>
    </w:p>
    <w:p>
      <w:pPr>
        <w:pStyle w:val="BodyText"/>
        <w:spacing w:before="4"/>
        <w:rPr>
          <w:rFonts w:ascii="Times New Roman"/>
          <w:sz w:val="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2"/>
        <w:gridCol w:w="1480"/>
        <w:gridCol w:w="7527"/>
      </w:tblGrid>
      <w:tr>
        <w:trPr>
          <w:trHeight w:val="771" w:hRule="atLeast"/>
        </w:trPr>
        <w:tc>
          <w:tcPr>
            <w:tcW w:w="552" w:type="dxa"/>
            <w:tcBorders>
              <w:top w:val="single" w:sz="6" w:space="0" w:color="000000"/>
            </w:tcBorders>
          </w:tcPr>
          <w:p>
            <w:pPr>
              <w:pStyle w:val="TableParagraph"/>
              <w:ind w:left="0"/>
              <w:rPr>
                <w:rFonts w:ascii="Times New Roman"/>
                <w:sz w:val="20"/>
              </w:rPr>
            </w:pPr>
          </w:p>
        </w:tc>
        <w:tc>
          <w:tcPr>
            <w:tcW w:w="1480" w:type="dxa"/>
            <w:tcBorders>
              <w:top w:val="single" w:sz="6" w:space="0" w:color="000000"/>
            </w:tcBorders>
          </w:tcPr>
          <w:p>
            <w:pPr>
              <w:pStyle w:val="TableParagraph"/>
              <w:ind w:left="0"/>
              <w:rPr>
                <w:rFonts w:ascii="Times New Roman"/>
                <w:sz w:val="20"/>
              </w:rPr>
            </w:pPr>
          </w:p>
        </w:tc>
        <w:tc>
          <w:tcPr>
            <w:tcW w:w="7527" w:type="dxa"/>
            <w:tcBorders>
              <w:top w:val="single" w:sz="6" w:space="0" w:color="000000"/>
            </w:tcBorders>
          </w:tcPr>
          <w:p>
            <w:pPr>
              <w:pStyle w:val="TableParagraph"/>
              <w:spacing w:line="281" w:lineRule="exact" w:before="69"/>
              <w:ind w:left="63"/>
              <w:rPr>
                <w:sz w:val="21"/>
              </w:rPr>
            </w:pPr>
            <w:r>
              <w:rPr>
                <w:sz w:val="21"/>
              </w:rPr>
              <w:t>（</w:t>
            </w:r>
            <w:r>
              <w:rPr>
                <w:rFonts w:ascii="Times New Roman" w:eastAsia="Times New Roman"/>
                <w:sz w:val="21"/>
              </w:rPr>
              <w:t>3</w:t>
            </w:r>
            <w:r>
              <w:rPr>
                <w:sz w:val="21"/>
              </w:rPr>
              <w:t>）肝脏活检证实免疫性肝炎；</w:t>
            </w:r>
          </w:p>
          <w:p>
            <w:pPr>
              <w:pStyle w:val="TableParagraph"/>
              <w:spacing w:line="281" w:lineRule="exact"/>
              <w:ind w:left="63"/>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1876" w:hRule="atLeast"/>
        </w:trPr>
        <w:tc>
          <w:tcPr>
            <w:tcW w:w="552" w:type="dxa"/>
          </w:tcPr>
          <w:p>
            <w:pPr>
              <w:pStyle w:val="TableParagraph"/>
              <w:ind w:left="0"/>
              <w:rPr>
                <w:rFonts w:ascii="Times New Roman"/>
                <w:sz w:val="20"/>
              </w:rPr>
            </w:pPr>
          </w:p>
        </w:tc>
        <w:tc>
          <w:tcPr>
            <w:tcW w:w="1480" w:type="dxa"/>
          </w:tcPr>
          <w:p>
            <w:pPr>
              <w:pStyle w:val="TableParagraph"/>
              <w:spacing w:line="180" w:lineRule="auto" w:before="107"/>
              <w:ind w:left="151" w:right="114"/>
              <w:rPr>
                <w:rFonts w:ascii="Microsoft JhengHei" w:eastAsia="Microsoft JhengHei" w:hint="eastAsia"/>
                <w:b/>
                <w:sz w:val="21"/>
              </w:rPr>
            </w:pPr>
            <w:r>
              <w:rPr>
                <w:rFonts w:ascii="Times New Roman" w:eastAsia="Times New Roman"/>
                <w:b/>
                <w:sz w:val="21"/>
              </w:rPr>
              <w:t>27. </w:t>
            </w:r>
            <w:r>
              <w:rPr>
                <w:rFonts w:ascii="Microsoft JhengHei" w:eastAsia="Microsoft JhengHei" w:hint="eastAsia"/>
                <w:b/>
                <w:sz w:val="21"/>
              </w:rPr>
              <w:t>坏死性筋膜炎</w:t>
            </w:r>
          </w:p>
        </w:tc>
        <w:tc>
          <w:tcPr>
            <w:tcW w:w="7527" w:type="dxa"/>
          </w:tcPr>
          <w:p>
            <w:pPr>
              <w:pStyle w:val="TableParagraph"/>
              <w:spacing w:line="237" w:lineRule="auto" w:before="85"/>
              <w:ind w:left="63" w:right="192"/>
              <w:jc w:val="both"/>
              <w:rPr>
                <w:sz w:val="21"/>
              </w:rPr>
            </w:pPr>
            <w:r>
              <w:rPr>
                <w:sz w:val="21"/>
              </w:rPr>
              <w:t>是一种由细菌侵入皮下组织和筋膜引起的急性坏死性软组织感染，可伴有毒血</w:t>
            </w:r>
            <w:r>
              <w:rPr>
                <w:spacing w:val="-11"/>
                <w:sz w:val="21"/>
              </w:rPr>
              <w:t>症、败血症、中毒性休克、弥漫性血管内凝血及多器官衰竭。其诊断必须满足以</w:t>
            </w:r>
            <w:r>
              <w:rPr>
                <w:spacing w:val="-6"/>
                <w:sz w:val="21"/>
              </w:rPr>
              <w:t>下所有条件：</w:t>
            </w:r>
          </w:p>
          <w:p>
            <w:pPr>
              <w:pStyle w:val="TableParagraph"/>
              <w:spacing w:line="280" w:lineRule="exact"/>
              <w:ind w:left="63"/>
              <w:jc w:val="both"/>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line="272" w:lineRule="exact"/>
              <w:ind w:left="63"/>
              <w:jc w:val="both"/>
              <w:rPr>
                <w:sz w:val="21"/>
              </w:rPr>
            </w:pPr>
            <w:r>
              <w:rPr>
                <w:sz w:val="21"/>
              </w:rPr>
              <w:t>（</w:t>
            </w:r>
            <w:r>
              <w:rPr>
                <w:rFonts w:ascii="Times New Roman" w:eastAsia="Times New Roman"/>
                <w:sz w:val="21"/>
              </w:rPr>
              <w:t>2</w:t>
            </w:r>
            <w:r>
              <w:rPr>
                <w:sz w:val="21"/>
              </w:rPr>
              <w:t>）病情迅速恶化，有脓毒血症表现；</w:t>
            </w:r>
          </w:p>
          <w:p>
            <w:pPr>
              <w:pStyle w:val="TableParagraph"/>
              <w:spacing w:line="282" w:lineRule="exact"/>
              <w:ind w:left="63"/>
              <w:jc w:val="both"/>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2805" w:hRule="atLeast"/>
        </w:trPr>
        <w:tc>
          <w:tcPr>
            <w:tcW w:w="552" w:type="dxa"/>
          </w:tcPr>
          <w:p>
            <w:pPr>
              <w:pStyle w:val="TableParagraph"/>
              <w:ind w:left="0"/>
              <w:rPr>
                <w:rFonts w:ascii="Times New Roman"/>
                <w:sz w:val="20"/>
              </w:rPr>
            </w:pPr>
          </w:p>
        </w:tc>
        <w:tc>
          <w:tcPr>
            <w:tcW w:w="1480" w:type="dxa"/>
          </w:tcPr>
          <w:p>
            <w:pPr>
              <w:pStyle w:val="TableParagraph"/>
              <w:spacing w:line="177" w:lineRule="auto" w:before="111"/>
              <w:ind w:left="151" w:right="114"/>
              <w:rPr>
                <w:rFonts w:ascii="Microsoft JhengHei" w:eastAsia="Microsoft JhengHei" w:hint="eastAsia"/>
                <w:b/>
                <w:sz w:val="21"/>
              </w:rPr>
            </w:pPr>
            <w:r>
              <w:rPr>
                <w:rFonts w:ascii="Times New Roman" w:eastAsia="Times New Roman"/>
                <w:b/>
                <w:sz w:val="21"/>
              </w:rPr>
              <w:t>28. </w:t>
            </w:r>
            <w:r>
              <w:rPr>
                <w:rFonts w:ascii="Microsoft JhengHei" w:eastAsia="Microsoft JhengHei" w:hint="eastAsia"/>
                <w:b/>
                <w:sz w:val="21"/>
              </w:rPr>
              <w:t>重症肌无力</w:t>
            </w:r>
          </w:p>
        </w:tc>
        <w:tc>
          <w:tcPr>
            <w:tcW w:w="7527" w:type="dxa"/>
          </w:tcPr>
          <w:p>
            <w:pPr>
              <w:pStyle w:val="TableParagraph"/>
              <w:spacing w:line="237" w:lineRule="auto" w:before="85"/>
              <w:ind w:left="63" w:right="190"/>
              <w:jc w:val="both"/>
              <w:rPr>
                <w:sz w:val="21"/>
              </w:rPr>
            </w:pPr>
            <w:r>
              <w:rPr>
                <w:spacing w:val="-7"/>
                <w:sz w:val="21"/>
              </w:rPr>
              <w:t>是指一种神经与肌肉接头部位传递障碍的自身免疫性疾病，临床特征是局部或全</w:t>
            </w:r>
            <w:r>
              <w:rPr>
                <w:spacing w:val="-9"/>
                <w:sz w:val="21"/>
              </w:rPr>
              <w:t>身横纹肌于活动时易于疲劳无力，颅神经眼外肌最易累及，也可涉及呼吸肌、下</w:t>
            </w:r>
            <w:r>
              <w:rPr>
                <w:spacing w:val="-11"/>
                <w:sz w:val="21"/>
              </w:rPr>
              <w:t>肢近端肌群乃至全身肌肉，须经本公司认可的神经科医师确诊。其诊断必须同时</w:t>
            </w:r>
            <w:r>
              <w:rPr>
                <w:spacing w:val="-6"/>
                <w:sz w:val="21"/>
              </w:rPr>
              <w:t>具有下列情况：</w:t>
            </w:r>
          </w:p>
          <w:p>
            <w:pPr>
              <w:pStyle w:val="TableParagraph"/>
              <w:spacing w:line="280" w:lineRule="exact"/>
              <w:ind w:left="63"/>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25" w:lineRule="auto" w:before="8"/>
              <w:ind w:left="63" w:right="192"/>
              <w:jc w:val="both"/>
              <w:rPr>
                <w:sz w:val="21"/>
              </w:rPr>
            </w:pPr>
            <w:r>
              <w:rPr>
                <w:spacing w:val="-5"/>
                <w:sz w:val="21"/>
              </w:rPr>
              <w:t>（</w:t>
            </w:r>
            <w:r>
              <w:rPr>
                <w:rFonts w:ascii="Times New Roman" w:eastAsia="Times New Roman"/>
                <w:spacing w:val="-5"/>
                <w:sz w:val="21"/>
              </w:rPr>
              <w:t>2</w:t>
            </w:r>
            <w:r>
              <w:rPr>
                <w:spacing w:val="-5"/>
                <w:sz w:val="21"/>
              </w:rPr>
              <w:t>）</w:t>
            </w:r>
            <w:r>
              <w:rPr>
                <w:spacing w:val="-6"/>
                <w:sz w:val="21"/>
              </w:rPr>
              <w:t>出现眼睑下垂，或延髓肌受累引起的构音困难、进食呛咳</w:t>
            </w:r>
            <w:r>
              <w:rPr>
                <w:rFonts w:ascii="Times New Roman" w:eastAsia="Times New Roman"/>
                <w:spacing w:val="-3"/>
                <w:sz w:val="21"/>
              </w:rPr>
              <w:t>,</w:t>
            </w:r>
            <w:r>
              <w:rPr>
                <w:spacing w:val="-3"/>
                <w:sz w:val="21"/>
              </w:rPr>
              <w:t>或由于肌无力累及延髓肌、呼吸肌而致机体呼吸功能不正常的危急状态即肌无力危象；</w:t>
            </w:r>
          </w:p>
          <w:p>
            <w:pPr>
              <w:pStyle w:val="TableParagraph"/>
              <w:spacing w:line="225" w:lineRule="auto" w:before="13"/>
              <w:ind w:left="63" w:right="195"/>
              <w:jc w:val="both"/>
              <w:rPr>
                <w:sz w:val="21"/>
              </w:rPr>
            </w:pPr>
            <w:r>
              <w:rPr>
                <w:sz w:val="21"/>
              </w:rPr>
              <w:t>（</w:t>
            </w:r>
            <w:r>
              <w:rPr>
                <w:rFonts w:ascii="Times New Roman" w:eastAsia="Times New Roman"/>
                <w:sz w:val="21"/>
              </w:rPr>
              <w:t>3</w:t>
            </w:r>
            <w:r>
              <w:rPr>
                <w:sz w:val="21"/>
              </w:rPr>
              <w:t>）症状缓解、复发及恶化交替出现，临床接受新斯的明等抗胆碱酯酶药物治疗的病史。</w:t>
            </w:r>
          </w:p>
        </w:tc>
      </w:tr>
      <w:tr>
        <w:trPr>
          <w:trHeight w:val="1723" w:hRule="atLeast"/>
        </w:trPr>
        <w:tc>
          <w:tcPr>
            <w:tcW w:w="552" w:type="dxa"/>
          </w:tcPr>
          <w:p>
            <w:pPr>
              <w:pStyle w:val="TableParagraph"/>
              <w:ind w:left="0"/>
              <w:rPr>
                <w:rFonts w:ascii="Times New Roman"/>
                <w:sz w:val="20"/>
              </w:rPr>
            </w:pPr>
          </w:p>
        </w:tc>
        <w:tc>
          <w:tcPr>
            <w:tcW w:w="1480" w:type="dxa"/>
          </w:tcPr>
          <w:p>
            <w:pPr>
              <w:pStyle w:val="TableParagraph"/>
              <w:spacing w:before="5"/>
              <w:ind w:left="0"/>
              <w:rPr>
                <w:rFonts w:ascii="Times New Roman"/>
                <w:sz w:val="20"/>
              </w:rPr>
            </w:pPr>
          </w:p>
          <w:p>
            <w:pPr>
              <w:pStyle w:val="TableParagraph"/>
              <w:spacing w:line="180" w:lineRule="auto"/>
              <w:ind w:left="151" w:right="114"/>
              <w:rPr>
                <w:rFonts w:ascii="Microsoft JhengHei" w:eastAsia="Microsoft JhengHei" w:hint="eastAsia"/>
                <w:b/>
                <w:sz w:val="21"/>
              </w:rPr>
            </w:pPr>
            <w:r>
              <w:rPr>
                <w:rFonts w:ascii="Times New Roman" w:eastAsia="Times New Roman"/>
                <w:b/>
                <w:sz w:val="21"/>
              </w:rPr>
              <w:t>29. </w:t>
            </w:r>
            <w:r>
              <w:rPr>
                <w:rFonts w:ascii="Microsoft JhengHei" w:eastAsia="Microsoft JhengHei" w:hint="eastAsia"/>
                <w:b/>
                <w:sz w:val="21"/>
              </w:rPr>
              <w:t>脊髓灰质炎</w:t>
            </w:r>
          </w:p>
        </w:tc>
        <w:tc>
          <w:tcPr>
            <w:tcW w:w="7527" w:type="dxa"/>
          </w:tcPr>
          <w:p>
            <w:pPr>
              <w:pStyle w:val="TableParagraph"/>
              <w:spacing w:before="9"/>
              <w:ind w:left="0"/>
              <w:rPr>
                <w:rFonts w:ascii="Times New Roman"/>
                <w:sz w:val="18"/>
              </w:rPr>
            </w:pPr>
          </w:p>
          <w:p>
            <w:pPr>
              <w:pStyle w:val="TableParagraph"/>
              <w:spacing w:line="235" w:lineRule="auto"/>
              <w:ind w:left="63" w:right="87"/>
              <w:rPr>
                <w:sz w:val="21"/>
              </w:rPr>
            </w:pPr>
            <w:r>
              <w:rPr>
                <w:spacing w:val="-7"/>
                <w:sz w:val="21"/>
              </w:rPr>
              <w:t>是由于脊髓灰质炎病毒感染所致的瘫痪性疾病，临床表现为运动功能损害或呼吸</w:t>
            </w:r>
            <w:r>
              <w:rPr>
                <w:spacing w:val="-12"/>
                <w:sz w:val="21"/>
              </w:rPr>
              <w:t>无力。脊髓灰质炎必须明确诊断。我们仅对脊髓灰质炎造成的神经系统功能损害</w:t>
            </w:r>
            <w:r>
              <w:rPr>
                <w:spacing w:val="-9"/>
                <w:sz w:val="21"/>
              </w:rPr>
              <w:t>导致被保险人一肢或一肢以上肢体机能永久完全丧失的情况予以理赔。肢体机能</w:t>
            </w:r>
            <w:r>
              <w:rPr>
                <w:spacing w:val="-15"/>
                <w:sz w:val="21"/>
              </w:rPr>
              <w:t>永久完全丧失，指疾病确诊 </w:t>
            </w:r>
            <w:r>
              <w:rPr>
                <w:rFonts w:ascii="Times New Roman" w:eastAsia="Times New Roman"/>
                <w:sz w:val="21"/>
              </w:rPr>
              <w:t>180 </w:t>
            </w:r>
            <w:r>
              <w:rPr>
                <w:spacing w:val="-12"/>
                <w:sz w:val="21"/>
              </w:rPr>
              <w:t>日后，每肢三大关节中的两大关节仍然完全僵硬， </w:t>
            </w:r>
            <w:r>
              <w:rPr>
                <w:spacing w:val="-6"/>
                <w:sz w:val="21"/>
              </w:rPr>
              <w:t>或不能随意识活动。</w:t>
            </w:r>
          </w:p>
        </w:tc>
      </w:tr>
      <w:tr>
        <w:trPr>
          <w:trHeight w:val="1375" w:hRule="atLeast"/>
        </w:trPr>
        <w:tc>
          <w:tcPr>
            <w:tcW w:w="552" w:type="dxa"/>
          </w:tcPr>
          <w:p>
            <w:pPr>
              <w:pStyle w:val="TableParagraph"/>
              <w:ind w:left="0"/>
              <w:rPr>
                <w:rFonts w:ascii="Times New Roman"/>
                <w:sz w:val="20"/>
              </w:rPr>
            </w:pPr>
          </w:p>
        </w:tc>
        <w:tc>
          <w:tcPr>
            <w:tcW w:w="1480" w:type="dxa"/>
          </w:tcPr>
          <w:p>
            <w:pPr>
              <w:pStyle w:val="TableParagraph"/>
              <w:spacing w:line="180" w:lineRule="auto" w:before="115"/>
              <w:ind w:left="151" w:right="114"/>
              <w:rPr>
                <w:rFonts w:ascii="Microsoft JhengHei" w:eastAsia="Microsoft JhengHei" w:hint="eastAsia"/>
                <w:b/>
                <w:sz w:val="21"/>
              </w:rPr>
            </w:pPr>
            <w:r>
              <w:rPr>
                <w:rFonts w:ascii="Times New Roman" w:eastAsia="Times New Roman"/>
                <w:b/>
                <w:sz w:val="21"/>
              </w:rPr>
              <w:t>30. </w:t>
            </w:r>
            <w:r>
              <w:rPr>
                <w:rFonts w:ascii="Microsoft JhengHei" w:eastAsia="Microsoft JhengHei" w:hint="eastAsia"/>
                <w:b/>
                <w:sz w:val="21"/>
              </w:rPr>
              <w:t>严重原发性心肌病</w:t>
            </w:r>
          </w:p>
        </w:tc>
        <w:tc>
          <w:tcPr>
            <w:tcW w:w="7527" w:type="dxa"/>
          </w:tcPr>
          <w:p>
            <w:pPr>
              <w:pStyle w:val="TableParagraph"/>
              <w:spacing w:line="230" w:lineRule="auto" w:before="101"/>
              <w:ind w:left="63" w:right="192"/>
              <w:jc w:val="both"/>
              <w:rPr>
                <w:sz w:val="21"/>
              </w:rPr>
            </w:pPr>
            <w:r>
              <w:rPr>
                <w:spacing w:val="-6"/>
                <w:sz w:val="21"/>
              </w:rPr>
              <w:t>指因原发性心肌病导致心室功能损害造成永久不可逆性的心功能衰竭，心功能衰竭程度达到美国纽约心脏病学会心功能状态分级 </w:t>
            </w:r>
            <w:r>
              <w:rPr>
                <w:rFonts w:ascii="Times New Roman" w:eastAsia="Times New Roman"/>
                <w:sz w:val="21"/>
              </w:rPr>
              <w:t>IV </w:t>
            </w:r>
            <w:r>
              <w:rPr>
                <w:spacing w:val="-3"/>
                <w:sz w:val="21"/>
              </w:rPr>
              <w:t>级。必须由心脏专科医生确诊，并有包括超声心动图在内的相关检查证实。</w:t>
            </w:r>
          </w:p>
          <w:p>
            <w:pPr>
              <w:pStyle w:val="TableParagraph"/>
              <w:spacing w:line="297" w:lineRule="exact"/>
              <w:ind w:left="63"/>
              <w:jc w:val="both"/>
              <w:rPr>
                <w:rFonts w:ascii="Microsoft JhengHei" w:eastAsia="Microsoft JhengHei" w:hint="eastAsia"/>
                <w:b/>
                <w:sz w:val="21"/>
              </w:rPr>
            </w:pPr>
            <w:r>
              <w:rPr>
                <w:rFonts w:ascii="Microsoft JhengHei" w:eastAsia="Microsoft JhengHei" w:hint="eastAsia"/>
                <w:b/>
                <w:sz w:val="21"/>
              </w:rPr>
              <w:t>酗酒或滥用药物引起的心肌病不在保险责任范围内。</w:t>
            </w:r>
          </w:p>
        </w:tc>
      </w:tr>
      <w:tr>
        <w:trPr>
          <w:trHeight w:val="1646" w:hRule="atLeast"/>
        </w:trPr>
        <w:tc>
          <w:tcPr>
            <w:tcW w:w="552" w:type="dxa"/>
          </w:tcPr>
          <w:p>
            <w:pPr>
              <w:pStyle w:val="TableParagraph"/>
              <w:ind w:left="0"/>
              <w:rPr>
                <w:rFonts w:ascii="Times New Roman"/>
                <w:sz w:val="20"/>
              </w:rPr>
            </w:pPr>
          </w:p>
        </w:tc>
        <w:tc>
          <w:tcPr>
            <w:tcW w:w="1480" w:type="dxa"/>
          </w:tcPr>
          <w:p>
            <w:pPr>
              <w:pStyle w:val="TableParagraph"/>
              <w:spacing w:line="177" w:lineRule="auto" w:before="162"/>
              <w:ind w:left="151" w:right="221"/>
              <w:rPr>
                <w:rFonts w:ascii="Microsoft JhengHei" w:eastAsia="Microsoft JhengHei" w:hint="eastAsia"/>
                <w:b/>
                <w:sz w:val="21"/>
              </w:rPr>
            </w:pPr>
            <w:r>
              <w:rPr>
                <w:rFonts w:ascii="Times New Roman" w:eastAsia="Times New Roman"/>
                <w:b/>
                <w:sz w:val="21"/>
              </w:rPr>
              <w:t>31.</w:t>
            </w:r>
            <w:r>
              <w:rPr>
                <w:rFonts w:ascii="Microsoft JhengHei" w:eastAsia="Microsoft JhengHei" w:hint="eastAsia"/>
                <w:b/>
                <w:sz w:val="21"/>
              </w:rPr>
              <w:t>重症手足口病</w:t>
            </w:r>
          </w:p>
        </w:tc>
        <w:tc>
          <w:tcPr>
            <w:tcW w:w="7527" w:type="dxa"/>
          </w:tcPr>
          <w:p>
            <w:pPr>
              <w:pStyle w:val="TableParagraph"/>
              <w:spacing w:line="237" w:lineRule="auto" w:before="137"/>
              <w:ind w:left="63" w:right="87"/>
              <w:rPr>
                <w:sz w:val="21"/>
              </w:rPr>
            </w:pPr>
            <w:r>
              <w:rPr>
                <w:spacing w:val="-14"/>
                <w:sz w:val="21"/>
              </w:rPr>
              <w:t>是由肠道病毒引起的急性传染病，主要症状表现为手、足、口腔等部位的斑丘疹、</w:t>
            </w:r>
            <w:r>
              <w:rPr>
                <w:spacing w:val="-7"/>
                <w:sz w:val="21"/>
              </w:rPr>
              <w:t>疱疹。重症手足口病必须符合下列全部条件：</w:t>
            </w:r>
          </w:p>
          <w:p>
            <w:pPr>
              <w:pStyle w:val="TableParagraph"/>
              <w:spacing w:line="280" w:lineRule="exact"/>
              <w:ind w:left="63"/>
              <w:rPr>
                <w:sz w:val="21"/>
              </w:rPr>
            </w:pPr>
            <w:r>
              <w:rPr>
                <w:sz w:val="21"/>
              </w:rPr>
              <w:t>（</w:t>
            </w:r>
            <w:r>
              <w:rPr>
                <w:rFonts w:ascii="Times New Roman" w:eastAsia="Times New Roman"/>
                <w:sz w:val="21"/>
              </w:rPr>
              <w:t>1</w:t>
            </w:r>
            <w:r>
              <w:rPr>
                <w:sz w:val="21"/>
              </w:rPr>
              <w:t>）经专科医生诊断为手足口病；</w:t>
            </w:r>
          </w:p>
          <w:p>
            <w:pPr>
              <w:pStyle w:val="TableParagraph"/>
              <w:spacing w:line="272" w:lineRule="exact"/>
              <w:ind w:left="63"/>
              <w:rPr>
                <w:sz w:val="21"/>
              </w:rPr>
            </w:pPr>
            <w:r>
              <w:rPr>
                <w:sz w:val="21"/>
              </w:rPr>
              <w:t>（</w:t>
            </w:r>
            <w:r>
              <w:rPr>
                <w:rFonts w:ascii="Times New Roman" w:eastAsia="Times New Roman"/>
                <w:sz w:val="21"/>
              </w:rPr>
              <w:t>2</w:t>
            </w:r>
            <w:r>
              <w:rPr>
                <w:sz w:val="21"/>
              </w:rPr>
              <w:t>）伴有所列危重并发症之一：脑膜炎、脑炎、脑脊髓炎、肺水肿或心肌炎；</w:t>
            </w:r>
          </w:p>
          <w:p>
            <w:pPr>
              <w:pStyle w:val="TableParagraph"/>
              <w:spacing w:line="282" w:lineRule="exact"/>
              <w:ind w:left="63"/>
              <w:rPr>
                <w:sz w:val="21"/>
              </w:rPr>
            </w:pPr>
            <w:r>
              <w:rPr>
                <w:sz w:val="21"/>
              </w:rPr>
              <w:t>（</w:t>
            </w:r>
            <w:r>
              <w:rPr>
                <w:rFonts w:ascii="Times New Roman" w:eastAsia="Times New Roman"/>
                <w:sz w:val="21"/>
              </w:rPr>
              <w:t>3</w:t>
            </w:r>
            <w:r>
              <w:rPr>
                <w:sz w:val="21"/>
              </w:rPr>
              <w:t>）接受了住院治疗。</w:t>
            </w:r>
          </w:p>
        </w:tc>
      </w:tr>
      <w:tr>
        <w:trPr>
          <w:trHeight w:val="1050" w:hRule="atLeast"/>
        </w:trPr>
        <w:tc>
          <w:tcPr>
            <w:tcW w:w="552" w:type="dxa"/>
          </w:tcPr>
          <w:p>
            <w:pPr>
              <w:pStyle w:val="TableParagraph"/>
              <w:spacing w:before="123"/>
              <w:ind w:left="136"/>
              <w:rPr>
                <w:rFonts w:ascii="Times New Roman"/>
                <w:b/>
                <w:sz w:val="21"/>
              </w:rPr>
            </w:pPr>
            <w:r>
              <w:rPr>
                <w:rFonts w:ascii="Times New Roman"/>
                <w:b/>
                <w:sz w:val="21"/>
              </w:rPr>
              <w:t>7.6</w:t>
            </w:r>
          </w:p>
        </w:tc>
        <w:tc>
          <w:tcPr>
            <w:tcW w:w="1480" w:type="dxa"/>
          </w:tcPr>
          <w:p>
            <w:pPr>
              <w:pStyle w:val="TableParagraph"/>
              <w:spacing w:before="24"/>
              <w:ind w:left="151"/>
              <w:rPr>
                <w:rFonts w:ascii="Microsoft JhengHei" w:eastAsia="Microsoft JhengHei" w:hint="eastAsia"/>
                <w:b/>
                <w:sz w:val="21"/>
              </w:rPr>
            </w:pPr>
            <w:r>
              <w:rPr>
                <w:rFonts w:ascii="Microsoft JhengHei" w:eastAsia="Microsoft JhengHei" w:hint="eastAsia"/>
                <w:b/>
                <w:sz w:val="21"/>
              </w:rPr>
              <w:t>意外伤害</w:t>
            </w:r>
          </w:p>
        </w:tc>
        <w:tc>
          <w:tcPr>
            <w:tcW w:w="7527" w:type="dxa"/>
          </w:tcPr>
          <w:p>
            <w:pPr>
              <w:pStyle w:val="TableParagraph"/>
              <w:spacing w:line="237" w:lineRule="auto" w:before="94"/>
              <w:ind w:left="63" w:right="190"/>
              <w:jc w:val="both"/>
              <w:rPr>
                <w:sz w:val="21"/>
              </w:rPr>
            </w:pPr>
            <w:r>
              <w:rPr>
                <w:spacing w:val="-10"/>
                <w:sz w:val="21"/>
              </w:rPr>
              <w:t>指遭受外来的、突发的、非本意的、非疾病的使身体受到伤害的客观事件。并以</w:t>
            </w:r>
            <w:r>
              <w:rPr>
                <w:spacing w:val="-8"/>
                <w:sz w:val="21"/>
              </w:rPr>
              <w:t>此客观事件为直接且单独原因导致被保险人身体蒙受伤害或者身故。猝死不属于</w:t>
            </w:r>
            <w:r>
              <w:rPr>
                <w:spacing w:val="-5"/>
                <w:sz w:val="21"/>
              </w:rPr>
              <w:t>意外伤害。</w:t>
            </w:r>
          </w:p>
        </w:tc>
      </w:tr>
      <w:tr>
        <w:trPr>
          <w:trHeight w:val="1330" w:hRule="atLeast"/>
        </w:trPr>
        <w:tc>
          <w:tcPr>
            <w:tcW w:w="552" w:type="dxa"/>
          </w:tcPr>
          <w:p>
            <w:pPr>
              <w:pStyle w:val="TableParagraph"/>
              <w:spacing w:before="131"/>
              <w:ind w:left="136"/>
              <w:rPr>
                <w:rFonts w:ascii="Times New Roman"/>
                <w:b/>
                <w:sz w:val="21"/>
              </w:rPr>
            </w:pPr>
            <w:r>
              <w:rPr>
                <w:rFonts w:ascii="Times New Roman"/>
                <w:b/>
                <w:sz w:val="21"/>
              </w:rPr>
              <w:t>7.7</w:t>
            </w:r>
          </w:p>
        </w:tc>
        <w:tc>
          <w:tcPr>
            <w:tcW w:w="1480" w:type="dxa"/>
          </w:tcPr>
          <w:p>
            <w:pPr>
              <w:pStyle w:val="TableParagraph"/>
              <w:spacing w:before="32"/>
              <w:ind w:left="151"/>
              <w:rPr>
                <w:rFonts w:ascii="Microsoft JhengHei" w:eastAsia="Microsoft JhengHei" w:hint="eastAsia"/>
                <w:b/>
                <w:sz w:val="21"/>
              </w:rPr>
            </w:pPr>
            <w:r>
              <w:rPr>
                <w:rFonts w:ascii="Microsoft JhengHei" w:eastAsia="Microsoft JhengHei" w:hint="eastAsia"/>
                <w:b/>
                <w:sz w:val="21"/>
              </w:rPr>
              <w:t>毒品</w:t>
            </w:r>
          </w:p>
        </w:tc>
        <w:tc>
          <w:tcPr>
            <w:tcW w:w="7527" w:type="dxa"/>
          </w:tcPr>
          <w:p>
            <w:pPr>
              <w:pStyle w:val="TableParagraph"/>
              <w:spacing w:line="237" w:lineRule="auto" w:before="102"/>
              <w:ind w:left="63" w:right="192"/>
              <w:jc w:val="both"/>
              <w:rPr>
                <w:sz w:val="21"/>
              </w:rPr>
            </w:pPr>
            <w:r>
              <w:rPr>
                <w:spacing w:val="-3"/>
                <w:sz w:val="21"/>
              </w:rPr>
              <w:t>指《中华人民共和国刑法》规定的鸦片、海洛因、甲基苯丙胺</w:t>
            </w:r>
            <w:r>
              <w:rPr>
                <w:sz w:val="21"/>
              </w:rPr>
              <w:t>（冰毒</w:t>
            </w:r>
            <w:r>
              <w:rPr>
                <w:spacing w:val="-106"/>
                <w:sz w:val="21"/>
              </w:rPr>
              <w:t>）</w:t>
            </w:r>
            <w:r>
              <w:rPr>
                <w:spacing w:val="-3"/>
                <w:sz w:val="21"/>
              </w:rPr>
              <w:t>、吗啡、</w:t>
            </w:r>
            <w:r>
              <w:rPr>
                <w:spacing w:val="-2"/>
                <w:sz w:val="21"/>
              </w:rPr>
              <w:t>大麻、可卡因以及国家规定管制的其他能够使人形成瘾癖的麻醉药品和精神药</w:t>
            </w:r>
            <w:r>
              <w:rPr>
                <w:spacing w:val="-12"/>
                <w:sz w:val="21"/>
              </w:rPr>
              <w:t>品，但不包括由医生开具并遵医嘱使用的用于治疗疾病但含有毒品成分的处方药品。</w:t>
            </w:r>
          </w:p>
        </w:tc>
      </w:tr>
      <w:tr>
        <w:trPr>
          <w:trHeight w:val="1058" w:hRule="atLeast"/>
        </w:trPr>
        <w:tc>
          <w:tcPr>
            <w:tcW w:w="552" w:type="dxa"/>
          </w:tcPr>
          <w:p>
            <w:pPr>
              <w:pStyle w:val="TableParagraph"/>
              <w:spacing w:before="131"/>
              <w:ind w:left="136"/>
              <w:rPr>
                <w:rFonts w:ascii="Times New Roman"/>
                <w:b/>
                <w:sz w:val="21"/>
              </w:rPr>
            </w:pPr>
            <w:r>
              <w:rPr>
                <w:rFonts w:ascii="Times New Roman"/>
                <w:b/>
                <w:sz w:val="21"/>
              </w:rPr>
              <w:t>7.8</w:t>
            </w:r>
          </w:p>
        </w:tc>
        <w:tc>
          <w:tcPr>
            <w:tcW w:w="1480" w:type="dxa"/>
          </w:tcPr>
          <w:p>
            <w:pPr>
              <w:pStyle w:val="TableParagraph"/>
              <w:spacing w:before="32"/>
              <w:ind w:left="151"/>
              <w:rPr>
                <w:rFonts w:ascii="Microsoft JhengHei" w:eastAsia="Microsoft JhengHei" w:hint="eastAsia"/>
                <w:b/>
                <w:sz w:val="21"/>
              </w:rPr>
            </w:pPr>
            <w:r>
              <w:rPr>
                <w:rFonts w:ascii="Microsoft JhengHei" w:eastAsia="Microsoft JhengHei" w:hint="eastAsia"/>
                <w:b/>
                <w:sz w:val="21"/>
              </w:rPr>
              <w:t>酒后驾驶</w:t>
            </w:r>
          </w:p>
        </w:tc>
        <w:tc>
          <w:tcPr>
            <w:tcW w:w="7527" w:type="dxa"/>
          </w:tcPr>
          <w:p>
            <w:pPr>
              <w:pStyle w:val="TableParagraph"/>
              <w:spacing w:line="237" w:lineRule="auto" w:before="102"/>
              <w:ind w:left="63" w:right="104"/>
              <w:rPr>
                <w:sz w:val="21"/>
              </w:rPr>
            </w:pPr>
            <w:r>
              <w:rPr>
                <w:spacing w:val="-12"/>
                <w:sz w:val="21"/>
              </w:rPr>
              <w:t>指经检测或鉴定，发生事故时车辆驾驶人员每百毫升血液中的酒精含量达到或超</w:t>
            </w:r>
            <w:r>
              <w:rPr>
                <w:spacing w:val="-6"/>
                <w:sz w:val="21"/>
              </w:rPr>
              <w:t>过一定的标准，公安机关交通管理部门依据《中华人民共和国道路交通安全法》</w:t>
            </w:r>
            <w:r>
              <w:rPr>
                <w:spacing w:val="-4"/>
                <w:sz w:val="21"/>
              </w:rPr>
              <w:t>的规定认定为饮酒后驾驶或醉酒后驾驶。</w:t>
            </w:r>
          </w:p>
        </w:tc>
      </w:tr>
      <w:tr>
        <w:trPr>
          <w:trHeight w:val="663" w:hRule="atLeast"/>
        </w:trPr>
        <w:tc>
          <w:tcPr>
            <w:tcW w:w="552" w:type="dxa"/>
          </w:tcPr>
          <w:p>
            <w:pPr>
              <w:pStyle w:val="TableParagraph"/>
              <w:spacing w:before="131"/>
              <w:ind w:left="136"/>
              <w:rPr>
                <w:rFonts w:ascii="Times New Roman"/>
                <w:b/>
                <w:sz w:val="21"/>
              </w:rPr>
            </w:pPr>
            <w:r>
              <w:rPr>
                <w:rFonts w:ascii="Times New Roman"/>
                <w:b/>
                <w:sz w:val="21"/>
              </w:rPr>
              <w:t>7.9</w:t>
            </w:r>
          </w:p>
        </w:tc>
        <w:tc>
          <w:tcPr>
            <w:tcW w:w="1480" w:type="dxa"/>
          </w:tcPr>
          <w:p>
            <w:pPr>
              <w:pStyle w:val="TableParagraph"/>
              <w:spacing w:line="320" w:lineRule="exact" w:before="32"/>
              <w:ind w:left="151"/>
              <w:rPr>
                <w:rFonts w:ascii="Microsoft JhengHei" w:eastAsia="Microsoft JhengHei" w:hint="eastAsia"/>
                <w:b/>
                <w:sz w:val="21"/>
              </w:rPr>
            </w:pPr>
            <w:r>
              <w:rPr>
                <w:rFonts w:ascii="Microsoft JhengHei" w:eastAsia="Microsoft JhengHei" w:hint="eastAsia"/>
                <w:b/>
                <w:sz w:val="21"/>
              </w:rPr>
              <w:t>无合法有效驾</w:t>
            </w:r>
          </w:p>
          <w:p>
            <w:pPr>
              <w:pStyle w:val="TableParagraph"/>
              <w:spacing w:line="292" w:lineRule="exact"/>
              <w:ind w:left="151"/>
              <w:rPr>
                <w:rFonts w:ascii="Microsoft JhengHei" w:eastAsia="Microsoft JhengHei" w:hint="eastAsia"/>
                <w:b/>
                <w:sz w:val="21"/>
              </w:rPr>
            </w:pPr>
            <w:r>
              <w:rPr>
                <w:rFonts w:ascii="Microsoft JhengHei" w:eastAsia="Microsoft JhengHei" w:hint="eastAsia"/>
                <w:b/>
                <w:sz w:val="21"/>
              </w:rPr>
              <w:t>驶证驾驶</w:t>
            </w:r>
          </w:p>
        </w:tc>
        <w:tc>
          <w:tcPr>
            <w:tcW w:w="7527" w:type="dxa"/>
          </w:tcPr>
          <w:p>
            <w:pPr>
              <w:pStyle w:val="TableParagraph"/>
              <w:spacing w:line="274" w:lineRule="exact" w:before="99"/>
              <w:ind w:left="63"/>
              <w:rPr>
                <w:sz w:val="21"/>
              </w:rPr>
            </w:pPr>
            <w:r>
              <w:rPr>
                <w:sz w:val="21"/>
              </w:rPr>
              <w:t>指下列情形之一：</w:t>
            </w:r>
          </w:p>
          <w:p>
            <w:pPr>
              <w:pStyle w:val="TableParagraph"/>
              <w:spacing w:line="270" w:lineRule="exact"/>
              <w:ind w:left="63"/>
              <w:rPr>
                <w:sz w:val="21"/>
              </w:rPr>
            </w:pPr>
            <w:r>
              <w:rPr>
                <w:sz w:val="21"/>
              </w:rPr>
              <w:t>（</w:t>
            </w:r>
            <w:r>
              <w:rPr>
                <w:rFonts w:ascii="Times New Roman" w:eastAsia="Times New Roman"/>
                <w:sz w:val="21"/>
              </w:rPr>
              <w:t>1</w:t>
            </w:r>
            <w:r>
              <w:rPr>
                <w:sz w:val="21"/>
              </w:rPr>
              <w:t>）没有取得驾驶资格；</w:t>
            </w:r>
          </w:p>
        </w:tc>
      </w:tr>
    </w:tbl>
    <w:p>
      <w:pPr>
        <w:spacing w:after="0" w:line="270" w:lineRule="exact"/>
        <w:rPr>
          <w:sz w:val="21"/>
        </w:rPr>
        <w:sectPr>
          <w:pgSz w:w="11910" w:h="16840"/>
          <w:pgMar w:header="857" w:footer="683" w:top="1040" w:bottom="880" w:left="1060" w:right="1060"/>
        </w:sectPr>
      </w:pPr>
    </w:p>
    <w:p>
      <w:pPr>
        <w:pStyle w:val="BodyText"/>
        <w:spacing w:before="4"/>
        <w:rPr>
          <w:rFonts w:ascii="Times New Roman"/>
          <w:sz w:val="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5"/>
        <w:gridCol w:w="1428"/>
        <w:gridCol w:w="7528"/>
      </w:tblGrid>
      <w:tr>
        <w:trPr>
          <w:trHeight w:val="1299" w:hRule="atLeast"/>
        </w:trPr>
        <w:tc>
          <w:tcPr>
            <w:tcW w:w="605" w:type="dxa"/>
            <w:tcBorders>
              <w:top w:val="single" w:sz="6" w:space="0" w:color="000000"/>
            </w:tcBorders>
          </w:tcPr>
          <w:p>
            <w:pPr>
              <w:pStyle w:val="TableParagraph"/>
              <w:ind w:left="0"/>
              <w:rPr>
                <w:rFonts w:ascii="Times New Roman"/>
                <w:sz w:val="20"/>
              </w:rPr>
            </w:pPr>
          </w:p>
        </w:tc>
        <w:tc>
          <w:tcPr>
            <w:tcW w:w="1428" w:type="dxa"/>
            <w:tcBorders>
              <w:top w:val="single" w:sz="6" w:space="0" w:color="000000"/>
            </w:tcBorders>
          </w:tcPr>
          <w:p>
            <w:pPr>
              <w:pStyle w:val="TableParagraph"/>
              <w:ind w:left="0"/>
              <w:rPr>
                <w:rFonts w:ascii="Times New Roman"/>
                <w:sz w:val="20"/>
              </w:rPr>
            </w:pPr>
          </w:p>
        </w:tc>
        <w:tc>
          <w:tcPr>
            <w:tcW w:w="7528" w:type="dxa"/>
            <w:tcBorders>
              <w:top w:val="single" w:sz="6" w:space="0" w:color="000000"/>
            </w:tcBorders>
          </w:tcPr>
          <w:p>
            <w:pPr>
              <w:pStyle w:val="TableParagraph"/>
              <w:spacing w:line="281" w:lineRule="exact" w:before="69"/>
              <w:rPr>
                <w:sz w:val="21"/>
              </w:rPr>
            </w:pPr>
            <w:r>
              <w:rPr>
                <w:sz w:val="21"/>
              </w:rPr>
              <w:t>（</w:t>
            </w:r>
            <w:r>
              <w:rPr>
                <w:rFonts w:ascii="Times New Roman" w:eastAsia="Times New Roman"/>
                <w:sz w:val="21"/>
              </w:rPr>
              <w:t>2</w:t>
            </w:r>
            <w:r>
              <w:rPr>
                <w:sz w:val="21"/>
              </w:rPr>
              <w:t>）驾驶与驾驶证准驾车型不相符合的车辆；</w:t>
            </w:r>
          </w:p>
          <w:p>
            <w:pPr>
              <w:pStyle w:val="TableParagraph"/>
              <w:spacing w:line="273" w:lineRule="exact"/>
              <w:rPr>
                <w:sz w:val="21"/>
              </w:rPr>
            </w:pPr>
            <w:r>
              <w:rPr>
                <w:sz w:val="21"/>
              </w:rPr>
              <w:t>（</w:t>
            </w:r>
            <w:r>
              <w:rPr>
                <w:rFonts w:ascii="Times New Roman" w:eastAsia="Times New Roman"/>
                <w:sz w:val="21"/>
              </w:rPr>
              <w:t>3</w:t>
            </w:r>
            <w:r>
              <w:rPr>
                <w:sz w:val="21"/>
              </w:rPr>
              <w:t>）持审验不合格的驾驶证驾驶；</w:t>
            </w:r>
          </w:p>
          <w:p>
            <w:pPr>
              <w:pStyle w:val="TableParagraph"/>
              <w:spacing w:line="223" w:lineRule="auto" w:before="12"/>
              <w:ind w:right="197"/>
              <w:rPr>
                <w:sz w:val="21"/>
              </w:rPr>
            </w:pPr>
            <w:r>
              <w:rPr>
                <w:sz w:val="21"/>
              </w:rPr>
              <w:t>（</w:t>
            </w:r>
            <w:r>
              <w:rPr>
                <w:rFonts w:ascii="Times New Roman" w:eastAsia="Times New Roman"/>
                <w:sz w:val="21"/>
              </w:rPr>
              <w:t>4</w:t>
            </w:r>
            <w:r>
              <w:rPr>
                <w:sz w:val="21"/>
              </w:rPr>
              <w:t>）持学习驾驶证学习驾车时，无教练员随车指导，或不按指定时间、路线学习驾车。</w:t>
            </w:r>
          </w:p>
        </w:tc>
      </w:tr>
      <w:tr>
        <w:trPr>
          <w:trHeight w:val="1066" w:hRule="atLeast"/>
        </w:trPr>
        <w:tc>
          <w:tcPr>
            <w:tcW w:w="605" w:type="dxa"/>
          </w:tcPr>
          <w:p>
            <w:pPr>
              <w:pStyle w:val="TableParagraph"/>
              <w:spacing w:before="131"/>
              <w:ind w:left="111" w:right="73"/>
              <w:jc w:val="center"/>
              <w:rPr>
                <w:rFonts w:ascii="Times New Roman"/>
                <w:b/>
                <w:sz w:val="21"/>
              </w:rPr>
            </w:pPr>
            <w:r>
              <w:rPr>
                <w:rFonts w:ascii="Times New Roman"/>
                <w:b/>
                <w:sz w:val="21"/>
              </w:rPr>
              <w:t>7.10</w:t>
            </w:r>
          </w:p>
        </w:tc>
        <w:tc>
          <w:tcPr>
            <w:tcW w:w="1428" w:type="dxa"/>
          </w:tcPr>
          <w:p>
            <w:pPr>
              <w:pStyle w:val="TableParagraph"/>
              <w:spacing w:before="32"/>
              <w:ind w:left="98"/>
              <w:rPr>
                <w:rFonts w:ascii="Microsoft JhengHei" w:eastAsia="Microsoft JhengHei" w:hint="eastAsia"/>
                <w:b/>
                <w:sz w:val="21"/>
              </w:rPr>
            </w:pPr>
            <w:r>
              <w:rPr>
                <w:rFonts w:ascii="Microsoft JhengHei" w:eastAsia="Microsoft JhengHei" w:hint="eastAsia"/>
                <w:b/>
                <w:sz w:val="21"/>
              </w:rPr>
              <w:t>无有效行驶证</w:t>
            </w:r>
          </w:p>
        </w:tc>
        <w:tc>
          <w:tcPr>
            <w:tcW w:w="7528" w:type="dxa"/>
          </w:tcPr>
          <w:p>
            <w:pPr>
              <w:pStyle w:val="TableParagraph"/>
              <w:spacing w:line="274" w:lineRule="exact" w:before="99"/>
              <w:rPr>
                <w:sz w:val="21"/>
              </w:rPr>
            </w:pPr>
            <w:r>
              <w:rPr>
                <w:sz w:val="21"/>
              </w:rPr>
              <w:t>指下列情形之一：</w:t>
            </w:r>
          </w:p>
          <w:p>
            <w:pPr>
              <w:pStyle w:val="TableParagraph"/>
              <w:spacing w:line="280" w:lineRule="exact"/>
              <w:rPr>
                <w:sz w:val="21"/>
              </w:rPr>
            </w:pPr>
            <w:r>
              <w:rPr>
                <w:sz w:val="21"/>
              </w:rPr>
              <w:t>（</w:t>
            </w:r>
            <w:r>
              <w:rPr>
                <w:rFonts w:ascii="Times New Roman" w:eastAsia="Times New Roman"/>
                <w:sz w:val="21"/>
              </w:rPr>
              <w:t>1</w:t>
            </w:r>
            <w:r>
              <w:rPr>
                <w:sz w:val="21"/>
              </w:rPr>
              <w:t>）机动车被依法注销登记的；</w:t>
            </w:r>
          </w:p>
          <w:p>
            <w:pPr>
              <w:pStyle w:val="TableParagraph"/>
              <w:spacing w:line="281" w:lineRule="exact"/>
              <w:rPr>
                <w:sz w:val="21"/>
              </w:rPr>
            </w:pPr>
            <w:r>
              <w:rPr>
                <w:sz w:val="21"/>
              </w:rPr>
              <w:t>（</w:t>
            </w:r>
            <w:r>
              <w:rPr>
                <w:rFonts w:ascii="Times New Roman" w:eastAsia="Times New Roman"/>
                <w:sz w:val="21"/>
              </w:rPr>
              <w:t>2</w:t>
            </w:r>
            <w:r>
              <w:rPr>
                <w:sz w:val="21"/>
              </w:rPr>
              <w:t>）未依法按时进行或通过机动车安全技术检验。</w:t>
            </w:r>
          </w:p>
        </w:tc>
      </w:tr>
      <w:tr>
        <w:trPr>
          <w:trHeight w:val="779" w:hRule="atLeast"/>
        </w:trPr>
        <w:tc>
          <w:tcPr>
            <w:tcW w:w="605" w:type="dxa"/>
          </w:tcPr>
          <w:p>
            <w:pPr>
              <w:pStyle w:val="TableParagraph"/>
              <w:spacing w:before="123"/>
              <w:ind w:left="105" w:right="79"/>
              <w:jc w:val="center"/>
              <w:rPr>
                <w:rFonts w:ascii="Times New Roman"/>
                <w:b/>
                <w:sz w:val="21"/>
              </w:rPr>
            </w:pPr>
            <w:r>
              <w:rPr>
                <w:rFonts w:ascii="Times New Roman"/>
                <w:b/>
                <w:sz w:val="21"/>
              </w:rPr>
              <w:t>7.11</w:t>
            </w:r>
          </w:p>
        </w:tc>
        <w:tc>
          <w:tcPr>
            <w:tcW w:w="1428" w:type="dxa"/>
          </w:tcPr>
          <w:p>
            <w:pPr>
              <w:pStyle w:val="TableParagraph"/>
              <w:spacing w:before="24"/>
              <w:ind w:left="98"/>
              <w:rPr>
                <w:rFonts w:ascii="Microsoft JhengHei" w:eastAsia="Microsoft JhengHei" w:hint="eastAsia"/>
                <w:b/>
                <w:sz w:val="21"/>
              </w:rPr>
            </w:pPr>
            <w:r>
              <w:rPr>
                <w:rFonts w:ascii="Microsoft JhengHei" w:eastAsia="Microsoft JhengHei" w:hint="eastAsia"/>
                <w:b/>
                <w:sz w:val="21"/>
              </w:rPr>
              <w:t>遗传性疾病</w:t>
            </w:r>
          </w:p>
        </w:tc>
        <w:tc>
          <w:tcPr>
            <w:tcW w:w="7528" w:type="dxa"/>
          </w:tcPr>
          <w:p>
            <w:pPr>
              <w:pStyle w:val="TableParagraph"/>
              <w:spacing w:before="91"/>
              <w:ind w:right="2"/>
              <w:rPr>
                <w:sz w:val="21"/>
              </w:rPr>
            </w:pPr>
            <w:r>
              <w:rPr>
                <w:spacing w:val="-7"/>
                <w:sz w:val="21"/>
              </w:rPr>
              <w:t>指生殖细胞或受精卵的遗传物质</w:t>
            </w:r>
            <w:r>
              <w:rPr>
                <w:sz w:val="21"/>
              </w:rPr>
              <w:t>（</w:t>
            </w:r>
            <w:r>
              <w:rPr>
                <w:spacing w:val="-3"/>
                <w:sz w:val="21"/>
              </w:rPr>
              <w:t>染色体和基因</w:t>
            </w:r>
            <w:r>
              <w:rPr>
                <w:spacing w:val="-56"/>
                <w:sz w:val="21"/>
              </w:rPr>
              <w:t>）</w:t>
            </w:r>
            <w:r>
              <w:rPr>
                <w:spacing w:val="-3"/>
                <w:sz w:val="21"/>
              </w:rPr>
              <w:t>发生突变或畸变所引起的疾病， 通常具有由亲代传至后代的垂直传递的特征。</w:t>
            </w:r>
          </w:p>
        </w:tc>
      </w:tr>
      <w:tr>
        <w:trPr>
          <w:trHeight w:val="1058" w:hRule="atLeast"/>
        </w:trPr>
        <w:tc>
          <w:tcPr>
            <w:tcW w:w="605" w:type="dxa"/>
          </w:tcPr>
          <w:p>
            <w:pPr>
              <w:pStyle w:val="TableParagraph"/>
              <w:spacing w:before="131"/>
              <w:ind w:left="111" w:right="73"/>
              <w:jc w:val="center"/>
              <w:rPr>
                <w:rFonts w:ascii="Times New Roman"/>
                <w:b/>
                <w:sz w:val="21"/>
              </w:rPr>
            </w:pPr>
            <w:r>
              <w:rPr>
                <w:rFonts w:ascii="Times New Roman"/>
                <w:b/>
                <w:sz w:val="21"/>
              </w:rPr>
              <w:t>7.12</w:t>
            </w:r>
          </w:p>
        </w:tc>
        <w:tc>
          <w:tcPr>
            <w:tcW w:w="1428" w:type="dxa"/>
          </w:tcPr>
          <w:p>
            <w:pPr>
              <w:pStyle w:val="TableParagraph"/>
              <w:spacing w:line="180" w:lineRule="auto" w:before="123"/>
              <w:ind w:left="98" w:right="60"/>
              <w:jc w:val="both"/>
              <w:rPr>
                <w:rFonts w:ascii="Microsoft JhengHei" w:eastAsia="Microsoft JhengHei" w:hint="eastAsia"/>
                <w:b/>
                <w:sz w:val="21"/>
              </w:rPr>
            </w:pPr>
            <w:r>
              <w:rPr>
                <w:rFonts w:ascii="Microsoft JhengHei" w:eastAsia="Microsoft JhengHei" w:hint="eastAsia"/>
                <w:b/>
                <w:sz w:val="21"/>
              </w:rPr>
              <w:t>先天性畸形、变形或染色体异常</w:t>
            </w:r>
          </w:p>
        </w:tc>
        <w:tc>
          <w:tcPr>
            <w:tcW w:w="7528" w:type="dxa"/>
          </w:tcPr>
          <w:p>
            <w:pPr>
              <w:pStyle w:val="TableParagraph"/>
              <w:spacing w:line="230" w:lineRule="auto" w:before="110"/>
              <w:ind w:right="192"/>
              <w:jc w:val="both"/>
              <w:rPr>
                <w:sz w:val="21"/>
              </w:rPr>
            </w:pPr>
            <w:r>
              <w:rPr>
                <w:spacing w:val="-7"/>
                <w:sz w:val="21"/>
              </w:rPr>
              <w:t>指被保险人出生时就具有的畸形、变形或染色体异常。先天性畸形、变形和染色</w:t>
            </w:r>
            <w:r>
              <w:rPr>
                <w:spacing w:val="-8"/>
                <w:sz w:val="21"/>
              </w:rPr>
              <w:t>体异常依照世界卫生组织《疾病和有关健康问题的国际统计分类》</w:t>
            </w:r>
            <w:r>
              <w:rPr>
                <w:sz w:val="21"/>
              </w:rPr>
              <w:t>（</w:t>
            </w:r>
            <w:r>
              <w:rPr>
                <w:rFonts w:ascii="Times New Roman" w:eastAsia="Times New Roman"/>
                <w:sz w:val="21"/>
              </w:rPr>
              <w:t>ICD-10</w:t>
            </w:r>
            <w:r>
              <w:rPr>
                <w:sz w:val="21"/>
              </w:rPr>
              <w:t>）</w:t>
            </w:r>
            <w:r>
              <w:rPr>
                <w:spacing w:val="-3"/>
                <w:sz w:val="21"/>
              </w:rPr>
              <w:t>确</w:t>
            </w:r>
            <w:r>
              <w:rPr>
                <w:sz w:val="21"/>
              </w:rPr>
              <w:t>定。</w:t>
            </w:r>
          </w:p>
        </w:tc>
      </w:tr>
      <w:tr>
        <w:trPr>
          <w:trHeight w:val="1603" w:hRule="atLeast"/>
        </w:trPr>
        <w:tc>
          <w:tcPr>
            <w:tcW w:w="605" w:type="dxa"/>
          </w:tcPr>
          <w:p>
            <w:pPr>
              <w:pStyle w:val="TableParagraph"/>
              <w:spacing w:before="131"/>
              <w:ind w:left="111" w:right="73"/>
              <w:jc w:val="center"/>
              <w:rPr>
                <w:rFonts w:ascii="Times New Roman"/>
                <w:b/>
                <w:sz w:val="21"/>
              </w:rPr>
            </w:pPr>
            <w:r>
              <w:rPr>
                <w:rFonts w:ascii="Times New Roman"/>
                <w:b/>
                <w:sz w:val="21"/>
              </w:rPr>
              <w:t>7.13</w:t>
            </w:r>
          </w:p>
        </w:tc>
        <w:tc>
          <w:tcPr>
            <w:tcW w:w="1428" w:type="dxa"/>
          </w:tcPr>
          <w:p>
            <w:pPr>
              <w:pStyle w:val="TableParagraph"/>
              <w:spacing w:line="177" w:lineRule="auto" w:before="127"/>
              <w:ind w:left="98" w:right="60"/>
              <w:rPr>
                <w:rFonts w:ascii="Microsoft JhengHei" w:eastAsia="Microsoft JhengHei" w:hint="eastAsia"/>
                <w:b/>
                <w:sz w:val="21"/>
              </w:rPr>
            </w:pPr>
            <w:r>
              <w:rPr>
                <w:rFonts w:ascii="Microsoft JhengHei" w:eastAsia="Microsoft JhengHei" w:hint="eastAsia"/>
                <w:b/>
                <w:sz w:val="21"/>
              </w:rPr>
              <w:t>感染艾滋病病毒或患艾滋病</w:t>
            </w:r>
          </w:p>
        </w:tc>
        <w:tc>
          <w:tcPr>
            <w:tcW w:w="7528" w:type="dxa"/>
          </w:tcPr>
          <w:p>
            <w:pPr>
              <w:pStyle w:val="TableParagraph"/>
              <w:spacing w:line="223" w:lineRule="auto" w:before="119"/>
              <w:ind w:right="194"/>
              <w:rPr>
                <w:sz w:val="21"/>
              </w:rPr>
            </w:pPr>
            <w:r>
              <w:rPr>
                <w:spacing w:val="-7"/>
                <w:sz w:val="21"/>
              </w:rPr>
              <w:t>艾滋病病毒指人类免疫缺陷病毒，英文缩写为 </w:t>
            </w:r>
            <w:r>
              <w:rPr>
                <w:rFonts w:ascii="Times New Roman" w:eastAsia="Times New Roman"/>
                <w:sz w:val="21"/>
              </w:rPr>
              <w:t>HIV</w:t>
            </w:r>
            <w:r>
              <w:rPr>
                <w:spacing w:val="-8"/>
                <w:sz w:val="21"/>
              </w:rPr>
              <w:t>。艾滋病指人类免疫缺陷病毒</w:t>
            </w:r>
            <w:r>
              <w:rPr>
                <w:spacing w:val="-7"/>
                <w:sz w:val="21"/>
              </w:rPr>
              <w:t>引起的获得性免疫缺陷综合征，英文缩写为 </w:t>
            </w:r>
            <w:r>
              <w:rPr>
                <w:rFonts w:ascii="Times New Roman" w:eastAsia="Times New Roman"/>
                <w:sz w:val="21"/>
              </w:rPr>
              <w:t>AIDS</w:t>
            </w:r>
            <w:r>
              <w:rPr>
                <w:sz w:val="21"/>
              </w:rPr>
              <w:t>。</w:t>
            </w:r>
          </w:p>
          <w:p>
            <w:pPr>
              <w:pStyle w:val="TableParagraph"/>
              <w:spacing w:line="272" w:lineRule="exact" w:before="10"/>
              <w:ind w:right="192"/>
              <w:rPr>
                <w:sz w:val="21"/>
              </w:rPr>
            </w:pPr>
            <w:r>
              <w:rPr>
                <w:spacing w:val="-7"/>
                <w:sz w:val="21"/>
              </w:rPr>
              <w:t>在人体血液或其它样本中检测到艾滋病病毒或其抗体呈阳性，没有出现临床症状</w:t>
            </w:r>
            <w:r>
              <w:rPr>
                <w:spacing w:val="-11"/>
                <w:sz w:val="21"/>
              </w:rPr>
              <w:t>或体征的，为感染艾滋病病毒；如果同时出现了明显临床症状或体征的，为患艾</w:t>
            </w:r>
          </w:p>
          <w:p>
            <w:pPr>
              <w:pStyle w:val="TableParagraph"/>
              <w:spacing w:line="249" w:lineRule="exact"/>
              <w:rPr>
                <w:sz w:val="21"/>
              </w:rPr>
            </w:pPr>
            <w:r>
              <w:rPr>
                <w:sz w:val="21"/>
              </w:rPr>
              <w:t>滋病。</w:t>
            </w:r>
          </w:p>
        </w:tc>
      </w:tr>
      <w:tr>
        <w:trPr>
          <w:trHeight w:val="851" w:hRule="atLeast"/>
        </w:trPr>
        <w:tc>
          <w:tcPr>
            <w:tcW w:w="605" w:type="dxa"/>
          </w:tcPr>
          <w:p>
            <w:pPr>
              <w:pStyle w:val="TableParagraph"/>
              <w:spacing w:before="131"/>
              <w:ind w:left="111" w:right="73"/>
              <w:jc w:val="center"/>
              <w:rPr>
                <w:rFonts w:ascii="Times New Roman"/>
                <w:b/>
                <w:sz w:val="21"/>
              </w:rPr>
            </w:pPr>
            <w:r>
              <w:rPr>
                <w:rFonts w:ascii="Times New Roman"/>
                <w:b/>
                <w:sz w:val="21"/>
              </w:rPr>
              <w:t>7.14</w:t>
            </w:r>
          </w:p>
        </w:tc>
        <w:tc>
          <w:tcPr>
            <w:tcW w:w="1428" w:type="dxa"/>
          </w:tcPr>
          <w:p>
            <w:pPr>
              <w:pStyle w:val="TableParagraph"/>
              <w:spacing w:before="32"/>
              <w:ind w:left="98"/>
              <w:rPr>
                <w:rFonts w:ascii="Microsoft JhengHei" w:eastAsia="Microsoft JhengHei" w:hint="eastAsia"/>
                <w:b/>
                <w:sz w:val="21"/>
              </w:rPr>
            </w:pPr>
            <w:r>
              <w:rPr>
                <w:rFonts w:ascii="Microsoft JhengHei" w:eastAsia="Microsoft JhengHei" w:hint="eastAsia"/>
                <w:b/>
                <w:sz w:val="21"/>
              </w:rPr>
              <w:t>未满期净保费</w:t>
            </w:r>
          </w:p>
        </w:tc>
        <w:tc>
          <w:tcPr>
            <w:tcW w:w="7528" w:type="dxa"/>
          </w:tcPr>
          <w:p>
            <w:pPr>
              <w:pStyle w:val="TableParagraph"/>
              <w:spacing w:line="281" w:lineRule="exact" w:before="99"/>
              <w:rPr>
                <w:sz w:val="21"/>
              </w:rPr>
            </w:pPr>
            <w:r>
              <w:rPr>
                <w:spacing w:val="-2"/>
                <w:w w:val="100"/>
                <w:sz w:val="21"/>
              </w:rPr>
              <w:t>未满期净保费</w:t>
            </w:r>
            <w:r>
              <w:rPr>
                <w:rFonts w:ascii="Times New Roman" w:hAnsi="Times New Roman" w:eastAsia="Times New Roman"/>
                <w:w w:val="100"/>
                <w:sz w:val="21"/>
              </w:rPr>
              <w:t>=</w:t>
            </w:r>
            <w:r>
              <w:rPr>
                <w:rFonts w:ascii="Times New Roman" w:hAnsi="Times New Roman" w:eastAsia="Times New Roman"/>
                <w:sz w:val="21"/>
              </w:rPr>
              <w:t>  </w:t>
            </w:r>
            <w:r>
              <w:rPr>
                <w:spacing w:val="-2"/>
                <w:w w:val="100"/>
                <w:sz w:val="21"/>
              </w:rPr>
              <w:t>保险费</w:t>
            </w:r>
            <w:r>
              <w:rPr>
                <w:rFonts w:ascii="Times New Roman" w:hAnsi="Times New Roman" w:eastAsia="Times New Roman"/>
                <w:spacing w:val="-24"/>
                <w:w w:val="100"/>
                <w:sz w:val="21"/>
              </w:rPr>
              <w:t>×</w:t>
            </w:r>
            <w:r>
              <w:rPr>
                <w:rFonts w:ascii="Times New Roman" w:hAnsi="Times New Roman" w:eastAsia="Times New Roman"/>
                <w:w w:val="100"/>
                <w:sz w:val="21"/>
              </w:rPr>
              <w:t>0.</w:t>
            </w:r>
            <w:r>
              <w:rPr>
                <w:rFonts w:ascii="Times New Roman" w:hAnsi="Times New Roman" w:eastAsia="Times New Roman"/>
                <w:spacing w:val="-33"/>
                <w:sz w:val="21"/>
              </w:rPr>
              <w:t> </w:t>
            </w:r>
            <w:r>
              <w:rPr>
                <w:rFonts w:ascii="Times New Roman" w:hAnsi="Times New Roman" w:eastAsia="Times New Roman"/>
                <w:spacing w:val="1"/>
                <w:w w:val="100"/>
                <w:sz w:val="21"/>
              </w:rPr>
              <w:t>8</w:t>
            </w:r>
            <w:r>
              <w:rPr>
                <w:rFonts w:ascii="Times New Roman" w:hAnsi="Times New Roman" w:eastAsia="Times New Roman"/>
                <w:spacing w:val="-16"/>
                <w:w w:val="100"/>
                <w:sz w:val="21"/>
              </w:rPr>
              <w:t>×</w:t>
            </w:r>
            <w:r>
              <w:rPr>
                <w:w w:val="100"/>
                <w:sz w:val="21"/>
              </w:rPr>
              <w:t>（</w:t>
            </w:r>
            <w:r>
              <w:rPr>
                <w:rFonts w:ascii="Times New Roman" w:hAnsi="Times New Roman" w:eastAsia="Times New Roman"/>
                <w:spacing w:val="-3"/>
                <w:w w:val="100"/>
                <w:sz w:val="21"/>
              </w:rPr>
              <w:t>1</w:t>
            </w:r>
            <w:r>
              <w:rPr>
                <w:spacing w:val="-3"/>
                <w:w w:val="100"/>
                <w:sz w:val="21"/>
              </w:rPr>
              <w:t>－保单经过日数</w:t>
            </w:r>
            <w:r>
              <w:rPr>
                <w:rFonts w:ascii="Times New Roman" w:hAnsi="Times New Roman" w:eastAsia="Times New Roman"/>
                <w:spacing w:val="-2"/>
                <w:w w:val="100"/>
                <w:sz w:val="21"/>
              </w:rPr>
              <w:t>/</w:t>
            </w:r>
            <w:r>
              <w:rPr>
                <w:spacing w:val="-3"/>
                <w:w w:val="100"/>
                <w:sz w:val="21"/>
              </w:rPr>
              <w:t>保险期间日数</w:t>
            </w:r>
            <w:r>
              <w:rPr>
                <w:spacing w:val="-106"/>
                <w:w w:val="100"/>
                <w:sz w:val="21"/>
              </w:rPr>
              <w:t>）</w:t>
            </w:r>
            <w:r>
              <w:rPr>
                <w:spacing w:val="-5"/>
                <w:w w:val="100"/>
                <w:sz w:val="21"/>
              </w:rPr>
              <w:t>，经过日数不足</w:t>
            </w:r>
          </w:p>
          <w:p>
            <w:pPr>
              <w:pStyle w:val="TableParagraph"/>
              <w:spacing w:line="281" w:lineRule="exact"/>
              <w:rPr>
                <w:sz w:val="21"/>
              </w:rPr>
            </w:pPr>
            <w:r>
              <w:rPr>
                <w:rFonts w:ascii="Times New Roman" w:eastAsia="Times New Roman"/>
                <w:sz w:val="21"/>
              </w:rPr>
              <w:t>1 </w:t>
            </w:r>
            <w:r>
              <w:rPr>
                <w:sz w:val="21"/>
              </w:rPr>
              <w:t>日的按 </w:t>
            </w:r>
            <w:r>
              <w:rPr>
                <w:rFonts w:ascii="Times New Roman" w:eastAsia="Times New Roman"/>
                <w:sz w:val="21"/>
              </w:rPr>
              <w:t>1 </w:t>
            </w:r>
            <w:r>
              <w:rPr>
                <w:sz w:val="21"/>
              </w:rPr>
              <w:t>日计算。</w:t>
            </w:r>
          </w:p>
        </w:tc>
      </w:tr>
      <w:tr>
        <w:trPr>
          <w:trHeight w:val="2207" w:hRule="atLeast"/>
        </w:trPr>
        <w:tc>
          <w:tcPr>
            <w:tcW w:w="605" w:type="dxa"/>
          </w:tcPr>
          <w:p>
            <w:pPr>
              <w:pStyle w:val="TableParagraph"/>
              <w:spacing w:before="182"/>
              <w:ind w:left="111" w:right="73"/>
              <w:jc w:val="center"/>
              <w:rPr>
                <w:rFonts w:ascii="Times New Roman"/>
                <w:b/>
                <w:sz w:val="21"/>
              </w:rPr>
            </w:pPr>
            <w:r>
              <w:rPr>
                <w:rFonts w:ascii="Times New Roman"/>
                <w:b/>
                <w:sz w:val="21"/>
              </w:rPr>
              <w:t>7.15</w:t>
            </w:r>
          </w:p>
        </w:tc>
        <w:tc>
          <w:tcPr>
            <w:tcW w:w="1428" w:type="dxa"/>
          </w:tcPr>
          <w:p>
            <w:pPr>
              <w:pStyle w:val="TableParagraph"/>
              <w:spacing w:line="180" w:lineRule="auto" w:before="174"/>
              <w:ind w:left="98" w:right="60"/>
              <w:rPr>
                <w:rFonts w:ascii="Microsoft JhengHei" w:eastAsia="Microsoft JhengHei" w:hint="eastAsia"/>
                <w:b/>
                <w:sz w:val="21"/>
              </w:rPr>
            </w:pPr>
            <w:r>
              <w:rPr>
                <w:rFonts w:ascii="Microsoft JhengHei" w:eastAsia="Microsoft JhengHei" w:hint="eastAsia"/>
                <w:b/>
                <w:sz w:val="21"/>
              </w:rPr>
              <w:t>六项基本日常生活活动</w:t>
            </w:r>
          </w:p>
        </w:tc>
        <w:tc>
          <w:tcPr>
            <w:tcW w:w="7528" w:type="dxa"/>
          </w:tcPr>
          <w:p>
            <w:pPr>
              <w:pStyle w:val="TableParagraph"/>
              <w:spacing w:line="274" w:lineRule="exact" w:before="150"/>
              <w:rPr>
                <w:sz w:val="21"/>
              </w:rPr>
            </w:pPr>
            <w:r>
              <w:rPr>
                <w:sz w:val="21"/>
              </w:rPr>
              <w:t>六项基本日常生活活动是指：</w:t>
            </w:r>
          </w:p>
          <w:p>
            <w:pPr>
              <w:pStyle w:val="TableParagraph"/>
              <w:spacing w:line="280" w:lineRule="exact"/>
              <w:rPr>
                <w:sz w:val="21"/>
              </w:rPr>
            </w:pPr>
            <w:r>
              <w:rPr>
                <w:sz w:val="21"/>
              </w:rPr>
              <w:t>（</w:t>
            </w:r>
            <w:r>
              <w:rPr>
                <w:rFonts w:ascii="Times New Roman" w:eastAsia="Times New Roman"/>
                <w:sz w:val="21"/>
              </w:rPr>
              <w:t>1</w:t>
            </w:r>
            <w:r>
              <w:rPr>
                <w:sz w:val="21"/>
              </w:rPr>
              <w:t>）穿衣：自己能够穿衣及脱衣；</w:t>
            </w:r>
          </w:p>
          <w:p>
            <w:pPr>
              <w:pStyle w:val="TableParagraph"/>
              <w:spacing w:line="272" w:lineRule="exact"/>
              <w:rPr>
                <w:sz w:val="21"/>
              </w:rPr>
            </w:pPr>
            <w:r>
              <w:rPr>
                <w:sz w:val="21"/>
              </w:rPr>
              <w:t>（</w:t>
            </w:r>
            <w:r>
              <w:rPr>
                <w:rFonts w:ascii="Times New Roman" w:eastAsia="Times New Roman"/>
                <w:sz w:val="21"/>
              </w:rPr>
              <w:t>2</w:t>
            </w:r>
            <w:r>
              <w:rPr>
                <w:sz w:val="21"/>
              </w:rPr>
              <w:t>）移动：自己从一个房间到另一个房间；</w:t>
            </w:r>
          </w:p>
          <w:p>
            <w:pPr>
              <w:pStyle w:val="TableParagraph"/>
              <w:spacing w:line="272" w:lineRule="exact"/>
              <w:rPr>
                <w:sz w:val="21"/>
              </w:rPr>
            </w:pPr>
            <w:r>
              <w:rPr>
                <w:sz w:val="21"/>
              </w:rPr>
              <w:t>（</w:t>
            </w:r>
            <w:r>
              <w:rPr>
                <w:rFonts w:ascii="Times New Roman" w:eastAsia="Times New Roman"/>
                <w:sz w:val="21"/>
              </w:rPr>
              <w:t>3</w:t>
            </w:r>
            <w:r>
              <w:rPr>
                <w:sz w:val="21"/>
              </w:rPr>
              <w:t>）行动：自己上下床或上下轮椅；</w:t>
            </w:r>
          </w:p>
          <w:p>
            <w:pPr>
              <w:pStyle w:val="TableParagraph"/>
              <w:spacing w:line="273" w:lineRule="exact"/>
              <w:rPr>
                <w:sz w:val="21"/>
              </w:rPr>
            </w:pPr>
            <w:r>
              <w:rPr>
                <w:sz w:val="21"/>
              </w:rPr>
              <w:t>（</w:t>
            </w:r>
            <w:r>
              <w:rPr>
                <w:rFonts w:ascii="Times New Roman" w:eastAsia="Times New Roman"/>
                <w:sz w:val="21"/>
              </w:rPr>
              <w:t>4</w:t>
            </w:r>
            <w:r>
              <w:rPr>
                <w:sz w:val="21"/>
              </w:rPr>
              <w:t>）如厕：自己控制进行大小便；</w:t>
            </w:r>
          </w:p>
          <w:p>
            <w:pPr>
              <w:pStyle w:val="TableParagraph"/>
              <w:spacing w:line="273" w:lineRule="exact"/>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line="281" w:lineRule="exact"/>
              <w:rPr>
                <w:sz w:val="21"/>
              </w:rPr>
            </w:pPr>
            <w:r>
              <w:rPr>
                <w:sz w:val="21"/>
              </w:rPr>
              <w:t>（</w:t>
            </w:r>
            <w:r>
              <w:rPr>
                <w:rFonts w:ascii="Times New Roman" w:eastAsia="Times New Roman"/>
                <w:sz w:val="21"/>
              </w:rPr>
              <w:t>6</w:t>
            </w:r>
            <w:r>
              <w:rPr>
                <w:sz w:val="21"/>
              </w:rPr>
              <w:t>）洗澡：自己进行淋浴或盆浴。</w:t>
            </w:r>
          </w:p>
        </w:tc>
      </w:tr>
      <w:tr>
        <w:trPr>
          <w:trHeight w:val="779" w:hRule="atLeast"/>
        </w:trPr>
        <w:tc>
          <w:tcPr>
            <w:tcW w:w="605" w:type="dxa"/>
          </w:tcPr>
          <w:p>
            <w:pPr>
              <w:pStyle w:val="TableParagraph"/>
              <w:spacing w:before="123"/>
              <w:ind w:left="111" w:right="73"/>
              <w:jc w:val="center"/>
              <w:rPr>
                <w:rFonts w:ascii="Times New Roman"/>
                <w:b/>
                <w:sz w:val="21"/>
              </w:rPr>
            </w:pPr>
            <w:r>
              <w:rPr>
                <w:rFonts w:ascii="Times New Roman"/>
                <w:b/>
                <w:sz w:val="21"/>
              </w:rPr>
              <w:t>7.16</w:t>
            </w:r>
          </w:p>
        </w:tc>
        <w:tc>
          <w:tcPr>
            <w:tcW w:w="1428" w:type="dxa"/>
          </w:tcPr>
          <w:p>
            <w:pPr>
              <w:pStyle w:val="TableParagraph"/>
              <w:spacing w:before="24"/>
              <w:ind w:left="98"/>
              <w:rPr>
                <w:rFonts w:ascii="Microsoft JhengHei" w:eastAsia="Microsoft JhengHei" w:hint="eastAsia"/>
                <w:b/>
                <w:sz w:val="21"/>
              </w:rPr>
            </w:pPr>
            <w:r>
              <w:rPr>
                <w:rFonts w:ascii="Microsoft JhengHei" w:eastAsia="Microsoft JhengHei" w:hint="eastAsia"/>
                <w:b/>
                <w:sz w:val="21"/>
              </w:rPr>
              <w:t>永久不可逆</w:t>
            </w:r>
          </w:p>
        </w:tc>
        <w:tc>
          <w:tcPr>
            <w:tcW w:w="7528" w:type="dxa"/>
          </w:tcPr>
          <w:p>
            <w:pPr>
              <w:pStyle w:val="TableParagraph"/>
              <w:spacing w:line="225" w:lineRule="auto" w:before="108"/>
              <w:ind w:right="192"/>
              <w:rPr>
                <w:sz w:val="21"/>
              </w:rPr>
            </w:pPr>
            <w:r>
              <w:rPr>
                <w:spacing w:val="-8"/>
                <w:sz w:val="21"/>
              </w:rPr>
              <w:t>指自疾病确诊或意外伤害发生之日起，经过积极治疗 </w:t>
            </w:r>
            <w:r>
              <w:rPr>
                <w:rFonts w:ascii="Times New Roman" w:eastAsia="Times New Roman"/>
                <w:sz w:val="21"/>
              </w:rPr>
              <w:t>180 </w:t>
            </w:r>
            <w:r>
              <w:rPr>
                <w:spacing w:val="-8"/>
                <w:sz w:val="21"/>
              </w:rPr>
              <w:t>天后，仍无法通过现有</w:t>
            </w:r>
            <w:r>
              <w:rPr>
                <w:spacing w:val="-5"/>
                <w:sz w:val="21"/>
              </w:rPr>
              <w:t>医疗手段恢复。</w:t>
            </w:r>
          </w:p>
        </w:tc>
      </w:tr>
      <w:tr>
        <w:trPr>
          <w:trHeight w:val="785" w:hRule="atLeast"/>
        </w:trPr>
        <w:tc>
          <w:tcPr>
            <w:tcW w:w="605" w:type="dxa"/>
          </w:tcPr>
          <w:p>
            <w:pPr>
              <w:pStyle w:val="TableParagraph"/>
              <w:spacing w:before="131"/>
              <w:ind w:left="111" w:right="73"/>
              <w:jc w:val="center"/>
              <w:rPr>
                <w:rFonts w:ascii="Times New Roman"/>
                <w:b/>
                <w:sz w:val="21"/>
              </w:rPr>
            </w:pPr>
            <w:r>
              <w:rPr>
                <w:rFonts w:ascii="Times New Roman"/>
                <w:b/>
                <w:sz w:val="21"/>
              </w:rPr>
              <w:t>7.17</w:t>
            </w:r>
          </w:p>
        </w:tc>
        <w:tc>
          <w:tcPr>
            <w:tcW w:w="1428" w:type="dxa"/>
          </w:tcPr>
          <w:p>
            <w:pPr>
              <w:pStyle w:val="TableParagraph"/>
              <w:spacing w:line="177" w:lineRule="auto" w:before="127"/>
              <w:ind w:left="98" w:right="60"/>
              <w:rPr>
                <w:rFonts w:ascii="Microsoft JhengHei" w:eastAsia="Microsoft JhengHei" w:hint="eastAsia"/>
                <w:b/>
                <w:sz w:val="21"/>
              </w:rPr>
            </w:pPr>
            <w:r>
              <w:rPr>
                <w:rFonts w:ascii="Microsoft JhengHei" w:eastAsia="Microsoft JhengHei" w:hint="eastAsia"/>
                <w:b/>
                <w:sz w:val="21"/>
              </w:rPr>
              <w:t>肢体机能完全丧失</w:t>
            </w:r>
          </w:p>
        </w:tc>
        <w:tc>
          <w:tcPr>
            <w:tcW w:w="7528" w:type="dxa"/>
          </w:tcPr>
          <w:p>
            <w:pPr>
              <w:pStyle w:val="TableParagraph"/>
              <w:spacing w:line="237" w:lineRule="auto" w:before="102"/>
              <w:ind w:right="192"/>
              <w:rPr>
                <w:sz w:val="21"/>
              </w:rPr>
            </w:pPr>
            <w:r>
              <w:rPr>
                <w:spacing w:val="-8"/>
                <w:sz w:val="21"/>
              </w:rPr>
              <w:t>指肢体的三大关节中的两大关节僵硬，或不能随意识活动。肢体是指包括肩关节</w:t>
            </w:r>
            <w:r>
              <w:rPr>
                <w:spacing w:val="-5"/>
                <w:sz w:val="21"/>
              </w:rPr>
              <w:t>的整个上肢或包括髋关节的整个下肢。</w:t>
            </w:r>
          </w:p>
        </w:tc>
      </w:tr>
      <w:tr>
        <w:trPr>
          <w:trHeight w:val="1275" w:hRule="atLeast"/>
        </w:trPr>
        <w:tc>
          <w:tcPr>
            <w:tcW w:w="605" w:type="dxa"/>
          </w:tcPr>
          <w:p>
            <w:pPr>
              <w:pStyle w:val="TableParagraph"/>
              <w:spacing w:before="132"/>
              <w:ind w:left="111" w:right="73"/>
              <w:jc w:val="center"/>
              <w:rPr>
                <w:rFonts w:ascii="Times New Roman"/>
                <w:b/>
                <w:sz w:val="21"/>
              </w:rPr>
            </w:pPr>
            <w:r>
              <w:rPr>
                <w:rFonts w:ascii="Times New Roman"/>
                <w:b/>
                <w:sz w:val="21"/>
              </w:rPr>
              <w:t>7.18</w:t>
            </w:r>
          </w:p>
        </w:tc>
        <w:tc>
          <w:tcPr>
            <w:tcW w:w="1428" w:type="dxa"/>
          </w:tcPr>
          <w:p>
            <w:pPr>
              <w:pStyle w:val="TableParagraph"/>
              <w:spacing w:line="180" w:lineRule="auto" w:before="125"/>
              <w:ind w:left="98" w:right="60"/>
              <w:jc w:val="both"/>
              <w:rPr>
                <w:rFonts w:ascii="Microsoft JhengHei" w:eastAsia="Microsoft JhengHei" w:hint="eastAsia"/>
                <w:b/>
                <w:sz w:val="21"/>
              </w:rPr>
            </w:pPr>
            <w:r>
              <w:rPr>
                <w:rFonts w:ascii="Microsoft JhengHei" w:eastAsia="Microsoft JhengHei" w:hint="eastAsia"/>
                <w:b/>
                <w:sz w:val="21"/>
              </w:rPr>
              <w:t>语言能力或咀嚼吞咽能力完全丧失</w:t>
            </w:r>
          </w:p>
        </w:tc>
        <w:tc>
          <w:tcPr>
            <w:tcW w:w="7528" w:type="dxa"/>
          </w:tcPr>
          <w:p>
            <w:pPr>
              <w:pStyle w:val="TableParagraph"/>
              <w:spacing w:line="249" w:lineRule="auto" w:before="100"/>
              <w:ind w:right="192"/>
              <w:rPr>
                <w:sz w:val="21"/>
              </w:rPr>
            </w:pPr>
            <w:r>
              <w:rPr>
                <w:spacing w:val="-8"/>
                <w:sz w:val="21"/>
              </w:rPr>
              <w:t>语言能力完全丧失，指无法发出四种语音</w:t>
            </w:r>
            <w:r>
              <w:rPr>
                <w:sz w:val="21"/>
              </w:rPr>
              <w:t>（</w:t>
            </w:r>
            <w:r>
              <w:rPr>
                <w:spacing w:val="-8"/>
                <w:sz w:val="21"/>
              </w:rPr>
              <w:t>包括口唇音、齿舌音、口盖音和喉头音）</w:t>
            </w:r>
            <w:r>
              <w:rPr>
                <w:spacing w:val="-3"/>
                <w:sz w:val="21"/>
              </w:rPr>
              <w:t>中的任何三种、或声带全部切除，或因大脑语言中枢受伤害而患失语症。</w:t>
            </w:r>
            <w:r>
              <w:rPr>
                <w:spacing w:val="-9"/>
                <w:sz w:val="21"/>
              </w:rPr>
              <w:t>咀嚼吞咽能力完全丧失，指因牙齿以外的原因导致器质障碍或机能障碍，以致不</w:t>
            </w:r>
          </w:p>
          <w:p>
            <w:pPr>
              <w:pStyle w:val="TableParagraph"/>
              <w:spacing w:line="255" w:lineRule="exact" w:before="43"/>
              <w:rPr>
                <w:sz w:val="21"/>
              </w:rPr>
            </w:pPr>
            <w:r>
              <w:rPr>
                <w:sz w:val="21"/>
              </w:rPr>
              <w:t>能作咀嚼吞咽运动，除流质食物外不能摄取或吞咽的状态。</w:t>
            </w:r>
          </w:p>
        </w:tc>
      </w:tr>
    </w:tbl>
    <w:sectPr>
      <w:pgSz w:w="11910" w:h="16840"/>
      <w:pgMar w:header="857" w:footer="683" w:top="1040" w:bottom="880" w:left="106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69995pt;margin-top:770.835938pt;width:6.5pt;height:12pt;mso-position-horizontal-relative:page;mso-position-vertical-relative:page;z-index:-26944"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96.755981pt;width:13.15pt;height:12pt;mso-position-horizontal-relative:page;mso-position-vertical-relative:page;z-index:-269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992" from="58.68pt,54.599983pt" to="536.74pt,54.59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2.649994pt;margin-top:42.865608pt;width:110pt;height:11pt;mso-position-horizontal-relative:page;mso-position-vertical-relative:page;z-index:-26968" type="#_x0000_t202" filled="false" stroked="false">
          <v:textbox inset="0,0,0,0">
            <w:txbxContent>
              <w:p>
                <w:pPr>
                  <w:spacing w:line="200" w:lineRule="exact" w:before="0"/>
                  <w:ind w:left="20" w:right="0" w:firstLine="0"/>
                  <w:jc w:val="left"/>
                  <w:rPr>
                    <w:sz w:val="18"/>
                  </w:rPr>
                </w:pPr>
                <w:r>
                  <w:rPr>
                    <w:sz w:val="18"/>
                  </w:rPr>
                  <w:t>和谐健康保险股份有限公司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49994pt;margin-top:42.865608pt;width:110pt;height:11pt;mso-position-horizontal-relative:page;mso-position-vertical-relative:page;z-index:-26896" type="#_x0000_t202" filled="false" stroked="false">
          <v:textbox inset="0,0,0,0">
            <w:txbxContent>
              <w:p>
                <w:pPr>
                  <w:spacing w:line="200" w:lineRule="exact" w:before="0"/>
                  <w:ind w:left="20" w:right="0" w:firstLine="0"/>
                  <w:jc w:val="left"/>
                  <w:rPr>
                    <w:sz w:val="18"/>
                  </w:rPr>
                </w:pPr>
                <w:r>
                  <w:rPr>
                    <w:sz w:val="18"/>
                  </w:rPr>
                  <w:t>和谐健康保险股份有限公司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826" w:hanging="737"/>
        <w:jc w:val="left"/>
      </w:pPr>
      <w:rPr>
        <w:rFonts w:hint="default" w:ascii="宋体" w:hAnsi="宋体" w:eastAsia="宋体" w:cs="宋体"/>
        <w:w w:val="100"/>
        <w:sz w:val="21"/>
        <w:szCs w:val="21"/>
      </w:rPr>
    </w:lvl>
    <w:lvl w:ilvl="1">
      <w:start w:val="0"/>
      <w:numFmt w:val="bullet"/>
      <w:lvlText w:val="•"/>
      <w:lvlJc w:val="left"/>
      <w:pPr>
        <w:ind w:left="1493" w:hanging="737"/>
      </w:pPr>
      <w:rPr>
        <w:rFonts w:hint="default"/>
      </w:rPr>
    </w:lvl>
    <w:lvl w:ilvl="2">
      <w:start w:val="0"/>
      <w:numFmt w:val="bullet"/>
      <w:lvlText w:val="•"/>
      <w:lvlJc w:val="left"/>
      <w:pPr>
        <w:ind w:left="2167" w:hanging="737"/>
      </w:pPr>
      <w:rPr>
        <w:rFonts w:hint="default"/>
      </w:rPr>
    </w:lvl>
    <w:lvl w:ilvl="3">
      <w:start w:val="0"/>
      <w:numFmt w:val="bullet"/>
      <w:lvlText w:val="•"/>
      <w:lvlJc w:val="left"/>
      <w:pPr>
        <w:ind w:left="2840" w:hanging="737"/>
      </w:pPr>
      <w:rPr>
        <w:rFonts w:hint="default"/>
      </w:rPr>
    </w:lvl>
    <w:lvl w:ilvl="4">
      <w:start w:val="0"/>
      <w:numFmt w:val="bullet"/>
      <w:lvlText w:val="•"/>
      <w:lvlJc w:val="left"/>
      <w:pPr>
        <w:ind w:left="3514" w:hanging="737"/>
      </w:pPr>
      <w:rPr>
        <w:rFonts w:hint="default"/>
      </w:rPr>
    </w:lvl>
    <w:lvl w:ilvl="5">
      <w:start w:val="0"/>
      <w:numFmt w:val="bullet"/>
      <w:lvlText w:val="•"/>
      <w:lvlJc w:val="left"/>
      <w:pPr>
        <w:ind w:left="4188" w:hanging="737"/>
      </w:pPr>
      <w:rPr>
        <w:rFonts w:hint="default"/>
      </w:rPr>
    </w:lvl>
    <w:lvl w:ilvl="6">
      <w:start w:val="0"/>
      <w:numFmt w:val="bullet"/>
      <w:lvlText w:val="•"/>
      <w:lvlJc w:val="left"/>
      <w:pPr>
        <w:ind w:left="4861" w:hanging="737"/>
      </w:pPr>
      <w:rPr>
        <w:rFonts w:hint="default"/>
      </w:rPr>
    </w:lvl>
    <w:lvl w:ilvl="7">
      <w:start w:val="0"/>
      <w:numFmt w:val="bullet"/>
      <w:lvlText w:val="•"/>
      <w:lvlJc w:val="left"/>
      <w:pPr>
        <w:ind w:left="5535" w:hanging="737"/>
      </w:pPr>
      <w:rPr>
        <w:rFonts w:hint="default"/>
      </w:rPr>
    </w:lvl>
    <w:lvl w:ilvl="8">
      <w:start w:val="0"/>
      <w:numFmt w:val="bullet"/>
      <w:lvlText w:val="•"/>
      <w:lvlJc w:val="left"/>
      <w:pPr>
        <w:ind w:left="6208" w:hanging="737"/>
      </w:pPr>
      <w:rPr>
        <w:rFonts w:hint="default"/>
      </w:rPr>
    </w:lvl>
  </w:abstractNum>
  <w:abstractNum w:abstractNumId="7">
    <w:multiLevelType w:val="hybridMultilevel"/>
    <w:lvl w:ilvl="0">
      <w:start w:val="1"/>
      <w:numFmt w:val="decimal"/>
      <w:lvlText w:val="（%1）"/>
      <w:lvlJc w:val="left"/>
      <w:pPr>
        <w:ind w:left="89" w:hanging="737"/>
        <w:jc w:val="left"/>
      </w:pPr>
      <w:rPr>
        <w:rFonts w:hint="default" w:ascii="宋体" w:hAnsi="宋体" w:eastAsia="宋体" w:cs="宋体"/>
        <w:w w:val="100"/>
        <w:sz w:val="21"/>
        <w:szCs w:val="21"/>
      </w:rPr>
    </w:lvl>
    <w:lvl w:ilvl="1">
      <w:start w:val="0"/>
      <w:numFmt w:val="bullet"/>
      <w:lvlText w:val="•"/>
      <w:lvlJc w:val="left"/>
      <w:pPr>
        <w:ind w:left="827" w:hanging="737"/>
      </w:pPr>
      <w:rPr>
        <w:rFonts w:hint="default"/>
      </w:rPr>
    </w:lvl>
    <w:lvl w:ilvl="2">
      <w:start w:val="0"/>
      <w:numFmt w:val="bullet"/>
      <w:lvlText w:val="•"/>
      <w:lvlJc w:val="left"/>
      <w:pPr>
        <w:ind w:left="1575" w:hanging="737"/>
      </w:pPr>
      <w:rPr>
        <w:rFonts w:hint="default"/>
      </w:rPr>
    </w:lvl>
    <w:lvl w:ilvl="3">
      <w:start w:val="0"/>
      <w:numFmt w:val="bullet"/>
      <w:lvlText w:val="•"/>
      <w:lvlJc w:val="left"/>
      <w:pPr>
        <w:ind w:left="2322" w:hanging="737"/>
      </w:pPr>
      <w:rPr>
        <w:rFonts w:hint="default"/>
      </w:rPr>
    </w:lvl>
    <w:lvl w:ilvl="4">
      <w:start w:val="0"/>
      <w:numFmt w:val="bullet"/>
      <w:lvlText w:val="•"/>
      <w:lvlJc w:val="left"/>
      <w:pPr>
        <w:ind w:left="3070" w:hanging="737"/>
      </w:pPr>
      <w:rPr>
        <w:rFonts w:hint="default"/>
      </w:rPr>
    </w:lvl>
    <w:lvl w:ilvl="5">
      <w:start w:val="0"/>
      <w:numFmt w:val="bullet"/>
      <w:lvlText w:val="•"/>
      <w:lvlJc w:val="left"/>
      <w:pPr>
        <w:ind w:left="3818" w:hanging="737"/>
      </w:pPr>
      <w:rPr>
        <w:rFonts w:hint="default"/>
      </w:rPr>
    </w:lvl>
    <w:lvl w:ilvl="6">
      <w:start w:val="0"/>
      <w:numFmt w:val="bullet"/>
      <w:lvlText w:val="•"/>
      <w:lvlJc w:val="left"/>
      <w:pPr>
        <w:ind w:left="4565" w:hanging="737"/>
      </w:pPr>
      <w:rPr>
        <w:rFonts w:hint="default"/>
      </w:rPr>
    </w:lvl>
    <w:lvl w:ilvl="7">
      <w:start w:val="0"/>
      <w:numFmt w:val="bullet"/>
      <w:lvlText w:val="•"/>
      <w:lvlJc w:val="left"/>
      <w:pPr>
        <w:ind w:left="5313" w:hanging="737"/>
      </w:pPr>
      <w:rPr>
        <w:rFonts w:hint="default"/>
      </w:rPr>
    </w:lvl>
    <w:lvl w:ilvl="8">
      <w:start w:val="0"/>
      <w:numFmt w:val="bullet"/>
      <w:lvlText w:val="•"/>
      <w:lvlJc w:val="left"/>
      <w:pPr>
        <w:ind w:left="6060" w:hanging="737"/>
      </w:pPr>
      <w:rPr>
        <w:rFonts w:hint="default"/>
      </w:rPr>
    </w:lvl>
  </w:abstractNum>
  <w:abstractNum w:abstractNumId="6">
    <w:multiLevelType w:val="hybridMultilevel"/>
    <w:lvl w:ilvl="0">
      <w:start w:val="1"/>
      <w:numFmt w:val="decimal"/>
      <w:lvlText w:val="（%1）"/>
      <w:lvlJc w:val="left"/>
      <w:pPr>
        <w:ind w:left="799" w:hanging="737"/>
        <w:jc w:val="left"/>
      </w:pPr>
      <w:rPr>
        <w:rFonts w:hint="default" w:ascii="宋体" w:hAnsi="宋体" w:eastAsia="宋体" w:cs="宋体"/>
        <w:w w:val="100"/>
        <w:sz w:val="21"/>
        <w:szCs w:val="21"/>
      </w:rPr>
    </w:lvl>
    <w:lvl w:ilvl="1">
      <w:start w:val="0"/>
      <w:numFmt w:val="bullet"/>
      <w:lvlText w:val="•"/>
      <w:lvlJc w:val="left"/>
      <w:pPr>
        <w:ind w:left="1472" w:hanging="737"/>
      </w:pPr>
      <w:rPr>
        <w:rFonts w:hint="default"/>
      </w:rPr>
    </w:lvl>
    <w:lvl w:ilvl="2">
      <w:start w:val="0"/>
      <w:numFmt w:val="bullet"/>
      <w:lvlText w:val="•"/>
      <w:lvlJc w:val="left"/>
      <w:pPr>
        <w:ind w:left="2145" w:hanging="737"/>
      </w:pPr>
      <w:rPr>
        <w:rFonts w:hint="default"/>
      </w:rPr>
    </w:lvl>
    <w:lvl w:ilvl="3">
      <w:start w:val="0"/>
      <w:numFmt w:val="bullet"/>
      <w:lvlText w:val="•"/>
      <w:lvlJc w:val="left"/>
      <w:pPr>
        <w:ind w:left="2818" w:hanging="737"/>
      </w:pPr>
      <w:rPr>
        <w:rFonts w:hint="default"/>
      </w:rPr>
    </w:lvl>
    <w:lvl w:ilvl="4">
      <w:start w:val="0"/>
      <w:numFmt w:val="bullet"/>
      <w:lvlText w:val="•"/>
      <w:lvlJc w:val="left"/>
      <w:pPr>
        <w:ind w:left="3491" w:hanging="737"/>
      </w:pPr>
      <w:rPr>
        <w:rFonts w:hint="default"/>
      </w:rPr>
    </w:lvl>
    <w:lvl w:ilvl="5">
      <w:start w:val="0"/>
      <w:numFmt w:val="bullet"/>
      <w:lvlText w:val="•"/>
      <w:lvlJc w:val="left"/>
      <w:pPr>
        <w:ind w:left="4164" w:hanging="737"/>
      </w:pPr>
      <w:rPr>
        <w:rFonts w:hint="default"/>
      </w:rPr>
    </w:lvl>
    <w:lvl w:ilvl="6">
      <w:start w:val="0"/>
      <w:numFmt w:val="bullet"/>
      <w:lvlText w:val="•"/>
      <w:lvlJc w:val="left"/>
      <w:pPr>
        <w:ind w:left="4836" w:hanging="737"/>
      </w:pPr>
      <w:rPr>
        <w:rFonts w:hint="default"/>
      </w:rPr>
    </w:lvl>
    <w:lvl w:ilvl="7">
      <w:start w:val="0"/>
      <w:numFmt w:val="bullet"/>
      <w:lvlText w:val="•"/>
      <w:lvlJc w:val="left"/>
      <w:pPr>
        <w:ind w:left="5509" w:hanging="737"/>
      </w:pPr>
      <w:rPr>
        <w:rFonts w:hint="default"/>
      </w:rPr>
    </w:lvl>
    <w:lvl w:ilvl="8">
      <w:start w:val="0"/>
      <w:numFmt w:val="bullet"/>
      <w:lvlText w:val="•"/>
      <w:lvlJc w:val="left"/>
      <w:pPr>
        <w:ind w:left="6182" w:hanging="737"/>
      </w:pPr>
      <w:rPr>
        <w:rFonts w:hint="default"/>
      </w:rPr>
    </w:lvl>
  </w:abstractNum>
  <w:abstractNum w:abstractNumId="5">
    <w:multiLevelType w:val="hybridMultilevel"/>
    <w:lvl w:ilvl="0">
      <w:start w:val="1"/>
      <w:numFmt w:val="decimal"/>
      <w:lvlText w:val="（%1）"/>
      <w:lvlJc w:val="left"/>
      <w:pPr>
        <w:ind w:left="799" w:hanging="737"/>
        <w:jc w:val="left"/>
      </w:pPr>
      <w:rPr>
        <w:rFonts w:hint="default" w:ascii="宋体" w:hAnsi="宋体" w:eastAsia="宋体" w:cs="宋体"/>
        <w:w w:val="100"/>
        <w:sz w:val="21"/>
        <w:szCs w:val="21"/>
      </w:rPr>
    </w:lvl>
    <w:lvl w:ilvl="1">
      <w:start w:val="0"/>
      <w:numFmt w:val="bullet"/>
      <w:lvlText w:val="•"/>
      <w:lvlJc w:val="left"/>
      <w:pPr>
        <w:ind w:left="1472" w:hanging="737"/>
      </w:pPr>
      <w:rPr>
        <w:rFonts w:hint="default"/>
      </w:rPr>
    </w:lvl>
    <w:lvl w:ilvl="2">
      <w:start w:val="0"/>
      <w:numFmt w:val="bullet"/>
      <w:lvlText w:val="•"/>
      <w:lvlJc w:val="left"/>
      <w:pPr>
        <w:ind w:left="2145" w:hanging="737"/>
      </w:pPr>
      <w:rPr>
        <w:rFonts w:hint="default"/>
      </w:rPr>
    </w:lvl>
    <w:lvl w:ilvl="3">
      <w:start w:val="0"/>
      <w:numFmt w:val="bullet"/>
      <w:lvlText w:val="•"/>
      <w:lvlJc w:val="left"/>
      <w:pPr>
        <w:ind w:left="2818" w:hanging="737"/>
      </w:pPr>
      <w:rPr>
        <w:rFonts w:hint="default"/>
      </w:rPr>
    </w:lvl>
    <w:lvl w:ilvl="4">
      <w:start w:val="0"/>
      <w:numFmt w:val="bullet"/>
      <w:lvlText w:val="•"/>
      <w:lvlJc w:val="left"/>
      <w:pPr>
        <w:ind w:left="3491" w:hanging="737"/>
      </w:pPr>
      <w:rPr>
        <w:rFonts w:hint="default"/>
      </w:rPr>
    </w:lvl>
    <w:lvl w:ilvl="5">
      <w:start w:val="0"/>
      <w:numFmt w:val="bullet"/>
      <w:lvlText w:val="•"/>
      <w:lvlJc w:val="left"/>
      <w:pPr>
        <w:ind w:left="4164" w:hanging="737"/>
      </w:pPr>
      <w:rPr>
        <w:rFonts w:hint="default"/>
      </w:rPr>
    </w:lvl>
    <w:lvl w:ilvl="6">
      <w:start w:val="0"/>
      <w:numFmt w:val="bullet"/>
      <w:lvlText w:val="•"/>
      <w:lvlJc w:val="left"/>
      <w:pPr>
        <w:ind w:left="4836" w:hanging="737"/>
      </w:pPr>
      <w:rPr>
        <w:rFonts w:hint="default"/>
      </w:rPr>
    </w:lvl>
    <w:lvl w:ilvl="7">
      <w:start w:val="0"/>
      <w:numFmt w:val="bullet"/>
      <w:lvlText w:val="•"/>
      <w:lvlJc w:val="left"/>
      <w:pPr>
        <w:ind w:left="5509" w:hanging="737"/>
      </w:pPr>
      <w:rPr>
        <w:rFonts w:hint="default"/>
      </w:rPr>
    </w:lvl>
    <w:lvl w:ilvl="8">
      <w:start w:val="0"/>
      <w:numFmt w:val="bullet"/>
      <w:lvlText w:val="•"/>
      <w:lvlJc w:val="left"/>
      <w:pPr>
        <w:ind w:left="6182" w:hanging="737"/>
      </w:pPr>
      <w:rPr>
        <w:rFonts w:hint="default"/>
      </w:rPr>
    </w:lvl>
  </w:abstractNum>
  <w:abstractNum w:abstractNumId="4">
    <w:multiLevelType w:val="hybridMultilevel"/>
    <w:lvl w:ilvl="0">
      <w:start w:val="1"/>
      <w:numFmt w:val="decimal"/>
      <w:lvlText w:val="（%1）"/>
      <w:lvlJc w:val="left"/>
      <w:pPr>
        <w:ind w:left="622" w:hanging="567"/>
        <w:jc w:val="left"/>
      </w:pPr>
      <w:rPr>
        <w:rFonts w:hint="default" w:ascii="黑体" w:hAnsi="黑体" w:eastAsia="黑体" w:cs="黑体"/>
        <w:w w:val="100"/>
        <w:sz w:val="21"/>
        <w:szCs w:val="21"/>
      </w:rPr>
    </w:lvl>
    <w:lvl w:ilvl="1">
      <w:start w:val="0"/>
      <w:numFmt w:val="bullet"/>
      <w:lvlText w:val="•"/>
      <w:lvlJc w:val="left"/>
      <w:pPr>
        <w:ind w:left="1310" w:hanging="567"/>
      </w:pPr>
      <w:rPr>
        <w:rFonts w:hint="default"/>
      </w:rPr>
    </w:lvl>
    <w:lvl w:ilvl="2">
      <w:start w:val="0"/>
      <w:numFmt w:val="bullet"/>
      <w:lvlText w:val="•"/>
      <w:lvlJc w:val="left"/>
      <w:pPr>
        <w:ind w:left="2000" w:hanging="567"/>
      </w:pPr>
      <w:rPr>
        <w:rFonts w:hint="default"/>
      </w:rPr>
    </w:lvl>
    <w:lvl w:ilvl="3">
      <w:start w:val="0"/>
      <w:numFmt w:val="bullet"/>
      <w:lvlText w:val="•"/>
      <w:lvlJc w:val="left"/>
      <w:pPr>
        <w:ind w:left="2690" w:hanging="567"/>
      </w:pPr>
      <w:rPr>
        <w:rFonts w:hint="default"/>
      </w:rPr>
    </w:lvl>
    <w:lvl w:ilvl="4">
      <w:start w:val="0"/>
      <w:numFmt w:val="bullet"/>
      <w:lvlText w:val="•"/>
      <w:lvlJc w:val="left"/>
      <w:pPr>
        <w:ind w:left="3380" w:hanging="567"/>
      </w:pPr>
      <w:rPr>
        <w:rFonts w:hint="default"/>
      </w:rPr>
    </w:lvl>
    <w:lvl w:ilvl="5">
      <w:start w:val="0"/>
      <w:numFmt w:val="bullet"/>
      <w:lvlText w:val="•"/>
      <w:lvlJc w:val="left"/>
      <w:pPr>
        <w:ind w:left="4071" w:hanging="567"/>
      </w:pPr>
      <w:rPr>
        <w:rFonts w:hint="default"/>
      </w:rPr>
    </w:lvl>
    <w:lvl w:ilvl="6">
      <w:start w:val="0"/>
      <w:numFmt w:val="bullet"/>
      <w:lvlText w:val="•"/>
      <w:lvlJc w:val="left"/>
      <w:pPr>
        <w:ind w:left="4761" w:hanging="567"/>
      </w:pPr>
      <w:rPr>
        <w:rFonts w:hint="default"/>
      </w:rPr>
    </w:lvl>
    <w:lvl w:ilvl="7">
      <w:start w:val="0"/>
      <w:numFmt w:val="bullet"/>
      <w:lvlText w:val="•"/>
      <w:lvlJc w:val="left"/>
      <w:pPr>
        <w:ind w:left="5451" w:hanging="567"/>
      </w:pPr>
      <w:rPr>
        <w:rFonts w:hint="default"/>
      </w:rPr>
    </w:lvl>
    <w:lvl w:ilvl="8">
      <w:start w:val="0"/>
      <w:numFmt w:val="bullet"/>
      <w:lvlText w:val="•"/>
      <w:lvlJc w:val="left"/>
      <w:pPr>
        <w:ind w:left="6141" w:hanging="567"/>
      </w:pPr>
      <w:rPr>
        <w:rFonts w:hint="default"/>
      </w:rPr>
    </w:lvl>
  </w:abstractNum>
  <w:abstractNum w:abstractNumId="3">
    <w:multiLevelType w:val="hybridMultilevel"/>
    <w:lvl w:ilvl="0">
      <w:start w:val="7"/>
      <w:numFmt w:val="decimal"/>
      <w:lvlText w:val="%1"/>
      <w:lvlJc w:val="left"/>
      <w:pPr>
        <w:ind w:left="935" w:hanging="418"/>
        <w:jc w:val="left"/>
      </w:pPr>
      <w:rPr>
        <w:rFonts w:hint="default"/>
      </w:rPr>
    </w:lvl>
    <w:lvl w:ilvl="1">
      <w:start w:val="3"/>
      <w:numFmt w:val="decimal"/>
      <w:lvlText w:val="%1.%2"/>
      <w:lvlJc w:val="left"/>
      <w:pPr>
        <w:ind w:left="1041" w:hanging="418"/>
        <w:jc w:val="left"/>
      </w:pPr>
      <w:rPr>
        <w:rFonts w:hint="default" w:ascii="Times New Roman" w:hAnsi="Times New Roman" w:eastAsia="Times New Roman" w:cs="Times New Roman"/>
        <w:w w:val="100"/>
        <w:sz w:val="21"/>
        <w:szCs w:val="21"/>
      </w:rPr>
    </w:lvl>
    <w:lvl w:ilvl="2">
      <w:start w:val="0"/>
      <w:numFmt w:val="bullet"/>
      <w:lvlText w:val="•"/>
      <w:lvlJc w:val="left"/>
      <w:pPr>
        <w:ind w:left="1291" w:hanging="418"/>
      </w:pPr>
      <w:rPr>
        <w:rFonts w:hint="default"/>
      </w:rPr>
    </w:lvl>
    <w:lvl w:ilvl="3">
      <w:start w:val="0"/>
      <w:numFmt w:val="bullet"/>
      <w:lvlText w:val="•"/>
      <w:lvlJc w:val="left"/>
      <w:pPr>
        <w:ind w:left="1543" w:hanging="418"/>
      </w:pPr>
      <w:rPr>
        <w:rFonts w:hint="default"/>
      </w:rPr>
    </w:lvl>
    <w:lvl w:ilvl="4">
      <w:start w:val="0"/>
      <w:numFmt w:val="bullet"/>
      <w:lvlText w:val="•"/>
      <w:lvlJc w:val="left"/>
      <w:pPr>
        <w:ind w:left="1795" w:hanging="418"/>
      </w:pPr>
      <w:rPr>
        <w:rFonts w:hint="default"/>
      </w:rPr>
    </w:lvl>
    <w:lvl w:ilvl="5">
      <w:start w:val="0"/>
      <w:numFmt w:val="bullet"/>
      <w:lvlText w:val="•"/>
      <w:lvlJc w:val="left"/>
      <w:pPr>
        <w:ind w:left="2047" w:hanging="418"/>
      </w:pPr>
      <w:rPr>
        <w:rFonts w:hint="default"/>
      </w:rPr>
    </w:lvl>
    <w:lvl w:ilvl="6">
      <w:start w:val="0"/>
      <w:numFmt w:val="bullet"/>
      <w:lvlText w:val="•"/>
      <w:lvlJc w:val="left"/>
      <w:pPr>
        <w:ind w:left="2298" w:hanging="418"/>
      </w:pPr>
      <w:rPr>
        <w:rFonts w:hint="default"/>
      </w:rPr>
    </w:lvl>
    <w:lvl w:ilvl="7">
      <w:start w:val="0"/>
      <w:numFmt w:val="bullet"/>
      <w:lvlText w:val="•"/>
      <w:lvlJc w:val="left"/>
      <w:pPr>
        <w:ind w:left="2550" w:hanging="418"/>
      </w:pPr>
      <w:rPr>
        <w:rFonts w:hint="default"/>
      </w:rPr>
    </w:lvl>
    <w:lvl w:ilvl="8">
      <w:start w:val="0"/>
      <w:numFmt w:val="bullet"/>
      <w:lvlText w:val="•"/>
      <w:lvlJc w:val="left"/>
      <w:pPr>
        <w:ind w:left="2802" w:hanging="418"/>
      </w:pPr>
      <w:rPr>
        <w:rFonts w:hint="default"/>
      </w:rPr>
    </w:lvl>
  </w:abstractNum>
  <w:abstractNum w:abstractNumId="2">
    <w:multiLevelType w:val="hybridMultilevel"/>
    <w:lvl w:ilvl="0">
      <w:start w:val="4"/>
      <w:numFmt w:val="decimal"/>
      <w:lvlText w:val="%1."/>
      <w:lvlJc w:val="left"/>
      <w:pPr>
        <w:ind w:left="576" w:hanging="420"/>
        <w:jc w:val="left"/>
      </w:pPr>
      <w:rPr>
        <w:rFonts w:hint="default" w:ascii="Times New Roman" w:hAnsi="Times New Roman" w:eastAsia="Times New Roman" w:cs="Times New Roman"/>
        <w:b/>
        <w:bCs/>
        <w:w w:val="100"/>
        <w:sz w:val="21"/>
        <w:szCs w:val="21"/>
      </w:rPr>
    </w:lvl>
    <w:lvl w:ilvl="1">
      <w:start w:val="1"/>
      <w:numFmt w:val="decimal"/>
      <w:lvlText w:val="%1.%2"/>
      <w:lvlJc w:val="left"/>
      <w:pPr>
        <w:ind w:left="681" w:hanging="418"/>
        <w:jc w:val="left"/>
      </w:pPr>
      <w:rPr>
        <w:rFonts w:hint="default" w:ascii="Times New Roman" w:hAnsi="Times New Roman" w:eastAsia="Times New Roman" w:cs="Times New Roman"/>
        <w:w w:val="100"/>
        <w:sz w:val="21"/>
        <w:szCs w:val="21"/>
      </w:rPr>
    </w:lvl>
    <w:lvl w:ilvl="2">
      <w:start w:val="0"/>
      <w:numFmt w:val="bullet"/>
      <w:lvlText w:val="•"/>
      <w:lvlJc w:val="left"/>
      <w:pPr>
        <w:ind w:left="948" w:hanging="418"/>
      </w:pPr>
      <w:rPr>
        <w:rFonts w:hint="default"/>
      </w:rPr>
    </w:lvl>
    <w:lvl w:ilvl="3">
      <w:start w:val="0"/>
      <w:numFmt w:val="bullet"/>
      <w:lvlText w:val="•"/>
      <w:lvlJc w:val="left"/>
      <w:pPr>
        <w:ind w:left="1216" w:hanging="418"/>
      </w:pPr>
      <w:rPr>
        <w:rFonts w:hint="default"/>
      </w:rPr>
    </w:lvl>
    <w:lvl w:ilvl="4">
      <w:start w:val="0"/>
      <w:numFmt w:val="bullet"/>
      <w:lvlText w:val="•"/>
      <w:lvlJc w:val="left"/>
      <w:pPr>
        <w:ind w:left="1484" w:hanging="418"/>
      </w:pPr>
      <w:rPr>
        <w:rFonts w:hint="default"/>
      </w:rPr>
    </w:lvl>
    <w:lvl w:ilvl="5">
      <w:start w:val="0"/>
      <w:numFmt w:val="bullet"/>
      <w:lvlText w:val="•"/>
      <w:lvlJc w:val="left"/>
      <w:pPr>
        <w:ind w:left="1752" w:hanging="418"/>
      </w:pPr>
      <w:rPr>
        <w:rFonts w:hint="default"/>
      </w:rPr>
    </w:lvl>
    <w:lvl w:ilvl="6">
      <w:start w:val="0"/>
      <w:numFmt w:val="bullet"/>
      <w:lvlText w:val="•"/>
      <w:lvlJc w:val="left"/>
      <w:pPr>
        <w:ind w:left="2020" w:hanging="418"/>
      </w:pPr>
      <w:rPr>
        <w:rFonts w:hint="default"/>
      </w:rPr>
    </w:lvl>
    <w:lvl w:ilvl="7">
      <w:start w:val="0"/>
      <w:numFmt w:val="bullet"/>
      <w:lvlText w:val="•"/>
      <w:lvlJc w:val="left"/>
      <w:pPr>
        <w:ind w:left="2288" w:hanging="418"/>
      </w:pPr>
      <w:rPr>
        <w:rFonts w:hint="default"/>
      </w:rPr>
    </w:lvl>
    <w:lvl w:ilvl="8">
      <w:start w:val="0"/>
      <w:numFmt w:val="bullet"/>
      <w:lvlText w:val="•"/>
      <w:lvlJc w:val="left"/>
      <w:pPr>
        <w:ind w:left="2556" w:hanging="418"/>
      </w:pPr>
      <w:rPr>
        <w:rFonts w:hint="default"/>
      </w:rPr>
    </w:lvl>
  </w:abstractNum>
  <w:abstractNum w:abstractNumId="1">
    <w:multiLevelType w:val="hybridMultilevel"/>
    <w:lvl w:ilvl="0">
      <w:start w:val="3"/>
      <w:numFmt w:val="decimal"/>
      <w:lvlText w:val="%1"/>
      <w:lvlJc w:val="left"/>
      <w:pPr>
        <w:ind w:left="681" w:hanging="418"/>
        <w:jc w:val="left"/>
      </w:pPr>
      <w:rPr>
        <w:rFonts w:hint="default"/>
      </w:rPr>
    </w:lvl>
    <w:lvl w:ilvl="1">
      <w:start w:val="2"/>
      <w:numFmt w:val="decimal"/>
      <w:lvlText w:val="%1.%2"/>
      <w:lvlJc w:val="left"/>
      <w:pPr>
        <w:ind w:left="681" w:hanging="418"/>
        <w:jc w:val="left"/>
      </w:pPr>
      <w:rPr>
        <w:rFonts w:hint="default" w:ascii="Times New Roman" w:hAnsi="Times New Roman" w:eastAsia="Times New Roman" w:cs="Times New Roman"/>
        <w:w w:val="100"/>
        <w:sz w:val="21"/>
        <w:szCs w:val="21"/>
      </w:rPr>
    </w:lvl>
    <w:lvl w:ilvl="2">
      <w:start w:val="0"/>
      <w:numFmt w:val="bullet"/>
      <w:lvlText w:val="•"/>
      <w:lvlJc w:val="left"/>
      <w:pPr>
        <w:ind w:left="1162" w:hanging="418"/>
      </w:pPr>
      <w:rPr>
        <w:rFonts w:hint="default"/>
      </w:rPr>
    </w:lvl>
    <w:lvl w:ilvl="3">
      <w:start w:val="0"/>
      <w:numFmt w:val="bullet"/>
      <w:lvlText w:val="•"/>
      <w:lvlJc w:val="left"/>
      <w:pPr>
        <w:ind w:left="1403" w:hanging="418"/>
      </w:pPr>
      <w:rPr>
        <w:rFonts w:hint="default"/>
      </w:rPr>
    </w:lvl>
    <w:lvl w:ilvl="4">
      <w:start w:val="0"/>
      <w:numFmt w:val="bullet"/>
      <w:lvlText w:val="•"/>
      <w:lvlJc w:val="left"/>
      <w:pPr>
        <w:ind w:left="1644" w:hanging="418"/>
      </w:pPr>
      <w:rPr>
        <w:rFonts w:hint="default"/>
      </w:rPr>
    </w:lvl>
    <w:lvl w:ilvl="5">
      <w:start w:val="0"/>
      <w:numFmt w:val="bullet"/>
      <w:lvlText w:val="•"/>
      <w:lvlJc w:val="left"/>
      <w:pPr>
        <w:ind w:left="1886" w:hanging="418"/>
      </w:pPr>
      <w:rPr>
        <w:rFonts w:hint="default"/>
      </w:rPr>
    </w:lvl>
    <w:lvl w:ilvl="6">
      <w:start w:val="0"/>
      <w:numFmt w:val="bullet"/>
      <w:lvlText w:val="•"/>
      <w:lvlJc w:val="left"/>
      <w:pPr>
        <w:ind w:left="2127" w:hanging="418"/>
      </w:pPr>
      <w:rPr>
        <w:rFonts w:hint="default"/>
      </w:rPr>
    </w:lvl>
    <w:lvl w:ilvl="7">
      <w:start w:val="0"/>
      <w:numFmt w:val="bullet"/>
      <w:lvlText w:val="•"/>
      <w:lvlJc w:val="left"/>
      <w:pPr>
        <w:ind w:left="2368" w:hanging="418"/>
      </w:pPr>
      <w:rPr>
        <w:rFonts w:hint="default"/>
      </w:rPr>
    </w:lvl>
    <w:lvl w:ilvl="8">
      <w:start w:val="0"/>
      <w:numFmt w:val="bullet"/>
      <w:lvlText w:val="•"/>
      <w:lvlJc w:val="left"/>
      <w:pPr>
        <w:ind w:left="2609" w:hanging="418"/>
      </w:pPr>
      <w:rPr>
        <w:rFonts w:hint="default"/>
      </w:rPr>
    </w:lvl>
  </w:abstractNum>
  <w:abstractNum w:abstractNumId="0">
    <w:multiLevelType w:val="hybridMultilevel"/>
    <w:lvl w:ilvl="0">
      <w:start w:val="1"/>
      <w:numFmt w:val="decimal"/>
      <w:lvlText w:val="%1."/>
      <w:lvlJc w:val="left"/>
      <w:pPr>
        <w:ind w:left="535" w:hanging="421"/>
        <w:jc w:val="left"/>
      </w:pPr>
      <w:rPr>
        <w:rFonts w:hint="default" w:ascii="Times New Roman" w:hAnsi="Times New Roman" w:eastAsia="Times New Roman" w:cs="Times New Roman"/>
        <w:b/>
        <w:bCs/>
        <w:w w:val="100"/>
        <w:sz w:val="21"/>
        <w:szCs w:val="21"/>
      </w:rPr>
    </w:lvl>
    <w:lvl w:ilvl="1">
      <w:start w:val="1"/>
      <w:numFmt w:val="decimal"/>
      <w:lvlText w:val="%1.%2"/>
      <w:lvlJc w:val="left"/>
      <w:pPr>
        <w:ind w:left="641" w:hanging="420"/>
        <w:jc w:val="left"/>
      </w:pPr>
      <w:rPr>
        <w:rFonts w:hint="default" w:ascii="Times New Roman" w:hAnsi="Times New Roman" w:eastAsia="Times New Roman" w:cs="Times New Roman"/>
        <w:w w:val="100"/>
        <w:sz w:val="21"/>
        <w:szCs w:val="21"/>
      </w:rPr>
    </w:lvl>
    <w:lvl w:ilvl="2">
      <w:start w:val="0"/>
      <w:numFmt w:val="bullet"/>
      <w:lvlText w:val="•"/>
      <w:lvlJc w:val="left"/>
      <w:pPr>
        <w:ind w:left="914" w:hanging="420"/>
      </w:pPr>
      <w:rPr>
        <w:rFonts w:hint="default"/>
      </w:rPr>
    </w:lvl>
    <w:lvl w:ilvl="3">
      <w:start w:val="0"/>
      <w:numFmt w:val="bullet"/>
      <w:lvlText w:val="•"/>
      <w:lvlJc w:val="left"/>
      <w:pPr>
        <w:ind w:left="1188" w:hanging="420"/>
      </w:pPr>
      <w:rPr>
        <w:rFonts w:hint="default"/>
      </w:rPr>
    </w:lvl>
    <w:lvl w:ilvl="4">
      <w:start w:val="0"/>
      <w:numFmt w:val="bullet"/>
      <w:lvlText w:val="•"/>
      <w:lvlJc w:val="left"/>
      <w:pPr>
        <w:ind w:left="1463" w:hanging="420"/>
      </w:pPr>
      <w:rPr>
        <w:rFonts w:hint="default"/>
      </w:rPr>
    </w:lvl>
    <w:lvl w:ilvl="5">
      <w:start w:val="0"/>
      <w:numFmt w:val="bullet"/>
      <w:lvlText w:val="•"/>
      <w:lvlJc w:val="left"/>
      <w:pPr>
        <w:ind w:left="1737" w:hanging="420"/>
      </w:pPr>
      <w:rPr>
        <w:rFonts w:hint="default"/>
      </w:rPr>
    </w:lvl>
    <w:lvl w:ilvl="6">
      <w:start w:val="0"/>
      <w:numFmt w:val="bullet"/>
      <w:lvlText w:val="•"/>
      <w:lvlJc w:val="left"/>
      <w:pPr>
        <w:ind w:left="2011" w:hanging="420"/>
      </w:pPr>
      <w:rPr>
        <w:rFonts w:hint="default"/>
      </w:rPr>
    </w:lvl>
    <w:lvl w:ilvl="7">
      <w:start w:val="0"/>
      <w:numFmt w:val="bullet"/>
      <w:lvlText w:val="•"/>
      <w:lvlJc w:val="left"/>
      <w:pPr>
        <w:ind w:left="2286" w:hanging="420"/>
      </w:pPr>
      <w:rPr>
        <w:rFonts w:hint="default"/>
      </w:rPr>
    </w:lvl>
    <w:lvl w:ilvl="8">
      <w:start w:val="0"/>
      <w:numFmt w:val="bullet"/>
      <w:lvlText w:val="•"/>
      <w:lvlJc w:val="left"/>
      <w:pPr>
        <w:ind w:left="2560"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4"/>
      <w:jc w:val="center"/>
      <w:outlineLvl w:val="1"/>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6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2.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安邦</dc:creator>
  <dc:subject>附件2</dc:subject>
  <dc:title>安邦骏马两全保险（分红型）A款</dc:title>
  <dcterms:created xsi:type="dcterms:W3CDTF">2018-10-19T21:53:13Z</dcterms:created>
  <dcterms:modified xsi:type="dcterms:W3CDTF">2018-10-19T21:53:13Z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2015-06-19T00:00:00Z</vt:filetime>
  </property>
  <property fmtid="{D5CDD505-2E9C-101B-9397-08002B2CF9AE}" pid="3" name="Creator">
    <vt:lpwstr>Microsoft® Office Word 2007</vt:lpwstr>
  </property>
  <property fmtid="{D5CDD505-2E9C-101B-9397-08002B2CF9AE}" pid="4" name="LastSaved">
    <vt:filetime>2018-10-19T00:00:00Z</vt:filetime>
  </property>
</Properties>
</file>