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906" w:val="left" w:leader="none"/>
        </w:tabs>
        <w:spacing w:before="298"/>
        <w:ind w:left="143" w:right="0" w:firstLine="0"/>
        <w:jc w:val="left"/>
        <w:rPr>
          <w:rFonts w:ascii="微软雅黑" w:eastAsia="微软雅黑" w:hint="eastAsia"/>
          <w:b/>
          <w:sz w:val="32"/>
        </w:rPr>
      </w:pPr>
      <w:r>
        <w:rPr>
          <w:sz w:val="32"/>
        </w:rPr>
        <w:t>附件</w:t>
      </w:r>
      <w:r>
        <w:rPr>
          <w:spacing w:val="-82"/>
          <w:sz w:val="32"/>
        </w:rPr>
        <w:t> </w:t>
      </w:r>
      <w:r>
        <w:rPr>
          <w:sz w:val="32"/>
        </w:rPr>
        <w:t>1-2：</w:t>
        <w:tab/>
      </w:r>
      <w:r>
        <w:rPr>
          <w:rFonts w:ascii="微软雅黑" w:eastAsia="微软雅黑" w:hint="eastAsia"/>
          <w:b/>
          <w:sz w:val="32"/>
        </w:rPr>
        <w:t>阅  读  指</w:t>
      </w:r>
      <w:r>
        <w:rPr>
          <w:rFonts w:ascii="微软雅黑" w:eastAsia="微软雅黑" w:hint="eastAsia"/>
          <w:b/>
          <w:spacing w:val="0"/>
          <w:sz w:val="32"/>
        </w:rPr>
        <w:t> </w:t>
      </w:r>
      <w:r>
        <w:rPr>
          <w:rFonts w:ascii="微软雅黑" w:eastAsia="微软雅黑" w:hint="eastAsia"/>
          <w:b/>
          <w:sz w:val="32"/>
        </w:rPr>
        <w:t>引</w:t>
      </w:r>
    </w:p>
    <w:p>
      <w:pPr>
        <w:pStyle w:val="BodyText"/>
        <w:spacing w:before="36"/>
        <w:ind w:left="143"/>
      </w:pPr>
      <w:r>
        <w:rPr/>
        <w:br w:type="column"/>
      </w:r>
      <w:r>
        <w:rPr/>
        <w:t>民生保险[2018]疾病保险 003 号</w:t>
      </w:r>
    </w:p>
    <w:p>
      <w:pPr>
        <w:spacing w:after="0"/>
        <w:sectPr>
          <w:headerReference w:type="default" r:id="rId5"/>
          <w:footerReference w:type="default" r:id="rId6"/>
          <w:type w:val="continuous"/>
          <w:pgSz w:w="11910" w:h="16840"/>
          <w:pgMar w:header="871" w:footer="977" w:top="1060" w:bottom="1160" w:left="1160" w:right="940"/>
          <w:pgNumType w:start="1"/>
          <w:cols w:num="2" w:equalWidth="0">
            <w:col w:w="5666" w:space="1320"/>
            <w:col w:w="2824"/>
          </w:cols>
        </w:sectPr>
      </w:pPr>
    </w:p>
    <w:p>
      <w:pPr>
        <w:pStyle w:val="BodyText"/>
        <w:spacing w:before="0"/>
        <w:rPr>
          <w:sz w:val="12"/>
        </w:rPr>
      </w:pPr>
    </w:p>
    <w:p>
      <w:pPr>
        <w:spacing w:line="392" w:lineRule="exact" w:before="0"/>
        <w:ind w:left="1638" w:right="0" w:firstLine="0"/>
        <w:jc w:val="left"/>
        <w:rPr>
          <w:rFonts w:ascii="微软雅黑" w:eastAsia="微软雅黑" w:hint="eastAsia"/>
          <w:b/>
          <w:sz w:val="21"/>
        </w:rPr>
      </w:pPr>
      <w:r>
        <w:rPr/>
        <w:drawing>
          <wp:anchor distT="0" distB="0" distL="0" distR="0" allowOverlap="1" layoutInCell="1" locked="0" behindDoc="0" simplePos="0" relativeHeight="1072">
            <wp:simplePos x="0" y="0"/>
            <wp:positionH relativeFrom="page">
              <wp:posOffset>6057900</wp:posOffset>
            </wp:positionH>
            <wp:positionV relativeFrom="paragraph">
              <wp:posOffset>-413679</wp:posOffset>
            </wp:positionV>
            <wp:extent cx="722376"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2376" cy="723900"/>
                    </a:xfrm>
                    <a:prstGeom prst="rect">
                      <a:avLst/>
                    </a:prstGeom>
                  </pic:spPr>
                </pic:pic>
              </a:graphicData>
            </a:graphic>
          </wp:anchor>
        </w:drawing>
      </w: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52"/>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52"/>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附</w:t>
      </w:r>
      <w:r>
        <w:rPr>
          <w:spacing w:val="-63"/>
          <w:position w:val="-7"/>
          <w:sz w:val="21"/>
        </w:rPr>
        <w:t>．</w:t>
      </w:r>
      <w:r>
        <w:rPr>
          <w:rFonts w:ascii="微软雅黑" w:eastAsia="微软雅黑" w:hint="eastAsia"/>
          <w:b/>
          <w:spacing w:val="-149"/>
          <w:sz w:val="21"/>
        </w:rPr>
        <w:t>加</w:t>
      </w:r>
      <w:r>
        <w:rPr>
          <w:spacing w:val="-63"/>
          <w:position w:val="-7"/>
          <w:sz w:val="21"/>
        </w:rPr>
        <w:t>．</w:t>
      </w:r>
      <w:r>
        <w:rPr>
          <w:rFonts w:ascii="微软雅黑" w:eastAsia="微软雅黑" w:hint="eastAsia"/>
          <w:b/>
          <w:spacing w:val="-149"/>
          <w:sz w:val="21"/>
        </w:rPr>
        <w:t>合</w:t>
      </w:r>
      <w:r>
        <w:rPr>
          <w:spacing w:val="-63"/>
          <w:position w:val="-7"/>
          <w:sz w:val="21"/>
        </w:rPr>
        <w:t>．</w:t>
      </w:r>
      <w:r>
        <w:rPr>
          <w:rFonts w:ascii="微软雅黑" w:eastAsia="微软雅黑" w:hint="eastAsia"/>
          <w:b/>
          <w:spacing w:val="-152"/>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52"/>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49"/>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3"/>
          <w:position w:val="-7"/>
          <w:sz w:val="21"/>
        </w:rPr>
        <w:t>．</w:t>
      </w:r>
      <w:r>
        <w:rPr>
          <w:rFonts w:ascii="微软雅黑" w:eastAsia="微软雅黑" w:hint="eastAsia"/>
          <w:b/>
          <w:sz w:val="21"/>
        </w:rPr>
        <w:t>。</w:t>
      </w:r>
    </w:p>
    <w:p>
      <w:pPr>
        <w:pStyle w:val="BodyText"/>
        <w:spacing w:before="14"/>
        <w:rPr>
          <w:rFonts w:ascii="微软雅黑"/>
          <w:b/>
          <w:sz w:val="6"/>
        </w:rPr>
      </w:pPr>
    </w:p>
    <w:p>
      <w:pPr>
        <w:spacing w:after="0"/>
        <w:rPr>
          <w:rFonts w:ascii="微软雅黑"/>
          <w:sz w:val="6"/>
        </w:rPr>
        <w:sectPr>
          <w:type w:val="continuous"/>
          <w:pgSz w:w="11910" w:h="16840"/>
          <w:pgMar w:top="1060" w:bottom="1160" w:left="1160" w:right="940"/>
        </w:sectPr>
      </w:pPr>
    </w:p>
    <w:p>
      <w:pPr>
        <w:pStyle w:val="BodyText"/>
        <w:spacing w:before="8"/>
        <w:rPr>
          <w:rFonts w:ascii="微软雅黑"/>
          <w:b/>
          <w:sz w:val="39"/>
        </w:rPr>
      </w:pPr>
    </w:p>
    <w:p>
      <w:pPr>
        <w:pStyle w:val="Heading3"/>
        <w:tabs>
          <w:tab w:pos="1407" w:val="left" w:leader="none"/>
        </w:tabs>
        <w:spacing w:line="240" w:lineRule="auto"/>
        <w:ind w:left="397"/>
      </w:pPr>
      <w:r>
        <w:rPr/>
        <w:drawing>
          <wp:anchor distT="0" distB="0" distL="0" distR="0" allowOverlap="1" layoutInCell="1" locked="0" behindDoc="1" simplePos="0" relativeHeight="268403783">
            <wp:simplePos x="0" y="0"/>
            <wp:positionH relativeFrom="page">
              <wp:posOffset>836675</wp:posOffset>
            </wp:positionH>
            <wp:positionV relativeFrom="paragraph">
              <wp:posOffset>-95523</wp:posOffset>
            </wp:positionV>
            <wp:extent cx="6030468" cy="775258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30468" cy="7752587"/>
                    </a:xfrm>
                    <a:prstGeom prst="rect">
                      <a:avLst/>
                    </a:prstGeom>
                  </pic:spPr>
                </pic:pic>
              </a:graphicData>
            </a:graphic>
          </wp:anchor>
        </w:drawing>
      </w:r>
      <w:r>
        <w:rPr>
          <w:rFonts w:ascii="Times New Roman" w:hAnsi="Times New Roman" w:eastAsia="Times New Roman"/>
          <w:w w:val="105"/>
          <w:position w:val="-11"/>
          <w:sz w:val="52"/>
        </w:rPr>
        <w:t></w:t>
        <w:tab/>
      </w:r>
      <w:r>
        <w:rPr>
          <w:spacing w:val="-1"/>
        </w:rPr>
        <w:t>您拥有的重要权益</w:t>
      </w:r>
    </w:p>
    <w:p>
      <w:pPr>
        <w:pStyle w:val="BodyText"/>
        <w:spacing w:before="45"/>
        <w:ind w:left="397"/>
      </w:pPr>
      <w:r>
        <w:rPr/>
        <w:br w:type="column"/>
      </w:r>
      <w:r>
        <w:rPr/>
        <w:t>请扫描以查询验证条款</w:t>
      </w:r>
    </w:p>
    <w:p>
      <w:pPr>
        <w:spacing w:after="0"/>
        <w:sectPr>
          <w:type w:val="continuous"/>
          <w:pgSz w:w="11910" w:h="16840"/>
          <w:pgMar w:top="1060" w:bottom="1160" w:left="1160" w:right="940"/>
          <w:cols w:num="2" w:equalWidth="0">
            <w:col w:w="3096" w:space="4352"/>
            <w:col w:w="2362"/>
          </w:cols>
        </w:sectPr>
      </w:pPr>
    </w:p>
    <w:p>
      <w:pPr>
        <w:pStyle w:val="Heading3"/>
        <w:numPr>
          <w:ilvl w:val="0"/>
          <w:numId w:val="1"/>
        </w:numPr>
        <w:tabs>
          <w:tab w:pos="1808" w:val="left" w:leader="none"/>
          <w:tab w:pos="1809" w:val="left" w:leader="none"/>
        </w:tabs>
        <w:spacing w:line="299" w:lineRule="exact" w:before="0" w:after="0"/>
        <w:ind w:left="1808" w:right="0" w:hanging="439"/>
        <w:jc w:val="left"/>
      </w:pPr>
      <w:r>
        <w:rPr/>
        <w:pict>
          <v:line style="position:absolute;mso-position-horizontal-relative:page;mso-position-vertical-relative:page;z-index:-31696" from="63.720001pt,55.559769pt" to="542.880001pt,55.559769pt" stroked="true" strokeweight=".72pt" strokecolor="#000000">
            <v:stroke dashstyle="solid"/>
            <w10:wrap type="none"/>
          </v:line>
        </w:pict>
      </w:r>
      <w:r>
        <w:rPr>
          <w:spacing w:val="-3"/>
        </w:rPr>
        <w:t>在犹豫期内您可以要求退还全部保险费………………………………………第</w:t>
      </w:r>
      <w:r>
        <w:rPr/>
        <w:t>1.3条</w:t>
      </w:r>
    </w:p>
    <w:p>
      <w:pPr>
        <w:pStyle w:val="ListParagraph"/>
        <w:numPr>
          <w:ilvl w:val="0"/>
          <w:numId w:val="1"/>
        </w:numPr>
        <w:tabs>
          <w:tab w:pos="1808" w:val="left" w:leader="none"/>
          <w:tab w:pos="1809" w:val="left" w:leader="none"/>
        </w:tabs>
        <w:spacing w:line="312" w:lineRule="exact" w:before="0" w:after="0"/>
        <w:ind w:left="1808" w:right="0" w:hanging="439"/>
        <w:jc w:val="left"/>
        <w:rPr>
          <w:rFonts w:ascii="微软雅黑" w:hAnsi="微软雅黑" w:eastAsia="微软雅黑" w:hint="eastAsia"/>
          <w:b/>
          <w:sz w:val="21"/>
        </w:rPr>
      </w:pPr>
      <w:r>
        <w:rPr>
          <w:rFonts w:ascii="微软雅黑" w:hAnsi="微软雅黑" w:eastAsia="微软雅黑" w:hint="eastAsia"/>
          <w:b/>
          <w:spacing w:val="-3"/>
          <w:sz w:val="21"/>
        </w:rPr>
        <w:t>被保险人享受本附加合同提供的保障…………………………………………第</w:t>
      </w:r>
      <w:r>
        <w:rPr>
          <w:rFonts w:ascii="微软雅黑" w:hAnsi="微软雅黑" w:eastAsia="微软雅黑" w:hint="eastAsia"/>
          <w:b/>
          <w:sz w:val="21"/>
        </w:rPr>
        <w:t>2.2条</w:t>
      </w:r>
    </w:p>
    <w:p>
      <w:pPr>
        <w:pStyle w:val="ListParagraph"/>
        <w:numPr>
          <w:ilvl w:val="0"/>
          <w:numId w:val="1"/>
        </w:numPr>
        <w:tabs>
          <w:tab w:pos="1808" w:val="left" w:leader="none"/>
          <w:tab w:pos="1809" w:val="left" w:leader="none"/>
        </w:tabs>
        <w:spacing w:line="337" w:lineRule="exact" w:before="0" w:after="0"/>
        <w:ind w:left="1808" w:right="0" w:hanging="439"/>
        <w:jc w:val="left"/>
        <w:rPr>
          <w:rFonts w:ascii="微软雅黑" w:hAnsi="微软雅黑" w:eastAsia="微软雅黑" w:hint="eastAsia"/>
          <w:b/>
          <w:sz w:val="21"/>
        </w:rPr>
      </w:pPr>
      <w:r>
        <w:rPr>
          <w:rFonts w:ascii="微软雅黑" w:hAnsi="微软雅黑" w:eastAsia="微软雅黑" w:hint="eastAsia"/>
          <w:b/>
          <w:spacing w:val="-2"/>
          <w:sz w:val="21"/>
        </w:rPr>
        <w:t>您有保单贷款的权利……………………………………………………………第</w:t>
      </w:r>
      <w:r>
        <w:rPr>
          <w:rFonts w:ascii="微软雅黑" w:hAnsi="微软雅黑" w:eastAsia="微软雅黑" w:hint="eastAsia"/>
          <w:b/>
          <w:sz w:val="21"/>
        </w:rPr>
        <w:t>5.3条</w:t>
      </w:r>
    </w:p>
    <w:p>
      <w:pPr>
        <w:tabs>
          <w:tab w:pos="1410" w:val="left" w:leader="none"/>
        </w:tabs>
        <w:spacing w:before="191"/>
        <w:ind w:left="397" w:right="0" w:firstLine="0"/>
        <w:jc w:val="left"/>
        <w:rPr>
          <w:rFonts w:ascii="微软雅黑" w:hAnsi="微软雅黑" w:eastAsia="微软雅黑" w:hint="eastAsia"/>
          <w:b/>
          <w:sz w:val="21"/>
        </w:rPr>
      </w:pPr>
      <w:r>
        <w:rPr>
          <w:rFonts w:ascii="Times New Roman" w:hAnsi="Times New Roman" w:eastAsia="Times New Roman"/>
          <w:b/>
          <w:w w:val="105"/>
          <w:position w:val="-11"/>
          <w:sz w:val="52"/>
        </w:rPr>
        <w:t></w:t>
        <w:tab/>
      </w:r>
      <w:r>
        <w:rPr>
          <w:rFonts w:ascii="微软雅黑" w:hAnsi="微软雅黑" w:eastAsia="微软雅黑" w:hint="eastAsia"/>
          <w:b/>
          <w:spacing w:val="-1"/>
          <w:sz w:val="21"/>
        </w:rPr>
        <w:t>您应当特别注意的事项</w:t>
      </w:r>
    </w:p>
    <w:p>
      <w:pPr>
        <w:pStyle w:val="ListParagraph"/>
        <w:numPr>
          <w:ilvl w:val="0"/>
          <w:numId w:val="1"/>
        </w:numPr>
        <w:tabs>
          <w:tab w:pos="1808" w:val="left" w:leader="none"/>
          <w:tab w:pos="1809" w:val="left" w:leader="none"/>
        </w:tabs>
        <w:spacing w:line="337" w:lineRule="exact" w:before="95" w:after="0"/>
        <w:ind w:left="1808" w:right="0" w:hanging="439"/>
        <w:jc w:val="left"/>
        <w:rPr>
          <w:rFonts w:ascii="微软雅黑" w:hAnsi="微软雅黑" w:eastAsia="微软雅黑" w:hint="eastAsia"/>
          <w:b/>
          <w:sz w:val="21"/>
        </w:rPr>
      </w:pPr>
      <w:r>
        <w:rPr>
          <w:rFonts w:ascii="微软雅黑" w:hAnsi="微软雅黑" w:eastAsia="微软雅黑" w:hint="eastAsia"/>
          <w:b/>
          <w:spacing w:val="-3"/>
          <w:sz w:val="21"/>
        </w:rPr>
        <w:t>在某些情况下，本公司不承担保险责任………………………………………第</w:t>
      </w:r>
      <w:r>
        <w:rPr>
          <w:rFonts w:ascii="微软雅黑" w:hAnsi="微软雅黑" w:eastAsia="微软雅黑" w:hint="eastAsia"/>
          <w:b/>
          <w:sz w:val="21"/>
        </w:rPr>
        <w:t>2.3条</w:t>
      </w:r>
    </w:p>
    <w:p>
      <w:pPr>
        <w:pStyle w:val="ListParagraph"/>
        <w:numPr>
          <w:ilvl w:val="0"/>
          <w:numId w:val="1"/>
        </w:numPr>
        <w:tabs>
          <w:tab w:pos="1808" w:val="left" w:leader="none"/>
          <w:tab w:pos="1809" w:val="left" w:leader="none"/>
        </w:tabs>
        <w:spacing w:line="312" w:lineRule="exact" w:before="0" w:after="0"/>
        <w:ind w:left="1808" w:right="0" w:hanging="439"/>
        <w:jc w:val="left"/>
        <w:rPr>
          <w:rFonts w:ascii="微软雅黑" w:hAnsi="微软雅黑" w:eastAsia="微软雅黑" w:hint="eastAsia"/>
          <w:b/>
          <w:sz w:val="21"/>
        </w:rPr>
      </w:pPr>
      <w:r>
        <w:rPr>
          <w:rFonts w:ascii="微软雅黑" w:hAnsi="微软雅黑" w:eastAsia="微软雅黑" w:hint="eastAsia"/>
          <w:b/>
          <w:spacing w:val="-3"/>
          <w:sz w:val="21"/>
        </w:rPr>
        <w:t>退保会给您造成一定的损失，请您慎重决策…………………………………第</w:t>
      </w:r>
      <w:r>
        <w:rPr>
          <w:rFonts w:ascii="微软雅黑" w:hAnsi="微软雅黑" w:eastAsia="微软雅黑" w:hint="eastAsia"/>
          <w:b/>
          <w:sz w:val="21"/>
        </w:rPr>
        <w:t>6.1条</w:t>
      </w:r>
    </w:p>
    <w:p>
      <w:pPr>
        <w:pStyle w:val="ListParagraph"/>
        <w:numPr>
          <w:ilvl w:val="0"/>
          <w:numId w:val="1"/>
        </w:numPr>
        <w:tabs>
          <w:tab w:pos="1808" w:val="left" w:leader="none"/>
          <w:tab w:pos="1809" w:val="left" w:leader="none"/>
        </w:tabs>
        <w:spacing w:line="337" w:lineRule="exact" w:before="0" w:after="0"/>
        <w:ind w:left="1808" w:right="0" w:hanging="439"/>
        <w:jc w:val="left"/>
        <w:rPr>
          <w:rFonts w:ascii="微软雅黑" w:hAnsi="微软雅黑" w:eastAsia="微软雅黑" w:hint="eastAsia"/>
          <w:b/>
          <w:sz w:val="21"/>
        </w:rPr>
      </w:pPr>
      <w:r>
        <w:rPr>
          <w:rFonts w:ascii="微软雅黑" w:hAnsi="微软雅黑" w:eastAsia="微软雅黑" w:hint="eastAsia"/>
          <w:b/>
          <w:spacing w:val="-2"/>
          <w:sz w:val="21"/>
        </w:rPr>
        <w:t>本公司对一些重要术语进行了解释，并作了显著标识，请您注意…………第 </w:t>
      </w:r>
      <w:r>
        <w:rPr>
          <w:rFonts w:ascii="微软雅黑" w:hAnsi="微软雅黑" w:eastAsia="微软雅黑" w:hint="eastAsia"/>
          <w:b/>
          <w:sz w:val="21"/>
        </w:rPr>
        <w:t>8  条</w:t>
      </w:r>
    </w:p>
    <w:p>
      <w:pPr>
        <w:tabs>
          <w:tab w:pos="1410" w:val="left" w:leader="none"/>
        </w:tabs>
        <w:spacing w:before="191"/>
        <w:ind w:left="397" w:right="0" w:firstLine="0"/>
        <w:jc w:val="left"/>
        <w:rPr>
          <w:rFonts w:ascii="微软雅黑" w:hAnsi="微软雅黑" w:eastAsia="微软雅黑" w:hint="eastAsia"/>
          <w:b/>
          <w:sz w:val="21"/>
        </w:rPr>
      </w:pPr>
      <w:r>
        <w:rPr>
          <w:rFonts w:ascii="Times New Roman" w:hAnsi="Times New Roman" w:eastAsia="Times New Roman"/>
          <w:b/>
          <w:w w:val="105"/>
          <w:position w:val="-11"/>
          <w:sz w:val="52"/>
        </w:rPr>
        <w:t></w:t>
        <w:tab/>
      </w:r>
      <w:r>
        <w:rPr>
          <w:rFonts w:ascii="微软雅黑" w:hAnsi="微软雅黑" w:eastAsia="微软雅黑" w:hint="eastAsia"/>
          <w:b/>
          <w:spacing w:val="-3"/>
          <w:sz w:val="21"/>
        </w:rPr>
        <w:t>条款是保险合同的重要内容，为充分保障您的权益，请您仔细阅读本条款。</w:t>
      </w:r>
    </w:p>
    <w:p>
      <w:pPr>
        <w:tabs>
          <w:tab w:pos="1407" w:val="left" w:leader="none"/>
        </w:tabs>
        <w:spacing w:before="160"/>
        <w:ind w:left="397" w:right="0" w:firstLine="0"/>
        <w:jc w:val="left"/>
        <w:rPr>
          <w:rFonts w:ascii="微软雅黑" w:hAnsi="微软雅黑" w:eastAsia="微软雅黑" w:hint="eastAsia"/>
          <w:b/>
          <w:sz w:val="21"/>
        </w:rPr>
      </w:pPr>
      <w:r>
        <w:rPr>
          <w:rFonts w:ascii="Times New Roman" w:hAnsi="Times New Roman" w:eastAsia="Times New Roman"/>
          <w:b/>
          <w:w w:val="110"/>
          <w:position w:val="-11"/>
          <w:sz w:val="52"/>
        </w:rPr>
        <w:t></w:t>
        <w:tab/>
      </w:r>
      <w:r>
        <w:rPr>
          <w:rFonts w:ascii="微软雅黑" w:hAnsi="微软雅黑" w:eastAsia="微软雅黑" w:hint="eastAsia"/>
          <w:b/>
          <w:sz w:val="21"/>
        </w:rPr>
        <w:t>条款目录</w:t>
      </w:r>
    </w:p>
    <w:p>
      <w:pPr>
        <w:pStyle w:val="BodyText"/>
        <w:spacing w:before="9" w:after="1"/>
        <w:rPr>
          <w:rFonts w:ascii="微软雅黑"/>
          <w:b/>
          <w:sz w:val="12"/>
        </w:rPr>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8"/>
        <w:gridCol w:w="2849"/>
        <w:gridCol w:w="2914"/>
      </w:tblGrid>
      <w:tr>
        <w:trPr>
          <w:trHeight w:val="273" w:hRule="atLeast"/>
        </w:trPr>
        <w:tc>
          <w:tcPr>
            <w:tcW w:w="2558" w:type="dxa"/>
          </w:tcPr>
          <w:p>
            <w:pPr>
              <w:pStyle w:val="TableParagraph"/>
              <w:spacing w:line="254" w:lineRule="exact"/>
              <w:ind w:right="816"/>
              <w:jc w:val="right"/>
              <w:rPr>
                <w:rFonts w:ascii="微软雅黑" w:eastAsia="微软雅黑" w:hint="eastAsia"/>
                <w:b/>
                <w:sz w:val="21"/>
              </w:rPr>
            </w:pPr>
            <w:r>
              <w:rPr>
                <w:rFonts w:ascii="微软雅黑" w:eastAsia="微软雅黑" w:hint="eastAsia"/>
                <w:b/>
                <w:w w:val="81"/>
                <w:sz w:val="21"/>
              </w:rPr>
              <w:t>1</w:t>
            </w:r>
            <w:r>
              <w:rPr>
                <w:rFonts w:ascii="微软雅黑" w:eastAsia="微软雅黑" w:hint="eastAsia"/>
                <w:b/>
                <w:w w:val="176"/>
                <w:sz w:val="21"/>
              </w:rPr>
              <w:t>.</w:t>
            </w:r>
            <w:r>
              <w:rPr>
                <w:rFonts w:ascii="微软雅黑" w:eastAsia="微软雅黑" w:hint="eastAsia"/>
                <w:b/>
                <w:w w:val="100"/>
                <w:sz w:val="21"/>
              </w:rPr>
              <w:t>您与我们的合同</w:t>
            </w:r>
          </w:p>
        </w:tc>
        <w:tc>
          <w:tcPr>
            <w:tcW w:w="2849" w:type="dxa"/>
          </w:tcPr>
          <w:p>
            <w:pPr>
              <w:pStyle w:val="TableParagraph"/>
              <w:spacing w:line="246" w:lineRule="exact"/>
              <w:ind w:left="194"/>
              <w:rPr>
                <w:rFonts w:ascii="微软雅黑" w:eastAsia="微软雅黑" w:hint="eastAsia"/>
                <w:b/>
                <w:sz w:val="21"/>
              </w:rPr>
            </w:pPr>
            <w:r>
              <w:rPr>
                <w:rFonts w:ascii="微软雅黑" w:eastAsia="微软雅黑" w:hint="eastAsia"/>
                <w:b/>
                <w:w w:val="81"/>
                <w:sz w:val="21"/>
              </w:rPr>
              <w:t>4</w:t>
            </w:r>
            <w:r>
              <w:rPr>
                <w:rFonts w:ascii="微软雅黑" w:eastAsia="微软雅黑" w:hint="eastAsia"/>
                <w:b/>
                <w:w w:val="176"/>
                <w:sz w:val="21"/>
              </w:rPr>
              <w:t>.</w:t>
            </w:r>
            <w:r>
              <w:rPr>
                <w:rFonts w:ascii="微软雅黑" w:eastAsia="微软雅黑" w:hint="eastAsia"/>
                <w:b/>
                <w:w w:val="100"/>
                <w:sz w:val="21"/>
              </w:rPr>
              <w:t>如何交付保险费</w:t>
            </w:r>
          </w:p>
        </w:tc>
        <w:tc>
          <w:tcPr>
            <w:tcW w:w="2914" w:type="dxa"/>
          </w:tcPr>
          <w:p>
            <w:pPr>
              <w:pStyle w:val="TableParagraph"/>
              <w:spacing w:line="236" w:lineRule="exact"/>
              <w:ind w:left="129"/>
              <w:rPr>
                <w:rFonts w:ascii="微软雅黑" w:eastAsia="微软雅黑" w:hint="eastAsia"/>
                <w:b/>
                <w:sz w:val="21"/>
              </w:rPr>
            </w:pPr>
            <w:r>
              <w:rPr>
                <w:rFonts w:ascii="微软雅黑" w:eastAsia="微软雅黑" w:hint="eastAsia"/>
                <w:b/>
                <w:w w:val="81"/>
                <w:sz w:val="21"/>
              </w:rPr>
              <w:t>8</w:t>
            </w:r>
            <w:r>
              <w:rPr>
                <w:rFonts w:ascii="微软雅黑" w:eastAsia="微软雅黑" w:hint="eastAsia"/>
                <w:b/>
                <w:w w:val="176"/>
                <w:sz w:val="21"/>
              </w:rPr>
              <w:t>.</w:t>
            </w:r>
            <w:r>
              <w:rPr>
                <w:rFonts w:ascii="微软雅黑" w:eastAsia="微软雅黑" w:hint="eastAsia"/>
                <w:b/>
                <w:w w:val="100"/>
                <w:sz w:val="21"/>
              </w:rPr>
              <w:t>释义</w:t>
            </w:r>
          </w:p>
        </w:tc>
      </w:tr>
      <w:tr>
        <w:trPr>
          <w:trHeight w:val="935" w:hRule="atLeast"/>
        </w:trPr>
        <w:tc>
          <w:tcPr>
            <w:tcW w:w="2558" w:type="dxa"/>
          </w:tcPr>
          <w:p>
            <w:pPr>
              <w:pStyle w:val="TableParagraph"/>
              <w:numPr>
                <w:ilvl w:val="1"/>
                <w:numId w:val="2"/>
              </w:numPr>
              <w:tabs>
                <w:tab w:pos="684" w:val="left" w:leader="none"/>
              </w:tabs>
              <w:spacing w:line="273" w:lineRule="exact" w:before="0" w:after="0"/>
              <w:ind w:left="683" w:right="0" w:hanging="422"/>
              <w:jc w:val="left"/>
              <w:rPr>
                <w:sz w:val="21"/>
              </w:rPr>
            </w:pPr>
            <w:r>
              <w:rPr>
                <w:spacing w:val="-3"/>
                <w:sz w:val="21"/>
              </w:rPr>
              <w:t>合同构成</w:t>
            </w:r>
          </w:p>
          <w:p>
            <w:pPr>
              <w:pStyle w:val="TableParagraph"/>
              <w:numPr>
                <w:ilvl w:val="1"/>
                <w:numId w:val="2"/>
              </w:numPr>
              <w:tabs>
                <w:tab w:pos="684" w:val="left" w:leader="none"/>
              </w:tabs>
              <w:spacing w:line="240" w:lineRule="auto" w:before="37" w:after="0"/>
              <w:ind w:left="683" w:right="0" w:hanging="422"/>
              <w:jc w:val="left"/>
              <w:rPr>
                <w:sz w:val="21"/>
              </w:rPr>
            </w:pPr>
            <w:r>
              <w:rPr>
                <w:spacing w:val="-3"/>
                <w:sz w:val="21"/>
              </w:rPr>
              <w:t>合同成立与生效</w:t>
            </w:r>
          </w:p>
          <w:p>
            <w:pPr>
              <w:pStyle w:val="TableParagraph"/>
              <w:numPr>
                <w:ilvl w:val="1"/>
                <w:numId w:val="2"/>
              </w:numPr>
              <w:tabs>
                <w:tab w:pos="684" w:val="left" w:leader="none"/>
              </w:tabs>
              <w:spacing w:line="240" w:lineRule="auto" w:before="37" w:after="0"/>
              <w:ind w:left="683" w:right="0" w:hanging="422"/>
              <w:jc w:val="left"/>
              <w:rPr>
                <w:sz w:val="21"/>
              </w:rPr>
            </w:pPr>
            <w:r>
              <w:rPr>
                <w:spacing w:val="-2"/>
                <w:sz w:val="21"/>
              </w:rPr>
              <w:t>犹豫期</w:t>
            </w:r>
          </w:p>
        </w:tc>
        <w:tc>
          <w:tcPr>
            <w:tcW w:w="2849" w:type="dxa"/>
          </w:tcPr>
          <w:p>
            <w:pPr>
              <w:pStyle w:val="TableParagraph"/>
              <w:spacing w:line="259" w:lineRule="exact"/>
              <w:ind w:left="405"/>
              <w:rPr>
                <w:sz w:val="21"/>
              </w:rPr>
            </w:pPr>
            <w:r>
              <w:rPr>
                <w:sz w:val="21"/>
              </w:rPr>
              <w:t>4.1 保险费的交付</w:t>
            </w:r>
          </w:p>
          <w:p>
            <w:pPr>
              <w:pStyle w:val="TableParagraph"/>
              <w:spacing w:before="10"/>
              <w:rPr>
                <w:rFonts w:ascii="微软雅黑"/>
                <w:b/>
                <w:sz w:val="16"/>
              </w:rPr>
            </w:pPr>
          </w:p>
          <w:p>
            <w:pPr>
              <w:pStyle w:val="TableParagraph"/>
              <w:ind w:left="194"/>
              <w:rPr>
                <w:rFonts w:ascii="微软雅黑" w:eastAsia="微软雅黑" w:hint="eastAsia"/>
                <w:b/>
                <w:sz w:val="21"/>
              </w:rPr>
            </w:pPr>
            <w:r>
              <w:rPr>
                <w:rFonts w:ascii="微软雅黑" w:eastAsia="微软雅黑" w:hint="eastAsia"/>
                <w:b/>
                <w:w w:val="81"/>
                <w:sz w:val="21"/>
              </w:rPr>
              <w:t>5</w:t>
            </w:r>
            <w:r>
              <w:rPr>
                <w:rFonts w:ascii="微软雅黑" w:eastAsia="微软雅黑" w:hint="eastAsia"/>
                <w:b/>
                <w:w w:val="176"/>
                <w:sz w:val="21"/>
              </w:rPr>
              <w:t>.</w:t>
            </w:r>
            <w:r>
              <w:rPr>
                <w:rFonts w:ascii="微软雅黑" w:eastAsia="微软雅黑" w:hint="eastAsia"/>
                <w:b/>
                <w:w w:val="100"/>
                <w:sz w:val="21"/>
              </w:rPr>
              <w:t>现金价值权益</w:t>
            </w:r>
          </w:p>
        </w:tc>
        <w:tc>
          <w:tcPr>
            <w:tcW w:w="2914" w:type="dxa"/>
          </w:tcPr>
          <w:p>
            <w:pPr>
              <w:pStyle w:val="TableParagraph"/>
              <w:numPr>
                <w:ilvl w:val="1"/>
                <w:numId w:val="3"/>
              </w:numPr>
              <w:tabs>
                <w:tab w:pos="761" w:val="left" w:leader="none"/>
              </w:tabs>
              <w:spacing w:line="249" w:lineRule="exact" w:before="0" w:after="0"/>
              <w:ind w:left="760" w:right="0" w:hanging="420"/>
              <w:jc w:val="left"/>
              <w:rPr>
                <w:sz w:val="21"/>
              </w:rPr>
            </w:pPr>
            <w:r>
              <w:rPr>
                <w:spacing w:val="-3"/>
                <w:sz w:val="21"/>
              </w:rPr>
              <w:t>有效身份证件</w:t>
            </w:r>
          </w:p>
          <w:p>
            <w:pPr>
              <w:pStyle w:val="TableParagraph"/>
              <w:numPr>
                <w:ilvl w:val="1"/>
                <w:numId w:val="3"/>
              </w:numPr>
              <w:tabs>
                <w:tab w:pos="764" w:val="left" w:leader="none"/>
              </w:tabs>
              <w:spacing w:line="240" w:lineRule="auto" w:before="37" w:after="0"/>
              <w:ind w:left="763" w:right="0" w:hanging="423"/>
              <w:jc w:val="left"/>
              <w:rPr>
                <w:sz w:val="21"/>
              </w:rPr>
            </w:pPr>
            <w:r>
              <w:rPr>
                <w:spacing w:val="-2"/>
                <w:sz w:val="21"/>
              </w:rPr>
              <w:t>全残</w:t>
            </w:r>
          </w:p>
          <w:p>
            <w:pPr>
              <w:pStyle w:val="TableParagraph"/>
              <w:numPr>
                <w:ilvl w:val="1"/>
                <w:numId w:val="3"/>
              </w:numPr>
              <w:tabs>
                <w:tab w:pos="761" w:val="left" w:leader="none"/>
              </w:tabs>
              <w:spacing w:line="240" w:lineRule="auto" w:before="37" w:after="0"/>
              <w:ind w:left="760" w:right="0" w:hanging="420"/>
              <w:jc w:val="left"/>
              <w:rPr>
                <w:sz w:val="21"/>
              </w:rPr>
            </w:pPr>
            <w:r>
              <w:rPr>
                <w:spacing w:val="-2"/>
                <w:sz w:val="21"/>
              </w:rPr>
              <w:t>意外事故</w:t>
            </w:r>
          </w:p>
        </w:tc>
      </w:tr>
      <w:tr>
        <w:trPr>
          <w:trHeight w:val="616" w:hRule="atLeast"/>
        </w:trPr>
        <w:tc>
          <w:tcPr>
            <w:tcW w:w="2558" w:type="dxa"/>
          </w:tcPr>
          <w:p>
            <w:pPr>
              <w:pStyle w:val="TableParagraph"/>
              <w:spacing w:line="274" w:lineRule="exact"/>
              <w:ind w:left="261"/>
              <w:rPr>
                <w:sz w:val="21"/>
              </w:rPr>
            </w:pPr>
            <w:r>
              <w:rPr>
                <w:sz w:val="21"/>
              </w:rPr>
              <w:t>1.4 保险期间</w:t>
            </w:r>
          </w:p>
        </w:tc>
        <w:tc>
          <w:tcPr>
            <w:tcW w:w="2849" w:type="dxa"/>
          </w:tcPr>
          <w:p>
            <w:pPr>
              <w:pStyle w:val="TableParagraph"/>
              <w:numPr>
                <w:ilvl w:val="1"/>
                <w:numId w:val="4"/>
              </w:numPr>
              <w:tabs>
                <w:tab w:pos="828" w:val="left" w:leader="none"/>
              </w:tabs>
              <w:spacing w:line="259" w:lineRule="exact" w:before="0" w:after="0"/>
              <w:ind w:left="827" w:right="0" w:hanging="422"/>
              <w:jc w:val="left"/>
              <w:rPr>
                <w:sz w:val="21"/>
              </w:rPr>
            </w:pPr>
            <w:r>
              <w:rPr>
                <w:spacing w:val="-3"/>
                <w:sz w:val="21"/>
              </w:rPr>
              <w:t>现金价值</w:t>
            </w:r>
          </w:p>
          <w:p>
            <w:pPr>
              <w:pStyle w:val="TableParagraph"/>
              <w:numPr>
                <w:ilvl w:val="1"/>
                <w:numId w:val="4"/>
              </w:numPr>
              <w:tabs>
                <w:tab w:pos="828" w:val="left" w:leader="none"/>
              </w:tabs>
              <w:spacing w:line="240" w:lineRule="auto" w:before="37" w:after="0"/>
              <w:ind w:left="827" w:right="0" w:hanging="422"/>
              <w:jc w:val="left"/>
              <w:rPr>
                <w:sz w:val="21"/>
              </w:rPr>
            </w:pPr>
            <w:r>
              <w:rPr>
                <w:spacing w:val="-3"/>
                <w:sz w:val="21"/>
              </w:rPr>
              <w:t>自动垫交</w:t>
            </w:r>
          </w:p>
        </w:tc>
        <w:tc>
          <w:tcPr>
            <w:tcW w:w="2914" w:type="dxa"/>
          </w:tcPr>
          <w:p>
            <w:pPr>
              <w:pStyle w:val="TableParagraph"/>
              <w:numPr>
                <w:ilvl w:val="1"/>
                <w:numId w:val="5"/>
              </w:numPr>
              <w:tabs>
                <w:tab w:pos="761" w:val="left" w:leader="none"/>
              </w:tabs>
              <w:spacing w:line="249" w:lineRule="exact" w:before="0" w:after="0"/>
              <w:ind w:left="760" w:right="0" w:hanging="420"/>
              <w:jc w:val="left"/>
              <w:rPr>
                <w:sz w:val="21"/>
              </w:rPr>
            </w:pPr>
            <w:r>
              <w:rPr>
                <w:spacing w:val="-3"/>
                <w:sz w:val="21"/>
              </w:rPr>
              <w:t>指定或认可的医疗机构</w:t>
            </w:r>
          </w:p>
          <w:p>
            <w:pPr>
              <w:pStyle w:val="TableParagraph"/>
              <w:numPr>
                <w:ilvl w:val="1"/>
                <w:numId w:val="5"/>
              </w:numPr>
              <w:tabs>
                <w:tab w:pos="761" w:val="left" w:leader="none"/>
              </w:tabs>
              <w:spacing w:line="240" w:lineRule="auto" w:before="37" w:after="0"/>
              <w:ind w:left="760" w:right="0" w:hanging="420"/>
              <w:jc w:val="left"/>
              <w:rPr>
                <w:sz w:val="21"/>
              </w:rPr>
            </w:pPr>
            <w:r>
              <w:rPr>
                <w:sz w:val="21"/>
              </w:rPr>
              <w:t>毒品</w:t>
            </w:r>
          </w:p>
        </w:tc>
      </w:tr>
      <w:tr>
        <w:trPr>
          <w:trHeight w:val="943" w:hRule="atLeast"/>
        </w:trPr>
        <w:tc>
          <w:tcPr>
            <w:tcW w:w="2558" w:type="dxa"/>
          </w:tcPr>
          <w:p>
            <w:pPr>
              <w:pStyle w:val="TableParagraph"/>
              <w:spacing w:line="306" w:lineRule="exact"/>
              <w:ind w:left="50"/>
              <w:rPr>
                <w:rFonts w:ascii="微软雅黑" w:eastAsia="微软雅黑" w:hint="eastAsia"/>
                <w:b/>
                <w:sz w:val="21"/>
              </w:rPr>
            </w:pPr>
            <w:r>
              <w:rPr>
                <w:rFonts w:ascii="微软雅黑" w:eastAsia="微软雅黑" w:hint="eastAsia"/>
                <w:b/>
                <w:w w:val="81"/>
                <w:sz w:val="21"/>
              </w:rPr>
              <w:t>2</w:t>
            </w:r>
            <w:r>
              <w:rPr>
                <w:rFonts w:ascii="微软雅黑" w:eastAsia="微软雅黑" w:hint="eastAsia"/>
                <w:b/>
                <w:w w:val="176"/>
                <w:sz w:val="21"/>
              </w:rPr>
              <w:t>.</w:t>
            </w:r>
            <w:r>
              <w:rPr>
                <w:rFonts w:ascii="微软雅黑" w:eastAsia="微软雅黑" w:hint="eastAsia"/>
                <w:b/>
                <w:w w:val="100"/>
                <w:sz w:val="21"/>
              </w:rPr>
              <w:t>我们提供的保障</w:t>
            </w:r>
          </w:p>
          <w:p>
            <w:pPr>
              <w:pStyle w:val="TableParagraph"/>
              <w:numPr>
                <w:ilvl w:val="1"/>
                <w:numId w:val="6"/>
              </w:numPr>
              <w:tabs>
                <w:tab w:pos="684" w:val="left" w:leader="none"/>
              </w:tabs>
              <w:spacing w:line="240" w:lineRule="auto" w:before="11" w:after="0"/>
              <w:ind w:left="683" w:right="0" w:hanging="422"/>
              <w:jc w:val="left"/>
              <w:rPr>
                <w:sz w:val="21"/>
              </w:rPr>
            </w:pPr>
            <w:r>
              <w:rPr>
                <w:spacing w:val="-3"/>
                <w:sz w:val="21"/>
              </w:rPr>
              <w:t>基本保险金额</w:t>
            </w:r>
          </w:p>
          <w:p>
            <w:pPr>
              <w:pStyle w:val="TableParagraph"/>
              <w:numPr>
                <w:ilvl w:val="1"/>
                <w:numId w:val="6"/>
              </w:numPr>
              <w:tabs>
                <w:tab w:pos="684" w:val="left" w:leader="none"/>
              </w:tabs>
              <w:spacing w:line="240" w:lineRule="auto" w:before="36" w:after="0"/>
              <w:ind w:left="683" w:right="0" w:hanging="422"/>
              <w:jc w:val="left"/>
              <w:rPr>
                <w:sz w:val="21"/>
              </w:rPr>
            </w:pPr>
            <w:r>
              <w:rPr>
                <w:spacing w:val="-3"/>
                <w:sz w:val="21"/>
              </w:rPr>
              <w:t>保险责任</w:t>
            </w:r>
          </w:p>
        </w:tc>
        <w:tc>
          <w:tcPr>
            <w:tcW w:w="2849" w:type="dxa"/>
          </w:tcPr>
          <w:p>
            <w:pPr>
              <w:pStyle w:val="TableParagraph"/>
              <w:spacing w:line="266" w:lineRule="exact"/>
              <w:ind w:left="405"/>
              <w:rPr>
                <w:sz w:val="21"/>
              </w:rPr>
            </w:pPr>
            <w:r>
              <w:rPr>
                <w:sz w:val="21"/>
              </w:rPr>
              <w:t>5.3 保单贷款</w:t>
            </w:r>
          </w:p>
          <w:p>
            <w:pPr>
              <w:pStyle w:val="TableParagraph"/>
              <w:spacing w:before="10"/>
              <w:rPr>
                <w:rFonts w:ascii="微软雅黑"/>
                <w:b/>
                <w:sz w:val="16"/>
              </w:rPr>
            </w:pPr>
          </w:p>
          <w:p>
            <w:pPr>
              <w:pStyle w:val="TableParagraph"/>
              <w:ind w:left="194"/>
              <w:rPr>
                <w:rFonts w:ascii="微软雅黑" w:eastAsia="微软雅黑" w:hint="eastAsia"/>
                <w:b/>
                <w:sz w:val="21"/>
              </w:rPr>
            </w:pPr>
            <w:r>
              <w:rPr>
                <w:rFonts w:ascii="微软雅黑" w:eastAsia="微软雅黑" w:hint="eastAsia"/>
                <w:b/>
                <w:w w:val="81"/>
                <w:sz w:val="21"/>
              </w:rPr>
              <w:t>6</w:t>
            </w:r>
            <w:r>
              <w:rPr>
                <w:rFonts w:ascii="微软雅黑" w:eastAsia="微软雅黑" w:hint="eastAsia"/>
                <w:b/>
                <w:w w:val="176"/>
                <w:sz w:val="21"/>
              </w:rPr>
              <w:t>.</w:t>
            </w:r>
            <w:r>
              <w:rPr>
                <w:rFonts w:ascii="微软雅黑" w:eastAsia="微软雅黑" w:hint="eastAsia"/>
                <w:b/>
                <w:w w:val="100"/>
                <w:sz w:val="21"/>
              </w:rPr>
              <w:t>如何解除保险合同</w:t>
            </w:r>
          </w:p>
        </w:tc>
        <w:tc>
          <w:tcPr>
            <w:tcW w:w="2914" w:type="dxa"/>
          </w:tcPr>
          <w:p>
            <w:pPr>
              <w:pStyle w:val="TableParagraph"/>
              <w:numPr>
                <w:ilvl w:val="1"/>
                <w:numId w:val="7"/>
              </w:numPr>
              <w:tabs>
                <w:tab w:pos="764" w:val="left" w:leader="none"/>
              </w:tabs>
              <w:spacing w:line="257" w:lineRule="exact" w:before="0" w:after="0"/>
              <w:ind w:left="763" w:right="0" w:hanging="423"/>
              <w:jc w:val="left"/>
              <w:rPr>
                <w:sz w:val="21"/>
              </w:rPr>
            </w:pPr>
            <w:r>
              <w:rPr>
                <w:spacing w:val="-3"/>
                <w:sz w:val="21"/>
              </w:rPr>
              <w:t>饮酒后驾驶或醉酒驾驶</w:t>
            </w:r>
          </w:p>
          <w:p>
            <w:pPr>
              <w:pStyle w:val="TableParagraph"/>
              <w:numPr>
                <w:ilvl w:val="1"/>
                <w:numId w:val="7"/>
              </w:numPr>
              <w:tabs>
                <w:tab w:pos="761" w:val="left" w:leader="none"/>
              </w:tabs>
              <w:spacing w:line="240" w:lineRule="auto" w:before="37" w:after="0"/>
              <w:ind w:left="760" w:right="0" w:hanging="420"/>
              <w:jc w:val="left"/>
              <w:rPr>
                <w:sz w:val="21"/>
              </w:rPr>
            </w:pPr>
            <w:r>
              <w:rPr>
                <w:spacing w:val="-3"/>
                <w:sz w:val="21"/>
              </w:rPr>
              <w:t>无合法有效驾驶证驾驶</w:t>
            </w:r>
          </w:p>
          <w:p>
            <w:pPr>
              <w:pStyle w:val="TableParagraph"/>
              <w:numPr>
                <w:ilvl w:val="1"/>
                <w:numId w:val="7"/>
              </w:numPr>
              <w:tabs>
                <w:tab w:pos="761" w:val="left" w:leader="none"/>
              </w:tabs>
              <w:spacing w:line="240" w:lineRule="auto" w:before="37" w:after="0"/>
              <w:ind w:left="760" w:right="0" w:hanging="420"/>
              <w:jc w:val="left"/>
              <w:rPr>
                <w:sz w:val="21"/>
              </w:rPr>
            </w:pPr>
            <w:r>
              <w:rPr>
                <w:spacing w:val="-3"/>
                <w:sz w:val="21"/>
              </w:rPr>
              <w:t>无有效行驶证</w:t>
            </w:r>
          </w:p>
        </w:tc>
      </w:tr>
      <w:tr>
        <w:trPr>
          <w:trHeight w:val="616" w:hRule="atLeast"/>
        </w:trPr>
        <w:tc>
          <w:tcPr>
            <w:tcW w:w="2558" w:type="dxa"/>
          </w:tcPr>
          <w:p>
            <w:pPr>
              <w:pStyle w:val="TableParagraph"/>
              <w:spacing w:line="273" w:lineRule="exact"/>
              <w:ind w:left="261"/>
              <w:rPr>
                <w:sz w:val="21"/>
              </w:rPr>
            </w:pPr>
            <w:r>
              <w:rPr>
                <w:sz w:val="21"/>
              </w:rPr>
              <w:t>2.3 责任免除</w:t>
            </w:r>
          </w:p>
        </w:tc>
        <w:tc>
          <w:tcPr>
            <w:tcW w:w="2849" w:type="dxa"/>
          </w:tcPr>
          <w:p>
            <w:pPr>
              <w:pStyle w:val="TableParagraph"/>
              <w:spacing w:line="259" w:lineRule="exact"/>
              <w:ind w:left="405"/>
              <w:rPr>
                <w:sz w:val="21"/>
              </w:rPr>
            </w:pPr>
            <w:r>
              <w:rPr>
                <w:sz w:val="21"/>
              </w:rPr>
              <w:t>6.1 您解除合同的手续及</w:t>
            </w:r>
          </w:p>
          <w:p>
            <w:pPr>
              <w:pStyle w:val="TableParagraph"/>
              <w:spacing w:before="37"/>
              <w:ind w:left="825"/>
              <w:rPr>
                <w:sz w:val="21"/>
              </w:rPr>
            </w:pPr>
            <w:r>
              <w:rPr>
                <w:sz w:val="21"/>
              </w:rPr>
              <w:t>风险</w:t>
            </w:r>
          </w:p>
        </w:tc>
        <w:tc>
          <w:tcPr>
            <w:tcW w:w="2914" w:type="dxa"/>
          </w:tcPr>
          <w:p>
            <w:pPr>
              <w:pStyle w:val="TableParagraph"/>
              <w:numPr>
                <w:ilvl w:val="1"/>
                <w:numId w:val="8"/>
              </w:numPr>
              <w:tabs>
                <w:tab w:pos="761" w:val="left" w:leader="none"/>
              </w:tabs>
              <w:spacing w:line="249" w:lineRule="exact" w:before="0" w:after="0"/>
              <w:ind w:left="760" w:right="0" w:hanging="420"/>
              <w:jc w:val="left"/>
              <w:rPr>
                <w:sz w:val="21"/>
              </w:rPr>
            </w:pPr>
            <w:r>
              <w:rPr>
                <w:spacing w:val="-2"/>
                <w:sz w:val="21"/>
              </w:rPr>
              <w:t>现金价值</w:t>
            </w:r>
          </w:p>
          <w:p>
            <w:pPr>
              <w:pStyle w:val="TableParagraph"/>
              <w:numPr>
                <w:ilvl w:val="1"/>
                <w:numId w:val="8"/>
              </w:numPr>
              <w:tabs>
                <w:tab w:pos="860" w:val="left" w:leader="none"/>
              </w:tabs>
              <w:spacing w:line="240" w:lineRule="auto" w:before="37" w:after="0"/>
              <w:ind w:left="859" w:right="0" w:hanging="526"/>
              <w:jc w:val="left"/>
              <w:rPr>
                <w:sz w:val="21"/>
              </w:rPr>
            </w:pPr>
            <w:r>
              <w:rPr>
                <w:spacing w:val="-2"/>
                <w:sz w:val="21"/>
              </w:rPr>
              <w:t>艾滋病</w:t>
            </w:r>
          </w:p>
        </w:tc>
      </w:tr>
      <w:tr>
        <w:trPr>
          <w:trHeight w:val="631" w:hRule="atLeast"/>
        </w:trPr>
        <w:tc>
          <w:tcPr>
            <w:tcW w:w="2558" w:type="dxa"/>
          </w:tcPr>
          <w:p>
            <w:pPr>
              <w:pStyle w:val="TableParagraph"/>
              <w:spacing w:line="306" w:lineRule="exact"/>
              <w:ind w:left="50"/>
              <w:rPr>
                <w:rFonts w:ascii="微软雅黑" w:eastAsia="微软雅黑" w:hint="eastAsia"/>
                <w:b/>
                <w:sz w:val="21"/>
              </w:rPr>
            </w:pPr>
            <w:r>
              <w:rPr>
                <w:rFonts w:ascii="微软雅黑" w:eastAsia="微软雅黑" w:hint="eastAsia"/>
                <w:b/>
                <w:sz w:val="21"/>
              </w:rPr>
              <w:t>3.如何申请豁免保险费</w:t>
            </w:r>
          </w:p>
          <w:p>
            <w:pPr>
              <w:pStyle w:val="TableParagraph"/>
              <w:spacing w:before="11"/>
              <w:ind w:left="261"/>
              <w:rPr>
                <w:sz w:val="21"/>
              </w:rPr>
            </w:pPr>
            <w:r>
              <w:rPr>
                <w:sz w:val="21"/>
              </w:rPr>
              <w:t>3.1 豁免保险费的申请</w:t>
            </w:r>
          </w:p>
        </w:tc>
        <w:tc>
          <w:tcPr>
            <w:tcW w:w="2849" w:type="dxa"/>
          </w:tcPr>
          <w:p>
            <w:pPr>
              <w:pStyle w:val="TableParagraph"/>
              <w:spacing w:before="16"/>
              <w:rPr>
                <w:rFonts w:ascii="微软雅黑"/>
                <w:b/>
                <w:sz w:val="13"/>
              </w:rPr>
            </w:pPr>
          </w:p>
          <w:p>
            <w:pPr>
              <w:pStyle w:val="TableParagraph"/>
              <w:ind w:left="194"/>
              <w:rPr>
                <w:rFonts w:ascii="微软雅黑" w:eastAsia="微软雅黑" w:hint="eastAsia"/>
                <w:b/>
                <w:sz w:val="21"/>
              </w:rPr>
            </w:pPr>
            <w:r>
              <w:rPr>
                <w:rFonts w:ascii="微软雅黑" w:eastAsia="微软雅黑" w:hint="eastAsia"/>
                <w:b/>
                <w:w w:val="81"/>
                <w:sz w:val="21"/>
              </w:rPr>
              <w:t>7</w:t>
            </w:r>
            <w:r>
              <w:rPr>
                <w:rFonts w:ascii="微软雅黑" w:eastAsia="微软雅黑" w:hint="eastAsia"/>
                <w:b/>
                <w:w w:val="176"/>
                <w:sz w:val="21"/>
              </w:rPr>
              <w:t>.</w:t>
            </w:r>
            <w:r>
              <w:rPr>
                <w:rFonts w:ascii="微软雅黑" w:eastAsia="微软雅黑" w:hint="eastAsia"/>
                <w:b/>
                <w:w w:val="100"/>
                <w:sz w:val="21"/>
              </w:rPr>
              <w:t>其他需要您关注的事项</w:t>
            </w:r>
          </w:p>
        </w:tc>
        <w:tc>
          <w:tcPr>
            <w:tcW w:w="2914" w:type="dxa"/>
          </w:tcPr>
          <w:p>
            <w:pPr>
              <w:pStyle w:val="TableParagraph"/>
              <w:numPr>
                <w:ilvl w:val="1"/>
                <w:numId w:val="9"/>
              </w:numPr>
              <w:tabs>
                <w:tab w:pos="867" w:val="left" w:leader="none"/>
              </w:tabs>
              <w:spacing w:line="257" w:lineRule="exact" w:before="0" w:after="0"/>
              <w:ind w:left="866" w:right="0" w:hanging="526"/>
              <w:jc w:val="left"/>
              <w:rPr>
                <w:sz w:val="21"/>
              </w:rPr>
            </w:pPr>
            <w:r>
              <w:rPr>
                <w:spacing w:val="-3"/>
                <w:sz w:val="21"/>
              </w:rPr>
              <w:t>艾滋病病毒</w:t>
            </w:r>
          </w:p>
          <w:p>
            <w:pPr>
              <w:pStyle w:val="TableParagraph"/>
              <w:numPr>
                <w:ilvl w:val="1"/>
                <w:numId w:val="9"/>
              </w:numPr>
              <w:tabs>
                <w:tab w:pos="867" w:val="left" w:leader="none"/>
              </w:tabs>
              <w:spacing w:line="240" w:lineRule="auto" w:before="37" w:after="0"/>
              <w:ind w:left="866" w:right="0" w:hanging="526"/>
              <w:jc w:val="left"/>
              <w:rPr>
                <w:sz w:val="21"/>
              </w:rPr>
            </w:pPr>
            <w:r>
              <w:rPr>
                <w:spacing w:val="-3"/>
                <w:sz w:val="21"/>
              </w:rPr>
              <w:t>遗传性疾病</w:t>
            </w:r>
          </w:p>
        </w:tc>
      </w:tr>
      <w:tr>
        <w:trPr>
          <w:trHeight w:val="312" w:hRule="atLeast"/>
        </w:trPr>
        <w:tc>
          <w:tcPr>
            <w:tcW w:w="2558" w:type="dxa"/>
          </w:tcPr>
          <w:p>
            <w:pPr>
              <w:pStyle w:val="TableParagraph"/>
              <w:spacing w:line="273" w:lineRule="exact"/>
              <w:ind w:right="821"/>
              <w:jc w:val="right"/>
              <w:rPr>
                <w:sz w:val="21"/>
              </w:rPr>
            </w:pPr>
            <w:r>
              <w:rPr>
                <w:sz w:val="21"/>
              </w:rPr>
              <w:t>3.2 欠款的扣除</w:t>
            </w:r>
          </w:p>
        </w:tc>
        <w:tc>
          <w:tcPr>
            <w:tcW w:w="2849" w:type="dxa"/>
          </w:tcPr>
          <w:p>
            <w:pPr>
              <w:pStyle w:val="TableParagraph"/>
              <w:spacing w:line="259" w:lineRule="exact"/>
              <w:ind w:left="405"/>
              <w:rPr>
                <w:sz w:val="21"/>
              </w:rPr>
            </w:pPr>
            <w:r>
              <w:rPr>
                <w:sz w:val="21"/>
              </w:rPr>
              <w:t>7.1 投保范围</w:t>
            </w:r>
          </w:p>
        </w:tc>
        <w:tc>
          <w:tcPr>
            <w:tcW w:w="2914" w:type="dxa"/>
          </w:tcPr>
          <w:p>
            <w:pPr>
              <w:pStyle w:val="TableParagraph"/>
              <w:spacing w:line="249" w:lineRule="exact"/>
              <w:ind w:left="340"/>
              <w:rPr>
                <w:sz w:val="21"/>
              </w:rPr>
            </w:pPr>
            <w:r>
              <w:rPr>
                <w:sz w:val="21"/>
              </w:rPr>
              <w:t>8.13 先天性畸形、变形或</w:t>
            </w:r>
          </w:p>
        </w:tc>
      </w:tr>
      <w:tr>
        <w:trPr>
          <w:trHeight w:val="616" w:hRule="atLeast"/>
        </w:trPr>
        <w:tc>
          <w:tcPr>
            <w:tcW w:w="2558" w:type="dxa"/>
          </w:tcPr>
          <w:p>
            <w:pPr>
              <w:pStyle w:val="TableParagraph"/>
              <w:spacing w:line="271" w:lineRule="exact"/>
              <w:ind w:left="261"/>
              <w:rPr>
                <w:sz w:val="21"/>
              </w:rPr>
            </w:pPr>
            <w:r>
              <w:rPr>
                <w:sz w:val="21"/>
              </w:rPr>
              <w:t>3.3 诉讼时效</w:t>
            </w:r>
          </w:p>
        </w:tc>
        <w:tc>
          <w:tcPr>
            <w:tcW w:w="2849" w:type="dxa"/>
          </w:tcPr>
          <w:p>
            <w:pPr>
              <w:pStyle w:val="TableParagraph"/>
              <w:numPr>
                <w:ilvl w:val="1"/>
                <w:numId w:val="10"/>
              </w:numPr>
              <w:tabs>
                <w:tab w:pos="828" w:val="left" w:leader="none"/>
              </w:tabs>
              <w:spacing w:line="259" w:lineRule="exact" w:before="0" w:after="0"/>
              <w:ind w:left="827" w:right="0" w:hanging="422"/>
              <w:jc w:val="left"/>
              <w:rPr>
                <w:sz w:val="21"/>
              </w:rPr>
            </w:pPr>
            <w:r>
              <w:rPr>
                <w:spacing w:val="-3"/>
                <w:sz w:val="21"/>
              </w:rPr>
              <w:t>合同效力</w:t>
            </w:r>
          </w:p>
          <w:p>
            <w:pPr>
              <w:pStyle w:val="TableParagraph"/>
              <w:numPr>
                <w:ilvl w:val="1"/>
                <w:numId w:val="10"/>
              </w:numPr>
              <w:tabs>
                <w:tab w:pos="828" w:val="left" w:leader="none"/>
              </w:tabs>
              <w:spacing w:line="240" w:lineRule="auto" w:before="37" w:after="0"/>
              <w:ind w:left="827" w:right="0" w:hanging="422"/>
              <w:jc w:val="left"/>
              <w:rPr>
                <w:sz w:val="21"/>
              </w:rPr>
            </w:pPr>
            <w:r>
              <w:rPr>
                <w:spacing w:val="-3"/>
                <w:sz w:val="21"/>
              </w:rPr>
              <w:t>合同内容变更</w:t>
            </w:r>
          </w:p>
        </w:tc>
        <w:tc>
          <w:tcPr>
            <w:tcW w:w="2914" w:type="dxa"/>
          </w:tcPr>
          <w:p>
            <w:pPr>
              <w:pStyle w:val="TableParagraph"/>
              <w:spacing w:line="249" w:lineRule="exact"/>
              <w:ind w:left="863"/>
              <w:rPr>
                <w:sz w:val="21"/>
              </w:rPr>
            </w:pPr>
            <w:r>
              <w:rPr>
                <w:sz w:val="21"/>
              </w:rPr>
              <w:t>染色体异常</w:t>
            </w:r>
          </w:p>
          <w:p>
            <w:pPr>
              <w:pStyle w:val="TableParagraph"/>
              <w:spacing w:before="37"/>
              <w:ind w:left="340"/>
              <w:rPr>
                <w:sz w:val="21"/>
              </w:rPr>
            </w:pPr>
            <w:r>
              <w:rPr>
                <w:sz w:val="21"/>
              </w:rPr>
              <w:t>8.14 利息</w:t>
            </w:r>
          </w:p>
        </w:tc>
      </w:tr>
      <w:tr>
        <w:trPr>
          <w:trHeight w:val="256" w:hRule="atLeast"/>
        </w:trPr>
        <w:tc>
          <w:tcPr>
            <w:tcW w:w="2558" w:type="dxa"/>
          </w:tcPr>
          <w:p>
            <w:pPr>
              <w:pStyle w:val="TableParagraph"/>
              <w:rPr>
                <w:rFonts w:ascii="Times New Roman"/>
                <w:sz w:val="18"/>
              </w:rPr>
            </w:pPr>
          </w:p>
        </w:tc>
        <w:tc>
          <w:tcPr>
            <w:tcW w:w="2849" w:type="dxa"/>
          </w:tcPr>
          <w:p>
            <w:pPr>
              <w:pStyle w:val="TableParagraph"/>
              <w:rPr>
                <w:rFonts w:ascii="Times New Roman"/>
                <w:sz w:val="18"/>
              </w:rPr>
            </w:pPr>
          </w:p>
        </w:tc>
        <w:tc>
          <w:tcPr>
            <w:tcW w:w="2914" w:type="dxa"/>
          </w:tcPr>
          <w:p>
            <w:pPr>
              <w:pStyle w:val="TableParagraph"/>
              <w:spacing w:line="237" w:lineRule="exact"/>
              <w:ind w:left="340"/>
              <w:rPr>
                <w:sz w:val="21"/>
              </w:rPr>
            </w:pPr>
            <w:r>
              <w:rPr>
                <w:sz w:val="21"/>
              </w:rPr>
              <w:t>8.15 意外伤害</w:t>
            </w:r>
          </w:p>
        </w:tc>
      </w:tr>
    </w:tbl>
    <w:p>
      <w:pPr>
        <w:spacing w:after="0" w:line="237" w:lineRule="exact"/>
        <w:rPr>
          <w:sz w:val="21"/>
        </w:rPr>
        <w:sectPr>
          <w:type w:val="continuous"/>
          <w:pgSz w:w="11910" w:h="16840"/>
          <w:pgMar w:top="1060" w:bottom="1160" w:left="1160" w:right="940"/>
        </w:sectPr>
      </w:pPr>
    </w:p>
    <w:p>
      <w:pPr>
        <w:pStyle w:val="BodyText"/>
        <w:spacing w:before="1"/>
        <w:rPr>
          <w:rFonts w:ascii="微软雅黑"/>
          <w:b/>
          <w:sz w:val="16"/>
        </w:rPr>
      </w:pPr>
    </w:p>
    <w:p>
      <w:pPr>
        <w:pStyle w:val="Heading1"/>
        <w:spacing w:line="415" w:lineRule="exact"/>
      </w:pPr>
      <w:r>
        <w:rPr/>
        <w:t>民生人寿保险股份有限公司</w:t>
      </w:r>
    </w:p>
    <w:p>
      <w:pPr>
        <w:spacing w:before="8"/>
        <w:ind w:left="2301" w:right="2492" w:firstLine="0"/>
        <w:jc w:val="center"/>
        <w:rPr>
          <w:rFonts w:ascii="微软雅黑" w:eastAsia="微软雅黑" w:hint="eastAsia"/>
          <w:b/>
          <w:sz w:val="28"/>
        </w:rPr>
      </w:pPr>
      <w:r>
        <w:rPr>
          <w:rFonts w:ascii="微软雅黑" w:eastAsia="微软雅黑" w:hint="eastAsia"/>
          <w:b/>
          <w:w w:val="95"/>
          <w:sz w:val="28"/>
        </w:rPr>
        <w:t>附加投保人豁免保费重大疾病保险 2018 条款</w:t>
      </w:r>
    </w:p>
    <w:p>
      <w:pPr>
        <w:pStyle w:val="BodyText"/>
        <w:spacing w:before="0"/>
        <w:rPr>
          <w:rFonts w:ascii="微软雅黑"/>
          <w:b/>
          <w:sz w:val="28"/>
        </w:rPr>
      </w:pPr>
    </w:p>
    <w:p>
      <w:pPr>
        <w:pStyle w:val="BodyText"/>
        <w:spacing w:before="5"/>
        <w:rPr>
          <w:rFonts w:ascii="微软雅黑"/>
          <w:b/>
          <w:sz w:val="15"/>
        </w:rPr>
      </w:pPr>
    </w:p>
    <w:p>
      <w:pPr>
        <w:spacing w:before="1"/>
        <w:ind w:left="223" w:right="0" w:firstLine="0"/>
        <w:jc w:val="left"/>
        <w:rPr>
          <w:sz w:val="21"/>
        </w:rPr>
      </w:pPr>
      <w:r>
        <w:rPr>
          <w:spacing w:val="-23"/>
          <w:w w:val="100"/>
          <w:sz w:val="21"/>
        </w:rPr>
        <w:t>在本条款中，“您”指投保人，“我们”、“本公司”均指民生人寿保险股份有限公司</w:t>
      </w:r>
    </w:p>
    <w:p>
      <w:pPr>
        <w:pStyle w:val="BodyText"/>
        <w:spacing w:before="0"/>
        <w:rPr>
          <w:sz w:val="20"/>
        </w:rPr>
      </w:pPr>
    </w:p>
    <w:p>
      <w:pPr>
        <w:pStyle w:val="BodyText"/>
        <w:spacing w:before="10"/>
        <w:rPr>
          <w:sz w:val="17"/>
        </w:rPr>
      </w:pPr>
    </w:p>
    <w:p>
      <w:pPr>
        <w:tabs>
          <w:tab w:pos="907" w:val="left" w:leader="none"/>
        </w:tabs>
        <w:spacing w:before="1"/>
        <w:ind w:left="223" w:right="0" w:firstLine="0"/>
        <w:jc w:val="left"/>
        <w:rPr>
          <w:rFonts w:ascii="微软雅黑" w:hAnsi="微软雅黑" w:eastAsia="微软雅黑" w:hint="eastAsia"/>
          <w:b/>
          <w:sz w:val="24"/>
        </w:rPr>
      </w:pPr>
      <w:r>
        <w:rPr/>
        <w:pict>
          <v:group style="position:absolute;margin-left:59.759998pt;margin-top:29.028719pt;width:497.4pt;height:.5pt;mso-position-horizontal-relative:page;mso-position-vertical-relative:paragraph;z-index:1096;mso-wrap-distance-left:0;mso-wrap-distance-right:0" coordorigin="1195,581" coordsize="9948,10">
            <v:line style="position:absolute" from="1195,585" to="1879,585" stroked="true" strokeweight=".48pt" strokecolor="#000000">
              <v:stroke dashstyle="solid"/>
            </v:line>
            <v:rect style="position:absolute;left:1879;top:580;width:10;height:10" filled="true" fillcolor="#000000" stroked="false">
              <v:fill type="solid"/>
            </v:rect>
            <v:line style="position:absolute" from="1889,585" to="3586,585" stroked="true" strokeweight=".48pt" strokecolor="#000000">
              <v:stroke dashstyle="solid"/>
            </v:line>
            <v:rect style="position:absolute;left:3585;top:580;width:10;height:10" filled="true" fillcolor="#000000" stroked="false">
              <v:fill type="solid"/>
            </v:rect>
            <v:line style="position:absolute" from="3595,585" to="11143,585" stroked="true" strokeweight=".48pt" strokecolor="#000000">
              <v:stroke dashstyle="solid"/>
            </v:line>
            <w10:wrap type="topAndBottom"/>
          </v:group>
        </w:pict>
      </w:r>
      <w:r>
        <w:rPr>
          <w:rFonts w:ascii="Times New Roman" w:hAnsi="Times New Roman" w:eastAsia="Times New Roman"/>
          <w:b/>
          <w:position w:val="-3"/>
          <w:sz w:val="40"/>
        </w:rPr>
        <w:t></w:t>
        <w:tab/>
      </w:r>
      <w:r>
        <w:rPr>
          <w:rFonts w:ascii="微软雅黑" w:hAnsi="微软雅黑" w:eastAsia="微软雅黑" w:hint="eastAsia"/>
          <w:b/>
          <w:sz w:val="24"/>
        </w:rPr>
        <w:t>您与我们的合同</w:t>
      </w:r>
    </w:p>
    <w:p>
      <w:pPr>
        <w:pStyle w:val="BodyText"/>
        <w:spacing w:before="2"/>
        <w:rPr>
          <w:rFonts w:ascii="微软雅黑"/>
          <w:b/>
          <w:sz w:val="8"/>
        </w:rPr>
      </w:pPr>
    </w:p>
    <w:p>
      <w:pPr>
        <w:pStyle w:val="ListParagraph"/>
        <w:numPr>
          <w:ilvl w:val="1"/>
          <w:numId w:val="11"/>
        </w:numPr>
        <w:tabs>
          <w:tab w:pos="908" w:val="left" w:leader="none"/>
          <w:tab w:pos="2613" w:val="left" w:leader="none"/>
        </w:tabs>
        <w:spacing w:line="312" w:lineRule="exact" w:before="44" w:after="0"/>
        <w:ind w:left="2613" w:right="208" w:hanging="2390"/>
        <w:jc w:val="both"/>
        <w:rPr>
          <w:sz w:val="18"/>
        </w:rPr>
      </w:pPr>
      <w:r>
        <w:rPr>
          <w:rFonts w:ascii="微软雅黑" w:hAnsi="微软雅黑" w:eastAsia="微软雅黑" w:hint="eastAsia"/>
          <w:b/>
          <w:w w:val="100"/>
          <w:position w:val="1"/>
          <w:sz w:val="21"/>
        </w:rPr>
        <w:t>合同构成</w:t>
      </w:r>
      <w:r>
        <w:rPr>
          <w:rFonts w:ascii="微软雅黑" w:hAnsi="微软雅黑" w:eastAsia="微软雅黑" w:hint="eastAsia"/>
          <w:b/>
          <w:position w:val="1"/>
          <w:sz w:val="21"/>
        </w:rPr>
        <w:tab/>
      </w:r>
      <w:r>
        <w:rPr>
          <w:spacing w:val="1"/>
          <w:sz w:val="18"/>
        </w:rPr>
        <w:t>本附</w:t>
      </w:r>
      <w:r>
        <w:rPr>
          <w:sz w:val="18"/>
        </w:rPr>
        <w:t>加</w:t>
      </w:r>
      <w:r>
        <w:rPr>
          <w:spacing w:val="1"/>
          <w:sz w:val="18"/>
        </w:rPr>
        <w:t>保</w:t>
      </w:r>
      <w:r>
        <w:rPr>
          <w:sz w:val="18"/>
        </w:rPr>
        <w:t>险</w:t>
      </w:r>
      <w:r>
        <w:rPr>
          <w:spacing w:val="1"/>
          <w:sz w:val="18"/>
        </w:rPr>
        <w:t>合</w:t>
      </w:r>
      <w:r>
        <w:rPr>
          <w:sz w:val="18"/>
        </w:rPr>
        <w:t>同</w:t>
      </w:r>
      <w:r>
        <w:rPr>
          <w:spacing w:val="1"/>
          <w:sz w:val="18"/>
        </w:rPr>
        <w:t>（以</w:t>
      </w:r>
      <w:r>
        <w:rPr>
          <w:sz w:val="18"/>
        </w:rPr>
        <w:t>下</w:t>
      </w:r>
      <w:r>
        <w:rPr>
          <w:spacing w:val="1"/>
          <w:sz w:val="18"/>
        </w:rPr>
        <w:t>简</w:t>
      </w:r>
      <w:r>
        <w:rPr>
          <w:sz w:val="18"/>
        </w:rPr>
        <w:t>称“</w:t>
      </w:r>
      <w:r>
        <w:rPr>
          <w:spacing w:val="1"/>
          <w:sz w:val="18"/>
        </w:rPr>
        <w:t>本附</w:t>
      </w:r>
      <w:r>
        <w:rPr>
          <w:sz w:val="18"/>
        </w:rPr>
        <w:t>加</w:t>
      </w:r>
      <w:r>
        <w:rPr>
          <w:spacing w:val="1"/>
          <w:sz w:val="18"/>
        </w:rPr>
        <w:t>合同</w:t>
      </w:r>
      <w:r>
        <w:rPr>
          <w:spacing w:val="-92"/>
          <w:sz w:val="18"/>
        </w:rPr>
        <w:t>”</w:t>
      </w:r>
      <w:r>
        <w:rPr>
          <w:spacing w:val="1"/>
          <w:sz w:val="18"/>
        </w:rPr>
        <w:t>）附</w:t>
      </w:r>
      <w:r>
        <w:rPr>
          <w:sz w:val="18"/>
        </w:rPr>
        <w:t>加</w:t>
      </w:r>
      <w:r>
        <w:rPr>
          <w:spacing w:val="1"/>
          <w:sz w:val="18"/>
        </w:rPr>
        <w:t>于</w:t>
      </w:r>
      <w:r>
        <w:rPr>
          <w:sz w:val="18"/>
        </w:rPr>
        <w:t>本</w:t>
      </w:r>
      <w:r>
        <w:rPr>
          <w:spacing w:val="1"/>
          <w:sz w:val="18"/>
        </w:rPr>
        <w:t>公</w:t>
      </w:r>
      <w:r>
        <w:rPr>
          <w:sz w:val="18"/>
        </w:rPr>
        <w:t>司规</w:t>
      </w:r>
      <w:r>
        <w:rPr>
          <w:spacing w:val="1"/>
          <w:sz w:val="18"/>
        </w:rPr>
        <w:t>定的</w:t>
      </w:r>
      <w:r>
        <w:rPr>
          <w:sz w:val="18"/>
        </w:rPr>
        <w:t>主</w:t>
      </w:r>
      <w:r>
        <w:rPr>
          <w:spacing w:val="1"/>
          <w:sz w:val="18"/>
        </w:rPr>
        <w:t>保</w:t>
      </w:r>
      <w:r>
        <w:rPr>
          <w:sz w:val="18"/>
        </w:rPr>
        <w:t>险</w:t>
      </w:r>
      <w:r>
        <w:rPr>
          <w:spacing w:val="1"/>
          <w:sz w:val="18"/>
        </w:rPr>
        <w:t>合</w:t>
      </w:r>
      <w:r>
        <w:rPr>
          <w:sz w:val="18"/>
        </w:rPr>
        <w:t>同</w:t>
      </w:r>
      <w:r>
        <w:rPr>
          <w:spacing w:val="1"/>
          <w:sz w:val="18"/>
        </w:rPr>
        <w:t>（以</w:t>
      </w:r>
      <w:r>
        <w:rPr>
          <w:sz w:val="18"/>
        </w:rPr>
        <w:t>下</w:t>
      </w:r>
      <w:r>
        <w:rPr>
          <w:spacing w:val="1"/>
          <w:sz w:val="18"/>
        </w:rPr>
        <w:t>简</w:t>
      </w:r>
      <w:r>
        <w:rPr>
          <w:sz w:val="18"/>
        </w:rPr>
        <w:t>称“主</w:t>
      </w:r>
      <w:r>
        <w:rPr>
          <w:spacing w:val="1"/>
          <w:sz w:val="18"/>
        </w:rPr>
        <w:t>险合同</w:t>
      </w:r>
      <w:r>
        <w:rPr>
          <w:spacing w:val="-92"/>
          <w:sz w:val="18"/>
        </w:rPr>
        <w:t>”</w:t>
      </w:r>
      <w:r>
        <w:rPr>
          <w:spacing w:val="1"/>
          <w:sz w:val="18"/>
        </w:rPr>
        <w:t>）</w:t>
      </w:r>
      <w:r>
        <w:rPr>
          <w:sz w:val="18"/>
        </w:rPr>
        <w:t>上</w:t>
      </w:r>
      <w:r>
        <w:rPr>
          <w:spacing w:val="1"/>
          <w:sz w:val="18"/>
        </w:rPr>
        <w:t>。主</w:t>
      </w:r>
      <w:r>
        <w:rPr>
          <w:sz w:val="18"/>
        </w:rPr>
        <w:t>险</w:t>
      </w:r>
      <w:r>
        <w:rPr>
          <w:spacing w:val="1"/>
          <w:sz w:val="18"/>
        </w:rPr>
        <w:t>合</w:t>
      </w:r>
      <w:r>
        <w:rPr>
          <w:sz w:val="18"/>
        </w:rPr>
        <w:t>同</w:t>
      </w:r>
      <w:r>
        <w:rPr>
          <w:spacing w:val="1"/>
          <w:sz w:val="18"/>
        </w:rPr>
        <w:t>所</w:t>
      </w:r>
      <w:r>
        <w:rPr>
          <w:sz w:val="18"/>
        </w:rPr>
        <w:t>附条</w:t>
      </w:r>
      <w:r>
        <w:rPr>
          <w:spacing w:val="1"/>
          <w:sz w:val="18"/>
        </w:rPr>
        <w:t>款、</w:t>
      </w:r>
      <w:r>
        <w:rPr>
          <w:sz w:val="18"/>
        </w:rPr>
        <w:t>投</w:t>
      </w:r>
      <w:r>
        <w:rPr>
          <w:spacing w:val="1"/>
          <w:sz w:val="18"/>
        </w:rPr>
        <w:t>保</w:t>
      </w:r>
      <w:r>
        <w:rPr>
          <w:sz w:val="18"/>
        </w:rPr>
        <w:t>单</w:t>
      </w:r>
      <w:r>
        <w:rPr>
          <w:spacing w:val="1"/>
          <w:sz w:val="18"/>
        </w:rPr>
        <w:t>及</w:t>
      </w:r>
      <w:r>
        <w:rPr>
          <w:sz w:val="18"/>
        </w:rPr>
        <w:t>与</w:t>
      </w:r>
      <w:r>
        <w:rPr>
          <w:spacing w:val="1"/>
          <w:sz w:val="18"/>
        </w:rPr>
        <w:t>本附</w:t>
      </w:r>
      <w:r>
        <w:rPr>
          <w:sz w:val="18"/>
        </w:rPr>
        <w:t>加</w:t>
      </w:r>
      <w:r>
        <w:rPr>
          <w:spacing w:val="1"/>
          <w:sz w:val="18"/>
        </w:rPr>
        <w:t>合</w:t>
      </w:r>
      <w:r>
        <w:rPr>
          <w:sz w:val="18"/>
        </w:rPr>
        <w:t>同有</w:t>
      </w:r>
      <w:r>
        <w:rPr>
          <w:spacing w:val="1"/>
          <w:sz w:val="18"/>
        </w:rPr>
        <w:t>关的</w:t>
      </w:r>
      <w:r>
        <w:rPr>
          <w:sz w:val="18"/>
        </w:rPr>
        <w:t>其</w:t>
      </w:r>
      <w:r>
        <w:rPr>
          <w:spacing w:val="1"/>
          <w:sz w:val="18"/>
        </w:rPr>
        <w:t>他</w:t>
      </w:r>
      <w:r>
        <w:rPr>
          <w:sz w:val="18"/>
        </w:rPr>
        <w:t>投</w:t>
      </w:r>
      <w:r>
        <w:rPr>
          <w:spacing w:val="1"/>
          <w:sz w:val="18"/>
        </w:rPr>
        <w:t>保</w:t>
      </w:r>
      <w:r>
        <w:rPr>
          <w:sz w:val="18"/>
        </w:rPr>
        <w:t>文</w:t>
      </w:r>
      <w:r>
        <w:rPr>
          <w:spacing w:val="1"/>
          <w:sz w:val="18"/>
        </w:rPr>
        <w:t>件、</w:t>
      </w:r>
      <w:r>
        <w:rPr>
          <w:sz w:val="18"/>
        </w:rPr>
        <w:t>合</w:t>
      </w:r>
      <w:r>
        <w:rPr>
          <w:spacing w:val="1"/>
          <w:sz w:val="18"/>
        </w:rPr>
        <w:t>法</w:t>
      </w:r>
      <w:r>
        <w:rPr>
          <w:sz w:val="18"/>
        </w:rPr>
        <w:t>有效的声明、批注和其他书面协议，凡与本附加合同相关者，均为本附加合同的构成部分。</w:t>
      </w:r>
    </w:p>
    <w:p>
      <w:pPr>
        <w:pStyle w:val="BodyText"/>
        <w:spacing w:before="39"/>
        <w:ind w:left="2613"/>
      </w:pPr>
      <w:r>
        <w:rPr/>
        <w:t>除本附加合同另有约定外，其他未尽事宜以主险合同条款为准。</w:t>
      </w:r>
    </w:p>
    <w:p>
      <w:pPr>
        <w:pStyle w:val="BodyText"/>
        <w:spacing w:before="11"/>
      </w:pPr>
    </w:p>
    <w:p>
      <w:pPr>
        <w:pStyle w:val="ListParagraph"/>
        <w:numPr>
          <w:ilvl w:val="1"/>
          <w:numId w:val="11"/>
        </w:numPr>
        <w:tabs>
          <w:tab w:pos="907" w:val="left" w:leader="none"/>
          <w:tab w:pos="908" w:val="left" w:leader="none"/>
          <w:tab w:pos="2613" w:val="left" w:leader="none"/>
        </w:tabs>
        <w:spacing w:line="240" w:lineRule="auto" w:before="1" w:after="0"/>
        <w:ind w:left="2613" w:right="0" w:hanging="2390"/>
        <w:jc w:val="left"/>
        <w:rPr>
          <w:sz w:val="18"/>
        </w:rPr>
      </w:pPr>
      <w:r>
        <w:rPr>
          <w:rFonts w:ascii="微软雅黑" w:eastAsia="微软雅黑" w:hint="eastAsia"/>
          <w:b/>
          <w:sz w:val="21"/>
        </w:rPr>
        <w:t>合同成立与生效</w:t>
        <w:tab/>
      </w:r>
      <w:r>
        <w:rPr>
          <w:sz w:val="18"/>
        </w:rPr>
        <w:t>自您提出保险申请，本公司同意承保，本附加合同成立。合同成立日期在保险单上载明。</w:t>
      </w:r>
    </w:p>
    <w:p>
      <w:pPr>
        <w:pStyle w:val="BodyText"/>
        <w:spacing w:line="316" w:lineRule="auto" w:before="47"/>
        <w:ind w:left="2613" w:right="152"/>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9" w:lineRule="auto" w:before="18"/>
        <w:ind w:left="2613" w:right="150"/>
      </w:pPr>
      <w:r>
        <w:rPr/>
        <w:t>本附加合同的生效日以后每年的对应日是保险单周年日。保险单年度、保险单月份、保险费到期日和保险单满期日均以该日期计算。</w:t>
      </w:r>
    </w:p>
    <w:p>
      <w:pPr>
        <w:pStyle w:val="BodyText"/>
        <w:spacing w:before="16"/>
        <w:ind w:left="2613"/>
      </w:pPr>
      <w:r>
        <w:rPr/>
        <w:t>如果当月无对应的同一天，则以该月最后一日为对应日。</w:t>
      </w:r>
    </w:p>
    <w:p>
      <w:pPr>
        <w:pStyle w:val="BodyText"/>
        <w:spacing w:before="12"/>
        <w:rPr>
          <w:sz w:val="17"/>
        </w:rPr>
      </w:pPr>
    </w:p>
    <w:p>
      <w:pPr>
        <w:pStyle w:val="ListParagraph"/>
        <w:numPr>
          <w:ilvl w:val="1"/>
          <w:numId w:val="11"/>
        </w:numPr>
        <w:tabs>
          <w:tab w:pos="907" w:val="left" w:leader="none"/>
          <w:tab w:pos="908" w:val="left" w:leader="none"/>
          <w:tab w:pos="2613" w:val="left" w:leader="none"/>
        </w:tabs>
        <w:spacing w:line="261" w:lineRule="auto" w:before="1" w:after="0"/>
        <w:ind w:left="2613" w:right="205" w:hanging="2390"/>
        <w:jc w:val="left"/>
        <w:rPr>
          <w:sz w:val="18"/>
        </w:rPr>
      </w:pPr>
      <w:r>
        <w:rPr>
          <w:rFonts w:ascii="微软雅黑" w:eastAsia="微软雅黑" w:hint="eastAsia"/>
          <w:b/>
          <w:sz w:val="21"/>
        </w:rPr>
        <w:t>犹豫期</w:t>
        <w:tab/>
      </w:r>
      <w:r>
        <w:rPr>
          <w:position w:val="1"/>
          <w:sz w:val="18"/>
        </w:rPr>
        <w:t>自您签收本附加合同次日起</w:t>
      </w:r>
      <w:r>
        <w:rPr>
          <w:spacing w:val="-13"/>
          <w:position w:val="1"/>
          <w:sz w:val="18"/>
        </w:rPr>
        <w:t>，</w:t>
      </w:r>
      <w:r>
        <w:rPr>
          <w:position w:val="1"/>
          <w:sz w:val="18"/>
        </w:rPr>
        <w:t>有十五天的犹豫期</w:t>
      </w:r>
      <w:r>
        <w:rPr>
          <w:spacing w:val="-12"/>
          <w:position w:val="1"/>
          <w:sz w:val="18"/>
        </w:rPr>
        <w:t>。</w:t>
      </w:r>
      <w:r>
        <w:rPr>
          <w:position w:val="1"/>
          <w:sz w:val="18"/>
        </w:rPr>
        <w:t>在此期间请您认真审视本附加合同</w:t>
      </w:r>
      <w:r>
        <w:rPr>
          <w:spacing w:val="-13"/>
          <w:position w:val="1"/>
          <w:sz w:val="18"/>
        </w:rPr>
        <w:t>，</w:t>
      </w:r>
      <w:r>
        <w:rPr>
          <w:position w:val="1"/>
          <w:sz w:val="18"/>
        </w:rPr>
        <w:t>如果您</w:t>
      </w:r>
      <w:r>
        <w:rPr>
          <w:sz w:val="18"/>
        </w:rPr>
        <w:t>认为本附加合同与您的需求不相符</w:t>
      </w:r>
      <w:r>
        <w:rPr>
          <w:spacing w:val="-20"/>
          <w:sz w:val="18"/>
        </w:rPr>
        <w:t>，</w:t>
      </w:r>
      <w:r>
        <w:rPr>
          <w:sz w:val="18"/>
        </w:rPr>
        <w:t>您可以在此期间提出解除本附加合同</w:t>
      </w:r>
      <w:r>
        <w:rPr>
          <w:spacing w:val="-20"/>
          <w:sz w:val="18"/>
        </w:rPr>
        <w:t>，</w:t>
      </w:r>
      <w:r>
        <w:rPr>
          <w:sz w:val="18"/>
        </w:rPr>
        <w:t>我们将无息退还您</w:t>
      </w:r>
    </w:p>
    <w:p>
      <w:pPr>
        <w:pStyle w:val="BodyText"/>
        <w:spacing w:before="60"/>
        <w:ind w:left="2613"/>
      </w:pPr>
      <w:r>
        <w:rPr/>
        <w:t>所交的全部保险费。</w:t>
      </w:r>
    </w:p>
    <w:p>
      <w:pPr>
        <w:pStyle w:val="BodyText"/>
        <w:spacing w:line="297" w:lineRule="auto" w:before="22"/>
        <w:ind w:left="2613" w:right="205"/>
        <w:jc w:val="both"/>
      </w:pPr>
      <w:r>
        <w:rPr>
          <w:spacing w:val="-3"/>
        </w:rPr>
        <w:t>解除合同时，您需要填写书面申请书，并提供您的合同及</w:t>
      </w:r>
      <w:r>
        <w:rPr>
          <w:rFonts w:ascii="微软雅黑" w:eastAsia="微软雅黑" w:hint="eastAsia"/>
          <w:b/>
          <w:spacing w:val="-2"/>
        </w:rPr>
        <w:t>有效身份证件</w:t>
      </w:r>
      <w:r>
        <w:rPr/>
        <w:t>（</w:t>
      </w:r>
      <w:r>
        <w:rPr>
          <w:spacing w:val="-24"/>
        </w:rPr>
        <w:t>见 </w:t>
      </w:r>
      <w:r>
        <w:rPr>
          <w:rFonts w:ascii="Times New Roman" w:eastAsia="Times New Roman"/>
          <w:spacing w:val="0"/>
        </w:rPr>
        <w:t>8</w:t>
      </w:r>
      <w:r>
        <w:rPr>
          <w:rFonts w:ascii="Times New Roman" w:eastAsia="Times New Roman"/>
        </w:rPr>
        <w:t>.</w:t>
      </w:r>
      <w:r>
        <w:rPr>
          <w:rFonts w:ascii="Times New Roman" w:eastAsia="Times New Roman"/>
          <w:spacing w:val="0"/>
        </w:rPr>
        <w:t>1</w:t>
      </w:r>
      <w:r>
        <w:rPr>
          <w:spacing w:val="-92"/>
        </w:rPr>
        <w:t>）</w:t>
      </w:r>
      <w:r>
        <w:rPr>
          <w:spacing w:val="-4"/>
        </w:rPr>
        <w:t>。自您书面申</w:t>
      </w:r>
      <w:r>
        <w:rPr>
          <w:spacing w:val="-7"/>
        </w:rPr>
        <w:t>请解除本附加合同之日起，本附加合同效力即行终止，对合同解除前发生的保险事故，我们不承担豁免保险费的责任。</w:t>
      </w:r>
    </w:p>
    <w:p>
      <w:pPr>
        <w:pStyle w:val="BodyText"/>
        <w:spacing w:before="7"/>
        <w:rPr>
          <w:sz w:val="13"/>
        </w:rPr>
      </w:pPr>
    </w:p>
    <w:p>
      <w:pPr>
        <w:pStyle w:val="ListParagraph"/>
        <w:numPr>
          <w:ilvl w:val="1"/>
          <w:numId w:val="11"/>
        </w:numPr>
        <w:tabs>
          <w:tab w:pos="907" w:val="left" w:leader="none"/>
          <w:tab w:pos="908" w:val="left" w:leader="none"/>
          <w:tab w:pos="2613" w:val="left" w:leader="none"/>
        </w:tabs>
        <w:spacing w:line="240" w:lineRule="auto" w:before="0" w:after="0"/>
        <w:ind w:left="2613" w:right="0" w:hanging="2390"/>
        <w:jc w:val="left"/>
        <w:rPr>
          <w:sz w:val="18"/>
        </w:rPr>
      </w:pPr>
      <w:r>
        <w:rPr>
          <w:rFonts w:ascii="微软雅黑" w:eastAsia="微软雅黑" w:hint="eastAsia"/>
          <w:b/>
          <w:sz w:val="21"/>
        </w:rPr>
        <w:t>保险期间</w:t>
        <w:tab/>
      </w:r>
      <w:r>
        <w:rPr>
          <w:position w:val="1"/>
          <w:sz w:val="18"/>
        </w:rPr>
        <w:t>本附加合同的保险期间与主险合同保持一致，并在保险单上载明。</w:t>
      </w:r>
    </w:p>
    <w:p>
      <w:pPr>
        <w:pStyle w:val="BodyText"/>
        <w:spacing w:before="3"/>
        <w:rPr>
          <w:sz w:val="24"/>
        </w:rPr>
      </w:pPr>
    </w:p>
    <w:p>
      <w:pPr>
        <w:tabs>
          <w:tab w:pos="907" w:val="left" w:leader="none"/>
        </w:tabs>
        <w:spacing w:before="0"/>
        <w:ind w:left="223" w:right="0" w:firstLine="0"/>
        <w:jc w:val="left"/>
        <w:rPr>
          <w:rFonts w:ascii="微软雅黑" w:hAnsi="微软雅黑" w:eastAsia="微软雅黑" w:hint="eastAsia"/>
          <w:b/>
          <w:sz w:val="24"/>
        </w:rPr>
      </w:pPr>
      <w:r>
        <w:rPr/>
        <w:pict>
          <v:group style="position:absolute;margin-left:59.759998pt;margin-top:28.978752pt;width:497.4pt;height:.5pt;mso-position-horizontal-relative:page;mso-position-vertical-relative:paragraph;z-index:1120;mso-wrap-distance-left:0;mso-wrap-distance-right:0" coordorigin="1195,580" coordsize="9948,10">
            <v:line style="position:absolute" from="1195,584" to="1879,584" stroked="true" strokeweight=".48pt" strokecolor="#000000">
              <v:stroke dashstyle="solid"/>
            </v:line>
            <v:rect style="position:absolute;left:1879;top:579;width:10;height:10" filled="true" fillcolor="#000000" stroked="false">
              <v:fill type="solid"/>
            </v:rect>
            <v:line style="position:absolute" from="1889,584" to="3586,584" stroked="true" strokeweight=".48pt" strokecolor="#000000">
              <v:stroke dashstyle="solid"/>
            </v:line>
            <v:rect style="position:absolute;left:3585;top:579;width:10;height:10" filled="true" fillcolor="#000000" stroked="false">
              <v:fill type="solid"/>
            </v:rect>
            <v:line style="position:absolute" from="3595,584" to="11143,584" stroked="true" strokeweight=".48pt" strokecolor="#000000">
              <v:stroke dashstyle="solid"/>
            </v:line>
            <w10:wrap type="topAndBottom"/>
          </v:group>
        </w:pict>
      </w:r>
      <w:r>
        <w:rPr>
          <w:rFonts w:ascii="Times New Roman" w:hAnsi="Times New Roman" w:eastAsia="Times New Roman"/>
          <w:b/>
          <w:position w:val="-3"/>
          <w:sz w:val="40"/>
        </w:rPr>
        <w:t></w:t>
        <w:tab/>
      </w:r>
      <w:r>
        <w:rPr>
          <w:rFonts w:ascii="微软雅黑" w:hAnsi="微软雅黑" w:eastAsia="微软雅黑" w:hint="eastAsia"/>
          <w:b/>
          <w:sz w:val="24"/>
        </w:rPr>
        <w:t>我们提供的保障</w:t>
      </w:r>
    </w:p>
    <w:p>
      <w:pPr>
        <w:pStyle w:val="BodyText"/>
        <w:spacing w:before="17"/>
        <w:rPr>
          <w:rFonts w:ascii="微软雅黑"/>
          <w:b/>
          <w:sz w:val="7"/>
        </w:rPr>
      </w:pPr>
    </w:p>
    <w:p>
      <w:pPr>
        <w:pStyle w:val="ListParagraph"/>
        <w:numPr>
          <w:ilvl w:val="1"/>
          <w:numId w:val="12"/>
        </w:numPr>
        <w:tabs>
          <w:tab w:pos="907" w:val="left" w:leader="none"/>
          <w:tab w:pos="908" w:val="left" w:leader="none"/>
          <w:tab w:pos="2613" w:val="left" w:leader="none"/>
        </w:tabs>
        <w:spacing w:line="337" w:lineRule="exact" w:before="0" w:after="0"/>
        <w:ind w:left="907" w:right="0" w:hanging="684"/>
        <w:jc w:val="left"/>
        <w:rPr>
          <w:sz w:val="18"/>
        </w:rPr>
      </w:pPr>
      <w:r>
        <w:rPr>
          <w:rFonts w:ascii="微软雅黑" w:eastAsia="微软雅黑" w:hint="eastAsia"/>
          <w:b/>
          <w:sz w:val="21"/>
        </w:rPr>
        <w:t>基本保险金额</w:t>
        <w:tab/>
      </w:r>
      <w:r>
        <w:rPr>
          <w:position w:val="1"/>
          <w:sz w:val="18"/>
        </w:rPr>
        <w:t>本附加合同基本保险金额由您和本公司约定，并在保险单上载明。</w:t>
      </w:r>
    </w:p>
    <w:p>
      <w:pPr>
        <w:pStyle w:val="ListParagraph"/>
        <w:numPr>
          <w:ilvl w:val="1"/>
          <w:numId w:val="12"/>
        </w:numPr>
        <w:tabs>
          <w:tab w:pos="907" w:val="left" w:leader="none"/>
          <w:tab w:pos="908" w:val="left" w:leader="none"/>
          <w:tab w:pos="2613" w:val="left" w:leader="none"/>
        </w:tabs>
        <w:spacing w:line="240" w:lineRule="auto" w:before="177" w:after="0"/>
        <w:ind w:left="907" w:right="0" w:hanging="684"/>
        <w:jc w:val="left"/>
        <w:rPr>
          <w:sz w:val="18"/>
        </w:rPr>
      </w:pPr>
      <w:r>
        <w:rPr>
          <w:rFonts w:ascii="微软雅黑" w:eastAsia="微软雅黑" w:hint="eastAsia"/>
          <w:b/>
          <w:sz w:val="21"/>
        </w:rPr>
        <w:t>保险责任</w:t>
        <w:tab/>
      </w:r>
      <w:r>
        <w:rPr>
          <w:position w:val="1"/>
          <w:sz w:val="18"/>
        </w:rPr>
        <w:t>在本附加合同有效期内，本公司按下列规定承担保险责任：</w:t>
      </w:r>
    </w:p>
    <w:p>
      <w:pPr>
        <w:pStyle w:val="BodyText"/>
        <w:spacing w:before="11"/>
        <w:rPr>
          <w:sz w:val="13"/>
        </w:rPr>
      </w:pPr>
    </w:p>
    <w:p>
      <w:pPr>
        <w:pStyle w:val="BodyText"/>
        <w:tabs>
          <w:tab w:pos="2613" w:val="left" w:leader="none"/>
        </w:tabs>
        <w:spacing w:line="259" w:lineRule="auto" w:before="0"/>
        <w:ind w:left="2613" w:right="116" w:hanging="1707"/>
      </w:pPr>
      <w:r>
        <w:rPr>
          <w:rFonts w:ascii="微软雅黑" w:eastAsia="微软雅黑" w:hint="eastAsia"/>
          <w:b/>
          <w:position w:val="6"/>
          <w:sz w:val="21"/>
        </w:rPr>
        <w:t>等待期</w:t>
        <w:tab/>
      </w:r>
      <w:r>
        <w:rPr>
          <w:shd w:fill="C0C0C0" w:color="auto" w:val="clear"/>
        </w:rPr>
        <w:t>从本附加合同生效（或最后复效）之日起</w:t>
      </w:r>
      <w:r>
        <w:rPr>
          <w:spacing w:val="-40"/>
          <w:shd w:fill="C0C0C0" w:color="auto" w:val="clear"/>
        </w:rPr>
        <w:t> </w:t>
      </w:r>
      <w:r>
        <w:rPr>
          <w:rFonts w:ascii="Times New Roman" w:eastAsia="Times New Roman"/>
          <w:shd w:fill="C0C0C0" w:color="auto" w:val="clear"/>
        </w:rPr>
        <w:t>180</w:t>
      </w:r>
      <w:r>
        <w:rPr>
          <w:rFonts w:ascii="Times New Roman" w:eastAsia="Times New Roman"/>
          <w:spacing w:val="5"/>
          <w:shd w:fill="C0C0C0" w:color="auto" w:val="clear"/>
        </w:rPr>
        <w:t> </w:t>
      </w:r>
      <w:r>
        <w:rPr>
          <w:shd w:fill="C0C0C0" w:color="auto" w:val="clear"/>
        </w:rPr>
        <w:t>天内</w:t>
      </w:r>
      <w:r>
        <w:rPr>
          <w:rFonts w:ascii="Times New Roman" w:eastAsia="Times New Roman"/>
          <w:shd w:fill="C0C0C0" w:color="auto" w:val="clear"/>
        </w:rPr>
        <w:t>(</w:t>
      </w:r>
      <w:r>
        <w:rPr>
          <w:shd w:fill="C0C0C0" w:color="auto" w:val="clear"/>
        </w:rPr>
        <w:t>包括第</w:t>
      </w:r>
      <w:r>
        <w:rPr>
          <w:spacing w:val="-40"/>
          <w:shd w:fill="C0C0C0" w:color="auto" w:val="clear"/>
        </w:rPr>
        <w:t> </w:t>
      </w:r>
      <w:r>
        <w:rPr>
          <w:rFonts w:ascii="Times New Roman" w:eastAsia="Times New Roman"/>
          <w:shd w:fill="C0C0C0" w:color="auto" w:val="clear"/>
        </w:rPr>
        <w:t>180</w:t>
      </w:r>
      <w:r>
        <w:rPr>
          <w:rFonts w:ascii="Times New Roman" w:eastAsia="Times New Roman"/>
          <w:spacing w:val="5"/>
          <w:shd w:fill="C0C0C0" w:color="auto" w:val="clear"/>
        </w:rPr>
        <w:t> </w:t>
      </w:r>
      <w:r>
        <w:rPr>
          <w:shd w:fill="C0C0C0" w:color="auto" w:val="clear"/>
        </w:rPr>
        <w:t>天</w:t>
      </w:r>
      <w:r>
        <w:rPr>
          <w:rFonts w:ascii="Times New Roman" w:eastAsia="Times New Roman"/>
          <w:shd w:fill="C0C0C0" w:color="auto" w:val="clear"/>
        </w:rPr>
        <w:t>)</w:t>
      </w:r>
      <w:r>
        <w:rPr>
          <w:shd w:fill="C0C0C0" w:color="auto" w:val="clear"/>
        </w:rPr>
        <w:t>，被保险人因疾病身故</w:t>
      </w:r>
      <w:r>
        <w:rPr>
          <w:spacing w:val="-3"/>
          <w:shd w:fill="C0C0C0" w:color="auto" w:val="clear"/>
        </w:rPr>
        <w:t>、</w:t>
      </w:r>
      <w:r>
        <w:rPr>
          <w:shd w:fill="C0C0C0" w:color="auto" w:val="clear"/>
        </w:rPr>
        <w:t>因</w:t>
      </w:r>
      <w:r>
        <w:rPr>
          <w:spacing w:val="-95"/>
          <w:shd w:fill="C0C0C0" w:color="auto" w:val="clear"/>
        </w:rPr>
        <w:t>疾</w:t>
      </w:r>
      <w:r>
        <w:rPr>
          <w:shd w:fill="C0C0C0" w:color="auto" w:val="clear"/>
        </w:rPr>
        <w:t>                                                                                 病导致</w:t>
      </w:r>
      <w:r>
        <w:rPr>
          <w:rFonts w:ascii="微软雅黑" w:eastAsia="微软雅黑" w:hint="eastAsia"/>
          <w:b/>
          <w:shd w:fill="C0C0C0" w:color="auto" w:val="clear"/>
        </w:rPr>
        <w:t>全</w:t>
      </w:r>
      <w:r>
        <w:rPr>
          <w:rFonts w:ascii="微软雅黑" w:eastAsia="微软雅黑" w:hint="eastAsia"/>
          <w:b/>
          <w:spacing w:val="-17"/>
          <w:shd w:fill="C0C0C0" w:color="auto" w:val="clear"/>
        </w:rPr>
        <w:t>残</w:t>
      </w:r>
      <w:r>
        <w:rPr>
          <w:spacing w:val="-3"/>
          <w:shd w:fill="C0C0C0" w:color="auto" w:val="clear"/>
        </w:rPr>
        <w:t>（</w:t>
      </w:r>
      <w:r>
        <w:rPr>
          <w:shd w:fill="C0C0C0" w:color="auto" w:val="clear"/>
        </w:rPr>
        <w:t>见</w:t>
      </w:r>
      <w:r>
        <w:rPr>
          <w:spacing w:val="-41"/>
          <w:shd w:fill="C0C0C0" w:color="auto" w:val="clear"/>
        </w:rPr>
        <w:t> </w:t>
      </w:r>
      <w:r>
        <w:rPr>
          <w:rFonts w:ascii="Times New Roman" w:eastAsia="Times New Roman"/>
          <w:spacing w:val="-6"/>
          <w:shd w:fill="C0C0C0" w:color="auto" w:val="clear"/>
        </w:rPr>
        <w:t>8.2</w:t>
      </w:r>
      <w:r>
        <w:rPr>
          <w:spacing w:val="-6"/>
          <w:shd w:fill="C0C0C0" w:color="auto" w:val="clear"/>
        </w:rPr>
        <w:t>）</w:t>
      </w:r>
      <w:r>
        <w:rPr>
          <w:shd w:fill="C0C0C0" w:color="auto" w:val="clear"/>
        </w:rPr>
        <w:t>或因</w:t>
      </w:r>
      <w:r>
        <w:rPr>
          <w:spacing w:val="-3"/>
          <w:shd w:fill="C0C0C0" w:color="auto" w:val="clear"/>
        </w:rPr>
        <w:t>疾</w:t>
      </w:r>
      <w:r>
        <w:rPr>
          <w:shd w:fill="C0C0C0" w:color="auto" w:val="clear"/>
        </w:rPr>
        <w:t>病首次发生并被确诊患有本附加合同附表一所列的重大疾病的，本公司不承担保险责任</w:t>
      </w:r>
      <w:r>
        <w:rPr>
          <w:spacing w:val="-58"/>
          <w:shd w:fill="C0C0C0" w:color="auto" w:val="clear"/>
        </w:rPr>
        <w:t>，</w:t>
      </w:r>
      <w:r>
        <w:rPr>
          <w:shd w:fill="C0C0C0" w:color="auto" w:val="clear"/>
        </w:rPr>
        <w:t>并向您无息返还本附加合同已交保险费</w:t>
      </w:r>
      <w:r>
        <w:rPr>
          <w:spacing w:val="-58"/>
          <w:shd w:fill="C0C0C0" w:color="auto" w:val="clear"/>
        </w:rPr>
        <w:t>，</w:t>
      </w:r>
      <w:r>
        <w:rPr>
          <w:shd w:fill="C0C0C0" w:color="auto" w:val="clear"/>
        </w:rPr>
        <w:t>本附加合同效力终止</w:t>
      </w:r>
      <w:r>
        <w:rPr>
          <w:spacing w:val="-58"/>
          <w:shd w:fill="C0C0C0" w:color="auto" w:val="clear"/>
        </w:rPr>
        <w:t>。</w:t>
      </w:r>
      <w:r>
        <w:rPr>
          <w:shd w:fill="C0C0C0" w:color="auto" w:val="clear"/>
        </w:rPr>
        <w:t>这</w:t>
      </w:r>
      <w:r>
        <w:rPr>
          <w:spacing w:val="-45"/>
          <w:shd w:fill="C0C0C0" w:color="auto" w:val="clear"/>
        </w:rPr>
        <w:t> </w:t>
      </w:r>
      <w:r>
        <w:rPr>
          <w:rFonts w:ascii="Times New Roman" w:eastAsia="Times New Roman"/>
          <w:shd w:fill="C0C0C0" w:color="auto" w:val="clear"/>
        </w:rPr>
        <w:t>180</w:t>
      </w:r>
      <w:r>
        <w:rPr>
          <w:shd w:fill="C0C0C0" w:color="auto" w:val="clear"/>
        </w:rPr>
        <w:t>天被称为等待期。</w:t>
      </w:r>
      <w:r>
        <w:rPr/>
        <w:t>因</w:t>
      </w:r>
      <w:r>
        <w:rPr>
          <w:rFonts w:ascii="微软雅黑" w:eastAsia="微软雅黑" w:hint="eastAsia"/>
          <w:b/>
        </w:rPr>
        <w:t>意外事故</w:t>
      </w:r>
      <w:r>
        <w:rPr/>
        <w:t>（见</w:t>
      </w:r>
      <w:r>
        <w:rPr>
          <w:spacing w:val="-42"/>
        </w:rPr>
        <w:t> </w:t>
      </w:r>
      <w:r>
        <w:rPr>
          <w:rFonts w:ascii="Times New Roman" w:eastAsia="Times New Roman"/>
        </w:rPr>
        <w:t>8.3</w:t>
      </w:r>
      <w:r>
        <w:rPr/>
        <w:t>）发生上述情形的，</w:t>
      </w:r>
      <w:r>
        <w:rPr>
          <w:spacing w:val="-3"/>
        </w:rPr>
        <w:t>无</w:t>
      </w:r>
      <w:r>
        <w:rPr/>
        <w:t>等待期。</w:t>
      </w:r>
    </w:p>
    <w:p>
      <w:pPr>
        <w:pStyle w:val="BodyText"/>
        <w:spacing w:before="7"/>
        <w:rPr>
          <w:sz w:val="21"/>
        </w:rPr>
      </w:pPr>
    </w:p>
    <w:p>
      <w:pPr>
        <w:spacing w:after="0"/>
        <w:rPr>
          <w:sz w:val="21"/>
        </w:rPr>
        <w:sectPr>
          <w:headerReference w:type="default" r:id="rId9"/>
          <w:pgSz w:w="11910" w:h="16840"/>
          <w:pgMar w:header="872" w:footer="977" w:top="1100" w:bottom="1160" w:left="1080" w:right="660"/>
        </w:sectPr>
      </w:pPr>
    </w:p>
    <w:p>
      <w:pPr>
        <w:pStyle w:val="Heading3"/>
        <w:spacing w:line="206" w:lineRule="auto" w:before="25"/>
        <w:ind w:left="907"/>
      </w:pPr>
      <w:r>
        <w:rPr>
          <w:w w:val="95"/>
        </w:rPr>
        <w:t>1</w:t>
      </w:r>
      <w:r>
        <w:rPr>
          <w:spacing w:val="-15"/>
          <w:w w:val="95"/>
        </w:rPr>
        <w:t>、身故豁免保险</w:t>
      </w:r>
      <w:r>
        <w:rPr>
          <w:spacing w:val="-15"/>
        </w:rPr>
        <w:t>费</w:t>
      </w:r>
    </w:p>
    <w:p>
      <w:pPr>
        <w:pStyle w:val="BodyText"/>
        <w:spacing w:line="316" w:lineRule="auto" w:before="127"/>
        <w:ind w:left="173" w:right="150"/>
      </w:pPr>
      <w:r>
        <w:rPr/>
        <w:br w:type="column"/>
      </w:r>
      <w:r>
        <w:rPr/>
        <w:t>若被保险人因意外事故或在本附加合同等待期后因疾病身故，本公司免予收取保险期间内剩余的各期保险费，本附加合同效力终止。</w:t>
      </w:r>
    </w:p>
    <w:p>
      <w:pPr>
        <w:spacing w:after="0" w:line="316" w:lineRule="auto"/>
        <w:sectPr>
          <w:type w:val="continuous"/>
          <w:pgSz w:w="11910" w:h="16840"/>
          <w:pgMar w:top="1060" w:bottom="1160" w:left="1080" w:right="660"/>
          <w:cols w:num="2" w:equalWidth="0">
            <w:col w:w="2400" w:space="40"/>
            <w:col w:w="7730"/>
          </w:cols>
        </w:sectPr>
      </w:pPr>
    </w:p>
    <w:p>
      <w:pPr>
        <w:pStyle w:val="BodyText"/>
        <w:spacing w:before="2"/>
        <w:rPr>
          <w:sz w:val="19"/>
        </w:rPr>
      </w:pPr>
    </w:p>
    <w:p>
      <w:pPr>
        <w:spacing w:after="0"/>
        <w:rPr>
          <w:sz w:val="19"/>
        </w:rPr>
        <w:sectPr>
          <w:pgSz w:w="11910" w:h="16840"/>
          <w:pgMar w:header="872" w:footer="977" w:top="1100" w:bottom="1160" w:left="1080" w:right="660"/>
        </w:sectPr>
      </w:pPr>
    </w:p>
    <w:p>
      <w:pPr>
        <w:pStyle w:val="Heading3"/>
        <w:spacing w:line="206" w:lineRule="auto" w:before="25"/>
        <w:ind w:left="907"/>
      </w:pPr>
      <w:r>
        <w:rPr>
          <w:w w:val="95"/>
        </w:rPr>
        <w:t>2</w:t>
      </w:r>
      <w:r>
        <w:rPr>
          <w:spacing w:val="-15"/>
          <w:w w:val="95"/>
        </w:rPr>
        <w:t>、全残豁免保险</w:t>
      </w:r>
      <w:r>
        <w:rPr>
          <w:spacing w:val="-15"/>
        </w:rPr>
        <w:t>费</w:t>
      </w:r>
    </w:p>
    <w:p>
      <w:pPr>
        <w:pStyle w:val="BodyText"/>
        <w:spacing w:line="319" w:lineRule="auto" w:before="103"/>
        <w:ind w:left="173" w:right="150"/>
      </w:pPr>
      <w:r>
        <w:rPr/>
        <w:br w:type="column"/>
      </w:r>
      <w:r>
        <w:rPr/>
        <w:t>若被保险人因意外事故或在本附加合同等待期后因疾病导致全残，本公司免予收取保险期间内剩余的各期保险费，本附加合同效力终止。</w:t>
      </w:r>
    </w:p>
    <w:p>
      <w:pPr>
        <w:spacing w:after="0" w:line="319" w:lineRule="auto"/>
        <w:sectPr>
          <w:type w:val="continuous"/>
          <w:pgSz w:w="11910" w:h="16840"/>
          <w:pgMar w:top="1060" w:bottom="1160" w:left="1080" w:right="660"/>
          <w:cols w:num="2" w:equalWidth="0">
            <w:col w:w="2401" w:space="40"/>
            <w:col w:w="7729"/>
          </w:cols>
        </w:sectPr>
      </w:pPr>
    </w:p>
    <w:p>
      <w:pPr>
        <w:pStyle w:val="BodyText"/>
        <w:spacing w:before="11"/>
        <w:rPr>
          <w:sz w:val="17"/>
        </w:rPr>
      </w:pPr>
    </w:p>
    <w:p>
      <w:pPr>
        <w:spacing w:after="0"/>
        <w:rPr>
          <w:sz w:val="17"/>
        </w:rPr>
        <w:sectPr>
          <w:type w:val="continuous"/>
          <w:pgSz w:w="11910" w:h="16840"/>
          <w:pgMar w:top="1060" w:bottom="1160" w:left="1080" w:right="660"/>
        </w:sectPr>
      </w:pPr>
    </w:p>
    <w:p>
      <w:pPr>
        <w:pStyle w:val="Heading3"/>
        <w:spacing w:line="206" w:lineRule="auto" w:before="25"/>
        <w:ind w:left="907"/>
      </w:pPr>
      <w:r>
        <w:rPr>
          <w:w w:val="95"/>
        </w:rPr>
        <w:t>3</w:t>
      </w:r>
      <w:r>
        <w:rPr>
          <w:spacing w:val="-15"/>
          <w:w w:val="95"/>
        </w:rPr>
        <w:t>、重大疾病豁免</w:t>
      </w:r>
      <w:r>
        <w:rPr>
          <w:spacing w:val="-15"/>
        </w:rPr>
        <w:t>保险费</w:t>
      </w:r>
    </w:p>
    <w:p>
      <w:pPr>
        <w:spacing w:before="42"/>
        <w:ind w:left="173" w:right="0" w:firstLine="0"/>
        <w:jc w:val="left"/>
        <w:rPr>
          <w:sz w:val="18"/>
        </w:rPr>
      </w:pPr>
      <w:r>
        <w:rPr/>
        <w:br w:type="column"/>
      </w:r>
      <w:r>
        <w:rPr>
          <w:sz w:val="18"/>
        </w:rPr>
        <w:t>若被保险人因意外事故或等待期后因疾病导致首次发病，经本公司</w:t>
      </w:r>
      <w:r>
        <w:rPr>
          <w:rFonts w:ascii="微软雅黑" w:eastAsia="微软雅黑" w:hint="eastAsia"/>
          <w:b/>
          <w:sz w:val="18"/>
        </w:rPr>
        <w:t>指定或认可的医疗机构</w:t>
      </w:r>
      <w:r>
        <w:rPr>
          <w:sz w:val="18"/>
        </w:rPr>
        <w:t>（见</w:t>
      </w:r>
    </w:p>
    <w:p>
      <w:pPr>
        <w:pStyle w:val="BodyText"/>
        <w:spacing w:line="309" w:lineRule="auto" w:before="55"/>
        <w:ind w:left="173" w:right="205"/>
        <w:jc w:val="both"/>
      </w:pPr>
      <w:r>
        <w:rPr>
          <w:rFonts w:ascii="Times New Roman" w:eastAsia="Times New Roman"/>
          <w:spacing w:val="-11"/>
        </w:rPr>
        <w:t>8.4</w:t>
      </w:r>
      <w:r>
        <w:rPr>
          <w:spacing w:val="-11"/>
        </w:rPr>
        <w:t>）</w:t>
      </w:r>
      <w:r>
        <w:rPr>
          <w:spacing w:val="-3"/>
        </w:rPr>
        <w:t>确诊初次患有本附加合同附表一约定的一项或多项重大疾病，自被保险人确诊患有本附加</w:t>
      </w:r>
      <w:r>
        <w:rPr/>
        <w:t>合同附表一约定的一项或多项重大疾病之日起，本公司免予收取保险期间内剩余的各期保险费，本附加合同效力终止。</w:t>
      </w:r>
    </w:p>
    <w:p>
      <w:pPr>
        <w:spacing w:after="0" w:line="309" w:lineRule="auto"/>
        <w:jc w:val="both"/>
        <w:sectPr>
          <w:type w:val="continuous"/>
          <w:pgSz w:w="11910" w:h="16840"/>
          <w:pgMar w:top="1060" w:bottom="1160" w:left="1080" w:right="660"/>
          <w:cols w:num="2" w:equalWidth="0">
            <w:col w:w="2400" w:space="40"/>
            <w:col w:w="7730"/>
          </w:cols>
        </w:sectPr>
      </w:pPr>
    </w:p>
    <w:p>
      <w:pPr>
        <w:pStyle w:val="BodyText"/>
        <w:spacing w:before="4"/>
        <w:rPr>
          <w:sz w:val="24"/>
        </w:rPr>
      </w:pPr>
    </w:p>
    <w:p>
      <w:pPr>
        <w:pStyle w:val="BodyText"/>
        <w:spacing w:line="316" w:lineRule="auto" w:before="44"/>
        <w:ind w:left="2613" w:right="205"/>
      </w:pPr>
      <w:r>
        <w:rPr>
          <w:spacing w:val="-2"/>
        </w:rPr>
        <w:t>本附加合同所豁免保险费的金额将在保险单上载明，</w:t>
      </w:r>
      <w:r>
        <w:rPr>
          <w:shd w:fill="C0C0C0" w:color="auto" w:val="clear"/>
        </w:rPr>
        <w:t>所豁免保险费的金额不包含保险期间不超</w:t>
      </w:r>
      <w:r>
        <w:rPr>
          <w:spacing w:val="-180"/>
          <w:shd w:fill="C0C0C0" w:color="auto" w:val="clear"/>
        </w:rPr>
        <w:t>过</w:t>
      </w:r>
      <w:r>
        <w:rPr>
          <w:shd w:fill="C0C0C0" w:color="auto" w:val="clear"/>
        </w:rPr>
        <w:t>一年的附加险的保险费。</w:t>
      </w:r>
    </w:p>
    <w:p>
      <w:pPr>
        <w:pStyle w:val="BodyText"/>
        <w:spacing w:before="1"/>
        <w:rPr>
          <w:sz w:val="24"/>
        </w:rPr>
      </w:pPr>
    </w:p>
    <w:p>
      <w:pPr>
        <w:pStyle w:val="BodyText"/>
        <w:spacing w:before="0"/>
        <w:ind w:left="2613"/>
      </w:pPr>
      <w:r>
        <w:rPr/>
        <w:t>已获豁免保险费的保险合同，其权益与正常交费的保险合同相同。</w:t>
      </w:r>
    </w:p>
    <w:p>
      <w:pPr>
        <w:pStyle w:val="BodyText"/>
        <w:spacing w:before="12"/>
        <w:rPr>
          <w:sz w:val="16"/>
        </w:rPr>
      </w:pPr>
    </w:p>
    <w:p>
      <w:pPr>
        <w:tabs>
          <w:tab w:pos="907" w:val="left" w:leader="none"/>
          <w:tab w:pos="2613" w:val="left" w:leader="none"/>
        </w:tabs>
        <w:spacing w:before="0"/>
        <w:ind w:left="223" w:right="0" w:firstLine="0"/>
        <w:jc w:val="left"/>
        <w:rPr>
          <w:sz w:val="18"/>
        </w:rPr>
      </w:pPr>
      <w:r>
        <w:rPr>
          <w:rFonts w:ascii="微软雅黑" w:eastAsia="微软雅黑" w:hint="eastAsia"/>
          <w:b/>
          <w:position w:val="3"/>
          <w:sz w:val="21"/>
        </w:rPr>
        <w:t>2.3</w:t>
        <w:tab/>
        <w:t>责任免除</w:t>
        <w:tab/>
      </w:r>
      <w:r>
        <w:rPr>
          <w:sz w:val="18"/>
          <w:shd w:fill="C0C0C0" w:color="auto" w:val="clear"/>
        </w:rPr>
        <w:t>被保险人因下列情形之一导致身故或全残的，本公司不承担保险责任：</w:t>
      </w:r>
    </w:p>
    <w:p>
      <w:pPr>
        <w:pStyle w:val="Heading4"/>
        <w:spacing w:before="22"/>
        <w:ind w:left="2613" w:firstLine="0"/>
      </w:pPr>
      <w:r>
        <w:rPr>
          <w:shd w:fill="C0C0C0" w:color="auto" w:val="clear"/>
        </w:rPr>
        <w:t>1、  投保人对被保险人的故意杀害、故意伤害；</w:t>
      </w:r>
    </w:p>
    <w:p>
      <w:pPr>
        <w:spacing w:before="1"/>
        <w:ind w:left="2613" w:right="0" w:firstLine="0"/>
        <w:jc w:val="left"/>
        <w:rPr>
          <w:rFonts w:ascii="微软雅黑" w:eastAsia="微软雅黑" w:hint="eastAsia"/>
          <w:b/>
          <w:sz w:val="18"/>
        </w:rPr>
      </w:pPr>
      <w:r>
        <w:rPr>
          <w:rFonts w:ascii="微软雅黑" w:eastAsia="微软雅黑" w:hint="eastAsia"/>
          <w:b/>
          <w:sz w:val="18"/>
          <w:shd w:fill="C0C0C0" w:color="auto" w:val="clear"/>
        </w:rPr>
        <w:t>2、  被保险人故意犯罪或者抗拒依法采取的刑事强制措施；</w:t>
      </w:r>
    </w:p>
    <w:p>
      <w:pPr>
        <w:spacing w:before="1"/>
        <w:ind w:left="3028" w:right="208" w:hanging="416"/>
        <w:jc w:val="left"/>
        <w:rPr>
          <w:rFonts w:ascii="微软雅黑" w:eastAsia="微软雅黑" w:hint="eastAsia"/>
          <w:b/>
          <w:sz w:val="18"/>
        </w:rPr>
      </w:pPr>
      <w:r>
        <w:rPr>
          <w:rFonts w:ascii="微软雅黑" w:eastAsia="微软雅黑" w:hint="eastAsia"/>
          <w:b/>
          <w:sz w:val="18"/>
          <w:shd w:fill="C0C0C0" w:color="auto" w:val="clear"/>
        </w:rPr>
        <w:t>3、 被保险人在本附加合同成立之日起二年内或最后复效日起二年内自杀，但被保险人自杀时为无民事行为能力人的除外；</w:t>
      </w:r>
    </w:p>
    <w:p>
      <w:pPr>
        <w:spacing w:before="1"/>
        <w:ind w:left="2613" w:right="0" w:firstLine="0"/>
        <w:jc w:val="left"/>
        <w:rPr>
          <w:rFonts w:ascii="微软雅黑" w:eastAsia="微软雅黑" w:hint="eastAsia"/>
          <w:b/>
          <w:sz w:val="18"/>
        </w:rPr>
      </w:pPr>
      <w:r>
        <w:rPr>
          <w:rFonts w:ascii="微软雅黑" w:eastAsia="微软雅黑" w:hint="eastAsia"/>
          <w:b/>
          <w:spacing w:val="0"/>
          <w:w w:val="81"/>
          <w:sz w:val="18"/>
          <w:shd w:fill="C0C0C0" w:color="auto" w:val="clear"/>
        </w:rPr>
        <w:t>4</w:t>
      </w:r>
      <w:r>
        <w:rPr>
          <w:rFonts w:ascii="微软雅黑" w:eastAsia="微软雅黑" w:hint="eastAsia"/>
          <w:b/>
          <w:sz w:val="18"/>
          <w:shd w:fill="C0C0C0" w:color="auto" w:val="clear"/>
        </w:rPr>
        <w:t>、  被保险人主动吸食或注射毒品</w:t>
      </w:r>
      <w:r>
        <w:rPr>
          <w:sz w:val="18"/>
          <w:shd w:fill="C0C0C0" w:color="auto" w:val="clear"/>
        </w:rPr>
        <w:t>（</w:t>
      </w:r>
      <w:r>
        <w:rPr>
          <w:spacing w:val="-23"/>
          <w:sz w:val="18"/>
          <w:shd w:fill="C0C0C0" w:color="auto" w:val="clear"/>
        </w:rPr>
        <w:t>见 </w:t>
      </w:r>
      <w:r>
        <w:rPr>
          <w:rFonts w:ascii="Times New Roman" w:eastAsia="Times New Roman"/>
          <w:spacing w:val="0"/>
          <w:sz w:val="18"/>
          <w:shd w:fill="C0C0C0" w:color="auto" w:val="clear"/>
        </w:rPr>
        <w:t>8</w:t>
      </w:r>
      <w:r>
        <w:rPr>
          <w:rFonts w:ascii="Times New Roman" w:eastAsia="Times New Roman"/>
          <w:sz w:val="18"/>
          <w:shd w:fill="C0C0C0" w:color="auto" w:val="clear"/>
        </w:rPr>
        <w:t>.</w:t>
      </w:r>
      <w:r>
        <w:rPr>
          <w:rFonts w:ascii="Times New Roman" w:eastAsia="Times New Roman"/>
          <w:spacing w:val="0"/>
          <w:sz w:val="18"/>
          <w:shd w:fill="C0C0C0" w:color="auto" w:val="clear"/>
        </w:rPr>
        <w:t>5</w:t>
      </w:r>
      <w:r>
        <w:rPr>
          <w:spacing w:val="-94"/>
          <w:sz w:val="18"/>
          <w:shd w:fill="C0C0C0" w:color="auto" w:val="clear"/>
        </w:rPr>
        <w:t>）</w:t>
      </w:r>
      <w:r>
        <w:rPr>
          <w:rFonts w:ascii="微软雅黑" w:eastAsia="微软雅黑" w:hint="eastAsia"/>
          <w:b/>
          <w:sz w:val="18"/>
          <w:shd w:fill="C0C0C0" w:color="auto" w:val="clear"/>
        </w:rPr>
        <w:t>；</w:t>
      </w:r>
    </w:p>
    <w:p>
      <w:pPr>
        <w:spacing w:before="1"/>
        <w:ind w:left="3009" w:right="205" w:hanging="396"/>
        <w:jc w:val="left"/>
        <w:rPr>
          <w:rFonts w:ascii="微软雅黑" w:eastAsia="微软雅黑" w:hint="eastAsia"/>
          <w:b/>
          <w:sz w:val="18"/>
        </w:rPr>
      </w:pPr>
      <w:r>
        <w:rPr>
          <w:rFonts w:ascii="微软雅黑" w:eastAsia="微软雅黑" w:hint="eastAsia"/>
          <w:b/>
          <w:spacing w:val="0"/>
          <w:w w:val="81"/>
          <w:sz w:val="18"/>
          <w:shd w:fill="C0C0C0" w:color="auto" w:val="clear"/>
        </w:rPr>
        <w:t>5</w:t>
      </w:r>
      <w:r>
        <w:rPr>
          <w:rFonts w:ascii="微软雅黑" w:eastAsia="微软雅黑" w:hint="eastAsia"/>
          <w:b/>
          <w:sz w:val="18"/>
          <w:shd w:fill="C0C0C0" w:color="auto" w:val="clear"/>
        </w:rPr>
        <w:t>、  被保险人饮酒后驾驶或醉酒驾驶</w:t>
      </w:r>
      <w:r>
        <w:rPr>
          <w:sz w:val="18"/>
          <w:shd w:fill="C0C0C0" w:color="auto" w:val="clear"/>
        </w:rPr>
        <w:t>（</w:t>
      </w:r>
      <w:r>
        <w:rPr>
          <w:spacing w:val="-24"/>
          <w:sz w:val="18"/>
          <w:shd w:fill="C0C0C0" w:color="auto" w:val="clear"/>
        </w:rPr>
        <w:t>见 </w:t>
      </w:r>
      <w:r>
        <w:rPr>
          <w:rFonts w:ascii="Times New Roman" w:eastAsia="Times New Roman"/>
          <w:spacing w:val="0"/>
          <w:sz w:val="18"/>
          <w:shd w:fill="C0C0C0" w:color="auto" w:val="clear"/>
        </w:rPr>
        <w:t>8</w:t>
      </w:r>
      <w:r>
        <w:rPr>
          <w:rFonts w:ascii="Times New Roman" w:eastAsia="Times New Roman"/>
          <w:spacing w:val="-2"/>
          <w:sz w:val="18"/>
          <w:shd w:fill="C0C0C0" w:color="auto" w:val="clear"/>
        </w:rPr>
        <w:t>.</w:t>
      </w:r>
      <w:r>
        <w:rPr>
          <w:rFonts w:ascii="Times New Roman" w:eastAsia="Times New Roman"/>
          <w:spacing w:val="0"/>
          <w:sz w:val="18"/>
          <w:shd w:fill="C0C0C0" w:color="auto" w:val="clear"/>
        </w:rPr>
        <w:t>6</w:t>
      </w:r>
      <w:r>
        <w:rPr>
          <w:spacing w:val="-92"/>
          <w:sz w:val="18"/>
          <w:shd w:fill="C0C0C0" w:color="auto" w:val="clear"/>
        </w:rPr>
        <w:t>）</w:t>
      </w:r>
      <w:r>
        <w:rPr>
          <w:rFonts w:ascii="微软雅黑" w:eastAsia="微软雅黑" w:hint="eastAsia"/>
          <w:b/>
          <w:spacing w:val="-1"/>
          <w:sz w:val="18"/>
          <w:shd w:fill="C0C0C0" w:color="auto" w:val="clear"/>
        </w:rPr>
        <w:t>、无合法有效驾驶证驾驶</w:t>
      </w:r>
      <w:r>
        <w:rPr>
          <w:sz w:val="18"/>
          <w:shd w:fill="C0C0C0" w:color="auto" w:val="clear"/>
        </w:rPr>
        <w:t>（</w:t>
      </w:r>
      <w:r>
        <w:rPr>
          <w:spacing w:val="-23"/>
          <w:sz w:val="18"/>
          <w:shd w:fill="C0C0C0" w:color="auto" w:val="clear"/>
        </w:rPr>
        <w:t>见 </w:t>
      </w:r>
      <w:r>
        <w:rPr>
          <w:rFonts w:ascii="Times New Roman" w:eastAsia="Times New Roman"/>
          <w:sz w:val="18"/>
          <w:shd w:fill="C0C0C0" w:color="auto" w:val="clear"/>
        </w:rPr>
        <w:t>8.</w:t>
      </w:r>
      <w:r>
        <w:rPr>
          <w:rFonts w:ascii="Times New Roman" w:eastAsia="Times New Roman"/>
          <w:spacing w:val="-2"/>
          <w:sz w:val="18"/>
          <w:shd w:fill="C0C0C0" w:color="auto" w:val="clear"/>
        </w:rPr>
        <w:t>7</w:t>
      </w:r>
      <w:r>
        <w:rPr>
          <w:sz w:val="18"/>
          <w:shd w:fill="C0C0C0" w:color="auto" w:val="clear"/>
        </w:rPr>
        <w:t>）</w:t>
      </w:r>
      <w:r>
        <w:rPr>
          <w:rFonts w:ascii="微软雅黑" w:eastAsia="微软雅黑" w:hint="eastAsia"/>
          <w:b/>
          <w:sz w:val="18"/>
          <w:shd w:fill="C0C0C0" w:color="auto" w:val="clear"/>
        </w:rPr>
        <w:t>或驾驶无有效行驶证</w:t>
      </w:r>
      <w:r>
        <w:rPr>
          <w:sz w:val="18"/>
          <w:shd w:fill="C0C0C0" w:color="auto" w:val="clear"/>
        </w:rPr>
        <w:t>（</w:t>
      </w:r>
      <w:r>
        <w:rPr>
          <w:spacing w:val="-22"/>
          <w:sz w:val="18"/>
          <w:shd w:fill="C0C0C0" w:color="auto" w:val="clear"/>
        </w:rPr>
        <w:t>见 </w:t>
      </w:r>
      <w:r>
        <w:rPr>
          <w:rFonts w:ascii="Times New Roman" w:eastAsia="Times New Roman"/>
          <w:sz w:val="18"/>
          <w:shd w:fill="C0C0C0" w:color="auto" w:val="clear"/>
        </w:rPr>
        <w:t>8.8</w:t>
      </w:r>
      <w:r>
        <w:rPr>
          <w:sz w:val="18"/>
          <w:shd w:fill="C0C0C0" w:color="auto" w:val="clear"/>
        </w:rPr>
        <w:t>）</w:t>
      </w:r>
      <w:r>
        <w:rPr>
          <w:rFonts w:ascii="微软雅黑" w:eastAsia="微软雅黑" w:hint="eastAsia"/>
          <w:b/>
          <w:sz w:val="18"/>
          <w:shd w:fill="C0C0C0" w:color="auto" w:val="clear"/>
        </w:rPr>
        <w:t>的机动车；</w:t>
      </w:r>
    </w:p>
    <w:p>
      <w:pPr>
        <w:pStyle w:val="Heading4"/>
        <w:spacing w:before="1"/>
        <w:ind w:left="2613" w:firstLine="0"/>
      </w:pPr>
      <w:r>
        <w:rPr>
          <w:shd w:fill="C0C0C0" w:color="auto" w:val="clear"/>
        </w:rPr>
        <w:t>6、  战争、军事冲突、暴乱或武装叛乱；</w:t>
      </w:r>
    </w:p>
    <w:p>
      <w:pPr>
        <w:spacing w:before="1"/>
        <w:ind w:left="2613" w:right="0" w:firstLine="0"/>
        <w:jc w:val="left"/>
        <w:rPr>
          <w:rFonts w:ascii="微软雅黑" w:eastAsia="微软雅黑" w:hint="eastAsia"/>
          <w:b/>
          <w:sz w:val="18"/>
        </w:rPr>
      </w:pPr>
      <w:r>
        <w:rPr>
          <w:rFonts w:ascii="微软雅黑" w:eastAsia="微软雅黑" w:hint="eastAsia"/>
          <w:b/>
          <w:sz w:val="18"/>
          <w:shd w:fill="C0C0C0" w:color="auto" w:val="clear"/>
        </w:rPr>
        <w:t>7、  核爆炸、核辐射或核污染。</w:t>
      </w:r>
    </w:p>
    <w:p>
      <w:pPr>
        <w:pStyle w:val="BodyText"/>
        <w:spacing w:line="264" w:lineRule="auto" w:before="54"/>
        <w:ind w:left="2613" w:right="208"/>
      </w:pPr>
      <w:r>
        <w:rPr>
          <w:spacing w:val="-8"/>
          <w:shd w:fill="C0C0C0" w:color="auto" w:val="clear"/>
        </w:rPr>
        <w:t>发生上述第 </w:t>
      </w:r>
      <w:r>
        <w:rPr>
          <w:shd w:fill="C0C0C0" w:color="auto" w:val="clear"/>
        </w:rPr>
        <w:t>1</w:t>
      </w:r>
      <w:r>
        <w:rPr>
          <w:spacing w:val="-10"/>
          <w:shd w:fill="C0C0C0" w:color="auto" w:val="clear"/>
        </w:rPr>
        <w:t> 项情形导致被保险人身故或全残的，本附加合同终止，您已交足两年以上保险费的，本公司向其他权利人退还本附加合同的</w:t>
      </w:r>
      <w:r>
        <w:rPr>
          <w:rFonts w:ascii="微软雅黑" w:eastAsia="微软雅黑" w:hint="eastAsia"/>
          <w:b/>
          <w:shd w:fill="C0C0C0" w:color="auto" w:val="clear"/>
        </w:rPr>
        <w:t>现金价值</w:t>
      </w:r>
      <w:r>
        <w:rPr>
          <w:shd w:fill="C0C0C0" w:color="auto" w:val="clear"/>
        </w:rPr>
        <w:t>（</w:t>
      </w:r>
      <w:r>
        <w:rPr>
          <w:spacing w:val="-24"/>
          <w:shd w:fill="C0C0C0" w:color="auto" w:val="clear"/>
        </w:rPr>
        <w:t>见 </w:t>
      </w:r>
      <w:r>
        <w:rPr>
          <w:rFonts w:ascii="Times New Roman" w:eastAsia="Times New Roman"/>
          <w:spacing w:val="0"/>
          <w:shd w:fill="C0C0C0" w:color="auto" w:val="clear"/>
        </w:rPr>
        <w:t>8</w:t>
      </w:r>
      <w:r>
        <w:rPr>
          <w:rFonts w:ascii="Times New Roman" w:eastAsia="Times New Roman"/>
          <w:shd w:fill="C0C0C0" w:color="auto" w:val="clear"/>
        </w:rPr>
        <w:t>.</w:t>
      </w:r>
      <w:r>
        <w:rPr>
          <w:rFonts w:ascii="Times New Roman" w:eastAsia="Times New Roman"/>
          <w:spacing w:val="-2"/>
          <w:shd w:fill="C0C0C0" w:color="auto" w:val="clear"/>
        </w:rPr>
        <w:t>9</w:t>
      </w:r>
      <w:r>
        <w:rPr>
          <w:spacing w:val="-92"/>
          <w:shd w:fill="C0C0C0" w:color="auto" w:val="clear"/>
        </w:rPr>
        <w:t>）</w:t>
      </w:r>
      <w:r>
        <w:rPr>
          <w:shd w:fill="C0C0C0" w:color="auto" w:val="clear"/>
        </w:rPr>
        <w:t>。</w:t>
      </w:r>
    </w:p>
    <w:p>
      <w:pPr>
        <w:pStyle w:val="BodyText"/>
        <w:spacing w:line="316" w:lineRule="auto" w:before="30"/>
        <w:ind w:left="2613" w:right="205"/>
      </w:pPr>
      <w:r>
        <w:rPr>
          <w:spacing w:val="-2"/>
          <w:shd w:fill="C0C0C0" w:color="auto" w:val="clear"/>
        </w:rPr>
        <w:t>发生上述其它情形导致被保险人身故或全残的，本公司向您或其他权利人退还本附加合同的现</w:t>
      </w:r>
      <w:r>
        <w:rPr>
          <w:spacing w:val="-180"/>
          <w:shd w:fill="C0C0C0" w:color="auto" w:val="clear"/>
        </w:rPr>
        <w:t>金</w:t>
      </w:r>
      <w:r>
        <w:rPr>
          <w:shd w:fill="C0C0C0" w:color="auto" w:val="clear"/>
        </w:rPr>
        <w:t>价值，本附加合同终止。</w:t>
      </w:r>
    </w:p>
    <w:p>
      <w:pPr>
        <w:pStyle w:val="BodyText"/>
        <w:spacing w:before="2"/>
        <w:rPr>
          <w:sz w:val="23"/>
        </w:rPr>
      </w:pPr>
    </w:p>
    <w:p>
      <w:pPr>
        <w:pStyle w:val="BodyText"/>
        <w:spacing w:before="44"/>
        <w:ind w:left="2613"/>
      </w:pPr>
      <w:r>
        <w:rPr>
          <w:shd w:fill="C0C0C0" w:color="auto" w:val="clear"/>
        </w:rPr>
        <w:t>被保险人因下列情形之一导致患本附加合同约定的重大疾病的，本公司不承担保险责任：</w:t>
      </w:r>
    </w:p>
    <w:p>
      <w:pPr>
        <w:pStyle w:val="Heading4"/>
        <w:spacing w:before="22"/>
        <w:ind w:left="2613" w:firstLine="0"/>
      </w:pPr>
      <w:r>
        <w:rPr>
          <w:shd w:fill="C0C0C0" w:color="auto" w:val="clear"/>
        </w:rPr>
        <w:t>1、  投保人对被保险人的故意杀害、故意伤害；</w:t>
      </w:r>
    </w:p>
    <w:p>
      <w:pPr>
        <w:spacing w:before="0"/>
        <w:ind w:left="2613" w:right="0" w:firstLine="0"/>
        <w:jc w:val="left"/>
        <w:rPr>
          <w:rFonts w:ascii="微软雅黑" w:eastAsia="微软雅黑" w:hint="eastAsia"/>
          <w:b/>
          <w:sz w:val="18"/>
        </w:rPr>
      </w:pPr>
      <w:r>
        <w:rPr>
          <w:rFonts w:ascii="微软雅黑" w:eastAsia="微软雅黑" w:hint="eastAsia"/>
          <w:b/>
          <w:sz w:val="18"/>
          <w:shd w:fill="C0C0C0" w:color="auto" w:val="clear"/>
        </w:rPr>
        <w:t>2、  被保险人故意犯罪或者抗拒依法采取的刑事强制措施；</w:t>
      </w:r>
    </w:p>
    <w:p>
      <w:pPr>
        <w:spacing w:before="0"/>
        <w:ind w:left="2613" w:right="0" w:firstLine="0"/>
        <w:jc w:val="left"/>
        <w:rPr>
          <w:rFonts w:ascii="微软雅黑" w:eastAsia="微软雅黑" w:hint="eastAsia"/>
          <w:b/>
          <w:sz w:val="18"/>
        </w:rPr>
      </w:pPr>
      <w:r>
        <w:rPr>
          <w:rFonts w:ascii="微软雅黑" w:eastAsia="微软雅黑" w:hint="eastAsia"/>
          <w:b/>
          <w:sz w:val="18"/>
          <w:shd w:fill="C0C0C0" w:color="auto" w:val="clear"/>
        </w:rPr>
        <w:t>3、  被保险人故意自伤；</w:t>
      </w:r>
    </w:p>
    <w:p>
      <w:pPr>
        <w:spacing w:before="0"/>
        <w:ind w:left="2613" w:right="0" w:firstLine="0"/>
        <w:jc w:val="left"/>
        <w:rPr>
          <w:rFonts w:ascii="微软雅黑" w:eastAsia="微软雅黑" w:hint="eastAsia"/>
          <w:b/>
          <w:sz w:val="18"/>
        </w:rPr>
      </w:pPr>
      <w:r>
        <w:rPr>
          <w:rFonts w:ascii="微软雅黑" w:eastAsia="微软雅黑" w:hint="eastAsia"/>
          <w:b/>
          <w:sz w:val="18"/>
          <w:shd w:fill="C0C0C0" w:color="auto" w:val="clear"/>
        </w:rPr>
        <w:t>4、  被保险人主动吸食或注射毒品；</w:t>
      </w:r>
    </w:p>
    <w:p>
      <w:pPr>
        <w:spacing w:before="0"/>
        <w:ind w:left="2613" w:right="0" w:firstLine="0"/>
        <w:jc w:val="left"/>
        <w:rPr>
          <w:rFonts w:ascii="微软雅黑" w:eastAsia="微软雅黑" w:hint="eastAsia"/>
          <w:b/>
          <w:sz w:val="18"/>
        </w:rPr>
      </w:pPr>
      <w:r>
        <w:rPr>
          <w:rFonts w:ascii="微软雅黑" w:eastAsia="微软雅黑" w:hint="eastAsia"/>
          <w:b/>
          <w:sz w:val="18"/>
          <w:shd w:fill="C0C0C0" w:color="auto" w:val="clear"/>
        </w:rPr>
        <w:t>5、  被保险人饮酒后驾驶或醉酒驾驶、无合法有效驾驶证驾驶或驾驶无有效行驶证的机动车；</w:t>
      </w:r>
    </w:p>
    <w:p>
      <w:pPr>
        <w:spacing w:before="0"/>
        <w:ind w:left="3009" w:right="208" w:hanging="396"/>
        <w:jc w:val="left"/>
        <w:rPr>
          <w:rFonts w:ascii="微软雅黑" w:eastAsia="微软雅黑" w:hint="eastAsia"/>
          <w:b/>
          <w:sz w:val="18"/>
        </w:rPr>
      </w:pPr>
      <w:r>
        <w:rPr>
          <w:rFonts w:ascii="微软雅黑" w:eastAsia="微软雅黑" w:hint="eastAsia"/>
          <w:b/>
          <w:spacing w:val="0"/>
          <w:w w:val="81"/>
          <w:sz w:val="18"/>
          <w:shd w:fill="C0C0C0" w:color="auto" w:val="clear"/>
        </w:rPr>
        <w:t>6</w:t>
      </w:r>
      <w:r>
        <w:rPr>
          <w:rFonts w:ascii="微软雅黑" w:eastAsia="微软雅黑" w:hint="eastAsia"/>
          <w:b/>
          <w:spacing w:val="-1"/>
          <w:sz w:val="18"/>
          <w:shd w:fill="C0C0C0" w:color="auto" w:val="clear"/>
        </w:rPr>
        <w:t>、  被保险人患艾滋病</w:t>
      </w:r>
      <w:r>
        <w:rPr>
          <w:sz w:val="18"/>
          <w:shd w:fill="C0C0C0" w:color="auto" w:val="clear"/>
        </w:rPr>
        <w:t>（</w:t>
      </w:r>
      <w:r>
        <w:rPr>
          <w:spacing w:val="-23"/>
          <w:sz w:val="18"/>
          <w:shd w:fill="C0C0C0" w:color="auto" w:val="clear"/>
        </w:rPr>
        <w:t>见 </w:t>
      </w:r>
      <w:r>
        <w:rPr>
          <w:rFonts w:ascii="Times New Roman" w:eastAsia="Times New Roman"/>
          <w:spacing w:val="0"/>
          <w:sz w:val="18"/>
          <w:shd w:fill="C0C0C0" w:color="auto" w:val="clear"/>
        </w:rPr>
        <w:t>8</w:t>
      </w:r>
      <w:r>
        <w:rPr>
          <w:rFonts w:ascii="Times New Roman" w:eastAsia="Times New Roman"/>
          <w:spacing w:val="-2"/>
          <w:sz w:val="18"/>
          <w:shd w:fill="C0C0C0" w:color="auto" w:val="clear"/>
        </w:rPr>
        <w:t>.</w:t>
      </w:r>
      <w:r>
        <w:rPr>
          <w:rFonts w:ascii="Times New Roman" w:eastAsia="Times New Roman"/>
          <w:spacing w:val="0"/>
          <w:sz w:val="18"/>
          <w:shd w:fill="C0C0C0" w:color="auto" w:val="clear"/>
        </w:rPr>
        <w:t>10</w:t>
      </w:r>
      <w:r>
        <w:rPr>
          <w:spacing w:val="-13"/>
          <w:sz w:val="18"/>
          <w:shd w:fill="C0C0C0" w:color="auto" w:val="clear"/>
        </w:rPr>
        <w:t>）</w:t>
      </w:r>
      <w:r>
        <w:rPr>
          <w:rFonts w:ascii="微软雅黑" w:eastAsia="微软雅黑" w:hint="eastAsia"/>
          <w:b/>
          <w:spacing w:val="-1"/>
          <w:sz w:val="18"/>
          <w:shd w:fill="C0C0C0" w:color="auto" w:val="clear"/>
        </w:rPr>
        <w:t>或感染艾滋病病毒</w:t>
      </w:r>
      <w:r>
        <w:rPr>
          <w:sz w:val="18"/>
          <w:shd w:fill="C0C0C0" w:color="auto" w:val="clear"/>
        </w:rPr>
        <w:t>（</w:t>
      </w:r>
      <w:r>
        <w:rPr>
          <w:spacing w:val="-23"/>
          <w:sz w:val="18"/>
          <w:shd w:fill="C0C0C0" w:color="auto" w:val="clear"/>
        </w:rPr>
        <w:t>见 </w:t>
      </w:r>
      <w:r>
        <w:rPr>
          <w:rFonts w:ascii="Times New Roman" w:eastAsia="Times New Roman"/>
          <w:spacing w:val="0"/>
          <w:sz w:val="18"/>
          <w:shd w:fill="C0C0C0" w:color="auto" w:val="clear"/>
        </w:rPr>
        <w:t>8</w:t>
      </w:r>
      <w:r>
        <w:rPr>
          <w:rFonts w:ascii="Times New Roman" w:eastAsia="Times New Roman"/>
          <w:sz w:val="18"/>
          <w:shd w:fill="C0C0C0" w:color="auto" w:val="clear"/>
        </w:rPr>
        <w:t>.</w:t>
      </w:r>
      <w:r>
        <w:rPr>
          <w:rFonts w:ascii="Times New Roman" w:eastAsia="Times New Roman"/>
          <w:spacing w:val="-9"/>
          <w:sz w:val="18"/>
          <w:shd w:fill="C0C0C0" w:color="auto" w:val="clear"/>
        </w:rPr>
        <w:t>1</w:t>
      </w:r>
      <w:r>
        <w:rPr>
          <w:rFonts w:ascii="Times New Roman" w:eastAsia="Times New Roman"/>
          <w:spacing w:val="0"/>
          <w:sz w:val="18"/>
          <w:shd w:fill="C0C0C0" w:color="auto" w:val="clear"/>
        </w:rPr>
        <w:t>1</w:t>
      </w:r>
      <w:r>
        <w:rPr>
          <w:spacing w:val="-101"/>
          <w:sz w:val="18"/>
          <w:shd w:fill="C0C0C0" w:color="auto" w:val="clear"/>
        </w:rPr>
        <w:t>）</w:t>
      </w:r>
      <w:r>
        <w:rPr>
          <w:rFonts w:ascii="微软雅黑" w:eastAsia="微软雅黑" w:hint="eastAsia"/>
          <w:b/>
          <w:sz w:val="18"/>
          <w:shd w:fill="C0C0C0" w:color="auto" w:val="clear"/>
        </w:rPr>
        <w:t>（</w:t>
      </w:r>
      <w:r>
        <w:rPr>
          <w:rFonts w:ascii="微软雅黑" w:eastAsia="微软雅黑" w:hint="eastAsia"/>
          <w:b/>
          <w:spacing w:val="0"/>
          <w:w w:val="60"/>
          <w:sz w:val="18"/>
          <w:shd w:fill="C0C0C0" w:color="auto" w:val="clear"/>
        </w:rPr>
        <w:t>H</w:t>
      </w:r>
      <w:r>
        <w:rPr>
          <w:rFonts w:ascii="微软雅黑" w:eastAsia="微软雅黑" w:hint="eastAsia"/>
          <w:b/>
          <w:spacing w:val="0"/>
          <w:w w:val="149"/>
          <w:sz w:val="18"/>
          <w:shd w:fill="C0C0C0" w:color="auto" w:val="clear"/>
        </w:rPr>
        <w:t>I</w:t>
      </w:r>
      <w:r>
        <w:rPr>
          <w:rFonts w:ascii="微软雅黑" w:eastAsia="微软雅黑" w:hint="eastAsia"/>
          <w:b/>
          <w:w w:val="69"/>
          <w:sz w:val="18"/>
          <w:shd w:fill="C0C0C0" w:color="auto" w:val="clear"/>
        </w:rPr>
        <w:t>V</w:t>
      </w:r>
      <w:r>
        <w:rPr>
          <w:rFonts w:ascii="微软雅黑" w:eastAsia="微软雅黑" w:hint="eastAsia"/>
          <w:b/>
          <w:spacing w:val="-2"/>
          <w:sz w:val="18"/>
          <w:shd w:fill="C0C0C0" w:color="auto" w:val="clear"/>
        </w:rPr>
        <w:t> 呈阳性</w:t>
      </w:r>
      <w:r>
        <w:rPr>
          <w:rFonts w:ascii="微软雅黑" w:eastAsia="微软雅黑" w:hint="eastAsia"/>
          <w:b/>
          <w:spacing w:val="-101"/>
          <w:sz w:val="18"/>
          <w:shd w:fill="C0C0C0" w:color="auto" w:val="clear"/>
        </w:rPr>
        <w:t>）</w:t>
      </w:r>
      <w:r>
        <w:rPr>
          <w:rFonts w:ascii="微软雅黑" w:eastAsia="微软雅黑" w:hint="eastAsia"/>
          <w:b/>
          <w:spacing w:val="1"/>
          <w:sz w:val="18"/>
          <w:shd w:fill="C0C0C0" w:color="auto" w:val="clear"/>
        </w:rPr>
        <w:t>（</w:t>
      </w:r>
      <w:r>
        <w:rPr>
          <w:rFonts w:ascii="微软雅黑" w:eastAsia="微软雅黑" w:hint="eastAsia"/>
          <w:b/>
          <w:sz w:val="18"/>
          <w:shd w:fill="C0C0C0" w:color="auto" w:val="clear"/>
        </w:rPr>
        <w:t>本附加合同另有约定的除外</w:t>
      </w:r>
      <w:r>
        <w:rPr>
          <w:rFonts w:ascii="微软雅黑" w:eastAsia="微软雅黑" w:hint="eastAsia"/>
          <w:b/>
          <w:spacing w:val="-89"/>
          <w:sz w:val="18"/>
          <w:shd w:fill="C0C0C0" w:color="auto" w:val="clear"/>
        </w:rPr>
        <w:t>）</w:t>
      </w:r>
      <w:r>
        <w:rPr>
          <w:rFonts w:ascii="微软雅黑" w:eastAsia="微软雅黑" w:hint="eastAsia"/>
          <w:b/>
          <w:sz w:val="18"/>
          <w:shd w:fill="C0C0C0" w:color="auto" w:val="clear"/>
        </w:rPr>
        <w:t>；</w:t>
      </w:r>
    </w:p>
    <w:p>
      <w:pPr>
        <w:pStyle w:val="Heading4"/>
        <w:ind w:left="2613" w:firstLine="0"/>
      </w:pPr>
      <w:r>
        <w:rPr>
          <w:shd w:fill="C0C0C0" w:color="auto" w:val="clear"/>
        </w:rPr>
        <w:t>7、  战争、军事冲突、暴乱或武装叛乱；</w:t>
      </w:r>
    </w:p>
    <w:p>
      <w:pPr>
        <w:spacing w:before="0"/>
        <w:ind w:left="2613" w:right="0" w:firstLine="0"/>
        <w:jc w:val="left"/>
        <w:rPr>
          <w:rFonts w:ascii="微软雅黑" w:eastAsia="微软雅黑" w:hint="eastAsia"/>
          <w:b/>
          <w:sz w:val="18"/>
        </w:rPr>
      </w:pPr>
      <w:r>
        <w:rPr>
          <w:rFonts w:ascii="微软雅黑" w:eastAsia="微软雅黑" w:hint="eastAsia"/>
          <w:b/>
          <w:sz w:val="18"/>
          <w:shd w:fill="C0C0C0" w:color="auto" w:val="clear"/>
        </w:rPr>
        <w:t>8、  核爆炸、核辐射或核污染；</w:t>
      </w:r>
    </w:p>
    <w:p>
      <w:pPr>
        <w:spacing w:before="0"/>
        <w:ind w:left="2613" w:right="0" w:firstLine="0"/>
        <w:jc w:val="left"/>
        <w:rPr>
          <w:rFonts w:ascii="微软雅黑" w:eastAsia="微软雅黑" w:hint="eastAsia"/>
          <w:b/>
          <w:sz w:val="18"/>
        </w:rPr>
      </w:pPr>
      <w:r>
        <w:rPr>
          <w:rFonts w:ascii="微软雅黑" w:eastAsia="微软雅黑" w:hint="eastAsia"/>
          <w:b/>
          <w:spacing w:val="0"/>
          <w:w w:val="81"/>
          <w:sz w:val="18"/>
          <w:shd w:fill="C0C0C0" w:color="auto" w:val="clear"/>
        </w:rPr>
        <w:t>9</w:t>
      </w:r>
      <w:r>
        <w:rPr>
          <w:rFonts w:ascii="微软雅黑" w:eastAsia="微软雅黑" w:hint="eastAsia"/>
          <w:b/>
          <w:sz w:val="18"/>
          <w:shd w:fill="C0C0C0" w:color="auto" w:val="clear"/>
        </w:rPr>
        <w:t>、  遗传性疾病</w:t>
      </w:r>
      <w:r>
        <w:rPr>
          <w:rFonts w:ascii="微软雅黑" w:eastAsia="微软雅黑" w:hint="eastAsia"/>
          <w:b/>
          <w:spacing w:val="1"/>
          <w:sz w:val="18"/>
          <w:shd w:fill="C0C0C0" w:color="auto" w:val="clear"/>
        </w:rPr>
        <w:t>（</w:t>
      </w:r>
      <w:r>
        <w:rPr>
          <w:spacing w:val="-24"/>
          <w:sz w:val="18"/>
          <w:shd w:fill="C0C0C0" w:color="auto" w:val="clear"/>
        </w:rPr>
        <w:t>见 </w:t>
      </w:r>
      <w:r>
        <w:rPr>
          <w:rFonts w:ascii="Times New Roman" w:eastAsia="Times New Roman"/>
          <w:spacing w:val="0"/>
          <w:sz w:val="18"/>
          <w:shd w:fill="C0C0C0" w:color="auto" w:val="clear"/>
        </w:rPr>
        <w:t>8</w:t>
      </w:r>
      <w:r>
        <w:rPr>
          <w:rFonts w:ascii="Times New Roman" w:eastAsia="Times New Roman"/>
          <w:spacing w:val="-2"/>
          <w:sz w:val="18"/>
          <w:shd w:fill="C0C0C0" w:color="auto" w:val="clear"/>
        </w:rPr>
        <w:t>.</w:t>
      </w:r>
      <w:r>
        <w:rPr>
          <w:rFonts w:ascii="Times New Roman" w:eastAsia="Times New Roman"/>
          <w:spacing w:val="0"/>
          <w:sz w:val="18"/>
          <w:shd w:fill="C0C0C0" w:color="auto" w:val="clear"/>
        </w:rPr>
        <w:t>1</w:t>
      </w:r>
      <w:r>
        <w:rPr>
          <w:rFonts w:ascii="Times New Roman" w:eastAsia="Times New Roman"/>
          <w:spacing w:val="-2"/>
          <w:sz w:val="18"/>
          <w:shd w:fill="C0C0C0" w:color="auto" w:val="clear"/>
        </w:rPr>
        <w:t>2</w:t>
      </w:r>
      <w:r>
        <w:rPr>
          <w:rFonts w:ascii="微软雅黑" w:eastAsia="微软雅黑" w:hint="eastAsia"/>
          <w:b/>
          <w:spacing w:val="-89"/>
          <w:sz w:val="18"/>
          <w:shd w:fill="C0C0C0" w:color="auto" w:val="clear"/>
        </w:rPr>
        <w:t>）</w:t>
      </w:r>
      <w:r>
        <w:rPr>
          <w:rFonts w:ascii="微软雅黑" w:eastAsia="微软雅黑" w:hint="eastAsia"/>
          <w:b/>
          <w:sz w:val="18"/>
          <w:shd w:fill="C0C0C0" w:color="auto" w:val="clear"/>
        </w:rPr>
        <w:t>，先天性畸形、变形或染色体异常（</w:t>
      </w:r>
      <w:r>
        <w:rPr>
          <w:spacing w:val="-24"/>
          <w:sz w:val="18"/>
          <w:shd w:fill="C0C0C0" w:color="auto" w:val="clear"/>
        </w:rPr>
        <w:t>见 </w:t>
      </w:r>
      <w:r>
        <w:rPr>
          <w:rFonts w:ascii="Times New Roman" w:eastAsia="Times New Roman"/>
          <w:spacing w:val="0"/>
          <w:sz w:val="18"/>
          <w:shd w:fill="C0C0C0" w:color="auto" w:val="clear"/>
        </w:rPr>
        <w:t>8</w:t>
      </w:r>
      <w:r>
        <w:rPr>
          <w:rFonts w:ascii="Times New Roman" w:eastAsia="Times New Roman"/>
          <w:sz w:val="18"/>
          <w:shd w:fill="C0C0C0" w:color="auto" w:val="clear"/>
        </w:rPr>
        <w:t>.13</w:t>
      </w:r>
      <w:r>
        <w:rPr>
          <w:rFonts w:ascii="微软雅黑" w:eastAsia="微软雅黑" w:hint="eastAsia"/>
          <w:b/>
          <w:spacing w:val="-92"/>
          <w:sz w:val="18"/>
          <w:shd w:fill="C0C0C0" w:color="auto" w:val="clear"/>
        </w:rPr>
        <w:t>）</w:t>
      </w:r>
      <w:r>
        <w:rPr>
          <w:rFonts w:ascii="微软雅黑" w:eastAsia="微软雅黑" w:hint="eastAsia"/>
          <w:b/>
          <w:sz w:val="18"/>
          <w:shd w:fill="C0C0C0" w:color="auto" w:val="clear"/>
        </w:rPr>
        <w:t>。</w:t>
      </w:r>
    </w:p>
    <w:p>
      <w:pPr>
        <w:pStyle w:val="BodyText"/>
        <w:spacing w:line="316" w:lineRule="auto" w:before="54"/>
        <w:ind w:left="2613" w:right="205"/>
      </w:pPr>
      <w:r>
        <w:rPr>
          <w:spacing w:val="-2"/>
          <w:shd w:fill="C0C0C0" w:color="auto" w:val="clear"/>
        </w:rPr>
        <w:t>因上述情形之一导致被保险人罹患本附加合同约定的重大疾病的，本公司向您或其他权利人退还本附加合同的现金价值，本附加合同终止</w:t>
      </w:r>
      <w:r>
        <w:rPr>
          <w:spacing w:val="-180"/>
          <w:shd w:fill="C0C0C0" w:color="auto" w:val="clear"/>
        </w:rPr>
        <w:t>。</w:t>
      </w:r>
    </w:p>
    <w:p>
      <w:pPr>
        <w:pStyle w:val="BodyText"/>
        <w:spacing w:before="0"/>
        <w:rPr>
          <w:sz w:val="26"/>
        </w:rPr>
      </w:pPr>
    </w:p>
    <w:p>
      <w:pPr>
        <w:tabs>
          <w:tab w:pos="907" w:val="left" w:leader="none"/>
        </w:tabs>
        <w:spacing w:before="0"/>
        <w:ind w:left="223" w:right="0" w:firstLine="0"/>
        <w:jc w:val="left"/>
        <w:rPr>
          <w:rFonts w:ascii="微软雅黑" w:hAnsi="微软雅黑" w:eastAsia="微软雅黑" w:hint="eastAsia"/>
          <w:b/>
          <w:sz w:val="24"/>
        </w:rPr>
      </w:pPr>
      <w:r>
        <w:rPr/>
        <w:pict>
          <v:group style="position:absolute;margin-left:59.759998pt;margin-top:28.978741pt;width:497.4pt;height:.5pt;mso-position-horizontal-relative:page;mso-position-vertical-relative:paragraph;z-index:1144;mso-wrap-distance-left:0;mso-wrap-distance-right:0" coordorigin="1195,580" coordsize="9948,10">
            <v:line style="position:absolute" from="1195,584" to="1879,584" stroked="true" strokeweight=".48pt" strokecolor="#000000">
              <v:stroke dashstyle="solid"/>
            </v:line>
            <v:rect style="position:absolute;left:1879;top:579;width:10;height:10" filled="true" fillcolor="#000000" stroked="false">
              <v:fill type="solid"/>
            </v:rect>
            <v:line style="position:absolute" from="1889,584" to="3586,584" stroked="true" strokeweight=".48pt" strokecolor="#000000">
              <v:stroke dashstyle="solid"/>
            </v:line>
            <v:rect style="position:absolute;left:3585;top:579;width:10;height:10" filled="true" fillcolor="#000000" stroked="false">
              <v:fill type="solid"/>
            </v:rect>
            <v:line style="position:absolute" from="3595,584" to="11143,584" stroked="true" strokeweight=".48pt" strokecolor="#000000">
              <v:stroke dashstyle="solid"/>
            </v:line>
            <w10:wrap type="topAndBottom"/>
          </v:group>
        </w:pict>
      </w:r>
      <w:r>
        <w:rPr>
          <w:rFonts w:ascii="Times New Roman" w:hAnsi="Times New Roman" w:eastAsia="Times New Roman"/>
          <w:b/>
          <w:position w:val="-3"/>
          <w:sz w:val="40"/>
        </w:rPr>
        <w:t></w:t>
        <w:tab/>
      </w:r>
      <w:r>
        <w:rPr>
          <w:rFonts w:ascii="微软雅黑" w:hAnsi="微软雅黑" w:eastAsia="微软雅黑" w:hint="eastAsia"/>
          <w:b/>
          <w:sz w:val="24"/>
        </w:rPr>
        <w:t>如何申请豁免保险费</w:t>
      </w:r>
    </w:p>
    <w:p>
      <w:pPr>
        <w:spacing w:after="0"/>
        <w:jc w:val="left"/>
        <w:rPr>
          <w:rFonts w:ascii="微软雅黑" w:hAnsi="微软雅黑" w:eastAsia="微软雅黑" w:hint="eastAsia"/>
          <w:sz w:val="24"/>
        </w:rPr>
        <w:sectPr>
          <w:type w:val="continuous"/>
          <w:pgSz w:w="11910" w:h="16840"/>
          <w:pgMar w:top="1060" w:bottom="1160" w:left="1080" w:right="660"/>
        </w:sectPr>
      </w:pPr>
    </w:p>
    <w:p>
      <w:pPr>
        <w:pStyle w:val="BodyText"/>
        <w:spacing w:before="9"/>
        <w:rPr>
          <w:rFonts w:ascii="微软雅黑"/>
          <w:b/>
          <w:sz w:val="14"/>
        </w:rPr>
      </w:pPr>
    </w:p>
    <w:p>
      <w:pPr>
        <w:spacing w:after="0"/>
        <w:rPr>
          <w:rFonts w:ascii="微软雅黑"/>
          <w:sz w:val="14"/>
        </w:rPr>
        <w:sectPr>
          <w:pgSz w:w="11910" w:h="16840"/>
          <w:pgMar w:header="872" w:footer="977" w:top="1100" w:bottom="1160" w:left="1080" w:right="660"/>
        </w:sectPr>
      </w:pPr>
    </w:p>
    <w:p>
      <w:pPr>
        <w:pStyle w:val="Heading3"/>
        <w:numPr>
          <w:ilvl w:val="1"/>
          <w:numId w:val="13"/>
        </w:numPr>
        <w:tabs>
          <w:tab w:pos="907" w:val="left" w:leader="none"/>
          <w:tab w:pos="908" w:val="left" w:leader="none"/>
        </w:tabs>
        <w:spacing w:line="312" w:lineRule="exact" w:before="0" w:after="0"/>
        <w:ind w:left="2613" w:right="0" w:hanging="2390"/>
        <w:jc w:val="left"/>
      </w:pPr>
      <w:r>
        <w:rPr/>
        <w:t>豁免保险费的申</w:t>
      </w:r>
    </w:p>
    <w:p>
      <w:pPr>
        <w:spacing w:line="337" w:lineRule="exact" w:before="0"/>
        <w:ind w:left="0" w:right="372" w:firstLine="0"/>
        <w:jc w:val="center"/>
        <w:rPr>
          <w:rFonts w:ascii="微软雅黑" w:eastAsia="微软雅黑" w:hint="eastAsia"/>
          <w:b/>
          <w:sz w:val="21"/>
        </w:rPr>
      </w:pPr>
      <w:r>
        <w:rPr>
          <w:rFonts w:ascii="微软雅黑" w:eastAsia="微软雅黑" w:hint="eastAsia"/>
          <w:b/>
          <w:w w:val="100"/>
          <w:sz w:val="21"/>
        </w:rPr>
        <w:t>请</w:t>
      </w:r>
    </w:p>
    <w:p>
      <w:pPr>
        <w:pStyle w:val="BodyText"/>
        <w:spacing w:before="88"/>
        <w:ind w:left="173"/>
      </w:pPr>
      <w:r>
        <w:rPr/>
        <w:br w:type="column"/>
      </w:r>
      <w:r>
        <w:rPr/>
        <w:t>1、身故豁免保险费</w:t>
      </w:r>
    </w:p>
    <w:p>
      <w:pPr>
        <w:pStyle w:val="BodyText"/>
        <w:spacing w:line="316" w:lineRule="auto"/>
        <w:ind w:left="173" w:right="151"/>
      </w:pPr>
      <w:r>
        <w:rPr/>
        <w:t>主险合同的被保险人或受益人申请身故豁免保险费时，须填写豁免保险费申请书，并提交下列证明材料：</w:t>
      </w:r>
    </w:p>
    <w:p>
      <w:pPr>
        <w:pStyle w:val="ListParagraph"/>
        <w:numPr>
          <w:ilvl w:val="0"/>
          <w:numId w:val="14"/>
        </w:numPr>
        <w:tabs>
          <w:tab w:pos="587" w:val="left" w:leader="none"/>
        </w:tabs>
        <w:spacing w:line="240" w:lineRule="auto" w:before="18" w:after="0"/>
        <w:ind w:left="586" w:right="0" w:hanging="413"/>
        <w:jc w:val="left"/>
        <w:rPr>
          <w:sz w:val="18"/>
        </w:rPr>
      </w:pPr>
      <w:r>
        <w:rPr>
          <w:sz w:val="18"/>
        </w:rPr>
        <w:t>保险合同；</w:t>
      </w:r>
    </w:p>
    <w:p>
      <w:pPr>
        <w:pStyle w:val="ListParagraph"/>
        <w:numPr>
          <w:ilvl w:val="0"/>
          <w:numId w:val="14"/>
        </w:numPr>
        <w:tabs>
          <w:tab w:pos="587" w:val="left" w:leader="none"/>
        </w:tabs>
        <w:spacing w:line="240" w:lineRule="auto" w:before="76" w:after="0"/>
        <w:ind w:left="586" w:right="0" w:hanging="413"/>
        <w:jc w:val="left"/>
        <w:rPr>
          <w:sz w:val="18"/>
        </w:rPr>
      </w:pPr>
      <w:r>
        <w:rPr>
          <w:sz w:val="18"/>
        </w:rPr>
        <w:t>申请人的有效身份证件；</w:t>
      </w:r>
    </w:p>
    <w:p>
      <w:pPr>
        <w:pStyle w:val="ListParagraph"/>
        <w:numPr>
          <w:ilvl w:val="0"/>
          <w:numId w:val="14"/>
        </w:numPr>
        <w:tabs>
          <w:tab w:pos="587" w:val="left" w:leader="none"/>
        </w:tabs>
        <w:spacing w:line="316" w:lineRule="auto" w:before="76" w:after="0"/>
        <w:ind w:left="586" w:right="208" w:hanging="413"/>
        <w:jc w:val="left"/>
        <w:rPr>
          <w:sz w:val="18"/>
        </w:rPr>
      </w:pPr>
      <w:r>
        <w:rPr>
          <w:sz w:val="18"/>
        </w:rPr>
        <w:t>国家卫生行政部门认定的医疗机构、公安部门或其他相关机构出具的被保险人的死亡证明；</w:t>
      </w:r>
    </w:p>
    <w:p>
      <w:pPr>
        <w:pStyle w:val="ListParagraph"/>
        <w:numPr>
          <w:ilvl w:val="0"/>
          <w:numId w:val="14"/>
        </w:numPr>
        <w:tabs>
          <w:tab w:pos="594" w:val="left" w:leader="none"/>
        </w:tabs>
        <w:spacing w:line="240" w:lineRule="auto" w:before="18" w:after="0"/>
        <w:ind w:left="593" w:right="0" w:hanging="420"/>
        <w:jc w:val="left"/>
        <w:rPr>
          <w:sz w:val="18"/>
        </w:rPr>
      </w:pPr>
      <w:r>
        <w:rPr>
          <w:sz w:val="18"/>
        </w:rPr>
        <w:t>所能提供的与确认保险事故的性质、原因等有关的其它证明文件和资料。</w:t>
      </w:r>
    </w:p>
    <w:p>
      <w:pPr>
        <w:pStyle w:val="BodyText"/>
        <w:spacing w:before="0"/>
      </w:pPr>
    </w:p>
    <w:p>
      <w:pPr>
        <w:pStyle w:val="BodyText"/>
        <w:spacing w:before="138"/>
        <w:ind w:left="173"/>
      </w:pPr>
      <w:r>
        <w:rPr/>
        <w:t>2、全残豁免保险费</w:t>
      </w:r>
    </w:p>
    <w:p>
      <w:pPr>
        <w:pStyle w:val="BodyText"/>
        <w:spacing w:line="316" w:lineRule="auto"/>
        <w:ind w:left="173" w:right="169"/>
      </w:pPr>
      <w:r>
        <w:rPr/>
        <w:t>您或主险合同的被保险人、受益人申请全残豁免保险费时，须填写豁免保险费申请书，并提交下列证明材料：</w:t>
      </w:r>
    </w:p>
    <w:p>
      <w:pPr>
        <w:pStyle w:val="ListParagraph"/>
        <w:numPr>
          <w:ilvl w:val="0"/>
          <w:numId w:val="15"/>
        </w:numPr>
        <w:tabs>
          <w:tab w:pos="594" w:val="left" w:leader="none"/>
        </w:tabs>
        <w:spacing w:line="240" w:lineRule="auto" w:before="18" w:after="0"/>
        <w:ind w:left="593" w:right="0" w:hanging="420"/>
        <w:jc w:val="left"/>
        <w:rPr>
          <w:sz w:val="18"/>
        </w:rPr>
      </w:pPr>
      <w:r>
        <w:rPr>
          <w:sz w:val="18"/>
        </w:rPr>
        <w:t>保险合同；</w:t>
      </w:r>
    </w:p>
    <w:p>
      <w:pPr>
        <w:pStyle w:val="ListParagraph"/>
        <w:numPr>
          <w:ilvl w:val="0"/>
          <w:numId w:val="15"/>
        </w:numPr>
        <w:tabs>
          <w:tab w:pos="587" w:val="left" w:leader="none"/>
        </w:tabs>
        <w:spacing w:line="240" w:lineRule="auto" w:before="76" w:after="0"/>
        <w:ind w:left="586" w:right="0" w:hanging="413"/>
        <w:jc w:val="left"/>
        <w:rPr>
          <w:sz w:val="18"/>
        </w:rPr>
      </w:pPr>
      <w:r>
        <w:rPr>
          <w:sz w:val="18"/>
        </w:rPr>
        <w:t>申请人的有效身份证件；</w:t>
      </w:r>
    </w:p>
    <w:p>
      <w:pPr>
        <w:pStyle w:val="ListParagraph"/>
        <w:numPr>
          <w:ilvl w:val="0"/>
          <w:numId w:val="15"/>
        </w:numPr>
        <w:tabs>
          <w:tab w:pos="587" w:val="left" w:leader="none"/>
        </w:tabs>
        <w:spacing w:line="240" w:lineRule="auto" w:before="73" w:after="0"/>
        <w:ind w:left="586" w:right="0" w:hanging="413"/>
        <w:jc w:val="left"/>
        <w:rPr>
          <w:sz w:val="18"/>
        </w:rPr>
      </w:pPr>
      <w:r>
        <w:rPr>
          <w:sz w:val="18"/>
        </w:rPr>
        <w:t>本公司指定或认可的医疗机构出具的诊断证明；</w:t>
      </w:r>
    </w:p>
    <w:p>
      <w:pPr>
        <w:pStyle w:val="ListParagraph"/>
        <w:numPr>
          <w:ilvl w:val="0"/>
          <w:numId w:val="15"/>
        </w:numPr>
        <w:tabs>
          <w:tab w:pos="587" w:val="left" w:leader="none"/>
        </w:tabs>
        <w:spacing w:line="240" w:lineRule="auto" w:before="75" w:after="0"/>
        <w:ind w:left="586" w:right="0" w:hanging="413"/>
        <w:jc w:val="left"/>
        <w:rPr>
          <w:sz w:val="18"/>
        </w:rPr>
      </w:pPr>
      <w:r>
        <w:rPr>
          <w:sz w:val="18"/>
        </w:rPr>
        <w:t>政府职能部门法医出具的残疾鉴定书；</w:t>
      </w:r>
    </w:p>
    <w:p>
      <w:pPr>
        <w:pStyle w:val="ListParagraph"/>
        <w:numPr>
          <w:ilvl w:val="0"/>
          <w:numId w:val="15"/>
        </w:numPr>
        <w:tabs>
          <w:tab w:pos="587" w:val="left" w:leader="none"/>
        </w:tabs>
        <w:spacing w:line="240" w:lineRule="auto" w:before="75" w:after="0"/>
        <w:ind w:left="586" w:right="0" w:hanging="413"/>
        <w:jc w:val="left"/>
        <w:rPr>
          <w:sz w:val="18"/>
        </w:rPr>
      </w:pPr>
      <w:r>
        <w:rPr>
          <w:sz w:val="18"/>
        </w:rPr>
        <w:t>若被保险人因意外事故导致全残，须提供相关的意外事故证明；</w:t>
      </w:r>
    </w:p>
    <w:p>
      <w:pPr>
        <w:pStyle w:val="ListParagraph"/>
        <w:numPr>
          <w:ilvl w:val="0"/>
          <w:numId w:val="15"/>
        </w:numPr>
        <w:tabs>
          <w:tab w:pos="594" w:val="left" w:leader="none"/>
        </w:tabs>
        <w:spacing w:line="240" w:lineRule="auto" w:before="76" w:after="0"/>
        <w:ind w:left="593" w:right="0" w:hanging="420"/>
        <w:jc w:val="left"/>
        <w:rPr>
          <w:sz w:val="18"/>
        </w:rPr>
      </w:pPr>
      <w:r>
        <w:rPr>
          <w:sz w:val="18"/>
        </w:rPr>
        <w:t>所能提供的与确认保险事故的性质、原因等有关的其它证明文件和资料。</w:t>
      </w:r>
    </w:p>
    <w:p>
      <w:pPr>
        <w:pStyle w:val="BodyText"/>
        <w:spacing w:before="0"/>
      </w:pPr>
    </w:p>
    <w:p>
      <w:pPr>
        <w:pStyle w:val="BodyText"/>
        <w:spacing w:before="157"/>
        <w:ind w:left="173"/>
      </w:pPr>
      <w:r>
        <w:rPr/>
        <w:t>3、重大疾病豁免保险费</w:t>
      </w:r>
    </w:p>
    <w:p>
      <w:pPr>
        <w:pStyle w:val="BodyText"/>
        <w:spacing w:line="319" w:lineRule="auto" w:before="75"/>
        <w:ind w:left="173" w:right="169"/>
      </w:pPr>
      <w:r>
        <w:rPr/>
        <w:t>您或主险合同的被保险人、受益人申请重大疾病豁免保险费时，须填写豁免保险费申请书，并提交下列证明材料：</w:t>
      </w:r>
    </w:p>
    <w:p>
      <w:pPr>
        <w:pStyle w:val="ListParagraph"/>
        <w:numPr>
          <w:ilvl w:val="0"/>
          <w:numId w:val="16"/>
        </w:numPr>
        <w:tabs>
          <w:tab w:pos="594" w:val="left" w:leader="none"/>
        </w:tabs>
        <w:spacing w:line="240" w:lineRule="auto" w:before="16" w:after="0"/>
        <w:ind w:left="586" w:right="0" w:hanging="413"/>
        <w:jc w:val="left"/>
        <w:rPr>
          <w:sz w:val="18"/>
        </w:rPr>
      </w:pPr>
      <w:r>
        <w:rPr>
          <w:sz w:val="18"/>
        </w:rPr>
        <w:t>保险合同；</w:t>
      </w:r>
    </w:p>
    <w:p>
      <w:pPr>
        <w:pStyle w:val="ListParagraph"/>
        <w:numPr>
          <w:ilvl w:val="0"/>
          <w:numId w:val="16"/>
        </w:numPr>
        <w:tabs>
          <w:tab w:pos="587" w:val="left" w:leader="none"/>
        </w:tabs>
        <w:spacing w:line="240" w:lineRule="auto" w:before="76" w:after="0"/>
        <w:ind w:left="586" w:right="0" w:hanging="413"/>
        <w:jc w:val="left"/>
        <w:rPr>
          <w:sz w:val="18"/>
        </w:rPr>
      </w:pPr>
      <w:r>
        <w:rPr>
          <w:sz w:val="18"/>
        </w:rPr>
        <w:t>申请人的有效身份证件；</w:t>
      </w:r>
    </w:p>
    <w:p>
      <w:pPr>
        <w:pStyle w:val="ListParagraph"/>
        <w:numPr>
          <w:ilvl w:val="0"/>
          <w:numId w:val="16"/>
        </w:numPr>
        <w:tabs>
          <w:tab w:pos="587" w:val="left" w:leader="none"/>
        </w:tabs>
        <w:spacing w:line="316" w:lineRule="auto" w:before="76" w:after="0"/>
        <w:ind w:left="586" w:right="208" w:hanging="413"/>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0"/>
          <w:numId w:val="16"/>
        </w:numPr>
        <w:tabs>
          <w:tab w:pos="594" w:val="left" w:leader="none"/>
        </w:tabs>
        <w:spacing w:line="240" w:lineRule="auto" w:before="18" w:after="0"/>
        <w:ind w:left="586" w:right="0" w:hanging="413"/>
        <w:jc w:val="left"/>
        <w:rPr>
          <w:sz w:val="18"/>
        </w:rPr>
      </w:pPr>
      <w:r>
        <w:rPr>
          <w:sz w:val="18"/>
        </w:rPr>
        <w:t>所能提供的与确认保险事故的性质、原因等有关的其它证明文件和资料。</w:t>
      </w:r>
    </w:p>
    <w:p>
      <w:pPr>
        <w:pStyle w:val="BodyText"/>
        <w:spacing w:before="0"/>
      </w:pPr>
    </w:p>
    <w:p>
      <w:pPr>
        <w:pStyle w:val="BodyText"/>
        <w:spacing w:before="119"/>
        <w:ind w:left="173"/>
      </w:pPr>
      <w:r>
        <w:rPr/>
        <w:t>4、如委托他人代为申请，还应提供授权委托书及受托人的有效身份证件。</w:t>
      </w:r>
    </w:p>
    <w:p>
      <w:pPr>
        <w:pStyle w:val="BodyText"/>
        <w:spacing w:before="3"/>
        <w:rPr>
          <w:sz w:val="23"/>
        </w:rPr>
      </w:pPr>
    </w:p>
    <w:p>
      <w:pPr>
        <w:pStyle w:val="BodyText"/>
        <w:spacing w:before="0"/>
        <w:ind w:left="173"/>
      </w:pPr>
      <w:r>
        <w:rPr/>
        <w:t>以上证明和资料不完整的，本公司将及时一次性通知申请人补充提供有关证明和资料。</w:t>
      </w:r>
    </w:p>
    <w:p>
      <w:pPr>
        <w:spacing w:after="0"/>
        <w:sectPr>
          <w:type w:val="continuous"/>
          <w:pgSz w:w="11910" w:h="16840"/>
          <w:pgMar w:top="1060" w:bottom="1160" w:left="1080" w:right="660"/>
          <w:cols w:num="2" w:equalWidth="0">
            <w:col w:w="2401" w:space="40"/>
            <w:col w:w="7729"/>
          </w:cols>
        </w:sectPr>
      </w:pPr>
    </w:p>
    <w:p>
      <w:pPr>
        <w:pStyle w:val="BodyText"/>
        <w:spacing w:before="11"/>
      </w:pPr>
    </w:p>
    <w:p>
      <w:pPr>
        <w:pStyle w:val="ListParagraph"/>
        <w:numPr>
          <w:ilvl w:val="1"/>
          <w:numId w:val="13"/>
        </w:numPr>
        <w:tabs>
          <w:tab w:pos="907" w:val="left" w:leader="none"/>
          <w:tab w:pos="908" w:val="left" w:leader="none"/>
          <w:tab w:pos="2613" w:val="left" w:leader="none"/>
        </w:tabs>
        <w:spacing w:line="312" w:lineRule="exact" w:before="35" w:after="0"/>
        <w:ind w:left="2613" w:right="169" w:hanging="2390"/>
        <w:jc w:val="left"/>
        <w:rPr>
          <w:sz w:val="18"/>
        </w:rPr>
      </w:pPr>
      <w:r>
        <w:rPr>
          <w:rFonts w:ascii="微软雅黑" w:eastAsia="微软雅黑" w:hint="eastAsia"/>
          <w:b/>
          <w:sz w:val="21"/>
        </w:rPr>
        <w:t>欠款的扣除</w:t>
        <w:tab/>
      </w:r>
      <w:r>
        <w:rPr>
          <w:sz w:val="18"/>
        </w:rPr>
        <w:t>本公司豁免保险费、返还现金价值或保险费时，如被豁免保费的保险合同有借款、保单贷款、欠交保险费，您应当先补交未清偿的借款、保单贷款及应付</w:t>
      </w:r>
      <w:r>
        <w:rPr>
          <w:rFonts w:ascii="微软雅黑" w:eastAsia="微软雅黑" w:hint="eastAsia"/>
          <w:b/>
          <w:spacing w:val="1"/>
          <w:sz w:val="18"/>
        </w:rPr>
        <w:t>利息</w:t>
      </w:r>
      <w:r>
        <w:rPr>
          <w:spacing w:val="-3"/>
          <w:sz w:val="18"/>
        </w:rPr>
        <w:t>（</w:t>
      </w:r>
      <w:r>
        <w:rPr>
          <w:sz w:val="18"/>
        </w:rPr>
        <w:t>见</w:t>
      </w:r>
      <w:r>
        <w:rPr>
          <w:spacing w:val="-45"/>
          <w:sz w:val="18"/>
        </w:rPr>
        <w:t> </w:t>
      </w:r>
      <w:r>
        <w:rPr>
          <w:sz w:val="18"/>
        </w:rPr>
        <w:t>8.14</w:t>
      </w:r>
      <w:r>
        <w:rPr>
          <w:spacing w:val="-92"/>
          <w:sz w:val="18"/>
        </w:rPr>
        <w:t>）</w:t>
      </w:r>
      <w:r>
        <w:rPr>
          <w:spacing w:val="-1"/>
          <w:sz w:val="18"/>
        </w:rPr>
        <w:t>、</w:t>
      </w:r>
      <w:r>
        <w:rPr>
          <w:sz w:val="18"/>
        </w:rPr>
        <w:t>欠交的保险费。</w:t>
      </w:r>
    </w:p>
    <w:p>
      <w:pPr>
        <w:pStyle w:val="BodyText"/>
        <w:spacing w:before="3"/>
        <w:rPr>
          <w:sz w:val="15"/>
        </w:rPr>
      </w:pPr>
    </w:p>
    <w:p>
      <w:pPr>
        <w:pStyle w:val="ListParagraph"/>
        <w:numPr>
          <w:ilvl w:val="1"/>
          <w:numId w:val="13"/>
        </w:numPr>
        <w:tabs>
          <w:tab w:pos="907" w:val="left" w:leader="none"/>
          <w:tab w:pos="908" w:val="left" w:leader="none"/>
          <w:tab w:pos="2613" w:val="left" w:leader="none"/>
        </w:tabs>
        <w:spacing w:line="290" w:lineRule="auto" w:before="0" w:after="0"/>
        <w:ind w:left="2613" w:right="169" w:hanging="2390"/>
        <w:jc w:val="left"/>
        <w:rPr>
          <w:sz w:val="18"/>
        </w:rPr>
      </w:pPr>
      <w:r>
        <w:rPr>
          <w:rFonts w:ascii="微软雅黑" w:eastAsia="微软雅黑" w:hint="eastAsia"/>
          <w:b/>
          <w:position w:val="3"/>
          <w:sz w:val="21"/>
        </w:rPr>
        <w:t>诉讼时效</w:t>
        <w:tab/>
      </w:r>
      <w:r>
        <w:rPr>
          <w:sz w:val="18"/>
        </w:rPr>
        <w:t>本附加合同的申请人向本公司请求身故豁免保险费和全残豁免保险费的诉讼时效期间为五年，自其知道或者应当知道保险事故发生之日起计算。</w:t>
      </w:r>
    </w:p>
    <w:p>
      <w:pPr>
        <w:pStyle w:val="BodyText"/>
        <w:spacing w:line="316" w:lineRule="auto" w:before="38"/>
        <w:ind w:left="2613" w:right="150"/>
      </w:pPr>
      <w:r>
        <w:rPr/>
        <w:t>本附加合同的申请人向本公司请求重大疾病豁免保险费的诉讼时效期间为二年，自其知道或者应当知道保险事故发生之日起计算。</w:t>
      </w:r>
    </w:p>
    <w:p>
      <w:pPr>
        <w:pStyle w:val="BodyText"/>
        <w:spacing w:before="12"/>
        <w:rPr>
          <w:sz w:val="24"/>
        </w:rPr>
      </w:pPr>
    </w:p>
    <w:p>
      <w:pPr>
        <w:tabs>
          <w:tab w:pos="907" w:val="left" w:leader="none"/>
        </w:tabs>
        <w:spacing w:before="0"/>
        <w:ind w:left="223" w:right="0" w:firstLine="0"/>
        <w:jc w:val="left"/>
        <w:rPr>
          <w:rFonts w:ascii="微软雅黑" w:hAnsi="微软雅黑" w:eastAsia="微软雅黑" w:hint="eastAsia"/>
          <w:b/>
          <w:sz w:val="24"/>
        </w:rPr>
      </w:pPr>
      <w:r>
        <w:rPr/>
        <w:pict>
          <v:group style="position:absolute;margin-left:59.759998pt;margin-top:28.978745pt;width:497.4pt;height:.5pt;mso-position-horizontal-relative:page;mso-position-vertical-relative:paragraph;z-index:1168;mso-wrap-distance-left:0;mso-wrap-distance-right:0" coordorigin="1195,580" coordsize="9948,10">
            <v:line style="position:absolute" from="1195,584" to="1879,584" stroked="true" strokeweight=".48pt" strokecolor="#000000">
              <v:stroke dashstyle="solid"/>
            </v:line>
            <v:rect style="position:absolute;left:1879;top:579;width:10;height:10" filled="true" fillcolor="#000000" stroked="false">
              <v:fill type="solid"/>
            </v:rect>
            <v:line style="position:absolute" from="1889,584" to="3586,584" stroked="true" strokeweight=".48pt" strokecolor="#000000">
              <v:stroke dashstyle="solid"/>
            </v:line>
            <v:rect style="position:absolute;left:3585;top:579;width:10;height:10" filled="true" fillcolor="#000000" stroked="false">
              <v:fill type="solid"/>
            </v:rect>
            <v:line style="position:absolute" from="3595,584" to="11143,584" stroked="true" strokeweight=".48pt" strokecolor="#000000">
              <v:stroke dashstyle="solid"/>
            </v:line>
            <w10:wrap type="topAndBottom"/>
          </v:group>
        </w:pict>
      </w:r>
      <w:r>
        <w:rPr>
          <w:rFonts w:ascii="Times New Roman" w:hAnsi="Times New Roman" w:eastAsia="Times New Roman"/>
          <w:b/>
          <w:position w:val="-3"/>
          <w:sz w:val="40"/>
        </w:rPr>
        <w:t></w:t>
        <w:tab/>
      </w:r>
      <w:r>
        <w:rPr>
          <w:rFonts w:ascii="微软雅黑" w:hAnsi="微软雅黑" w:eastAsia="微软雅黑" w:hint="eastAsia"/>
          <w:b/>
          <w:sz w:val="24"/>
        </w:rPr>
        <w:t>如何交付保险费</w:t>
      </w:r>
    </w:p>
    <w:p>
      <w:pPr>
        <w:pStyle w:val="BodyText"/>
        <w:spacing w:before="2"/>
        <w:rPr>
          <w:rFonts w:ascii="微软雅黑"/>
          <w:b/>
          <w:sz w:val="8"/>
        </w:rPr>
      </w:pPr>
    </w:p>
    <w:p>
      <w:pPr>
        <w:tabs>
          <w:tab w:pos="907" w:val="left" w:leader="none"/>
          <w:tab w:pos="2613" w:val="left" w:leader="none"/>
        </w:tabs>
        <w:spacing w:line="337" w:lineRule="exact" w:before="0"/>
        <w:ind w:left="223" w:right="0" w:firstLine="0"/>
        <w:jc w:val="left"/>
        <w:rPr>
          <w:sz w:val="18"/>
        </w:rPr>
      </w:pPr>
      <w:r>
        <w:rPr>
          <w:rFonts w:ascii="微软雅黑" w:eastAsia="微软雅黑" w:hint="eastAsia"/>
          <w:b/>
          <w:sz w:val="21"/>
        </w:rPr>
        <w:t>4.1</w:t>
        <w:tab/>
        <w:t>保险费的交付</w:t>
        <w:tab/>
      </w:r>
      <w:r>
        <w:rPr>
          <w:position w:val="1"/>
          <w:sz w:val="18"/>
        </w:rPr>
        <w:t>保险费在保单上载明，本附加合同的交费期间（年数）为主险合同交费期间（年数）减一。</w:t>
      </w:r>
    </w:p>
    <w:p>
      <w:pPr>
        <w:spacing w:after="0" w:line="337" w:lineRule="exact"/>
        <w:jc w:val="left"/>
        <w:rPr>
          <w:sz w:val="18"/>
        </w:rPr>
        <w:sectPr>
          <w:type w:val="continuous"/>
          <w:pgSz w:w="11910" w:h="16840"/>
          <w:pgMar w:top="1060" w:bottom="1160" w:left="1080" w:right="660"/>
        </w:sectPr>
      </w:pPr>
    </w:p>
    <w:p>
      <w:pPr>
        <w:pStyle w:val="BodyText"/>
        <w:spacing w:before="0"/>
        <w:rPr>
          <w:sz w:val="20"/>
        </w:rPr>
      </w:pPr>
    </w:p>
    <w:p>
      <w:pPr>
        <w:pStyle w:val="BodyText"/>
        <w:spacing w:before="8"/>
        <w:rPr>
          <w:sz w:val="1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739"/>
        <w:gridCol w:w="7581"/>
      </w:tblGrid>
      <w:tr>
        <w:trPr>
          <w:trHeight w:val="522" w:hRule="atLeast"/>
        </w:trPr>
        <w:tc>
          <w:tcPr>
            <w:tcW w:w="629" w:type="dxa"/>
            <w:tcBorders>
              <w:bottom w:val="single" w:sz="4" w:space="0" w:color="000000"/>
            </w:tcBorders>
          </w:tcPr>
          <w:p>
            <w:pPr>
              <w:pStyle w:val="TableParagraph"/>
              <w:spacing w:line="425" w:lineRule="exact"/>
              <w:ind w:left="108"/>
              <w:rPr>
                <w:rFonts w:ascii="Times New Roman" w:hAnsi="Times New Roman"/>
                <w:b/>
                <w:sz w:val="40"/>
              </w:rPr>
            </w:pPr>
            <w:r>
              <w:rPr>
                <w:rFonts w:ascii="Times New Roman" w:hAnsi="Times New Roman"/>
                <w:b/>
                <w:w w:val="114"/>
                <w:sz w:val="40"/>
              </w:rPr>
              <w:t></w:t>
            </w:r>
          </w:p>
        </w:tc>
        <w:tc>
          <w:tcPr>
            <w:tcW w:w="1739" w:type="dxa"/>
            <w:tcBorders>
              <w:bottom w:val="single" w:sz="4" w:space="0" w:color="000000"/>
            </w:tcBorders>
          </w:tcPr>
          <w:p>
            <w:pPr>
              <w:pStyle w:val="TableParagraph"/>
              <w:spacing w:line="358" w:lineRule="exact"/>
              <w:ind w:left="162"/>
              <w:rPr>
                <w:rFonts w:ascii="微软雅黑" w:eastAsia="微软雅黑" w:hint="eastAsia"/>
                <w:b/>
                <w:sz w:val="24"/>
              </w:rPr>
            </w:pPr>
            <w:r>
              <w:rPr>
                <w:rFonts w:ascii="微软雅黑" w:eastAsia="微软雅黑" w:hint="eastAsia"/>
                <w:b/>
                <w:sz w:val="24"/>
              </w:rPr>
              <w:t>现金价值权益</w:t>
            </w:r>
          </w:p>
        </w:tc>
        <w:tc>
          <w:tcPr>
            <w:tcW w:w="7581" w:type="dxa"/>
            <w:tcBorders>
              <w:bottom w:val="single" w:sz="4" w:space="0" w:color="000000"/>
            </w:tcBorders>
          </w:tcPr>
          <w:p>
            <w:pPr>
              <w:pStyle w:val="TableParagraph"/>
              <w:rPr>
                <w:rFonts w:ascii="Times New Roman"/>
                <w:sz w:val="18"/>
              </w:rPr>
            </w:pPr>
          </w:p>
        </w:tc>
      </w:tr>
      <w:tr>
        <w:trPr>
          <w:trHeight w:val="1013" w:hRule="atLeast"/>
        </w:trPr>
        <w:tc>
          <w:tcPr>
            <w:tcW w:w="629" w:type="dxa"/>
            <w:tcBorders>
              <w:top w:val="single" w:sz="4" w:space="0" w:color="000000"/>
            </w:tcBorders>
          </w:tcPr>
          <w:p>
            <w:pPr>
              <w:pStyle w:val="TableParagraph"/>
              <w:spacing w:before="140"/>
              <w:ind w:left="108"/>
              <w:rPr>
                <w:rFonts w:ascii="微软雅黑"/>
                <w:b/>
                <w:sz w:val="21"/>
              </w:rPr>
            </w:pPr>
            <w:r>
              <w:rPr>
                <w:rFonts w:ascii="微软雅黑"/>
                <w:b/>
                <w:sz w:val="21"/>
              </w:rPr>
              <w:t>5.1</w:t>
            </w:r>
          </w:p>
        </w:tc>
        <w:tc>
          <w:tcPr>
            <w:tcW w:w="1739" w:type="dxa"/>
            <w:tcBorders>
              <w:top w:val="single" w:sz="4" w:space="0" w:color="000000"/>
            </w:tcBorders>
          </w:tcPr>
          <w:p>
            <w:pPr>
              <w:pStyle w:val="TableParagraph"/>
              <w:spacing w:before="140"/>
              <w:ind w:left="162"/>
              <w:rPr>
                <w:rFonts w:ascii="微软雅黑" w:eastAsia="微软雅黑" w:hint="eastAsia"/>
                <w:b/>
                <w:sz w:val="21"/>
              </w:rPr>
            </w:pPr>
            <w:r>
              <w:rPr>
                <w:rFonts w:ascii="微软雅黑" w:eastAsia="微软雅黑" w:hint="eastAsia"/>
                <w:b/>
                <w:sz w:val="21"/>
              </w:rPr>
              <w:t>现金价值</w:t>
            </w:r>
          </w:p>
        </w:tc>
        <w:tc>
          <w:tcPr>
            <w:tcW w:w="7581" w:type="dxa"/>
            <w:tcBorders>
              <w:top w:val="single" w:sz="4" w:space="0" w:color="000000"/>
            </w:tcBorders>
          </w:tcPr>
          <w:p>
            <w:pPr>
              <w:pStyle w:val="TableParagraph"/>
              <w:spacing w:before="7"/>
              <w:rPr>
                <w:sz w:val="20"/>
              </w:rPr>
            </w:pPr>
          </w:p>
          <w:p>
            <w:pPr>
              <w:pStyle w:val="TableParagraph"/>
              <w:spacing w:line="319" w:lineRule="auto"/>
              <w:ind w:left="130" w:right="48"/>
              <w:rPr>
                <w:sz w:val="18"/>
              </w:rPr>
            </w:pPr>
            <w:r>
              <w:rPr>
                <w:sz w:val="18"/>
              </w:rPr>
              <w:t>本附加合同保单年度末的现金价值会在保险单上载明，保单年度内的现金价值，您可以向本公司咨询。</w:t>
            </w:r>
          </w:p>
        </w:tc>
      </w:tr>
      <w:tr>
        <w:trPr>
          <w:trHeight w:val="971" w:hRule="atLeast"/>
        </w:trPr>
        <w:tc>
          <w:tcPr>
            <w:tcW w:w="629" w:type="dxa"/>
          </w:tcPr>
          <w:p>
            <w:pPr>
              <w:pStyle w:val="TableParagraph"/>
              <w:spacing w:before="70"/>
              <w:ind w:left="108"/>
              <w:rPr>
                <w:rFonts w:ascii="微软雅黑"/>
                <w:b/>
                <w:sz w:val="21"/>
              </w:rPr>
            </w:pPr>
            <w:r>
              <w:rPr>
                <w:rFonts w:ascii="微软雅黑"/>
                <w:b/>
                <w:sz w:val="21"/>
              </w:rPr>
              <w:t>5.2</w:t>
            </w:r>
          </w:p>
        </w:tc>
        <w:tc>
          <w:tcPr>
            <w:tcW w:w="1739" w:type="dxa"/>
          </w:tcPr>
          <w:p>
            <w:pPr>
              <w:pStyle w:val="TableParagraph"/>
              <w:spacing w:before="70"/>
              <w:ind w:left="162"/>
              <w:rPr>
                <w:rFonts w:ascii="微软雅黑" w:eastAsia="微软雅黑" w:hint="eastAsia"/>
                <w:b/>
                <w:sz w:val="21"/>
              </w:rPr>
            </w:pPr>
            <w:r>
              <w:rPr>
                <w:rFonts w:ascii="微软雅黑" w:eastAsia="微软雅黑" w:hint="eastAsia"/>
                <w:b/>
                <w:sz w:val="21"/>
              </w:rPr>
              <w:t>自动垫交</w:t>
            </w:r>
          </w:p>
        </w:tc>
        <w:tc>
          <w:tcPr>
            <w:tcW w:w="7581" w:type="dxa"/>
          </w:tcPr>
          <w:p>
            <w:pPr>
              <w:pStyle w:val="TableParagraph"/>
              <w:spacing w:before="8"/>
              <w:rPr>
                <w:sz w:val="16"/>
              </w:rPr>
            </w:pPr>
          </w:p>
          <w:p>
            <w:pPr>
              <w:pStyle w:val="TableParagraph"/>
              <w:spacing w:line="316" w:lineRule="auto" w:before="1"/>
              <w:ind w:left="130" w:right="48"/>
              <w:rPr>
                <w:sz w:val="18"/>
              </w:rPr>
            </w:pPr>
            <w:r>
              <w:rPr>
                <w:sz w:val="18"/>
              </w:rPr>
              <w:t>主险合同进行保险费自动垫交时，本附加合同应同时进行保险费自动垫交。本附加合同不能单独进行保险费自动垫交。</w:t>
            </w:r>
          </w:p>
        </w:tc>
      </w:tr>
      <w:tr>
        <w:trPr>
          <w:trHeight w:val="777" w:hRule="atLeast"/>
        </w:trPr>
        <w:tc>
          <w:tcPr>
            <w:tcW w:w="629" w:type="dxa"/>
          </w:tcPr>
          <w:p>
            <w:pPr>
              <w:pStyle w:val="TableParagraph"/>
              <w:spacing w:before="80"/>
              <w:ind w:left="108"/>
              <w:rPr>
                <w:rFonts w:ascii="微软雅黑"/>
                <w:b/>
                <w:sz w:val="21"/>
              </w:rPr>
            </w:pPr>
            <w:r>
              <w:rPr>
                <w:rFonts w:ascii="微软雅黑"/>
                <w:b/>
                <w:sz w:val="21"/>
              </w:rPr>
              <w:t>5.3</w:t>
            </w:r>
          </w:p>
        </w:tc>
        <w:tc>
          <w:tcPr>
            <w:tcW w:w="1739" w:type="dxa"/>
          </w:tcPr>
          <w:p>
            <w:pPr>
              <w:pStyle w:val="TableParagraph"/>
              <w:spacing w:before="80"/>
              <w:ind w:left="162"/>
              <w:rPr>
                <w:rFonts w:ascii="微软雅黑" w:eastAsia="微软雅黑" w:hint="eastAsia"/>
                <w:b/>
                <w:sz w:val="21"/>
              </w:rPr>
            </w:pPr>
            <w:r>
              <w:rPr>
                <w:rFonts w:ascii="微软雅黑" w:eastAsia="微软雅黑" w:hint="eastAsia"/>
                <w:b/>
                <w:sz w:val="21"/>
              </w:rPr>
              <w:t>保单贷款</w:t>
            </w:r>
          </w:p>
        </w:tc>
        <w:tc>
          <w:tcPr>
            <w:tcW w:w="7581" w:type="dxa"/>
          </w:tcPr>
          <w:p>
            <w:pPr>
              <w:pStyle w:val="TableParagraph"/>
              <w:spacing w:line="310" w:lineRule="atLeast" w:before="156"/>
              <w:ind w:left="130" w:right="48"/>
              <w:rPr>
                <w:sz w:val="18"/>
              </w:rPr>
            </w:pPr>
            <w:r>
              <w:rPr>
                <w:sz w:val="18"/>
              </w:rPr>
              <w:t>您对主险合同申请保单贷款时，本附加合同应同时进行保单贷款，贷款比例和利息计算方式与主险合同一致。您不能单独对本附加合同进行保单贷款。</w:t>
            </w:r>
          </w:p>
        </w:tc>
      </w:tr>
    </w:tbl>
    <w:p>
      <w:pPr>
        <w:pStyle w:val="BodyText"/>
        <w:spacing w:before="9"/>
        <w:rPr>
          <w:sz w:val="27"/>
        </w:rPr>
      </w:pPr>
    </w:p>
    <w:p>
      <w:pPr>
        <w:pStyle w:val="Heading2"/>
        <w:tabs>
          <w:tab w:pos="907" w:val="left" w:leader="none"/>
        </w:tabs>
        <w:spacing w:before="43"/>
      </w:pPr>
      <w:r>
        <w:rPr/>
        <w:pict>
          <v:group style="position:absolute;margin-left:59.759998pt;margin-top:31.128757pt;width:497.4pt;height:.5pt;mso-position-horizontal-relative:page;mso-position-vertical-relative:paragraph;z-index:1192;mso-wrap-distance-left:0;mso-wrap-distance-right:0" coordorigin="1195,623" coordsize="9948,10">
            <v:line style="position:absolute" from="1195,627" to="1879,627" stroked="true" strokeweight=".48pt" strokecolor="#000000">
              <v:stroke dashstyle="solid"/>
            </v:line>
            <v:rect style="position:absolute;left:1879;top:622;width:10;height:10" filled="true" fillcolor="#000000" stroked="false">
              <v:fill type="solid"/>
            </v:rect>
            <v:line style="position:absolute" from="1889,627" to="3586,627" stroked="true" strokeweight=".48pt" strokecolor="#000000">
              <v:stroke dashstyle="solid"/>
            </v:line>
            <v:rect style="position:absolute;left:3585;top:622;width:10;height:10" filled="true" fillcolor="#000000" stroked="false">
              <v:fill type="solid"/>
            </v:rect>
            <v:line style="position:absolute" from="3595,627" to="11143,627" stroked="true" strokeweight=".48pt" strokecolor="#000000">
              <v:stroke dashstyle="solid"/>
            </v:line>
            <w10:wrap type="topAndBottom"/>
          </v:group>
        </w:pict>
      </w:r>
      <w:r>
        <w:rPr>
          <w:rFonts w:ascii="Times New Roman" w:hAnsi="Times New Roman" w:eastAsia="Times New Roman"/>
          <w:position w:val="-3"/>
          <w:sz w:val="40"/>
        </w:rPr>
        <w:t></w:t>
        <w:tab/>
      </w:r>
      <w:r>
        <w:rPr/>
        <w:t>如何解除保险合同</w:t>
      </w:r>
    </w:p>
    <w:p>
      <w:pPr>
        <w:pStyle w:val="BodyText"/>
        <w:spacing w:before="15" w:after="1"/>
        <w:rPr>
          <w:rFonts w:ascii="微软雅黑"/>
          <w:b/>
          <w:sz w:val="13"/>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1783"/>
        <w:gridCol w:w="7592"/>
      </w:tblGrid>
      <w:tr>
        <w:trPr>
          <w:trHeight w:val="270" w:hRule="atLeast"/>
        </w:trPr>
        <w:tc>
          <w:tcPr>
            <w:tcW w:w="550" w:type="dxa"/>
          </w:tcPr>
          <w:p>
            <w:pPr>
              <w:pStyle w:val="TableParagraph"/>
              <w:spacing w:line="236" w:lineRule="exact"/>
              <w:ind w:left="50"/>
              <w:rPr>
                <w:rFonts w:ascii="微软雅黑"/>
                <w:b/>
                <w:sz w:val="21"/>
              </w:rPr>
            </w:pPr>
            <w:r>
              <w:rPr>
                <w:rFonts w:ascii="微软雅黑"/>
                <w:b/>
                <w:sz w:val="21"/>
              </w:rPr>
              <w:t>6.1</w:t>
            </w:r>
          </w:p>
        </w:tc>
        <w:tc>
          <w:tcPr>
            <w:tcW w:w="1783" w:type="dxa"/>
          </w:tcPr>
          <w:p>
            <w:pPr>
              <w:pStyle w:val="TableParagraph"/>
              <w:spacing w:line="236" w:lineRule="exact"/>
              <w:ind w:left="183"/>
              <w:rPr>
                <w:rFonts w:ascii="微软雅黑" w:eastAsia="微软雅黑" w:hint="eastAsia"/>
                <w:b/>
                <w:sz w:val="21"/>
              </w:rPr>
            </w:pPr>
            <w:r>
              <w:rPr>
                <w:rFonts w:ascii="微软雅黑" w:eastAsia="微软雅黑" w:hint="eastAsia"/>
                <w:b/>
                <w:sz w:val="21"/>
              </w:rPr>
              <w:t>您解除合同的手</w:t>
            </w:r>
          </w:p>
        </w:tc>
        <w:tc>
          <w:tcPr>
            <w:tcW w:w="7592" w:type="dxa"/>
          </w:tcPr>
          <w:p>
            <w:pPr>
              <w:pStyle w:val="TableParagraph"/>
              <w:spacing w:line="228" w:lineRule="exact"/>
              <w:ind w:left="107"/>
              <w:rPr>
                <w:sz w:val="18"/>
              </w:rPr>
            </w:pPr>
            <w:r>
              <w:rPr>
                <w:spacing w:val="-11"/>
                <w:sz w:val="18"/>
              </w:rPr>
              <w:t>您在犹豫期后，可以书面通知我们要求解除本附加合同，自本公司收到合同解除申请书之日起，</w:t>
            </w:r>
          </w:p>
        </w:tc>
      </w:tr>
      <w:tr>
        <w:trPr>
          <w:trHeight w:val="336" w:hRule="atLeast"/>
        </w:trPr>
        <w:tc>
          <w:tcPr>
            <w:tcW w:w="550" w:type="dxa"/>
          </w:tcPr>
          <w:p>
            <w:pPr>
              <w:pStyle w:val="TableParagraph"/>
              <w:rPr>
                <w:rFonts w:ascii="Times New Roman"/>
                <w:sz w:val="18"/>
              </w:rPr>
            </w:pPr>
          </w:p>
        </w:tc>
        <w:tc>
          <w:tcPr>
            <w:tcW w:w="1783" w:type="dxa"/>
          </w:tcPr>
          <w:p>
            <w:pPr>
              <w:pStyle w:val="TableParagraph"/>
              <w:spacing w:line="278" w:lineRule="exact"/>
              <w:ind w:left="183"/>
              <w:rPr>
                <w:rFonts w:ascii="微软雅黑" w:eastAsia="微软雅黑" w:hint="eastAsia"/>
                <w:b/>
                <w:sz w:val="21"/>
              </w:rPr>
            </w:pPr>
            <w:r>
              <w:rPr>
                <w:rFonts w:ascii="微软雅黑" w:eastAsia="微软雅黑" w:hint="eastAsia"/>
                <w:b/>
                <w:sz w:val="21"/>
              </w:rPr>
              <w:t>续及风险</w:t>
            </w:r>
          </w:p>
        </w:tc>
        <w:tc>
          <w:tcPr>
            <w:tcW w:w="7592" w:type="dxa"/>
          </w:tcPr>
          <w:p>
            <w:pPr>
              <w:pStyle w:val="TableParagraph"/>
              <w:spacing w:before="34"/>
              <w:ind w:left="107"/>
              <w:rPr>
                <w:sz w:val="18"/>
              </w:rPr>
            </w:pPr>
            <w:r>
              <w:rPr>
                <w:sz w:val="18"/>
              </w:rPr>
              <w:t>本附加合同效力即行终止。</w:t>
            </w:r>
          </w:p>
        </w:tc>
      </w:tr>
      <w:tr>
        <w:trPr>
          <w:trHeight w:val="311" w:hRule="atLeast"/>
        </w:trPr>
        <w:tc>
          <w:tcPr>
            <w:tcW w:w="2333" w:type="dxa"/>
            <w:gridSpan w:val="2"/>
            <w:vMerge w:val="restart"/>
          </w:tcPr>
          <w:p>
            <w:pPr>
              <w:pStyle w:val="TableParagraph"/>
              <w:rPr>
                <w:rFonts w:ascii="Times New Roman"/>
                <w:sz w:val="18"/>
              </w:rPr>
            </w:pPr>
          </w:p>
        </w:tc>
        <w:tc>
          <w:tcPr>
            <w:tcW w:w="7592" w:type="dxa"/>
          </w:tcPr>
          <w:p>
            <w:pPr>
              <w:pStyle w:val="TableParagraph"/>
              <w:spacing w:before="10"/>
              <w:ind w:left="107"/>
              <w:rPr>
                <w:sz w:val="18"/>
              </w:rPr>
            </w:pPr>
            <w:r>
              <w:rPr>
                <w:sz w:val="18"/>
              </w:rPr>
              <w:t>您解除本附加合同时，应填写合同解除申请书，并提供下列证明和资料：</w:t>
            </w:r>
          </w:p>
        </w:tc>
      </w:tr>
      <w:tr>
        <w:trPr>
          <w:trHeight w:val="312" w:hRule="atLeast"/>
        </w:trPr>
        <w:tc>
          <w:tcPr>
            <w:tcW w:w="2333" w:type="dxa"/>
            <w:gridSpan w:val="2"/>
            <w:vMerge/>
            <w:tcBorders>
              <w:top w:val="nil"/>
            </w:tcBorders>
          </w:tcPr>
          <w:p>
            <w:pPr>
              <w:rPr>
                <w:sz w:val="2"/>
                <w:szCs w:val="2"/>
              </w:rPr>
            </w:pPr>
          </w:p>
        </w:tc>
        <w:tc>
          <w:tcPr>
            <w:tcW w:w="7592" w:type="dxa"/>
          </w:tcPr>
          <w:p>
            <w:pPr>
              <w:pStyle w:val="TableParagraph"/>
              <w:spacing w:before="10"/>
              <w:ind w:left="107"/>
              <w:rPr>
                <w:sz w:val="18"/>
              </w:rPr>
            </w:pPr>
            <w:r>
              <w:rPr>
                <w:sz w:val="18"/>
              </w:rPr>
              <w:t>1、 保险合同；</w:t>
            </w:r>
          </w:p>
        </w:tc>
      </w:tr>
      <w:tr>
        <w:trPr>
          <w:trHeight w:val="312" w:hRule="atLeast"/>
        </w:trPr>
        <w:tc>
          <w:tcPr>
            <w:tcW w:w="2333" w:type="dxa"/>
            <w:gridSpan w:val="2"/>
            <w:vMerge/>
            <w:tcBorders>
              <w:top w:val="nil"/>
            </w:tcBorders>
          </w:tcPr>
          <w:p>
            <w:pPr>
              <w:rPr>
                <w:sz w:val="2"/>
                <w:szCs w:val="2"/>
              </w:rPr>
            </w:pPr>
          </w:p>
        </w:tc>
        <w:tc>
          <w:tcPr>
            <w:tcW w:w="7592" w:type="dxa"/>
          </w:tcPr>
          <w:p>
            <w:pPr>
              <w:pStyle w:val="TableParagraph"/>
              <w:spacing w:before="10"/>
              <w:ind w:left="107"/>
              <w:rPr>
                <w:sz w:val="18"/>
              </w:rPr>
            </w:pPr>
            <w:r>
              <w:rPr>
                <w:sz w:val="18"/>
              </w:rPr>
              <w:t>2、 您的有效身份证件。</w:t>
            </w:r>
          </w:p>
        </w:tc>
      </w:tr>
      <w:tr>
        <w:trPr>
          <w:trHeight w:val="311" w:hRule="atLeast"/>
        </w:trPr>
        <w:tc>
          <w:tcPr>
            <w:tcW w:w="2333" w:type="dxa"/>
            <w:gridSpan w:val="2"/>
            <w:vMerge/>
            <w:tcBorders>
              <w:top w:val="nil"/>
            </w:tcBorders>
          </w:tcPr>
          <w:p>
            <w:pPr>
              <w:rPr>
                <w:sz w:val="2"/>
                <w:szCs w:val="2"/>
              </w:rPr>
            </w:pPr>
          </w:p>
        </w:tc>
        <w:tc>
          <w:tcPr>
            <w:tcW w:w="7592" w:type="dxa"/>
          </w:tcPr>
          <w:p>
            <w:pPr>
              <w:pStyle w:val="TableParagraph"/>
              <w:spacing w:before="10"/>
              <w:ind w:left="107"/>
              <w:rPr>
                <w:sz w:val="18"/>
              </w:rPr>
            </w:pPr>
            <w:r>
              <w:rPr>
                <w:sz w:val="18"/>
              </w:rPr>
              <w:t>本公司自收到上述证明和材料之日起三十日内，返还本附加合同的现金价值。</w:t>
            </w:r>
          </w:p>
        </w:tc>
      </w:tr>
      <w:tr>
        <w:trPr>
          <w:trHeight w:val="312" w:hRule="atLeast"/>
        </w:trPr>
        <w:tc>
          <w:tcPr>
            <w:tcW w:w="2333" w:type="dxa"/>
            <w:gridSpan w:val="2"/>
            <w:vMerge/>
            <w:tcBorders>
              <w:top w:val="nil"/>
            </w:tcBorders>
          </w:tcPr>
          <w:p>
            <w:pPr>
              <w:rPr>
                <w:sz w:val="2"/>
                <w:szCs w:val="2"/>
              </w:rPr>
            </w:pPr>
          </w:p>
        </w:tc>
        <w:tc>
          <w:tcPr>
            <w:tcW w:w="7592" w:type="dxa"/>
          </w:tcPr>
          <w:p>
            <w:pPr>
              <w:pStyle w:val="TableParagraph"/>
              <w:spacing w:before="10"/>
              <w:ind w:left="107"/>
              <w:rPr>
                <w:sz w:val="18"/>
              </w:rPr>
            </w:pPr>
            <w:r>
              <w:rPr>
                <w:sz w:val="18"/>
              </w:rPr>
              <w:t>您在犹豫期后解除合同会遭受一定损失。</w:t>
            </w:r>
          </w:p>
        </w:tc>
      </w:tr>
      <w:tr>
        <w:trPr>
          <w:trHeight w:val="312" w:hRule="atLeast"/>
        </w:trPr>
        <w:tc>
          <w:tcPr>
            <w:tcW w:w="2333" w:type="dxa"/>
            <w:gridSpan w:val="2"/>
            <w:vMerge/>
            <w:tcBorders>
              <w:top w:val="nil"/>
            </w:tcBorders>
          </w:tcPr>
          <w:p>
            <w:pPr>
              <w:rPr>
                <w:sz w:val="2"/>
                <w:szCs w:val="2"/>
              </w:rPr>
            </w:pPr>
          </w:p>
        </w:tc>
        <w:tc>
          <w:tcPr>
            <w:tcW w:w="7592" w:type="dxa"/>
          </w:tcPr>
          <w:p>
            <w:pPr>
              <w:pStyle w:val="TableParagraph"/>
              <w:spacing w:before="10"/>
              <w:ind w:left="107"/>
              <w:rPr>
                <w:sz w:val="18"/>
              </w:rPr>
            </w:pPr>
            <w:r>
              <w:rPr>
                <w:sz w:val="18"/>
              </w:rPr>
              <w:t>解除合同后，您、主险合同的被保险人或主险合同的受益人不能对合同解除前发生的保险事故</w:t>
            </w:r>
          </w:p>
        </w:tc>
      </w:tr>
      <w:tr>
        <w:trPr>
          <w:trHeight w:val="245" w:hRule="atLeast"/>
        </w:trPr>
        <w:tc>
          <w:tcPr>
            <w:tcW w:w="2333" w:type="dxa"/>
            <w:gridSpan w:val="2"/>
            <w:vMerge/>
            <w:tcBorders>
              <w:top w:val="nil"/>
            </w:tcBorders>
          </w:tcPr>
          <w:p>
            <w:pPr>
              <w:rPr>
                <w:sz w:val="2"/>
                <w:szCs w:val="2"/>
              </w:rPr>
            </w:pPr>
          </w:p>
        </w:tc>
        <w:tc>
          <w:tcPr>
            <w:tcW w:w="7592" w:type="dxa"/>
          </w:tcPr>
          <w:p>
            <w:pPr>
              <w:pStyle w:val="TableParagraph"/>
              <w:spacing w:line="216" w:lineRule="exact" w:before="10"/>
              <w:ind w:left="107"/>
              <w:rPr>
                <w:sz w:val="18"/>
              </w:rPr>
            </w:pPr>
            <w:r>
              <w:rPr>
                <w:sz w:val="18"/>
              </w:rPr>
              <w:t>申请豁免保险费。</w:t>
            </w:r>
          </w:p>
        </w:tc>
      </w:tr>
    </w:tbl>
    <w:p>
      <w:pPr>
        <w:tabs>
          <w:tab w:pos="907" w:val="left" w:leader="none"/>
        </w:tabs>
        <w:spacing w:before="374"/>
        <w:ind w:left="223" w:right="0" w:firstLine="0"/>
        <w:jc w:val="left"/>
        <w:rPr>
          <w:rFonts w:ascii="微软雅黑" w:hAnsi="微软雅黑" w:eastAsia="微软雅黑" w:hint="eastAsia"/>
          <w:b/>
          <w:sz w:val="24"/>
        </w:rPr>
      </w:pPr>
      <w:r>
        <w:rPr/>
        <w:pict>
          <v:group style="position:absolute;margin-left:59.759998pt;margin-top:47.678753pt;width:497.4pt;height:.5pt;mso-position-horizontal-relative:page;mso-position-vertical-relative:paragraph;z-index:1216;mso-wrap-distance-left:0;mso-wrap-distance-right:0" coordorigin="1195,954" coordsize="9948,10">
            <v:line style="position:absolute" from="1195,958" to="1879,958" stroked="true" strokeweight=".48pt" strokecolor="#000000">
              <v:stroke dashstyle="solid"/>
            </v:line>
            <v:rect style="position:absolute;left:1879;top:953;width:10;height:10" filled="true" fillcolor="#000000" stroked="false">
              <v:fill type="solid"/>
            </v:rect>
            <v:line style="position:absolute" from="1889,958" to="3586,958" stroked="true" strokeweight=".48pt" strokecolor="#000000">
              <v:stroke dashstyle="solid"/>
            </v:line>
            <v:rect style="position:absolute;left:3585;top:953;width:10;height:10" filled="true" fillcolor="#000000" stroked="false">
              <v:fill type="solid"/>
            </v:rect>
            <v:line style="position:absolute" from="3595,958" to="11143,958" stroked="true" strokeweight=".48pt" strokecolor="#000000">
              <v:stroke dashstyle="solid"/>
            </v:line>
            <w10:wrap type="topAndBottom"/>
          </v:group>
        </w:pict>
      </w:r>
      <w:r>
        <w:rPr>
          <w:rFonts w:ascii="Times New Roman" w:hAnsi="Times New Roman" w:eastAsia="Times New Roman"/>
          <w:b/>
          <w:position w:val="-3"/>
          <w:sz w:val="40"/>
        </w:rPr>
        <w:t></w:t>
        <w:tab/>
      </w:r>
      <w:r>
        <w:rPr>
          <w:rFonts w:ascii="微软雅黑" w:hAnsi="微软雅黑" w:eastAsia="微软雅黑" w:hint="eastAsia"/>
          <w:b/>
          <w:sz w:val="24"/>
        </w:rPr>
        <w:t>其他需要您关注的事项</w:t>
      </w:r>
    </w:p>
    <w:p>
      <w:pPr>
        <w:pStyle w:val="BodyText"/>
        <w:spacing w:before="2"/>
        <w:rPr>
          <w:rFonts w:ascii="微软雅黑"/>
          <w:b/>
          <w:sz w:val="8"/>
        </w:rPr>
      </w:pPr>
    </w:p>
    <w:p>
      <w:pPr>
        <w:pStyle w:val="ListParagraph"/>
        <w:numPr>
          <w:ilvl w:val="1"/>
          <w:numId w:val="17"/>
        </w:numPr>
        <w:tabs>
          <w:tab w:pos="907" w:val="left" w:leader="none"/>
          <w:tab w:pos="908" w:val="left" w:leader="none"/>
          <w:tab w:pos="2613" w:val="left" w:leader="none"/>
        </w:tabs>
        <w:spacing w:line="365" w:lineRule="exact" w:before="0" w:after="0"/>
        <w:ind w:left="2613" w:right="0" w:hanging="2390"/>
        <w:jc w:val="left"/>
        <w:rPr>
          <w:sz w:val="18"/>
        </w:rPr>
      </w:pPr>
      <w:r>
        <w:rPr>
          <w:rFonts w:ascii="微软雅黑" w:eastAsia="微软雅黑" w:hint="eastAsia"/>
          <w:b/>
          <w:position w:val="6"/>
          <w:sz w:val="21"/>
        </w:rPr>
        <w:t>投保范围</w:t>
        <w:tab/>
      </w:r>
      <w:r>
        <w:rPr>
          <w:sz w:val="18"/>
        </w:rPr>
        <w:t>本附加合同被保险人为主险合同投保人</w:t>
      </w:r>
      <w:r>
        <w:rPr>
          <w:spacing w:val="-36"/>
          <w:sz w:val="18"/>
        </w:rPr>
        <w:t>，</w:t>
      </w:r>
      <w:r>
        <w:rPr>
          <w:sz w:val="18"/>
        </w:rPr>
        <w:t>主险合同投保人年龄不超过六十五周岁且在主险合同</w:t>
      </w:r>
    </w:p>
    <w:p>
      <w:pPr>
        <w:pStyle w:val="BodyText"/>
        <w:ind w:left="2613"/>
      </w:pPr>
      <w:r>
        <w:rPr/>
        <w:t>交费期满日不超过七十五周岁时，可以投保本附加合同。</w:t>
      </w:r>
    </w:p>
    <w:p>
      <w:pPr>
        <w:pStyle w:val="BodyText"/>
        <w:spacing w:before="7"/>
        <w:rPr>
          <w:sz w:val="22"/>
        </w:rPr>
      </w:pPr>
    </w:p>
    <w:p>
      <w:pPr>
        <w:pStyle w:val="ListParagraph"/>
        <w:numPr>
          <w:ilvl w:val="1"/>
          <w:numId w:val="17"/>
        </w:numPr>
        <w:tabs>
          <w:tab w:pos="907" w:val="left" w:leader="none"/>
          <w:tab w:pos="908" w:val="left" w:leader="none"/>
          <w:tab w:pos="2613" w:val="left" w:leader="none"/>
        </w:tabs>
        <w:spacing w:line="240" w:lineRule="auto" w:before="0" w:after="0"/>
        <w:ind w:left="2613" w:right="0" w:hanging="2390"/>
        <w:jc w:val="left"/>
        <w:rPr>
          <w:sz w:val="18"/>
        </w:rPr>
      </w:pPr>
      <w:r>
        <w:rPr>
          <w:rFonts w:ascii="微软雅黑" w:eastAsia="微软雅黑" w:hint="eastAsia"/>
          <w:b/>
          <w:position w:val="6"/>
          <w:sz w:val="21"/>
        </w:rPr>
        <w:t>合同效力</w:t>
        <w:tab/>
      </w:r>
      <w:r>
        <w:rPr>
          <w:sz w:val="18"/>
        </w:rPr>
        <w:t>本附加合同的效力在发生下列情形之一时自动终止：</w:t>
      </w:r>
    </w:p>
    <w:p>
      <w:pPr>
        <w:pStyle w:val="BodyText"/>
        <w:ind w:left="2613"/>
      </w:pPr>
      <w:r>
        <w:rPr/>
        <w:t>1、  主险合同期满或终止；</w:t>
      </w:r>
    </w:p>
    <w:p>
      <w:pPr>
        <w:pStyle w:val="BodyText"/>
        <w:ind w:left="2613"/>
      </w:pPr>
      <w:r>
        <w:rPr/>
        <w:t>2、  主险合同办理减额交清；</w:t>
      </w:r>
    </w:p>
    <w:p>
      <w:pPr>
        <w:pStyle w:val="BodyText"/>
        <w:spacing w:before="75"/>
        <w:ind w:left="2613"/>
      </w:pPr>
      <w:r>
        <w:rPr/>
        <w:t>3、  本附加合同期满；</w:t>
      </w:r>
    </w:p>
    <w:p>
      <w:pPr>
        <w:pStyle w:val="BodyText"/>
        <w:spacing w:before="75"/>
        <w:ind w:left="2613"/>
      </w:pPr>
      <w:r>
        <w:rPr/>
        <w:t>4、  出现主险合同或本附加合同内的其它约定终止情况。</w:t>
      </w:r>
    </w:p>
    <w:p>
      <w:pPr>
        <w:pStyle w:val="BodyText"/>
        <w:ind w:left="2613"/>
      </w:pPr>
      <w:r>
        <w:rPr/>
        <w:t>本附加合同效力终止后，除另有规定外，我们不退还本附加合同的现金价值。</w:t>
      </w:r>
    </w:p>
    <w:p>
      <w:pPr>
        <w:pStyle w:val="BodyText"/>
        <w:spacing w:before="0"/>
      </w:pPr>
    </w:p>
    <w:p>
      <w:pPr>
        <w:pStyle w:val="ListParagraph"/>
        <w:numPr>
          <w:ilvl w:val="1"/>
          <w:numId w:val="17"/>
        </w:numPr>
        <w:tabs>
          <w:tab w:pos="908" w:val="left" w:leader="none"/>
        </w:tabs>
        <w:spacing w:line="312" w:lineRule="exact" w:before="125" w:after="0"/>
        <w:ind w:left="2613" w:right="245" w:hanging="2390"/>
        <w:jc w:val="both"/>
        <w:rPr>
          <w:sz w:val="18"/>
        </w:rPr>
      </w:pPr>
      <w:r>
        <w:rPr>
          <w:rFonts w:ascii="微软雅黑" w:eastAsia="微软雅黑" w:hint="eastAsia"/>
          <w:b/>
          <w:sz w:val="21"/>
        </w:rPr>
        <w:t>合同内容变更     </w:t>
      </w:r>
      <w:r>
        <w:rPr>
          <w:spacing w:val="-4"/>
          <w:sz w:val="18"/>
        </w:rPr>
        <w:t>在本附加合同有效期内，经您与本公司协商一致，可以变更本附加合同有关内容，变更本附加</w:t>
      </w:r>
      <w:r>
        <w:rPr>
          <w:spacing w:val="-7"/>
          <w:sz w:val="18"/>
        </w:rPr>
        <w:t>合同的，应当由我们在保险单或者其他保险凭证上批注或者附贴批单，或者由您和我们订立变更的书面协议。</w:t>
      </w:r>
    </w:p>
    <w:p>
      <w:pPr>
        <w:pStyle w:val="BodyText"/>
        <w:spacing w:line="316" w:lineRule="auto" w:before="38"/>
        <w:ind w:left="2613" w:right="209"/>
      </w:pPr>
      <w:r>
        <w:rPr>
          <w:shd w:fill="C0C0C0" w:color="auto" w:val="clear"/>
        </w:rPr>
        <w:t>对于已豁免保险费的主险合同或附加险合同，您不得变更主险合同及附加险合同的保险金额、交费年期等。</w:t>
      </w:r>
    </w:p>
    <w:p>
      <w:pPr>
        <w:spacing w:after="0" w:line="316" w:lineRule="auto"/>
        <w:sectPr>
          <w:pgSz w:w="11910" w:h="16840"/>
          <w:pgMar w:header="872" w:footer="977" w:top="1100" w:bottom="1160" w:left="1080" w:right="620"/>
        </w:sectPr>
      </w:pPr>
    </w:p>
    <w:p>
      <w:pPr>
        <w:pStyle w:val="BodyText"/>
        <w:spacing w:before="0"/>
        <w:rPr>
          <w:sz w:val="23"/>
        </w:rPr>
      </w:pPr>
    </w:p>
    <w:p>
      <w:pPr>
        <w:tabs>
          <w:tab w:pos="907" w:val="left" w:leader="none"/>
        </w:tabs>
        <w:spacing w:before="43"/>
        <w:ind w:left="223" w:right="0" w:firstLine="0"/>
        <w:jc w:val="left"/>
        <w:rPr>
          <w:rFonts w:ascii="微软雅黑" w:hAnsi="微软雅黑" w:eastAsia="微软雅黑" w:hint="eastAsia"/>
          <w:b/>
          <w:sz w:val="24"/>
        </w:rPr>
      </w:pPr>
      <w:r>
        <w:rPr/>
        <w:pict>
          <v:group style="position:absolute;margin-left:59.759998pt;margin-top:31.12874pt;width:497.4pt;height:.5pt;mso-position-horizontal-relative:page;mso-position-vertical-relative:paragraph;z-index:1240;mso-wrap-distance-left:0;mso-wrap-distance-right:0" coordorigin="1195,623" coordsize="9948,10">
            <v:line style="position:absolute" from="1195,627" to="1879,627" stroked="true" strokeweight=".48pt" strokecolor="#000000">
              <v:stroke dashstyle="solid"/>
            </v:line>
            <v:rect style="position:absolute;left:1879;top:622;width:10;height:10" filled="true" fillcolor="#000000" stroked="false">
              <v:fill type="solid"/>
            </v:rect>
            <v:line style="position:absolute" from="1889,627" to="3586,627" stroked="true" strokeweight=".48pt" strokecolor="#000000">
              <v:stroke dashstyle="solid"/>
            </v:line>
            <v:rect style="position:absolute;left:3585;top:622;width:10;height:10" filled="true" fillcolor="#000000" stroked="false">
              <v:fill type="solid"/>
            </v:rect>
            <v:line style="position:absolute" from="3595,627" to="11143,627" stroked="true" strokeweight=".48pt" strokecolor="#000000">
              <v:stroke dashstyle="solid"/>
            </v:line>
            <w10:wrap type="topAndBottom"/>
          </v:group>
        </w:pict>
      </w:r>
      <w:r>
        <w:rPr>
          <w:rFonts w:ascii="Times New Roman" w:hAnsi="Times New Roman" w:eastAsia="Times New Roman"/>
          <w:b/>
          <w:w w:val="105"/>
          <w:position w:val="-3"/>
          <w:sz w:val="40"/>
        </w:rPr>
        <w:t></w:t>
        <w:tab/>
      </w:r>
      <w:r>
        <w:rPr>
          <w:rFonts w:ascii="微软雅黑" w:hAnsi="微软雅黑" w:eastAsia="微软雅黑" w:hint="eastAsia"/>
          <w:b/>
          <w:sz w:val="24"/>
        </w:rPr>
        <w:t>释义</w:t>
      </w:r>
    </w:p>
    <w:p>
      <w:pPr>
        <w:pStyle w:val="BodyText"/>
        <w:spacing w:before="17"/>
        <w:rPr>
          <w:rFonts w:ascii="微软雅黑"/>
          <w:b/>
          <w:sz w:val="7"/>
        </w:rPr>
      </w:pPr>
    </w:p>
    <w:p>
      <w:pPr>
        <w:pStyle w:val="ListParagraph"/>
        <w:numPr>
          <w:ilvl w:val="1"/>
          <w:numId w:val="18"/>
        </w:numPr>
        <w:tabs>
          <w:tab w:pos="907" w:val="left" w:leader="none"/>
          <w:tab w:pos="908" w:val="left" w:leader="none"/>
          <w:tab w:pos="2613" w:val="left" w:leader="none"/>
        </w:tabs>
        <w:spacing w:line="298" w:lineRule="exact" w:before="43" w:after="0"/>
        <w:ind w:left="2613" w:right="208" w:hanging="2390"/>
        <w:jc w:val="left"/>
        <w:rPr>
          <w:sz w:val="18"/>
        </w:rPr>
      </w:pPr>
      <w:r>
        <w:rPr>
          <w:rFonts w:ascii="微软雅黑" w:eastAsia="微软雅黑" w:hint="eastAsia"/>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官证、警官证、士兵证、户口簿等证件，其中护照的使用仅限于不具有中国国籍的外国人。</w:t>
      </w:r>
    </w:p>
    <w:p>
      <w:pPr>
        <w:pStyle w:val="BodyText"/>
        <w:spacing w:before="4"/>
        <w:rPr>
          <w:sz w:val="14"/>
        </w:rPr>
      </w:pPr>
    </w:p>
    <w:p>
      <w:pPr>
        <w:pStyle w:val="ListParagraph"/>
        <w:numPr>
          <w:ilvl w:val="1"/>
          <w:numId w:val="18"/>
        </w:numPr>
        <w:tabs>
          <w:tab w:pos="907" w:val="left" w:leader="none"/>
          <w:tab w:pos="908" w:val="left" w:leader="none"/>
          <w:tab w:pos="2613" w:val="left" w:leader="none"/>
        </w:tabs>
        <w:spacing w:line="240" w:lineRule="auto" w:before="0" w:after="0"/>
        <w:ind w:left="2613" w:right="0" w:hanging="2390"/>
        <w:jc w:val="left"/>
        <w:rPr>
          <w:sz w:val="18"/>
        </w:rPr>
      </w:pPr>
      <w:r>
        <w:rPr>
          <w:rFonts w:ascii="微软雅黑" w:eastAsia="微软雅黑" w:hint="eastAsia"/>
          <w:b/>
          <w:position w:val="5"/>
          <w:sz w:val="21"/>
        </w:rPr>
        <w:t>全残</w:t>
        <w:tab/>
      </w:r>
      <w:r>
        <w:rPr>
          <w:sz w:val="18"/>
        </w:rPr>
        <w:t>指下列情形之一</w:t>
      </w:r>
    </w:p>
    <w:p>
      <w:pPr>
        <w:pStyle w:val="BodyText"/>
        <w:ind w:left="2613"/>
      </w:pPr>
      <w:r>
        <w:rPr/>
        <w:t>1、双目永久完全失明的(注 1)；</w:t>
      </w:r>
    </w:p>
    <w:p>
      <w:pPr>
        <w:pStyle w:val="BodyText"/>
        <w:ind w:left="2613"/>
      </w:pPr>
      <w:r>
        <w:rPr/>
        <w:t>2、两上肢腕关节以上或两下肢踝关节以上缺失的；</w:t>
      </w:r>
    </w:p>
    <w:p>
      <w:pPr>
        <w:pStyle w:val="BodyText"/>
        <w:ind w:left="2613"/>
      </w:pPr>
      <w:r>
        <w:rPr/>
        <w:t>3、一上肢腕关节以上及一下肢踝关节以上缺失的；</w:t>
      </w:r>
    </w:p>
    <w:p>
      <w:pPr>
        <w:pStyle w:val="BodyText"/>
        <w:ind w:left="2613"/>
      </w:pPr>
      <w:r>
        <w:rPr/>
        <w:t>4、一目永久完全失明及一上肢腕关节以上缺失的；</w:t>
      </w:r>
    </w:p>
    <w:p>
      <w:pPr>
        <w:pStyle w:val="BodyText"/>
        <w:ind w:left="2613"/>
      </w:pPr>
      <w:r>
        <w:rPr/>
        <w:t>5、一目永久完全失明及一下肢踝关节以上缺失的；</w:t>
      </w:r>
    </w:p>
    <w:p>
      <w:pPr>
        <w:pStyle w:val="BodyText"/>
        <w:ind w:left="2613"/>
      </w:pPr>
      <w:r>
        <w:rPr>
          <w:spacing w:val="0"/>
        </w:rPr>
        <w:t>6</w:t>
      </w:r>
      <w:r>
        <w:rPr/>
        <w:t>、四肢关节机能永久完全丧失的（</w:t>
      </w:r>
      <w:r>
        <w:rPr>
          <w:spacing w:val="-23"/>
        </w:rPr>
        <w:t>注 </w:t>
      </w:r>
      <w:r>
        <w:rPr>
          <w:spacing w:val="0"/>
        </w:rPr>
        <w:t>2</w:t>
      </w:r>
      <w:r>
        <w:rPr>
          <w:spacing w:val="-92"/>
        </w:rPr>
        <w:t>）</w:t>
      </w:r>
      <w:r>
        <w:rPr/>
        <w:t>；</w:t>
      </w:r>
    </w:p>
    <w:p>
      <w:pPr>
        <w:pStyle w:val="BodyText"/>
        <w:ind w:left="2613"/>
      </w:pPr>
      <w:r>
        <w:rPr>
          <w:spacing w:val="0"/>
        </w:rPr>
        <w:t>7</w:t>
      </w:r>
      <w:r>
        <w:rPr/>
        <w:t>、咀嚼、吞咽机能永久完全丧失的（</w:t>
      </w:r>
      <w:r>
        <w:rPr>
          <w:spacing w:val="-23"/>
        </w:rPr>
        <w:t>注 </w:t>
      </w:r>
      <w:r>
        <w:rPr>
          <w:spacing w:val="0"/>
        </w:rPr>
        <w:t>3</w:t>
      </w:r>
      <w:r>
        <w:rPr>
          <w:spacing w:val="-92"/>
        </w:rPr>
        <w:t>）</w:t>
      </w:r>
      <w:r>
        <w:rPr/>
        <w:t>；</w:t>
      </w:r>
    </w:p>
    <w:p>
      <w:pPr>
        <w:pStyle w:val="BodyText"/>
        <w:spacing w:line="316" w:lineRule="auto"/>
        <w:ind w:left="2884" w:right="208" w:hanging="272"/>
      </w:pPr>
      <w:r>
        <w:rPr/>
        <w:t>8、中枢神经系统机能或胸、腹部脏器机能极度障碍，终身不能从事任何工作，为维持生命必要的日常生活活动，全需他人扶助的（</w:t>
      </w:r>
      <w:r>
        <w:rPr>
          <w:spacing w:val="-23"/>
        </w:rPr>
        <w:t>注 </w:t>
      </w:r>
      <w:r>
        <w:rPr>
          <w:spacing w:val="0"/>
        </w:rPr>
        <w:t>4</w:t>
      </w:r>
      <w:r>
        <w:rPr>
          <w:spacing w:val="-92"/>
        </w:rPr>
        <w:t>）</w:t>
      </w:r>
      <w:r>
        <w:rPr/>
        <w:t>。</w:t>
      </w:r>
    </w:p>
    <w:p>
      <w:pPr>
        <w:pStyle w:val="BodyText"/>
        <w:spacing w:before="9"/>
        <w:rPr>
          <w:sz w:val="5"/>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1783"/>
        <w:gridCol w:w="7539"/>
      </w:tblGrid>
      <w:tr>
        <w:trPr>
          <w:trHeight w:val="245" w:hRule="atLeast"/>
        </w:trPr>
        <w:tc>
          <w:tcPr>
            <w:tcW w:w="550" w:type="dxa"/>
          </w:tcPr>
          <w:p>
            <w:pPr>
              <w:pStyle w:val="TableParagraph"/>
              <w:rPr>
                <w:rFonts w:ascii="Times New Roman"/>
                <w:sz w:val="16"/>
              </w:rPr>
            </w:pPr>
          </w:p>
        </w:tc>
        <w:tc>
          <w:tcPr>
            <w:tcW w:w="1783" w:type="dxa"/>
          </w:tcPr>
          <w:p>
            <w:pPr>
              <w:pStyle w:val="TableParagraph"/>
              <w:rPr>
                <w:rFonts w:ascii="Times New Roman"/>
                <w:sz w:val="16"/>
              </w:rPr>
            </w:pPr>
          </w:p>
        </w:tc>
        <w:tc>
          <w:tcPr>
            <w:tcW w:w="7539" w:type="dxa"/>
          </w:tcPr>
          <w:p>
            <w:pPr>
              <w:pStyle w:val="TableParagraph"/>
              <w:spacing w:line="180" w:lineRule="exact"/>
              <w:ind w:left="107"/>
              <w:rPr>
                <w:sz w:val="18"/>
              </w:rPr>
            </w:pPr>
            <w:r>
              <w:rPr>
                <w:sz w:val="18"/>
              </w:rPr>
              <w:t>（</w:t>
            </w:r>
            <w:r>
              <w:rPr>
                <w:spacing w:val="-23"/>
                <w:sz w:val="18"/>
              </w:rPr>
              <w:t>注 </w:t>
            </w:r>
            <w:r>
              <w:rPr>
                <w:spacing w:val="0"/>
                <w:sz w:val="18"/>
              </w:rPr>
              <w:t>1</w:t>
            </w:r>
            <w:r>
              <w:rPr>
                <w:spacing w:val="-92"/>
                <w:sz w:val="18"/>
              </w:rPr>
              <w:t>）</w:t>
            </w:r>
            <w:r>
              <w:rPr>
                <w:spacing w:val="-9"/>
                <w:sz w:val="18"/>
              </w:rPr>
              <w:t>：失明包括眼球缺失或摘除、或不能辨别明暗、或仅能辨别眼前手动者，最佳矫正视力</w:t>
            </w:r>
          </w:p>
        </w:tc>
      </w:tr>
      <w:tr>
        <w:trPr>
          <w:trHeight w:val="311"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39" w:type="dxa"/>
          </w:tcPr>
          <w:p>
            <w:pPr>
              <w:pStyle w:val="TableParagraph"/>
              <w:spacing w:before="10"/>
              <w:ind w:left="107"/>
              <w:rPr>
                <w:sz w:val="18"/>
              </w:rPr>
            </w:pPr>
            <w:r>
              <w:rPr>
                <w:spacing w:val="-5"/>
                <w:sz w:val="18"/>
              </w:rPr>
              <w:t>低于国际标准视力表 </w:t>
            </w:r>
            <w:r>
              <w:rPr>
                <w:spacing w:val="-9"/>
                <w:sz w:val="18"/>
              </w:rPr>
              <w:t>0.02</w:t>
            </w:r>
            <w:r>
              <w:rPr>
                <w:spacing w:val="-8"/>
                <w:sz w:val="18"/>
              </w:rPr>
              <w:t>，或视野半径小于 </w:t>
            </w:r>
            <w:r>
              <w:rPr>
                <w:sz w:val="18"/>
              </w:rPr>
              <w:t>5</w:t>
            </w:r>
            <w:r>
              <w:rPr>
                <w:spacing w:val="-17"/>
                <w:sz w:val="18"/>
              </w:rPr>
              <w:t> 度，并由</w:t>
            </w:r>
            <w:r>
              <w:rPr>
                <w:spacing w:val="-2"/>
                <w:sz w:val="18"/>
                <w:shd w:fill="C0C0C0" w:color="auto" w:val="clear"/>
              </w:rPr>
              <w:t>保险公司指定有资格的眼科医师</w:t>
            </w:r>
            <w:r>
              <w:rPr>
                <w:sz w:val="18"/>
              </w:rPr>
              <w:t>出具医</w:t>
            </w:r>
          </w:p>
        </w:tc>
      </w:tr>
      <w:tr>
        <w:trPr>
          <w:trHeight w:val="312"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39" w:type="dxa"/>
          </w:tcPr>
          <w:p>
            <w:pPr>
              <w:pStyle w:val="TableParagraph"/>
              <w:spacing w:before="10"/>
              <w:ind w:left="107"/>
              <w:rPr>
                <w:sz w:val="18"/>
              </w:rPr>
            </w:pPr>
            <w:r>
              <w:rPr>
                <w:sz w:val="18"/>
              </w:rPr>
              <w:t>疗诊断证明。</w:t>
            </w:r>
          </w:p>
        </w:tc>
      </w:tr>
      <w:tr>
        <w:trPr>
          <w:trHeight w:val="312"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39" w:type="dxa"/>
          </w:tcPr>
          <w:p>
            <w:pPr>
              <w:pStyle w:val="TableParagraph"/>
              <w:spacing w:before="10"/>
              <w:ind w:left="107"/>
              <w:rPr>
                <w:sz w:val="18"/>
              </w:rPr>
            </w:pPr>
            <w:r>
              <w:rPr>
                <w:sz w:val="18"/>
              </w:rPr>
              <w:t>（</w:t>
            </w:r>
            <w:r>
              <w:rPr>
                <w:spacing w:val="-23"/>
                <w:sz w:val="18"/>
              </w:rPr>
              <w:t>注 </w:t>
            </w:r>
            <w:r>
              <w:rPr>
                <w:spacing w:val="0"/>
                <w:sz w:val="18"/>
              </w:rPr>
              <w:t>2</w:t>
            </w:r>
            <w:r>
              <w:rPr>
                <w:spacing w:val="-92"/>
                <w:sz w:val="18"/>
              </w:rPr>
              <w:t>）</w:t>
            </w:r>
            <w:r>
              <w:rPr>
                <w:sz w:val="18"/>
              </w:rPr>
              <w:t>：关节机能的丧失系指关节永久完全僵硬、或麻痹、或关节不能随意识活动。</w:t>
            </w:r>
          </w:p>
        </w:tc>
      </w:tr>
      <w:tr>
        <w:trPr>
          <w:trHeight w:val="311"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39" w:type="dxa"/>
          </w:tcPr>
          <w:p>
            <w:pPr>
              <w:pStyle w:val="TableParagraph"/>
              <w:spacing w:before="10"/>
              <w:ind w:left="107"/>
              <w:rPr>
                <w:sz w:val="18"/>
              </w:rPr>
            </w:pPr>
            <w:r>
              <w:rPr>
                <w:sz w:val="18"/>
              </w:rPr>
              <w:t>（</w:t>
            </w:r>
            <w:r>
              <w:rPr>
                <w:spacing w:val="-23"/>
                <w:sz w:val="18"/>
              </w:rPr>
              <w:t>注 </w:t>
            </w:r>
            <w:r>
              <w:rPr>
                <w:spacing w:val="0"/>
                <w:sz w:val="18"/>
              </w:rPr>
              <w:t>3</w:t>
            </w:r>
            <w:r>
              <w:rPr>
                <w:spacing w:val="-92"/>
                <w:sz w:val="18"/>
              </w:rPr>
              <w:t>）</w:t>
            </w:r>
            <w:r>
              <w:rPr>
                <w:spacing w:val="-9"/>
                <w:sz w:val="18"/>
              </w:rPr>
              <w:t>：咀嚼、吞咽机能的丧失系指由于牙齿以外的原因引起器质障碍或机能障碍，以致不能</w:t>
            </w:r>
          </w:p>
        </w:tc>
      </w:tr>
      <w:tr>
        <w:trPr>
          <w:trHeight w:val="312"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39" w:type="dxa"/>
          </w:tcPr>
          <w:p>
            <w:pPr>
              <w:pStyle w:val="TableParagraph"/>
              <w:spacing w:before="10"/>
              <w:ind w:left="107"/>
              <w:rPr>
                <w:sz w:val="18"/>
              </w:rPr>
            </w:pPr>
            <w:r>
              <w:rPr>
                <w:sz w:val="18"/>
              </w:rPr>
              <w:t>作咀嚼、吞咽运动，除流质食物外不能摄取或吞咽状态。</w:t>
            </w:r>
          </w:p>
        </w:tc>
      </w:tr>
      <w:tr>
        <w:trPr>
          <w:trHeight w:val="312"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39" w:type="dxa"/>
          </w:tcPr>
          <w:p>
            <w:pPr>
              <w:pStyle w:val="TableParagraph"/>
              <w:spacing w:before="10"/>
              <w:ind w:left="107"/>
              <w:rPr>
                <w:sz w:val="18"/>
              </w:rPr>
            </w:pPr>
            <w:r>
              <w:rPr>
                <w:sz w:val="18"/>
              </w:rPr>
              <w:t>（</w:t>
            </w:r>
            <w:r>
              <w:rPr>
                <w:spacing w:val="-23"/>
                <w:sz w:val="18"/>
              </w:rPr>
              <w:t>注 </w:t>
            </w:r>
            <w:r>
              <w:rPr>
                <w:spacing w:val="0"/>
                <w:sz w:val="18"/>
              </w:rPr>
              <w:t>4</w:t>
            </w:r>
            <w:r>
              <w:rPr>
                <w:spacing w:val="-92"/>
                <w:sz w:val="18"/>
              </w:rPr>
              <w:t>）</w:t>
            </w:r>
            <w:r>
              <w:rPr>
                <w:spacing w:val="-9"/>
                <w:sz w:val="18"/>
              </w:rPr>
              <w:t>：为维持生命必要之日常生活活动，全需他人扶助系指食物摄取、大小便始末、穿脱衣</w:t>
            </w:r>
          </w:p>
        </w:tc>
      </w:tr>
      <w:tr>
        <w:trPr>
          <w:trHeight w:val="309"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39" w:type="dxa"/>
          </w:tcPr>
          <w:p>
            <w:pPr>
              <w:pStyle w:val="TableParagraph"/>
              <w:spacing w:before="10"/>
              <w:ind w:left="107"/>
              <w:rPr>
                <w:sz w:val="18"/>
              </w:rPr>
            </w:pPr>
            <w:r>
              <w:rPr>
                <w:sz w:val="18"/>
              </w:rPr>
              <w:t>服、起居、步行、入浴等，皆不能自己为之，需要他人帮助。</w:t>
            </w:r>
          </w:p>
        </w:tc>
      </w:tr>
      <w:tr>
        <w:trPr>
          <w:trHeight w:val="321"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39" w:type="dxa"/>
          </w:tcPr>
          <w:p>
            <w:pPr>
              <w:pStyle w:val="TableParagraph"/>
              <w:spacing w:line="271" w:lineRule="exact"/>
              <w:ind w:left="107"/>
              <w:rPr>
                <w:sz w:val="18"/>
              </w:rPr>
            </w:pPr>
            <w:r>
              <w:rPr>
                <w:sz w:val="18"/>
              </w:rPr>
              <w:t>所谓“永久完全丧失”是指自疾病确诊或</w:t>
            </w:r>
            <w:r>
              <w:rPr>
                <w:rFonts w:ascii="微软雅黑" w:hAnsi="微软雅黑" w:eastAsia="微软雅黑" w:hint="eastAsia"/>
                <w:b/>
                <w:sz w:val="18"/>
              </w:rPr>
              <w:t>意外伤害</w:t>
            </w:r>
            <w:r>
              <w:rPr>
                <w:sz w:val="18"/>
              </w:rPr>
              <w:t>（见 </w:t>
            </w:r>
            <w:r>
              <w:rPr>
                <w:rFonts w:ascii="Times New Roman" w:hAnsi="Times New Roman" w:eastAsia="Times New Roman"/>
                <w:sz w:val="18"/>
              </w:rPr>
              <w:t>8.15</w:t>
            </w:r>
            <w:r>
              <w:rPr>
                <w:sz w:val="18"/>
              </w:rPr>
              <w:t>）之日起经过一百八十天的治疗，</w:t>
            </w:r>
          </w:p>
        </w:tc>
      </w:tr>
      <w:tr>
        <w:trPr>
          <w:trHeight w:val="444"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39" w:type="dxa"/>
          </w:tcPr>
          <w:p>
            <w:pPr>
              <w:pStyle w:val="TableParagraph"/>
              <w:spacing w:before="3"/>
              <w:ind w:left="107"/>
              <w:rPr>
                <w:sz w:val="18"/>
              </w:rPr>
            </w:pPr>
            <w:r>
              <w:rPr>
                <w:sz w:val="18"/>
              </w:rPr>
              <w:t>机能仍然完全丧失。但眼球摘除等明显无法复原的情况，不在此限。</w:t>
            </w:r>
          </w:p>
        </w:tc>
      </w:tr>
      <w:tr>
        <w:trPr>
          <w:trHeight w:val="657" w:hRule="atLeast"/>
        </w:trPr>
        <w:tc>
          <w:tcPr>
            <w:tcW w:w="550" w:type="dxa"/>
          </w:tcPr>
          <w:p>
            <w:pPr>
              <w:pStyle w:val="TableParagraph"/>
              <w:spacing w:before="78"/>
              <w:ind w:left="50"/>
              <w:rPr>
                <w:rFonts w:ascii="微软雅黑"/>
                <w:b/>
                <w:sz w:val="21"/>
              </w:rPr>
            </w:pPr>
            <w:r>
              <w:rPr>
                <w:rFonts w:ascii="微软雅黑"/>
                <w:b/>
                <w:sz w:val="21"/>
              </w:rPr>
              <w:t>8.3</w:t>
            </w:r>
          </w:p>
        </w:tc>
        <w:tc>
          <w:tcPr>
            <w:tcW w:w="1783" w:type="dxa"/>
          </w:tcPr>
          <w:p>
            <w:pPr>
              <w:pStyle w:val="TableParagraph"/>
              <w:spacing w:before="78"/>
              <w:ind w:left="183"/>
              <w:rPr>
                <w:rFonts w:ascii="微软雅黑" w:eastAsia="微软雅黑" w:hint="eastAsia"/>
                <w:b/>
                <w:sz w:val="21"/>
              </w:rPr>
            </w:pPr>
            <w:r>
              <w:rPr>
                <w:rFonts w:ascii="微软雅黑" w:eastAsia="微软雅黑" w:hint="eastAsia"/>
                <w:b/>
                <w:sz w:val="21"/>
              </w:rPr>
              <w:t>意外事故</w:t>
            </w:r>
          </w:p>
        </w:tc>
        <w:tc>
          <w:tcPr>
            <w:tcW w:w="7539" w:type="dxa"/>
          </w:tcPr>
          <w:p>
            <w:pPr>
              <w:pStyle w:val="TableParagraph"/>
              <w:spacing w:before="9"/>
              <w:rPr>
                <w:sz w:val="16"/>
              </w:rPr>
            </w:pPr>
          </w:p>
          <w:p>
            <w:pPr>
              <w:pStyle w:val="TableParagraph"/>
              <w:spacing w:before="1"/>
              <w:ind w:left="107"/>
              <w:rPr>
                <w:sz w:val="18"/>
              </w:rPr>
            </w:pPr>
            <w:r>
              <w:rPr>
                <w:sz w:val="18"/>
              </w:rPr>
              <w:t>指外来的、非本意的、突然的、剧烈的、非疾病的使被保险人身体受到剧烈伤害的客观事件。</w:t>
            </w:r>
          </w:p>
        </w:tc>
      </w:tr>
      <w:tr>
        <w:trPr>
          <w:trHeight w:val="890" w:hRule="atLeast"/>
        </w:trPr>
        <w:tc>
          <w:tcPr>
            <w:tcW w:w="550" w:type="dxa"/>
          </w:tcPr>
          <w:p>
            <w:pPr>
              <w:pStyle w:val="TableParagraph"/>
              <w:spacing w:before="76"/>
              <w:ind w:left="50"/>
              <w:rPr>
                <w:rFonts w:ascii="微软雅黑"/>
                <w:b/>
                <w:sz w:val="21"/>
              </w:rPr>
            </w:pPr>
            <w:r>
              <w:rPr>
                <w:rFonts w:ascii="微软雅黑"/>
                <w:b/>
                <w:sz w:val="21"/>
              </w:rPr>
              <w:t>8.4</w:t>
            </w:r>
          </w:p>
        </w:tc>
        <w:tc>
          <w:tcPr>
            <w:tcW w:w="1783" w:type="dxa"/>
          </w:tcPr>
          <w:p>
            <w:pPr>
              <w:pStyle w:val="TableParagraph"/>
              <w:spacing w:line="206" w:lineRule="auto" w:before="127"/>
              <w:ind w:left="183" w:right="104"/>
              <w:rPr>
                <w:rFonts w:ascii="微软雅黑" w:eastAsia="微软雅黑" w:hint="eastAsia"/>
                <w:b/>
                <w:sz w:val="21"/>
              </w:rPr>
            </w:pPr>
            <w:r>
              <w:rPr>
                <w:rFonts w:ascii="微软雅黑" w:eastAsia="微软雅黑" w:hint="eastAsia"/>
                <w:b/>
                <w:sz w:val="21"/>
              </w:rPr>
              <w:t>指定或认可的医疗机构</w:t>
            </w:r>
          </w:p>
        </w:tc>
        <w:tc>
          <w:tcPr>
            <w:tcW w:w="7539" w:type="dxa"/>
          </w:tcPr>
          <w:p>
            <w:pPr>
              <w:pStyle w:val="TableParagraph"/>
              <w:spacing w:line="319" w:lineRule="auto" w:before="159"/>
              <w:ind w:left="107" w:right="47"/>
              <w:rPr>
                <w:sz w:val="18"/>
              </w:rPr>
            </w:pPr>
            <w:r>
              <w:rPr>
                <w:sz w:val="18"/>
              </w:rPr>
              <w:t>指中华人民共和国境内(港澳台地区除外)，投保地所在省、市、自治区范围内的卫生行政部门认可的二级或二级以上非营利性医疗机构。</w:t>
            </w:r>
          </w:p>
        </w:tc>
      </w:tr>
      <w:tr>
        <w:trPr>
          <w:trHeight w:val="432" w:hRule="atLeast"/>
        </w:trPr>
        <w:tc>
          <w:tcPr>
            <w:tcW w:w="550" w:type="dxa"/>
          </w:tcPr>
          <w:p>
            <w:pPr>
              <w:pStyle w:val="TableParagraph"/>
              <w:spacing w:before="38"/>
              <w:ind w:left="50"/>
              <w:rPr>
                <w:rFonts w:ascii="微软雅黑"/>
                <w:b/>
                <w:sz w:val="21"/>
              </w:rPr>
            </w:pPr>
            <w:r>
              <w:rPr>
                <w:rFonts w:ascii="微软雅黑"/>
                <w:b/>
                <w:sz w:val="21"/>
              </w:rPr>
              <w:t>8.5</w:t>
            </w:r>
          </w:p>
        </w:tc>
        <w:tc>
          <w:tcPr>
            <w:tcW w:w="1783" w:type="dxa"/>
          </w:tcPr>
          <w:p>
            <w:pPr>
              <w:pStyle w:val="TableParagraph"/>
              <w:spacing w:before="38"/>
              <w:ind w:left="183"/>
              <w:rPr>
                <w:rFonts w:ascii="微软雅黑" w:eastAsia="微软雅黑" w:hint="eastAsia"/>
                <w:b/>
                <w:sz w:val="21"/>
              </w:rPr>
            </w:pPr>
            <w:r>
              <w:rPr>
                <w:rFonts w:ascii="微软雅黑" w:eastAsia="微软雅黑" w:hint="eastAsia"/>
                <w:b/>
                <w:sz w:val="21"/>
              </w:rPr>
              <w:t>毒品</w:t>
            </w:r>
          </w:p>
        </w:tc>
        <w:tc>
          <w:tcPr>
            <w:tcW w:w="7539" w:type="dxa"/>
          </w:tcPr>
          <w:p>
            <w:pPr>
              <w:pStyle w:val="TableParagraph"/>
              <w:spacing w:before="121"/>
              <w:ind w:left="107"/>
              <w:rPr>
                <w:sz w:val="18"/>
              </w:rPr>
            </w:pPr>
            <w:r>
              <w:rPr>
                <w:sz w:val="18"/>
              </w:rPr>
              <w:t>指《中华人民共和国刑法》规定的鸦片、海洛因、甲基苯丙胺（冰毒</w:t>
            </w:r>
            <w:r>
              <w:rPr>
                <w:spacing w:val="-89"/>
                <w:sz w:val="18"/>
              </w:rPr>
              <w:t>）</w:t>
            </w:r>
            <w:r>
              <w:rPr>
                <w:sz w:val="18"/>
              </w:rPr>
              <w:t>、吗啡、大麻、可卡因</w:t>
            </w:r>
          </w:p>
        </w:tc>
      </w:tr>
      <w:tr>
        <w:trPr>
          <w:trHeight w:val="302"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39" w:type="dxa"/>
          </w:tcPr>
          <w:p>
            <w:pPr>
              <w:pStyle w:val="TableParagraph"/>
              <w:spacing w:before="1"/>
              <w:ind w:left="107"/>
              <w:rPr>
                <w:sz w:val="18"/>
              </w:rPr>
            </w:pPr>
            <w:r>
              <w:rPr>
                <w:sz w:val="18"/>
              </w:rPr>
              <w:t>以及国家规定管制的其他能够使人形成瘾癖的麻醉药品和精神药品，但不包括由医生开具并遵</w:t>
            </w:r>
          </w:p>
        </w:tc>
      </w:tr>
      <w:tr>
        <w:trPr>
          <w:trHeight w:val="418"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39" w:type="dxa"/>
          </w:tcPr>
          <w:p>
            <w:pPr>
              <w:pStyle w:val="TableParagraph"/>
              <w:spacing w:before="10"/>
              <w:ind w:left="107"/>
              <w:rPr>
                <w:sz w:val="18"/>
              </w:rPr>
            </w:pPr>
            <w:r>
              <w:rPr>
                <w:sz w:val="18"/>
              </w:rPr>
              <w:t>医嘱使用的用于治疗疾病但含有毒品成分的处方药品。</w:t>
            </w:r>
          </w:p>
        </w:tc>
      </w:tr>
      <w:tr>
        <w:trPr>
          <w:trHeight w:val="752" w:hRule="atLeast"/>
        </w:trPr>
        <w:tc>
          <w:tcPr>
            <w:tcW w:w="550" w:type="dxa"/>
          </w:tcPr>
          <w:p>
            <w:pPr>
              <w:pStyle w:val="TableParagraph"/>
              <w:spacing w:before="46"/>
              <w:ind w:left="50"/>
              <w:rPr>
                <w:rFonts w:ascii="微软雅黑"/>
                <w:b/>
                <w:sz w:val="21"/>
              </w:rPr>
            </w:pPr>
            <w:r>
              <w:rPr>
                <w:rFonts w:ascii="微软雅黑"/>
                <w:b/>
                <w:sz w:val="21"/>
              </w:rPr>
              <w:t>8.6</w:t>
            </w:r>
          </w:p>
        </w:tc>
        <w:tc>
          <w:tcPr>
            <w:tcW w:w="1783" w:type="dxa"/>
          </w:tcPr>
          <w:p>
            <w:pPr>
              <w:pStyle w:val="TableParagraph"/>
              <w:spacing w:line="206" w:lineRule="auto" w:before="97"/>
              <w:ind w:left="183" w:right="104"/>
              <w:rPr>
                <w:rFonts w:ascii="微软雅黑" w:eastAsia="微软雅黑" w:hint="eastAsia"/>
                <w:b/>
                <w:sz w:val="21"/>
              </w:rPr>
            </w:pPr>
            <w:r>
              <w:rPr>
                <w:rFonts w:ascii="微软雅黑" w:eastAsia="微软雅黑" w:hint="eastAsia"/>
                <w:b/>
                <w:sz w:val="21"/>
              </w:rPr>
              <w:t>饮酒后驾驶或醉酒驾驶</w:t>
            </w:r>
          </w:p>
        </w:tc>
        <w:tc>
          <w:tcPr>
            <w:tcW w:w="7539" w:type="dxa"/>
          </w:tcPr>
          <w:p>
            <w:pPr>
              <w:pStyle w:val="TableParagraph"/>
              <w:spacing w:line="310" w:lineRule="atLeast" w:before="55"/>
              <w:ind w:left="107" w:right="85"/>
              <w:rPr>
                <w:sz w:val="18"/>
              </w:rPr>
            </w:pPr>
            <w:r>
              <w:rPr>
                <w:spacing w:val="-5"/>
                <w:sz w:val="18"/>
              </w:rPr>
              <w:t>指经检测或鉴定，发生事故时车辆驾驶人员每百毫升血液中的酒精含量或呼气酒精含量达到或</w:t>
            </w:r>
            <w:r>
              <w:rPr>
                <w:spacing w:val="-8"/>
                <w:sz w:val="18"/>
              </w:rPr>
              <w:t>超过一定的标准，公安机关交通管理部门依据《道路交通安全法》的规定认定为饮酒后驾驶或</w:t>
            </w:r>
          </w:p>
        </w:tc>
      </w:tr>
      <w:tr>
        <w:trPr>
          <w:trHeight w:val="410"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39" w:type="dxa"/>
          </w:tcPr>
          <w:p>
            <w:pPr>
              <w:pStyle w:val="TableParagraph"/>
              <w:spacing w:before="1"/>
              <w:ind w:left="107"/>
              <w:rPr>
                <w:sz w:val="18"/>
              </w:rPr>
            </w:pPr>
            <w:r>
              <w:rPr>
                <w:sz w:val="18"/>
              </w:rPr>
              <w:t>醉酒驾驶。</w:t>
            </w:r>
          </w:p>
        </w:tc>
      </w:tr>
      <w:tr>
        <w:trPr>
          <w:trHeight w:val="753" w:hRule="atLeast"/>
        </w:trPr>
        <w:tc>
          <w:tcPr>
            <w:tcW w:w="550" w:type="dxa"/>
          </w:tcPr>
          <w:p>
            <w:pPr>
              <w:pStyle w:val="TableParagraph"/>
              <w:spacing w:before="47"/>
              <w:ind w:left="50"/>
              <w:rPr>
                <w:rFonts w:ascii="微软雅黑"/>
                <w:b/>
                <w:sz w:val="21"/>
              </w:rPr>
            </w:pPr>
            <w:r>
              <w:rPr>
                <w:rFonts w:ascii="微软雅黑"/>
                <w:b/>
                <w:sz w:val="21"/>
              </w:rPr>
              <w:t>8.7</w:t>
            </w:r>
          </w:p>
        </w:tc>
        <w:tc>
          <w:tcPr>
            <w:tcW w:w="1783" w:type="dxa"/>
          </w:tcPr>
          <w:p>
            <w:pPr>
              <w:pStyle w:val="TableParagraph"/>
              <w:spacing w:line="206" w:lineRule="auto" w:before="98"/>
              <w:ind w:left="183" w:right="104"/>
              <w:rPr>
                <w:rFonts w:ascii="微软雅黑" w:eastAsia="微软雅黑" w:hint="eastAsia"/>
                <w:b/>
                <w:sz w:val="21"/>
              </w:rPr>
            </w:pPr>
            <w:r>
              <w:rPr>
                <w:rFonts w:ascii="微软雅黑" w:eastAsia="微软雅黑" w:hint="eastAsia"/>
                <w:b/>
                <w:sz w:val="21"/>
              </w:rPr>
              <w:t>无合法有效驾驶证驾驶</w:t>
            </w:r>
          </w:p>
        </w:tc>
        <w:tc>
          <w:tcPr>
            <w:tcW w:w="7539" w:type="dxa"/>
          </w:tcPr>
          <w:p>
            <w:pPr>
              <w:pStyle w:val="TableParagraph"/>
              <w:spacing w:before="130"/>
              <w:ind w:left="107"/>
              <w:rPr>
                <w:sz w:val="18"/>
              </w:rPr>
            </w:pPr>
            <w:r>
              <w:rPr>
                <w:sz w:val="18"/>
              </w:rPr>
              <w:t>指下列情形之一：</w:t>
            </w:r>
          </w:p>
          <w:p>
            <w:pPr>
              <w:pStyle w:val="TableParagraph"/>
              <w:spacing w:before="75"/>
              <w:ind w:left="107"/>
              <w:rPr>
                <w:sz w:val="18"/>
              </w:rPr>
            </w:pPr>
            <w:r>
              <w:rPr>
                <w:sz w:val="18"/>
              </w:rPr>
              <w:t>(1) 没有取得驾驶资格；</w:t>
            </w:r>
          </w:p>
        </w:tc>
      </w:tr>
      <w:tr>
        <w:trPr>
          <w:trHeight w:val="302"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39" w:type="dxa"/>
          </w:tcPr>
          <w:p>
            <w:pPr>
              <w:pStyle w:val="TableParagraph"/>
              <w:spacing w:before="1"/>
              <w:ind w:left="107"/>
              <w:rPr>
                <w:sz w:val="18"/>
              </w:rPr>
            </w:pPr>
            <w:r>
              <w:rPr>
                <w:sz w:val="18"/>
              </w:rPr>
              <w:t>(2) 驾驶与驾驶证准驾车型不相符合的车辆；</w:t>
            </w:r>
          </w:p>
        </w:tc>
      </w:tr>
      <w:tr>
        <w:trPr>
          <w:trHeight w:val="312" w:hRule="atLeast"/>
        </w:trPr>
        <w:tc>
          <w:tcPr>
            <w:tcW w:w="550" w:type="dxa"/>
          </w:tcPr>
          <w:p>
            <w:pPr>
              <w:pStyle w:val="TableParagraph"/>
              <w:rPr>
                <w:rFonts w:ascii="Times New Roman"/>
                <w:sz w:val="18"/>
              </w:rPr>
            </w:pPr>
          </w:p>
        </w:tc>
        <w:tc>
          <w:tcPr>
            <w:tcW w:w="1783" w:type="dxa"/>
          </w:tcPr>
          <w:p>
            <w:pPr>
              <w:pStyle w:val="TableParagraph"/>
              <w:rPr>
                <w:rFonts w:ascii="Times New Roman"/>
                <w:sz w:val="18"/>
              </w:rPr>
            </w:pPr>
          </w:p>
        </w:tc>
        <w:tc>
          <w:tcPr>
            <w:tcW w:w="7539" w:type="dxa"/>
          </w:tcPr>
          <w:p>
            <w:pPr>
              <w:pStyle w:val="TableParagraph"/>
              <w:spacing w:before="10"/>
              <w:ind w:left="107"/>
              <w:rPr>
                <w:sz w:val="18"/>
              </w:rPr>
            </w:pPr>
            <w:r>
              <w:rPr>
                <w:sz w:val="18"/>
              </w:rPr>
              <w:t>(3) 持审验不合格的驾驶证驾驶；</w:t>
            </w:r>
          </w:p>
        </w:tc>
      </w:tr>
      <w:tr>
        <w:trPr>
          <w:trHeight w:val="245" w:hRule="atLeast"/>
        </w:trPr>
        <w:tc>
          <w:tcPr>
            <w:tcW w:w="550" w:type="dxa"/>
          </w:tcPr>
          <w:p>
            <w:pPr>
              <w:pStyle w:val="TableParagraph"/>
              <w:rPr>
                <w:rFonts w:ascii="Times New Roman"/>
                <w:sz w:val="16"/>
              </w:rPr>
            </w:pPr>
          </w:p>
        </w:tc>
        <w:tc>
          <w:tcPr>
            <w:tcW w:w="1783" w:type="dxa"/>
          </w:tcPr>
          <w:p>
            <w:pPr>
              <w:pStyle w:val="TableParagraph"/>
              <w:rPr>
                <w:rFonts w:ascii="Times New Roman"/>
                <w:sz w:val="16"/>
              </w:rPr>
            </w:pPr>
          </w:p>
        </w:tc>
        <w:tc>
          <w:tcPr>
            <w:tcW w:w="7539" w:type="dxa"/>
          </w:tcPr>
          <w:p>
            <w:pPr>
              <w:pStyle w:val="TableParagraph"/>
              <w:spacing w:line="216" w:lineRule="exact" w:before="10"/>
              <w:ind w:left="107"/>
              <w:rPr>
                <w:sz w:val="18"/>
              </w:rPr>
            </w:pPr>
            <w:r>
              <w:rPr>
                <w:sz w:val="18"/>
              </w:rPr>
              <w:t>(4) 持学习驾驶证学习驾车时，无教练员随车指导，或不按指定时间、路线学习驾车。</w:t>
            </w:r>
          </w:p>
        </w:tc>
      </w:tr>
    </w:tbl>
    <w:p>
      <w:pPr>
        <w:spacing w:after="0" w:line="216" w:lineRule="exact"/>
        <w:rPr>
          <w:sz w:val="18"/>
        </w:rPr>
        <w:sectPr>
          <w:pgSz w:w="11910" w:h="16840"/>
          <w:pgMar w:header="872" w:footer="977" w:top="1100" w:bottom="1160" w:left="1080" w:right="660"/>
        </w:sectPr>
      </w:pPr>
    </w:p>
    <w:p>
      <w:pPr>
        <w:pStyle w:val="BodyText"/>
        <w:spacing w:before="2"/>
        <w:rPr>
          <w:sz w:val="19"/>
        </w:rPr>
      </w:pPr>
    </w:p>
    <w:p>
      <w:pPr>
        <w:pStyle w:val="ListParagraph"/>
        <w:numPr>
          <w:ilvl w:val="1"/>
          <w:numId w:val="19"/>
        </w:numPr>
        <w:tabs>
          <w:tab w:pos="827" w:val="left" w:leader="none"/>
          <w:tab w:pos="828" w:val="left" w:leader="none"/>
          <w:tab w:pos="2533" w:val="left" w:leader="none"/>
        </w:tabs>
        <w:spacing w:line="337" w:lineRule="exact" w:before="0" w:after="0"/>
        <w:ind w:left="2533" w:right="0" w:hanging="2390"/>
        <w:jc w:val="left"/>
        <w:rPr>
          <w:sz w:val="18"/>
        </w:rPr>
      </w:pPr>
      <w:r>
        <w:rPr>
          <w:rFonts w:ascii="微软雅黑" w:eastAsia="微软雅黑" w:hint="eastAsia"/>
          <w:b/>
          <w:sz w:val="21"/>
        </w:rPr>
        <w:t>无有效行驶证</w:t>
        <w:tab/>
      </w:r>
      <w:r>
        <w:rPr>
          <w:position w:val="1"/>
          <w:sz w:val="18"/>
        </w:rPr>
        <w:t>指下列情形之一：</w:t>
      </w:r>
    </w:p>
    <w:p>
      <w:pPr>
        <w:pStyle w:val="ListParagraph"/>
        <w:numPr>
          <w:ilvl w:val="2"/>
          <w:numId w:val="19"/>
        </w:numPr>
        <w:tabs>
          <w:tab w:pos="2904" w:val="left" w:leader="none"/>
        </w:tabs>
        <w:spacing w:line="240" w:lineRule="auto" w:before="32" w:after="0"/>
        <w:ind w:left="2903" w:right="0" w:hanging="370"/>
        <w:jc w:val="left"/>
        <w:rPr>
          <w:sz w:val="18"/>
        </w:rPr>
      </w:pPr>
      <w:r>
        <w:rPr>
          <w:sz w:val="18"/>
        </w:rPr>
        <w:t>机动车被依法注销登记的；</w:t>
      </w:r>
    </w:p>
    <w:p>
      <w:pPr>
        <w:pStyle w:val="ListParagraph"/>
        <w:numPr>
          <w:ilvl w:val="2"/>
          <w:numId w:val="19"/>
        </w:numPr>
        <w:tabs>
          <w:tab w:pos="2897" w:val="left" w:leader="none"/>
        </w:tabs>
        <w:spacing w:line="240" w:lineRule="auto" w:before="76" w:after="0"/>
        <w:ind w:left="2896" w:right="0" w:hanging="363"/>
        <w:jc w:val="left"/>
        <w:rPr>
          <w:sz w:val="18"/>
        </w:rPr>
      </w:pPr>
      <w:r>
        <w:rPr>
          <w:spacing w:val="-1"/>
          <w:sz w:val="18"/>
        </w:rPr>
        <w:t>未依法按时进行或通过机动车安全技术检验。</w:t>
      </w:r>
    </w:p>
    <w:p>
      <w:pPr>
        <w:pStyle w:val="BodyText"/>
        <w:spacing w:before="9"/>
        <w:rPr>
          <w:sz w:val="16"/>
        </w:rPr>
      </w:pPr>
    </w:p>
    <w:p>
      <w:pPr>
        <w:pStyle w:val="ListParagraph"/>
        <w:numPr>
          <w:ilvl w:val="1"/>
          <w:numId w:val="19"/>
        </w:numPr>
        <w:tabs>
          <w:tab w:pos="827" w:val="left" w:leader="none"/>
          <w:tab w:pos="828" w:val="left" w:leader="none"/>
          <w:tab w:pos="2533" w:val="left" w:leader="none"/>
        </w:tabs>
        <w:spacing w:line="261" w:lineRule="auto" w:before="0" w:after="0"/>
        <w:ind w:left="2533" w:right="105" w:hanging="2390"/>
        <w:jc w:val="left"/>
        <w:rPr>
          <w:sz w:val="18"/>
        </w:rPr>
      </w:pPr>
      <w:r>
        <w:rPr>
          <w:rFonts w:ascii="微软雅黑" w:eastAsia="微软雅黑" w:hint="eastAsia"/>
          <w:b/>
          <w:sz w:val="21"/>
        </w:rPr>
        <w:t>现金价值</w:t>
        <w:tab/>
      </w:r>
      <w:r>
        <w:rPr>
          <w:position w:val="1"/>
          <w:sz w:val="18"/>
        </w:rPr>
        <w:t>指保险单所具有的价值</w:t>
      </w:r>
      <w:r>
        <w:rPr>
          <w:spacing w:val="-13"/>
          <w:position w:val="1"/>
          <w:sz w:val="18"/>
        </w:rPr>
        <w:t>，</w:t>
      </w:r>
      <w:r>
        <w:rPr>
          <w:position w:val="1"/>
          <w:sz w:val="18"/>
        </w:rPr>
        <w:t>通常体现为解除合同时</w:t>
      </w:r>
      <w:r>
        <w:rPr>
          <w:spacing w:val="-12"/>
          <w:position w:val="1"/>
          <w:sz w:val="18"/>
        </w:rPr>
        <w:t>，</w:t>
      </w:r>
      <w:r>
        <w:rPr>
          <w:position w:val="1"/>
          <w:sz w:val="18"/>
        </w:rPr>
        <w:t>根据精算原理计算的</w:t>
      </w:r>
      <w:r>
        <w:rPr>
          <w:spacing w:val="-13"/>
          <w:position w:val="1"/>
          <w:sz w:val="18"/>
        </w:rPr>
        <w:t>，</w:t>
      </w:r>
      <w:r>
        <w:rPr>
          <w:position w:val="1"/>
          <w:sz w:val="18"/>
        </w:rPr>
        <w:t>由本公司退还的那部</w:t>
      </w:r>
      <w:r>
        <w:rPr>
          <w:sz w:val="18"/>
        </w:rPr>
        <w:t>分金额。</w:t>
      </w:r>
    </w:p>
    <w:p>
      <w:pPr>
        <w:pStyle w:val="BodyText"/>
        <w:spacing w:before="8"/>
        <w:rPr>
          <w:sz w:val="15"/>
        </w:rPr>
      </w:pPr>
    </w:p>
    <w:p>
      <w:pPr>
        <w:pStyle w:val="ListParagraph"/>
        <w:numPr>
          <w:ilvl w:val="1"/>
          <w:numId w:val="19"/>
        </w:numPr>
        <w:tabs>
          <w:tab w:pos="827" w:val="left" w:leader="none"/>
          <w:tab w:pos="828" w:val="left" w:leader="none"/>
          <w:tab w:pos="2533" w:val="left" w:leader="none"/>
        </w:tabs>
        <w:spacing w:line="261" w:lineRule="auto" w:before="0" w:after="0"/>
        <w:ind w:left="2533" w:right="108" w:hanging="2390"/>
        <w:jc w:val="left"/>
        <w:rPr>
          <w:sz w:val="18"/>
        </w:rPr>
      </w:pPr>
      <w:r>
        <w:rPr>
          <w:rFonts w:ascii="微软雅黑" w:eastAsia="微软雅黑" w:hint="eastAsia"/>
          <w:b/>
          <w:sz w:val="21"/>
        </w:rPr>
        <w:t>艾滋病</w:t>
        <w:tab/>
      </w:r>
      <w:r>
        <w:rPr>
          <w:position w:val="1"/>
          <w:sz w:val="18"/>
        </w:rPr>
        <w:t>获得性免疫力缺乏综合</w:t>
      </w:r>
      <w:r>
        <w:rPr>
          <w:spacing w:val="-12"/>
          <w:position w:val="1"/>
          <w:sz w:val="18"/>
        </w:rPr>
        <w:t>征</w:t>
      </w:r>
      <w:r>
        <w:rPr>
          <w:spacing w:val="-3"/>
          <w:position w:val="1"/>
          <w:sz w:val="18"/>
        </w:rPr>
        <w:t>（AIDS）</w:t>
      </w:r>
      <w:r>
        <w:rPr>
          <w:position w:val="1"/>
          <w:sz w:val="18"/>
        </w:rPr>
        <w:t>的简称</w:t>
      </w:r>
      <w:r>
        <w:rPr>
          <w:spacing w:val="-12"/>
          <w:position w:val="1"/>
          <w:sz w:val="18"/>
        </w:rPr>
        <w:t>。</w:t>
      </w:r>
      <w:r>
        <w:rPr>
          <w:position w:val="1"/>
          <w:sz w:val="18"/>
        </w:rPr>
        <w:t>在人体血液或其</w:t>
      </w:r>
      <w:r>
        <w:rPr>
          <w:spacing w:val="-3"/>
          <w:position w:val="1"/>
          <w:sz w:val="18"/>
        </w:rPr>
        <w:t>它</w:t>
      </w:r>
      <w:r>
        <w:rPr>
          <w:position w:val="1"/>
          <w:sz w:val="18"/>
        </w:rPr>
        <w:t>样本中检测到人类免疫缺陷病毒 </w:t>
      </w:r>
      <w:r>
        <w:rPr>
          <w:sz w:val="18"/>
        </w:rPr>
        <w:t>或其抗体呈阳性，同时出现了明显临床症状或体征，则可认为患艾滋病。</w:t>
      </w:r>
    </w:p>
    <w:p>
      <w:pPr>
        <w:pStyle w:val="BodyText"/>
        <w:spacing w:before="8"/>
        <w:rPr>
          <w:sz w:val="15"/>
        </w:rPr>
      </w:pPr>
    </w:p>
    <w:p>
      <w:pPr>
        <w:pStyle w:val="ListParagraph"/>
        <w:numPr>
          <w:ilvl w:val="1"/>
          <w:numId w:val="19"/>
        </w:numPr>
        <w:tabs>
          <w:tab w:pos="827" w:val="left" w:leader="none"/>
          <w:tab w:pos="828" w:val="left" w:leader="none"/>
          <w:tab w:pos="2533" w:val="left" w:leader="none"/>
        </w:tabs>
        <w:spacing w:line="261" w:lineRule="auto" w:before="0" w:after="0"/>
        <w:ind w:left="2533" w:right="158" w:hanging="2390"/>
        <w:jc w:val="left"/>
        <w:rPr>
          <w:sz w:val="18"/>
        </w:rPr>
      </w:pPr>
      <w:r>
        <w:rPr>
          <w:rFonts w:ascii="微软雅黑" w:eastAsia="微软雅黑" w:hint="eastAsia"/>
          <w:b/>
          <w:sz w:val="21"/>
        </w:rPr>
        <w:t>艾滋病病毒</w:t>
        <w:tab/>
      </w:r>
      <w:r>
        <w:rPr>
          <w:position w:val="1"/>
          <w:sz w:val="18"/>
        </w:rPr>
        <w:t>人类免疫缺陷病毒（HIV）的</w:t>
      </w:r>
      <w:r>
        <w:rPr>
          <w:spacing w:val="-3"/>
          <w:position w:val="1"/>
          <w:sz w:val="18"/>
        </w:rPr>
        <w:t>简</w:t>
      </w:r>
      <w:r>
        <w:rPr>
          <w:position w:val="1"/>
          <w:sz w:val="18"/>
        </w:rPr>
        <w:t>称。如在人体血液或其它样本中检测到人类免疫缺陷病毒或其 </w:t>
      </w:r>
      <w:r>
        <w:rPr>
          <w:sz w:val="18"/>
        </w:rPr>
        <w:t>抗体呈阳性，没有出现临床症状或体征，则可认定为感染艾滋病病毒。</w:t>
      </w:r>
    </w:p>
    <w:p>
      <w:pPr>
        <w:pStyle w:val="BodyText"/>
        <w:spacing w:before="6"/>
        <w:rPr>
          <w:sz w:val="15"/>
        </w:rPr>
      </w:pPr>
    </w:p>
    <w:p>
      <w:pPr>
        <w:pStyle w:val="ListParagraph"/>
        <w:numPr>
          <w:ilvl w:val="1"/>
          <w:numId w:val="19"/>
        </w:numPr>
        <w:tabs>
          <w:tab w:pos="827" w:val="left" w:leader="none"/>
          <w:tab w:pos="828" w:val="left" w:leader="none"/>
          <w:tab w:pos="2533" w:val="left" w:leader="none"/>
        </w:tabs>
        <w:spacing w:line="261" w:lineRule="auto" w:before="0" w:after="0"/>
        <w:ind w:left="2533" w:right="105" w:hanging="2390"/>
        <w:jc w:val="left"/>
        <w:rPr>
          <w:sz w:val="18"/>
        </w:rPr>
      </w:pPr>
      <w:r>
        <w:rPr>
          <w:rFonts w:ascii="微软雅黑" w:eastAsia="微软雅黑" w:hint="eastAsia"/>
          <w:b/>
          <w:sz w:val="21"/>
        </w:rPr>
        <w:t>遗传性疾病</w:t>
        <w:tab/>
      </w:r>
      <w:r>
        <w:rPr>
          <w:position w:val="1"/>
          <w:sz w:val="18"/>
        </w:rPr>
        <w:t>指生殖细胞或受精卵的遗传物</w:t>
      </w:r>
      <w:r>
        <w:rPr>
          <w:spacing w:val="-12"/>
          <w:position w:val="1"/>
          <w:sz w:val="18"/>
        </w:rPr>
        <w:t>质</w:t>
      </w:r>
      <w:r>
        <w:rPr>
          <w:position w:val="1"/>
          <w:sz w:val="18"/>
        </w:rPr>
        <w:t>（染色体和基因</w:t>
      </w:r>
      <w:r>
        <w:rPr>
          <w:spacing w:val="-12"/>
          <w:position w:val="1"/>
          <w:sz w:val="18"/>
        </w:rPr>
        <w:t>）</w:t>
      </w:r>
      <w:r>
        <w:rPr>
          <w:position w:val="1"/>
          <w:sz w:val="18"/>
        </w:rPr>
        <w:t>发生突变或畸变所引起的疾病</w:t>
      </w:r>
      <w:r>
        <w:rPr>
          <w:spacing w:val="-13"/>
          <w:position w:val="1"/>
          <w:sz w:val="18"/>
        </w:rPr>
        <w:t>，</w:t>
      </w:r>
      <w:r>
        <w:rPr>
          <w:position w:val="1"/>
          <w:sz w:val="18"/>
        </w:rPr>
        <w:t>通常具有由</w:t>
      </w:r>
      <w:r>
        <w:rPr>
          <w:sz w:val="18"/>
        </w:rPr>
        <w:t>亲代传至后代的垂直传递的特征。</w:t>
      </w:r>
    </w:p>
    <w:p>
      <w:pPr>
        <w:pStyle w:val="BodyText"/>
        <w:spacing w:before="8"/>
        <w:rPr>
          <w:sz w:val="17"/>
        </w:rPr>
      </w:pPr>
    </w:p>
    <w:p>
      <w:pPr>
        <w:spacing w:after="0"/>
        <w:rPr>
          <w:sz w:val="17"/>
        </w:rPr>
        <w:sectPr>
          <w:pgSz w:w="11910" w:h="16840"/>
          <w:pgMar w:header="872" w:footer="977" w:top="1100" w:bottom="1160" w:left="1160" w:right="760"/>
        </w:sectPr>
      </w:pPr>
    </w:p>
    <w:p>
      <w:pPr>
        <w:pStyle w:val="Heading3"/>
        <w:numPr>
          <w:ilvl w:val="1"/>
          <w:numId w:val="19"/>
        </w:numPr>
        <w:tabs>
          <w:tab w:pos="827" w:val="left" w:leader="none"/>
          <w:tab w:pos="828" w:val="left" w:leader="none"/>
        </w:tabs>
        <w:spacing w:line="312" w:lineRule="exact" w:before="0" w:after="0"/>
        <w:ind w:left="2533" w:right="0" w:hanging="2390"/>
        <w:jc w:val="left"/>
      </w:pPr>
      <w:r>
        <w:rPr/>
        <w:t>先天性畸形、变</w:t>
      </w:r>
    </w:p>
    <w:p>
      <w:pPr>
        <w:spacing w:line="337" w:lineRule="exact" w:before="0"/>
        <w:ind w:left="827" w:right="0" w:firstLine="0"/>
        <w:jc w:val="left"/>
        <w:rPr>
          <w:rFonts w:ascii="微软雅黑" w:eastAsia="微软雅黑" w:hint="eastAsia"/>
          <w:b/>
          <w:sz w:val="21"/>
        </w:rPr>
      </w:pPr>
      <w:r>
        <w:rPr>
          <w:rFonts w:ascii="微软雅黑" w:eastAsia="微软雅黑" w:hint="eastAsia"/>
          <w:b/>
          <w:sz w:val="21"/>
        </w:rPr>
        <w:t>形或染色体异常</w:t>
      </w:r>
    </w:p>
    <w:p>
      <w:pPr>
        <w:pStyle w:val="BodyText"/>
        <w:spacing w:line="319" w:lineRule="auto" w:before="57"/>
        <w:ind w:left="143" w:right="50"/>
      </w:pPr>
      <w:r>
        <w:rPr/>
        <w:br w:type="column"/>
      </w:r>
      <w:r>
        <w:rPr/>
        <w:t>指被保险人出生时就具有的畸形、变形或染色体异常。先天性畸形、变形和染色体异常依照世界卫生组织《疾病和有关健康问题的国际统计分类》（ICD-10）确定。</w:t>
      </w:r>
    </w:p>
    <w:p>
      <w:pPr>
        <w:spacing w:after="0" w:line="319" w:lineRule="auto"/>
        <w:sectPr>
          <w:type w:val="continuous"/>
          <w:pgSz w:w="11910" w:h="16840"/>
          <w:pgMar w:top="1060" w:bottom="1160" w:left="1160" w:right="760"/>
          <w:cols w:num="2" w:equalWidth="0">
            <w:col w:w="2321" w:space="70"/>
            <w:col w:w="7599"/>
          </w:cols>
        </w:sectPr>
      </w:pPr>
    </w:p>
    <w:p>
      <w:pPr>
        <w:pStyle w:val="BodyText"/>
        <w:spacing w:before="1"/>
        <w:rPr>
          <w:sz w:val="14"/>
        </w:rPr>
      </w:pPr>
    </w:p>
    <w:p>
      <w:pPr>
        <w:pStyle w:val="ListParagraph"/>
        <w:numPr>
          <w:ilvl w:val="1"/>
          <w:numId w:val="19"/>
        </w:numPr>
        <w:tabs>
          <w:tab w:pos="827" w:val="left" w:leader="none"/>
          <w:tab w:pos="828" w:val="left" w:leader="none"/>
          <w:tab w:pos="2533" w:val="left" w:leader="none"/>
        </w:tabs>
        <w:spacing w:line="337" w:lineRule="exact" w:before="0" w:after="0"/>
        <w:ind w:left="2533" w:right="0" w:hanging="2390"/>
        <w:jc w:val="left"/>
        <w:rPr>
          <w:sz w:val="18"/>
        </w:rPr>
      </w:pPr>
      <w:r>
        <w:rPr>
          <w:rFonts w:ascii="微软雅黑" w:eastAsia="微软雅黑" w:hint="eastAsia"/>
          <w:b/>
          <w:sz w:val="21"/>
        </w:rPr>
        <w:t>利息</w:t>
        <w:tab/>
      </w:r>
      <w:r>
        <w:rPr>
          <w:position w:val="1"/>
          <w:sz w:val="18"/>
        </w:rPr>
        <w:t>除本附加合同另有约定外,本附加合同中提到的利息一律按年复利方式计算。</w:t>
      </w:r>
    </w:p>
    <w:p>
      <w:pPr>
        <w:pStyle w:val="ListParagraph"/>
        <w:numPr>
          <w:ilvl w:val="1"/>
          <w:numId w:val="19"/>
        </w:numPr>
        <w:tabs>
          <w:tab w:pos="827" w:val="left" w:leader="none"/>
          <w:tab w:pos="828" w:val="left" w:leader="none"/>
          <w:tab w:pos="2533" w:val="left" w:leader="none"/>
        </w:tabs>
        <w:spacing w:line="261" w:lineRule="auto" w:before="177" w:after="0"/>
        <w:ind w:left="2533" w:right="158" w:hanging="2390"/>
        <w:jc w:val="left"/>
        <w:rPr>
          <w:sz w:val="18"/>
        </w:rPr>
      </w:pPr>
      <w:r>
        <w:rPr>
          <w:rFonts w:ascii="微软雅黑" w:eastAsia="微软雅黑" w:hint="eastAsia"/>
          <w:b/>
          <w:sz w:val="21"/>
        </w:rPr>
        <w:t>意外伤害</w:t>
        <w:tab/>
      </w:r>
      <w:r>
        <w:rPr>
          <w:position w:val="1"/>
          <w:sz w:val="18"/>
        </w:rPr>
        <w:t>指因遭受意外事故并以此为直接且单独原因导致的身体伤害(包括残疾、身故、烧伤、重要器</w:t>
      </w:r>
      <w:r>
        <w:rPr>
          <w:sz w:val="18"/>
        </w:rPr>
        <w:t>官切除)。</w:t>
      </w:r>
    </w:p>
    <w:p>
      <w:pPr>
        <w:spacing w:after="0" w:line="261" w:lineRule="auto"/>
        <w:jc w:val="left"/>
        <w:rPr>
          <w:sz w:val="18"/>
        </w:rPr>
        <w:sectPr>
          <w:type w:val="continuous"/>
          <w:pgSz w:w="11910" w:h="16840"/>
          <w:pgMar w:top="1060" w:bottom="1160" w:left="1160" w:right="760"/>
        </w:sectPr>
      </w:pPr>
    </w:p>
    <w:p>
      <w:pPr>
        <w:pStyle w:val="BodyText"/>
        <w:spacing w:before="2"/>
        <w:rPr>
          <w:sz w:val="19"/>
        </w:rPr>
      </w:pPr>
    </w:p>
    <w:p>
      <w:pPr>
        <w:pStyle w:val="Heading3"/>
        <w:ind w:left="3803" w:right="3866"/>
        <w:jc w:val="center"/>
      </w:pPr>
      <w:r>
        <w:rPr/>
        <w:t>附表一：重大疾病说明</w:t>
      </w:r>
    </w:p>
    <w:p>
      <w:pPr>
        <w:pStyle w:val="BodyText"/>
        <w:spacing w:before="0"/>
        <w:rPr>
          <w:rFonts w:ascii="微软雅黑"/>
          <w:b/>
          <w:sz w:val="15"/>
        </w:rPr>
      </w:pPr>
    </w:p>
    <w:p>
      <w:pPr>
        <w:pStyle w:val="Heading4"/>
        <w:spacing w:line="310" w:lineRule="exact"/>
        <w:ind w:left="143" w:firstLine="0"/>
      </w:pPr>
      <w:r>
        <w:rPr/>
        <w:t>重大疾病：指下列疾病或手术之一，应当由专科医生（见注 1）明确诊断。其中第 1 至 25 种疾病特指定义在中国保险行</w:t>
      </w:r>
    </w:p>
    <w:p>
      <w:pPr>
        <w:spacing w:before="0"/>
        <w:ind w:left="143" w:right="208" w:firstLine="0"/>
        <w:jc w:val="left"/>
        <w:rPr>
          <w:rFonts w:ascii="微软雅黑" w:hAnsi="微软雅黑" w:eastAsia="微软雅黑" w:hint="eastAsia"/>
          <w:b/>
          <w:sz w:val="18"/>
        </w:rPr>
      </w:pPr>
      <w:r>
        <w:rPr>
          <w:rFonts w:ascii="微软雅黑" w:hAnsi="微软雅黑" w:eastAsia="微软雅黑" w:hint="eastAsia"/>
          <w:b/>
          <w:spacing w:val="-2"/>
          <w:sz w:val="18"/>
        </w:rPr>
        <w:t>业协会《重大疾病保险的疾病定义使用规范</w:t>
      </w:r>
      <w:r>
        <w:rPr>
          <w:rFonts w:ascii="微软雅黑" w:hAnsi="微软雅黑" w:eastAsia="微软雅黑" w:hint="eastAsia"/>
          <w:b/>
          <w:spacing w:val="-97"/>
          <w:sz w:val="18"/>
        </w:rPr>
        <w:t>》</w:t>
      </w:r>
      <w:r>
        <w:rPr>
          <w:rFonts w:ascii="微软雅黑" w:hAnsi="微软雅黑" w:eastAsia="微软雅黑" w:hint="eastAsia"/>
          <w:b/>
          <w:sz w:val="18"/>
        </w:rPr>
        <w:t>（</w:t>
      </w:r>
      <w:r>
        <w:rPr>
          <w:rFonts w:ascii="微软雅黑" w:hAnsi="微软雅黑" w:eastAsia="微软雅黑" w:hint="eastAsia"/>
          <w:b/>
          <w:spacing w:val="-13"/>
          <w:sz w:val="18"/>
        </w:rPr>
        <w:t>以下简称“规范”</w:t>
      </w:r>
      <w:r>
        <w:rPr>
          <w:rFonts w:ascii="微软雅黑" w:hAnsi="微软雅黑" w:eastAsia="微软雅黑" w:hint="eastAsia"/>
          <w:b/>
          <w:spacing w:val="-8"/>
          <w:sz w:val="18"/>
        </w:rPr>
        <w:t>）</w:t>
      </w:r>
      <w:r>
        <w:rPr>
          <w:rFonts w:ascii="微软雅黑" w:hAnsi="微软雅黑" w:eastAsia="微软雅黑" w:hint="eastAsia"/>
          <w:b/>
          <w:sz w:val="18"/>
        </w:rPr>
        <w:t>中的重大疾病</w:t>
      </w:r>
      <w:r>
        <w:rPr>
          <w:rFonts w:ascii="微软雅黑" w:hAnsi="微软雅黑" w:eastAsia="微软雅黑" w:hint="eastAsia"/>
          <w:b/>
          <w:spacing w:val="0"/>
          <w:w w:val="175"/>
          <w:sz w:val="18"/>
        </w:rPr>
        <w:t>,</w:t>
      </w:r>
      <w:r>
        <w:rPr>
          <w:rFonts w:ascii="微软雅黑" w:hAnsi="微软雅黑" w:eastAsia="微软雅黑" w:hint="eastAsia"/>
          <w:b/>
          <w:spacing w:val="-4"/>
          <w:sz w:val="18"/>
        </w:rPr>
        <w:t>第 </w:t>
      </w:r>
      <w:r>
        <w:rPr>
          <w:rFonts w:ascii="微软雅黑" w:hAnsi="微软雅黑" w:eastAsia="微软雅黑" w:hint="eastAsia"/>
          <w:b/>
          <w:spacing w:val="0"/>
          <w:w w:val="81"/>
          <w:sz w:val="18"/>
        </w:rPr>
        <w:t>2</w:t>
      </w:r>
      <w:r>
        <w:rPr>
          <w:rFonts w:ascii="微软雅黑" w:hAnsi="微软雅黑" w:eastAsia="微软雅黑" w:hint="eastAsia"/>
          <w:b/>
          <w:w w:val="81"/>
          <w:sz w:val="18"/>
        </w:rPr>
        <w:t>6</w:t>
      </w:r>
      <w:r>
        <w:rPr>
          <w:rFonts w:ascii="微软雅黑" w:hAnsi="微软雅黑" w:eastAsia="微软雅黑" w:hint="eastAsia"/>
          <w:b/>
          <w:spacing w:val="-6"/>
          <w:sz w:val="18"/>
        </w:rPr>
        <w:t> 至 </w:t>
      </w:r>
      <w:r>
        <w:rPr>
          <w:rFonts w:ascii="微软雅黑" w:hAnsi="微软雅黑" w:eastAsia="微软雅黑" w:hint="eastAsia"/>
          <w:b/>
          <w:spacing w:val="0"/>
          <w:w w:val="81"/>
          <w:sz w:val="18"/>
        </w:rPr>
        <w:t>8</w:t>
      </w:r>
      <w:r>
        <w:rPr>
          <w:rFonts w:ascii="微软雅黑" w:hAnsi="微软雅黑" w:eastAsia="微软雅黑" w:hint="eastAsia"/>
          <w:b/>
          <w:w w:val="81"/>
          <w:sz w:val="18"/>
        </w:rPr>
        <w:t>0</w:t>
      </w:r>
      <w:r>
        <w:rPr>
          <w:rFonts w:ascii="微软雅黑" w:hAnsi="微软雅黑" w:eastAsia="微软雅黑" w:hint="eastAsia"/>
          <w:b/>
          <w:spacing w:val="-4"/>
          <w:sz w:val="18"/>
        </w:rPr>
        <w:t> 种重大疾病为“规范”规定范围之外的疾病。</w:t>
      </w:r>
    </w:p>
    <w:p>
      <w:pPr>
        <w:pStyle w:val="BodyText"/>
        <w:spacing w:before="6"/>
        <w:rPr>
          <w:rFonts w:ascii="微软雅黑"/>
          <w:b/>
          <w:sz w:val="16"/>
        </w:rPr>
      </w:pPr>
    </w:p>
    <w:p>
      <w:pPr>
        <w:pStyle w:val="ListParagraph"/>
        <w:numPr>
          <w:ilvl w:val="0"/>
          <w:numId w:val="20"/>
        </w:numPr>
        <w:tabs>
          <w:tab w:pos="600" w:val="left" w:leader="none"/>
          <w:tab w:pos="2675" w:val="left" w:leader="none"/>
        </w:tabs>
        <w:spacing w:line="304" w:lineRule="auto" w:before="0" w:after="0"/>
        <w:ind w:left="2675" w:right="216" w:hanging="2436"/>
        <w:jc w:val="left"/>
        <w:rPr>
          <w:sz w:val="18"/>
        </w:rPr>
      </w:pPr>
      <w:r>
        <w:rPr>
          <w:rFonts w:ascii="微软雅黑" w:eastAsia="微软雅黑" w:hint="eastAsia"/>
          <w:b/>
          <w:sz w:val="18"/>
        </w:rPr>
        <w:t>恶性肿瘤</w:t>
        <w:tab/>
      </w:r>
      <w:r>
        <w:rPr>
          <w:sz w:val="18"/>
        </w:rPr>
        <w:t>指恶性细胞不受控制的进行性增长和扩散，浸润和破坏周围正常组织，可以经血管、淋 巴管和体腔扩散转移到身体其它部位的疾病。经病理学检查结果明确诊断，临床诊断属于世界卫生组织《疾病和有关健康问题的国际统计分类</w:t>
      </w:r>
      <w:r>
        <w:rPr>
          <w:spacing w:val="-92"/>
          <w:sz w:val="18"/>
        </w:rPr>
        <w:t>》</w:t>
      </w:r>
      <w:r>
        <w:rPr>
          <w:sz w:val="18"/>
        </w:rPr>
        <w:t>（ICD-10）的恶性肿瘤范畴。</w:t>
      </w:r>
      <w:r>
        <w:rPr>
          <w:sz w:val="18"/>
          <w:shd w:fill="C0C0C0" w:color="auto" w:val="clear"/>
        </w:rPr>
        <w:t>下列疾病不在保障范围内：</w:t>
      </w:r>
    </w:p>
    <w:p>
      <w:pPr>
        <w:pStyle w:val="ListParagraph"/>
        <w:numPr>
          <w:ilvl w:val="1"/>
          <w:numId w:val="20"/>
        </w:numPr>
        <w:tabs>
          <w:tab w:pos="3038" w:val="left" w:leader="none"/>
        </w:tabs>
        <w:spacing w:line="240" w:lineRule="auto" w:before="27" w:after="0"/>
        <w:ind w:left="2675" w:right="0" w:firstLine="0"/>
        <w:jc w:val="left"/>
        <w:rPr>
          <w:sz w:val="18"/>
        </w:rPr>
      </w:pPr>
      <w:r>
        <w:rPr>
          <w:sz w:val="18"/>
          <w:shd w:fill="C0C0C0" w:color="auto" w:val="clear"/>
        </w:rPr>
        <w:t>原位癌；</w:t>
      </w:r>
    </w:p>
    <w:p>
      <w:pPr>
        <w:pStyle w:val="ListParagraph"/>
        <w:numPr>
          <w:ilvl w:val="1"/>
          <w:numId w:val="20"/>
        </w:numPr>
        <w:tabs>
          <w:tab w:pos="3038" w:val="left" w:leader="none"/>
        </w:tabs>
        <w:spacing w:line="316" w:lineRule="auto" w:before="76" w:after="0"/>
        <w:ind w:left="2675" w:right="2268" w:firstLine="0"/>
        <w:jc w:val="left"/>
        <w:rPr>
          <w:sz w:val="18"/>
        </w:rPr>
      </w:pPr>
      <w:r>
        <w:rPr>
          <w:spacing w:val="12"/>
          <w:sz w:val="18"/>
          <w:shd w:fill="C0C0C0" w:color="auto" w:val="clear"/>
        </w:rPr>
        <w:t>相当于</w:t>
      </w:r>
      <w:r>
        <w:rPr>
          <w:sz w:val="18"/>
          <w:shd w:fill="C0C0C0" w:color="auto" w:val="clear"/>
        </w:rPr>
        <w:t>Binet</w:t>
      </w:r>
      <w:r>
        <w:rPr>
          <w:spacing w:val="-2"/>
          <w:sz w:val="18"/>
          <w:shd w:fill="C0C0C0" w:color="auto" w:val="clear"/>
        </w:rPr>
        <w:t> 分期方案</w:t>
      </w:r>
      <w:r>
        <w:rPr>
          <w:sz w:val="18"/>
          <w:shd w:fill="C0C0C0" w:color="auto" w:val="clear"/>
        </w:rPr>
        <w:t>A</w:t>
      </w:r>
      <w:r>
        <w:rPr>
          <w:spacing w:val="-7"/>
          <w:sz w:val="18"/>
          <w:shd w:fill="C0C0C0" w:color="auto" w:val="clear"/>
        </w:rPr>
        <w:t> 期程度的慢性淋巴细胞白血病； (3</w:t>
      </w:r>
      <w:r>
        <w:rPr>
          <w:spacing w:val="5"/>
          <w:sz w:val="18"/>
          <w:shd w:fill="C0C0C0" w:color="auto" w:val="clear"/>
        </w:rPr>
        <w:t>) 相当于</w:t>
      </w:r>
      <w:r>
        <w:rPr>
          <w:sz w:val="18"/>
          <w:shd w:fill="C0C0C0" w:color="auto" w:val="clear"/>
        </w:rPr>
        <w:t>Ann Arbor</w:t>
      </w:r>
      <w:r>
        <w:rPr>
          <w:spacing w:val="-17"/>
          <w:sz w:val="18"/>
          <w:shd w:fill="C0C0C0" w:color="auto" w:val="clear"/>
        </w:rPr>
        <w:t> 分期方案 </w:t>
      </w:r>
      <w:r>
        <w:rPr>
          <w:sz w:val="18"/>
          <w:shd w:fill="C0C0C0" w:color="auto" w:val="clear"/>
        </w:rPr>
        <w:t>I</w:t>
      </w:r>
      <w:r>
        <w:rPr>
          <w:spacing w:val="-7"/>
          <w:sz w:val="18"/>
          <w:shd w:fill="C0C0C0" w:color="auto" w:val="clear"/>
        </w:rPr>
        <w:t> 期程度的何杰金氏病；</w:t>
      </w:r>
      <w:r>
        <w:rPr>
          <w:sz w:val="18"/>
          <w:shd w:fill="C0C0C0" w:color="auto" w:val="clear"/>
        </w:rPr>
        <w:t> (</w:t>
      </w:r>
      <w:r>
        <w:rPr>
          <w:spacing w:val="0"/>
          <w:sz w:val="18"/>
          <w:shd w:fill="C0C0C0" w:color="auto" w:val="clear"/>
        </w:rPr>
        <w:t>4</w:t>
      </w:r>
      <w:r>
        <w:rPr>
          <w:sz w:val="18"/>
          <w:shd w:fill="C0C0C0" w:color="auto" w:val="clear"/>
        </w:rPr>
        <w:t>)</w:t>
      </w:r>
      <w:r>
        <w:rPr>
          <w:spacing w:val="-1"/>
          <w:sz w:val="18"/>
          <w:shd w:fill="C0C0C0" w:color="auto" w:val="clear"/>
        </w:rPr>
        <w:t> </w:t>
      </w:r>
      <w:r>
        <w:rPr>
          <w:sz w:val="18"/>
          <w:shd w:fill="C0C0C0" w:color="auto" w:val="clear"/>
        </w:rPr>
        <w:t>皮肤癌（</w:t>
      </w:r>
      <w:r>
        <w:rPr>
          <w:spacing w:val="-1"/>
          <w:sz w:val="18"/>
          <w:shd w:fill="C0C0C0" w:color="auto" w:val="clear"/>
        </w:rPr>
        <w:t>不包括恶性黑色素瘤及已发生转移的皮肤癌</w:t>
      </w:r>
      <w:r>
        <w:rPr>
          <w:spacing w:val="-92"/>
          <w:sz w:val="18"/>
          <w:shd w:fill="C0C0C0" w:color="auto" w:val="clear"/>
        </w:rPr>
        <w:t>）</w:t>
      </w:r>
      <w:r>
        <w:rPr>
          <w:sz w:val="18"/>
          <w:shd w:fill="C0C0C0" w:color="auto" w:val="clear"/>
        </w:rPr>
        <w:t>；</w:t>
      </w:r>
      <w:r>
        <w:rPr>
          <w:sz w:val="18"/>
        </w:rPr>
        <w:t> </w:t>
      </w:r>
      <w:r>
        <w:rPr>
          <w:position w:val="1"/>
          <w:sz w:val="18"/>
          <w:shd w:fill="C0C0C0" w:color="auto" w:val="clear"/>
        </w:rPr>
        <w:t>(5)</w:t>
      </w:r>
      <w:r>
        <w:rPr>
          <w:spacing w:val="-2"/>
          <w:position w:val="1"/>
          <w:sz w:val="18"/>
          <w:shd w:fill="C0C0C0" w:color="auto" w:val="clear"/>
        </w:rPr>
        <w:t> </w:t>
      </w:r>
      <w:r>
        <w:rPr>
          <w:position w:val="1"/>
          <w:sz w:val="18"/>
          <w:shd w:fill="C0C0C0" w:color="auto" w:val="clear"/>
        </w:rPr>
        <w:t>TNM</w:t>
      </w:r>
      <w:r>
        <w:rPr>
          <w:spacing w:val="-19"/>
          <w:position w:val="1"/>
          <w:sz w:val="18"/>
          <w:shd w:fill="C0C0C0" w:color="auto" w:val="clear"/>
        </w:rPr>
        <w:t> 分期为 </w:t>
      </w:r>
      <w:r>
        <w:rPr>
          <w:position w:val="1"/>
          <w:sz w:val="18"/>
          <w:shd w:fill="C0C0C0" w:color="auto" w:val="clear"/>
        </w:rPr>
        <w:t>T</w:t>
      </w:r>
      <w:r>
        <w:rPr>
          <w:sz w:val="9"/>
        </w:rPr>
        <w:t>1</w:t>
      </w:r>
      <w:r>
        <w:rPr>
          <w:position w:val="1"/>
          <w:sz w:val="18"/>
          <w:shd w:fill="C0C0C0" w:color="auto" w:val="clear"/>
        </w:rPr>
        <w:t>N</w:t>
      </w:r>
      <w:r>
        <w:rPr>
          <w:sz w:val="9"/>
        </w:rPr>
        <w:t>0</w:t>
      </w:r>
      <w:r>
        <w:rPr>
          <w:position w:val="1"/>
          <w:sz w:val="18"/>
          <w:shd w:fill="C0C0C0" w:color="auto" w:val="clear"/>
        </w:rPr>
        <w:t>M</w:t>
      </w:r>
      <w:r>
        <w:rPr>
          <w:sz w:val="9"/>
        </w:rPr>
        <w:t>0</w:t>
      </w:r>
      <w:r>
        <w:rPr>
          <w:spacing w:val="-36"/>
          <w:position w:val="1"/>
          <w:sz w:val="9"/>
        </w:rPr>
        <w:t> </w:t>
      </w:r>
      <w:r>
        <w:rPr>
          <w:spacing w:val="-1"/>
          <w:position w:val="1"/>
          <w:sz w:val="18"/>
          <w:shd w:fill="C0C0C0" w:color="auto" w:val="clear"/>
        </w:rPr>
        <w:t>期的前列腺癌。</w:t>
      </w:r>
    </w:p>
    <w:p>
      <w:pPr>
        <w:pStyle w:val="BodyText"/>
        <w:spacing w:before="2"/>
        <w:rPr>
          <w:sz w:val="21"/>
        </w:rPr>
      </w:pPr>
    </w:p>
    <w:p>
      <w:pPr>
        <w:pStyle w:val="ListParagraph"/>
        <w:numPr>
          <w:ilvl w:val="0"/>
          <w:numId w:val="20"/>
        </w:numPr>
        <w:tabs>
          <w:tab w:pos="600" w:val="left" w:leader="none"/>
          <w:tab w:pos="2675" w:val="left" w:leader="none"/>
        </w:tabs>
        <w:spacing w:line="283" w:lineRule="auto" w:before="0" w:after="0"/>
        <w:ind w:left="2675" w:right="216" w:hanging="2436"/>
        <w:jc w:val="left"/>
        <w:rPr>
          <w:sz w:val="18"/>
        </w:rPr>
      </w:pPr>
      <w:r>
        <w:rPr>
          <w:rFonts w:ascii="微软雅黑" w:eastAsia="微软雅黑" w:hint="eastAsia"/>
          <w:b/>
          <w:sz w:val="18"/>
        </w:rPr>
        <w:t>急性心肌梗塞</w:t>
        <w:tab/>
      </w:r>
      <w:r>
        <w:rPr>
          <w:sz w:val="18"/>
        </w:rPr>
        <w:t>指因冠状动脉阻塞导致的相应区域供血不足造成部分心肌坏死。须满足下列至少三项条 件：</w:t>
      </w:r>
    </w:p>
    <w:p>
      <w:pPr>
        <w:pStyle w:val="ListParagraph"/>
        <w:numPr>
          <w:ilvl w:val="1"/>
          <w:numId w:val="20"/>
        </w:numPr>
        <w:tabs>
          <w:tab w:pos="3096" w:val="left" w:leader="none"/>
        </w:tabs>
        <w:spacing w:line="240" w:lineRule="auto" w:before="43" w:after="0"/>
        <w:ind w:left="3095" w:right="0" w:hanging="420"/>
        <w:jc w:val="left"/>
        <w:rPr>
          <w:sz w:val="18"/>
        </w:rPr>
      </w:pPr>
      <w:r>
        <w:rPr>
          <w:sz w:val="18"/>
        </w:rPr>
        <w:t>典型临床表现，例如急性胸痛等；</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新近的心电图改变提示急性心肌梗塞；</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心肌酶或肌钙蛋白有诊断意义的升高，或呈符合急性心肌梗塞的动态性变化；</w:t>
      </w:r>
    </w:p>
    <w:p>
      <w:pPr>
        <w:pStyle w:val="ListParagraph"/>
        <w:numPr>
          <w:ilvl w:val="1"/>
          <w:numId w:val="20"/>
        </w:numPr>
        <w:tabs>
          <w:tab w:pos="3096" w:val="left" w:leader="none"/>
        </w:tabs>
        <w:spacing w:line="240" w:lineRule="auto" w:before="75" w:after="0"/>
        <w:ind w:left="3095" w:right="0" w:hanging="420"/>
        <w:jc w:val="left"/>
        <w:rPr>
          <w:sz w:val="18"/>
        </w:rPr>
      </w:pPr>
      <w:r>
        <w:rPr>
          <w:spacing w:val="-15"/>
          <w:sz w:val="18"/>
        </w:rPr>
        <w:t>发病 </w:t>
      </w:r>
      <w:r>
        <w:rPr>
          <w:sz w:val="18"/>
        </w:rPr>
        <w:t>90</w:t>
      </w:r>
      <w:r>
        <w:rPr>
          <w:spacing w:val="-9"/>
          <w:sz w:val="18"/>
        </w:rPr>
        <w:t> 天后，经检查证实左心室功能降低，如左心室射血分数低于 </w:t>
      </w:r>
      <w:r>
        <w:rPr>
          <w:sz w:val="18"/>
        </w:rPr>
        <w:t>50%。</w:t>
      </w:r>
    </w:p>
    <w:p>
      <w:pPr>
        <w:pStyle w:val="BodyText"/>
        <w:spacing w:before="7"/>
        <w:rPr>
          <w:sz w:val="25"/>
        </w:rPr>
      </w:pPr>
    </w:p>
    <w:p>
      <w:pPr>
        <w:pStyle w:val="ListParagraph"/>
        <w:numPr>
          <w:ilvl w:val="0"/>
          <w:numId w:val="20"/>
        </w:numPr>
        <w:tabs>
          <w:tab w:pos="600" w:val="left" w:leader="none"/>
          <w:tab w:pos="2675" w:val="left" w:leader="none"/>
        </w:tabs>
        <w:spacing w:line="297" w:lineRule="auto" w:before="0" w:after="0"/>
        <w:ind w:left="2675" w:right="216" w:hanging="2436"/>
        <w:jc w:val="both"/>
        <w:rPr>
          <w:sz w:val="18"/>
        </w:rPr>
      </w:pPr>
      <w:r>
        <w:rPr>
          <w:rFonts w:ascii="微软雅黑" w:eastAsia="微软雅黑" w:hint="eastAsia"/>
          <w:b/>
          <w:sz w:val="18"/>
        </w:rPr>
        <w:t>脑中风后遗症</w:t>
        <w:tab/>
      </w:r>
      <w:r>
        <w:rPr>
          <w:sz w:val="18"/>
        </w:rPr>
        <w:t>指因脑血管的突发病变引起脑血管出血、栓塞或梗塞，并导致神经系统永久性的功能障 碍。神经系统永久性的功能障碍，指疾病确诊</w:t>
      </w:r>
      <w:r>
        <w:rPr>
          <w:spacing w:val="-11"/>
          <w:sz w:val="18"/>
        </w:rPr>
        <w:t> </w:t>
      </w:r>
      <w:r>
        <w:rPr>
          <w:sz w:val="18"/>
        </w:rPr>
        <w:t>180</w:t>
      </w:r>
      <w:r>
        <w:rPr>
          <w:spacing w:val="-10"/>
          <w:sz w:val="18"/>
        </w:rPr>
        <w:t> </w:t>
      </w:r>
      <w:r>
        <w:rPr>
          <w:sz w:val="18"/>
        </w:rPr>
        <w:t>天后，</w:t>
      </w:r>
      <w:r>
        <w:rPr>
          <w:spacing w:val="-3"/>
          <w:sz w:val="18"/>
        </w:rPr>
        <w:t>仍</w:t>
      </w:r>
      <w:r>
        <w:rPr>
          <w:sz w:val="18"/>
        </w:rPr>
        <w:t>遗留下列一种或一种以上障碍：</w:t>
      </w:r>
    </w:p>
    <w:p>
      <w:pPr>
        <w:pStyle w:val="ListParagraph"/>
        <w:numPr>
          <w:ilvl w:val="1"/>
          <w:numId w:val="20"/>
        </w:numPr>
        <w:tabs>
          <w:tab w:pos="3096" w:val="left" w:leader="none"/>
        </w:tabs>
        <w:spacing w:line="240" w:lineRule="auto" w:before="33" w:after="0"/>
        <w:ind w:left="3095" w:right="0" w:hanging="420"/>
        <w:jc w:val="left"/>
        <w:rPr>
          <w:sz w:val="18"/>
        </w:rPr>
      </w:pPr>
      <w:r>
        <w:rPr>
          <w:sz w:val="18"/>
        </w:rPr>
        <w:t>一肢或一肢以上肢体机能完全丧失（</w:t>
      </w:r>
      <w:r>
        <w:rPr>
          <w:spacing w:val="-15"/>
          <w:sz w:val="18"/>
        </w:rPr>
        <w:t>见注 </w:t>
      </w:r>
      <w:r>
        <w:rPr>
          <w:spacing w:val="0"/>
          <w:sz w:val="18"/>
        </w:rPr>
        <w:t>2</w:t>
      </w:r>
      <w:r>
        <w:rPr>
          <w:spacing w:val="-92"/>
          <w:sz w:val="18"/>
        </w:rPr>
        <w:t>）</w:t>
      </w:r>
      <w:r>
        <w:rPr>
          <w:sz w:val="18"/>
        </w:rPr>
        <w:t>；</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语言能力或咀嚼吞咽能力完全丧失（</w:t>
      </w:r>
      <w:r>
        <w:rPr>
          <w:spacing w:val="-15"/>
          <w:sz w:val="18"/>
        </w:rPr>
        <w:t>见注 </w:t>
      </w:r>
      <w:r>
        <w:rPr>
          <w:sz w:val="18"/>
        </w:rPr>
        <w:t>3</w:t>
      </w:r>
      <w:r>
        <w:rPr>
          <w:spacing w:val="-23"/>
          <w:sz w:val="18"/>
        </w:rPr>
        <w:t> 和注 </w:t>
      </w:r>
      <w:r>
        <w:rPr>
          <w:spacing w:val="0"/>
          <w:sz w:val="18"/>
        </w:rPr>
        <w:t>4</w:t>
      </w:r>
      <w:r>
        <w:rPr>
          <w:spacing w:val="-92"/>
          <w:sz w:val="18"/>
        </w:rPr>
        <w:t>）</w:t>
      </w:r>
      <w:r>
        <w:rPr>
          <w:sz w:val="18"/>
        </w:rPr>
        <w:t>；</w:t>
      </w:r>
    </w:p>
    <w:p>
      <w:pPr>
        <w:pStyle w:val="ListParagraph"/>
        <w:numPr>
          <w:ilvl w:val="1"/>
          <w:numId w:val="20"/>
        </w:numPr>
        <w:tabs>
          <w:tab w:pos="3096" w:val="left" w:leader="none"/>
        </w:tabs>
        <w:spacing w:line="319" w:lineRule="auto" w:before="76" w:after="0"/>
        <w:ind w:left="3095" w:right="220" w:hanging="420"/>
        <w:jc w:val="left"/>
        <w:rPr>
          <w:sz w:val="18"/>
        </w:rPr>
      </w:pPr>
      <w:r>
        <w:rPr>
          <w:sz w:val="18"/>
        </w:rPr>
        <w:t>自主生活能力完全丧失，无法独立完成六项基本日常生活活动（</w:t>
      </w:r>
      <w:r>
        <w:rPr>
          <w:spacing w:val="0"/>
          <w:sz w:val="18"/>
        </w:rPr>
        <w:t>见注 </w:t>
      </w:r>
      <w:r>
        <w:rPr>
          <w:sz w:val="18"/>
        </w:rPr>
        <w:t>5）中的三项或三项以上。</w:t>
      </w:r>
    </w:p>
    <w:p>
      <w:pPr>
        <w:pStyle w:val="BodyText"/>
        <w:spacing w:before="9"/>
        <w:rPr>
          <w:sz w:val="21"/>
        </w:rPr>
      </w:pPr>
    </w:p>
    <w:p>
      <w:pPr>
        <w:spacing w:after="0"/>
        <w:rPr>
          <w:sz w:val="21"/>
        </w:rPr>
        <w:sectPr>
          <w:pgSz w:w="11910" w:h="16840"/>
          <w:pgMar w:header="872" w:footer="977" w:top="1100" w:bottom="1160" w:left="1160" w:right="940"/>
        </w:sectPr>
      </w:pPr>
    </w:p>
    <w:p>
      <w:pPr>
        <w:pStyle w:val="Heading4"/>
        <w:numPr>
          <w:ilvl w:val="0"/>
          <w:numId w:val="20"/>
        </w:numPr>
        <w:tabs>
          <w:tab w:pos="600" w:val="left" w:leader="none"/>
        </w:tabs>
        <w:spacing w:line="240" w:lineRule="auto" w:before="0" w:after="0"/>
        <w:ind w:left="599" w:right="0" w:hanging="360"/>
        <w:jc w:val="left"/>
      </w:pPr>
      <w:r>
        <w:rPr>
          <w:spacing w:val="2"/>
        </w:rPr>
        <w:t>重大器官移植术或造血干细胞移植术</w:t>
      </w:r>
    </w:p>
    <w:p>
      <w:pPr>
        <w:pStyle w:val="BodyText"/>
        <w:spacing w:line="319" w:lineRule="auto" w:before="45"/>
        <w:ind w:left="175" w:right="216"/>
      </w:pPr>
      <w:r>
        <w:rPr/>
        <w:br w:type="column"/>
      </w:r>
      <w:r>
        <w:rPr/>
        <w:t>重大器官移植术，指因相应器官功能衰竭，已经实施了肾脏、肝脏、心脏或肺脏的异体移植手术。</w:t>
      </w:r>
    </w:p>
    <w:p>
      <w:pPr>
        <w:pStyle w:val="BodyText"/>
        <w:spacing w:line="316" w:lineRule="auto" w:before="17"/>
        <w:ind w:left="175" w:right="216"/>
      </w:pPr>
      <w:r>
        <w:rPr>
          <w:spacing w:val="-7"/>
        </w:rPr>
        <w:t>造血干细胞移植术，指因造血功能损害或造血系统恶性肿瘤，已经实施了造血干细胞</w:t>
      </w:r>
      <w:r>
        <w:rPr/>
        <w:t>（包括骨髓造血干细胞、外周血造血干细胞和脐血造血干细胞）的异体移植手术。</w:t>
      </w:r>
    </w:p>
    <w:p>
      <w:pPr>
        <w:spacing w:after="0" w:line="316" w:lineRule="auto"/>
        <w:sectPr>
          <w:type w:val="continuous"/>
          <w:pgSz w:w="11910" w:h="16840"/>
          <w:pgMar w:top="1060" w:bottom="1160" w:left="1160" w:right="940"/>
          <w:cols w:num="2" w:equalWidth="0">
            <w:col w:w="2460" w:space="40"/>
            <w:col w:w="7310"/>
          </w:cols>
        </w:sectPr>
      </w:pPr>
    </w:p>
    <w:p>
      <w:pPr>
        <w:pStyle w:val="BodyText"/>
        <w:spacing w:before="11"/>
        <w:rPr>
          <w:sz w:val="21"/>
        </w:rPr>
      </w:pPr>
    </w:p>
    <w:p>
      <w:pPr>
        <w:spacing w:after="0"/>
        <w:rPr>
          <w:sz w:val="21"/>
        </w:rPr>
        <w:sectPr>
          <w:type w:val="continuous"/>
          <w:pgSz w:w="11910" w:h="16840"/>
          <w:pgMar w:top="1060" w:bottom="1160" w:left="1160" w:right="940"/>
        </w:sectPr>
      </w:pPr>
    </w:p>
    <w:p>
      <w:pPr>
        <w:pStyle w:val="Heading4"/>
        <w:numPr>
          <w:ilvl w:val="0"/>
          <w:numId w:val="20"/>
        </w:numPr>
        <w:tabs>
          <w:tab w:pos="600" w:val="left" w:leader="none"/>
        </w:tabs>
        <w:spacing w:line="240" w:lineRule="auto" w:before="0" w:after="0"/>
        <w:ind w:left="599" w:right="0" w:hanging="360"/>
        <w:jc w:val="left"/>
      </w:pPr>
      <w:r>
        <w:rPr>
          <w:spacing w:val="5"/>
        </w:rPr>
        <w:t>冠状动脉搭桥术</w:t>
      </w:r>
      <w:r>
        <w:rPr>
          <w:spacing w:val="5"/>
        </w:rPr>
        <w:t>（</w:t>
      </w:r>
      <w:r>
        <w:rPr>
          <w:spacing w:val="0"/>
        </w:rPr>
        <w:t>或称冠状动脉旁路移植术）</w:t>
      </w:r>
    </w:p>
    <w:p>
      <w:pPr>
        <w:pStyle w:val="BodyText"/>
        <w:spacing w:before="45"/>
        <w:ind w:left="176"/>
      </w:pPr>
      <w:r>
        <w:rPr/>
        <w:br w:type="column"/>
      </w:r>
      <w:r>
        <w:rPr/>
        <w:t>指为治疗严重的冠心病，实际实施了开胸进行的冠状动脉血管旁路移植的手术。</w:t>
      </w:r>
    </w:p>
    <w:p>
      <w:pPr>
        <w:pStyle w:val="BodyText"/>
        <w:spacing w:line="319" w:lineRule="auto"/>
        <w:ind w:left="176" w:right="216"/>
      </w:pPr>
      <w:r>
        <w:rPr>
          <w:shd w:fill="C0C0C0" w:color="auto" w:val="clear"/>
        </w:rPr>
        <w:t>冠状动脉支架植入术、心导管球囊扩张术、激光射频技术及其它非开胸的介入手术、腔镜手术不在保障范围内。</w:t>
      </w:r>
    </w:p>
    <w:p>
      <w:pPr>
        <w:spacing w:after="0" w:line="319" w:lineRule="auto"/>
        <w:sectPr>
          <w:type w:val="continuous"/>
          <w:pgSz w:w="11910" w:h="16840"/>
          <w:pgMar w:top="1060" w:bottom="1160" w:left="1160" w:right="940"/>
          <w:cols w:num="2" w:equalWidth="0">
            <w:col w:w="2460" w:space="40"/>
            <w:col w:w="7310"/>
          </w:cols>
        </w:sectPr>
      </w:pPr>
    </w:p>
    <w:p>
      <w:pPr>
        <w:pStyle w:val="BodyText"/>
        <w:spacing w:before="9"/>
        <w:rPr>
          <w:sz w:val="21"/>
        </w:rPr>
      </w:pPr>
    </w:p>
    <w:p>
      <w:pPr>
        <w:pStyle w:val="ListParagraph"/>
        <w:numPr>
          <w:ilvl w:val="0"/>
          <w:numId w:val="20"/>
        </w:numPr>
        <w:tabs>
          <w:tab w:pos="600" w:val="left" w:leader="none"/>
          <w:tab w:pos="2675" w:val="left" w:leader="none"/>
        </w:tabs>
        <w:spacing w:line="283" w:lineRule="auto" w:before="0" w:after="0"/>
        <w:ind w:left="2675" w:right="216" w:hanging="2436"/>
        <w:jc w:val="left"/>
        <w:rPr>
          <w:sz w:val="18"/>
        </w:rPr>
      </w:pPr>
      <w:r>
        <w:rPr>
          <w:rFonts w:ascii="微软雅黑" w:eastAsia="微软雅黑" w:hint="eastAsia"/>
          <w:b/>
          <w:sz w:val="18"/>
        </w:rPr>
        <w:t>终末期肾病</w:t>
        <w:tab/>
      </w:r>
      <w:r>
        <w:rPr>
          <w:sz w:val="18"/>
        </w:rPr>
        <w:t>指双肾功能慢性不可逆性衰竭</w:t>
      </w:r>
      <w:r>
        <w:rPr>
          <w:spacing w:val="-10"/>
          <w:sz w:val="18"/>
        </w:rPr>
        <w:t>，</w:t>
      </w:r>
      <w:r>
        <w:rPr>
          <w:sz w:val="18"/>
        </w:rPr>
        <w:t>达到尿毒症期</w:t>
      </w:r>
      <w:r>
        <w:rPr>
          <w:spacing w:val="-10"/>
          <w:sz w:val="18"/>
        </w:rPr>
        <w:t>，</w:t>
      </w:r>
      <w:r>
        <w:rPr>
          <w:sz w:val="18"/>
        </w:rPr>
        <w:t>经诊断后</w:t>
      </w:r>
      <w:r>
        <w:rPr>
          <w:spacing w:val="-3"/>
          <w:sz w:val="18"/>
        </w:rPr>
        <w:t>已</w:t>
      </w:r>
      <w:r>
        <w:rPr>
          <w:sz w:val="18"/>
        </w:rPr>
        <w:t>经进行了至少</w:t>
      </w:r>
      <w:r>
        <w:rPr>
          <w:spacing w:val="-45"/>
          <w:sz w:val="18"/>
        </w:rPr>
        <w:t> </w:t>
      </w:r>
      <w:r>
        <w:rPr>
          <w:sz w:val="18"/>
        </w:rPr>
        <w:t>90</w:t>
      </w:r>
      <w:r>
        <w:rPr>
          <w:spacing w:val="-44"/>
          <w:sz w:val="18"/>
        </w:rPr>
        <w:t> </w:t>
      </w:r>
      <w:r>
        <w:rPr>
          <w:sz w:val="18"/>
        </w:rPr>
        <w:t>天的规律性透析治疗或实施了肾脏移植手术。</w:t>
      </w:r>
    </w:p>
    <w:p>
      <w:pPr>
        <w:pStyle w:val="BodyText"/>
        <w:spacing w:before="10"/>
        <w:rPr>
          <w:sz w:val="23"/>
        </w:rPr>
      </w:pPr>
    </w:p>
    <w:p>
      <w:pPr>
        <w:pStyle w:val="ListParagraph"/>
        <w:numPr>
          <w:ilvl w:val="0"/>
          <w:numId w:val="20"/>
        </w:numPr>
        <w:tabs>
          <w:tab w:pos="600" w:val="left" w:leader="none"/>
          <w:tab w:pos="2675" w:val="left" w:leader="none"/>
        </w:tabs>
        <w:spacing w:line="283" w:lineRule="auto" w:before="0" w:after="0"/>
        <w:ind w:left="2675" w:right="216" w:hanging="2436"/>
        <w:jc w:val="left"/>
        <w:rPr>
          <w:sz w:val="18"/>
        </w:rPr>
      </w:pPr>
      <w:r>
        <w:rPr>
          <w:rFonts w:ascii="微软雅黑" w:eastAsia="微软雅黑" w:hint="eastAsia"/>
          <w:b/>
          <w:sz w:val="18"/>
        </w:rPr>
        <w:t>多个肢体缺失</w:t>
        <w:tab/>
      </w:r>
      <w:r>
        <w:rPr>
          <w:sz w:val="18"/>
        </w:rPr>
        <w:t>指因疾病或意外伤害导致两个或两个以上肢体自腕关节或踝关节近端（靠近躯干端）以 上完全性断离。</w:t>
      </w:r>
    </w:p>
    <w:p>
      <w:pPr>
        <w:spacing w:after="0" w:line="283" w:lineRule="auto"/>
        <w:jc w:val="left"/>
        <w:rPr>
          <w:sz w:val="18"/>
        </w:rPr>
        <w:sectPr>
          <w:type w:val="continuous"/>
          <w:pgSz w:w="11910" w:h="16840"/>
          <w:pgMar w:top="1060" w:bottom="1160" w:left="1160" w:right="940"/>
        </w:sectPr>
      </w:pPr>
    </w:p>
    <w:p>
      <w:pPr>
        <w:pStyle w:val="BodyText"/>
        <w:spacing w:before="1"/>
        <w:rPr>
          <w:sz w:val="20"/>
        </w:rPr>
      </w:pPr>
    </w:p>
    <w:p>
      <w:pPr>
        <w:pStyle w:val="ListParagraph"/>
        <w:numPr>
          <w:ilvl w:val="0"/>
          <w:numId w:val="20"/>
        </w:numPr>
        <w:tabs>
          <w:tab w:pos="600" w:val="left" w:leader="none"/>
        </w:tabs>
        <w:spacing w:line="312" w:lineRule="exact" w:before="51" w:after="0"/>
        <w:ind w:left="2675" w:right="216" w:hanging="2436"/>
        <w:jc w:val="both"/>
        <w:rPr>
          <w:sz w:val="18"/>
        </w:rPr>
      </w:pPr>
      <w:r>
        <w:rPr>
          <w:rFonts w:ascii="微软雅黑" w:eastAsia="微软雅黑" w:hint="eastAsia"/>
          <w:b/>
          <w:position w:val="5"/>
          <w:sz w:val="18"/>
        </w:rPr>
        <w:t>急性或亚急性重症肝炎    </w:t>
      </w:r>
      <w:r>
        <w:rPr>
          <w:sz w:val="18"/>
        </w:rPr>
        <w:t>指因肝炎病毒感染引起肝脏组织弥漫性坏死，导致急性肝功能衰竭，且经血清学或病毒学检查证实，并须满足下列全部条件：</w:t>
      </w:r>
    </w:p>
    <w:p>
      <w:pPr>
        <w:pStyle w:val="ListParagraph"/>
        <w:numPr>
          <w:ilvl w:val="1"/>
          <w:numId w:val="20"/>
        </w:numPr>
        <w:tabs>
          <w:tab w:pos="3096" w:val="left" w:leader="none"/>
        </w:tabs>
        <w:spacing w:line="240" w:lineRule="auto" w:before="38" w:after="0"/>
        <w:ind w:left="3095" w:right="0" w:hanging="420"/>
        <w:jc w:val="left"/>
        <w:rPr>
          <w:sz w:val="18"/>
        </w:rPr>
      </w:pPr>
      <w:r>
        <w:rPr>
          <w:sz w:val="18"/>
        </w:rPr>
        <w:t>重度黄疸或黄疸迅速加重；</w:t>
      </w:r>
    </w:p>
    <w:p>
      <w:pPr>
        <w:pStyle w:val="ListParagraph"/>
        <w:numPr>
          <w:ilvl w:val="1"/>
          <w:numId w:val="20"/>
        </w:numPr>
        <w:tabs>
          <w:tab w:pos="3096" w:val="left" w:leader="none"/>
        </w:tabs>
        <w:spacing w:line="240" w:lineRule="auto" w:before="75" w:after="0"/>
        <w:ind w:left="3095" w:right="0" w:hanging="420"/>
        <w:jc w:val="left"/>
        <w:rPr>
          <w:sz w:val="18"/>
        </w:rPr>
      </w:pPr>
      <w:r>
        <w:rPr>
          <w:sz w:val="18"/>
        </w:rPr>
        <w:t>肝性脑病；</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B</w:t>
      </w:r>
      <w:r>
        <w:rPr>
          <w:spacing w:val="-7"/>
          <w:sz w:val="18"/>
        </w:rPr>
        <w:t> 超或其它影像学检查显示肝脏体积急速萎缩；</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肝功能指标进行性恶化。</w:t>
      </w:r>
    </w:p>
    <w:p>
      <w:pPr>
        <w:pStyle w:val="BodyText"/>
        <w:spacing w:before="0"/>
      </w:pPr>
    </w:p>
    <w:p>
      <w:pPr>
        <w:pStyle w:val="ListParagraph"/>
        <w:numPr>
          <w:ilvl w:val="0"/>
          <w:numId w:val="20"/>
        </w:numPr>
        <w:tabs>
          <w:tab w:pos="600" w:val="left" w:leader="none"/>
          <w:tab w:pos="2675" w:val="left" w:leader="none"/>
        </w:tabs>
        <w:spacing w:line="307" w:lineRule="auto" w:before="145" w:after="0"/>
        <w:ind w:left="2675" w:right="216" w:hanging="2436"/>
        <w:jc w:val="both"/>
        <w:rPr>
          <w:sz w:val="18"/>
        </w:rPr>
      </w:pPr>
      <w:r>
        <w:rPr>
          <w:rFonts w:ascii="微软雅黑" w:eastAsia="微软雅黑" w:hint="eastAsia"/>
          <w:b/>
          <w:position w:val="4"/>
          <w:sz w:val="18"/>
        </w:rPr>
        <w:t>良性脑肿瘤</w:t>
        <w:tab/>
      </w:r>
      <w:r>
        <w:rPr>
          <w:sz w:val="18"/>
        </w:rPr>
        <w:t>指脑的良性肿瘤，已经引起颅内压增高，临床表现为视神经乳头水肿、精神症状、癫痫 </w:t>
      </w:r>
      <w:r>
        <w:rPr>
          <w:spacing w:val="1"/>
          <w:sz w:val="18"/>
        </w:rPr>
        <w:t>及运动感觉</w:t>
      </w:r>
      <w:r>
        <w:rPr>
          <w:sz w:val="18"/>
        </w:rPr>
        <w:t>障</w:t>
      </w:r>
      <w:r>
        <w:rPr>
          <w:spacing w:val="1"/>
          <w:sz w:val="18"/>
        </w:rPr>
        <w:t>碍等，并</w:t>
      </w:r>
      <w:r>
        <w:rPr>
          <w:sz w:val="18"/>
        </w:rPr>
        <w:t>危</w:t>
      </w:r>
      <w:r>
        <w:rPr>
          <w:spacing w:val="1"/>
          <w:sz w:val="18"/>
        </w:rPr>
        <w:t>及</w:t>
      </w:r>
      <w:r>
        <w:rPr>
          <w:sz w:val="18"/>
        </w:rPr>
        <w:t>生</w:t>
      </w:r>
      <w:r>
        <w:rPr>
          <w:spacing w:val="1"/>
          <w:sz w:val="18"/>
        </w:rPr>
        <w:t>命。须由头</w:t>
      </w:r>
      <w:r>
        <w:rPr>
          <w:sz w:val="18"/>
        </w:rPr>
        <w:t>颅</w:t>
      </w:r>
      <w:r>
        <w:rPr>
          <w:spacing w:val="1"/>
          <w:sz w:val="18"/>
        </w:rPr>
        <w:t>断层扫描</w:t>
      </w:r>
      <w:r>
        <w:rPr>
          <w:sz w:val="18"/>
        </w:rPr>
        <w:t>（C</w:t>
      </w:r>
      <w:r>
        <w:rPr>
          <w:spacing w:val="1"/>
          <w:sz w:val="18"/>
        </w:rPr>
        <w:t>T</w:t>
      </w:r>
      <w:r>
        <w:rPr>
          <w:spacing w:val="-89"/>
          <w:sz w:val="18"/>
        </w:rPr>
        <w:t>）</w:t>
      </w:r>
      <w:r>
        <w:rPr>
          <w:sz w:val="18"/>
        </w:rPr>
        <w:t>、</w:t>
      </w:r>
      <w:r>
        <w:rPr>
          <w:spacing w:val="1"/>
          <w:sz w:val="18"/>
        </w:rPr>
        <w:t>核磁共振检</w:t>
      </w:r>
      <w:r>
        <w:rPr>
          <w:sz w:val="18"/>
        </w:rPr>
        <w:t>查</w:t>
      </w:r>
      <w:r>
        <w:rPr>
          <w:spacing w:val="1"/>
          <w:sz w:val="18"/>
        </w:rPr>
        <w:t>（</w:t>
      </w:r>
      <w:r>
        <w:rPr>
          <w:sz w:val="18"/>
        </w:rPr>
        <w:t>MR</w:t>
      </w:r>
      <w:r>
        <w:rPr>
          <w:spacing w:val="2"/>
          <w:sz w:val="18"/>
        </w:rPr>
        <w:t>I</w:t>
      </w:r>
      <w:r>
        <w:rPr>
          <w:sz w:val="18"/>
        </w:rPr>
        <w:t>）</w:t>
      </w:r>
      <w:r>
        <w:rPr>
          <w:spacing w:val="1"/>
          <w:sz w:val="18"/>
        </w:rPr>
        <w:t>或</w:t>
      </w:r>
      <w:r>
        <w:rPr>
          <w:sz w:val="18"/>
        </w:rPr>
        <w:t>正电子发射断层扫描（PET）等</w:t>
      </w:r>
      <w:r>
        <w:rPr>
          <w:spacing w:val="-3"/>
          <w:sz w:val="18"/>
        </w:rPr>
        <w:t>影</w:t>
      </w:r>
      <w:r>
        <w:rPr>
          <w:sz w:val="18"/>
        </w:rPr>
        <w:t>像学检查证实，并须满足下列至少一项条件：</w:t>
      </w:r>
    </w:p>
    <w:p>
      <w:pPr>
        <w:pStyle w:val="ListParagraph"/>
        <w:numPr>
          <w:ilvl w:val="1"/>
          <w:numId w:val="20"/>
        </w:numPr>
        <w:tabs>
          <w:tab w:pos="3096" w:val="left" w:leader="none"/>
        </w:tabs>
        <w:spacing w:line="240" w:lineRule="auto" w:before="26" w:after="0"/>
        <w:ind w:left="3095" w:right="0" w:hanging="420"/>
        <w:jc w:val="left"/>
        <w:rPr>
          <w:sz w:val="18"/>
        </w:rPr>
      </w:pPr>
      <w:r>
        <w:rPr>
          <w:sz w:val="18"/>
        </w:rPr>
        <w:t>实际实施了开颅进行的脑肿瘤完全切除或部分切除的手术；</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实际实施了对脑肿瘤进行的放射治疗。</w:t>
      </w:r>
    </w:p>
    <w:p>
      <w:pPr>
        <w:pStyle w:val="BodyText"/>
        <w:ind w:left="2675"/>
      </w:pPr>
      <w:r>
        <w:rPr>
          <w:shd w:fill="C0C0C0" w:color="auto" w:val="clear"/>
        </w:rPr>
        <w:t>脑垂体瘤、脑囊肿、脑血管性疾病不在保障范围内。</w:t>
      </w:r>
    </w:p>
    <w:p>
      <w:pPr>
        <w:pStyle w:val="BodyText"/>
        <w:spacing w:before="5"/>
        <w:rPr>
          <w:sz w:val="29"/>
        </w:rPr>
      </w:pPr>
    </w:p>
    <w:p>
      <w:pPr>
        <w:spacing w:after="0"/>
        <w:rPr>
          <w:sz w:val="29"/>
        </w:rPr>
        <w:sectPr>
          <w:pgSz w:w="11910" w:h="16840"/>
          <w:pgMar w:header="872" w:footer="977" w:top="1100" w:bottom="1160" w:left="1160" w:right="940"/>
        </w:sectPr>
      </w:pPr>
    </w:p>
    <w:p>
      <w:pPr>
        <w:pStyle w:val="Heading4"/>
        <w:numPr>
          <w:ilvl w:val="0"/>
          <w:numId w:val="20"/>
        </w:numPr>
        <w:tabs>
          <w:tab w:pos="600" w:val="left" w:leader="none"/>
        </w:tabs>
        <w:spacing w:line="240" w:lineRule="auto" w:before="0" w:after="0"/>
        <w:ind w:left="599" w:right="0" w:hanging="360"/>
        <w:jc w:val="left"/>
      </w:pPr>
      <w:r>
        <w:rPr>
          <w:spacing w:val="2"/>
        </w:rPr>
        <w:t>慢性肝功能衰竭失代偿期</w:t>
      </w:r>
    </w:p>
    <w:p>
      <w:pPr>
        <w:pStyle w:val="BodyText"/>
        <w:spacing w:before="81"/>
        <w:ind w:left="175"/>
      </w:pPr>
      <w:r>
        <w:rPr/>
        <w:br w:type="column"/>
      </w:r>
      <w:r>
        <w:rPr/>
        <w:t>指因慢性肝脏疾病导致肝功能衰竭。须满足下列全部条件：</w:t>
      </w:r>
    </w:p>
    <w:p>
      <w:pPr>
        <w:pStyle w:val="ListParagraph"/>
        <w:numPr>
          <w:ilvl w:val="0"/>
          <w:numId w:val="21"/>
        </w:numPr>
        <w:tabs>
          <w:tab w:pos="596" w:val="left" w:leader="none"/>
        </w:tabs>
        <w:spacing w:line="240" w:lineRule="auto" w:before="76" w:after="0"/>
        <w:ind w:left="175" w:right="0" w:firstLine="0"/>
        <w:jc w:val="left"/>
        <w:rPr>
          <w:sz w:val="18"/>
        </w:rPr>
      </w:pPr>
      <w:r>
        <w:rPr>
          <w:sz w:val="18"/>
        </w:rPr>
        <w:t>持续性黄疸；</w:t>
      </w:r>
    </w:p>
    <w:p>
      <w:pPr>
        <w:pStyle w:val="ListParagraph"/>
        <w:numPr>
          <w:ilvl w:val="0"/>
          <w:numId w:val="21"/>
        </w:numPr>
        <w:tabs>
          <w:tab w:pos="596" w:val="left" w:leader="none"/>
        </w:tabs>
        <w:spacing w:line="240" w:lineRule="auto" w:before="76" w:after="0"/>
        <w:ind w:left="175" w:right="0" w:firstLine="0"/>
        <w:jc w:val="left"/>
        <w:rPr>
          <w:sz w:val="18"/>
        </w:rPr>
      </w:pPr>
      <w:r>
        <w:rPr>
          <w:sz w:val="18"/>
        </w:rPr>
        <w:t>腹水；</w:t>
      </w:r>
    </w:p>
    <w:p>
      <w:pPr>
        <w:pStyle w:val="ListParagraph"/>
        <w:numPr>
          <w:ilvl w:val="0"/>
          <w:numId w:val="21"/>
        </w:numPr>
        <w:tabs>
          <w:tab w:pos="596" w:val="left" w:leader="none"/>
        </w:tabs>
        <w:spacing w:line="240" w:lineRule="auto" w:before="76" w:after="0"/>
        <w:ind w:left="175" w:right="0" w:firstLine="0"/>
        <w:jc w:val="left"/>
        <w:rPr>
          <w:sz w:val="18"/>
        </w:rPr>
      </w:pPr>
      <w:r>
        <w:rPr>
          <w:sz w:val="18"/>
        </w:rPr>
        <w:t>肝性脑病；</w:t>
      </w:r>
    </w:p>
    <w:p>
      <w:pPr>
        <w:pStyle w:val="ListParagraph"/>
        <w:numPr>
          <w:ilvl w:val="0"/>
          <w:numId w:val="21"/>
        </w:numPr>
        <w:tabs>
          <w:tab w:pos="596" w:val="left" w:leader="none"/>
        </w:tabs>
        <w:spacing w:line="316" w:lineRule="auto" w:before="76" w:after="0"/>
        <w:ind w:left="175" w:right="2748" w:firstLine="0"/>
        <w:jc w:val="left"/>
        <w:rPr>
          <w:sz w:val="18"/>
        </w:rPr>
      </w:pPr>
      <w:r>
        <w:rPr>
          <w:sz w:val="18"/>
        </w:rPr>
        <w:t>充血性脾肿大伴脾功能亢进或食管胃底静脉曲张。</w:t>
      </w:r>
      <w:r>
        <w:rPr>
          <w:sz w:val="18"/>
          <w:shd w:fill="C0C0C0" w:color="auto" w:val="clear"/>
        </w:rPr>
        <w:t>因酗酒或药物滥用导致的肝功能衰竭不在保障范围内。</w:t>
      </w:r>
    </w:p>
    <w:p>
      <w:pPr>
        <w:spacing w:after="0" w:line="316" w:lineRule="auto"/>
        <w:jc w:val="left"/>
        <w:rPr>
          <w:sz w:val="18"/>
        </w:rPr>
        <w:sectPr>
          <w:type w:val="continuous"/>
          <w:pgSz w:w="11910" w:h="16840"/>
          <w:pgMar w:top="1060" w:bottom="1160" w:left="1160" w:right="940"/>
          <w:cols w:num="2" w:equalWidth="0">
            <w:col w:w="2460" w:space="40"/>
            <w:col w:w="7310"/>
          </w:cols>
        </w:sectPr>
      </w:pPr>
    </w:p>
    <w:p>
      <w:pPr>
        <w:pStyle w:val="BodyText"/>
        <w:spacing w:before="8"/>
        <w:rPr>
          <w:sz w:val="24"/>
        </w:rPr>
      </w:pPr>
    </w:p>
    <w:p>
      <w:pPr>
        <w:spacing w:after="0"/>
        <w:rPr>
          <w:sz w:val="24"/>
        </w:rPr>
        <w:sectPr>
          <w:type w:val="continuous"/>
          <w:pgSz w:w="11910" w:h="16840"/>
          <w:pgMar w:top="1060" w:bottom="1160" w:left="1160" w:right="940"/>
        </w:sectPr>
      </w:pPr>
    </w:p>
    <w:p>
      <w:pPr>
        <w:pStyle w:val="Heading4"/>
        <w:numPr>
          <w:ilvl w:val="0"/>
          <w:numId w:val="20"/>
        </w:numPr>
        <w:tabs>
          <w:tab w:pos="600" w:val="left" w:leader="none"/>
        </w:tabs>
        <w:spacing w:line="240" w:lineRule="auto" w:before="0" w:after="0"/>
        <w:ind w:left="599" w:right="0" w:hanging="360"/>
        <w:jc w:val="left"/>
      </w:pPr>
      <w:r>
        <w:rPr>
          <w:spacing w:val="2"/>
        </w:rPr>
        <w:t>脑炎后遗症或脑膜炎后遗症</w:t>
      </w:r>
    </w:p>
    <w:p>
      <w:pPr>
        <w:pStyle w:val="BodyText"/>
        <w:spacing w:line="319" w:lineRule="auto" w:before="105"/>
        <w:ind w:left="175" w:right="216"/>
      </w:pPr>
      <w:r>
        <w:rPr/>
        <w:br w:type="column"/>
      </w:r>
      <w:r>
        <w:rPr/>
        <w:t>指因患脑炎或脑膜炎导致的神经系统永久性的功能障碍。神经系统永久性的功能障碍， 指疾病确诊 180 天后，仍遗留下列一种或一种以上障碍：</w:t>
      </w:r>
    </w:p>
    <w:p>
      <w:pPr>
        <w:pStyle w:val="ListParagraph"/>
        <w:numPr>
          <w:ilvl w:val="0"/>
          <w:numId w:val="22"/>
        </w:numPr>
        <w:tabs>
          <w:tab w:pos="596" w:val="left" w:leader="none"/>
        </w:tabs>
        <w:spacing w:line="240" w:lineRule="auto" w:before="17" w:after="0"/>
        <w:ind w:left="595" w:right="0" w:hanging="420"/>
        <w:jc w:val="left"/>
        <w:rPr>
          <w:sz w:val="18"/>
        </w:rPr>
      </w:pPr>
      <w:r>
        <w:rPr>
          <w:sz w:val="18"/>
        </w:rPr>
        <w:t>一肢或一肢以上肢体机能完全丧失；</w:t>
      </w:r>
    </w:p>
    <w:p>
      <w:pPr>
        <w:pStyle w:val="ListParagraph"/>
        <w:numPr>
          <w:ilvl w:val="0"/>
          <w:numId w:val="22"/>
        </w:numPr>
        <w:tabs>
          <w:tab w:pos="596" w:val="left" w:leader="none"/>
        </w:tabs>
        <w:spacing w:line="240" w:lineRule="auto" w:before="76" w:after="0"/>
        <w:ind w:left="595" w:right="0" w:hanging="420"/>
        <w:jc w:val="left"/>
        <w:rPr>
          <w:sz w:val="18"/>
        </w:rPr>
      </w:pPr>
      <w:r>
        <w:rPr>
          <w:sz w:val="18"/>
        </w:rPr>
        <w:t>语言能力或咀嚼吞咽能力完全丧失；</w:t>
      </w:r>
    </w:p>
    <w:p>
      <w:pPr>
        <w:pStyle w:val="ListParagraph"/>
        <w:numPr>
          <w:ilvl w:val="0"/>
          <w:numId w:val="22"/>
        </w:numPr>
        <w:tabs>
          <w:tab w:pos="596" w:val="left" w:leader="none"/>
        </w:tabs>
        <w:spacing w:line="240" w:lineRule="auto" w:before="73" w:after="0"/>
        <w:ind w:left="595" w:right="0" w:hanging="420"/>
        <w:jc w:val="left"/>
        <w:rPr>
          <w:sz w:val="18"/>
        </w:rPr>
      </w:pPr>
      <w:r>
        <w:rPr>
          <w:spacing w:val="-8"/>
          <w:sz w:val="18"/>
        </w:rPr>
        <w:t>自主生活能力完全丧失，无法独立完成六项基本日常生活活动中的三项或三项以上。</w:t>
      </w:r>
    </w:p>
    <w:p>
      <w:pPr>
        <w:spacing w:after="0" w:line="240" w:lineRule="auto"/>
        <w:jc w:val="left"/>
        <w:rPr>
          <w:sz w:val="18"/>
        </w:rPr>
        <w:sectPr>
          <w:type w:val="continuous"/>
          <w:pgSz w:w="11910" w:h="16840"/>
          <w:pgMar w:top="1060" w:bottom="1160" w:left="1160" w:right="940"/>
          <w:cols w:num="2" w:equalWidth="0">
            <w:col w:w="2460" w:space="40"/>
            <w:col w:w="7310"/>
          </w:cols>
        </w:sectPr>
      </w:pPr>
    </w:p>
    <w:p>
      <w:pPr>
        <w:pStyle w:val="BodyText"/>
        <w:spacing w:before="0"/>
        <w:rPr>
          <w:sz w:val="20"/>
        </w:rPr>
      </w:pPr>
    </w:p>
    <w:p>
      <w:pPr>
        <w:pStyle w:val="ListParagraph"/>
        <w:numPr>
          <w:ilvl w:val="0"/>
          <w:numId w:val="20"/>
        </w:numPr>
        <w:tabs>
          <w:tab w:pos="600" w:val="left" w:leader="none"/>
          <w:tab w:pos="2675" w:val="left" w:leader="none"/>
        </w:tabs>
        <w:spacing w:line="307" w:lineRule="auto" w:before="137" w:after="0"/>
        <w:ind w:left="2675" w:right="216" w:hanging="2436"/>
        <w:jc w:val="both"/>
        <w:rPr>
          <w:sz w:val="18"/>
        </w:rPr>
      </w:pPr>
      <w:r>
        <w:rPr>
          <w:rFonts w:ascii="微软雅黑" w:eastAsia="微软雅黑" w:hint="eastAsia"/>
          <w:b/>
          <w:position w:val="7"/>
          <w:sz w:val="18"/>
        </w:rPr>
        <w:t>深度昏迷</w:t>
        <w:tab/>
      </w:r>
      <w:r>
        <w:rPr>
          <w:sz w:val="18"/>
        </w:rPr>
        <w:t>指因疾病或意外伤害导致意识丧失，对外界刺激和体内需求均无反应，昏迷程度按照格 拉斯哥昏迷分级（Glasgow coma</w:t>
      </w:r>
      <w:r>
        <w:rPr>
          <w:spacing w:val="0"/>
          <w:sz w:val="18"/>
        </w:rPr>
        <w:t> </w:t>
      </w:r>
      <w:r>
        <w:rPr>
          <w:sz w:val="18"/>
        </w:rPr>
        <w:t>scale）结</w:t>
      </w:r>
      <w:r>
        <w:rPr>
          <w:spacing w:val="-3"/>
          <w:sz w:val="18"/>
        </w:rPr>
        <w:t>果</w:t>
      </w:r>
      <w:r>
        <w:rPr>
          <w:sz w:val="18"/>
        </w:rPr>
        <w:t>为</w:t>
      </w:r>
      <w:r>
        <w:rPr>
          <w:spacing w:val="-28"/>
          <w:sz w:val="18"/>
        </w:rPr>
        <w:t> </w:t>
      </w:r>
      <w:r>
        <w:rPr>
          <w:sz w:val="18"/>
        </w:rPr>
        <w:t>5</w:t>
      </w:r>
      <w:r>
        <w:rPr>
          <w:spacing w:val="-27"/>
          <w:sz w:val="18"/>
        </w:rPr>
        <w:t> </w:t>
      </w:r>
      <w:r>
        <w:rPr>
          <w:sz w:val="18"/>
        </w:rPr>
        <w:t>分或</w:t>
      </w:r>
      <w:r>
        <w:rPr>
          <w:spacing w:val="-31"/>
          <w:sz w:val="18"/>
        </w:rPr>
        <w:t> </w:t>
      </w:r>
      <w:r>
        <w:rPr>
          <w:sz w:val="18"/>
        </w:rPr>
        <w:t>5</w:t>
      </w:r>
      <w:r>
        <w:rPr>
          <w:spacing w:val="-27"/>
          <w:sz w:val="18"/>
        </w:rPr>
        <w:t> </w:t>
      </w:r>
      <w:r>
        <w:rPr>
          <w:spacing w:val="-3"/>
          <w:sz w:val="18"/>
        </w:rPr>
        <w:t>分</w:t>
      </w:r>
      <w:r>
        <w:rPr>
          <w:sz w:val="18"/>
        </w:rPr>
        <w:t>以下，且已经持续使用呼吸机及其它生命维持系统</w:t>
      </w:r>
      <w:r>
        <w:rPr>
          <w:spacing w:val="-45"/>
          <w:sz w:val="18"/>
        </w:rPr>
        <w:t> </w:t>
      </w:r>
      <w:r>
        <w:rPr>
          <w:sz w:val="18"/>
        </w:rPr>
        <w:t>96</w:t>
      </w:r>
      <w:r>
        <w:rPr>
          <w:spacing w:val="-44"/>
          <w:sz w:val="18"/>
        </w:rPr>
        <w:t> </w:t>
      </w:r>
      <w:r>
        <w:rPr>
          <w:sz w:val="18"/>
        </w:rPr>
        <w:t>小</w:t>
      </w:r>
      <w:r>
        <w:rPr>
          <w:spacing w:val="-3"/>
          <w:sz w:val="18"/>
        </w:rPr>
        <w:t>时</w:t>
      </w:r>
      <w:r>
        <w:rPr>
          <w:sz w:val="18"/>
        </w:rPr>
        <w:t>以上。</w:t>
      </w:r>
    </w:p>
    <w:p>
      <w:pPr>
        <w:pStyle w:val="BodyText"/>
        <w:spacing w:before="23"/>
        <w:ind w:left="2675"/>
      </w:pPr>
      <w:r>
        <w:rPr>
          <w:shd w:fill="C0C0C0" w:color="auto" w:val="clear"/>
        </w:rPr>
        <w:t>因酗酒或药物滥用导致的深度昏迷不在保障范围内。</w:t>
      </w:r>
    </w:p>
    <w:p>
      <w:pPr>
        <w:pStyle w:val="BodyText"/>
        <w:spacing w:before="0"/>
      </w:pPr>
    </w:p>
    <w:p>
      <w:pPr>
        <w:pStyle w:val="BodyText"/>
        <w:spacing w:before="3"/>
        <w:rPr>
          <w:sz w:val="13"/>
        </w:rPr>
      </w:pPr>
    </w:p>
    <w:p>
      <w:pPr>
        <w:pStyle w:val="ListParagraph"/>
        <w:numPr>
          <w:ilvl w:val="0"/>
          <w:numId w:val="20"/>
        </w:numPr>
        <w:tabs>
          <w:tab w:pos="600" w:val="left" w:leader="none"/>
          <w:tab w:pos="2675" w:val="left" w:leader="none"/>
        </w:tabs>
        <w:spacing w:line="307" w:lineRule="auto" w:before="0" w:after="0"/>
        <w:ind w:left="2675" w:right="216" w:hanging="2436"/>
        <w:jc w:val="both"/>
        <w:rPr>
          <w:sz w:val="18"/>
        </w:rPr>
      </w:pPr>
      <w:r>
        <w:rPr>
          <w:rFonts w:ascii="微软雅黑" w:eastAsia="微软雅黑" w:hint="eastAsia"/>
          <w:b/>
          <w:position w:val="5"/>
          <w:sz w:val="18"/>
        </w:rPr>
        <w:t>双耳失聪</w:t>
        <w:tab/>
      </w:r>
      <w:r>
        <w:rPr>
          <w:sz w:val="18"/>
        </w:rPr>
        <w:t>指因疾病或意外伤害导致双耳听力永久不可逆（见注</w:t>
      </w:r>
      <w:r>
        <w:rPr>
          <w:spacing w:val="-28"/>
          <w:sz w:val="18"/>
        </w:rPr>
        <w:t> </w:t>
      </w:r>
      <w:r>
        <w:rPr>
          <w:sz w:val="18"/>
        </w:rPr>
        <w:t>6）性丧失，在</w:t>
      </w:r>
      <w:r>
        <w:rPr>
          <w:spacing w:val="-28"/>
          <w:sz w:val="18"/>
        </w:rPr>
        <w:t> </w:t>
      </w:r>
      <w:r>
        <w:rPr>
          <w:sz w:val="18"/>
        </w:rPr>
        <w:t>500</w:t>
      </w:r>
      <w:r>
        <w:rPr>
          <w:spacing w:val="-28"/>
          <w:sz w:val="18"/>
        </w:rPr>
        <w:t> </w:t>
      </w:r>
      <w:r>
        <w:rPr>
          <w:sz w:val="18"/>
        </w:rPr>
        <w:t>赫兹、1000</w:t>
      </w:r>
      <w:r>
        <w:rPr>
          <w:spacing w:val="-28"/>
          <w:sz w:val="18"/>
        </w:rPr>
        <w:t> </w:t>
      </w:r>
      <w:r>
        <w:rPr>
          <w:sz w:val="18"/>
        </w:rPr>
        <w:t>赫兹和</w:t>
      </w:r>
      <w:r>
        <w:rPr>
          <w:spacing w:val="-28"/>
          <w:sz w:val="18"/>
        </w:rPr>
        <w:t> </w:t>
      </w:r>
      <w:r>
        <w:rPr>
          <w:sz w:val="18"/>
        </w:rPr>
        <w:t>2000</w:t>
      </w:r>
      <w:r>
        <w:rPr>
          <w:spacing w:val="-27"/>
          <w:sz w:val="18"/>
        </w:rPr>
        <w:t> </w:t>
      </w:r>
      <w:r>
        <w:rPr>
          <w:sz w:val="18"/>
        </w:rPr>
        <w:t>赫兹语音频率下</w:t>
      </w:r>
      <w:r>
        <w:rPr>
          <w:spacing w:val="-3"/>
          <w:sz w:val="18"/>
        </w:rPr>
        <w:t>，</w:t>
      </w:r>
      <w:r>
        <w:rPr>
          <w:sz w:val="18"/>
        </w:rPr>
        <w:t>平均听阈大于</w:t>
      </w:r>
      <w:r>
        <w:rPr>
          <w:spacing w:val="-28"/>
          <w:sz w:val="18"/>
        </w:rPr>
        <w:t> </w:t>
      </w:r>
      <w:r>
        <w:rPr>
          <w:sz w:val="18"/>
        </w:rPr>
        <w:t>90</w:t>
      </w:r>
      <w:r>
        <w:rPr>
          <w:spacing w:val="-27"/>
          <w:sz w:val="18"/>
        </w:rPr>
        <w:t> </w:t>
      </w:r>
      <w:r>
        <w:rPr>
          <w:sz w:val="18"/>
        </w:rPr>
        <w:t>分贝，且</w:t>
      </w:r>
      <w:r>
        <w:rPr>
          <w:spacing w:val="-3"/>
          <w:sz w:val="18"/>
        </w:rPr>
        <w:t>经</w:t>
      </w:r>
      <w:r>
        <w:rPr>
          <w:sz w:val="18"/>
        </w:rPr>
        <w:t>纯音听力测试、声导抗检测或听觉诱发电位检测等证实。</w:t>
      </w:r>
    </w:p>
    <w:p>
      <w:pPr>
        <w:pStyle w:val="BodyText"/>
        <w:spacing w:line="319" w:lineRule="auto" w:before="25"/>
        <w:ind w:left="2675" w:right="171"/>
      </w:pPr>
      <w:r>
        <w:rPr>
          <w:shd w:fill="C0C0C0" w:color="auto" w:val="clear"/>
        </w:rPr>
        <w:t>被保险人申请理赔时年龄必须在 3 周岁以上</w:t>
      </w:r>
      <w:r>
        <w:rPr/>
        <w:t>，并且提供理赔当时的听力丧失诊断及检查证据。</w:t>
      </w:r>
    </w:p>
    <w:p>
      <w:pPr>
        <w:pStyle w:val="BodyText"/>
        <w:spacing w:before="10"/>
        <w:rPr>
          <w:sz w:val="24"/>
        </w:rPr>
      </w:pPr>
    </w:p>
    <w:p>
      <w:pPr>
        <w:pStyle w:val="ListParagraph"/>
        <w:numPr>
          <w:ilvl w:val="0"/>
          <w:numId w:val="20"/>
        </w:numPr>
        <w:tabs>
          <w:tab w:pos="600" w:val="left" w:leader="none"/>
          <w:tab w:pos="2675" w:val="left" w:leader="none"/>
        </w:tabs>
        <w:spacing w:line="295" w:lineRule="auto" w:before="0" w:after="0"/>
        <w:ind w:left="2675" w:right="216" w:hanging="2436"/>
        <w:jc w:val="both"/>
        <w:rPr>
          <w:sz w:val="18"/>
        </w:rPr>
      </w:pPr>
      <w:r>
        <w:rPr>
          <w:rFonts w:ascii="微软雅黑" w:eastAsia="微软雅黑" w:hint="eastAsia"/>
          <w:b/>
          <w:position w:val="2"/>
          <w:sz w:val="18"/>
        </w:rPr>
        <w:t>双目失明</w:t>
        <w:tab/>
      </w:r>
      <w:r>
        <w:rPr>
          <w:sz w:val="18"/>
        </w:rPr>
        <w:t>指因疾病或意外伤害导致双眼视力永久不可逆性丧失，双眼中较好眼须满足下列至少一 项条件：</w:t>
      </w:r>
    </w:p>
    <w:p>
      <w:pPr>
        <w:pStyle w:val="ListParagraph"/>
        <w:numPr>
          <w:ilvl w:val="1"/>
          <w:numId w:val="20"/>
        </w:numPr>
        <w:tabs>
          <w:tab w:pos="3096" w:val="left" w:leader="none"/>
        </w:tabs>
        <w:spacing w:line="240" w:lineRule="auto" w:before="34" w:after="0"/>
        <w:ind w:left="3095" w:right="0" w:hanging="420"/>
        <w:jc w:val="left"/>
        <w:rPr>
          <w:sz w:val="18"/>
        </w:rPr>
      </w:pPr>
      <w:r>
        <w:rPr>
          <w:sz w:val="18"/>
        </w:rPr>
        <w:t>眼球缺失或摘除；</w:t>
      </w:r>
    </w:p>
    <w:p>
      <w:pPr>
        <w:pStyle w:val="ListParagraph"/>
        <w:numPr>
          <w:ilvl w:val="1"/>
          <w:numId w:val="20"/>
        </w:numPr>
        <w:tabs>
          <w:tab w:pos="3096" w:val="left" w:leader="none"/>
        </w:tabs>
        <w:spacing w:line="240" w:lineRule="auto" w:before="76" w:after="0"/>
        <w:ind w:left="3095" w:right="0" w:hanging="420"/>
        <w:jc w:val="left"/>
        <w:rPr>
          <w:sz w:val="18"/>
        </w:rPr>
      </w:pPr>
      <w:r>
        <w:rPr>
          <w:spacing w:val="-7"/>
          <w:sz w:val="18"/>
        </w:rPr>
        <w:t>矫正视力低于 </w:t>
      </w:r>
      <w:r>
        <w:rPr>
          <w:spacing w:val="0"/>
          <w:sz w:val="18"/>
        </w:rPr>
        <w:t>0</w:t>
      </w:r>
      <w:r>
        <w:rPr>
          <w:sz w:val="18"/>
        </w:rPr>
        <w:t>.0</w:t>
      </w:r>
      <w:r>
        <w:rPr>
          <w:spacing w:val="0"/>
          <w:sz w:val="18"/>
        </w:rPr>
        <w:t>2</w:t>
      </w:r>
      <w:r>
        <w:rPr>
          <w:sz w:val="18"/>
        </w:rPr>
        <w:t>（</w:t>
      </w:r>
      <w:r>
        <w:rPr>
          <w:spacing w:val="-1"/>
          <w:sz w:val="18"/>
        </w:rPr>
        <w:t>采用国际标准视力表，如果使用其它视力表应进行换算</w:t>
      </w:r>
      <w:r>
        <w:rPr>
          <w:spacing w:val="-92"/>
          <w:sz w:val="18"/>
        </w:rPr>
        <w:t>）</w:t>
      </w:r>
      <w:r>
        <w:rPr>
          <w:sz w:val="18"/>
        </w:rPr>
        <w:t>；</w:t>
      </w:r>
    </w:p>
    <w:p>
      <w:pPr>
        <w:spacing w:after="0" w:line="240" w:lineRule="auto"/>
        <w:jc w:val="left"/>
        <w:rPr>
          <w:sz w:val="18"/>
        </w:rPr>
        <w:sectPr>
          <w:type w:val="continuous"/>
          <w:pgSz w:w="11910" w:h="16840"/>
          <w:pgMar w:top="1060" w:bottom="1160" w:left="1160" w:right="940"/>
        </w:sectPr>
      </w:pPr>
    </w:p>
    <w:p>
      <w:pPr>
        <w:pStyle w:val="BodyText"/>
        <w:spacing w:before="1"/>
        <w:rPr>
          <w:sz w:val="20"/>
        </w:rPr>
      </w:pPr>
    </w:p>
    <w:p>
      <w:pPr>
        <w:pStyle w:val="ListParagraph"/>
        <w:numPr>
          <w:ilvl w:val="1"/>
          <w:numId w:val="20"/>
        </w:numPr>
        <w:tabs>
          <w:tab w:pos="3096" w:val="left" w:leader="none"/>
        </w:tabs>
        <w:spacing w:line="240" w:lineRule="auto" w:before="45" w:after="0"/>
        <w:ind w:left="3095" w:right="0" w:hanging="420"/>
        <w:jc w:val="left"/>
        <w:rPr>
          <w:sz w:val="18"/>
        </w:rPr>
      </w:pPr>
      <w:r>
        <w:rPr>
          <w:spacing w:val="-7"/>
          <w:sz w:val="18"/>
        </w:rPr>
        <w:t>视野半径小于 </w:t>
      </w:r>
      <w:r>
        <w:rPr>
          <w:sz w:val="18"/>
        </w:rPr>
        <w:t>5</w:t>
      </w:r>
      <w:r>
        <w:rPr>
          <w:spacing w:val="-15"/>
          <w:sz w:val="18"/>
        </w:rPr>
        <w:t> 度。</w:t>
      </w:r>
    </w:p>
    <w:p>
      <w:pPr>
        <w:pStyle w:val="BodyText"/>
        <w:spacing w:line="319" w:lineRule="auto"/>
        <w:ind w:left="2675" w:right="218"/>
      </w:pPr>
      <w:r>
        <w:rPr>
          <w:spacing w:val="-3"/>
          <w:shd w:fill="C0C0C0" w:color="auto" w:val="clear"/>
        </w:rPr>
        <w:t>被保险人申请理赔时年龄必须在 </w:t>
      </w:r>
      <w:r>
        <w:rPr>
          <w:shd w:fill="C0C0C0" w:color="auto" w:val="clear"/>
        </w:rPr>
        <w:t>3</w:t>
      </w:r>
      <w:r>
        <w:rPr>
          <w:spacing w:val="-12"/>
          <w:shd w:fill="C0C0C0" w:color="auto" w:val="clear"/>
        </w:rPr>
        <w:t> 周岁以上</w:t>
      </w:r>
      <w:r>
        <w:rPr/>
        <w:t>（</w:t>
      </w:r>
      <w:r>
        <w:rPr>
          <w:spacing w:val="-1"/>
        </w:rPr>
        <w:t>眼球缺失或摘除的不受此限</w:t>
      </w:r>
      <w:r>
        <w:rPr>
          <w:spacing w:val="-92"/>
        </w:rPr>
        <w:t>）</w:t>
      </w:r>
      <w:r>
        <w:rPr>
          <w:spacing w:val="-3"/>
        </w:rPr>
        <w:t>，并且提供理赔当时的视力丧失诊断及检查证据。</w:t>
      </w:r>
    </w:p>
    <w:p>
      <w:pPr>
        <w:pStyle w:val="BodyText"/>
        <w:spacing w:before="10"/>
        <w:rPr>
          <w:sz w:val="23"/>
        </w:rPr>
      </w:pPr>
    </w:p>
    <w:p>
      <w:pPr>
        <w:pStyle w:val="ListParagraph"/>
        <w:numPr>
          <w:ilvl w:val="0"/>
          <w:numId w:val="20"/>
        </w:numPr>
        <w:tabs>
          <w:tab w:pos="600" w:val="left" w:leader="none"/>
          <w:tab w:pos="2675" w:val="left" w:leader="none"/>
        </w:tabs>
        <w:spacing w:line="297" w:lineRule="auto" w:before="0" w:after="0"/>
        <w:ind w:left="2675" w:right="216" w:hanging="2436"/>
        <w:jc w:val="both"/>
        <w:rPr>
          <w:sz w:val="18"/>
        </w:rPr>
      </w:pPr>
      <w:r>
        <w:rPr>
          <w:rFonts w:ascii="微软雅黑" w:eastAsia="微软雅黑" w:hint="eastAsia"/>
          <w:b/>
          <w:sz w:val="18"/>
        </w:rPr>
        <w:t>瘫痪</w:t>
        <w:tab/>
      </w:r>
      <w:r>
        <w:rPr>
          <w:sz w:val="18"/>
        </w:rPr>
        <w:t>指因疾病或意外伤害导致两肢或两肢以上肢体机能永久完全丧失。肢体机能永久完全丧 失，指疾病确诊</w:t>
      </w:r>
      <w:r>
        <w:rPr>
          <w:spacing w:val="-28"/>
          <w:sz w:val="18"/>
        </w:rPr>
        <w:t> </w:t>
      </w:r>
      <w:r>
        <w:rPr>
          <w:sz w:val="18"/>
        </w:rPr>
        <w:t>180</w:t>
      </w:r>
      <w:r>
        <w:rPr>
          <w:spacing w:val="-28"/>
          <w:sz w:val="18"/>
        </w:rPr>
        <w:t> </w:t>
      </w:r>
      <w:r>
        <w:rPr>
          <w:sz w:val="18"/>
        </w:rPr>
        <w:t>天后或</w:t>
      </w:r>
      <w:r>
        <w:rPr>
          <w:spacing w:val="-3"/>
          <w:sz w:val="18"/>
        </w:rPr>
        <w:t>意</w:t>
      </w:r>
      <w:r>
        <w:rPr>
          <w:sz w:val="18"/>
        </w:rPr>
        <w:t>外伤害发生</w:t>
      </w:r>
      <w:r>
        <w:rPr>
          <w:spacing w:val="-28"/>
          <w:sz w:val="18"/>
        </w:rPr>
        <w:t> </w:t>
      </w:r>
      <w:r>
        <w:rPr>
          <w:sz w:val="18"/>
        </w:rPr>
        <w:t>180</w:t>
      </w:r>
      <w:r>
        <w:rPr>
          <w:spacing w:val="-28"/>
          <w:sz w:val="18"/>
        </w:rPr>
        <w:t> </w:t>
      </w:r>
      <w:r>
        <w:rPr>
          <w:sz w:val="18"/>
        </w:rPr>
        <w:t>天后，每肢</w:t>
      </w:r>
      <w:r>
        <w:rPr>
          <w:spacing w:val="-3"/>
          <w:sz w:val="18"/>
        </w:rPr>
        <w:t>三</w:t>
      </w:r>
      <w:r>
        <w:rPr>
          <w:sz w:val="18"/>
        </w:rPr>
        <w:t>大关节中的两大关节仍然完全僵硬，或不能随意识活动。</w:t>
      </w:r>
    </w:p>
    <w:p>
      <w:pPr>
        <w:pStyle w:val="BodyText"/>
        <w:spacing w:before="3"/>
        <w:rPr>
          <w:sz w:val="22"/>
        </w:rPr>
      </w:pPr>
    </w:p>
    <w:p>
      <w:pPr>
        <w:pStyle w:val="ListParagraph"/>
        <w:numPr>
          <w:ilvl w:val="0"/>
          <w:numId w:val="20"/>
        </w:numPr>
        <w:tabs>
          <w:tab w:pos="600" w:val="left" w:leader="none"/>
          <w:tab w:pos="2675" w:val="left" w:leader="none"/>
        </w:tabs>
        <w:spacing w:line="240" w:lineRule="auto" w:before="0" w:after="0"/>
        <w:ind w:left="2675" w:right="0" w:hanging="2436"/>
        <w:jc w:val="left"/>
        <w:rPr>
          <w:sz w:val="18"/>
        </w:rPr>
      </w:pPr>
      <w:r>
        <w:rPr>
          <w:rFonts w:ascii="微软雅黑" w:eastAsia="微软雅黑" w:hint="eastAsia"/>
          <w:b/>
          <w:sz w:val="18"/>
        </w:rPr>
        <w:t>心脏瓣膜手术</w:t>
        <w:tab/>
      </w:r>
      <w:r>
        <w:rPr>
          <w:sz w:val="18"/>
        </w:rPr>
        <w:t>指为治疗心脏瓣膜疾病，实际实施了开胸进行的心脏瓣膜置换或修复的手术。</w:t>
      </w:r>
    </w:p>
    <w:p>
      <w:pPr>
        <w:pStyle w:val="BodyText"/>
        <w:spacing w:before="11"/>
        <w:rPr>
          <w:sz w:val="23"/>
        </w:rPr>
      </w:pPr>
    </w:p>
    <w:p>
      <w:pPr>
        <w:pStyle w:val="ListParagraph"/>
        <w:numPr>
          <w:ilvl w:val="0"/>
          <w:numId w:val="20"/>
        </w:numPr>
        <w:tabs>
          <w:tab w:pos="600" w:val="left" w:leader="none"/>
          <w:tab w:pos="2675" w:val="left" w:leader="none"/>
        </w:tabs>
        <w:spacing w:line="304" w:lineRule="auto" w:before="0" w:after="0"/>
        <w:ind w:left="2675" w:right="216" w:hanging="2436"/>
        <w:jc w:val="both"/>
        <w:rPr>
          <w:sz w:val="18"/>
        </w:rPr>
      </w:pPr>
      <w:r>
        <w:rPr>
          <w:rFonts w:ascii="微软雅黑" w:eastAsia="微软雅黑" w:hint="eastAsia"/>
          <w:b/>
          <w:sz w:val="18"/>
        </w:rPr>
        <w:t>严重阿尔茨海默病</w:t>
        <w:tab/>
      </w:r>
      <w:r>
        <w:rPr>
          <w:sz w:val="18"/>
        </w:rPr>
        <w:t>指因大脑进行性、不可逆性改变导致智能严重衰退或丧失，临床表现为明显的认知能力 障碍、行为异常和社交能力减退，其日常生活必须持续受到他人监护。须由头颅断层扫</w:t>
      </w:r>
      <w:r>
        <w:rPr>
          <w:spacing w:val="-3"/>
          <w:sz w:val="18"/>
        </w:rPr>
        <w:t>描</w:t>
      </w:r>
      <w:r>
        <w:rPr>
          <w:sz w:val="18"/>
        </w:rPr>
        <w:t>（</w:t>
      </w:r>
      <w:r>
        <w:rPr>
          <w:spacing w:val="0"/>
          <w:sz w:val="18"/>
        </w:rPr>
        <w:t>CT</w:t>
      </w:r>
      <w:r>
        <w:rPr>
          <w:spacing w:val="-92"/>
          <w:sz w:val="18"/>
        </w:rPr>
        <w:t>）</w:t>
      </w:r>
      <w:r>
        <w:rPr>
          <w:spacing w:val="-3"/>
          <w:sz w:val="18"/>
        </w:rPr>
        <w:t>、</w:t>
      </w:r>
      <w:r>
        <w:rPr>
          <w:sz w:val="18"/>
        </w:rPr>
        <w:t>核磁共振检</w:t>
      </w:r>
      <w:r>
        <w:rPr>
          <w:spacing w:val="-3"/>
          <w:sz w:val="18"/>
        </w:rPr>
        <w:t>查（</w:t>
      </w:r>
      <w:r>
        <w:rPr>
          <w:spacing w:val="0"/>
          <w:sz w:val="18"/>
        </w:rPr>
        <w:t>M</w:t>
      </w:r>
      <w:r>
        <w:rPr>
          <w:sz w:val="18"/>
        </w:rPr>
        <w:t>R</w:t>
      </w:r>
      <w:r>
        <w:rPr>
          <w:spacing w:val="-3"/>
          <w:sz w:val="18"/>
        </w:rPr>
        <w:t>I）</w:t>
      </w:r>
      <w:r>
        <w:rPr>
          <w:sz w:val="18"/>
        </w:rPr>
        <w:t>或正电子发射断层扫</w:t>
      </w:r>
      <w:r>
        <w:rPr>
          <w:spacing w:val="-3"/>
          <w:sz w:val="18"/>
        </w:rPr>
        <w:t>描</w:t>
      </w:r>
      <w:r>
        <w:rPr>
          <w:sz w:val="18"/>
        </w:rPr>
        <w:t>（</w:t>
      </w:r>
      <w:r>
        <w:rPr>
          <w:spacing w:val="0"/>
          <w:sz w:val="18"/>
        </w:rPr>
        <w:t>P</w:t>
      </w:r>
      <w:r>
        <w:rPr>
          <w:sz w:val="18"/>
        </w:rPr>
        <w:t>E</w:t>
      </w:r>
      <w:r>
        <w:rPr>
          <w:spacing w:val="-3"/>
          <w:sz w:val="18"/>
        </w:rPr>
        <w:t>T）</w:t>
      </w:r>
      <w:r>
        <w:rPr>
          <w:sz w:val="18"/>
        </w:rPr>
        <w:t>等影像学检查证实</w:t>
      </w:r>
      <w:r>
        <w:rPr>
          <w:spacing w:val="-3"/>
          <w:sz w:val="18"/>
        </w:rPr>
        <w:t>，</w:t>
      </w:r>
      <w:r>
        <w:rPr>
          <w:sz w:val="18"/>
        </w:rPr>
        <w:t>且自主生活能力完全丧失，无法独立完成六项基本日常生活活动中的三项或三项以上。</w:t>
      </w:r>
    </w:p>
    <w:p>
      <w:pPr>
        <w:pStyle w:val="BodyText"/>
        <w:spacing w:before="27"/>
        <w:ind w:left="2675"/>
      </w:pPr>
      <w:r>
        <w:rPr>
          <w:shd w:fill="C0C0C0" w:color="auto" w:val="clear"/>
        </w:rPr>
        <w:t>神经官能症和精神疾病不在保障范围内。</w:t>
      </w:r>
    </w:p>
    <w:p>
      <w:pPr>
        <w:pStyle w:val="BodyText"/>
        <w:spacing w:before="7"/>
        <w:rPr>
          <w:sz w:val="25"/>
        </w:rPr>
      </w:pPr>
    </w:p>
    <w:p>
      <w:pPr>
        <w:pStyle w:val="ListParagraph"/>
        <w:numPr>
          <w:ilvl w:val="0"/>
          <w:numId w:val="20"/>
        </w:numPr>
        <w:tabs>
          <w:tab w:pos="600" w:val="left" w:leader="none"/>
          <w:tab w:pos="2675" w:val="left" w:leader="none"/>
        </w:tabs>
        <w:spacing w:line="304" w:lineRule="auto" w:before="0" w:after="0"/>
        <w:ind w:left="2675" w:right="213" w:hanging="2436"/>
        <w:jc w:val="both"/>
        <w:rPr>
          <w:sz w:val="18"/>
        </w:rPr>
      </w:pPr>
      <w:r>
        <w:rPr>
          <w:rFonts w:ascii="微软雅黑" w:eastAsia="微软雅黑" w:hint="eastAsia"/>
          <w:b/>
          <w:sz w:val="18"/>
        </w:rPr>
        <w:t>严重脑损伤</w:t>
        <w:tab/>
      </w:r>
      <w:r>
        <w:rPr>
          <w:sz w:val="18"/>
        </w:rPr>
        <w:t>指因头部遭受机械性外力，引起脑重要部位损伤，导致神经系统永久性的功能障碍。须 由头颅断层扫</w:t>
      </w:r>
      <w:r>
        <w:rPr>
          <w:spacing w:val="-3"/>
          <w:sz w:val="18"/>
        </w:rPr>
        <w:t>描</w:t>
      </w:r>
      <w:r>
        <w:rPr>
          <w:sz w:val="18"/>
        </w:rPr>
        <w:t>（</w:t>
      </w:r>
      <w:r>
        <w:rPr>
          <w:spacing w:val="0"/>
          <w:sz w:val="18"/>
        </w:rPr>
        <w:t>CT</w:t>
      </w:r>
      <w:r>
        <w:rPr>
          <w:spacing w:val="-92"/>
          <w:sz w:val="18"/>
        </w:rPr>
        <w:t>）</w:t>
      </w:r>
      <w:r>
        <w:rPr>
          <w:spacing w:val="-3"/>
          <w:sz w:val="18"/>
        </w:rPr>
        <w:t>、</w:t>
      </w:r>
      <w:r>
        <w:rPr>
          <w:sz w:val="18"/>
        </w:rPr>
        <w:t>核磁</w:t>
      </w:r>
      <w:r>
        <w:rPr>
          <w:spacing w:val="-3"/>
          <w:sz w:val="18"/>
        </w:rPr>
        <w:t>共</w:t>
      </w:r>
      <w:r>
        <w:rPr>
          <w:sz w:val="18"/>
        </w:rPr>
        <w:t>振检</w:t>
      </w:r>
      <w:r>
        <w:rPr>
          <w:spacing w:val="-3"/>
          <w:sz w:val="18"/>
        </w:rPr>
        <w:t>查</w:t>
      </w:r>
      <w:r>
        <w:rPr>
          <w:sz w:val="18"/>
        </w:rPr>
        <w:t>（</w:t>
      </w:r>
      <w:r>
        <w:rPr>
          <w:spacing w:val="0"/>
          <w:sz w:val="18"/>
        </w:rPr>
        <w:t>M</w:t>
      </w:r>
      <w:r>
        <w:rPr>
          <w:sz w:val="18"/>
        </w:rPr>
        <w:t>R</w:t>
      </w:r>
      <w:r>
        <w:rPr>
          <w:spacing w:val="-1"/>
          <w:sz w:val="18"/>
        </w:rPr>
        <w:t>I</w:t>
      </w:r>
      <w:r>
        <w:rPr>
          <w:spacing w:val="-3"/>
          <w:sz w:val="18"/>
        </w:rPr>
        <w:t>）</w:t>
      </w:r>
      <w:r>
        <w:rPr>
          <w:sz w:val="18"/>
        </w:rPr>
        <w:t>或正电子发射</w:t>
      </w:r>
      <w:r>
        <w:rPr>
          <w:spacing w:val="-3"/>
          <w:sz w:val="18"/>
        </w:rPr>
        <w:t>断</w:t>
      </w:r>
      <w:r>
        <w:rPr>
          <w:sz w:val="18"/>
        </w:rPr>
        <w:t>层扫</w:t>
      </w:r>
      <w:r>
        <w:rPr>
          <w:spacing w:val="-3"/>
          <w:sz w:val="18"/>
        </w:rPr>
        <w:t>描</w:t>
      </w:r>
      <w:r>
        <w:rPr>
          <w:sz w:val="18"/>
        </w:rPr>
        <w:t>（</w:t>
      </w:r>
      <w:r>
        <w:rPr>
          <w:spacing w:val="0"/>
          <w:sz w:val="18"/>
        </w:rPr>
        <w:t>P</w:t>
      </w:r>
      <w:r>
        <w:rPr>
          <w:sz w:val="18"/>
        </w:rPr>
        <w:t>E</w:t>
      </w:r>
      <w:r>
        <w:rPr>
          <w:spacing w:val="-1"/>
          <w:sz w:val="18"/>
        </w:rPr>
        <w:t>T</w:t>
      </w:r>
      <w:r>
        <w:rPr>
          <w:spacing w:val="-3"/>
          <w:sz w:val="18"/>
        </w:rPr>
        <w:t>）</w:t>
      </w:r>
      <w:r>
        <w:rPr>
          <w:sz w:val="18"/>
        </w:rPr>
        <w:t>等影像学检查证实。神经系统永久性的功能障碍，指脑损伤</w:t>
      </w:r>
      <w:r>
        <w:rPr>
          <w:spacing w:val="-11"/>
          <w:sz w:val="18"/>
        </w:rPr>
        <w:t> </w:t>
      </w:r>
      <w:r>
        <w:rPr>
          <w:sz w:val="18"/>
        </w:rPr>
        <w:t>180</w:t>
      </w:r>
      <w:r>
        <w:rPr>
          <w:spacing w:val="-10"/>
          <w:sz w:val="18"/>
        </w:rPr>
        <w:t> </w:t>
      </w:r>
      <w:r>
        <w:rPr>
          <w:sz w:val="18"/>
        </w:rPr>
        <w:t>天后</w:t>
      </w:r>
      <w:r>
        <w:rPr>
          <w:spacing w:val="-3"/>
          <w:sz w:val="18"/>
        </w:rPr>
        <w:t>，</w:t>
      </w:r>
      <w:r>
        <w:rPr>
          <w:sz w:val="18"/>
        </w:rPr>
        <w:t>仍遗留下列一种或一种以上障碍：</w:t>
      </w:r>
    </w:p>
    <w:p>
      <w:pPr>
        <w:pStyle w:val="ListParagraph"/>
        <w:numPr>
          <w:ilvl w:val="1"/>
          <w:numId w:val="20"/>
        </w:numPr>
        <w:tabs>
          <w:tab w:pos="3096" w:val="left" w:leader="none"/>
        </w:tabs>
        <w:spacing w:line="240" w:lineRule="auto" w:before="27" w:after="0"/>
        <w:ind w:left="3095" w:right="0" w:hanging="420"/>
        <w:jc w:val="left"/>
        <w:rPr>
          <w:sz w:val="18"/>
        </w:rPr>
      </w:pPr>
      <w:r>
        <w:rPr>
          <w:sz w:val="18"/>
        </w:rPr>
        <w:t>一肢或一肢以上肢体机能完全丧失；</w:t>
      </w:r>
    </w:p>
    <w:p>
      <w:pPr>
        <w:pStyle w:val="ListParagraph"/>
        <w:numPr>
          <w:ilvl w:val="1"/>
          <w:numId w:val="20"/>
        </w:numPr>
        <w:tabs>
          <w:tab w:pos="3096" w:val="left" w:leader="none"/>
        </w:tabs>
        <w:spacing w:line="240" w:lineRule="auto" w:before="75" w:after="0"/>
        <w:ind w:left="3095" w:right="0" w:hanging="420"/>
        <w:jc w:val="left"/>
        <w:rPr>
          <w:sz w:val="18"/>
        </w:rPr>
      </w:pPr>
      <w:r>
        <w:rPr>
          <w:sz w:val="18"/>
        </w:rPr>
        <w:t>语言能力或咀嚼吞咽能力完全丧失；</w:t>
      </w:r>
    </w:p>
    <w:p>
      <w:pPr>
        <w:pStyle w:val="ListParagraph"/>
        <w:numPr>
          <w:ilvl w:val="1"/>
          <w:numId w:val="20"/>
        </w:numPr>
        <w:tabs>
          <w:tab w:pos="3096" w:val="left" w:leader="none"/>
        </w:tabs>
        <w:spacing w:line="240" w:lineRule="auto" w:before="75" w:after="0"/>
        <w:ind w:left="3095" w:right="0" w:hanging="420"/>
        <w:jc w:val="left"/>
        <w:rPr>
          <w:sz w:val="18"/>
        </w:rPr>
      </w:pPr>
      <w:r>
        <w:rPr>
          <w:spacing w:val="-8"/>
          <w:sz w:val="18"/>
        </w:rPr>
        <w:t>自主生活能力完全丧失，无法独立完成六项基本日常生活活动中的三项或三项以上。</w:t>
      </w:r>
    </w:p>
    <w:p>
      <w:pPr>
        <w:pStyle w:val="BodyText"/>
        <w:spacing w:before="7"/>
        <w:rPr>
          <w:sz w:val="25"/>
        </w:rPr>
      </w:pPr>
    </w:p>
    <w:p>
      <w:pPr>
        <w:pStyle w:val="ListParagraph"/>
        <w:numPr>
          <w:ilvl w:val="0"/>
          <w:numId w:val="20"/>
        </w:numPr>
        <w:tabs>
          <w:tab w:pos="600" w:val="left" w:leader="none"/>
          <w:tab w:pos="2675" w:val="left" w:leader="none"/>
        </w:tabs>
        <w:spacing w:line="283" w:lineRule="auto" w:before="0" w:after="0"/>
        <w:ind w:left="2675" w:right="216" w:hanging="2436"/>
        <w:jc w:val="both"/>
        <w:rPr>
          <w:sz w:val="18"/>
        </w:rPr>
      </w:pPr>
      <w:r>
        <w:rPr>
          <w:rFonts w:ascii="微软雅黑" w:eastAsia="微软雅黑" w:hint="eastAsia"/>
          <w:b/>
          <w:sz w:val="18"/>
        </w:rPr>
        <w:t>严重帕金森病</w:t>
        <w:tab/>
      </w:r>
      <w:r>
        <w:rPr>
          <w:sz w:val="18"/>
        </w:rPr>
        <w:t>是一种中枢神经系统的退行性疾病，临床表现为震颤麻痹、共济失调等。须满足下列全 部条件：</w:t>
      </w:r>
    </w:p>
    <w:p>
      <w:pPr>
        <w:pStyle w:val="ListParagraph"/>
        <w:numPr>
          <w:ilvl w:val="1"/>
          <w:numId w:val="20"/>
        </w:numPr>
        <w:tabs>
          <w:tab w:pos="3096" w:val="left" w:leader="none"/>
        </w:tabs>
        <w:spacing w:line="240" w:lineRule="auto" w:before="44" w:after="0"/>
        <w:ind w:left="2675" w:right="0" w:firstLine="0"/>
        <w:jc w:val="left"/>
        <w:rPr>
          <w:sz w:val="18"/>
        </w:rPr>
      </w:pPr>
      <w:r>
        <w:rPr>
          <w:sz w:val="18"/>
        </w:rPr>
        <w:t>药物治疗无法控制病情；</w:t>
      </w:r>
    </w:p>
    <w:p>
      <w:pPr>
        <w:pStyle w:val="ListParagraph"/>
        <w:numPr>
          <w:ilvl w:val="1"/>
          <w:numId w:val="20"/>
        </w:numPr>
        <w:tabs>
          <w:tab w:pos="3096" w:val="left" w:leader="none"/>
        </w:tabs>
        <w:spacing w:line="316" w:lineRule="auto" w:before="76" w:after="0"/>
        <w:ind w:left="2675" w:right="129" w:firstLine="0"/>
        <w:jc w:val="left"/>
        <w:rPr>
          <w:sz w:val="18"/>
        </w:rPr>
      </w:pPr>
      <w:r>
        <w:rPr>
          <w:spacing w:val="-8"/>
          <w:sz w:val="18"/>
        </w:rPr>
        <w:t>自主生活能力完全丧失，无法独立完成六项基本日常生活活动中的三项或三项以上。</w:t>
      </w:r>
      <w:r>
        <w:rPr>
          <w:spacing w:val="-8"/>
          <w:sz w:val="18"/>
          <w:shd w:fill="C0C0C0" w:color="auto" w:val="clear"/>
        </w:rPr>
        <w:t>继发性帕金森综合征不在保障范围内。</w:t>
      </w:r>
    </w:p>
    <w:p>
      <w:pPr>
        <w:pStyle w:val="BodyText"/>
        <w:spacing w:before="2"/>
        <w:rPr>
          <w:sz w:val="21"/>
        </w:rPr>
      </w:pPr>
    </w:p>
    <w:p>
      <w:pPr>
        <w:pStyle w:val="ListParagraph"/>
        <w:numPr>
          <w:ilvl w:val="0"/>
          <w:numId w:val="20"/>
        </w:numPr>
        <w:tabs>
          <w:tab w:pos="600" w:val="left" w:leader="none"/>
          <w:tab w:pos="2675" w:val="left" w:leader="none"/>
        </w:tabs>
        <w:spacing w:line="283" w:lineRule="auto" w:before="0" w:after="0"/>
        <w:ind w:left="2675" w:right="216" w:hanging="2436"/>
        <w:jc w:val="both"/>
        <w:rPr>
          <w:sz w:val="18"/>
        </w:rPr>
      </w:pPr>
      <w:r>
        <w:rPr>
          <w:rFonts w:ascii="微软雅黑" w:hAnsi="微软雅黑" w:eastAsia="微软雅黑" w:hint="eastAsia"/>
          <w:b/>
          <w:sz w:val="18"/>
        </w:rPr>
        <w:t>严重Ⅲ度烧伤</w:t>
        <w:tab/>
      </w:r>
      <w:r>
        <w:rPr>
          <w:sz w:val="18"/>
        </w:rPr>
        <w:t>指烧伤程度为Ⅲ度</w:t>
      </w:r>
      <w:r>
        <w:rPr>
          <w:spacing w:val="-10"/>
          <w:sz w:val="18"/>
        </w:rPr>
        <w:t>，</w:t>
      </w:r>
      <w:r>
        <w:rPr>
          <w:sz w:val="18"/>
        </w:rPr>
        <w:t>且Ⅲ度烧伤的面积达到全身体表面积的</w:t>
      </w:r>
      <w:r>
        <w:rPr>
          <w:spacing w:val="-45"/>
          <w:sz w:val="18"/>
        </w:rPr>
        <w:t> </w:t>
      </w:r>
      <w:r>
        <w:rPr>
          <w:sz w:val="18"/>
        </w:rPr>
        <w:t>20%或</w:t>
      </w:r>
      <w:r>
        <w:rPr>
          <w:spacing w:val="-45"/>
          <w:sz w:val="18"/>
        </w:rPr>
        <w:t> </w:t>
      </w:r>
      <w:r>
        <w:rPr>
          <w:sz w:val="18"/>
        </w:rPr>
        <w:t>20%以</w:t>
      </w:r>
      <w:r>
        <w:rPr>
          <w:spacing w:val="-3"/>
          <w:sz w:val="18"/>
        </w:rPr>
        <w:t>上</w:t>
      </w:r>
      <w:r>
        <w:rPr>
          <w:spacing w:val="-10"/>
          <w:sz w:val="18"/>
        </w:rPr>
        <w:t>。</w:t>
      </w:r>
      <w:r>
        <w:rPr>
          <w:sz w:val="18"/>
        </w:rPr>
        <w:t>体表面积根据《中国新九分法》计算。</w:t>
      </w:r>
    </w:p>
    <w:p>
      <w:pPr>
        <w:pStyle w:val="BodyText"/>
        <w:spacing w:before="1"/>
        <w:rPr>
          <w:sz w:val="23"/>
        </w:rPr>
      </w:pPr>
    </w:p>
    <w:p>
      <w:pPr>
        <w:pStyle w:val="ListParagraph"/>
        <w:numPr>
          <w:ilvl w:val="0"/>
          <w:numId w:val="20"/>
        </w:numPr>
        <w:tabs>
          <w:tab w:pos="600" w:val="left" w:leader="none"/>
        </w:tabs>
        <w:spacing w:line="297" w:lineRule="auto" w:before="0" w:after="0"/>
        <w:ind w:left="2675" w:right="216" w:hanging="2436"/>
        <w:jc w:val="both"/>
        <w:rPr>
          <w:sz w:val="18"/>
        </w:rPr>
      </w:pPr>
      <w:r>
        <w:rPr>
          <w:rFonts w:ascii="微软雅黑" w:eastAsia="微软雅黑" w:hint="eastAsia"/>
          <w:b/>
          <w:sz w:val="18"/>
        </w:rPr>
        <w:t>严重原发性肺动脉高压    </w:t>
      </w:r>
      <w:r>
        <w:rPr>
          <w:sz w:val="18"/>
        </w:rPr>
        <w:t>指不明原因的肺动脉压力持续性增高，进行性发展而导致的慢性疾病，已经造成永久不</w:t>
      </w:r>
      <w:r>
        <w:rPr>
          <w:spacing w:val="-3"/>
          <w:sz w:val="18"/>
        </w:rPr>
        <w:t>可逆性的体力活动能力受限，达到美国纽约心脏病学会心功能状态分级 </w:t>
      </w:r>
      <w:r>
        <w:rPr>
          <w:sz w:val="18"/>
        </w:rPr>
        <w:t>IV</w:t>
      </w:r>
      <w:r>
        <w:rPr>
          <w:spacing w:val="-9"/>
          <w:sz w:val="18"/>
        </w:rPr>
        <w:t> 级，且静息状</w:t>
      </w:r>
      <w:r>
        <w:rPr>
          <w:spacing w:val="-13"/>
          <w:sz w:val="18"/>
        </w:rPr>
        <w:t>态下肺动脉平均压超过 </w:t>
      </w:r>
      <w:r>
        <w:rPr>
          <w:sz w:val="18"/>
        </w:rPr>
        <w:t>30mmHg。</w:t>
      </w:r>
    </w:p>
    <w:p>
      <w:pPr>
        <w:pStyle w:val="BodyText"/>
        <w:spacing w:before="3"/>
        <w:rPr>
          <w:sz w:val="22"/>
        </w:rPr>
      </w:pPr>
    </w:p>
    <w:p>
      <w:pPr>
        <w:pStyle w:val="ListParagraph"/>
        <w:numPr>
          <w:ilvl w:val="0"/>
          <w:numId w:val="20"/>
        </w:numPr>
        <w:tabs>
          <w:tab w:pos="600" w:val="left" w:leader="none"/>
          <w:tab w:pos="2675" w:val="left" w:leader="none"/>
        </w:tabs>
        <w:spacing w:line="297" w:lineRule="auto" w:before="0" w:after="0"/>
        <w:ind w:left="2675" w:right="216" w:hanging="2436"/>
        <w:jc w:val="both"/>
        <w:rPr>
          <w:sz w:val="18"/>
        </w:rPr>
      </w:pPr>
      <w:r>
        <w:rPr>
          <w:rFonts w:ascii="微软雅黑" w:eastAsia="微软雅黑" w:hint="eastAsia"/>
          <w:b/>
          <w:sz w:val="18"/>
        </w:rPr>
        <w:t>严重运动神经元病</w:t>
        <w:tab/>
      </w:r>
      <w:r>
        <w:rPr>
          <w:sz w:val="18"/>
        </w:rPr>
        <w:t>是一组中枢神经系统运动神经元的进行性变性疾病，包括进行性脊肌萎缩症、进行性延 髓麻痹症、原发性侧索硬化症、肌萎缩性侧索硬化症。须满足自主生活能力完全丧失， 无法独立完成六项基本日常生活活动中的三项或三项以上的条件。</w:t>
      </w:r>
    </w:p>
    <w:p>
      <w:pPr>
        <w:pStyle w:val="BodyText"/>
        <w:spacing w:before="3"/>
        <w:rPr>
          <w:sz w:val="22"/>
        </w:rPr>
      </w:pPr>
    </w:p>
    <w:p>
      <w:pPr>
        <w:pStyle w:val="ListParagraph"/>
        <w:numPr>
          <w:ilvl w:val="0"/>
          <w:numId w:val="20"/>
        </w:numPr>
        <w:tabs>
          <w:tab w:pos="600" w:val="left" w:leader="none"/>
          <w:tab w:pos="2675" w:val="left" w:leader="none"/>
        </w:tabs>
        <w:spacing w:line="283" w:lineRule="auto" w:before="0" w:after="0"/>
        <w:ind w:left="2675" w:right="216" w:hanging="2436"/>
        <w:jc w:val="both"/>
        <w:rPr>
          <w:sz w:val="18"/>
        </w:rPr>
      </w:pPr>
      <w:r>
        <w:rPr>
          <w:rFonts w:ascii="微软雅黑" w:eastAsia="微软雅黑" w:hint="eastAsia"/>
          <w:b/>
          <w:sz w:val="18"/>
        </w:rPr>
        <w:t>语言能力丧失</w:t>
        <w:tab/>
      </w:r>
      <w:r>
        <w:rPr>
          <w:sz w:val="18"/>
        </w:rPr>
        <w:t>指因疾病或意外伤害导致完全丧失语言能力</w:t>
      </w:r>
      <w:r>
        <w:rPr>
          <w:spacing w:val="-10"/>
          <w:sz w:val="18"/>
        </w:rPr>
        <w:t>，</w:t>
      </w:r>
      <w:r>
        <w:rPr>
          <w:sz w:val="18"/>
        </w:rPr>
        <w:t>经过积极治疗至少</w:t>
      </w:r>
      <w:r>
        <w:rPr>
          <w:spacing w:val="-45"/>
          <w:sz w:val="18"/>
        </w:rPr>
        <w:t> </w:t>
      </w:r>
      <w:r>
        <w:rPr>
          <w:sz w:val="18"/>
        </w:rPr>
        <w:t>12</w:t>
      </w:r>
      <w:r>
        <w:rPr>
          <w:spacing w:val="-44"/>
          <w:sz w:val="18"/>
        </w:rPr>
        <w:t> </w:t>
      </w:r>
      <w:r>
        <w:rPr>
          <w:sz w:val="18"/>
        </w:rPr>
        <w:t>个</w:t>
      </w:r>
      <w:r>
        <w:rPr>
          <w:spacing w:val="-12"/>
          <w:sz w:val="18"/>
        </w:rPr>
        <w:t>月</w:t>
      </w:r>
      <w:r>
        <w:rPr>
          <w:sz w:val="18"/>
        </w:rPr>
        <w:t>（声带完全切除不受此时间限制</w:t>
      </w:r>
      <w:r>
        <w:rPr>
          <w:spacing w:val="-92"/>
          <w:sz w:val="18"/>
        </w:rPr>
        <w:t>）</w:t>
      </w:r>
      <w:r>
        <w:rPr>
          <w:sz w:val="18"/>
        </w:rPr>
        <w:t>，仍无法通</w:t>
      </w:r>
      <w:r>
        <w:rPr>
          <w:spacing w:val="1"/>
          <w:sz w:val="18"/>
        </w:rPr>
        <w:t>过</w:t>
      </w:r>
      <w:r>
        <w:rPr>
          <w:sz w:val="18"/>
        </w:rPr>
        <w:t>现有医疗手段恢</w:t>
      </w:r>
      <w:r>
        <w:rPr>
          <w:spacing w:val="-1"/>
          <w:sz w:val="18"/>
        </w:rPr>
        <w:t>复</w:t>
      </w:r>
      <w:r>
        <w:rPr>
          <w:sz w:val="18"/>
        </w:rPr>
        <w:t>。</w:t>
      </w:r>
    </w:p>
    <w:p>
      <w:pPr>
        <w:pStyle w:val="BodyText"/>
        <w:spacing w:before="43"/>
        <w:ind w:left="2675"/>
      </w:pPr>
      <w:r>
        <w:rPr>
          <w:shd w:fill="C0C0C0" w:color="auto" w:val="clear"/>
        </w:rPr>
        <w:t>精神心理因素所致的语言能力丧失不在保障范围内。</w:t>
      </w:r>
    </w:p>
    <w:p>
      <w:pPr>
        <w:spacing w:after="0"/>
        <w:sectPr>
          <w:footerReference w:type="default" r:id="rId10"/>
          <w:pgSz w:w="11910" w:h="16840"/>
          <w:pgMar w:footer="977" w:header="872" w:top="1100" w:bottom="1160" w:left="1160" w:right="940"/>
          <w:pgNumType w:start="10"/>
        </w:sectPr>
      </w:pPr>
    </w:p>
    <w:p>
      <w:pPr>
        <w:pStyle w:val="BodyText"/>
        <w:spacing w:before="1"/>
        <w:rPr>
          <w:sz w:val="20"/>
        </w:rPr>
      </w:pPr>
    </w:p>
    <w:p>
      <w:pPr>
        <w:pStyle w:val="BodyText"/>
        <w:spacing w:line="316" w:lineRule="auto" w:before="45"/>
        <w:ind w:left="2675" w:right="171"/>
      </w:pPr>
      <w:r>
        <w:rPr>
          <w:shd w:fill="C0C0C0" w:color="auto" w:val="clear"/>
        </w:rPr>
        <w:t>被保险人申请理赔时年龄必须在 3 周岁以上</w:t>
      </w:r>
      <w:r>
        <w:rPr/>
        <w:t>，并且提供理赔当时的语言能力丧失诊断及检查证据。</w:t>
      </w:r>
    </w:p>
    <w:p>
      <w:pPr>
        <w:pStyle w:val="BodyText"/>
        <w:spacing w:before="2"/>
        <w:rPr>
          <w:sz w:val="21"/>
        </w:rPr>
      </w:pPr>
    </w:p>
    <w:p>
      <w:pPr>
        <w:pStyle w:val="ListParagraph"/>
        <w:numPr>
          <w:ilvl w:val="0"/>
          <w:numId w:val="20"/>
        </w:numPr>
        <w:tabs>
          <w:tab w:pos="600" w:val="left" w:leader="none"/>
          <w:tab w:pos="2675" w:val="left" w:leader="none"/>
        </w:tabs>
        <w:spacing w:line="283" w:lineRule="auto" w:before="0" w:after="0"/>
        <w:ind w:left="2675" w:right="216" w:hanging="2436"/>
        <w:jc w:val="left"/>
        <w:rPr>
          <w:sz w:val="18"/>
        </w:rPr>
      </w:pPr>
      <w:r>
        <w:rPr>
          <w:rFonts w:ascii="微软雅黑" w:eastAsia="微软雅黑" w:hint="eastAsia"/>
          <w:b/>
          <w:sz w:val="18"/>
        </w:rPr>
        <w:t>重型再生障碍性贫血</w:t>
        <w:tab/>
      </w:r>
      <w:r>
        <w:rPr>
          <w:sz w:val="18"/>
        </w:rPr>
        <w:t>指因骨髓造血功能慢性持续性衰竭导致的贫血、中性粒细胞减少及血小板减少。须满足 下列全部条件：</w:t>
      </w:r>
    </w:p>
    <w:p>
      <w:pPr>
        <w:pStyle w:val="ListParagraph"/>
        <w:numPr>
          <w:ilvl w:val="1"/>
          <w:numId w:val="20"/>
        </w:numPr>
        <w:tabs>
          <w:tab w:pos="3096" w:val="left" w:leader="none"/>
        </w:tabs>
        <w:spacing w:line="240" w:lineRule="auto" w:before="44" w:after="0"/>
        <w:ind w:left="3095" w:right="0" w:hanging="420"/>
        <w:jc w:val="left"/>
        <w:rPr>
          <w:sz w:val="18"/>
        </w:rPr>
      </w:pPr>
      <w:r>
        <w:rPr>
          <w:sz w:val="18"/>
        </w:rPr>
        <w:t>骨髓穿刺检查或骨髓活检结果支持诊断；</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外周血象须具备以下三项条件：</w:t>
      </w:r>
    </w:p>
    <w:p>
      <w:pPr>
        <w:pStyle w:val="BodyText"/>
        <w:ind w:left="3095"/>
      </w:pPr>
      <w:r>
        <w:rPr/>
        <w:t>① 中性粒细胞绝对值≤0.5×10</w:t>
      </w:r>
      <w:r>
        <w:rPr>
          <w:position w:val="9"/>
          <w:sz w:val="9"/>
        </w:rPr>
        <w:t>9</w:t>
      </w:r>
      <w:r>
        <w:rPr/>
        <w:t>/L；</w:t>
      </w:r>
    </w:p>
    <w:p>
      <w:pPr>
        <w:pStyle w:val="BodyText"/>
        <w:ind w:left="3095"/>
      </w:pPr>
      <w:r>
        <w:rPr/>
        <w:t>② 网织红细胞＜1%；</w:t>
      </w:r>
    </w:p>
    <w:p>
      <w:pPr>
        <w:pStyle w:val="BodyText"/>
        <w:ind w:left="3095"/>
      </w:pPr>
      <w:r>
        <w:rPr/>
        <w:t>③ 血小板绝对值≤20×10</w:t>
      </w:r>
      <w:r>
        <w:rPr>
          <w:position w:val="9"/>
          <w:sz w:val="9"/>
        </w:rPr>
        <w:t>9</w:t>
      </w:r>
      <w:r>
        <w:rPr/>
        <w:t>/L。</w:t>
      </w:r>
    </w:p>
    <w:p>
      <w:pPr>
        <w:pStyle w:val="BodyText"/>
        <w:spacing w:before="7"/>
        <w:rPr>
          <w:sz w:val="25"/>
        </w:rPr>
      </w:pPr>
    </w:p>
    <w:p>
      <w:pPr>
        <w:pStyle w:val="ListParagraph"/>
        <w:numPr>
          <w:ilvl w:val="0"/>
          <w:numId w:val="20"/>
        </w:numPr>
        <w:tabs>
          <w:tab w:pos="600" w:val="left" w:leader="none"/>
          <w:tab w:pos="2675" w:val="left" w:leader="none"/>
        </w:tabs>
        <w:spacing w:line="283" w:lineRule="auto" w:before="1" w:after="0"/>
        <w:ind w:left="2675" w:right="216" w:hanging="2436"/>
        <w:jc w:val="left"/>
        <w:rPr>
          <w:sz w:val="18"/>
        </w:rPr>
      </w:pPr>
      <w:r>
        <w:rPr>
          <w:rFonts w:ascii="微软雅黑" w:eastAsia="微软雅黑" w:hint="eastAsia"/>
          <w:b/>
          <w:sz w:val="18"/>
        </w:rPr>
        <w:t>主动脉手术</w:t>
        <w:tab/>
      </w:r>
      <w:r>
        <w:rPr>
          <w:sz w:val="18"/>
        </w:rPr>
        <w:t>指为治疗主动脉疾病，实际实施了开胸或开腹进行的切除、置换、修补病损主动脉血管 的手术。</w:t>
      </w:r>
      <w:r>
        <w:rPr>
          <w:sz w:val="18"/>
          <w:shd w:fill="C0C0C0" w:color="auto" w:val="clear"/>
        </w:rPr>
        <w:t>主动脉指胸主动脉和腹主动脉，不包括胸主动脉和腹主动脉的分支血管。</w:t>
      </w:r>
    </w:p>
    <w:p>
      <w:pPr>
        <w:pStyle w:val="BodyText"/>
        <w:spacing w:before="44"/>
        <w:ind w:left="2675"/>
      </w:pPr>
      <w:r>
        <w:rPr>
          <w:shd w:fill="C0C0C0" w:color="auto" w:val="clear"/>
        </w:rPr>
        <w:t>动脉内血管成形术不在保障范围内。</w:t>
      </w:r>
    </w:p>
    <w:p>
      <w:pPr>
        <w:pStyle w:val="BodyText"/>
        <w:spacing w:before="7"/>
        <w:rPr>
          <w:sz w:val="25"/>
        </w:rPr>
      </w:pPr>
    </w:p>
    <w:p>
      <w:pPr>
        <w:pStyle w:val="ListParagraph"/>
        <w:numPr>
          <w:ilvl w:val="0"/>
          <w:numId w:val="20"/>
        </w:numPr>
        <w:tabs>
          <w:tab w:pos="600" w:val="left" w:leader="none"/>
          <w:tab w:pos="2675" w:val="left" w:leader="none"/>
        </w:tabs>
        <w:spacing w:line="283" w:lineRule="auto" w:before="0" w:after="0"/>
        <w:ind w:left="2675" w:right="216" w:hanging="2436"/>
        <w:jc w:val="left"/>
        <w:rPr>
          <w:sz w:val="18"/>
        </w:rPr>
      </w:pPr>
      <w:r>
        <w:rPr>
          <w:rFonts w:ascii="微软雅黑" w:eastAsia="微软雅黑" w:hint="eastAsia"/>
          <w:b/>
          <w:sz w:val="18"/>
        </w:rPr>
        <w:t>慢性呼吸功能衰竭</w:t>
        <w:tab/>
      </w:r>
      <w:r>
        <w:rPr>
          <w:sz w:val="18"/>
        </w:rPr>
        <w:t>指必须经本公司认可的医院的</w:t>
      </w:r>
      <w:r>
        <w:rPr>
          <w:sz w:val="18"/>
          <w:shd w:fill="C0C0C0" w:color="auto" w:val="clear"/>
        </w:rPr>
        <w:t>呼吸科专科医生</w:t>
      </w:r>
      <w:r>
        <w:rPr>
          <w:sz w:val="18"/>
        </w:rPr>
        <w:t>确诊因慢性肺部疾病导致永久不可逆性的 慢性呼吸功能衰竭，其诊断标准包括以下各项：</w:t>
      </w:r>
    </w:p>
    <w:p>
      <w:pPr>
        <w:pStyle w:val="ListParagraph"/>
        <w:numPr>
          <w:ilvl w:val="1"/>
          <w:numId w:val="20"/>
        </w:numPr>
        <w:tabs>
          <w:tab w:pos="3096" w:val="left" w:leader="none"/>
        </w:tabs>
        <w:spacing w:line="240" w:lineRule="auto" w:before="43" w:after="0"/>
        <w:ind w:left="3095" w:right="0" w:hanging="420"/>
        <w:jc w:val="left"/>
        <w:rPr>
          <w:sz w:val="18"/>
        </w:rPr>
      </w:pPr>
      <w:r>
        <w:rPr>
          <w:sz w:val="18"/>
        </w:rPr>
        <w:t>休息时出现呼吸困难；</w:t>
      </w:r>
    </w:p>
    <w:p>
      <w:pPr>
        <w:pStyle w:val="ListParagraph"/>
        <w:numPr>
          <w:ilvl w:val="1"/>
          <w:numId w:val="20"/>
        </w:numPr>
        <w:tabs>
          <w:tab w:pos="3096" w:val="left" w:leader="none"/>
        </w:tabs>
        <w:spacing w:line="240" w:lineRule="auto" w:before="76" w:after="0"/>
        <w:ind w:left="3095" w:right="0" w:hanging="420"/>
        <w:jc w:val="left"/>
        <w:rPr>
          <w:sz w:val="18"/>
        </w:rPr>
      </w:pPr>
      <w:r>
        <w:rPr>
          <w:spacing w:val="-1"/>
          <w:sz w:val="18"/>
        </w:rPr>
        <w:t>动脉血氧饱和度</w:t>
      </w:r>
      <w:r>
        <w:rPr>
          <w:sz w:val="18"/>
        </w:rPr>
        <w:t>（SaO2）&lt;80％；</w:t>
      </w:r>
    </w:p>
    <w:p>
      <w:pPr>
        <w:pStyle w:val="ListParagraph"/>
        <w:numPr>
          <w:ilvl w:val="1"/>
          <w:numId w:val="20"/>
        </w:numPr>
        <w:tabs>
          <w:tab w:pos="3096" w:val="left" w:leader="none"/>
        </w:tabs>
        <w:spacing w:line="240" w:lineRule="auto" w:before="76" w:after="0"/>
        <w:ind w:left="3095" w:right="0" w:hanging="420"/>
        <w:jc w:val="left"/>
        <w:rPr>
          <w:sz w:val="18"/>
        </w:rPr>
      </w:pPr>
      <w:r>
        <w:rPr>
          <w:spacing w:val="-7"/>
          <w:sz w:val="18"/>
        </w:rPr>
        <w:t>肺功能测试其 </w:t>
      </w:r>
      <w:r>
        <w:rPr>
          <w:sz w:val="18"/>
        </w:rPr>
        <w:t>FEV1</w:t>
      </w:r>
      <w:r>
        <w:rPr>
          <w:spacing w:val="-16"/>
          <w:sz w:val="18"/>
        </w:rPr>
        <w:t> 持续低于 </w:t>
      </w:r>
      <w:r>
        <w:rPr>
          <w:sz w:val="18"/>
        </w:rPr>
        <w:t>1</w:t>
      </w:r>
      <w:r>
        <w:rPr>
          <w:spacing w:val="-16"/>
          <w:sz w:val="18"/>
        </w:rPr>
        <w:t> 升；</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因慢性阻塞性肺病或慢性呼吸功能不全所致缺氧必须接受持续的输氧治疗。</w:t>
      </w:r>
    </w:p>
    <w:p>
      <w:pPr>
        <w:pStyle w:val="BodyText"/>
        <w:spacing w:before="3"/>
        <w:rPr>
          <w:sz w:val="26"/>
        </w:rPr>
      </w:pPr>
    </w:p>
    <w:p>
      <w:pPr>
        <w:spacing w:after="0"/>
        <w:rPr>
          <w:sz w:val="26"/>
        </w:rPr>
        <w:sectPr>
          <w:pgSz w:w="11910" w:h="16840"/>
          <w:pgMar w:header="872" w:footer="977" w:top="1100" w:bottom="1160" w:left="1160" w:right="940"/>
        </w:sectPr>
      </w:pPr>
    </w:p>
    <w:p>
      <w:pPr>
        <w:pStyle w:val="Heading4"/>
        <w:numPr>
          <w:ilvl w:val="0"/>
          <w:numId w:val="20"/>
        </w:numPr>
        <w:tabs>
          <w:tab w:pos="600" w:val="left" w:leader="none"/>
        </w:tabs>
        <w:spacing w:line="240" w:lineRule="auto" w:before="0" w:after="0"/>
        <w:ind w:left="599" w:right="0" w:hanging="360"/>
        <w:jc w:val="both"/>
      </w:pPr>
      <w:r>
        <w:rPr>
          <w:spacing w:val="8"/>
          <w:w w:val="105"/>
        </w:rPr>
        <w:t>系统性红斑狼疮－ </w:t>
      </w:r>
      <w:r>
        <w:rPr>
          <w:w w:val="105"/>
        </w:rPr>
        <w:t>III </w:t>
      </w:r>
      <w:r>
        <w:rPr>
          <w:spacing w:val="-12"/>
          <w:w w:val="110"/>
        </w:rPr>
        <w:t>型或 </w:t>
      </w:r>
      <w:r>
        <w:rPr>
          <w:w w:val="125"/>
        </w:rPr>
        <w:t>III</w:t>
      </w:r>
      <w:r>
        <w:rPr>
          <w:spacing w:val="-42"/>
          <w:w w:val="125"/>
        </w:rPr>
        <w:t> </w:t>
      </w:r>
      <w:r>
        <w:rPr>
          <w:w w:val="110"/>
        </w:rPr>
        <w:t>型以上狼疮性</w:t>
      </w:r>
      <w:r>
        <w:rPr/>
        <w:t>肾炎</w:t>
      </w:r>
    </w:p>
    <w:p>
      <w:pPr>
        <w:pStyle w:val="BodyText"/>
        <w:spacing w:line="319" w:lineRule="auto" w:before="45"/>
        <w:ind w:left="174" w:right="216"/>
      </w:pPr>
      <w:r>
        <w:rPr/>
        <w:br w:type="column"/>
      </w:r>
      <w:r>
        <w:rPr/>
        <w:t>系统性红斑狼疮是由多种因素引起，累及多系统的自身免疫性疾病。其特点是生成自身抗体对抗多种自身抗原。多见于育龄妇女。</w:t>
      </w:r>
    </w:p>
    <w:p>
      <w:pPr>
        <w:pStyle w:val="BodyText"/>
        <w:spacing w:line="316" w:lineRule="auto" w:before="17"/>
        <w:ind w:left="174" w:right="216"/>
        <w:jc w:val="both"/>
      </w:pPr>
      <w:r>
        <w:rPr/>
        <w:t>本保单所指的系统性红斑狼疮仅限于累及肾脏（</w:t>
      </w:r>
      <w:r>
        <w:rPr>
          <w:spacing w:val="-1"/>
        </w:rPr>
        <w:t>经肾脏活检确认的，符合 </w:t>
      </w:r>
      <w:r>
        <w:rPr/>
        <w:t>WHO</w:t>
      </w:r>
      <w:r>
        <w:rPr>
          <w:spacing w:val="-3"/>
        </w:rPr>
        <w:t> 诊断标准</w:t>
      </w:r>
      <w:r>
        <w:rPr>
          <w:spacing w:val="-12"/>
        </w:rPr>
        <w:t>定义 </w:t>
      </w:r>
      <w:r>
        <w:rPr/>
        <w:t>III</w:t>
      </w:r>
      <w:r>
        <w:rPr>
          <w:spacing w:val="-15"/>
        </w:rPr>
        <w:t> 型或 </w:t>
      </w:r>
      <w:r>
        <w:rPr/>
        <w:t>III</w:t>
      </w:r>
      <w:r>
        <w:rPr>
          <w:spacing w:val="-6"/>
        </w:rPr>
        <w:t> 型以上狼疮性肾炎</w:t>
      </w:r>
      <w:r>
        <w:rPr/>
        <w:t>）的系统性红斑狼疮。</w:t>
      </w:r>
      <w:r>
        <w:rPr>
          <w:shd w:fill="C0C0C0" w:color="auto" w:val="clear"/>
        </w:rPr>
        <w:t>其他类型的红斑性狼疮，如</w:t>
      </w:r>
      <w:r>
        <w:rPr>
          <w:spacing w:val="-180"/>
          <w:shd w:fill="C0C0C0" w:color="auto" w:val="clear"/>
        </w:rPr>
        <w:t>盘</w:t>
      </w:r>
      <w:r>
        <w:rPr>
          <w:shd w:fill="C0C0C0" w:color="auto" w:val="clear"/>
        </w:rPr>
        <w:t>状狼疮、仅累及血液及关节的狼疮不在本保单保障范围內。</w:t>
      </w:r>
    </w:p>
    <w:p>
      <w:pPr>
        <w:pStyle w:val="BodyText"/>
        <w:spacing w:line="316" w:lineRule="auto" w:before="18"/>
        <w:ind w:left="174" w:right="3888"/>
      </w:pPr>
      <w:r>
        <w:rPr>
          <w:shd w:fill="C0C0C0" w:color="auto" w:val="clear"/>
        </w:rPr>
        <w:t>本病必须由免疫和风湿科专科医生确诊。</w:t>
      </w:r>
      <w:r>
        <w:rPr/>
        <w:t>世界卫生组织（WHO）狼疮型肾炎分型：</w:t>
      </w:r>
    </w:p>
    <w:p>
      <w:pPr>
        <w:pStyle w:val="ListParagraph"/>
        <w:numPr>
          <w:ilvl w:val="0"/>
          <w:numId w:val="23"/>
        </w:numPr>
        <w:tabs>
          <w:tab w:pos="312" w:val="left" w:leader="none"/>
        </w:tabs>
        <w:spacing w:line="240" w:lineRule="auto" w:before="18" w:after="0"/>
        <w:ind w:left="311" w:right="0" w:hanging="137"/>
        <w:jc w:val="both"/>
        <w:rPr>
          <w:sz w:val="18"/>
        </w:rPr>
      </w:pPr>
      <w:r>
        <w:rPr>
          <w:sz w:val="18"/>
        </w:rPr>
        <w:t>型：微小病型</w:t>
      </w:r>
    </w:p>
    <w:p>
      <w:pPr>
        <w:pStyle w:val="ListParagraph"/>
        <w:numPr>
          <w:ilvl w:val="0"/>
          <w:numId w:val="23"/>
        </w:numPr>
        <w:tabs>
          <w:tab w:pos="403" w:val="left" w:leader="none"/>
        </w:tabs>
        <w:spacing w:line="240" w:lineRule="auto" w:before="76" w:after="0"/>
        <w:ind w:left="402" w:right="0" w:hanging="228"/>
        <w:jc w:val="both"/>
        <w:rPr>
          <w:sz w:val="18"/>
        </w:rPr>
      </w:pPr>
      <w:r>
        <w:rPr>
          <w:sz w:val="18"/>
        </w:rPr>
        <w:t>型：系膜病变型</w:t>
      </w:r>
    </w:p>
    <w:p>
      <w:pPr>
        <w:pStyle w:val="ListParagraph"/>
        <w:numPr>
          <w:ilvl w:val="0"/>
          <w:numId w:val="23"/>
        </w:numPr>
        <w:tabs>
          <w:tab w:pos="492" w:val="left" w:leader="none"/>
        </w:tabs>
        <w:spacing w:line="240" w:lineRule="auto" w:before="76" w:after="0"/>
        <w:ind w:left="491" w:right="0" w:hanging="317"/>
        <w:jc w:val="both"/>
        <w:rPr>
          <w:sz w:val="18"/>
        </w:rPr>
      </w:pPr>
      <w:r>
        <w:rPr>
          <w:sz w:val="18"/>
        </w:rPr>
        <w:t>型：局灶及节段增生型</w:t>
      </w:r>
    </w:p>
    <w:p>
      <w:pPr>
        <w:pStyle w:val="ListParagraph"/>
        <w:numPr>
          <w:ilvl w:val="0"/>
          <w:numId w:val="23"/>
        </w:numPr>
        <w:tabs>
          <w:tab w:pos="403" w:val="left" w:leader="none"/>
        </w:tabs>
        <w:spacing w:line="240" w:lineRule="auto" w:before="76" w:after="0"/>
        <w:ind w:left="402" w:right="0" w:hanging="228"/>
        <w:jc w:val="both"/>
        <w:rPr>
          <w:sz w:val="18"/>
        </w:rPr>
      </w:pPr>
      <w:r>
        <w:rPr>
          <w:sz w:val="18"/>
        </w:rPr>
        <w:t>型：弥漫增生型</w:t>
      </w:r>
    </w:p>
    <w:p>
      <w:pPr>
        <w:pStyle w:val="ListParagraph"/>
        <w:numPr>
          <w:ilvl w:val="0"/>
          <w:numId w:val="23"/>
        </w:numPr>
        <w:tabs>
          <w:tab w:pos="312" w:val="left" w:leader="none"/>
        </w:tabs>
        <w:spacing w:line="240" w:lineRule="auto" w:before="76" w:after="0"/>
        <w:ind w:left="311" w:right="0" w:hanging="137"/>
        <w:jc w:val="both"/>
        <w:rPr>
          <w:sz w:val="18"/>
        </w:rPr>
      </w:pPr>
      <w:r>
        <w:rPr>
          <w:sz w:val="18"/>
        </w:rPr>
        <w:t>型：膜型</w:t>
      </w:r>
    </w:p>
    <w:p>
      <w:pPr>
        <w:pStyle w:val="ListParagraph"/>
        <w:numPr>
          <w:ilvl w:val="0"/>
          <w:numId w:val="23"/>
        </w:numPr>
        <w:tabs>
          <w:tab w:pos="403" w:val="left" w:leader="none"/>
        </w:tabs>
        <w:spacing w:line="240" w:lineRule="auto" w:before="76" w:after="0"/>
        <w:ind w:left="402" w:right="0" w:hanging="228"/>
        <w:jc w:val="both"/>
        <w:rPr>
          <w:sz w:val="18"/>
        </w:rPr>
      </w:pPr>
      <w:r>
        <w:rPr>
          <w:sz w:val="18"/>
        </w:rPr>
        <w:t>型：肾小球硬化型</w:t>
      </w:r>
    </w:p>
    <w:p>
      <w:pPr>
        <w:spacing w:after="0" w:line="240" w:lineRule="auto"/>
        <w:jc w:val="both"/>
        <w:rPr>
          <w:sz w:val="18"/>
        </w:rPr>
        <w:sectPr>
          <w:type w:val="continuous"/>
          <w:pgSz w:w="11910" w:h="16840"/>
          <w:pgMar w:top="1060" w:bottom="1160" w:left="1160" w:right="940"/>
          <w:cols w:num="2" w:equalWidth="0">
            <w:col w:w="2461" w:space="40"/>
            <w:col w:w="7309"/>
          </w:cols>
        </w:sectPr>
      </w:pPr>
    </w:p>
    <w:p>
      <w:pPr>
        <w:pStyle w:val="BodyText"/>
        <w:spacing w:before="3"/>
        <w:rPr>
          <w:sz w:val="26"/>
        </w:rPr>
      </w:pPr>
    </w:p>
    <w:p>
      <w:pPr>
        <w:pStyle w:val="ListParagraph"/>
        <w:numPr>
          <w:ilvl w:val="0"/>
          <w:numId w:val="20"/>
        </w:numPr>
        <w:tabs>
          <w:tab w:pos="600" w:val="left" w:leader="none"/>
          <w:tab w:pos="2675" w:val="left" w:leader="none"/>
        </w:tabs>
        <w:spacing w:line="302" w:lineRule="exact" w:before="0" w:after="0"/>
        <w:ind w:left="2675" w:right="0" w:hanging="2436"/>
        <w:jc w:val="left"/>
        <w:rPr>
          <w:sz w:val="18"/>
        </w:rPr>
      </w:pPr>
      <w:r>
        <w:rPr>
          <w:rFonts w:ascii="微软雅黑" w:eastAsia="微软雅黑" w:hint="eastAsia"/>
          <w:b/>
          <w:sz w:val="18"/>
        </w:rPr>
        <w:t>肾髓质囊性病</w:t>
        <w:tab/>
      </w:r>
      <w:r>
        <w:rPr>
          <w:sz w:val="18"/>
        </w:rPr>
        <w:t>肾髓质囊性病的诊断须同时符合下列要求：</w:t>
      </w:r>
    </w:p>
    <w:p>
      <w:pPr>
        <w:pStyle w:val="ListParagraph"/>
        <w:numPr>
          <w:ilvl w:val="1"/>
          <w:numId w:val="20"/>
        </w:numPr>
        <w:tabs>
          <w:tab w:pos="3096" w:val="left" w:leader="none"/>
        </w:tabs>
        <w:spacing w:line="240" w:lineRule="auto" w:before="54" w:after="0"/>
        <w:ind w:left="3095" w:right="0" w:hanging="420"/>
        <w:jc w:val="left"/>
        <w:rPr>
          <w:sz w:val="18"/>
        </w:rPr>
      </w:pPr>
      <w:r>
        <w:rPr>
          <w:sz w:val="18"/>
        </w:rPr>
        <w:t>肾髓质有囊肿、肾小管萎缩及间质纤维化等病理改变；</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贫血、多尿及肾功能衰竭等临床表现；</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诊断须由肾组织活检确定。</w:t>
      </w:r>
    </w:p>
    <w:p>
      <w:pPr>
        <w:pStyle w:val="BodyText"/>
        <w:spacing w:before="7"/>
        <w:rPr>
          <w:sz w:val="25"/>
        </w:rPr>
      </w:pPr>
    </w:p>
    <w:p>
      <w:pPr>
        <w:pStyle w:val="ListParagraph"/>
        <w:numPr>
          <w:ilvl w:val="0"/>
          <w:numId w:val="20"/>
        </w:numPr>
        <w:tabs>
          <w:tab w:pos="600" w:val="left" w:leader="none"/>
        </w:tabs>
        <w:spacing w:line="297" w:lineRule="auto" w:before="0" w:after="0"/>
        <w:ind w:left="2675" w:right="216" w:hanging="2436"/>
        <w:jc w:val="both"/>
        <w:rPr>
          <w:sz w:val="18"/>
        </w:rPr>
      </w:pPr>
      <w:r>
        <w:rPr>
          <w:rFonts w:ascii="微软雅黑" w:eastAsia="微软雅黑" w:hint="eastAsia"/>
          <w:b/>
          <w:spacing w:val="0"/>
          <w:sz w:val="18"/>
        </w:rPr>
        <w:t>原发性硬化性胆管炎       </w:t>
      </w:r>
      <w:r>
        <w:rPr>
          <w:sz w:val="18"/>
        </w:rPr>
        <w:t>指一种胆汁淤积综合征，其特征是肝内、肝外胆道因纤维化性炎症逐渐狭窄，并最终导致完全阻塞而发展为肝硬化。</w:t>
      </w:r>
      <w:r>
        <w:rPr>
          <w:sz w:val="18"/>
          <w:shd w:fill="C0C0C0" w:color="auto" w:val="clear"/>
        </w:rPr>
        <w:t>本病须经内镜逆行胰胆管造影等影像学检查证实</w:t>
      </w:r>
      <w:r>
        <w:rPr>
          <w:sz w:val="18"/>
        </w:rPr>
        <w:t>，并须满足下列全部条件：</w:t>
      </w:r>
    </w:p>
    <w:p>
      <w:pPr>
        <w:spacing w:after="0" w:line="297" w:lineRule="auto"/>
        <w:jc w:val="both"/>
        <w:rPr>
          <w:sz w:val="18"/>
        </w:rPr>
        <w:sectPr>
          <w:type w:val="continuous"/>
          <w:pgSz w:w="11910" w:h="16840"/>
          <w:pgMar w:top="1060" w:bottom="1160" w:left="1160" w:right="940"/>
        </w:sectPr>
      </w:pPr>
    </w:p>
    <w:p>
      <w:pPr>
        <w:pStyle w:val="BodyText"/>
        <w:spacing w:before="1"/>
        <w:rPr>
          <w:sz w:val="20"/>
        </w:rPr>
      </w:pPr>
    </w:p>
    <w:p>
      <w:pPr>
        <w:pStyle w:val="ListParagraph"/>
        <w:numPr>
          <w:ilvl w:val="1"/>
          <w:numId w:val="20"/>
        </w:numPr>
        <w:tabs>
          <w:tab w:pos="3096" w:val="left" w:leader="none"/>
        </w:tabs>
        <w:spacing w:line="240" w:lineRule="auto" w:before="45" w:after="0"/>
        <w:ind w:left="3095" w:right="0" w:hanging="420"/>
        <w:jc w:val="left"/>
        <w:rPr>
          <w:sz w:val="18"/>
        </w:rPr>
      </w:pPr>
      <w:r>
        <w:rPr>
          <w:spacing w:val="-3"/>
          <w:sz w:val="18"/>
        </w:rPr>
        <w:t>总胆红素和直接胆红素同时升高，血清 </w:t>
      </w:r>
      <w:r>
        <w:rPr>
          <w:sz w:val="18"/>
        </w:rPr>
        <w:t>ALP&gt;200U/L；</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持续性黄疸病史；</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出现胆汁性肝硬化或门脉高压。</w:t>
      </w:r>
    </w:p>
    <w:p>
      <w:pPr>
        <w:pStyle w:val="BodyText"/>
        <w:spacing w:before="75"/>
        <w:ind w:left="2675"/>
      </w:pPr>
      <w:r>
        <w:rPr>
          <w:shd w:fill="C0C0C0" w:color="auto" w:val="clear"/>
        </w:rPr>
        <w:t>因肿瘤或胆管损伤等继发性的硬化性胆管炎不在保障范围内。</w:t>
      </w:r>
    </w:p>
    <w:p>
      <w:pPr>
        <w:pStyle w:val="BodyText"/>
        <w:spacing w:before="7"/>
        <w:rPr>
          <w:sz w:val="25"/>
        </w:rPr>
      </w:pPr>
    </w:p>
    <w:p>
      <w:pPr>
        <w:pStyle w:val="ListParagraph"/>
        <w:numPr>
          <w:ilvl w:val="0"/>
          <w:numId w:val="20"/>
        </w:numPr>
        <w:tabs>
          <w:tab w:pos="600" w:val="left" w:leader="none"/>
          <w:tab w:pos="2675" w:val="left" w:leader="none"/>
        </w:tabs>
        <w:spacing w:line="283" w:lineRule="auto" w:before="0" w:after="0"/>
        <w:ind w:left="2675" w:right="216" w:hanging="2436"/>
        <w:jc w:val="both"/>
        <w:rPr>
          <w:sz w:val="18"/>
        </w:rPr>
      </w:pPr>
      <w:r>
        <w:rPr>
          <w:rFonts w:ascii="微软雅黑" w:eastAsia="微软雅黑" w:hint="eastAsia"/>
          <w:b/>
          <w:sz w:val="18"/>
        </w:rPr>
        <w:t>急性坏死性胰腺炎</w:t>
        <w:tab/>
      </w:r>
      <w:r>
        <w:rPr>
          <w:sz w:val="18"/>
        </w:rPr>
        <w:t>指由专科医生确诊为急性出血坏死性胰腺炎，并已经接受了外科手术治疗，以进行坏死 组织清除、坏死病灶切除或胰腺切除。</w:t>
      </w:r>
    </w:p>
    <w:p>
      <w:pPr>
        <w:pStyle w:val="BodyText"/>
        <w:spacing w:before="44"/>
        <w:ind w:left="2675"/>
      </w:pPr>
      <w:r>
        <w:rPr>
          <w:shd w:fill="C0C0C0" w:color="auto" w:val="clear"/>
        </w:rPr>
        <w:t>因饮酒所致的急性出血坏死性胰腺炎不在保障范围内。</w:t>
      </w:r>
    </w:p>
    <w:p>
      <w:pPr>
        <w:pStyle w:val="BodyText"/>
        <w:spacing w:before="7"/>
        <w:rPr>
          <w:sz w:val="25"/>
        </w:rPr>
      </w:pPr>
    </w:p>
    <w:p>
      <w:pPr>
        <w:pStyle w:val="ListParagraph"/>
        <w:numPr>
          <w:ilvl w:val="0"/>
          <w:numId w:val="20"/>
        </w:numPr>
        <w:tabs>
          <w:tab w:pos="600" w:val="left" w:leader="none"/>
        </w:tabs>
        <w:spacing w:line="304" w:lineRule="auto" w:before="1" w:after="0"/>
        <w:ind w:left="2675" w:right="216" w:hanging="2436"/>
        <w:jc w:val="both"/>
        <w:rPr>
          <w:sz w:val="18"/>
        </w:rPr>
      </w:pPr>
      <w:r>
        <w:rPr>
          <w:rFonts w:ascii="微软雅黑" w:eastAsia="微软雅黑" w:hint="eastAsia"/>
          <w:b/>
          <w:sz w:val="18"/>
        </w:rPr>
        <w:t>异染性脑白质营养不良    </w:t>
      </w:r>
      <w:r>
        <w:rPr>
          <w:sz w:val="18"/>
        </w:rPr>
        <w:t>指一种最常见的、严重的神经退化性代谢病，是最常见的溶酶体病，主要表现为行走困难、智力低下、废用性肌萎缩、四肢痉挛性瘫痪、视神经萎缩、失语等。须经专科医生诊断，且已经造成自主生活能力完全丧失，无法独立完成六项基本日常生活活动中的三</w:t>
      </w:r>
      <w:r>
        <w:rPr>
          <w:spacing w:val="-4"/>
          <w:sz w:val="18"/>
        </w:rPr>
        <w:t>项或三项以上，持续至少 </w:t>
      </w:r>
      <w:r>
        <w:rPr>
          <w:sz w:val="18"/>
        </w:rPr>
        <w:t>180</w:t>
      </w:r>
      <w:r>
        <w:rPr>
          <w:spacing w:val="-16"/>
          <w:sz w:val="18"/>
        </w:rPr>
        <w:t> 天。</w:t>
      </w:r>
    </w:p>
    <w:p>
      <w:pPr>
        <w:pStyle w:val="BodyText"/>
        <w:spacing w:before="7"/>
        <w:rPr>
          <w:sz w:val="22"/>
        </w:rPr>
      </w:pPr>
    </w:p>
    <w:p>
      <w:pPr>
        <w:spacing w:after="0"/>
        <w:rPr>
          <w:sz w:val="22"/>
        </w:rPr>
        <w:sectPr>
          <w:pgSz w:w="11910" w:h="16840"/>
          <w:pgMar w:header="872" w:footer="977" w:top="1100" w:bottom="1160" w:left="1160" w:right="940"/>
        </w:sectPr>
      </w:pPr>
    </w:p>
    <w:p>
      <w:pPr>
        <w:pStyle w:val="Heading4"/>
        <w:numPr>
          <w:ilvl w:val="0"/>
          <w:numId w:val="20"/>
        </w:numPr>
        <w:tabs>
          <w:tab w:pos="600" w:val="left" w:leader="none"/>
        </w:tabs>
        <w:spacing w:line="240" w:lineRule="auto" w:before="0" w:after="0"/>
        <w:ind w:left="599" w:right="0" w:hanging="360"/>
        <w:jc w:val="left"/>
      </w:pPr>
      <w:r>
        <w:rPr>
          <w:spacing w:val="2"/>
        </w:rPr>
        <w:t>特发性慢性肾上腺皮质功能减退</w:t>
      </w:r>
    </w:p>
    <w:p>
      <w:pPr>
        <w:pStyle w:val="BodyText"/>
        <w:spacing w:line="316" w:lineRule="auto" w:before="45"/>
        <w:ind w:left="175" w:right="216"/>
      </w:pPr>
      <w:r>
        <w:rPr/>
        <w:br w:type="column"/>
      </w:r>
      <w:r>
        <w:rPr/>
        <w:t>指自身免疫性肾上腺炎（既往称：特发性肾上腺皮质萎缩）导致肾上腺萎缩和慢性肾上腺皮质功能减退。须满足下列全部条件：</w:t>
      </w:r>
    </w:p>
    <w:p>
      <w:pPr>
        <w:pStyle w:val="ListParagraph"/>
        <w:numPr>
          <w:ilvl w:val="0"/>
          <w:numId w:val="24"/>
        </w:numPr>
        <w:tabs>
          <w:tab w:pos="596" w:val="left" w:leader="none"/>
        </w:tabs>
        <w:spacing w:line="240" w:lineRule="auto" w:before="18" w:after="0"/>
        <w:ind w:left="595" w:right="0" w:hanging="420"/>
        <w:jc w:val="left"/>
        <w:rPr>
          <w:sz w:val="18"/>
        </w:rPr>
      </w:pPr>
      <w:r>
        <w:rPr>
          <w:sz w:val="18"/>
        </w:rPr>
        <w:t>明确诊断，符合所有以下诊断标准；</w:t>
      </w:r>
    </w:p>
    <w:p>
      <w:pPr>
        <w:pStyle w:val="BodyText"/>
        <w:ind w:left="175"/>
      </w:pPr>
      <w:r>
        <w:rPr/>
        <w:t>①血浆促肾上腺皮质激素（ACTH)水平测定大于 100pg/ml；</w:t>
      </w:r>
    </w:p>
    <w:p>
      <w:pPr>
        <w:pStyle w:val="BodyText"/>
        <w:spacing w:line="316" w:lineRule="auto"/>
        <w:ind w:left="175" w:right="171"/>
      </w:pPr>
      <w:r>
        <w:rPr/>
        <w:t>②血浆和尿游离皮质醇及尿 17 羟皮质类固醇、17 酮皮质类固醇测定、血浆肾素活性、血管紧张素 II 和醛固酮测定，显示为原发性肾上腺皮质功能减退症；</w:t>
      </w:r>
    </w:p>
    <w:p>
      <w:pPr>
        <w:pStyle w:val="BodyText"/>
        <w:spacing w:before="18"/>
        <w:ind w:left="175"/>
      </w:pPr>
      <w:r>
        <w:rPr/>
        <w:t>③促肾上腺皮质激素（ACTH)刺激试验显示为原发性肾上腺皮质功能减退症。</w:t>
      </w:r>
    </w:p>
    <w:p>
      <w:pPr>
        <w:pStyle w:val="ListParagraph"/>
        <w:numPr>
          <w:ilvl w:val="0"/>
          <w:numId w:val="24"/>
        </w:numPr>
        <w:tabs>
          <w:tab w:pos="596" w:val="left" w:leader="none"/>
        </w:tabs>
        <w:spacing w:line="240" w:lineRule="auto" w:before="76" w:after="0"/>
        <w:ind w:left="595" w:right="0" w:hanging="420"/>
        <w:jc w:val="left"/>
        <w:rPr>
          <w:sz w:val="18"/>
        </w:rPr>
      </w:pPr>
      <w:r>
        <w:rPr>
          <w:spacing w:val="-4"/>
          <w:sz w:val="18"/>
        </w:rPr>
        <w:t>已经采用皮质类固醇替代治疗 </w:t>
      </w:r>
      <w:r>
        <w:rPr>
          <w:sz w:val="18"/>
        </w:rPr>
        <w:t>180</w:t>
      </w:r>
      <w:r>
        <w:rPr>
          <w:spacing w:val="-10"/>
          <w:sz w:val="18"/>
        </w:rPr>
        <w:t> 天以上。</w:t>
      </w:r>
    </w:p>
    <w:p>
      <w:pPr>
        <w:pStyle w:val="BodyText"/>
        <w:spacing w:line="319" w:lineRule="auto"/>
        <w:ind w:left="175" w:right="218"/>
      </w:pPr>
      <w:r>
        <w:rPr>
          <w:spacing w:val="-4"/>
          <w:shd w:fill="C0C0C0" w:color="auto" w:val="clear"/>
        </w:rPr>
        <w:t>肾上腺结核、</w:t>
      </w:r>
      <w:r>
        <w:rPr>
          <w:shd w:fill="C0C0C0" w:color="auto" w:val="clear"/>
        </w:rPr>
        <w:t>HIV</w:t>
      </w:r>
      <w:r>
        <w:rPr>
          <w:spacing w:val="-11"/>
          <w:shd w:fill="C0C0C0" w:color="auto" w:val="clear"/>
        </w:rPr>
        <w:t> 感染或艾滋病、感染、肿瘤所致的原发性肾上腺皮质功能减退和继发性肾上腺皮质功能减退不在保障范围内。</w:t>
      </w:r>
    </w:p>
    <w:p>
      <w:pPr>
        <w:spacing w:after="0" w:line="319" w:lineRule="auto"/>
        <w:sectPr>
          <w:type w:val="continuous"/>
          <w:pgSz w:w="11910" w:h="16840"/>
          <w:pgMar w:top="1060" w:bottom="1160" w:left="1160" w:right="940"/>
          <w:cols w:num="2" w:equalWidth="0">
            <w:col w:w="2460" w:space="40"/>
            <w:col w:w="7310"/>
          </w:cols>
        </w:sectPr>
      </w:pPr>
    </w:p>
    <w:p>
      <w:pPr>
        <w:pStyle w:val="BodyText"/>
        <w:spacing w:before="9"/>
        <w:rPr>
          <w:sz w:val="21"/>
        </w:rPr>
      </w:pPr>
    </w:p>
    <w:p>
      <w:pPr>
        <w:pStyle w:val="ListParagraph"/>
        <w:numPr>
          <w:ilvl w:val="0"/>
          <w:numId w:val="20"/>
        </w:numPr>
        <w:tabs>
          <w:tab w:pos="600" w:val="left" w:leader="none"/>
          <w:tab w:pos="2675" w:val="left" w:leader="none"/>
        </w:tabs>
        <w:spacing w:line="283" w:lineRule="auto" w:before="0" w:after="0"/>
        <w:ind w:left="2675" w:right="216" w:hanging="2436"/>
        <w:jc w:val="both"/>
        <w:rPr>
          <w:sz w:val="18"/>
        </w:rPr>
      </w:pPr>
      <w:r>
        <w:rPr>
          <w:rFonts w:ascii="微软雅黑" w:eastAsia="微软雅黑" w:hint="eastAsia"/>
          <w:b/>
          <w:sz w:val="18"/>
        </w:rPr>
        <w:t>胰腺移植</w:t>
        <w:tab/>
      </w:r>
      <w:r>
        <w:rPr>
          <w:sz w:val="18"/>
        </w:rPr>
        <w:t>指因胰腺功能衰竭，已经实施了在全身麻醉下进行的胰腺的异体器官移植手术（供体必 须是人体器官</w:t>
      </w:r>
      <w:r>
        <w:rPr>
          <w:spacing w:val="-92"/>
          <w:sz w:val="18"/>
        </w:rPr>
        <w:t>）</w:t>
      </w:r>
      <w:r>
        <w:rPr>
          <w:sz w:val="18"/>
        </w:rPr>
        <w:t>。</w:t>
      </w:r>
    </w:p>
    <w:p>
      <w:pPr>
        <w:pStyle w:val="BodyText"/>
        <w:spacing w:before="53"/>
        <w:ind w:left="2675"/>
      </w:pPr>
      <w:r>
        <w:rPr>
          <w:shd w:fill="C0C0C0" w:color="auto" w:val="clear"/>
        </w:rPr>
        <w:t>单纯胰岛移植、部分胰腺组织或细胞的移植不在保障范围内。</w:t>
      </w:r>
    </w:p>
    <w:p>
      <w:pPr>
        <w:pStyle w:val="BodyText"/>
        <w:spacing w:before="7"/>
        <w:rPr>
          <w:sz w:val="25"/>
        </w:rPr>
      </w:pPr>
    </w:p>
    <w:p>
      <w:pPr>
        <w:pStyle w:val="ListParagraph"/>
        <w:numPr>
          <w:ilvl w:val="0"/>
          <w:numId w:val="20"/>
        </w:numPr>
        <w:tabs>
          <w:tab w:pos="600" w:val="left" w:leader="none"/>
          <w:tab w:pos="2675" w:val="left" w:leader="none"/>
        </w:tabs>
        <w:spacing w:line="297" w:lineRule="auto" w:before="1" w:after="0"/>
        <w:ind w:left="2675" w:right="216" w:hanging="2436"/>
        <w:jc w:val="both"/>
        <w:rPr>
          <w:sz w:val="18"/>
        </w:rPr>
      </w:pPr>
      <w:r>
        <w:rPr>
          <w:rFonts w:ascii="微软雅黑" w:eastAsia="微软雅黑" w:hint="eastAsia"/>
          <w:b/>
          <w:sz w:val="18"/>
        </w:rPr>
        <w:t>慢性复发性胰腺炎</w:t>
        <w:tab/>
      </w:r>
      <w:r>
        <w:rPr>
          <w:sz w:val="18"/>
        </w:rPr>
        <w:t>指有腹痛等典型症状的胰腺炎反复发作，导致胰腺进行性破坏，并导致胰腺功能紊乱而 导致严重糖尿病以及营养不良、恶液质。断层扫描（CT）证实胰腺存在广泛钙化，且必须接受酶替代以及胰岛素替代治疗</w:t>
      </w:r>
      <w:r>
        <w:rPr>
          <w:spacing w:val="-45"/>
          <w:sz w:val="18"/>
        </w:rPr>
        <w:t> </w:t>
      </w:r>
      <w:r>
        <w:rPr>
          <w:sz w:val="18"/>
        </w:rPr>
        <w:t>6</w:t>
      </w:r>
      <w:r>
        <w:rPr>
          <w:spacing w:val="-44"/>
          <w:sz w:val="18"/>
        </w:rPr>
        <w:t> </w:t>
      </w:r>
      <w:r>
        <w:rPr>
          <w:sz w:val="18"/>
        </w:rPr>
        <w:t>个月以上。诊断必须</w:t>
      </w:r>
      <w:r>
        <w:rPr>
          <w:spacing w:val="-3"/>
          <w:sz w:val="18"/>
        </w:rPr>
        <w:t>由</w:t>
      </w:r>
      <w:r>
        <w:rPr>
          <w:sz w:val="18"/>
          <w:shd w:fill="C0C0C0" w:color="auto" w:val="clear"/>
        </w:rPr>
        <w:t>消化科专科医生</w:t>
      </w:r>
      <w:r>
        <w:rPr>
          <w:sz w:val="18"/>
        </w:rPr>
        <w:t>确诊。</w:t>
      </w:r>
    </w:p>
    <w:p>
      <w:pPr>
        <w:pStyle w:val="BodyText"/>
        <w:spacing w:before="33"/>
        <w:ind w:left="2675"/>
      </w:pPr>
      <w:r>
        <w:rPr>
          <w:shd w:fill="C0C0C0" w:color="auto" w:val="clear"/>
        </w:rPr>
        <w:t>酒精导致的慢性复发性胰腺炎除外。</w:t>
      </w:r>
    </w:p>
    <w:p>
      <w:pPr>
        <w:pStyle w:val="BodyText"/>
        <w:spacing w:before="7"/>
        <w:rPr>
          <w:sz w:val="25"/>
        </w:rPr>
      </w:pPr>
    </w:p>
    <w:p>
      <w:pPr>
        <w:pStyle w:val="ListParagraph"/>
        <w:numPr>
          <w:ilvl w:val="0"/>
          <w:numId w:val="20"/>
        </w:numPr>
        <w:tabs>
          <w:tab w:pos="600" w:val="left" w:leader="none"/>
        </w:tabs>
        <w:spacing w:line="297" w:lineRule="auto" w:before="0" w:after="0"/>
        <w:ind w:left="2675" w:right="216" w:hanging="2436"/>
        <w:jc w:val="both"/>
        <w:rPr>
          <w:sz w:val="18"/>
        </w:rPr>
      </w:pPr>
      <w:r>
        <w:rPr>
          <w:rFonts w:ascii="微软雅黑" w:eastAsia="微软雅黑" w:hint="eastAsia"/>
          <w:b/>
          <w:spacing w:val="0"/>
          <w:sz w:val="18"/>
        </w:rPr>
        <w:t>严重自身免疫性肝炎       </w:t>
      </w:r>
      <w:r>
        <w:rPr>
          <w:sz w:val="18"/>
        </w:rPr>
        <w:t>自身免疫性肝炎是一种原因不明的慢性肝脏的坏死性炎性疾病，机体免疫机制被破坏， 产生针对肝脏自身抗原的抗体导致自身免疫反应，从而破坏肝细胞造成肝脏炎症坏死， 进而发展为肝硬化。必须满足所有以下条件：</w:t>
      </w:r>
    </w:p>
    <w:p>
      <w:pPr>
        <w:pStyle w:val="ListParagraph"/>
        <w:numPr>
          <w:ilvl w:val="1"/>
          <w:numId w:val="20"/>
        </w:numPr>
        <w:tabs>
          <w:tab w:pos="3096" w:val="left" w:leader="none"/>
        </w:tabs>
        <w:spacing w:line="240" w:lineRule="auto" w:before="33" w:after="0"/>
        <w:ind w:left="3095" w:right="0" w:hanging="420"/>
        <w:jc w:val="left"/>
        <w:rPr>
          <w:sz w:val="18"/>
        </w:rPr>
      </w:pPr>
      <w:r>
        <w:rPr>
          <w:sz w:val="18"/>
        </w:rPr>
        <w:t>高γ球蛋白血症；</w:t>
      </w:r>
    </w:p>
    <w:p>
      <w:pPr>
        <w:pStyle w:val="ListParagraph"/>
        <w:numPr>
          <w:ilvl w:val="1"/>
          <w:numId w:val="20"/>
        </w:numPr>
        <w:tabs>
          <w:tab w:pos="3096" w:val="left" w:leader="none"/>
        </w:tabs>
        <w:spacing w:line="240" w:lineRule="auto" w:before="76" w:after="0"/>
        <w:ind w:left="3095" w:right="0" w:hanging="420"/>
        <w:jc w:val="left"/>
        <w:rPr>
          <w:sz w:val="18"/>
        </w:rPr>
      </w:pPr>
      <w:r>
        <w:rPr>
          <w:spacing w:val="-4"/>
          <w:sz w:val="18"/>
        </w:rPr>
        <w:t>血液中存在高水平的自身免疫抗体，如 </w:t>
      </w:r>
      <w:r>
        <w:rPr>
          <w:sz w:val="18"/>
        </w:rPr>
        <w:t>ANA（抗核抗体</w:t>
      </w:r>
      <w:r>
        <w:rPr>
          <w:spacing w:val="-92"/>
          <w:sz w:val="18"/>
        </w:rPr>
        <w:t>）</w:t>
      </w:r>
      <w:r>
        <w:rPr>
          <w:spacing w:val="-8"/>
          <w:sz w:val="18"/>
        </w:rPr>
        <w:t>、</w:t>
      </w:r>
      <w:r>
        <w:rPr>
          <w:spacing w:val="-3"/>
          <w:sz w:val="18"/>
        </w:rPr>
        <w:t>SMA（</w:t>
      </w:r>
      <w:r>
        <w:rPr>
          <w:sz w:val="18"/>
        </w:rPr>
        <w:t>抗平滑肌抗体</w:t>
      </w:r>
      <w:r>
        <w:rPr>
          <w:spacing w:val="-92"/>
          <w:sz w:val="18"/>
        </w:rPr>
        <w:t>）</w:t>
      </w:r>
      <w:r>
        <w:rPr>
          <w:spacing w:val="-4"/>
          <w:sz w:val="18"/>
        </w:rPr>
        <w:t>、抗</w:t>
      </w:r>
    </w:p>
    <w:p>
      <w:pPr>
        <w:pStyle w:val="BodyText"/>
        <w:spacing w:before="75"/>
        <w:ind w:left="3095"/>
      </w:pPr>
      <w:r>
        <w:rPr/>
        <w:t>LKM1 抗体或抗-SLA/LP 抗体；</w:t>
      </w:r>
    </w:p>
    <w:p>
      <w:pPr>
        <w:pStyle w:val="ListParagraph"/>
        <w:numPr>
          <w:ilvl w:val="1"/>
          <w:numId w:val="20"/>
        </w:numPr>
        <w:tabs>
          <w:tab w:pos="3096" w:val="left" w:leader="none"/>
        </w:tabs>
        <w:spacing w:line="240" w:lineRule="auto" w:before="75" w:after="0"/>
        <w:ind w:left="3095" w:right="0" w:hanging="420"/>
        <w:jc w:val="left"/>
        <w:rPr>
          <w:sz w:val="18"/>
        </w:rPr>
      </w:pPr>
      <w:r>
        <w:rPr>
          <w:sz w:val="18"/>
        </w:rPr>
        <w:t>肝脏活检证实免疫性肝炎；</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临床已经出现腹水、食道静脉曲张和脾肿大等肝硬化表现。</w:t>
      </w:r>
    </w:p>
    <w:p>
      <w:pPr>
        <w:pStyle w:val="BodyText"/>
        <w:spacing w:before="7"/>
        <w:rPr>
          <w:sz w:val="25"/>
        </w:rPr>
      </w:pPr>
    </w:p>
    <w:p>
      <w:pPr>
        <w:pStyle w:val="ListParagraph"/>
        <w:numPr>
          <w:ilvl w:val="0"/>
          <w:numId w:val="20"/>
        </w:numPr>
        <w:tabs>
          <w:tab w:pos="600" w:val="left" w:leader="none"/>
          <w:tab w:pos="2675" w:val="left" w:leader="none"/>
        </w:tabs>
        <w:spacing w:line="240" w:lineRule="auto" w:before="0" w:after="0"/>
        <w:ind w:left="2675" w:right="0" w:hanging="2436"/>
        <w:jc w:val="left"/>
        <w:rPr>
          <w:sz w:val="18"/>
        </w:rPr>
      </w:pPr>
      <w:r>
        <w:rPr>
          <w:rFonts w:ascii="微软雅黑" w:eastAsia="微软雅黑" w:hint="eastAsia"/>
          <w:b/>
          <w:sz w:val="18"/>
        </w:rPr>
        <w:t>肺淋巴管肌瘤病</w:t>
        <w:tab/>
      </w:r>
      <w:r>
        <w:rPr>
          <w:sz w:val="18"/>
        </w:rPr>
        <w:t>肺淋巴管肌瘤病是一种弥漫性肺部疾病，主要病理改变为肺间质、支气管、血管和淋巴</w:t>
      </w:r>
    </w:p>
    <w:p>
      <w:pPr>
        <w:spacing w:after="0" w:line="240" w:lineRule="auto"/>
        <w:jc w:val="left"/>
        <w:rPr>
          <w:sz w:val="18"/>
        </w:rPr>
        <w:sectPr>
          <w:type w:val="continuous"/>
          <w:pgSz w:w="11910" w:h="16840"/>
          <w:pgMar w:top="1060" w:bottom="1160" w:left="1160" w:right="940"/>
        </w:sectPr>
      </w:pPr>
    </w:p>
    <w:p>
      <w:pPr>
        <w:pStyle w:val="BodyText"/>
        <w:spacing w:before="1"/>
        <w:rPr>
          <w:sz w:val="20"/>
        </w:rPr>
      </w:pPr>
    </w:p>
    <w:p>
      <w:pPr>
        <w:pStyle w:val="BodyText"/>
        <w:spacing w:before="45"/>
        <w:ind w:left="2675"/>
      </w:pPr>
      <w:r>
        <w:rPr/>
        <w:t>管内出现未成熟的平滑肌异常增生，同时需满足下列条件：</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经组织病理学诊断；</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CT</w:t>
      </w:r>
      <w:r>
        <w:rPr>
          <w:spacing w:val="-7"/>
          <w:sz w:val="18"/>
        </w:rPr>
        <w:t> 显示双肺弥漫性囊性改变；</w:t>
      </w:r>
    </w:p>
    <w:p>
      <w:pPr>
        <w:pStyle w:val="ListParagraph"/>
        <w:numPr>
          <w:ilvl w:val="1"/>
          <w:numId w:val="20"/>
        </w:numPr>
        <w:tabs>
          <w:tab w:pos="3096" w:val="left" w:leader="none"/>
        </w:tabs>
        <w:spacing w:line="240" w:lineRule="auto" w:before="75" w:after="0"/>
        <w:ind w:left="3095" w:right="0" w:hanging="420"/>
        <w:jc w:val="left"/>
        <w:rPr>
          <w:sz w:val="18"/>
        </w:rPr>
      </w:pPr>
      <w:r>
        <w:rPr>
          <w:sz w:val="18"/>
        </w:rPr>
        <w:t>血气提示低氧血症。</w:t>
      </w:r>
    </w:p>
    <w:p>
      <w:pPr>
        <w:pStyle w:val="BodyText"/>
        <w:spacing w:before="7"/>
        <w:rPr>
          <w:sz w:val="25"/>
        </w:rPr>
      </w:pPr>
    </w:p>
    <w:p>
      <w:pPr>
        <w:pStyle w:val="ListParagraph"/>
        <w:numPr>
          <w:ilvl w:val="0"/>
          <w:numId w:val="20"/>
        </w:numPr>
        <w:tabs>
          <w:tab w:pos="600" w:val="left" w:leader="none"/>
          <w:tab w:pos="2675" w:val="left" w:leader="none"/>
        </w:tabs>
        <w:spacing w:line="297" w:lineRule="auto" w:before="0" w:after="0"/>
        <w:ind w:left="2675" w:right="218" w:hanging="2436"/>
        <w:jc w:val="both"/>
        <w:rPr>
          <w:sz w:val="18"/>
        </w:rPr>
      </w:pPr>
      <w:r>
        <w:rPr>
          <w:rFonts w:ascii="微软雅黑" w:eastAsia="微软雅黑" w:hint="eastAsia"/>
          <w:b/>
          <w:sz w:val="18"/>
        </w:rPr>
        <w:t>肺泡蛋白质沉积症</w:t>
        <w:tab/>
      </w:r>
      <w:r>
        <w:rPr>
          <w:sz w:val="18"/>
        </w:rPr>
        <w:t>指肺泡和细支气管腔内充满不可溶性富磷脂蛋白的疾病，胸部</w:t>
      </w:r>
      <w:r>
        <w:rPr>
          <w:spacing w:val="-11"/>
          <w:sz w:val="18"/>
        </w:rPr>
        <w:t> </w:t>
      </w:r>
      <w:r>
        <w:rPr>
          <w:sz w:val="18"/>
        </w:rPr>
        <w:t>X</w:t>
      </w:r>
      <w:r>
        <w:rPr>
          <w:spacing w:val="-10"/>
          <w:sz w:val="18"/>
        </w:rPr>
        <w:t> </w:t>
      </w:r>
      <w:r>
        <w:rPr>
          <w:sz w:val="18"/>
        </w:rPr>
        <w:t>线呈双肺弥漫性肺部磨玻璃影</w:t>
      </w:r>
      <w:r>
        <w:rPr>
          <w:spacing w:val="-5"/>
          <w:sz w:val="18"/>
        </w:rPr>
        <w:t>，</w:t>
      </w:r>
      <w:r>
        <w:rPr>
          <w:sz w:val="18"/>
        </w:rPr>
        <w:t>病理学检查肺泡内充满有过碘酸雪</w:t>
      </w:r>
      <w:r>
        <w:rPr>
          <w:spacing w:val="-5"/>
          <w:sz w:val="18"/>
        </w:rPr>
        <w:t>夫</w:t>
      </w:r>
      <w:r>
        <w:rPr>
          <w:sz w:val="18"/>
        </w:rPr>
        <w:t>（PAS）染色</w:t>
      </w:r>
      <w:r>
        <w:rPr>
          <w:spacing w:val="-3"/>
          <w:sz w:val="18"/>
        </w:rPr>
        <w:t>阳</w:t>
      </w:r>
      <w:r>
        <w:rPr>
          <w:sz w:val="18"/>
        </w:rPr>
        <w:t>性的蛋白样物质</w:t>
      </w:r>
      <w:r>
        <w:rPr>
          <w:spacing w:val="-5"/>
          <w:sz w:val="18"/>
        </w:rPr>
        <w:t>，</w:t>
      </w:r>
      <w:r>
        <w:rPr>
          <w:sz w:val="18"/>
        </w:rPr>
        <w:t>并且接受了肺灌洗治疗。</w:t>
      </w:r>
    </w:p>
    <w:p>
      <w:pPr>
        <w:pStyle w:val="BodyText"/>
        <w:spacing w:before="3"/>
        <w:rPr>
          <w:sz w:val="22"/>
        </w:rPr>
      </w:pPr>
    </w:p>
    <w:p>
      <w:pPr>
        <w:pStyle w:val="ListParagraph"/>
        <w:numPr>
          <w:ilvl w:val="0"/>
          <w:numId w:val="20"/>
        </w:numPr>
        <w:tabs>
          <w:tab w:pos="600" w:val="left" w:leader="none"/>
          <w:tab w:pos="2675" w:val="left" w:leader="none"/>
        </w:tabs>
        <w:spacing w:line="283" w:lineRule="auto" w:before="1" w:after="0"/>
        <w:ind w:left="2675" w:right="216" w:hanging="2436"/>
        <w:jc w:val="both"/>
        <w:rPr>
          <w:sz w:val="18"/>
        </w:rPr>
      </w:pPr>
      <w:r>
        <w:rPr>
          <w:rFonts w:ascii="微软雅黑" w:eastAsia="微软雅黑" w:hint="eastAsia"/>
          <w:b/>
          <w:sz w:val="18"/>
        </w:rPr>
        <w:t>小肠移植</w:t>
        <w:tab/>
      </w:r>
      <w:r>
        <w:rPr>
          <w:sz w:val="18"/>
        </w:rPr>
        <w:t>指因肠道疾病或外伤，已经实施了在全身麻醉下进行的小肠的异体器官移植手术。</w:t>
      </w:r>
      <w:r>
        <w:rPr>
          <w:sz w:val="18"/>
          <w:shd w:fill="C0C0C0" w:color="auto" w:val="clear"/>
        </w:rPr>
        <w:t>此手 术必须由专科医生认为是医学上必需的情况下进行。</w:t>
      </w:r>
    </w:p>
    <w:p>
      <w:pPr>
        <w:pStyle w:val="BodyText"/>
        <w:spacing w:before="10"/>
        <w:rPr>
          <w:sz w:val="23"/>
        </w:rPr>
      </w:pPr>
    </w:p>
    <w:p>
      <w:pPr>
        <w:spacing w:after="0"/>
        <w:rPr>
          <w:sz w:val="23"/>
        </w:rPr>
        <w:sectPr>
          <w:pgSz w:w="11910" w:h="16840"/>
          <w:pgMar w:header="872" w:footer="977" w:top="1100" w:bottom="1160" w:left="1160" w:right="940"/>
        </w:sectPr>
      </w:pPr>
    </w:p>
    <w:p>
      <w:pPr>
        <w:pStyle w:val="Heading4"/>
        <w:numPr>
          <w:ilvl w:val="0"/>
          <w:numId w:val="20"/>
        </w:numPr>
        <w:tabs>
          <w:tab w:pos="600" w:val="left" w:leader="none"/>
        </w:tabs>
        <w:spacing w:line="240" w:lineRule="auto" w:before="0" w:after="0"/>
        <w:ind w:left="599" w:right="0" w:hanging="360"/>
        <w:jc w:val="left"/>
      </w:pPr>
      <w:r>
        <w:rPr>
          <w:spacing w:val="2"/>
        </w:rPr>
        <w:t>自体造血干细胞移植手术</w:t>
      </w:r>
    </w:p>
    <w:p>
      <w:pPr>
        <w:pStyle w:val="BodyText"/>
        <w:spacing w:line="316" w:lineRule="auto" w:before="45"/>
        <w:ind w:left="175" w:right="216"/>
        <w:jc w:val="both"/>
      </w:pPr>
      <w:r>
        <w:rPr/>
        <w:br w:type="column"/>
      </w:r>
      <w:r>
        <w:rPr/>
        <w:t>指因患者自身骨髓造血功能异常或为了达到治疗肿瘤的目的，采集患者自己的一部分造血干细胞，分离并深低温保存，再回输给患者使患者的造血功能和免疫功能重新恢复的自体移植手术。</w:t>
      </w:r>
    </w:p>
    <w:p>
      <w:pPr>
        <w:spacing w:after="0" w:line="316" w:lineRule="auto"/>
        <w:jc w:val="both"/>
        <w:sectPr>
          <w:type w:val="continuous"/>
          <w:pgSz w:w="11910" w:h="16840"/>
          <w:pgMar w:top="1060" w:bottom="1160" w:left="1160" w:right="940"/>
          <w:cols w:num="2" w:equalWidth="0">
            <w:col w:w="2460" w:space="40"/>
            <w:col w:w="7310"/>
          </w:cols>
        </w:sectPr>
      </w:pPr>
    </w:p>
    <w:p>
      <w:pPr>
        <w:pStyle w:val="BodyText"/>
        <w:spacing w:before="11"/>
        <w:rPr>
          <w:sz w:val="21"/>
        </w:rPr>
      </w:pPr>
    </w:p>
    <w:p>
      <w:pPr>
        <w:pStyle w:val="ListParagraph"/>
        <w:numPr>
          <w:ilvl w:val="0"/>
          <w:numId w:val="20"/>
        </w:numPr>
        <w:tabs>
          <w:tab w:pos="600" w:val="left" w:leader="none"/>
          <w:tab w:pos="2675" w:val="left" w:leader="none"/>
        </w:tabs>
        <w:spacing w:line="304" w:lineRule="auto" w:before="0" w:after="0"/>
        <w:ind w:left="2675" w:right="216" w:hanging="2436"/>
        <w:jc w:val="both"/>
        <w:rPr>
          <w:sz w:val="18"/>
        </w:rPr>
      </w:pPr>
      <w:r>
        <w:rPr>
          <w:rFonts w:ascii="微软雅黑" w:eastAsia="微软雅黑" w:hint="eastAsia"/>
          <w:b/>
          <w:sz w:val="18"/>
        </w:rPr>
        <w:t>原发性骨髓纤维化</w:t>
        <w:tab/>
      </w:r>
      <w:r>
        <w:rPr>
          <w:sz w:val="18"/>
        </w:rPr>
        <w:t>原发性骨髓纤维化为原因不明的骨髓中成纤维细胞增殖，伴有髓外造血，表现为进行性 贫血、脾肿大等症状。本病必须根据骨髓的活组织检查和周围血象检查由血液科专科医生明确诊断，并至少符合下列条件中的三项，且符合条件的状态持续</w:t>
      </w:r>
      <w:r>
        <w:rPr>
          <w:spacing w:val="-11"/>
          <w:sz w:val="18"/>
        </w:rPr>
        <w:t> </w:t>
      </w:r>
      <w:r>
        <w:rPr>
          <w:sz w:val="18"/>
        </w:rPr>
        <w:t>180</w:t>
      </w:r>
      <w:r>
        <w:rPr>
          <w:spacing w:val="-10"/>
          <w:sz w:val="18"/>
        </w:rPr>
        <w:t> </w:t>
      </w:r>
      <w:r>
        <w:rPr>
          <w:sz w:val="18"/>
        </w:rPr>
        <w:t>天及以上，并已经实际接受了针对此症的治疗：</w:t>
      </w:r>
    </w:p>
    <w:p>
      <w:pPr>
        <w:pStyle w:val="ListParagraph"/>
        <w:numPr>
          <w:ilvl w:val="1"/>
          <w:numId w:val="20"/>
        </w:numPr>
        <w:tabs>
          <w:tab w:pos="3096" w:val="left" w:leader="none"/>
        </w:tabs>
        <w:spacing w:line="240" w:lineRule="auto" w:before="37" w:after="0"/>
        <w:ind w:left="3095" w:right="0" w:hanging="420"/>
        <w:jc w:val="left"/>
        <w:rPr>
          <w:sz w:val="18"/>
        </w:rPr>
      </w:pPr>
      <w:r>
        <w:rPr>
          <w:sz w:val="18"/>
        </w:rPr>
        <w:t>血红蛋白&lt;100g/L；</w:t>
      </w:r>
    </w:p>
    <w:p>
      <w:pPr>
        <w:pStyle w:val="BodyText"/>
        <w:ind w:left="2675"/>
      </w:pPr>
      <w:r>
        <w:rPr/>
        <w:t>(2) 白细胞计数&gt;25×10</w:t>
      </w:r>
      <w:r>
        <w:rPr>
          <w:position w:val="9"/>
          <w:sz w:val="9"/>
        </w:rPr>
        <w:t>9</w:t>
      </w:r>
      <w:r>
        <w:rPr/>
        <w:t>/L；</w:t>
      </w:r>
    </w:p>
    <w:p>
      <w:pPr>
        <w:pStyle w:val="BodyText"/>
        <w:ind w:left="2675"/>
      </w:pPr>
      <w:r>
        <w:rPr/>
        <w:t>(3) 外周血原始细胞≥1%；</w:t>
      </w:r>
    </w:p>
    <w:p>
      <w:pPr>
        <w:pStyle w:val="BodyText"/>
        <w:ind w:left="2675"/>
      </w:pPr>
      <w:r>
        <w:rPr/>
        <w:t>(4) 血小板计数&lt;100×10</w:t>
      </w:r>
      <w:r>
        <w:rPr>
          <w:position w:val="9"/>
          <w:sz w:val="9"/>
        </w:rPr>
        <w:t>9</w:t>
      </w:r>
      <w:r>
        <w:rPr/>
        <w:t>/L。</w:t>
      </w:r>
    </w:p>
    <w:p>
      <w:pPr>
        <w:pStyle w:val="BodyText"/>
        <w:spacing w:before="75"/>
        <w:ind w:left="2675"/>
      </w:pPr>
      <w:r>
        <w:rPr>
          <w:shd w:fill="C0C0C0" w:color="auto" w:val="clear"/>
        </w:rPr>
        <w:t>任何其它病因导致的继发性骨髓纤维化不在保障范围内。</w:t>
      </w:r>
    </w:p>
    <w:p>
      <w:pPr>
        <w:pStyle w:val="BodyText"/>
        <w:spacing w:before="3"/>
        <w:rPr>
          <w:sz w:val="26"/>
        </w:rPr>
      </w:pPr>
    </w:p>
    <w:p>
      <w:pPr>
        <w:spacing w:after="0"/>
        <w:rPr>
          <w:sz w:val="26"/>
        </w:rPr>
        <w:sectPr>
          <w:type w:val="continuous"/>
          <w:pgSz w:w="11910" w:h="16840"/>
          <w:pgMar w:top="1060" w:bottom="1160" w:left="1160" w:right="940"/>
        </w:sectPr>
      </w:pPr>
    </w:p>
    <w:p>
      <w:pPr>
        <w:pStyle w:val="Heading4"/>
        <w:numPr>
          <w:ilvl w:val="0"/>
          <w:numId w:val="20"/>
        </w:numPr>
        <w:tabs>
          <w:tab w:pos="600" w:val="left" w:leader="none"/>
        </w:tabs>
        <w:spacing w:line="240" w:lineRule="auto" w:before="0" w:after="0"/>
        <w:ind w:left="599" w:right="0" w:hanging="360"/>
        <w:jc w:val="left"/>
      </w:pPr>
      <w:r>
        <w:rPr>
          <w:spacing w:val="2"/>
        </w:rPr>
        <w:t>重症骨髓增生异常综合征</w:t>
      </w:r>
    </w:p>
    <w:p>
      <w:pPr>
        <w:pStyle w:val="BodyText"/>
        <w:spacing w:line="316" w:lineRule="auto" w:before="44"/>
        <w:ind w:left="175" w:right="216"/>
        <w:jc w:val="both"/>
      </w:pPr>
      <w:r>
        <w:rPr/>
        <w:br w:type="column"/>
      </w:r>
      <w:r>
        <w:rPr/>
        <w:t>骨髓增生异常综合征是一组异质性克隆性造血干细胞疾病，表现为进行性、难治性外周血红细胞、粒细胞及血小板减少，有转化为白血病的风险。</w:t>
      </w:r>
      <w:r>
        <w:rPr>
          <w:shd w:fill="C0C0C0" w:color="auto" w:val="clear"/>
        </w:rPr>
        <w:t>本病必须根据骨髓的活组织检查和周围血象检查由血液科专科医生明确诊断</w:t>
      </w:r>
      <w:r>
        <w:rPr/>
        <w:t>，并且满足下列全部条件：</w:t>
      </w:r>
    </w:p>
    <w:p>
      <w:pPr>
        <w:pStyle w:val="BodyText"/>
        <w:spacing w:before="18"/>
        <w:ind w:left="175"/>
      </w:pPr>
      <w:r>
        <w:rPr/>
        <w:t>（</w:t>
      </w:r>
      <w:r>
        <w:rPr>
          <w:spacing w:val="0"/>
        </w:rPr>
        <w:t>1</w:t>
      </w:r>
      <w:r>
        <w:rPr/>
        <w:t>）</w:t>
      </w:r>
      <w:r>
        <w:rPr>
          <w:spacing w:val="0"/>
        </w:rPr>
        <w:t>F</w:t>
      </w:r>
      <w:r>
        <w:rPr/>
        <w:t>AB</w:t>
      </w:r>
      <w:r>
        <w:rPr>
          <w:spacing w:val="-7"/>
        </w:rPr>
        <w:t> 分型为难治性贫血伴原始细胞增多</w:t>
      </w:r>
      <w:r>
        <w:rPr/>
        <w:t>（</w:t>
      </w:r>
      <w:r>
        <w:rPr>
          <w:spacing w:val="0"/>
        </w:rPr>
        <w:t>RA</w:t>
      </w:r>
      <w:r>
        <w:rPr/>
        <w:t>E</w:t>
      </w:r>
      <w:r>
        <w:rPr>
          <w:spacing w:val="-1"/>
        </w:rPr>
        <w:t>B</w:t>
      </w:r>
      <w:r>
        <w:rPr>
          <w:spacing w:val="-92"/>
        </w:rPr>
        <w:t>）</w:t>
      </w:r>
      <w:r>
        <w:rPr/>
        <w:t>；</w:t>
      </w:r>
    </w:p>
    <w:p>
      <w:pPr>
        <w:pStyle w:val="BodyText"/>
        <w:spacing w:line="316" w:lineRule="auto"/>
        <w:ind w:left="175" w:right="216"/>
        <w:jc w:val="both"/>
      </w:pPr>
      <w:r>
        <w:rPr>
          <w:spacing w:val="-6"/>
        </w:rPr>
        <w:t>（2）</w:t>
      </w:r>
      <w:r>
        <w:rPr>
          <w:spacing w:val="-1"/>
        </w:rPr>
        <w:t>根据骨髓增生异常综合征国际预后积分系统</w:t>
      </w:r>
      <w:r>
        <w:rPr>
          <w:spacing w:val="-3"/>
        </w:rPr>
        <w:t>（IPSS-R）</w:t>
      </w:r>
      <w:r>
        <w:rPr/>
        <w:t>修订版评分&gt;3</w:t>
      </w:r>
      <w:r>
        <w:rPr>
          <w:spacing w:val="-9"/>
        </w:rPr>
        <w:t> 分，属于中危及以上组；</w:t>
      </w:r>
    </w:p>
    <w:p>
      <w:pPr>
        <w:pStyle w:val="BodyText"/>
        <w:spacing w:before="19"/>
        <w:ind w:left="175"/>
        <w:jc w:val="both"/>
      </w:pPr>
      <w:r>
        <w:rPr/>
        <w:t>（3）已经实际接受了化学治疗或骨髓移植。</w:t>
      </w:r>
    </w:p>
    <w:p>
      <w:pPr>
        <w:spacing w:after="0"/>
        <w:jc w:val="both"/>
        <w:sectPr>
          <w:type w:val="continuous"/>
          <w:pgSz w:w="11910" w:h="16840"/>
          <w:pgMar w:top="1060" w:bottom="1160" w:left="1160" w:right="940"/>
          <w:cols w:num="2" w:equalWidth="0">
            <w:col w:w="2460" w:space="40"/>
            <w:col w:w="7310"/>
          </w:cols>
        </w:sectPr>
      </w:pPr>
    </w:p>
    <w:p>
      <w:pPr>
        <w:pStyle w:val="BodyText"/>
        <w:spacing w:before="3"/>
        <w:rPr>
          <w:sz w:val="26"/>
        </w:rPr>
      </w:pPr>
    </w:p>
    <w:p>
      <w:pPr>
        <w:pStyle w:val="ListParagraph"/>
        <w:numPr>
          <w:ilvl w:val="0"/>
          <w:numId w:val="20"/>
        </w:numPr>
        <w:tabs>
          <w:tab w:pos="600" w:val="left" w:leader="none"/>
          <w:tab w:pos="2675" w:val="left" w:leader="none"/>
        </w:tabs>
        <w:spacing w:line="304" w:lineRule="auto" w:before="0" w:after="0"/>
        <w:ind w:left="2675" w:right="213" w:hanging="2436"/>
        <w:jc w:val="both"/>
        <w:rPr>
          <w:sz w:val="18"/>
        </w:rPr>
      </w:pPr>
      <w:r>
        <w:rPr>
          <w:rFonts w:ascii="微软雅黑" w:eastAsia="微软雅黑" w:hint="eastAsia"/>
          <w:b/>
          <w:sz w:val="18"/>
        </w:rPr>
        <w:t>严重多发性硬化</w:t>
        <w:tab/>
      </w:r>
      <w:r>
        <w:rPr>
          <w:sz w:val="18"/>
        </w:rPr>
        <w:t>被保险人因脑及脊髓内的脱髓鞘病变而出现神经系统多灶性（多发性）多时相（至少</w:t>
      </w:r>
      <w:r>
        <w:rPr>
          <w:spacing w:val="56"/>
          <w:sz w:val="18"/>
        </w:rPr>
        <w:t> </w:t>
      </w:r>
      <w:r>
        <w:rPr>
          <w:sz w:val="18"/>
        </w:rPr>
        <w:t>6个月以内有一次以</w:t>
      </w:r>
      <w:r>
        <w:rPr>
          <w:spacing w:val="-3"/>
          <w:sz w:val="18"/>
        </w:rPr>
        <w:t>上</w:t>
      </w:r>
      <w:r>
        <w:rPr>
          <w:sz w:val="18"/>
        </w:rPr>
        <w:t>（不包含一次</w:t>
      </w:r>
      <w:r>
        <w:rPr>
          <w:spacing w:val="-3"/>
          <w:sz w:val="18"/>
        </w:rPr>
        <w:t>）</w:t>
      </w:r>
      <w:r>
        <w:rPr>
          <w:sz w:val="18"/>
        </w:rPr>
        <w:t>的发作</w:t>
      </w:r>
      <w:r>
        <w:rPr>
          <w:spacing w:val="-3"/>
          <w:sz w:val="18"/>
        </w:rPr>
        <w:t>）</w:t>
      </w:r>
      <w:r>
        <w:rPr>
          <w:sz w:val="18"/>
        </w:rPr>
        <w:t>的病变</w:t>
      </w:r>
      <w:r>
        <w:rPr>
          <w:spacing w:val="-3"/>
          <w:sz w:val="18"/>
        </w:rPr>
        <w:t>，</w:t>
      </w:r>
      <w:r>
        <w:rPr>
          <w:sz w:val="18"/>
        </w:rPr>
        <w:t>须</w:t>
      </w:r>
      <w:r>
        <w:rPr>
          <w:spacing w:val="-3"/>
          <w:sz w:val="18"/>
        </w:rPr>
        <w:t>由</w:t>
      </w:r>
      <w:r>
        <w:rPr>
          <w:sz w:val="18"/>
        </w:rPr>
        <w:t>计算机断层扫</w:t>
      </w:r>
      <w:r>
        <w:rPr>
          <w:spacing w:val="-3"/>
          <w:sz w:val="18"/>
        </w:rPr>
        <w:t>描</w:t>
      </w:r>
      <w:r>
        <w:rPr>
          <w:sz w:val="18"/>
        </w:rPr>
        <w:t>（</w:t>
      </w:r>
      <w:r>
        <w:rPr>
          <w:spacing w:val="0"/>
          <w:sz w:val="18"/>
        </w:rPr>
        <w:t>CT</w:t>
      </w:r>
      <w:r>
        <w:rPr>
          <w:spacing w:val="-92"/>
          <w:sz w:val="18"/>
        </w:rPr>
        <w:t>）</w:t>
      </w:r>
      <w:r>
        <w:rPr>
          <w:spacing w:val="-3"/>
          <w:sz w:val="18"/>
        </w:rPr>
        <w:t>、</w:t>
      </w:r>
      <w:r>
        <w:rPr>
          <w:sz w:val="18"/>
        </w:rPr>
        <w:t>核磁共振检查（MRI）或正电子发射断层扫描（PET）等影像学检查证实，且已经造成自主生活能力完全丧失，无法独立完成六项基本日常生活活动中的三项或三项以上，持续至少</w:t>
      </w:r>
    </w:p>
    <w:p>
      <w:pPr>
        <w:pStyle w:val="BodyText"/>
        <w:spacing w:before="36"/>
        <w:ind w:left="2675"/>
      </w:pPr>
      <w:r>
        <w:rPr/>
        <w:t>180 天。</w:t>
      </w:r>
    </w:p>
    <w:p>
      <w:pPr>
        <w:pStyle w:val="BodyText"/>
        <w:spacing w:before="7"/>
        <w:rPr>
          <w:sz w:val="25"/>
        </w:rPr>
      </w:pPr>
    </w:p>
    <w:p>
      <w:pPr>
        <w:pStyle w:val="ListParagraph"/>
        <w:numPr>
          <w:ilvl w:val="0"/>
          <w:numId w:val="20"/>
        </w:numPr>
        <w:tabs>
          <w:tab w:pos="600" w:val="left" w:leader="none"/>
          <w:tab w:pos="2675" w:val="left" w:leader="none"/>
        </w:tabs>
        <w:spacing w:line="304" w:lineRule="auto" w:before="0" w:after="0"/>
        <w:ind w:left="2675" w:right="216" w:hanging="2436"/>
        <w:jc w:val="both"/>
        <w:rPr>
          <w:sz w:val="18"/>
        </w:rPr>
      </w:pPr>
      <w:r>
        <w:rPr>
          <w:rFonts w:ascii="微软雅黑" w:eastAsia="微软雅黑" w:hint="eastAsia"/>
          <w:b/>
          <w:sz w:val="18"/>
        </w:rPr>
        <w:t>严重冠心病</w:t>
        <w:tab/>
      </w:r>
      <w:r>
        <w:rPr>
          <w:sz w:val="18"/>
        </w:rPr>
        <w:t>指经</w:t>
      </w:r>
      <w:r>
        <w:rPr>
          <w:sz w:val="18"/>
          <w:shd w:fill="C0C0C0" w:color="auto" w:val="clear"/>
        </w:rPr>
        <w:t>心脏科专科医生</w:t>
      </w:r>
      <w:r>
        <w:rPr>
          <w:sz w:val="18"/>
        </w:rPr>
        <w:t>根据冠状动脉造影检查结果确诊的三支主要血管（左冠状动脉主干 和右冠状动脉，或前降支、左旋支和右冠状动脉）严重狭窄性病变（至少一支血管管腔直径减少</w:t>
      </w:r>
      <w:r>
        <w:rPr>
          <w:spacing w:val="-10"/>
          <w:sz w:val="18"/>
        </w:rPr>
        <w:t> </w:t>
      </w:r>
      <w:r>
        <w:rPr>
          <w:sz w:val="18"/>
        </w:rPr>
        <w:t>75％以上和其他两</w:t>
      </w:r>
      <w:r>
        <w:rPr>
          <w:spacing w:val="-3"/>
          <w:sz w:val="18"/>
        </w:rPr>
        <w:t>支</w:t>
      </w:r>
      <w:r>
        <w:rPr>
          <w:sz w:val="18"/>
        </w:rPr>
        <w:t>血管管腔直径减少</w:t>
      </w:r>
      <w:r>
        <w:rPr>
          <w:spacing w:val="-10"/>
          <w:sz w:val="18"/>
        </w:rPr>
        <w:t> </w:t>
      </w:r>
      <w:r>
        <w:rPr>
          <w:sz w:val="18"/>
        </w:rPr>
        <w:t>60％以上</w:t>
      </w:r>
      <w:r>
        <w:rPr>
          <w:spacing w:val="-92"/>
          <w:sz w:val="18"/>
        </w:rPr>
        <w:t>）</w:t>
      </w:r>
      <w:r>
        <w:rPr>
          <w:sz w:val="18"/>
        </w:rPr>
        <w:t>。</w:t>
      </w:r>
      <w:r>
        <w:rPr>
          <w:sz w:val="18"/>
          <w:shd w:fill="C0C0C0" w:color="auto" w:val="clear"/>
        </w:rPr>
        <w:t>前降支、左旋支及右冠状</w:t>
      </w:r>
      <w:r>
        <w:rPr>
          <w:spacing w:val="-180"/>
          <w:sz w:val="18"/>
          <w:shd w:fill="C0C0C0" w:color="auto" w:val="clear"/>
        </w:rPr>
        <w:t>动</w:t>
      </w:r>
      <w:r>
        <w:rPr>
          <w:sz w:val="18"/>
          <w:shd w:fill="C0C0C0" w:color="auto" w:val="clear"/>
        </w:rPr>
        <w:t>脉的分支血管的狭窄不作为本保障的衡量指标。</w:t>
      </w:r>
    </w:p>
    <w:p>
      <w:pPr>
        <w:spacing w:after="0" w:line="304" w:lineRule="auto"/>
        <w:jc w:val="both"/>
        <w:rPr>
          <w:sz w:val="18"/>
        </w:rPr>
        <w:sectPr>
          <w:type w:val="continuous"/>
          <w:pgSz w:w="11910" w:h="16840"/>
          <w:pgMar w:top="1060" w:bottom="1160" w:left="1160" w:right="940"/>
        </w:sectPr>
      </w:pPr>
    </w:p>
    <w:p>
      <w:pPr>
        <w:pStyle w:val="BodyText"/>
        <w:spacing w:before="1"/>
        <w:rPr>
          <w:sz w:val="20"/>
        </w:rPr>
      </w:pPr>
    </w:p>
    <w:p>
      <w:pPr>
        <w:pStyle w:val="ListParagraph"/>
        <w:numPr>
          <w:ilvl w:val="0"/>
          <w:numId w:val="20"/>
        </w:numPr>
        <w:tabs>
          <w:tab w:pos="600" w:val="left" w:leader="none"/>
          <w:tab w:pos="2675" w:val="left" w:leader="none"/>
        </w:tabs>
        <w:spacing w:line="283" w:lineRule="auto" w:before="0" w:after="0"/>
        <w:ind w:left="2675" w:right="216" w:hanging="2436"/>
        <w:jc w:val="both"/>
        <w:rPr>
          <w:sz w:val="18"/>
        </w:rPr>
      </w:pPr>
      <w:r>
        <w:rPr>
          <w:rFonts w:ascii="微软雅黑" w:eastAsia="微软雅黑" w:hint="eastAsia"/>
          <w:b/>
          <w:sz w:val="18"/>
        </w:rPr>
        <w:t>严重心肌炎</w:t>
        <w:tab/>
      </w:r>
      <w:r>
        <w:rPr>
          <w:sz w:val="18"/>
        </w:rPr>
        <w:t>指心肌局限性或弥漫性的急性或慢性炎症病变，导致心脏功能障碍，达到美国纽约心脏 学会心功能分级状态分级</w:t>
      </w:r>
      <w:r>
        <w:rPr>
          <w:spacing w:val="-45"/>
          <w:sz w:val="18"/>
        </w:rPr>
        <w:t> </w:t>
      </w:r>
      <w:r>
        <w:rPr>
          <w:sz w:val="18"/>
        </w:rPr>
        <w:t>IV</w:t>
      </w:r>
      <w:r>
        <w:rPr>
          <w:spacing w:val="-44"/>
          <w:sz w:val="18"/>
        </w:rPr>
        <w:t> </w:t>
      </w:r>
      <w:r>
        <w:rPr>
          <w:spacing w:val="-3"/>
          <w:sz w:val="18"/>
        </w:rPr>
        <w:t>级</w:t>
      </w:r>
      <w:r>
        <w:rPr>
          <w:sz w:val="18"/>
        </w:rPr>
        <w:t>，且需持续至少</w:t>
      </w:r>
      <w:r>
        <w:rPr>
          <w:spacing w:val="-45"/>
          <w:sz w:val="18"/>
        </w:rPr>
        <w:t> </w:t>
      </w:r>
      <w:r>
        <w:rPr>
          <w:sz w:val="18"/>
        </w:rPr>
        <w:t>90</w:t>
      </w:r>
      <w:r>
        <w:rPr>
          <w:spacing w:val="-44"/>
          <w:sz w:val="18"/>
        </w:rPr>
        <w:t> </w:t>
      </w:r>
      <w:r>
        <w:rPr>
          <w:sz w:val="18"/>
        </w:rPr>
        <w:t>天。</w:t>
      </w:r>
    </w:p>
    <w:p>
      <w:pPr>
        <w:pStyle w:val="BodyText"/>
        <w:spacing w:before="9"/>
        <w:rPr>
          <w:sz w:val="23"/>
        </w:rPr>
      </w:pPr>
    </w:p>
    <w:p>
      <w:pPr>
        <w:pStyle w:val="ListParagraph"/>
        <w:numPr>
          <w:ilvl w:val="0"/>
          <w:numId w:val="20"/>
        </w:numPr>
        <w:tabs>
          <w:tab w:pos="600" w:val="left" w:leader="none"/>
          <w:tab w:pos="2675" w:val="left" w:leader="none"/>
        </w:tabs>
        <w:spacing w:line="297" w:lineRule="auto" w:before="0" w:after="0"/>
        <w:ind w:left="2675" w:right="216" w:hanging="2436"/>
        <w:jc w:val="both"/>
        <w:rPr>
          <w:sz w:val="18"/>
        </w:rPr>
      </w:pPr>
      <w:r>
        <w:rPr>
          <w:rFonts w:ascii="微软雅黑" w:eastAsia="微软雅黑" w:hint="eastAsia"/>
          <w:b/>
          <w:sz w:val="18"/>
        </w:rPr>
        <w:t>全身性重症肌无力</w:t>
        <w:tab/>
      </w:r>
      <w:r>
        <w:rPr>
          <w:sz w:val="18"/>
        </w:rPr>
        <w:t>重症肌无力是一种神经肌肉接头传递障碍所致的疾病，表现为局部或全身骨骼肌（特别 是眼外肌）极易疲劳。疾病可以累及呼吸肌、上肢或下肢的近端肌群或全身肌肉，必须满足下列全部条件：</w:t>
      </w:r>
    </w:p>
    <w:p>
      <w:pPr>
        <w:pStyle w:val="ListParagraph"/>
        <w:numPr>
          <w:ilvl w:val="1"/>
          <w:numId w:val="20"/>
        </w:numPr>
        <w:tabs>
          <w:tab w:pos="3096" w:val="left" w:leader="none"/>
        </w:tabs>
        <w:spacing w:line="240" w:lineRule="auto" w:before="32" w:after="0"/>
        <w:ind w:left="3095" w:right="0" w:hanging="420"/>
        <w:jc w:val="left"/>
        <w:rPr>
          <w:sz w:val="18"/>
        </w:rPr>
      </w:pPr>
      <w:r>
        <w:rPr>
          <w:sz w:val="18"/>
        </w:rPr>
        <w:t>经药物治疗和胸腺切除治疗一年以上仍无法控制病情；</w:t>
      </w:r>
    </w:p>
    <w:p>
      <w:pPr>
        <w:pStyle w:val="ListParagraph"/>
        <w:numPr>
          <w:ilvl w:val="1"/>
          <w:numId w:val="20"/>
        </w:numPr>
        <w:tabs>
          <w:tab w:pos="3096" w:val="left" w:leader="none"/>
        </w:tabs>
        <w:spacing w:line="240" w:lineRule="auto" w:before="76" w:after="0"/>
        <w:ind w:left="3095" w:right="0" w:hanging="420"/>
        <w:jc w:val="left"/>
        <w:rPr>
          <w:sz w:val="18"/>
        </w:rPr>
      </w:pPr>
      <w:r>
        <w:rPr>
          <w:spacing w:val="-8"/>
          <w:sz w:val="18"/>
        </w:rPr>
        <w:t>自主生活能力完全丧失，无法独立完成六项基本日常生活活动中的三项或三项以上。</w:t>
      </w:r>
    </w:p>
    <w:p>
      <w:pPr>
        <w:pStyle w:val="BodyText"/>
        <w:spacing w:before="7"/>
        <w:rPr>
          <w:sz w:val="25"/>
        </w:rPr>
      </w:pPr>
    </w:p>
    <w:p>
      <w:pPr>
        <w:pStyle w:val="ListParagraph"/>
        <w:numPr>
          <w:ilvl w:val="0"/>
          <w:numId w:val="20"/>
        </w:numPr>
        <w:tabs>
          <w:tab w:pos="600" w:val="left" w:leader="none"/>
          <w:tab w:pos="2675" w:val="left" w:leader="none"/>
        </w:tabs>
        <w:spacing w:line="304" w:lineRule="auto" w:before="1" w:after="0"/>
        <w:ind w:left="2675" w:right="216" w:hanging="2436"/>
        <w:jc w:val="both"/>
        <w:rPr>
          <w:sz w:val="18"/>
        </w:rPr>
      </w:pPr>
      <w:r>
        <w:rPr>
          <w:rFonts w:ascii="微软雅黑" w:eastAsia="微软雅黑" w:hint="eastAsia"/>
          <w:b/>
          <w:w w:val="130"/>
          <w:sz w:val="18"/>
        </w:rPr>
        <w:t>I</w:t>
      </w:r>
      <w:r>
        <w:rPr>
          <w:rFonts w:ascii="微软雅黑" w:eastAsia="微软雅黑" w:hint="eastAsia"/>
          <w:b/>
          <w:spacing w:val="-11"/>
          <w:w w:val="130"/>
          <w:sz w:val="18"/>
        </w:rPr>
        <w:t> </w:t>
      </w:r>
      <w:r>
        <w:rPr>
          <w:rFonts w:ascii="微软雅黑" w:eastAsia="微软雅黑" w:hint="eastAsia"/>
          <w:b/>
          <w:sz w:val="18"/>
        </w:rPr>
        <w:t>型糖尿病</w:t>
        <w:tab/>
      </w:r>
      <w:r>
        <w:rPr>
          <w:sz w:val="18"/>
        </w:rPr>
        <w:t>I</w:t>
      </w:r>
      <w:r>
        <w:rPr>
          <w:spacing w:val="58"/>
          <w:sz w:val="18"/>
        </w:rPr>
        <w:t> </w:t>
      </w:r>
      <w:r>
        <w:rPr>
          <w:sz w:val="18"/>
        </w:rPr>
        <w:t>型糖尿病的特征为由于胰岛素分泌绝对不足引起严重胰岛素缺乏导致慢性血糖升高，需要依赖外源性胰岛素进行机体的葡萄糖代谢和维持生命。被保险人的</w:t>
      </w:r>
      <w:r>
        <w:rPr>
          <w:spacing w:val="-11"/>
          <w:sz w:val="18"/>
        </w:rPr>
        <w:t> </w:t>
      </w:r>
      <w:r>
        <w:rPr>
          <w:sz w:val="18"/>
        </w:rPr>
        <w:t>I</w:t>
      </w:r>
      <w:r>
        <w:rPr>
          <w:spacing w:val="-10"/>
          <w:sz w:val="18"/>
        </w:rPr>
        <w:t> </w:t>
      </w:r>
      <w:r>
        <w:rPr>
          <w:sz w:val="18"/>
        </w:rPr>
        <w:t>型糖尿病必须明确诊断，而且</w:t>
      </w:r>
      <w:r>
        <w:rPr>
          <w:sz w:val="18"/>
          <w:shd w:fill="C0C0C0" w:color="auto" w:val="clear"/>
        </w:rPr>
        <w:t>有血胰岛素测定及血</w:t>
      </w:r>
      <w:r>
        <w:rPr>
          <w:spacing w:val="-29"/>
          <w:sz w:val="18"/>
          <w:shd w:fill="C0C0C0" w:color="auto" w:val="clear"/>
        </w:rPr>
        <w:t> </w:t>
      </w:r>
      <w:r>
        <w:rPr>
          <w:sz w:val="18"/>
          <w:shd w:fill="C0C0C0" w:color="auto" w:val="clear"/>
        </w:rPr>
        <w:t>C</w:t>
      </w:r>
      <w:r>
        <w:rPr>
          <w:spacing w:val="-28"/>
          <w:sz w:val="18"/>
          <w:shd w:fill="C0C0C0" w:color="auto" w:val="clear"/>
        </w:rPr>
        <w:t> </w:t>
      </w:r>
      <w:r>
        <w:rPr>
          <w:sz w:val="18"/>
          <w:shd w:fill="C0C0C0" w:color="auto" w:val="clear"/>
        </w:rPr>
        <w:t>肽或尿</w:t>
      </w:r>
      <w:r>
        <w:rPr>
          <w:spacing w:val="-29"/>
          <w:sz w:val="18"/>
          <w:shd w:fill="C0C0C0" w:color="auto" w:val="clear"/>
        </w:rPr>
        <w:t> </w:t>
      </w:r>
      <w:r>
        <w:rPr>
          <w:sz w:val="18"/>
          <w:shd w:fill="C0C0C0" w:color="auto" w:val="clear"/>
        </w:rPr>
        <w:t>C</w:t>
      </w:r>
      <w:r>
        <w:rPr>
          <w:spacing w:val="-28"/>
          <w:sz w:val="18"/>
          <w:shd w:fill="C0C0C0" w:color="auto" w:val="clear"/>
        </w:rPr>
        <w:t> </w:t>
      </w:r>
      <w:r>
        <w:rPr>
          <w:sz w:val="18"/>
          <w:shd w:fill="C0C0C0" w:color="auto" w:val="clear"/>
        </w:rPr>
        <w:t>肽测定结</w:t>
      </w:r>
      <w:r>
        <w:rPr>
          <w:spacing w:val="-3"/>
          <w:sz w:val="18"/>
          <w:shd w:fill="C0C0C0" w:color="auto" w:val="clear"/>
        </w:rPr>
        <w:t>果</w:t>
      </w:r>
      <w:r>
        <w:rPr>
          <w:sz w:val="18"/>
          <w:shd w:fill="C0C0C0" w:color="auto" w:val="clear"/>
        </w:rPr>
        <w:t>支持诊断</w:t>
      </w:r>
      <w:r>
        <w:rPr>
          <w:sz w:val="18"/>
        </w:rPr>
        <w:t>，并且满足下列全部条件：</w:t>
      </w:r>
    </w:p>
    <w:p>
      <w:pPr>
        <w:pStyle w:val="ListParagraph"/>
        <w:numPr>
          <w:ilvl w:val="1"/>
          <w:numId w:val="20"/>
        </w:numPr>
        <w:tabs>
          <w:tab w:pos="3096" w:val="left" w:leader="none"/>
        </w:tabs>
        <w:spacing w:line="240" w:lineRule="auto" w:before="28" w:after="0"/>
        <w:ind w:left="3095" w:right="0" w:hanging="420"/>
        <w:jc w:val="left"/>
        <w:rPr>
          <w:sz w:val="18"/>
        </w:rPr>
      </w:pPr>
      <w:r>
        <w:rPr>
          <w:spacing w:val="-3"/>
          <w:sz w:val="18"/>
        </w:rPr>
        <w:t>已经持续性地接受外源性胰岛素注射治疗连续 </w:t>
      </w:r>
      <w:r>
        <w:rPr>
          <w:sz w:val="18"/>
        </w:rPr>
        <w:t>180</w:t>
      </w:r>
      <w:r>
        <w:rPr>
          <w:spacing w:val="-10"/>
          <w:sz w:val="18"/>
        </w:rPr>
        <w:t> 天以上；</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因需要已经接受了下列治疗之一：</w:t>
      </w:r>
    </w:p>
    <w:p>
      <w:pPr>
        <w:pStyle w:val="BodyText"/>
        <w:spacing w:before="75"/>
        <w:ind w:left="2675"/>
      </w:pPr>
      <w:r>
        <w:rPr/>
        <w:t>①  因严重心律失常植入了心脏起搏器；</w:t>
      </w:r>
    </w:p>
    <w:p>
      <w:pPr>
        <w:pStyle w:val="BodyText"/>
        <w:spacing w:before="75"/>
        <w:ind w:left="2675"/>
      </w:pPr>
      <w:r>
        <w:rPr/>
        <w:t>②  因坏疽自跖趾关节或以上切除了一趾或多趾</w:t>
      </w:r>
    </w:p>
    <w:p>
      <w:pPr>
        <w:pStyle w:val="BodyText"/>
        <w:spacing w:before="7"/>
        <w:rPr>
          <w:sz w:val="25"/>
        </w:rPr>
      </w:pPr>
    </w:p>
    <w:p>
      <w:pPr>
        <w:pStyle w:val="ListParagraph"/>
        <w:numPr>
          <w:ilvl w:val="0"/>
          <w:numId w:val="20"/>
        </w:numPr>
        <w:tabs>
          <w:tab w:pos="600" w:val="left" w:leader="none"/>
          <w:tab w:pos="2675" w:val="left" w:leader="none"/>
        </w:tabs>
        <w:spacing w:line="297" w:lineRule="auto" w:before="0" w:after="0"/>
        <w:ind w:left="2675" w:right="216" w:hanging="2436"/>
        <w:jc w:val="both"/>
        <w:rPr>
          <w:sz w:val="18"/>
        </w:rPr>
      </w:pPr>
      <w:r>
        <w:rPr>
          <w:rFonts w:ascii="微软雅黑" w:eastAsia="微软雅黑" w:hint="eastAsia"/>
          <w:b/>
          <w:sz w:val="18"/>
        </w:rPr>
        <w:t>植物人状态</w:t>
        <w:tab/>
      </w:r>
      <w:r>
        <w:rPr>
          <w:sz w:val="18"/>
        </w:rPr>
        <w:t>植物人状态系指由于严重颅脑外伤造成大脑严重损害导致完全永久性的对自身和环境的 意识丧失和中枢神经系统功能丧失，仅残存植物神经功能的疾病状态。</w:t>
      </w:r>
      <w:r>
        <w:rPr>
          <w:sz w:val="18"/>
          <w:shd w:fill="C0C0C0" w:color="auto" w:val="clear"/>
        </w:rPr>
        <w:t>诊断必须明确并</w:t>
      </w:r>
      <w:r>
        <w:rPr>
          <w:spacing w:val="-176"/>
          <w:sz w:val="18"/>
          <w:shd w:fill="C0C0C0" w:color="auto" w:val="clear"/>
        </w:rPr>
        <w:t>且</w:t>
      </w:r>
      <w:r>
        <w:rPr>
          <w:sz w:val="18"/>
          <w:shd w:fill="C0C0C0" w:color="auto" w:val="clear"/>
        </w:rPr>
        <w:t>具有严重颅脑外伤和脑损害的证据。植物人状态必须持续</w:t>
      </w:r>
      <w:r>
        <w:rPr>
          <w:spacing w:val="-45"/>
          <w:sz w:val="18"/>
          <w:shd w:fill="C0C0C0" w:color="auto" w:val="clear"/>
        </w:rPr>
        <w:t> </w:t>
      </w:r>
      <w:r>
        <w:rPr>
          <w:sz w:val="18"/>
          <w:shd w:fill="C0C0C0" w:color="auto" w:val="clear"/>
        </w:rPr>
        <w:t>30</w:t>
      </w:r>
      <w:r>
        <w:rPr>
          <w:spacing w:val="-44"/>
          <w:sz w:val="18"/>
          <w:shd w:fill="C0C0C0" w:color="auto" w:val="clear"/>
        </w:rPr>
        <w:t> </w:t>
      </w:r>
      <w:r>
        <w:rPr>
          <w:sz w:val="18"/>
          <w:shd w:fill="C0C0C0" w:color="auto" w:val="clear"/>
        </w:rPr>
        <w:t>天以上方可申请理赔。</w:t>
      </w:r>
    </w:p>
    <w:p>
      <w:pPr>
        <w:pStyle w:val="BodyText"/>
        <w:spacing w:before="3"/>
        <w:rPr>
          <w:sz w:val="22"/>
        </w:rPr>
      </w:pPr>
    </w:p>
    <w:p>
      <w:pPr>
        <w:pStyle w:val="ListParagraph"/>
        <w:numPr>
          <w:ilvl w:val="0"/>
          <w:numId w:val="20"/>
        </w:numPr>
        <w:tabs>
          <w:tab w:pos="600" w:val="left" w:leader="none"/>
          <w:tab w:pos="2675" w:val="left" w:leader="none"/>
        </w:tabs>
        <w:spacing w:line="283" w:lineRule="auto" w:before="0" w:after="0"/>
        <w:ind w:left="2675" w:right="216" w:hanging="2436"/>
        <w:jc w:val="both"/>
        <w:rPr>
          <w:sz w:val="18"/>
        </w:rPr>
      </w:pPr>
      <w:r>
        <w:rPr>
          <w:rFonts w:ascii="微软雅黑" w:eastAsia="微软雅黑" w:hint="eastAsia"/>
          <w:b/>
          <w:sz w:val="18"/>
        </w:rPr>
        <w:t>原发性心肌病</w:t>
        <w:tab/>
      </w:r>
      <w:r>
        <w:rPr>
          <w:sz w:val="18"/>
        </w:rPr>
        <w:t>指不明原因引起的一类心肌病变，包括原发性扩张型心肌病、原发性肥厚型心肌病及原 发性限制型心肌病三种，病变必须已造成事实上心室功能障碍而出现明显的心功能衰竭</w:t>
      </w:r>
    </w:p>
    <w:p>
      <w:pPr>
        <w:pStyle w:val="BodyText"/>
        <w:spacing w:line="316" w:lineRule="auto" w:before="43"/>
        <w:ind w:left="2675" w:right="218"/>
      </w:pPr>
      <w:r>
        <w:rPr/>
        <w:t>（</w:t>
      </w:r>
      <w:r>
        <w:rPr>
          <w:spacing w:val="-1"/>
        </w:rPr>
        <w:t>美国纽约心脏协会心功能分类标准心功能达 </w:t>
      </w:r>
      <w:r>
        <w:rPr>
          <w:spacing w:val="0"/>
        </w:rPr>
        <w:t>I</w:t>
      </w:r>
      <w:r>
        <w:rPr/>
        <w:t>V</w:t>
      </w:r>
      <w:r>
        <w:rPr>
          <w:spacing w:val="-5"/>
        </w:rPr>
        <w:t> 级</w:t>
      </w:r>
      <w:r>
        <w:rPr>
          <w:spacing w:val="-92"/>
        </w:rPr>
        <w:t>）</w:t>
      </w:r>
      <w:r>
        <w:rPr>
          <w:spacing w:val="-1"/>
        </w:rPr>
        <w:t>，且有相关住院医疗记录显示四级</w:t>
      </w:r>
      <w:r>
        <w:rPr>
          <w:spacing w:val="-5"/>
        </w:rPr>
        <w:t>心功能衰竭状态持续至少 </w:t>
      </w:r>
      <w:r>
        <w:rPr/>
        <w:t>180</w:t>
      </w:r>
      <w:r>
        <w:rPr>
          <w:spacing w:val="-16"/>
        </w:rPr>
        <w:t> 天。</w:t>
      </w:r>
    </w:p>
    <w:p>
      <w:pPr>
        <w:pStyle w:val="BodyText"/>
        <w:spacing w:line="316" w:lineRule="auto" w:before="18"/>
        <w:ind w:left="2675" w:right="216"/>
      </w:pPr>
      <w:r>
        <w:rPr>
          <w:shd w:fill="C0C0C0" w:color="auto" w:val="clear"/>
        </w:rPr>
        <w:t>本病须经专科医生明确诊断。继发于全身性疾病或其它器官系统疾病或酗酒或滥用药物</w:t>
      </w:r>
      <w:r>
        <w:rPr>
          <w:spacing w:val="-176"/>
          <w:shd w:fill="C0C0C0" w:color="auto" w:val="clear"/>
        </w:rPr>
        <w:t>造</w:t>
      </w:r>
      <w:r>
        <w:rPr>
          <w:shd w:fill="C0C0C0" w:color="auto" w:val="clear"/>
        </w:rPr>
        <w:t>成的心肌病变除外。</w:t>
      </w:r>
    </w:p>
    <w:p>
      <w:pPr>
        <w:pStyle w:val="BodyText"/>
        <w:spacing w:line="319" w:lineRule="auto" w:before="18"/>
        <w:ind w:left="2675" w:right="187"/>
      </w:pPr>
      <w:r>
        <w:rPr/>
        <w:t>美国纽约心脏协会分类标准心功能IV 级是指有医院的医疗记录显示病人不能进行任何活动，休息时仍有心悸、呼吸困难等心力衰竭表现。</w:t>
      </w:r>
    </w:p>
    <w:p>
      <w:pPr>
        <w:pStyle w:val="BodyText"/>
        <w:spacing w:before="0"/>
        <w:rPr>
          <w:sz w:val="21"/>
        </w:rPr>
      </w:pPr>
    </w:p>
    <w:p>
      <w:pPr>
        <w:pStyle w:val="ListParagraph"/>
        <w:numPr>
          <w:ilvl w:val="0"/>
          <w:numId w:val="20"/>
        </w:numPr>
        <w:tabs>
          <w:tab w:pos="600" w:val="left" w:leader="none"/>
          <w:tab w:pos="2675" w:val="left" w:leader="none"/>
        </w:tabs>
        <w:spacing w:line="283" w:lineRule="auto" w:before="0" w:after="0"/>
        <w:ind w:left="2675" w:right="216" w:hanging="2436"/>
        <w:jc w:val="both"/>
        <w:rPr>
          <w:sz w:val="18"/>
        </w:rPr>
      </w:pPr>
      <w:r>
        <w:rPr>
          <w:rFonts w:ascii="微软雅黑" w:eastAsia="微软雅黑" w:hint="eastAsia"/>
          <w:b/>
          <w:sz w:val="18"/>
        </w:rPr>
        <w:t>肌营养不良症</w:t>
        <w:tab/>
      </w:r>
      <w:r>
        <w:rPr>
          <w:sz w:val="18"/>
        </w:rPr>
        <w:t>指一组遗传性肌肉变性病变,</w:t>
      </w:r>
      <w:r>
        <w:rPr>
          <w:spacing w:val="58"/>
          <w:sz w:val="18"/>
        </w:rPr>
        <w:t> </w:t>
      </w:r>
      <w:r>
        <w:rPr>
          <w:sz w:val="18"/>
        </w:rPr>
        <w:t>临床特征为与神经系统无关的骨骼肌肉对称地进行性无力和萎缩。其诊断需满足下列全部条件：</w:t>
      </w:r>
    </w:p>
    <w:p>
      <w:pPr>
        <w:pStyle w:val="ListParagraph"/>
        <w:numPr>
          <w:ilvl w:val="1"/>
          <w:numId w:val="20"/>
        </w:numPr>
        <w:tabs>
          <w:tab w:pos="3096" w:val="left" w:leader="none"/>
        </w:tabs>
        <w:spacing w:line="240" w:lineRule="auto" w:before="43" w:after="0"/>
        <w:ind w:left="3095" w:right="0" w:hanging="420"/>
        <w:jc w:val="left"/>
        <w:rPr>
          <w:sz w:val="18"/>
        </w:rPr>
      </w:pPr>
      <w:r>
        <w:rPr>
          <w:sz w:val="18"/>
        </w:rPr>
        <w:t>肌电图显示典型肌营养不良症的阳性改变；</w:t>
      </w:r>
    </w:p>
    <w:p>
      <w:pPr>
        <w:pStyle w:val="ListParagraph"/>
        <w:numPr>
          <w:ilvl w:val="1"/>
          <w:numId w:val="20"/>
        </w:numPr>
        <w:tabs>
          <w:tab w:pos="3096" w:val="left" w:leader="none"/>
        </w:tabs>
        <w:spacing w:line="240" w:lineRule="auto" w:before="75" w:after="0"/>
        <w:ind w:left="3095" w:right="0" w:hanging="420"/>
        <w:jc w:val="left"/>
        <w:rPr>
          <w:sz w:val="18"/>
        </w:rPr>
      </w:pPr>
      <w:r>
        <w:rPr>
          <w:sz w:val="18"/>
        </w:rPr>
        <w:t>肌肉活检的病理学诊断符合肌营养不良症的肌肉细胞变性\坏死等阳性改变；</w:t>
      </w:r>
    </w:p>
    <w:p>
      <w:pPr>
        <w:pStyle w:val="ListParagraph"/>
        <w:numPr>
          <w:ilvl w:val="1"/>
          <w:numId w:val="20"/>
        </w:numPr>
        <w:tabs>
          <w:tab w:pos="3096" w:val="left" w:leader="none"/>
        </w:tabs>
        <w:spacing w:line="316" w:lineRule="auto" w:before="75" w:after="0"/>
        <w:ind w:left="3095" w:right="223" w:hanging="420"/>
        <w:jc w:val="left"/>
        <w:rPr>
          <w:sz w:val="18"/>
        </w:rPr>
      </w:pPr>
      <w:r>
        <w:rPr>
          <w:sz w:val="18"/>
        </w:rPr>
        <w:t>已导致被保险人持续超过三个月无法独立完成六项基本日常生活活动中的三项获三项以上。</w:t>
      </w:r>
    </w:p>
    <w:p>
      <w:pPr>
        <w:pStyle w:val="BodyText"/>
        <w:spacing w:before="10"/>
        <w:rPr>
          <w:sz w:val="21"/>
        </w:rPr>
      </w:pPr>
    </w:p>
    <w:p>
      <w:pPr>
        <w:spacing w:after="0"/>
        <w:rPr>
          <w:sz w:val="21"/>
        </w:rPr>
        <w:sectPr>
          <w:pgSz w:w="11910" w:h="16840"/>
          <w:pgMar w:header="872" w:footer="977" w:top="1100" w:bottom="1160" w:left="1160" w:right="940"/>
        </w:sectPr>
      </w:pPr>
    </w:p>
    <w:p>
      <w:pPr>
        <w:pStyle w:val="Heading4"/>
        <w:numPr>
          <w:ilvl w:val="0"/>
          <w:numId w:val="20"/>
        </w:numPr>
        <w:tabs>
          <w:tab w:pos="600" w:val="left" w:leader="none"/>
        </w:tabs>
        <w:spacing w:line="240" w:lineRule="auto" w:before="0" w:after="0"/>
        <w:ind w:left="599" w:right="0" w:hanging="360"/>
        <w:jc w:val="left"/>
      </w:pPr>
      <w:r>
        <w:rPr>
          <w:spacing w:val="2"/>
        </w:rPr>
        <w:t>非阿尔茨海默病所致严重痴呆</w:t>
      </w:r>
    </w:p>
    <w:p>
      <w:pPr>
        <w:pStyle w:val="BodyText"/>
        <w:spacing w:line="316" w:lineRule="auto" w:before="45"/>
        <w:ind w:left="175" w:right="213"/>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BodyText"/>
        <w:spacing w:before="18"/>
        <w:ind w:left="175"/>
        <w:jc w:val="both"/>
      </w:pPr>
      <w:r>
        <w:rPr>
          <w:shd w:fill="C0C0C0" w:color="auto" w:val="clear"/>
        </w:rPr>
        <w:t>神经官能症，精神疾病及酒精中毒所致脑损害不在保障范围内。</w:t>
      </w:r>
    </w:p>
    <w:p>
      <w:pPr>
        <w:spacing w:after="0"/>
        <w:jc w:val="both"/>
        <w:sectPr>
          <w:type w:val="continuous"/>
          <w:pgSz w:w="11910" w:h="16840"/>
          <w:pgMar w:top="1060" w:bottom="1160" w:left="1160" w:right="940"/>
          <w:cols w:num="2" w:equalWidth="0">
            <w:col w:w="2460" w:space="40"/>
            <w:col w:w="7310"/>
          </w:cols>
        </w:sectPr>
      </w:pPr>
    </w:p>
    <w:p>
      <w:pPr>
        <w:pStyle w:val="BodyText"/>
        <w:spacing w:before="1"/>
        <w:rPr>
          <w:sz w:val="20"/>
        </w:rPr>
      </w:pPr>
    </w:p>
    <w:p>
      <w:pPr>
        <w:pStyle w:val="ListParagraph"/>
        <w:numPr>
          <w:ilvl w:val="0"/>
          <w:numId w:val="20"/>
        </w:numPr>
        <w:tabs>
          <w:tab w:pos="600" w:val="left" w:leader="none"/>
        </w:tabs>
        <w:spacing w:line="283" w:lineRule="auto" w:before="0" w:after="0"/>
        <w:ind w:left="2675" w:right="216" w:hanging="2436"/>
        <w:jc w:val="both"/>
        <w:rPr>
          <w:sz w:val="18"/>
        </w:rPr>
      </w:pPr>
      <w:r>
        <w:rPr>
          <w:rFonts w:ascii="微软雅黑" w:eastAsia="微软雅黑" w:hint="eastAsia"/>
          <w:b/>
          <w:sz w:val="18"/>
        </w:rPr>
        <w:t>破裂脑动脉瘤夹闭手术    </w:t>
      </w:r>
      <w:r>
        <w:rPr>
          <w:sz w:val="18"/>
        </w:rPr>
        <w:t>指因脑动脉瘤破裂造成蛛网膜下腔出血，被保险人实际接受了在全麻下进行的开颅动脉瘤夹闭手术。</w:t>
      </w:r>
    </w:p>
    <w:p>
      <w:pPr>
        <w:pStyle w:val="BodyText"/>
        <w:spacing w:line="316" w:lineRule="auto" w:before="52"/>
        <w:ind w:left="2675" w:right="216"/>
      </w:pPr>
      <w:r>
        <w:rPr>
          <w:shd w:fill="C0C0C0" w:color="auto" w:val="clear"/>
        </w:rPr>
        <w:t>脑动脉瘤（未破裂）预防性手术、颅骨打孔手术、动脉瘤栓塞手术、血管内手术及其他颅脑手术不在保障范围内。</w:t>
      </w:r>
    </w:p>
    <w:p>
      <w:pPr>
        <w:pStyle w:val="BodyText"/>
        <w:spacing w:before="2"/>
        <w:rPr>
          <w:sz w:val="21"/>
        </w:rPr>
      </w:pPr>
    </w:p>
    <w:p>
      <w:pPr>
        <w:pStyle w:val="ListParagraph"/>
        <w:numPr>
          <w:ilvl w:val="0"/>
          <w:numId w:val="20"/>
        </w:numPr>
        <w:tabs>
          <w:tab w:pos="600" w:val="left" w:leader="none"/>
          <w:tab w:pos="2675" w:val="left" w:leader="none"/>
        </w:tabs>
        <w:spacing w:line="283" w:lineRule="auto" w:before="0" w:after="0"/>
        <w:ind w:left="2675" w:right="216" w:hanging="2436"/>
        <w:jc w:val="both"/>
        <w:rPr>
          <w:sz w:val="18"/>
        </w:rPr>
      </w:pPr>
      <w:r>
        <w:rPr>
          <w:rFonts w:ascii="微软雅黑" w:eastAsia="微软雅黑" w:hint="eastAsia"/>
          <w:b/>
          <w:sz w:val="18"/>
        </w:rPr>
        <w:t>嗜铬细胞瘤</w:t>
        <w:tab/>
      </w:r>
      <w:r>
        <w:rPr>
          <w:sz w:val="18"/>
        </w:rPr>
        <w:t>是指肾上腺或嗜铬外组织出现神经内分泌肿瘤，并分泌过多的儿茶酚胺类，需要确实进 行手术以切除肿瘤。嗜铬细胞瘤的诊断必须由</w:t>
      </w:r>
      <w:r>
        <w:rPr>
          <w:sz w:val="18"/>
          <w:shd w:fill="C0C0C0" w:color="auto" w:val="clear"/>
        </w:rPr>
        <w:t>内分泌专科医生确定</w:t>
      </w:r>
      <w:r>
        <w:rPr>
          <w:sz w:val="18"/>
        </w:rPr>
        <w:t>。</w:t>
      </w:r>
    </w:p>
    <w:p>
      <w:pPr>
        <w:pStyle w:val="BodyText"/>
        <w:spacing w:before="1"/>
        <w:rPr>
          <w:sz w:val="23"/>
        </w:rPr>
      </w:pPr>
    </w:p>
    <w:p>
      <w:pPr>
        <w:pStyle w:val="ListParagraph"/>
        <w:numPr>
          <w:ilvl w:val="0"/>
          <w:numId w:val="20"/>
        </w:numPr>
        <w:tabs>
          <w:tab w:pos="600" w:val="left" w:leader="none"/>
          <w:tab w:pos="2675" w:val="left" w:leader="none"/>
        </w:tabs>
        <w:spacing w:line="297" w:lineRule="auto" w:before="0" w:after="0"/>
        <w:ind w:left="2675" w:right="216" w:hanging="2436"/>
        <w:jc w:val="both"/>
        <w:rPr>
          <w:sz w:val="18"/>
        </w:rPr>
      </w:pPr>
      <w:r>
        <w:rPr>
          <w:rFonts w:ascii="微软雅黑" w:eastAsia="微软雅黑" w:hint="eastAsia"/>
          <w:b/>
          <w:sz w:val="18"/>
        </w:rPr>
        <w:t>主动脉夹层瘤</w:t>
        <w:tab/>
      </w:r>
      <w:r>
        <w:rPr>
          <w:sz w:val="18"/>
        </w:rPr>
        <w:t>指主动脉腔内的血流通过主动脉内膜的破裂口进入主动脉内壁而形成血肿。被保险人需 </w:t>
      </w:r>
      <w:r>
        <w:rPr>
          <w:spacing w:val="1"/>
          <w:sz w:val="18"/>
        </w:rPr>
        <w:t>通过断层扫</w:t>
      </w:r>
      <w:r>
        <w:rPr>
          <w:sz w:val="18"/>
        </w:rPr>
        <w:t>描</w:t>
      </w:r>
      <w:r>
        <w:rPr>
          <w:spacing w:val="1"/>
          <w:sz w:val="18"/>
        </w:rPr>
        <w:t>（</w:t>
      </w:r>
      <w:r>
        <w:rPr>
          <w:sz w:val="18"/>
        </w:rPr>
        <w:t>C</w:t>
      </w:r>
      <w:r>
        <w:rPr>
          <w:spacing w:val="1"/>
          <w:sz w:val="18"/>
        </w:rPr>
        <w:t>T</w:t>
      </w:r>
      <w:r>
        <w:rPr>
          <w:spacing w:val="-89"/>
          <w:sz w:val="18"/>
        </w:rPr>
        <w:t>）</w:t>
      </w:r>
      <w:r>
        <w:rPr>
          <w:spacing w:val="1"/>
          <w:sz w:val="18"/>
        </w:rPr>
        <w:t>、核磁</w:t>
      </w:r>
      <w:r>
        <w:rPr>
          <w:sz w:val="18"/>
        </w:rPr>
        <w:t>共振</w:t>
      </w:r>
      <w:r>
        <w:rPr>
          <w:spacing w:val="1"/>
          <w:sz w:val="18"/>
        </w:rPr>
        <w:t>检查（</w:t>
      </w:r>
      <w:r>
        <w:rPr>
          <w:sz w:val="18"/>
        </w:rPr>
        <w:t>MR</w:t>
      </w:r>
      <w:r>
        <w:rPr>
          <w:spacing w:val="2"/>
          <w:sz w:val="18"/>
        </w:rPr>
        <w:t>I</w:t>
      </w:r>
      <w:r>
        <w:rPr>
          <w:spacing w:val="-89"/>
          <w:sz w:val="18"/>
        </w:rPr>
        <w:t>）</w:t>
      </w:r>
      <w:r>
        <w:rPr>
          <w:sz w:val="18"/>
        </w:rPr>
        <w:t>、</w:t>
      </w:r>
      <w:r>
        <w:rPr>
          <w:spacing w:val="1"/>
          <w:sz w:val="18"/>
        </w:rPr>
        <w:t>磁共振血</w:t>
      </w:r>
      <w:r>
        <w:rPr>
          <w:sz w:val="18"/>
        </w:rPr>
        <w:t>管</w:t>
      </w:r>
      <w:r>
        <w:rPr>
          <w:spacing w:val="1"/>
          <w:sz w:val="18"/>
        </w:rPr>
        <w:t>检</w:t>
      </w:r>
      <w:r>
        <w:rPr>
          <w:sz w:val="18"/>
        </w:rPr>
        <w:t>验</w:t>
      </w:r>
      <w:r>
        <w:rPr>
          <w:spacing w:val="1"/>
          <w:sz w:val="18"/>
        </w:rPr>
        <w:t>法（</w:t>
      </w:r>
      <w:r>
        <w:rPr>
          <w:spacing w:val="0"/>
          <w:sz w:val="18"/>
        </w:rPr>
        <w:t>M</w:t>
      </w:r>
      <w:r>
        <w:rPr>
          <w:sz w:val="18"/>
        </w:rPr>
        <w:t>R</w:t>
      </w:r>
      <w:r>
        <w:rPr>
          <w:spacing w:val="1"/>
          <w:sz w:val="18"/>
        </w:rPr>
        <w:t>A</w:t>
      </w:r>
      <w:r>
        <w:rPr>
          <w:sz w:val="18"/>
        </w:rPr>
        <w:t>）</w:t>
      </w:r>
      <w:r>
        <w:rPr>
          <w:spacing w:val="1"/>
          <w:sz w:val="18"/>
        </w:rPr>
        <w:t>或血管扫</w:t>
      </w:r>
      <w:r>
        <w:rPr>
          <w:sz w:val="18"/>
        </w:rPr>
        <w:t>描</w:t>
      </w:r>
      <w:r>
        <w:rPr>
          <w:spacing w:val="1"/>
          <w:sz w:val="18"/>
        </w:rPr>
        <w:t>等</w:t>
      </w:r>
      <w:r>
        <w:rPr>
          <w:sz w:val="18"/>
        </w:rPr>
        <w:t>检查，并且实施了胸腹切开的直视主动脉手术。</w:t>
      </w:r>
    </w:p>
    <w:p>
      <w:pPr>
        <w:pStyle w:val="BodyText"/>
        <w:spacing w:before="12"/>
        <w:rPr>
          <w:sz w:val="22"/>
        </w:rPr>
      </w:pPr>
    </w:p>
    <w:p>
      <w:pPr>
        <w:spacing w:after="0"/>
        <w:rPr>
          <w:sz w:val="22"/>
        </w:rPr>
        <w:sectPr>
          <w:pgSz w:w="11910" w:h="16840"/>
          <w:pgMar w:header="872" w:footer="977" w:top="1100" w:bottom="1160" w:left="1160" w:right="940"/>
        </w:sectPr>
      </w:pPr>
    </w:p>
    <w:p>
      <w:pPr>
        <w:pStyle w:val="Heading4"/>
        <w:numPr>
          <w:ilvl w:val="0"/>
          <w:numId w:val="20"/>
        </w:numPr>
        <w:tabs>
          <w:tab w:pos="600" w:val="left" w:leader="none"/>
        </w:tabs>
        <w:spacing w:line="240" w:lineRule="auto" w:before="0" w:after="0"/>
        <w:ind w:left="599" w:right="0" w:hanging="360"/>
        <w:jc w:val="left"/>
      </w:pPr>
      <w:r>
        <w:rPr>
          <w:spacing w:val="-12"/>
          <w:w w:val="110"/>
        </w:rPr>
        <w:t>严重 </w:t>
      </w:r>
      <w:r>
        <w:rPr>
          <w:w w:val="125"/>
        </w:rPr>
        <w:t>III</w:t>
      </w:r>
      <w:r>
        <w:rPr>
          <w:spacing w:val="-43"/>
          <w:w w:val="125"/>
        </w:rPr>
        <w:t> </w:t>
      </w:r>
      <w:r>
        <w:rPr>
          <w:w w:val="110"/>
        </w:rPr>
        <w:t>度房室传导阻滞</w:t>
      </w:r>
    </w:p>
    <w:p>
      <w:pPr>
        <w:pStyle w:val="BodyText"/>
        <w:spacing w:line="316" w:lineRule="auto" w:before="45"/>
        <w:ind w:left="175" w:right="216"/>
      </w:pPr>
      <w:r>
        <w:rPr/>
        <w:br w:type="column"/>
      </w:r>
      <w:r>
        <w:rPr/>
        <w:t>指心房激动在房室交界区、房室束及其分支内发生阻滞，不能正常地传到心室的心脏传导性疾病，须满足下列所有条件：</w:t>
      </w:r>
    </w:p>
    <w:p>
      <w:pPr>
        <w:pStyle w:val="ListParagraph"/>
        <w:numPr>
          <w:ilvl w:val="0"/>
          <w:numId w:val="25"/>
        </w:numPr>
        <w:tabs>
          <w:tab w:pos="596" w:val="left" w:leader="none"/>
        </w:tabs>
        <w:spacing w:line="240" w:lineRule="auto" w:before="19" w:after="0"/>
        <w:ind w:left="595" w:right="0" w:hanging="420"/>
        <w:jc w:val="left"/>
        <w:rPr>
          <w:sz w:val="18"/>
        </w:rPr>
      </w:pPr>
      <w:r>
        <w:rPr>
          <w:sz w:val="18"/>
        </w:rPr>
        <w:t>心电图显示房室搏动彼此独立，心室率&lt;40</w:t>
      </w:r>
      <w:r>
        <w:rPr>
          <w:spacing w:val="-22"/>
          <w:sz w:val="18"/>
        </w:rPr>
        <w:t> 次</w:t>
      </w:r>
      <w:r>
        <w:rPr>
          <w:sz w:val="18"/>
        </w:rPr>
        <w:t>/分钟；</w:t>
      </w:r>
    </w:p>
    <w:p>
      <w:pPr>
        <w:pStyle w:val="ListParagraph"/>
        <w:numPr>
          <w:ilvl w:val="0"/>
          <w:numId w:val="25"/>
        </w:numPr>
        <w:tabs>
          <w:tab w:pos="596" w:val="left" w:leader="none"/>
        </w:tabs>
        <w:spacing w:line="240" w:lineRule="auto" w:before="76" w:after="0"/>
        <w:ind w:left="595" w:right="0" w:hanging="420"/>
        <w:jc w:val="left"/>
        <w:rPr>
          <w:sz w:val="18"/>
        </w:rPr>
      </w:pPr>
      <w:r>
        <w:rPr>
          <w:spacing w:val="-5"/>
          <w:sz w:val="18"/>
        </w:rPr>
        <w:t>动态心电图显示至少 </w:t>
      </w:r>
      <w:r>
        <w:rPr>
          <w:sz w:val="18"/>
        </w:rPr>
        <w:t>3</w:t>
      </w:r>
      <w:r>
        <w:rPr>
          <w:spacing w:val="-1"/>
          <w:sz w:val="18"/>
        </w:rPr>
        <w:t> 秒的</w:t>
      </w:r>
      <w:r>
        <w:rPr>
          <w:sz w:val="18"/>
        </w:rPr>
        <w:t>RR</w:t>
      </w:r>
      <w:r>
        <w:rPr>
          <w:spacing w:val="-12"/>
          <w:sz w:val="18"/>
        </w:rPr>
        <w:t> 间期；</w:t>
      </w:r>
    </w:p>
    <w:p>
      <w:pPr>
        <w:pStyle w:val="ListParagraph"/>
        <w:numPr>
          <w:ilvl w:val="0"/>
          <w:numId w:val="25"/>
        </w:numPr>
        <w:tabs>
          <w:tab w:pos="596" w:val="left" w:leader="none"/>
        </w:tabs>
        <w:spacing w:line="240" w:lineRule="auto" w:before="76" w:after="0"/>
        <w:ind w:left="595" w:right="0" w:hanging="420"/>
        <w:jc w:val="left"/>
        <w:rPr>
          <w:sz w:val="18"/>
        </w:rPr>
      </w:pPr>
      <w:r>
        <w:rPr>
          <w:sz w:val="18"/>
        </w:rPr>
        <w:t>出现阿-斯综合征或心力衰竭的表现；</w:t>
      </w:r>
    </w:p>
    <w:p>
      <w:pPr>
        <w:pStyle w:val="ListParagraph"/>
        <w:numPr>
          <w:ilvl w:val="0"/>
          <w:numId w:val="25"/>
        </w:numPr>
        <w:tabs>
          <w:tab w:pos="596" w:val="left" w:leader="none"/>
        </w:tabs>
        <w:spacing w:line="240" w:lineRule="auto" w:before="76" w:after="0"/>
        <w:ind w:left="595" w:right="0" w:hanging="420"/>
        <w:jc w:val="left"/>
        <w:rPr>
          <w:sz w:val="18"/>
        </w:rPr>
      </w:pPr>
      <w:r>
        <w:rPr>
          <w:sz w:val="18"/>
        </w:rPr>
        <w:t>必须持续性依赖心脏起搏器维持心脏正常功能，且已经放置永久性心脏起搏器。</w:t>
      </w:r>
    </w:p>
    <w:p>
      <w:pPr>
        <w:spacing w:after="0" w:line="240" w:lineRule="auto"/>
        <w:jc w:val="left"/>
        <w:rPr>
          <w:sz w:val="18"/>
        </w:rPr>
        <w:sectPr>
          <w:type w:val="continuous"/>
          <w:pgSz w:w="11910" w:h="16840"/>
          <w:pgMar w:top="1060" w:bottom="1160" w:left="1160" w:right="940"/>
          <w:cols w:num="2" w:equalWidth="0">
            <w:col w:w="2460" w:space="40"/>
            <w:col w:w="7310"/>
          </w:cols>
        </w:sectPr>
      </w:pPr>
    </w:p>
    <w:p>
      <w:pPr>
        <w:pStyle w:val="BodyText"/>
        <w:spacing w:before="2"/>
        <w:rPr>
          <w:sz w:val="26"/>
        </w:rPr>
      </w:pPr>
    </w:p>
    <w:p>
      <w:pPr>
        <w:pStyle w:val="ListParagraph"/>
        <w:numPr>
          <w:ilvl w:val="0"/>
          <w:numId w:val="20"/>
        </w:numPr>
        <w:tabs>
          <w:tab w:pos="600" w:val="left" w:leader="none"/>
          <w:tab w:pos="2675" w:val="left" w:leader="none"/>
        </w:tabs>
        <w:spacing w:line="303" w:lineRule="exact" w:before="0" w:after="0"/>
        <w:ind w:left="2675" w:right="0" w:hanging="2436"/>
        <w:jc w:val="left"/>
        <w:rPr>
          <w:sz w:val="18"/>
        </w:rPr>
      </w:pPr>
      <w:r>
        <w:rPr>
          <w:rFonts w:ascii="微软雅黑" w:eastAsia="微软雅黑" w:hint="eastAsia"/>
          <w:b/>
          <w:sz w:val="18"/>
        </w:rPr>
        <w:t>严重传染性心内膜炎</w:t>
        <w:tab/>
      </w:r>
      <w:r>
        <w:rPr>
          <w:sz w:val="18"/>
        </w:rPr>
        <w:t>是指由感染性微生物引致的心脏内膜炎症，并须符合下</w:t>
      </w:r>
      <w:r>
        <w:rPr>
          <w:rFonts w:ascii="PMingLiU-ExtB" w:eastAsia="PMingLiU-ExtB"/>
          <w:position w:val="1"/>
          <w:sz w:val="18"/>
        </w:rPr>
        <w:t>列</w:t>
      </w:r>
      <w:r>
        <w:rPr>
          <w:sz w:val="18"/>
        </w:rPr>
        <w:t>所有准则：</w:t>
      </w:r>
    </w:p>
    <w:p>
      <w:pPr>
        <w:pStyle w:val="ListParagraph"/>
        <w:numPr>
          <w:ilvl w:val="1"/>
          <w:numId w:val="20"/>
        </w:numPr>
        <w:tabs>
          <w:tab w:pos="3096" w:val="left" w:leader="none"/>
        </w:tabs>
        <w:spacing w:line="240" w:lineRule="auto" w:before="54" w:after="0"/>
        <w:ind w:left="3095" w:right="0" w:hanging="420"/>
        <w:jc w:val="left"/>
        <w:rPr>
          <w:sz w:val="18"/>
        </w:rPr>
      </w:pPr>
      <w:r>
        <w:rPr>
          <w:sz w:val="18"/>
        </w:rPr>
        <w:t>血液培植结果呈阳性反应，证明存在感染病原体：</w:t>
      </w:r>
    </w:p>
    <w:p>
      <w:pPr>
        <w:pStyle w:val="BodyText"/>
        <w:tabs>
          <w:tab w:pos="3515" w:val="left" w:leader="none"/>
        </w:tabs>
        <w:spacing w:line="316" w:lineRule="auto" w:before="75"/>
        <w:ind w:left="3515" w:right="218" w:hanging="421"/>
      </w:pPr>
      <w:r>
        <w:rPr/>
        <w:t>①</w:t>
        <w:tab/>
      </w:r>
      <w:r>
        <w:rPr>
          <w:spacing w:val="-8"/>
        </w:rPr>
        <w:t>微生物：在赘生物、栓塞的赘生物或心脏内脓疡经培养或组织检查证实有微生 物；</w:t>
      </w:r>
    </w:p>
    <w:p>
      <w:pPr>
        <w:pStyle w:val="BodyText"/>
        <w:tabs>
          <w:tab w:pos="3515" w:val="left" w:leader="none"/>
        </w:tabs>
        <w:spacing w:before="18"/>
        <w:ind w:left="3095"/>
      </w:pPr>
      <w:r>
        <w:rPr/>
        <w:t>②</w:t>
        <w:tab/>
        <w:t>病理性病灶：组织病理学检查证实赘生物或心脏内脓疡有活动性心内膜炎；</w:t>
      </w:r>
    </w:p>
    <w:p>
      <w:pPr>
        <w:pStyle w:val="BodyText"/>
        <w:tabs>
          <w:tab w:pos="3515" w:val="left" w:leader="none"/>
        </w:tabs>
        <w:ind w:left="3095"/>
      </w:pPr>
      <w:r>
        <w:rPr/>
        <w:t>③</w:t>
        <w:tab/>
        <w:t>分别两次血液培养证实有典型的病原体且与心内膜炎吻合；</w:t>
      </w:r>
    </w:p>
    <w:p>
      <w:pPr>
        <w:pStyle w:val="BodyText"/>
        <w:tabs>
          <w:tab w:pos="3515" w:val="left" w:leader="none"/>
        </w:tabs>
        <w:ind w:left="3095"/>
      </w:pPr>
      <w:r>
        <w:rPr/>
        <w:t>④</w:t>
        <w:tab/>
        <w:t>持续血液培养证实有病原体阳性反应，且与心内膜炎吻合；</w:t>
      </w:r>
    </w:p>
    <w:p>
      <w:pPr>
        <w:pStyle w:val="ListParagraph"/>
        <w:numPr>
          <w:ilvl w:val="1"/>
          <w:numId w:val="20"/>
        </w:numPr>
        <w:tabs>
          <w:tab w:pos="3096" w:val="left" w:leader="none"/>
        </w:tabs>
        <w:spacing w:line="316" w:lineRule="auto" w:before="76" w:after="0"/>
        <w:ind w:left="3095" w:right="136" w:hanging="420"/>
        <w:jc w:val="left"/>
        <w:rPr>
          <w:sz w:val="18"/>
        </w:rPr>
      </w:pPr>
      <w:r>
        <w:rPr>
          <w:sz w:val="18"/>
        </w:rPr>
        <w:t>出现最少中度之心脏瓣膜功能不全（即返流部份达百分之二十或以上）或中度之心脏瓣膜狭窄（即心脏瓣面积为正常值的百分之三十或以下</w:t>
      </w:r>
      <w:r>
        <w:rPr>
          <w:spacing w:val="-92"/>
          <w:sz w:val="18"/>
        </w:rPr>
        <w:t>）</w:t>
      </w:r>
      <w:r>
        <w:rPr>
          <w:sz w:val="18"/>
        </w:rPr>
        <w:t>，导致传染性心内膜炎；</w:t>
      </w:r>
    </w:p>
    <w:p>
      <w:pPr>
        <w:pStyle w:val="ListParagraph"/>
        <w:numPr>
          <w:ilvl w:val="1"/>
          <w:numId w:val="20"/>
        </w:numPr>
        <w:tabs>
          <w:tab w:pos="3096" w:val="left" w:leader="none"/>
        </w:tabs>
        <w:spacing w:line="319" w:lineRule="auto" w:before="18" w:after="0"/>
        <w:ind w:left="3095" w:right="223" w:hanging="420"/>
        <w:jc w:val="left"/>
        <w:rPr>
          <w:sz w:val="18"/>
        </w:rPr>
      </w:pPr>
      <w:r>
        <w:rPr>
          <w:sz w:val="18"/>
        </w:rPr>
        <w:t>感染性心内膜炎的诊断及瓣膜受损的严重程度必须由</w:t>
      </w:r>
      <w:r>
        <w:rPr>
          <w:sz w:val="18"/>
          <w:shd w:fill="C0C0C0" w:color="auto" w:val="clear"/>
        </w:rPr>
        <w:t>本公司认可医院的心脏专科医</w:t>
      </w:r>
      <w:r>
        <w:rPr>
          <w:spacing w:val="-180"/>
          <w:sz w:val="18"/>
          <w:shd w:fill="C0C0C0" w:color="auto" w:val="clear"/>
        </w:rPr>
        <w:t>生</w:t>
      </w:r>
      <w:r>
        <w:rPr>
          <w:sz w:val="18"/>
        </w:rPr>
        <w:t>确定，并提供超声心动图或放射影像学检查结果报告以支持诊断。</w:t>
      </w:r>
    </w:p>
    <w:p>
      <w:pPr>
        <w:pStyle w:val="BodyText"/>
        <w:spacing w:before="0"/>
        <w:rPr>
          <w:sz w:val="21"/>
        </w:rPr>
      </w:pPr>
    </w:p>
    <w:p>
      <w:pPr>
        <w:pStyle w:val="ListParagraph"/>
        <w:numPr>
          <w:ilvl w:val="0"/>
          <w:numId w:val="20"/>
        </w:numPr>
        <w:tabs>
          <w:tab w:pos="600" w:val="left" w:leader="none"/>
        </w:tabs>
        <w:spacing w:line="297" w:lineRule="auto" w:before="0" w:after="0"/>
        <w:ind w:left="2675" w:right="216" w:hanging="2436"/>
        <w:jc w:val="both"/>
        <w:rPr>
          <w:sz w:val="18"/>
        </w:rPr>
      </w:pPr>
      <w:r>
        <w:rPr>
          <w:rFonts w:ascii="微软雅黑" w:eastAsia="微软雅黑" w:hint="eastAsia"/>
          <w:b/>
          <w:sz w:val="18"/>
        </w:rPr>
        <w:t>严重慢性缩窄型心包炎    </w:t>
      </w:r>
      <w:r>
        <w:rPr>
          <w:sz w:val="18"/>
        </w:rPr>
        <w:t>由于慢性心包炎症导致心包脏层和壁层广泛瘢痕粘连、增厚和钙化，心包腔闭塞，形成一个纤维瘢痕外壳，使心脏和大血管根部受压，阻碍心脏的舒张。被保险人被明确诊断为慢性缩窄性心包炎且必须满足下列全部条件：</w:t>
      </w:r>
    </w:p>
    <w:p>
      <w:pPr>
        <w:pStyle w:val="ListParagraph"/>
        <w:numPr>
          <w:ilvl w:val="1"/>
          <w:numId w:val="20"/>
        </w:numPr>
        <w:tabs>
          <w:tab w:pos="3096" w:val="left" w:leader="none"/>
        </w:tabs>
        <w:spacing w:line="240" w:lineRule="auto" w:before="33" w:after="0"/>
        <w:ind w:left="3095" w:right="0" w:hanging="420"/>
        <w:jc w:val="left"/>
        <w:rPr>
          <w:sz w:val="18"/>
        </w:rPr>
      </w:pPr>
      <w:r>
        <w:rPr>
          <w:spacing w:val="-2"/>
          <w:sz w:val="18"/>
        </w:rPr>
        <w:t>心功能衰竭达到美国纽约心脏病学会心功能状态分级 </w:t>
      </w:r>
      <w:r>
        <w:rPr>
          <w:sz w:val="18"/>
        </w:rPr>
        <w:t>IV</w:t>
      </w:r>
      <w:r>
        <w:rPr>
          <w:spacing w:val="-15"/>
          <w:sz w:val="18"/>
        </w:rPr>
        <w:t> 级，并持续 </w:t>
      </w:r>
      <w:r>
        <w:rPr>
          <w:sz w:val="18"/>
        </w:rPr>
        <w:t>180</w:t>
      </w:r>
      <w:r>
        <w:rPr>
          <w:spacing w:val="-10"/>
          <w:sz w:val="18"/>
        </w:rPr>
        <w:t> 天以上；</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已经接受了开胸进行的心包剥脱或心包切除手术。</w:t>
      </w:r>
    </w:p>
    <w:p>
      <w:pPr>
        <w:pStyle w:val="BodyText"/>
        <w:ind w:left="2675"/>
      </w:pPr>
      <w:r>
        <w:rPr>
          <w:shd w:fill="C0C0C0" w:color="auto" w:val="clear"/>
        </w:rPr>
        <w:t>经胸腔镜、胸壁打孔进行的手术、心包粘连松解手术不在保障范围内。</w:t>
      </w:r>
    </w:p>
    <w:p>
      <w:pPr>
        <w:pStyle w:val="BodyText"/>
        <w:spacing w:before="7"/>
        <w:rPr>
          <w:sz w:val="25"/>
        </w:rPr>
      </w:pPr>
    </w:p>
    <w:p>
      <w:pPr>
        <w:pStyle w:val="ListParagraph"/>
        <w:numPr>
          <w:ilvl w:val="0"/>
          <w:numId w:val="20"/>
        </w:numPr>
        <w:tabs>
          <w:tab w:pos="600" w:val="left" w:leader="none"/>
          <w:tab w:pos="2675" w:val="left" w:leader="none"/>
        </w:tabs>
        <w:spacing w:line="240" w:lineRule="auto" w:before="1" w:after="0"/>
        <w:ind w:left="2675" w:right="0" w:hanging="2436"/>
        <w:jc w:val="left"/>
        <w:rPr>
          <w:sz w:val="18"/>
        </w:rPr>
      </w:pPr>
      <w:r>
        <w:rPr>
          <w:rFonts w:ascii="微软雅黑" w:eastAsia="微软雅黑" w:hint="eastAsia"/>
          <w:b/>
          <w:sz w:val="18"/>
        </w:rPr>
        <w:t>脑动脉瘤开颅手术</w:t>
        <w:tab/>
      </w:r>
      <w:r>
        <w:rPr>
          <w:sz w:val="18"/>
        </w:rPr>
        <w:t>指确已进行开颅手术以夹闭、修复或切除脑动脉瘤。</w:t>
      </w:r>
      <w:r>
        <w:rPr>
          <w:sz w:val="18"/>
          <w:shd w:fill="C0C0C0" w:color="auto" w:val="clear"/>
        </w:rPr>
        <w:t>但不包括导管及血管内手术。</w:t>
      </w:r>
    </w:p>
    <w:p>
      <w:pPr>
        <w:pStyle w:val="BodyText"/>
        <w:spacing w:before="12"/>
        <w:rPr>
          <w:sz w:val="23"/>
        </w:rPr>
      </w:pPr>
    </w:p>
    <w:p>
      <w:pPr>
        <w:pStyle w:val="ListParagraph"/>
        <w:numPr>
          <w:ilvl w:val="0"/>
          <w:numId w:val="20"/>
        </w:numPr>
        <w:tabs>
          <w:tab w:pos="600" w:val="left" w:leader="none"/>
          <w:tab w:pos="2675" w:val="left" w:leader="none"/>
        </w:tabs>
        <w:spacing w:line="283" w:lineRule="auto" w:before="0" w:after="0"/>
        <w:ind w:left="2675" w:right="218" w:hanging="2436"/>
        <w:jc w:val="left"/>
        <w:rPr>
          <w:sz w:val="18"/>
        </w:rPr>
      </w:pPr>
      <w:r>
        <w:rPr>
          <w:rFonts w:ascii="微软雅黑" w:eastAsia="微软雅黑" w:hint="eastAsia"/>
          <w:b/>
          <w:sz w:val="18"/>
        </w:rPr>
        <w:t>结核性脊髓炎</w:t>
        <w:tab/>
      </w:r>
      <w:r>
        <w:rPr>
          <w:sz w:val="18"/>
        </w:rPr>
        <w:t>因结核杆菌引起的脊髓炎</w:t>
      </w:r>
      <w:r>
        <w:rPr>
          <w:spacing w:val="-53"/>
          <w:sz w:val="18"/>
        </w:rPr>
        <w:t>，</w:t>
      </w:r>
      <w:r>
        <w:rPr>
          <w:sz w:val="18"/>
        </w:rPr>
        <w:t>导致永久性神经系统功能中度障碍</w:t>
      </w:r>
      <w:r>
        <w:rPr>
          <w:spacing w:val="-53"/>
          <w:sz w:val="18"/>
        </w:rPr>
        <w:t>，</w:t>
      </w:r>
      <w:r>
        <w:rPr>
          <w:sz w:val="18"/>
        </w:rPr>
        <w:t>即</w:t>
      </w:r>
      <w:r>
        <w:rPr>
          <w:spacing w:val="-53"/>
          <w:sz w:val="18"/>
        </w:rPr>
        <w:t>：</w:t>
      </w:r>
      <w:r>
        <w:rPr>
          <w:sz w:val="18"/>
        </w:rPr>
        <w:t>疾病首次确诊</w:t>
      </w:r>
      <w:r>
        <w:rPr>
          <w:spacing w:val="-45"/>
          <w:sz w:val="18"/>
        </w:rPr>
        <w:t> </w:t>
      </w:r>
      <w:r>
        <w:rPr>
          <w:sz w:val="18"/>
        </w:rPr>
        <w:t>180</w:t>
      </w:r>
      <w:r>
        <w:rPr>
          <w:spacing w:val="0"/>
          <w:sz w:val="18"/>
        </w:rPr>
        <w:t> </w:t>
      </w:r>
      <w:r>
        <w:rPr>
          <w:sz w:val="18"/>
        </w:rPr>
        <w:t>天后，仍遗留下列一种或一种以上障碍：</w:t>
      </w:r>
    </w:p>
    <w:p>
      <w:pPr>
        <w:pStyle w:val="ListParagraph"/>
        <w:numPr>
          <w:ilvl w:val="1"/>
          <w:numId w:val="20"/>
        </w:numPr>
        <w:tabs>
          <w:tab w:pos="3096" w:val="left" w:leader="none"/>
        </w:tabs>
        <w:spacing w:line="240" w:lineRule="auto" w:before="44" w:after="0"/>
        <w:ind w:left="3095" w:right="0" w:hanging="420"/>
        <w:jc w:val="left"/>
        <w:rPr>
          <w:sz w:val="18"/>
        </w:rPr>
      </w:pPr>
      <w:r>
        <w:rPr>
          <w:sz w:val="18"/>
        </w:rPr>
        <w:t>一肢或一肢以上肢体肌力Ⅲ级或Ⅲ级以下的运动功能障碍；</w:t>
      </w:r>
    </w:p>
    <w:p>
      <w:pPr>
        <w:pStyle w:val="ListParagraph"/>
        <w:numPr>
          <w:ilvl w:val="1"/>
          <w:numId w:val="20"/>
        </w:numPr>
        <w:tabs>
          <w:tab w:pos="3096" w:val="left" w:leader="none"/>
        </w:tabs>
        <w:spacing w:line="240" w:lineRule="auto" w:before="76" w:after="0"/>
        <w:ind w:left="3095" w:right="0" w:hanging="420"/>
        <w:jc w:val="left"/>
        <w:rPr>
          <w:sz w:val="18"/>
        </w:rPr>
      </w:pPr>
      <w:r>
        <w:rPr>
          <w:spacing w:val="-8"/>
          <w:sz w:val="18"/>
        </w:rPr>
        <w:t>自主生活能力部分丧失，无法独立完成六项基本日常生活活动中的二项或二项以上。</w:t>
      </w:r>
    </w:p>
    <w:p>
      <w:pPr>
        <w:spacing w:after="0" w:line="240" w:lineRule="auto"/>
        <w:jc w:val="left"/>
        <w:rPr>
          <w:sz w:val="18"/>
        </w:rPr>
        <w:sectPr>
          <w:type w:val="continuous"/>
          <w:pgSz w:w="11910" w:h="16840"/>
          <w:pgMar w:top="1060" w:bottom="1160" w:left="1160" w:right="940"/>
        </w:sectPr>
      </w:pPr>
    </w:p>
    <w:p>
      <w:pPr>
        <w:pStyle w:val="BodyText"/>
        <w:spacing w:before="1"/>
        <w:rPr>
          <w:sz w:val="20"/>
        </w:rPr>
      </w:pPr>
    </w:p>
    <w:p>
      <w:pPr>
        <w:pStyle w:val="BodyText"/>
        <w:spacing w:line="316" w:lineRule="auto" w:before="45"/>
        <w:ind w:left="2675" w:right="216"/>
      </w:pPr>
      <w:r>
        <w:rPr/>
        <w:t>该诊断必须由</w:t>
      </w:r>
      <w:r>
        <w:rPr>
          <w:shd w:fill="C0C0C0" w:color="auto" w:val="clear"/>
        </w:rPr>
        <w:t>本公司认可医院的神经专科医生</w:t>
      </w:r>
      <w:r>
        <w:rPr/>
        <w:t>证实，并必须由适当的检查证明为结核性脊髓炎。</w:t>
      </w:r>
    </w:p>
    <w:p>
      <w:pPr>
        <w:pStyle w:val="BodyText"/>
        <w:spacing w:before="2"/>
        <w:rPr>
          <w:sz w:val="21"/>
        </w:rPr>
      </w:pPr>
    </w:p>
    <w:p>
      <w:pPr>
        <w:pStyle w:val="ListParagraph"/>
        <w:numPr>
          <w:ilvl w:val="0"/>
          <w:numId w:val="20"/>
        </w:numPr>
        <w:tabs>
          <w:tab w:pos="600" w:val="left" w:leader="none"/>
          <w:tab w:pos="2675" w:val="left" w:leader="none"/>
        </w:tabs>
        <w:spacing w:line="297" w:lineRule="auto" w:before="0" w:after="0"/>
        <w:ind w:left="2675" w:right="216" w:hanging="2436"/>
        <w:jc w:val="both"/>
        <w:rPr>
          <w:sz w:val="18"/>
        </w:rPr>
      </w:pPr>
      <w:r>
        <w:rPr>
          <w:rFonts w:ascii="微软雅黑" w:eastAsia="微软雅黑" w:hint="eastAsia"/>
          <w:b/>
          <w:sz w:val="18"/>
        </w:rPr>
        <w:t>库鲁病</w:t>
        <w:tab/>
      </w:r>
      <w:r>
        <w:rPr>
          <w:sz w:val="18"/>
        </w:rPr>
        <w:t>指一种亚急性传染性朊蛋白病。临床表现为共济失调、震颤、不自主运动，在病程晚期 出现进行性加重的痴呆，神经异常。该病必须由本公司指定或认可的医疗机构根据致病蛋白的发现而明确诊断。</w:t>
      </w:r>
    </w:p>
    <w:p>
      <w:pPr>
        <w:pStyle w:val="BodyText"/>
        <w:spacing w:before="12"/>
        <w:rPr>
          <w:sz w:val="22"/>
        </w:rPr>
      </w:pPr>
    </w:p>
    <w:p>
      <w:pPr>
        <w:spacing w:after="0"/>
        <w:rPr>
          <w:sz w:val="22"/>
        </w:rPr>
        <w:sectPr>
          <w:pgSz w:w="11910" w:h="16840"/>
          <w:pgMar w:header="872" w:footer="977" w:top="1100" w:bottom="1160" w:left="1160" w:right="940"/>
        </w:sectPr>
      </w:pPr>
    </w:p>
    <w:p>
      <w:pPr>
        <w:pStyle w:val="Heading4"/>
        <w:numPr>
          <w:ilvl w:val="0"/>
          <w:numId w:val="20"/>
        </w:numPr>
        <w:tabs>
          <w:tab w:pos="600" w:val="left" w:leader="none"/>
        </w:tabs>
        <w:spacing w:line="240" w:lineRule="auto" w:before="0" w:after="0"/>
        <w:ind w:left="599" w:right="0" w:hanging="360"/>
        <w:jc w:val="left"/>
      </w:pPr>
      <w:r>
        <w:rPr>
          <w:spacing w:val="2"/>
        </w:rPr>
        <w:t>经输血导致的人类免疫缺陷病毒感染</w:t>
      </w:r>
    </w:p>
    <w:p>
      <w:pPr>
        <w:pStyle w:val="BodyText"/>
        <w:spacing w:before="45"/>
        <w:ind w:left="175"/>
      </w:pPr>
      <w:r>
        <w:rPr/>
        <w:br w:type="column"/>
      </w:r>
      <w:r>
        <w:rPr/>
        <w:t>被保险人感染上人类免疫缺陷病毒（HIV）并且满足下列全部条件：</w:t>
      </w:r>
    </w:p>
    <w:p>
      <w:pPr>
        <w:pStyle w:val="ListParagraph"/>
        <w:numPr>
          <w:ilvl w:val="0"/>
          <w:numId w:val="26"/>
        </w:numPr>
        <w:tabs>
          <w:tab w:pos="596" w:val="left" w:leader="none"/>
        </w:tabs>
        <w:spacing w:line="240" w:lineRule="auto" w:before="76" w:after="0"/>
        <w:ind w:left="595" w:right="0" w:hanging="420"/>
        <w:jc w:val="left"/>
        <w:rPr>
          <w:sz w:val="18"/>
        </w:rPr>
      </w:pPr>
      <w:r>
        <w:rPr>
          <w:sz w:val="18"/>
        </w:rPr>
        <w:t>造成感染的输血事件发生在保单有效期内；</w:t>
      </w:r>
    </w:p>
    <w:p>
      <w:pPr>
        <w:pStyle w:val="ListParagraph"/>
        <w:numPr>
          <w:ilvl w:val="0"/>
          <w:numId w:val="26"/>
        </w:numPr>
        <w:tabs>
          <w:tab w:pos="596" w:val="left" w:leader="none"/>
        </w:tabs>
        <w:spacing w:line="316" w:lineRule="auto" w:before="76" w:after="0"/>
        <w:ind w:left="595" w:right="223" w:hanging="420"/>
        <w:jc w:val="left"/>
        <w:rPr>
          <w:sz w:val="18"/>
        </w:rPr>
      </w:pPr>
      <w:r>
        <w:rPr>
          <w:sz w:val="18"/>
        </w:rPr>
        <w:t>提供输血治疗的输血中心或医院出具该项输血感染属医疗责任事故的报告，或者法院终审裁定为医疗责任；</w:t>
      </w:r>
    </w:p>
    <w:p>
      <w:pPr>
        <w:pStyle w:val="ListParagraph"/>
        <w:numPr>
          <w:ilvl w:val="0"/>
          <w:numId w:val="26"/>
        </w:numPr>
        <w:tabs>
          <w:tab w:pos="596" w:val="left" w:leader="none"/>
        </w:tabs>
        <w:spacing w:line="240" w:lineRule="auto" w:before="19" w:after="0"/>
        <w:ind w:left="595" w:right="0" w:hanging="420"/>
        <w:jc w:val="left"/>
        <w:rPr>
          <w:sz w:val="18"/>
        </w:rPr>
      </w:pPr>
      <w:r>
        <w:rPr>
          <w:sz w:val="18"/>
        </w:rPr>
        <w:t>提供输血治疗的输血中心或医院必须拥有合法经营执照；</w:t>
      </w:r>
    </w:p>
    <w:p>
      <w:pPr>
        <w:pStyle w:val="ListParagraph"/>
        <w:numPr>
          <w:ilvl w:val="0"/>
          <w:numId w:val="26"/>
        </w:numPr>
        <w:tabs>
          <w:tab w:pos="596" w:val="left" w:leader="none"/>
        </w:tabs>
        <w:spacing w:line="240" w:lineRule="auto" w:before="76" w:after="0"/>
        <w:ind w:left="595" w:right="0" w:hanging="420"/>
        <w:jc w:val="left"/>
        <w:rPr>
          <w:sz w:val="18"/>
        </w:rPr>
      </w:pPr>
      <w:r>
        <w:rPr>
          <w:sz w:val="18"/>
        </w:rPr>
        <w:t>受感染的被保险人不是血友病患者。</w:t>
      </w:r>
    </w:p>
    <w:p>
      <w:pPr>
        <w:pStyle w:val="BodyText"/>
        <w:spacing w:line="319" w:lineRule="auto"/>
        <w:ind w:left="175" w:right="216"/>
      </w:pPr>
      <w:r>
        <w:rPr>
          <w:spacing w:val="-1"/>
          <w:shd w:fill="C0C0C0" w:color="auto" w:val="clear"/>
        </w:rPr>
        <w:t>在任何治愈艾滋病</w:t>
      </w:r>
      <w:r>
        <w:rPr>
          <w:shd w:fill="C0C0C0" w:color="auto" w:val="clear"/>
        </w:rPr>
        <w:t>（AIDS）</w:t>
      </w:r>
      <w:r>
        <w:rPr>
          <w:spacing w:val="-13"/>
          <w:shd w:fill="C0C0C0" w:color="auto" w:val="clear"/>
        </w:rPr>
        <w:t>或阻止 </w:t>
      </w:r>
      <w:r>
        <w:rPr>
          <w:shd w:fill="C0C0C0" w:color="auto" w:val="clear"/>
        </w:rPr>
        <w:t>HIV</w:t>
      </w:r>
      <w:r>
        <w:rPr>
          <w:spacing w:val="-10"/>
          <w:shd w:fill="C0C0C0" w:color="auto" w:val="clear"/>
        </w:rPr>
        <w:t> 病毒作用的疗法被发现以后，或能防止 </w:t>
      </w:r>
      <w:r>
        <w:rPr>
          <w:shd w:fill="C0C0C0" w:color="auto" w:val="clear"/>
        </w:rPr>
        <w:t>AIDS</w:t>
      </w:r>
      <w:r>
        <w:rPr>
          <w:spacing w:val="-16"/>
          <w:shd w:fill="C0C0C0" w:color="auto" w:val="clear"/>
        </w:rPr>
        <w:t> 发生的医疗方法被研究出来以后，本保障将不再予以赔付</w:t>
      </w:r>
      <w:r>
        <w:rPr>
          <w:spacing w:val="-180"/>
          <w:shd w:fill="C0C0C0" w:color="auto" w:val="clear"/>
        </w:rPr>
        <w:t>。</w:t>
      </w:r>
    </w:p>
    <w:p>
      <w:pPr>
        <w:pStyle w:val="BodyText"/>
        <w:spacing w:line="316" w:lineRule="auto" w:before="17"/>
        <w:ind w:left="175" w:right="216"/>
        <w:jc w:val="both"/>
      </w:pPr>
      <w:r>
        <w:rPr>
          <w:shd w:fill="C0C0C0" w:color="auto" w:val="clear"/>
        </w:rPr>
        <w:t>任何因其他传播方式（包括：性传播或静脉注射毒品）</w:t>
      </w:r>
      <w:r>
        <w:rPr>
          <w:spacing w:val="-3"/>
          <w:shd w:fill="C0C0C0" w:color="auto" w:val="clear"/>
        </w:rPr>
        <w:t>导致的 </w:t>
      </w:r>
      <w:r>
        <w:rPr>
          <w:shd w:fill="C0C0C0" w:color="auto" w:val="clear"/>
        </w:rPr>
        <w:t>HIV</w:t>
      </w:r>
      <w:r>
        <w:rPr>
          <w:spacing w:val="-3"/>
          <w:shd w:fill="C0C0C0" w:color="auto" w:val="clear"/>
        </w:rPr>
        <w:t> 感染不在本保单保障范围内。</w:t>
      </w:r>
      <w:r>
        <w:rPr>
          <w:spacing w:val="-3"/>
        </w:rPr>
        <w:t>保险公司必须拥有获得使用被保</w:t>
      </w:r>
      <w:r>
        <w:rPr>
          <w:spacing w:val="-14"/>
        </w:rPr>
        <w:t>险人的所有血液样本的权利和能够对这些样本进行独立检验的权利。</w:t>
      </w:r>
    </w:p>
    <w:p>
      <w:pPr>
        <w:pStyle w:val="BodyText"/>
        <w:spacing w:before="19"/>
        <w:ind w:left="175"/>
      </w:pPr>
      <w:r>
        <w:rPr/>
        <w:t>保单条款中一般除外责任中的 HIV 规定，不适用于本条。</w:t>
      </w:r>
    </w:p>
    <w:p>
      <w:pPr>
        <w:spacing w:after="0"/>
        <w:sectPr>
          <w:type w:val="continuous"/>
          <w:pgSz w:w="11910" w:h="16840"/>
          <w:pgMar w:top="1060" w:bottom="1160" w:left="1160" w:right="940"/>
          <w:cols w:num="2" w:equalWidth="0">
            <w:col w:w="2460" w:space="40"/>
            <w:col w:w="7310"/>
          </w:cols>
        </w:sectPr>
      </w:pPr>
    </w:p>
    <w:p>
      <w:pPr>
        <w:pStyle w:val="BodyText"/>
        <w:spacing w:before="3"/>
        <w:rPr>
          <w:sz w:val="26"/>
        </w:rPr>
      </w:pPr>
    </w:p>
    <w:p>
      <w:pPr>
        <w:pStyle w:val="ListParagraph"/>
        <w:numPr>
          <w:ilvl w:val="0"/>
          <w:numId w:val="20"/>
        </w:numPr>
        <w:tabs>
          <w:tab w:pos="600" w:val="left" w:leader="none"/>
          <w:tab w:pos="2675" w:val="left" w:leader="none"/>
        </w:tabs>
        <w:spacing w:line="312" w:lineRule="exact" w:before="6" w:after="0"/>
        <w:ind w:left="2675" w:right="216" w:hanging="2436"/>
        <w:jc w:val="both"/>
        <w:rPr>
          <w:sz w:val="18"/>
        </w:rPr>
      </w:pPr>
      <w:r>
        <w:rPr>
          <w:rFonts w:ascii="微软雅黑" w:eastAsia="微软雅黑" w:hint="eastAsia"/>
          <w:b/>
          <w:sz w:val="18"/>
        </w:rPr>
        <w:t>脊髓灰质炎</w:t>
        <w:tab/>
      </w:r>
      <w:r>
        <w:rPr>
          <w:sz w:val="18"/>
        </w:rPr>
        <w:t>脊髓灰质炎是由于脊髓灰质炎病毒感染所致的瘫痪性疾病，临床表现为运动功能损害或 呼吸无力。脊髓灰质炎必须明确诊断。</w:t>
      </w:r>
      <w:r>
        <w:rPr>
          <w:sz w:val="18"/>
          <w:shd w:fill="C0C0C0" w:color="auto" w:val="clear"/>
        </w:rPr>
        <w:t>本保单仅对脊髓灰质炎造成的神经系统功能损害</w:t>
      </w:r>
      <w:r>
        <w:rPr>
          <w:spacing w:val="-176"/>
          <w:sz w:val="18"/>
          <w:shd w:fill="C0C0C0" w:color="auto" w:val="clear"/>
        </w:rPr>
        <w:t>导</w:t>
      </w:r>
      <w:r>
        <w:rPr>
          <w:sz w:val="18"/>
          <w:shd w:fill="C0C0C0" w:color="auto" w:val="clear"/>
        </w:rPr>
        <w:t>致被保险人一肢或一肢以上肢体机能永久完全丧失的情况予以理赔</w:t>
      </w:r>
      <w:r>
        <w:rPr>
          <w:sz w:val="18"/>
        </w:rPr>
        <w:t>。肢体机能永久完 全丧失，指疾病确诊</w:t>
      </w:r>
      <w:r>
        <w:rPr>
          <w:spacing w:val="-11"/>
          <w:sz w:val="18"/>
        </w:rPr>
        <w:t> </w:t>
      </w:r>
      <w:r>
        <w:rPr>
          <w:sz w:val="18"/>
        </w:rPr>
        <w:t>180</w:t>
      </w:r>
      <w:r>
        <w:rPr>
          <w:spacing w:val="-10"/>
          <w:sz w:val="18"/>
        </w:rPr>
        <w:t> </w:t>
      </w:r>
      <w:r>
        <w:rPr>
          <w:sz w:val="18"/>
        </w:rPr>
        <w:t>天</w:t>
      </w:r>
      <w:r>
        <w:rPr>
          <w:spacing w:val="-3"/>
          <w:sz w:val="18"/>
        </w:rPr>
        <w:t>后</w:t>
      </w:r>
      <w:r>
        <w:rPr>
          <w:sz w:val="18"/>
        </w:rPr>
        <w:t>，每肢三大关节中的两大关节仍然完全僵硬，或不能随意识活动。</w:t>
      </w:r>
    </w:p>
    <w:p>
      <w:pPr>
        <w:pStyle w:val="BodyText"/>
        <w:spacing w:before="9"/>
        <w:rPr>
          <w:sz w:val="22"/>
        </w:rPr>
      </w:pPr>
    </w:p>
    <w:p>
      <w:pPr>
        <w:pStyle w:val="ListParagraph"/>
        <w:numPr>
          <w:ilvl w:val="0"/>
          <w:numId w:val="20"/>
        </w:numPr>
        <w:tabs>
          <w:tab w:pos="600" w:val="left" w:leader="none"/>
          <w:tab w:pos="2675" w:val="left" w:leader="none"/>
        </w:tabs>
        <w:spacing w:line="283" w:lineRule="auto" w:before="1" w:after="0"/>
        <w:ind w:left="2675" w:right="216" w:hanging="2436"/>
        <w:jc w:val="both"/>
        <w:rPr>
          <w:sz w:val="18"/>
        </w:rPr>
      </w:pPr>
      <w:r>
        <w:rPr>
          <w:rFonts w:ascii="微软雅黑" w:eastAsia="微软雅黑" w:hint="eastAsia"/>
          <w:b/>
          <w:sz w:val="18"/>
        </w:rPr>
        <w:t>坏死性筋膜炎</w:t>
        <w:tab/>
      </w:r>
      <w:r>
        <w:rPr>
          <w:sz w:val="18"/>
        </w:rPr>
        <w:t>是一种由细菌侵入皮下组织和筋膜引起的急性坏死性软组织感染，可伴有毒血症、败血 症、中毒性休克、弥漫性血管内凝血及多器官衰竭。必须满足以下所有条件：</w:t>
      </w:r>
    </w:p>
    <w:p>
      <w:pPr>
        <w:pStyle w:val="ListParagraph"/>
        <w:numPr>
          <w:ilvl w:val="1"/>
          <w:numId w:val="20"/>
        </w:numPr>
        <w:tabs>
          <w:tab w:pos="3096" w:val="left" w:leader="none"/>
        </w:tabs>
        <w:spacing w:line="240" w:lineRule="auto" w:before="44" w:after="0"/>
        <w:ind w:left="3095" w:right="0" w:hanging="420"/>
        <w:jc w:val="left"/>
        <w:rPr>
          <w:sz w:val="18"/>
        </w:rPr>
      </w:pPr>
      <w:r>
        <w:rPr>
          <w:sz w:val="18"/>
        </w:rPr>
        <w:t>细菌培养和临床表现符合坏死性筋膜炎诊断标准；</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病情迅速恶化，有脓毒血症表现；</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受感染肢体被截肢（自腕关节或踝关节近端</w:t>
      </w:r>
      <w:r>
        <w:rPr>
          <w:spacing w:val="-92"/>
          <w:sz w:val="18"/>
        </w:rPr>
        <w:t>）</w:t>
      </w:r>
      <w:r>
        <w:rPr>
          <w:sz w:val="18"/>
        </w:rPr>
        <w:t>。</w:t>
      </w:r>
    </w:p>
    <w:p>
      <w:pPr>
        <w:pStyle w:val="BodyText"/>
        <w:spacing w:before="7"/>
        <w:rPr>
          <w:sz w:val="25"/>
        </w:rPr>
      </w:pPr>
    </w:p>
    <w:p>
      <w:pPr>
        <w:pStyle w:val="ListParagraph"/>
        <w:numPr>
          <w:ilvl w:val="0"/>
          <w:numId w:val="20"/>
        </w:numPr>
        <w:tabs>
          <w:tab w:pos="600" w:val="left" w:leader="none"/>
          <w:tab w:pos="2675" w:val="left" w:leader="none"/>
        </w:tabs>
        <w:spacing w:line="283" w:lineRule="auto" w:before="1" w:after="0"/>
        <w:ind w:left="2675" w:right="129" w:hanging="2436"/>
        <w:jc w:val="both"/>
        <w:rPr>
          <w:sz w:val="18"/>
        </w:rPr>
      </w:pPr>
      <w:r>
        <w:rPr>
          <w:rFonts w:ascii="微软雅黑" w:eastAsia="微软雅黑" w:hint="eastAsia"/>
          <w:b/>
          <w:sz w:val="18"/>
        </w:rPr>
        <w:t>严重克隆病</w:t>
        <w:tab/>
      </w:r>
      <w:r>
        <w:rPr>
          <w:sz w:val="18"/>
        </w:rPr>
        <w:t>克隆病是一种慢性肉芽肿性肠炎，具有特征性的克隆病病理组织学变化。</w:t>
      </w:r>
      <w:r>
        <w:rPr>
          <w:sz w:val="18"/>
          <w:shd w:fill="C0C0C0" w:color="auto" w:val="clear"/>
        </w:rPr>
        <w:t>诊断必须由病 理检查结果证实</w:t>
      </w:r>
      <w:r>
        <w:rPr>
          <w:spacing w:val="-22"/>
          <w:sz w:val="18"/>
          <w:shd w:fill="C0C0C0" w:color="auto" w:val="clear"/>
        </w:rPr>
        <w:t>。</w:t>
      </w:r>
      <w:r>
        <w:rPr>
          <w:sz w:val="18"/>
        </w:rPr>
        <w:t>被保险人所患的克隆病必须已经造成瘘管形成并伴有肠梗阻或肠穿孔。</w:t>
      </w:r>
    </w:p>
    <w:p>
      <w:pPr>
        <w:pStyle w:val="BodyText"/>
        <w:spacing w:before="1"/>
        <w:rPr>
          <w:sz w:val="23"/>
        </w:rPr>
      </w:pPr>
    </w:p>
    <w:p>
      <w:pPr>
        <w:pStyle w:val="ListParagraph"/>
        <w:numPr>
          <w:ilvl w:val="0"/>
          <w:numId w:val="20"/>
        </w:numPr>
        <w:tabs>
          <w:tab w:pos="600" w:val="left" w:leader="none"/>
          <w:tab w:pos="2675" w:val="left" w:leader="none"/>
        </w:tabs>
        <w:spacing w:line="297" w:lineRule="auto" w:before="0" w:after="0"/>
        <w:ind w:left="2675" w:right="127" w:hanging="2436"/>
        <w:jc w:val="both"/>
        <w:rPr>
          <w:sz w:val="18"/>
        </w:rPr>
      </w:pPr>
      <w:r>
        <w:rPr>
          <w:rFonts w:ascii="微软雅黑" w:eastAsia="微软雅黑" w:hint="eastAsia"/>
          <w:b/>
          <w:sz w:val="18"/>
        </w:rPr>
        <w:t>肺孢子菌肺炎</w:t>
        <w:tab/>
      </w:r>
      <w:r>
        <w:rPr>
          <w:sz w:val="18"/>
        </w:rPr>
        <w:t>指由肺孢子菌引起的间质性浆细胞性肺炎</w:t>
      </w:r>
      <w:r>
        <w:rPr>
          <w:spacing w:val="-10"/>
          <w:sz w:val="18"/>
        </w:rPr>
        <w:t>。</w:t>
      </w:r>
      <w:r>
        <w:rPr>
          <w:sz w:val="18"/>
        </w:rPr>
        <w:t>并须满足下列全部条件</w:t>
      </w:r>
      <w:r>
        <w:rPr>
          <w:spacing w:val="-3"/>
          <w:sz w:val="18"/>
        </w:rPr>
        <w:t>：(1)</w:t>
      </w:r>
      <w:r>
        <w:rPr>
          <w:sz w:val="18"/>
        </w:rPr>
        <w:t>第一秒末用力呼 气量（FEV1）小于</w:t>
      </w:r>
      <w:r>
        <w:rPr>
          <w:spacing w:val="-38"/>
          <w:sz w:val="18"/>
        </w:rPr>
        <w:t> </w:t>
      </w:r>
      <w:r>
        <w:rPr>
          <w:sz w:val="18"/>
        </w:rPr>
        <w:t>1</w:t>
      </w:r>
      <w:r>
        <w:rPr>
          <w:spacing w:val="-36"/>
          <w:sz w:val="18"/>
        </w:rPr>
        <w:t> </w:t>
      </w:r>
      <w:r>
        <w:rPr>
          <w:sz w:val="18"/>
        </w:rPr>
        <w:t>升；(2)</w:t>
      </w:r>
      <w:r>
        <w:rPr>
          <w:spacing w:val="-3"/>
          <w:sz w:val="18"/>
        </w:rPr>
        <w:t>气</w:t>
      </w:r>
      <w:r>
        <w:rPr>
          <w:sz w:val="18"/>
        </w:rPr>
        <w:t>道内阻力增加，至少达到</w:t>
      </w:r>
      <w:r>
        <w:rPr>
          <w:spacing w:val="-38"/>
          <w:sz w:val="18"/>
        </w:rPr>
        <w:t> </w:t>
      </w:r>
      <w:r>
        <w:rPr>
          <w:sz w:val="18"/>
        </w:rPr>
        <w:t>0.5kPa/l/s；(3)残气容积占肺总量</w:t>
      </w:r>
      <w:r>
        <w:rPr>
          <w:spacing w:val="0"/>
          <w:sz w:val="18"/>
        </w:rPr>
        <w:t>(T</w:t>
      </w:r>
      <w:r>
        <w:rPr>
          <w:sz w:val="18"/>
        </w:rPr>
        <w:t>LC</w:t>
      </w:r>
      <w:r>
        <w:rPr>
          <w:spacing w:val="0"/>
          <w:sz w:val="18"/>
        </w:rPr>
        <w:t>)</w:t>
      </w:r>
      <w:r>
        <w:rPr>
          <w:spacing w:val="30"/>
          <w:sz w:val="18"/>
        </w:rPr>
        <w:t>的</w:t>
      </w:r>
      <w:r>
        <w:rPr>
          <w:spacing w:val="0"/>
          <w:sz w:val="18"/>
        </w:rPr>
        <w:t>6</w:t>
      </w:r>
      <w:r>
        <w:rPr>
          <w:sz w:val="18"/>
        </w:rPr>
        <w:t>0</w:t>
      </w:r>
      <w:r>
        <w:rPr>
          <w:spacing w:val="-1"/>
          <w:sz w:val="18"/>
        </w:rPr>
        <w:t>%</w:t>
      </w:r>
      <w:r>
        <w:rPr>
          <w:sz w:val="18"/>
        </w:rPr>
        <w:t>以上</w:t>
      </w:r>
      <w:r>
        <w:rPr>
          <w:spacing w:val="-92"/>
          <w:sz w:val="18"/>
        </w:rPr>
        <w:t>；</w:t>
      </w:r>
      <w:r>
        <w:rPr>
          <w:spacing w:val="0"/>
          <w:sz w:val="18"/>
        </w:rPr>
        <w:t>(</w:t>
      </w:r>
      <w:r>
        <w:rPr>
          <w:sz w:val="18"/>
        </w:rPr>
        <w:t>4</w:t>
      </w:r>
      <w:r>
        <w:rPr>
          <w:spacing w:val="-1"/>
          <w:sz w:val="18"/>
        </w:rPr>
        <w:t>)</w:t>
      </w:r>
      <w:r>
        <w:rPr>
          <w:sz w:val="18"/>
        </w:rPr>
        <w:t>胸</w:t>
      </w:r>
      <w:r>
        <w:rPr>
          <w:spacing w:val="-3"/>
          <w:sz w:val="18"/>
        </w:rPr>
        <w:t>内</w:t>
      </w:r>
      <w:r>
        <w:rPr>
          <w:sz w:val="18"/>
        </w:rPr>
        <w:t>气体容积升高</w:t>
      </w:r>
      <w:r>
        <w:rPr>
          <w:spacing w:val="-92"/>
          <w:sz w:val="18"/>
        </w:rPr>
        <w:t>，</w:t>
      </w:r>
      <w:r>
        <w:rPr>
          <w:sz w:val="18"/>
        </w:rPr>
        <w:t>超过</w:t>
      </w:r>
      <w:r>
        <w:rPr>
          <w:spacing w:val="-57"/>
          <w:sz w:val="18"/>
        </w:rPr>
        <w:t> </w:t>
      </w:r>
      <w:r>
        <w:rPr>
          <w:spacing w:val="0"/>
          <w:sz w:val="18"/>
        </w:rPr>
        <w:t>170(</w:t>
      </w:r>
      <w:r>
        <w:rPr>
          <w:sz w:val="18"/>
        </w:rPr>
        <w:t>基</w:t>
      </w:r>
      <w:r>
        <w:rPr>
          <w:spacing w:val="-3"/>
          <w:sz w:val="18"/>
        </w:rPr>
        <w:t>值</w:t>
      </w:r>
      <w:r>
        <w:rPr>
          <w:sz w:val="18"/>
        </w:rPr>
        <w:t>的百分比</w:t>
      </w:r>
      <w:r>
        <w:rPr>
          <w:spacing w:val="0"/>
          <w:sz w:val="18"/>
        </w:rPr>
        <w:t>)</w:t>
      </w:r>
      <w:r>
        <w:rPr>
          <w:spacing w:val="-92"/>
          <w:sz w:val="18"/>
        </w:rPr>
        <w:t>；</w:t>
      </w:r>
      <w:r>
        <w:rPr>
          <w:spacing w:val="0"/>
          <w:sz w:val="18"/>
        </w:rPr>
        <w:t>(5</w:t>
      </w:r>
      <w:r>
        <w:rPr>
          <w:sz w:val="18"/>
        </w:rPr>
        <w:t>)PaO2&lt;60mmH</w:t>
      </w:r>
      <w:r>
        <w:rPr>
          <w:spacing w:val="-1"/>
          <w:sz w:val="18"/>
        </w:rPr>
        <w:t>g</w:t>
      </w:r>
      <w:r>
        <w:rPr>
          <w:sz w:val="18"/>
        </w:rPr>
        <w:t>，</w:t>
      </w:r>
    </w:p>
    <w:p>
      <w:pPr>
        <w:pStyle w:val="BodyText"/>
        <w:spacing w:before="32"/>
        <w:ind w:left="2675"/>
      </w:pPr>
      <w:r>
        <w:rPr/>
        <w:t>PaCO2&gt;50mmHg。</w:t>
      </w:r>
      <w:r>
        <w:rPr>
          <w:shd w:fill="C0C0C0" w:color="auto" w:val="clear"/>
        </w:rPr>
        <w:t>感染艾滋病病毒或患艾滋病期间所患肺孢子菌肺炎不在保障范围内。</w:t>
      </w:r>
    </w:p>
    <w:p>
      <w:pPr>
        <w:pStyle w:val="BodyText"/>
        <w:spacing w:before="6"/>
        <w:rPr>
          <w:sz w:val="25"/>
        </w:rPr>
      </w:pPr>
    </w:p>
    <w:p>
      <w:pPr>
        <w:pStyle w:val="ListParagraph"/>
        <w:numPr>
          <w:ilvl w:val="0"/>
          <w:numId w:val="20"/>
        </w:numPr>
        <w:tabs>
          <w:tab w:pos="600" w:val="left" w:leader="none"/>
          <w:tab w:pos="2675" w:val="left" w:leader="none"/>
        </w:tabs>
        <w:spacing w:line="297" w:lineRule="auto" w:before="1" w:after="0"/>
        <w:ind w:left="2675" w:right="216" w:hanging="2436"/>
        <w:jc w:val="both"/>
        <w:rPr>
          <w:sz w:val="18"/>
        </w:rPr>
      </w:pPr>
      <w:r>
        <w:rPr>
          <w:rFonts w:ascii="微软雅黑" w:eastAsia="微软雅黑" w:hint="eastAsia"/>
          <w:b/>
          <w:sz w:val="18"/>
        </w:rPr>
        <w:t>严重溃疡性结肠炎</w:t>
        <w:tab/>
      </w:r>
      <w:r>
        <w:rPr>
          <w:sz w:val="18"/>
        </w:rPr>
        <w:t>指伴有致命性电解质紊乱的急性暴发性溃疡性结肠炎，病变累及全结肠，表现为严重的 血便和系统性症状体征，治疗通常采取全结肠切除和回肠造瘘术。溃疡性结肠炎必须根据组织病理学特点诊断，并且被保险人已经接受了结肠切除和回肠造瘘术。</w:t>
      </w:r>
    </w:p>
    <w:p>
      <w:pPr>
        <w:spacing w:after="0" w:line="297" w:lineRule="auto"/>
        <w:jc w:val="both"/>
        <w:rPr>
          <w:sz w:val="18"/>
        </w:rPr>
        <w:sectPr>
          <w:type w:val="continuous"/>
          <w:pgSz w:w="11910" w:h="16840"/>
          <w:pgMar w:top="1060" w:bottom="1160" w:left="1160" w:right="940"/>
        </w:sectPr>
      </w:pPr>
    </w:p>
    <w:p>
      <w:pPr>
        <w:pStyle w:val="BodyText"/>
        <w:spacing w:before="1"/>
        <w:rPr>
          <w:sz w:val="20"/>
        </w:rPr>
      </w:pPr>
    </w:p>
    <w:p>
      <w:pPr>
        <w:spacing w:after="0"/>
        <w:rPr>
          <w:sz w:val="20"/>
        </w:rPr>
        <w:sectPr>
          <w:pgSz w:w="11910" w:h="16840"/>
          <w:pgMar w:header="872" w:footer="977" w:top="1100" w:bottom="1160" w:left="1160" w:right="940"/>
        </w:sectPr>
      </w:pPr>
    </w:p>
    <w:p>
      <w:pPr>
        <w:pStyle w:val="Heading4"/>
        <w:numPr>
          <w:ilvl w:val="0"/>
          <w:numId w:val="20"/>
        </w:numPr>
        <w:tabs>
          <w:tab w:pos="600" w:val="left" w:leader="none"/>
        </w:tabs>
        <w:spacing w:line="240" w:lineRule="auto" w:before="0" w:after="0"/>
        <w:ind w:left="599" w:right="0" w:hanging="360"/>
        <w:jc w:val="left"/>
      </w:pPr>
      <w:r>
        <w:rPr>
          <w:spacing w:val="2"/>
        </w:rPr>
        <w:t>因职业关系导致的人类免疫缺陷病毒感染</w:t>
      </w:r>
    </w:p>
    <w:p>
      <w:pPr>
        <w:pStyle w:val="BodyText"/>
        <w:spacing w:line="316" w:lineRule="auto" w:before="110"/>
        <w:ind w:left="175" w:right="216"/>
      </w:pPr>
      <w:r>
        <w:rPr/>
        <w:br w:type="column"/>
      </w:r>
      <w:r>
        <w:rPr/>
        <w:t>被保险人在其常规职业工作过程中遭遇外伤，或者职业需要处理血液或者其他体液时感染上人类免疫缺陷病毒（</w:t>
      </w:r>
      <w:r>
        <w:rPr>
          <w:spacing w:val="0"/>
        </w:rPr>
        <w:t>HIV</w:t>
      </w:r>
      <w:r>
        <w:rPr>
          <w:spacing w:val="-94"/>
        </w:rPr>
        <w:t>）</w:t>
      </w:r>
      <w:r>
        <w:rPr/>
        <w:t>。须满足下列全部条件：</w:t>
      </w:r>
    </w:p>
    <w:p>
      <w:pPr>
        <w:pStyle w:val="ListParagraph"/>
        <w:numPr>
          <w:ilvl w:val="0"/>
          <w:numId w:val="27"/>
        </w:numPr>
        <w:tabs>
          <w:tab w:pos="596" w:val="left" w:leader="none"/>
        </w:tabs>
        <w:spacing w:line="316" w:lineRule="auto" w:before="18" w:after="0"/>
        <w:ind w:left="595" w:right="223" w:hanging="420"/>
        <w:jc w:val="left"/>
        <w:rPr>
          <w:sz w:val="18"/>
        </w:rPr>
      </w:pPr>
      <w:r>
        <w:rPr>
          <w:sz w:val="18"/>
          <w:shd w:fill="C0C0C0" w:color="auto" w:val="clear"/>
        </w:rPr>
        <w:t>感染必须是在被保险人正在从事其职业工作中发生，该职业必须属于以下列表内的职业；</w:t>
      </w:r>
    </w:p>
    <w:p>
      <w:pPr>
        <w:pStyle w:val="ListParagraph"/>
        <w:numPr>
          <w:ilvl w:val="0"/>
          <w:numId w:val="27"/>
        </w:numPr>
        <w:tabs>
          <w:tab w:pos="596" w:val="left" w:leader="none"/>
        </w:tabs>
        <w:spacing w:line="319" w:lineRule="auto" w:before="18" w:after="0"/>
        <w:ind w:left="595" w:right="218" w:hanging="420"/>
        <w:jc w:val="left"/>
        <w:rPr>
          <w:sz w:val="18"/>
        </w:rPr>
      </w:pPr>
      <w:r>
        <w:rPr>
          <w:spacing w:val="-3"/>
          <w:sz w:val="18"/>
        </w:rPr>
        <w:t>必须提供被保险人在所报事故发生后的 </w:t>
      </w:r>
      <w:r>
        <w:rPr>
          <w:sz w:val="18"/>
        </w:rPr>
        <w:t>5</w:t>
      </w:r>
      <w:r>
        <w:rPr>
          <w:spacing w:val="-7"/>
          <w:sz w:val="18"/>
        </w:rPr>
        <w:t> 天以内进行的检查报告，该报告必须显示</w:t>
      </w:r>
      <w:r>
        <w:rPr>
          <w:spacing w:val="-6"/>
          <w:sz w:val="18"/>
        </w:rPr>
        <w:t>被保险人血液 </w:t>
      </w:r>
      <w:r>
        <w:rPr>
          <w:sz w:val="18"/>
        </w:rPr>
        <w:t>HIV</w:t>
      </w:r>
      <w:r>
        <w:rPr>
          <w:spacing w:val="-1"/>
          <w:sz w:val="18"/>
        </w:rPr>
        <w:t> 病毒阴性和</w:t>
      </w:r>
      <w:r>
        <w:rPr>
          <w:sz w:val="18"/>
        </w:rPr>
        <w:t>/</w:t>
      </w:r>
      <w:r>
        <w:rPr>
          <w:spacing w:val="-23"/>
          <w:sz w:val="18"/>
        </w:rPr>
        <w:t>或 </w:t>
      </w:r>
      <w:r>
        <w:rPr>
          <w:sz w:val="18"/>
        </w:rPr>
        <w:t>HIV</w:t>
      </w:r>
      <w:r>
        <w:rPr>
          <w:spacing w:val="-9"/>
          <w:sz w:val="18"/>
        </w:rPr>
        <w:t> 抗体阴性；</w:t>
      </w:r>
    </w:p>
    <w:p>
      <w:pPr>
        <w:pStyle w:val="ListParagraph"/>
        <w:numPr>
          <w:ilvl w:val="0"/>
          <w:numId w:val="27"/>
        </w:numPr>
        <w:tabs>
          <w:tab w:pos="596" w:val="left" w:leader="none"/>
        </w:tabs>
        <w:spacing w:line="316" w:lineRule="auto" w:before="17" w:after="0"/>
        <w:ind w:left="595" w:right="218" w:hanging="420"/>
        <w:jc w:val="left"/>
        <w:rPr>
          <w:sz w:val="18"/>
        </w:rPr>
      </w:pPr>
      <w:r>
        <w:rPr>
          <w:spacing w:val="-5"/>
          <w:sz w:val="18"/>
        </w:rPr>
        <w:t>必须在事故发生后的 </w:t>
      </w:r>
      <w:r>
        <w:rPr>
          <w:sz w:val="18"/>
        </w:rPr>
        <w:t>6</w:t>
      </w:r>
      <w:r>
        <w:rPr>
          <w:spacing w:val="-10"/>
          <w:sz w:val="18"/>
        </w:rPr>
        <w:t> 个月内证实被保险人体内存在 </w:t>
      </w:r>
      <w:r>
        <w:rPr>
          <w:sz w:val="18"/>
        </w:rPr>
        <w:t>HIV</w:t>
      </w:r>
      <w:r>
        <w:rPr>
          <w:spacing w:val="-16"/>
          <w:sz w:val="18"/>
        </w:rPr>
        <w:t> 病毒或者 </w:t>
      </w:r>
      <w:r>
        <w:rPr>
          <w:sz w:val="18"/>
        </w:rPr>
        <w:t>HIV</w:t>
      </w:r>
      <w:r>
        <w:rPr>
          <w:spacing w:val="-9"/>
          <w:sz w:val="18"/>
        </w:rPr>
        <w:t> 抗体，即血</w:t>
      </w:r>
      <w:r>
        <w:rPr>
          <w:spacing w:val="-4"/>
          <w:sz w:val="18"/>
        </w:rPr>
        <w:t>液 </w:t>
      </w:r>
      <w:r>
        <w:rPr>
          <w:sz w:val="18"/>
        </w:rPr>
        <w:t>HIV</w:t>
      </w:r>
      <w:r>
        <w:rPr>
          <w:spacing w:val="-1"/>
          <w:sz w:val="18"/>
        </w:rPr>
        <w:t> 病毒阳性和</w:t>
      </w:r>
      <w:r>
        <w:rPr>
          <w:sz w:val="18"/>
        </w:rPr>
        <w:t>/</w:t>
      </w:r>
      <w:r>
        <w:rPr>
          <w:spacing w:val="41"/>
          <w:sz w:val="18"/>
        </w:rPr>
        <w:t>或</w:t>
      </w:r>
      <w:r>
        <w:rPr>
          <w:sz w:val="18"/>
        </w:rPr>
        <w:t>HIV</w:t>
      </w:r>
      <w:r>
        <w:rPr>
          <w:spacing w:val="-9"/>
          <w:sz w:val="18"/>
        </w:rPr>
        <w:t> 抗体阳性。</w:t>
      </w:r>
    </w:p>
    <w:p>
      <w:pPr>
        <w:pStyle w:val="BodyText"/>
        <w:spacing w:before="19"/>
        <w:ind w:left="175"/>
      </w:pPr>
      <w:r>
        <w:rPr/>
        <w:t>职业限制如下所示:</w:t>
      </w:r>
    </w:p>
    <w:p>
      <w:pPr>
        <w:spacing w:after="0"/>
        <w:sectPr>
          <w:type w:val="continuous"/>
          <w:pgSz w:w="11910" w:h="16840"/>
          <w:pgMar w:top="1060" w:bottom="1160" w:left="1160" w:right="940"/>
          <w:cols w:num="2" w:equalWidth="0">
            <w:col w:w="2460" w:space="40"/>
            <w:col w:w="7310"/>
          </w:cols>
        </w:sectPr>
      </w:pPr>
    </w:p>
    <w:p>
      <w:pPr>
        <w:pStyle w:val="BodyText"/>
        <w:spacing w:before="2"/>
        <w:rPr>
          <w:sz w:val="5"/>
        </w:rPr>
      </w:pPr>
    </w:p>
    <w:tbl>
      <w:tblPr>
        <w:tblW w:w="0" w:type="auto"/>
        <w:jc w:val="left"/>
        <w:tblInd w:w="2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0"/>
        <w:gridCol w:w="2424"/>
      </w:tblGrid>
      <w:tr>
        <w:trPr>
          <w:trHeight w:val="318" w:hRule="atLeast"/>
        </w:trPr>
        <w:tc>
          <w:tcPr>
            <w:tcW w:w="2400" w:type="dxa"/>
          </w:tcPr>
          <w:p>
            <w:pPr>
              <w:pStyle w:val="TableParagraph"/>
              <w:spacing w:before="8"/>
              <w:ind w:left="105"/>
              <w:rPr>
                <w:sz w:val="18"/>
              </w:rPr>
            </w:pPr>
            <w:r>
              <w:rPr>
                <w:sz w:val="18"/>
                <w:shd w:fill="C0C0C0" w:color="auto" w:val="clear"/>
              </w:rPr>
              <w:t>医生</w:t>
            </w:r>
          </w:p>
        </w:tc>
        <w:tc>
          <w:tcPr>
            <w:tcW w:w="2424" w:type="dxa"/>
          </w:tcPr>
          <w:p>
            <w:pPr>
              <w:pStyle w:val="TableParagraph"/>
              <w:spacing w:before="8"/>
              <w:ind w:left="107"/>
              <w:rPr>
                <w:sz w:val="18"/>
              </w:rPr>
            </w:pPr>
            <w:r>
              <w:rPr>
                <w:sz w:val="18"/>
                <w:shd w:fill="C0C0C0" w:color="auto" w:val="clear"/>
              </w:rPr>
              <w:t>护士</w:t>
            </w:r>
          </w:p>
        </w:tc>
      </w:tr>
      <w:tr>
        <w:trPr>
          <w:trHeight w:val="316" w:hRule="atLeast"/>
        </w:trPr>
        <w:tc>
          <w:tcPr>
            <w:tcW w:w="2400" w:type="dxa"/>
          </w:tcPr>
          <w:p>
            <w:pPr>
              <w:pStyle w:val="TableParagraph"/>
              <w:spacing w:before="8"/>
              <w:ind w:left="105"/>
              <w:rPr>
                <w:sz w:val="18"/>
              </w:rPr>
            </w:pPr>
            <w:r>
              <w:rPr>
                <w:sz w:val="18"/>
                <w:shd w:fill="C0C0C0" w:color="auto" w:val="clear"/>
              </w:rPr>
              <w:t>医疗机构实验室工作人员</w:t>
            </w:r>
          </w:p>
        </w:tc>
        <w:tc>
          <w:tcPr>
            <w:tcW w:w="2424" w:type="dxa"/>
          </w:tcPr>
          <w:p>
            <w:pPr>
              <w:pStyle w:val="TableParagraph"/>
              <w:spacing w:before="8"/>
              <w:ind w:left="107"/>
              <w:rPr>
                <w:sz w:val="18"/>
              </w:rPr>
            </w:pPr>
            <w:r>
              <w:rPr>
                <w:sz w:val="18"/>
                <w:shd w:fill="C0C0C0" w:color="auto" w:val="clear"/>
              </w:rPr>
              <w:t>医院护工</w:t>
            </w:r>
          </w:p>
        </w:tc>
      </w:tr>
      <w:tr>
        <w:trPr>
          <w:trHeight w:val="318" w:hRule="atLeast"/>
        </w:trPr>
        <w:tc>
          <w:tcPr>
            <w:tcW w:w="2400" w:type="dxa"/>
          </w:tcPr>
          <w:p>
            <w:pPr>
              <w:pStyle w:val="TableParagraph"/>
              <w:spacing w:before="10"/>
              <w:ind w:left="105"/>
              <w:rPr>
                <w:sz w:val="18"/>
              </w:rPr>
            </w:pPr>
            <w:r>
              <w:rPr>
                <w:sz w:val="18"/>
                <w:shd w:fill="C0C0C0" w:color="auto" w:val="clear"/>
              </w:rPr>
              <w:t>助产士</w:t>
            </w:r>
          </w:p>
        </w:tc>
        <w:tc>
          <w:tcPr>
            <w:tcW w:w="2424" w:type="dxa"/>
          </w:tcPr>
          <w:p>
            <w:pPr>
              <w:pStyle w:val="TableParagraph"/>
              <w:spacing w:before="10"/>
              <w:ind w:left="107"/>
              <w:rPr>
                <w:sz w:val="18"/>
              </w:rPr>
            </w:pPr>
            <w:r>
              <w:rPr>
                <w:sz w:val="18"/>
                <w:shd w:fill="C0C0C0" w:color="auto" w:val="clear"/>
              </w:rPr>
              <w:t>救护车工作人员</w:t>
            </w:r>
          </w:p>
        </w:tc>
      </w:tr>
      <w:tr>
        <w:trPr>
          <w:trHeight w:val="318" w:hRule="atLeast"/>
        </w:trPr>
        <w:tc>
          <w:tcPr>
            <w:tcW w:w="2400" w:type="dxa"/>
          </w:tcPr>
          <w:p>
            <w:pPr>
              <w:pStyle w:val="TableParagraph"/>
              <w:spacing w:before="8"/>
              <w:ind w:left="105"/>
              <w:rPr>
                <w:sz w:val="18"/>
              </w:rPr>
            </w:pPr>
            <w:r>
              <w:rPr>
                <w:sz w:val="18"/>
                <w:shd w:fill="C0C0C0" w:color="auto" w:val="clear"/>
              </w:rPr>
              <w:t>警察</w:t>
            </w:r>
          </w:p>
        </w:tc>
        <w:tc>
          <w:tcPr>
            <w:tcW w:w="2424" w:type="dxa"/>
          </w:tcPr>
          <w:p>
            <w:pPr>
              <w:pStyle w:val="TableParagraph"/>
              <w:spacing w:before="8"/>
              <w:ind w:left="107"/>
              <w:rPr>
                <w:sz w:val="18"/>
              </w:rPr>
            </w:pPr>
            <w:r>
              <w:rPr>
                <w:sz w:val="18"/>
                <w:shd w:fill="C0C0C0" w:color="auto" w:val="clear"/>
              </w:rPr>
              <w:t>消防队员</w:t>
            </w:r>
          </w:p>
        </w:tc>
      </w:tr>
    </w:tbl>
    <w:p>
      <w:pPr>
        <w:pStyle w:val="ListParagraph"/>
        <w:numPr>
          <w:ilvl w:val="0"/>
          <w:numId w:val="20"/>
        </w:numPr>
        <w:tabs>
          <w:tab w:pos="600" w:val="left" w:leader="none"/>
        </w:tabs>
        <w:spacing w:line="309" w:lineRule="auto" w:before="19" w:after="0"/>
        <w:ind w:left="2675" w:right="216" w:hanging="2436"/>
        <w:jc w:val="both"/>
        <w:rPr>
          <w:sz w:val="18"/>
        </w:rPr>
      </w:pPr>
      <w:r>
        <w:rPr>
          <w:rFonts w:ascii="微软雅黑" w:eastAsia="微软雅黑" w:hint="eastAsia"/>
          <w:b/>
          <w:spacing w:val="0"/>
          <w:position w:val="7"/>
          <w:sz w:val="18"/>
        </w:rPr>
        <w:t>严重类风湿性关节炎     </w:t>
      </w:r>
      <w:r>
        <w:rPr>
          <w:spacing w:val="-6"/>
          <w:sz w:val="18"/>
        </w:rPr>
        <w:t>指广泛分布的慢性进行性多关节病变，表现为关节严重变形，侵犯至少三个主要关节</w:t>
      </w:r>
      <w:r>
        <w:rPr>
          <w:sz w:val="18"/>
        </w:rPr>
        <w:t>（腕关节、肘关节、肩关节、踝关节、膝关节、髋关节）或关节组（如手的多个指间、掌指</w:t>
      </w:r>
      <w:r>
        <w:rPr>
          <w:spacing w:val="-3"/>
          <w:sz w:val="18"/>
        </w:rPr>
        <w:t>关节，足的多个足趾、跖趾关节等</w:t>
      </w:r>
      <w:r>
        <w:rPr>
          <w:spacing w:val="-92"/>
          <w:sz w:val="18"/>
        </w:rPr>
        <w:t>）</w:t>
      </w:r>
      <w:r>
        <w:rPr>
          <w:spacing w:val="-3"/>
          <w:sz w:val="18"/>
        </w:rPr>
        <w:t>。类风湿性关节炎须明确诊断，并已达到类风湿性关节炎功能活动分级（注）IV</w:t>
      </w:r>
      <w:r>
        <w:rPr>
          <w:spacing w:val="-7"/>
          <w:sz w:val="18"/>
        </w:rPr>
        <w:t> 级的永久不可逆性关节功能障碍，且须满足下列全部条件：</w:t>
      </w:r>
    </w:p>
    <w:p>
      <w:pPr>
        <w:pStyle w:val="ListParagraph"/>
        <w:numPr>
          <w:ilvl w:val="1"/>
          <w:numId w:val="20"/>
        </w:numPr>
        <w:tabs>
          <w:tab w:pos="3096" w:val="left" w:leader="none"/>
        </w:tabs>
        <w:spacing w:line="240" w:lineRule="auto" w:before="23" w:after="0"/>
        <w:ind w:left="2675" w:right="0" w:firstLine="0"/>
        <w:jc w:val="left"/>
        <w:rPr>
          <w:sz w:val="18"/>
        </w:rPr>
      </w:pPr>
      <w:r>
        <w:rPr>
          <w:sz w:val="18"/>
        </w:rPr>
        <w:t>晨僵；</w:t>
      </w:r>
    </w:p>
    <w:p>
      <w:pPr>
        <w:pStyle w:val="ListParagraph"/>
        <w:numPr>
          <w:ilvl w:val="1"/>
          <w:numId w:val="20"/>
        </w:numPr>
        <w:tabs>
          <w:tab w:pos="3096" w:val="left" w:leader="none"/>
        </w:tabs>
        <w:spacing w:line="240" w:lineRule="auto" w:before="75" w:after="0"/>
        <w:ind w:left="2675" w:right="0" w:firstLine="0"/>
        <w:jc w:val="left"/>
        <w:rPr>
          <w:sz w:val="18"/>
        </w:rPr>
      </w:pPr>
      <w:r>
        <w:rPr>
          <w:sz w:val="18"/>
        </w:rPr>
        <w:t>对称性关节炎；</w:t>
      </w:r>
    </w:p>
    <w:p>
      <w:pPr>
        <w:pStyle w:val="ListParagraph"/>
        <w:numPr>
          <w:ilvl w:val="1"/>
          <w:numId w:val="20"/>
        </w:numPr>
        <w:tabs>
          <w:tab w:pos="3096" w:val="left" w:leader="none"/>
        </w:tabs>
        <w:spacing w:line="240" w:lineRule="auto" w:before="75" w:after="0"/>
        <w:ind w:left="2675" w:right="0" w:firstLine="0"/>
        <w:jc w:val="left"/>
        <w:rPr>
          <w:sz w:val="18"/>
        </w:rPr>
      </w:pPr>
      <w:r>
        <w:rPr>
          <w:sz w:val="18"/>
        </w:rPr>
        <w:t>类风湿性皮下结节；</w:t>
      </w:r>
    </w:p>
    <w:p>
      <w:pPr>
        <w:pStyle w:val="ListParagraph"/>
        <w:numPr>
          <w:ilvl w:val="1"/>
          <w:numId w:val="20"/>
        </w:numPr>
        <w:tabs>
          <w:tab w:pos="3096" w:val="left" w:leader="none"/>
        </w:tabs>
        <w:spacing w:line="240" w:lineRule="auto" w:before="76" w:after="0"/>
        <w:ind w:left="2675" w:right="0" w:firstLine="0"/>
        <w:jc w:val="left"/>
        <w:rPr>
          <w:sz w:val="18"/>
        </w:rPr>
      </w:pPr>
      <w:r>
        <w:rPr>
          <w:sz w:val="18"/>
        </w:rPr>
        <w:t>类风湿因子滴度升高；</w:t>
      </w:r>
    </w:p>
    <w:p>
      <w:pPr>
        <w:pStyle w:val="ListParagraph"/>
        <w:numPr>
          <w:ilvl w:val="1"/>
          <w:numId w:val="20"/>
        </w:numPr>
        <w:tabs>
          <w:tab w:pos="3096" w:val="left" w:leader="none"/>
        </w:tabs>
        <w:spacing w:line="316" w:lineRule="auto" w:before="76" w:after="0"/>
        <w:ind w:left="2675" w:right="2613" w:firstLine="0"/>
        <w:jc w:val="left"/>
        <w:rPr>
          <w:sz w:val="18"/>
        </w:rPr>
      </w:pPr>
      <w:r>
        <w:rPr>
          <w:sz w:val="18"/>
        </w:rPr>
        <w:t>X</w:t>
      </w:r>
      <w:r>
        <w:rPr>
          <w:spacing w:val="-7"/>
          <w:sz w:val="18"/>
        </w:rPr>
        <w:t> 线显示严重的关节</w:t>
      </w:r>
      <w:r>
        <w:rPr>
          <w:sz w:val="18"/>
        </w:rPr>
        <w:t>（</w:t>
      </w:r>
      <w:r>
        <w:rPr>
          <w:spacing w:val="-1"/>
          <w:sz w:val="18"/>
        </w:rPr>
        <w:t>软骨和骨</w:t>
      </w:r>
      <w:r>
        <w:rPr>
          <w:sz w:val="18"/>
        </w:rPr>
        <w:t>）破坏和关节畸形。注：类风湿性关节炎功能活动分级：</w:t>
      </w:r>
    </w:p>
    <w:p>
      <w:pPr>
        <w:pStyle w:val="BodyText"/>
        <w:spacing w:before="18"/>
        <w:ind w:left="2675"/>
      </w:pPr>
      <w:r>
        <w:rPr/>
        <w:t>Ⅰ级：关节功能完整，一般活动无障碍。</w:t>
      </w:r>
    </w:p>
    <w:p>
      <w:pPr>
        <w:pStyle w:val="BodyText"/>
        <w:ind w:left="2675"/>
      </w:pPr>
      <w:r>
        <w:rPr/>
        <w:t>Ⅱ级：有关节不适或障碍，但尚能完成一半活动。</w:t>
      </w:r>
    </w:p>
    <w:p>
      <w:pPr>
        <w:pStyle w:val="BodyText"/>
        <w:ind w:left="2675"/>
      </w:pPr>
      <w:r>
        <w:rPr/>
        <w:t>Ⅲ级：功能活动明显受限，但大部分生活可自理。</w:t>
      </w:r>
    </w:p>
    <w:p>
      <w:pPr>
        <w:pStyle w:val="BodyText"/>
        <w:ind w:left="2675"/>
      </w:pPr>
      <w:r>
        <w:rPr/>
        <w:t>Ⅳ级：生活不能自理或卧床。</w:t>
      </w:r>
    </w:p>
    <w:p>
      <w:pPr>
        <w:pStyle w:val="BodyText"/>
        <w:spacing w:before="0"/>
      </w:pPr>
    </w:p>
    <w:p>
      <w:pPr>
        <w:pStyle w:val="BodyText"/>
        <w:spacing w:before="0"/>
        <w:rPr>
          <w:sz w:val="13"/>
        </w:rPr>
      </w:pPr>
    </w:p>
    <w:p>
      <w:pPr>
        <w:pStyle w:val="ListParagraph"/>
        <w:numPr>
          <w:ilvl w:val="0"/>
          <w:numId w:val="20"/>
        </w:numPr>
        <w:tabs>
          <w:tab w:pos="600" w:val="left" w:leader="none"/>
          <w:tab w:pos="2675" w:val="left" w:leader="none"/>
        </w:tabs>
        <w:spacing w:line="240" w:lineRule="auto" w:before="0" w:after="0"/>
        <w:ind w:left="2675" w:right="0" w:hanging="2436"/>
        <w:jc w:val="left"/>
        <w:rPr>
          <w:sz w:val="18"/>
        </w:rPr>
      </w:pPr>
      <w:r>
        <w:rPr>
          <w:rFonts w:ascii="微软雅黑" w:eastAsia="微软雅黑" w:hint="eastAsia"/>
          <w:b/>
          <w:position w:val="8"/>
          <w:sz w:val="18"/>
        </w:rPr>
        <w:t>埃博拉病毒感染</w:t>
        <w:tab/>
      </w:r>
      <w:r>
        <w:rPr>
          <w:sz w:val="18"/>
        </w:rPr>
        <w:t>指埃博拉病毒感染导致的烈性传染病，并须满足下列全部条件：</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实验室检查证实埃博拉病毒的存在；</w:t>
      </w:r>
    </w:p>
    <w:p>
      <w:pPr>
        <w:pStyle w:val="ListParagraph"/>
        <w:numPr>
          <w:ilvl w:val="1"/>
          <w:numId w:val="20"/>
        </w:numPr>
        <w:tabs>
          <w:tab w:pos="3096" w:val="left" w:leader="none"/>
        </w:tabs>
        <w:spacing w:line="240" w:lineRule="auto" w:before="76" w:after="0"/>
        <w:ind w:left="3095" w:right="0" w:hanging="420"/>
        <w:jc w:val="left"/>
        <w:rPr>
          <w:sz w:val="18"/>
        </w:rPr>
      </w:pPr>
      <w:r>
        <w:rPr>
          <w:spacing w:val="-5"/>
          <w:sz w:val="18"/>
        </w:rPr>
        <w:t>从发病开始有超过 </w:t>
      </w:r>
      <w:r>
        <w:rPr>
          <w:sz w:val="18"/>
        </w:rPr>
        <w:t>30</w:t>
      </w:r>
      <w:r>
        <w:rPr>
          <w:spacing w:val="-8"/>
          <w:sz w:val="18"/>
        </w:rPr>
        <w:t> 天的进行性感染症状。</w:t>
      </w:r>
    </w:p>
    <w:p>
      <w:pPr>
        <w:pStyle w:val="BodyText"/>
        <w:spacing w:before="0"/>
      </w:pPr>
    </w:p>
    <w:p>
      <w:pPr>
        <w:pStyle w:val="BodyText"/>
        <w:spacing w:before="9"/>
        <w:rPr>
          <w:sz w:val="13"/>
        </w:rPr>
      </w:pPr>
    </w:p>
    <w:p>
      <w:pPr>
        <w:pStyle w:val="ListParagraph"/>
        <w:numPr>
          <w:ilvl w:val="0"/>
          <w:numId w:val="20"/>
        </w:numPr>
        <w:tabs>
          <w:tab w:pos="600" w:val="left" w:leader="none"/>
          <w:tab w:pos="2675" w:val="left" w:leader="none"/>
        </w:tabs>
        <w:spacing w:line="307" w:lineRule="auto" w:before="1" w:after="0"/>
        <w:ind w:left="2675" w:right="216" w:hanging="2436"/>
        <w:jc w:val="both"/>
        <w:rPr>
          <w:sz w:val="18"/>
        </w:rPr>
      </w:pPr>
      <w:r>
        <w:rPr>
          <w:rFonts w:ascii="微软雅黑" w:eastAsia="微软雅黑" w:hint="eastAsia"/>
          <w:b/>
          <w:position w:val="8"/>
          <w:sz w:val="18"/>
        </w:rPr>
        <w:t>丝虫病所致象皮肿</w:t>
        <w:tab/>
      </w:r>
      <w:r>
        <w:rPr>
          <w:sz w:val="18"/>
        </w:rPr>
        <w:t>指末期丝虫病，按国际淋巴学会分级为三度淋巴液肿，其临床表现为肢体非凹陷性水肿 伴畸形增大、硬皮症和疣状增生。此病症须经专科医生根据临床表现和微丝蚴的化验结果确诊。</w:t>
      </w:r>
    </w:p>
    <w:p>
      <w:pPr>
        <w:pStyle w:val="BodyText"/>
        <w:spacing w:before="0"/>
      </w:pPr>
    </w:p>
    <w:p>
      <w:pPr>
        <w:pStyle w:val="ListParagraph"/>
        <w:numPr>
          <w:ilvl w:val="0"/>
          <w:numId w:val="20"/>
        </w:numPr>
        <w:tabs>
          <w:tab w:pos="600" w:val="left" w:leader="none"/>
        </w:tabs>
        <w:spacing w:line="283" w:lineRule="auto" w:before="128" w:after="0"/>
        <w:ind w:left="2675" w:right="216" w:hanging="2436"/>
        <w:jc w:val="both"/>
        <w:rPr>
          <w:sz w:val="18"/>
        </w:rPr>
      </w:pPr>
      <w:r>
        <w:rPr>
          <w:rFonts w:ascii="微软雅黑" w:eastAsia="微软雅黑" w:hint="eastAsia"/>
          <w:b/>
          <w:spacing w:val="-7"/>
          <w:sz w:val="18"/>
        </w:rPr>
        <w:t>系统性硬化病</w:t>
      </w:r>
      <w:r>
        <w:rPr>
          <w:rFonts w:ascii="微软雅黑" w:eastAsia="微软雅黑" w:hint="eastAsia"/>
          <w:b/>
          <w:sz w:val="18"/>
        </w:rPr>
        <w:t>（硬皮病）</w:t>
      </w:r>
      <w:r>
        <w:rPr>
          <w:rFonts w:ascii="微软雅黑" w:eastAsia="微软雅黑" w:hint="eastAsia"/>
          <w:b/>
          <w:spacing w:val="17"/>
          <w:sz w:val="18"/>
        </w:rPr>
        <w:t> </w:t>
      </w:r>
      <w:r>
        <w:rPr>
          <w:sz w:val="18"/>
        </w:rPr>
        <w:t>指一种以局限性或弥漫性皮肤增厚和皮肤\血管\内脏器官异常纤维化为特征的结缔组织病。本病须经专科医生明确诊断,并须满足下列至少一项为条件：</w:t>
      </w:r>
    </w:p>
    <w:p>
      <w:pPr>
        <w:pStyle w:val="BodyText"/>
        <w:spacing w:before="44"/>
        <w:ind w:left="2675"/>
      </w:pPr>
      <w:r>
        <w:rPr/>
        <w:t>肺脏：肺部病变进而发展为肺间质纤维化和肺动脉高压；</w:t>
      </w:r>
    </w:p>
    <w:p>
      <w:pPr>
        <w:pStyle w:val="BodyText"/>
        <w:spacing w:line="316" w:lineRule="auto"/>
        <w:ind w:left="2675" w:right="1996"/>
      </w:pPr>
      <w:r>
        <w:rPr>
          <w:spacing w:val="-2"/>
        </w:rPr>
        <w:t>心脏：心功能受酸达到美国纽约心脏学会心功能状态分级 </w:t>
      </w:r>
      <w:r>
        <w:rPr/>
        <w:t>IV</w:t>
      </w:r>
      <w:r>
        <w:rPr>
          <w:spacing w:val="-16"/>
        </w:rPr>
        <w:t> 级； 肾脏：肾脏受酸导致双肾功能慢性不可逆衰竭,达到尿毒症期。</w:t>
      </w:r>
      <w:r>
        <w:rPr>
          <w:spacing w:val="-16"/>
          <w:shd w:fill="C0C0C0" w:color="auto" w:val="clear"/>
        </w:rPr>
        <w:t> 下列疾病不在本险种保障范围内：</w:t>
      </w:r>
    </w:p>
    <w:p>
      <w:pPr>
        <w:spacing w:after="0" w:line="316" w:lineRule="auto"/>
        <w:sectPr>
          <w:type w:val="continuous"/>
          <w:pgSz w:w="11910" w:h="16840"/>
          <w:pgMar w:top="1060" w:bottom="1160" w:left="1160" w:right="940"/>
        </w:sectPr>
      </w:pPr>
    </w:p>
    <w:p>
      <w:pPr>
        <w:pStyle w:val="BodyText"/>
        <w:spacing w:before="1"/>
        <w:rPr>
          <w:sz w:val="20"/>
        </w:rPr>
      </w:pPr>
    </w:p>
    <w:p>
      <w:pPr>
        <w:pStyle w:val="ListParagraph"/>
        <w:numPr>
          <w:ilvl w:val="1"/>
          <w:numId w:val="20"/>
        </w:numPr>
        <w:tabs>
          <w:tab w:pos="3038" w:val="left" w:leader="none"/>
        </w:tabs>
        <w:spacing w:line="240" w:lineRule="auto" w:before="45" w:after="0"/>
        <w:ind w:left="3037" w:right="0" w:hanging="362"/>
        <w:jc w:val="left"/>
        <w:rPr>
          <w:sz w:val="18"/>
        </w:rPr>
      </w:pPr>
      <w:r>
        <w:rPr>
          <w:sz w:val="18"/>
          <w:shd w:fill="C0C0C0" w:color="auto" w:val="clear"/>
        </w:rPr>
        <w:t>局部性硬皮病（</w:t>
      </w:r>
      <w:r>
        <w:rPr>
          <w:spacing w:val="-1"/>
          <w:sz w:val="18"/>
          <w:shd w:fill="C0C0C0" w:color="auto" w:val="clear"/>
        </w:rPr>
        <w:t>如:带状硬皮病</w:t>
      </w:r>
      <w:r>
        <w:rPr>
          <w:sz w:val="18"/>
          <w:shd w:fill="C0C0C0" w:color="auto" w:val="clear"/>
        </w:rPr>
        <w:t>\硬斑病)；</w:t>
      </w:r>
    </w:p>
    <w:p>
      <w:pPr>
        <w:pStyle w:val="ListParagraph"/>
        <w:numPr>
          <w:ilvl w:val="1"/>
          <w:numId w:val="20"/>
        </w:numPr>
        <w:tabs>
          <w:tab w:pos="3038" w:val="left" w:leader="none"/>
        </w:tabs>
        <w:spacing w:line="240" w:lineRule="auto" w:before="76" w:after="0"/>
        <w:ind w:left="3037" w:right="0" w:hanging="362"/>
        <w:jc w:val="left"/>
        <w:rPr>
          <w:sz w:val="18"/>
        </w:rPr>
      </w:pPr>
      <w:r>
        <w:rPr>
          <w:sz w:val="18"/>
          <w:shd w:fill="C0C0C0" w:color="auto" w:val="clear"/>
        </w:rPr>
        <w:t>嗜酸性粒细胞性筋膜炎；</w:t>
      </w:r>
    </w:p>
    <w:p>
      <w:pPr>
        <w:pStyle w:val="ListParagraph"/>
        <w:numPr>
          <w:ilvl w:val="1"/>
          <w:numId w:val="20"/>
        </w:numPr>
        <w:tabs>
          <w:tab w:pos="3038" w:val="left" w:leader="none"/>
        </w:tabs>
        <w:spacing w:line="240" w:lineRule="auto" w:before="76" w:after="0"/>
        <w:ind w:left="3037" w:right="0" w:hanging="362"/>
        <w:jc w:val="left"/>
        <w:rPr>
          <w:sz w:val="18"/>
        </w:rPr>
      </w:pPr>
      <w:r>
        <w:rPr>
          <w:sz w:val="18"/>
          <w:shd w:fill="C0C0C0" w:color="auto" w:val="clear"/>
        </w:rPr>
        <w:t>CREST</w:t>
      </w:r>
      <w:r>
        <w:rPr>
          <w:spacing w:val="-10"/>
          <w:sz w:val="18"/>
          <w:shd w:fill="C0C0C0" w:color="auto" w:val="clear"/>
        </w:rPr>
        <w:t> 综合征。</w:t>
      </w:r>
    </w:p>
    <w:p>
      <w:pPr>
        <w:pStyle w:val="BodyText"/>
        <w:spacing w:before="7"/>
        <w:rPr>
          <w:sz w:val="25"/>
        </w:rPr>
      </w:pPr>
    </w:p>
    <w:p>
      <w:pPr>
        <w:pStyle w:val="ListParagraph"/>
        <w:numPr>
          <w:ilvl w:val="0"/>
          <w:numId w:val="20"/>
        </w:numPr>
        <w:tabs>
          <w:tab w:pos="600" w:val="left" w:leader="none"/>
          <w:tab w:pos="2675" w:val="left" w:leader="none"/>
        </w:tabs>
        <w:spacing w:line="240" w:lineRule="auto" w:before="0" w:after="0"/>
        <w:ind w:left="2675" w:right="0" w:hanging="2436"/>
        <w:jc w:val="left"/>
        <w:rPr>
          <w:sz w:val="18"/>
        </w:rPr>
      </w:pPr>
      <w:r>
        <w:rPr>
          <w:rFonts w:ascii="微软雅黑" w:eastAsia="微软雅黑" w:hint="eastAsia"/>
          <w:b/>
          <w:sz w:val="18"/>
        </w:rPr>
        <w:t>克雅氏病</w:t>
        <w:tab/>
      </w:r>
      <w:r>
        <w:rPr>
          <w:sz w:val="18"/>
        </w:rPr>
        <w:t>神经系统疾病及致命的成胶质状脑病，并有以下症状：</w:t>
      </w:r>
    </w:p>
    <w:p>
      <w:pPr>
        <w:pStyle w:val="ListParagraph"/>
        <w:numPr>
          <w:ilvl w:val="1"/>
          <w:numId w:val="20"/>
        </w:numPr>
        <w:tabs>
          <w:tab w:pos="3096" w:val="left" w:leader="none"/>
        </w:tabs>
        <w:spacing w:line="240" w:lineRule="auto" w:before="54" w:after="0"/>
        <w:ind w:left="3095" w:right="0" w:hanging="420"/>
        <w:jc w:val="left"/>
        <w:rPr>
          <w:sz w:val="18"/>
        </w:rPr>
      </w:pPr>
      <w:r>
        <w:rPr>
          <w:sz w:val="18"/>
        </w:rPr>
        <w:t>不能控制的肌肉痉挛及震颤；</w:t>
      </w:r>
    </w:p>
    <w:p>
      <w:pPr>
        <w:pStyle w:val="ListParagraph"/>
        <w:numPr>
          <w:ilvl w:val="1"/>
          <w:numId w:val="20"/>
        </w:numPr>
        <w:tabs>
          <w:tab w:pos="3096" w:val="left" w:leader="none"/>
        </w:tabs>
        <w:spacing w:line="240" w:lineRule="auto" w:before="75" w:after="0"/>
        <w:ind w:left="3095" w:right="0" w:hanging="420"/>
        <w:jc w:val="left"/>
        <w:rPr>
          <w:sz w:val="18"/>
        </w:rPr>
      </w:pPr>
      <w:r>
        <w:rPr>
          <w:sz w:val="18"/>
        </w:rPr>
        <w:t>逐渐痴呆；</w:t>
      </w:r>
    </w:p>
    <w:p>
      <w:pPr>
        <w:pStyle w:val="ListParagraph"/>
        <w:numPr>
          <w:ilvl w:val="1"/>
          <w:numId w:val="20"/>
        </w:numPr>
        <w:tabs>
          <w:tab w:pos="3096" w:val="left" w:leader="none"/>
        </w:tabs>
        <w:spacing w:line="240" w:lineRule="auto" w:before="75" w:after="0"/>
        <w:ind w:left="3095" w:right="0" w:hanging="420"/>
        <w:jc w:val="left"/>
        <w:rPr>
          <w:sz w:val="18"/>
        </w:rPr>
      </w:pPr>
      <w:r>
        <w:rPr>
          <w:sz w:val="18"/>
        </w:rPr>
        <w:t>小脑功能不良，共济失调；</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手足徐动症。</w:t>
      </w:r>
    </w:p>
    <w:p>
      <w:pPr>
        <w:pStyle w:val="BodyText"/>
        <w:spacing w:line="316" w:lineRule="auto"/>
        <w:ind w:left="2675" w:right="216"/>
      </w:pPr>
      <w:r>
        <w:rPr/>
        <w:t>诊断必须由</w:t>
      </w:r>
      <w:r>
        <w:rPr>
          <w:shd w:fill="C0C0C0" w:color="auto" w:val="clear"/>
        </w:rPr>
        <w:t>神经科专科医生</w:t>
      </w:r>
      <w:r>
        <w:rPr/>
        <w:t>基于以下检查报告作出：脑电图、脑脊液报告、电脑断层扫描（</w:t>
      </w:r>
      <w:r>
        <w:rPr>
          <w:spacing w:val="0"/>
        </w:rPr>
        <w:t>CT</w:t>
      </w:r>
      <w:r>
        <w:rPr/>
        <w:t>）及核磁共振（MR</w:t>
      </w:r>
      <w:r>
        <w:rPr>
          <w:spacing w:val="0"/>
        </w:rPr>
        <w:t>I</w:t>
      </w:r>
      <w:r>
        <w:rPr>
          <w:spacing w:val="-92"/>
        </w:rPr>
        <w:t>）</w:t>
      </w:r>
      <w:r>
        <w:rPr/>
        <w:t>。</w:t>
      </w:r>
    </w:p>
    <w:p>
      <w:pPr>
        <w:pStyle w:val="BodyText"/>
        <w:spacing w:before="1"/>
        <w:rPr>
          <w:sz w:val="21"/>
        </w:rPr>
      </w:pPr>
    </w:p>
    <w:p>
      <w:pPr>
        <w:pStyle w:val="ListParagraph"/>
        <w:numPr>
          <w:ilvl w:val="0"/>
          <w:numId w:val="20"/>
        </w:numPr>
        <w:tabs>
          <w:tab w:pos="600" w:val="left" w:leader="none"/>
          <w:tab w:pos="2675" w:val="left" w:leader="none"/>
        </w:tabs>
        <w:spacing w:line="240" w:lineRule="auto" w:before="1" w:after="0"/>
        <w:ind w:left="2675" w:right="0" w:hanging="2436"/>
        <w:jc w:val="left"/>
        <w:rPr>
          <w:sz w:val="18"/>
        </w:rPr>
      </w:pPr>
      <w:r>
        <w:rPr>
          <w:rFonts w:ascii="微软雅黑" w:eastAsia="微软雅黑" w:hint="eastAsia"/>
          <w:b/>
          <w:sz w:val="18"/>
        </w:rPr>
        <w:t>斯蒂尔病</w:t>
        <w:tab/>
      </w:r>
      <w:r>
        <w:rPr>
          <w:sz w:val="18"/>
        </w:rPr>
        <w:t>斯蒂尔病须满足下列全部条件：</w:t>
      </w:r>
    </w:p>
    <w:p>
      <w:pPr>
        <w:pStyle w:val="ListParagraph"/>
        <w:numPr>
          <w:ilvl w:val="1"/>
          <w:numId w:val="20"/>
        </w:numPr>
        <w:tabs>
          <w:tab w:pos="3096" w:val="left" w:leader="none"/>
        </w:tabs>
        <w:spacing w:line="240" w:lineRule="auto" w:before="54" w:after="0"/>
        <w:ind w:left="3095" w:right="0" w:hanging="420"/>
        <w:jc w:val="left"/>
        <w:rPr>
          <w:sz w:val="18"/>
        </w:rPr>
      </w:pPr>
      <w:r>
        <w:rPr>
          <w:sz w:val="18"/>
        </w:rPr>
        <w:t>因该病引致广泛性关节破坏，以致需要进行髋及膝关节置换；</w:t>
      </w:r>
    </w:p>
    <w:p>
      <w:pPr>
        <w:pStyle w:val="ListParagraph"/>
        <w:numPr>
          <w:ilvl w:val="1"/>
          <w:numId w:val="20"/>
        </w:numPr>
        <w:tabs>
          <w:tab w:pos="3096" w:val="left" w:leader="none"/>
        </w:tabs>
        <w:spacing w:line="240" w:lineRule="auto" w:before="76" w:after="0"/>
        <w:ind w:left="3095" w:right="0" w:hanging="420"/>
        <w:jc w:val="left"/>
        <w:rPr>
          <w:sz w:val="18"/>
        </w:rPr>
      </w:pPr>
      <w:r>
        <w:rPr>
          <w:sz w:val="18"/>
        </w:rPr>
        <w:t>由</w:t>
      </w:r>
      <w:r>
        <w:rPr>
          <w:sz w:val="18"/>
          <w:shd w:fill="C0C0C0" w:color="auto" w:val="clear"/>
        </w:rPr>
        <w:t>风湿病专科医生</w:t>
      </w:r>
      <w:r>
        <w:rPr>
          <w:sz w:val="18"/>
        </w:rPr>
        <w:t>确定诊断。</w:t>
      </w:r>
    </w:p>
    <w:p>
      <w:pPr>
        <w:pStyle w:val="BodyText"/>
        <w:spacing w:before="3"/>
        <w:rPr>
          <w:sz w:val="26"/>
        </w:rPr>
      </w:pPr>
    </w:p>
    <w:p>
      <w:pPr>
        <w:spacing w:after="0"/>
        <w:rPr>
          <w:sz w:val="26"/>
        </w:rPr>
        <w:sectPr>
          <w:pgSz w:w="11910" w:h="16840"/>
          <w:pgMar w:header="872" w:footer="977" w:top="1100" w:bottom="1160" w:left="1160" w:right="940"/>
        </w:sectPr>
      </w:pPr>
    </w:p>
    <w:p>
      <w:pPr>
        <w:pStyle w:val="Heading4"/>
        <w:numPr>
          <w:ilvl w:val="0"/>
          <w:numId w:val="20"/>
        </w:numPr>
        <w:tabs>
          <w:tab w:pos="600" w:val="left" w:leader="none"/>
        </w:tabs>
        <w:spacing w:line="240" w:lineRule="auto" w:before="0" w:after="0"/>
        <w:ind w:left="599" w:right="0" w:hanging="360"/>
        <w:jc w:val="left"/>
      </w:pPr>
      <w:r>
        <w:rPr>
          <w:spacing w:val="2"/>
        </w:rPr>
        <w:t>溶血性链球菌引起的坏疽</w:t>
      </w:r>
    </w:p>
    <w:p>
      <w:pPr>
        <w:pStyle w:val="BodyText"/>
        <w:spacing w:line="319" w:lineRule="auto" w:before="45"/>
        <w:ind w:left="175" w:right="216"/>
      </w:pPr>
      <w:r>
        <w:rPr/>
        <w:br w:type="column"/>
      </w:r>
      <w:r>
        <w:rPr/>
        <w:t>躯干或肢体的浅筋膜或涉及肌肉的深筋膜感染，呈暴发性进展，必须即刻手术清创。须在外科手术后进行组织培养证实溶血性链球菌坏疽并由专科医生确诊。</w:t>
      </w:r>
    </w:p>
    <w:p>
      <w:pPr>
        <w:spacing w:after="0" w:line="319" w:lineRule="auto"/>
        <w:sectPr>
          <w:type w:val="continuous"/>
          <w:pgSz w:w="11910" w:h="16840"/>
          <w:pgMar w:top="1060" w:bottom="1160" w:left="1160" w:right="940"/>
          <w:cols w:num="2" w:equalWidth="0">
            <w:col w:w="2460" w:space="40"/>
            <w:col w:w="7310"/>
          </w:cols>
        </w:sectPr>
      </w:pPr>
    </w:p>
    <w:p>
      <w:pPr>
        <w:pStyle w:val="BodyText"/>
        <w:spacing w:before="9"/>
        <w:rPr>
          <w:sz w:val="21"/>
        </w:rPr>
      </w:pPr>
    </w:p>
    <w:p>
      <w:pPr>
        <w:pStyle w:val="ListParagraph"/>
        <w:numPr>
          <w:ilvl w:val="0"/>
          <w:numId w:val="20"/>
        </w:numPr>
        <w:tabs>
          <w:tab w:pos="600" w:val="left" w:leader="none"/>
          <w:tab w:pos="2675" w:val="left" w:leader="none"/>
        </w:tabs>
        <w:spacing w:line="302" w:lineRule="exact" w:before="0" w:after="0"/>
        <w:ind w:left="2675" w:right="0" w:hanging="2436"/>
        <w:jc w:val="left"/>
        <w:rPr>
          <w:sz w:val="18"/>
        </w:rPr>
      </w:pPr>
      <w:r>
        <w:rPr>
          <w:rFonts w:ascii="微软雅黑" w:eastAsia="微软雅黑" w:hint="eastAsia"/>
          <w:b/>
          <w:sz w:val="18"/>
        </w:rPr>
        <w:t>严重肠道疾病并发症</w:t>
        <w:tab/>
      </w:r>
      <w:r>
        <w:rPr>
          <w:sz w:val="18"/>
        </w:rPr>
        <w:t>严重肠道疾病或外伤导致小肠损害并发症，满足以下所有条件：</w:t>
      </w:r>
    </w:p>
    <w:p>
      <w:pPr>
        <w:pStyle w:val="ListParagraph"/>
        <w:numPr>
          <w:ilvl w:val="1"/>
          <w:numId w:val="20"/>
        </w:numPr>
        <w:tabs>
          <w:tab w:pos="3096" w:val="left" w:leader="none"/>
        </w:tabs>
        <w:spacing w:line="240" w:lineRule="auto" w:before="54" w:after="0"/>
        <w:ind w:left="3095" w:right="0" w:hanging="420"/>
        <w:jc w:val="left"/>
        <w:rPr>
          <w:sz w:val="18"/>
        </w:rPr>
      </w:pPr>
      <w:r>
        <w:rPr>
          <w:sz w:val="18"/>
        </w:rPr>
        <w:t>至少切除了三分之二小肠；</w:t>
      </w:r>
    </w:p>
    <w:p>
      <w:pPr>
        <w:pStyle w:val="ListParagraph"/>
        <w:numPr>
          <w:ilvl w:val="1"/>
          <w:numId w:val="20"/>
        </w:numPr>
        <w:tabs>
          <w:tab w:pos="3096" w:val="left" w:leader="none"/>
        </w:tabs>
        <w:spacing w:line="240" w:lineRule="auto" w:before="75" w:after="0"/>
        <w:ind w:left="3095" w:right="0" w:hanging="420"/>
        <w:jc w:val="left"/>
        <w:rPr>
          <w:sz w:val="18"/>
        </w:rPr>
      </w:pPr>
      <w:r>
        <w:rPr>
          <w:sz w:val="18"/>
        </w:rPr>
        <w:t>完全肠外营养支持三个月以上。</w:t>
      </w:r>
    </w:p>
    <w:p>
      <w:pPr>
        <w:pStyle w:val="BodyText"/>
        <w:spacing w:before="7"/>
        <w:rPr>
          <w:sz w:val="25"/>
        </w:rPr>
      </w:pPr>
    </w:p>
    <w:p>
      <w:pPr>
        <w:pStyle w:val="ListParagraph"/>
        <w:numPr>
          <w:ilvl w:val="0"/>
          <w:numId w:val="20"/>
        </w:numPr>
        <w:tabs>
          <w:tab w:pos="600" w:val="left" w:leader="none"/>
          <w:tab w:pos="2675" w:val="left" w:leader="none"/>
        </w:tabs>
        <w:spacing w:line="283" w:lineRule="auto" w:before="0" w:after="0"/>
        <w:ind w:left="2675" w:right="127" w:hanging="2436"/>
        <w:jc w:val="both"/>
        <w:rPr>
          <w:sz w:val="18"/>
        </w:rPr>
      </w:pPr>
      <w:r>
        <w:rPr>
          <w:rFonts w:ascii="微软雅黑" w:eastAsia="微软雅黑" w:hint="eastAsia"/>
          <w:b/>
          <w:sz w:val="18"/>
        </w:rPr>
        <w:t>范可尼综合征</w:t>
        <w:tab/>
      </w:r>
      <w:r>
        <w:rPr>
          <w:sz w:val="18"/>
        </w:rPr>
        <w:t>也称</w:t>
      </w:r>
      <w:r>
        <w:rPr>
          <w:spacing w:val="-45"/>
          <w:sz w:val="18"/>
        </w:rPr>
        <w:t> </w:t>
      </w:r>
      <w:r>
        <w:rPr>
          <w:sz w:val="18"/>
        </w:rPr>
        <w:t>Fanconi</w:t>
      </w:r>
      <w:r>
        <w:rPr>
          <w:spacing w:val="-45"/>
          <w:sz w:val="18"/>
        </w:rPr>
        <w:t> </w:t>
      </w:r>
      <w:r>
        <w:rPr>
          <w:sz w:val="18"/>
        </w:rPr>
        <w:t>综合征</w:t>
      </w:r>
      <w:r>
        <w:rPr>
          <w:spacing w:val="-10"/>
          <w:sz w:val="18"/>
        </w:rPr>
        <w:t>，</w:t>
      </w:r>
      <w:r>
        <w:rPr>
          <w:sz w:val="18"/>
        </w:rPr>
        <w:t>指近</w:t>
      </w:r>
      <w:r>
        <w:rPr>
          <w:spacing w:val="-3"/>
          <w:sz w:val="18"/>
        </w:rPr>
        <w:t>端</w:t>
      </w:r>
      <w:r>
        <w:rPr>
          <w:sz w:val="18"/>
        </w:rPr>
        <w:t>肾小管的功能异常引起的一组症候群</w:t>
      </w:r>
      <w:r>
        <w:rPr>
          <w:spacing w:val="-10"/>
          <w:sz w:val="18"/>
        </w:rPr>
        <w:t>。</w:t>
      </w:r>
      <w:r>
        <w:rPr>
          <w:sz w:val="18"/>
        </w:rPr>
        <w:t>须经专科医生诊断，且须满足下列至少两项条件：</w:t>
      </w:r>
    </w:p>
    <w:p>
      <w:pPr>
        <w:pStyle w:val="BodyText"/>
        <w:spacing w:before="43"/>
        <w:ind w:left="2675"/>
      </w:pPr>
      <w:r>
        <w:rPr/>
        <w:t>(1)尿液检查出现肾性糖尿、全氨基酸糖尿或磷酸盐尿；</w:t>
      </w:r>
    </w:p>
    <w:p>
      <w:pPr>
        <w:pStyle w:val="BodyText"/>
        <w:spacing w:before="75"/>
        <w:ind w:left="2675"/>
      </w:pPr>
      <w:r>
        <w:rPr/>
        <w:t>(2)血液检查出现低磷血症、低尿酸血症或近端肾小管酸中毒；</w:t>
      </w:r>
    </w:p>
    <w:p>
      <w:pPr>
        <w:pStyle w:val="BodyText"/>
        <w:spacing w:before="75"/>
        <w:ind w:left="2675"/>
      </w:pPr>
      <w:r>
        <w:rPr/>
        <w:t>(3)出现骨质疏松、骨骼畸形或尿路结石；</w:t>
      </w:r>
    </w:p>
    <w:p>
      <w:pPr>
        <w:pStyle w:val="BodyText"/>
        <w:spacing w:before="75"/>
        <w:ind w:left="2675"/>
      </w:pPr>
      <w:r>
        <w:rPr/>
        <w:t>(4)通过骨髓片、白细胞、直肠黏膜中的结晶分析或裂隙灯检查角膜有胱氨酸结晶。</w:t>
      </w:r>
    </w:p>
    <w:p>
      <w:pPr>
        <w:pStyle w:val="BodyText"/>
        <w:spacing w:before="7"/>
        <w:rPr>
          <w:sz w:val="25"/>
        </w:rPr>
      </w:pPr>
    </w:p>
    <w:p>
      <w:pPr>
        <w:pStyle w:val="ListParagraph"/>
        <w:numPr>
          <w:ilvl w:val="0"/>
          <w:numId w:val="20"/>
        </w:numPr>
        <w:tabs>
          <w:tab w:pos="600" w:val="left" w:leader="none"/>
        </w:tabs>
        <w:spacing w:line="297" w:lineRule="auto" w:before="0" w:after="0"/>
        <w:ind w:left="2675" w:right="216" w:hanging="2436"/>
        <w:jc w:val="both"/>
        <w:rPr>
          <w:sz w:val="18"/>
        </w:rPr>
      </w:pPr>
      <w:r>
        <w:rPr>
          <w:rFonts w:ascii="微软雅黑" w:hAnsi="微软雅黑" w:eastAsia="微软雅黑" w:hint="eastAsia"/>
          <w:b/>
          <w:sz w:val="18"/>
        </w:rPr>
        <w:t>严重甲型及乙型血友病 </w:t>
      </w:r>
      <w:r>
        <w:rPr>
          <w:spacing w:val="-1"/>
          <w:sz w:val="18"/>
        </w:rPr>
        <w:t>被保险人必须是患上严重甲型血友病</w:t>
      </w:r>
      <w:r>
        <w:rPr>
          <w:sz w:val="18"/>
        </w:rPr>
        <w:t>（缺乏Ⅷ凝血因子</w:t>
      </w:r>
      <w:r>
        <w:rPr>
          <w:spacing w:val="-8"/>
          <w:sz w:val="18"/>
        </w:rPr>
        <w:t>）</w:t>
      </w:r>
      <w:r>
        <w:rPr>
          <w:spacing w:val="-1"/>
          <w:sz w:val="18"/>
        </w:rPr>
        <w:t>或严重乙型血友病</w:t>
      </w:r>
      <w:r>
        <w:rPr>
          <w:sz w:val="18"/>
        </w:rPr>
        <w:t>（</w:t>
      </w:r>
      <w:r>
        <w:rPr>
          <w:spacing w:val="-15"/>
          <w:sz w:val="18"/>
        </w:rPr>
        <w:t>缺乏 </w:t>
      </w:r>
      <w:r>
        <w:rPr>
          <w:sz w:val="18"/>
        </w:rPr>
        <w:t>IX</w:t>
      </w:r>
      <w:r>
        <w:rPr>
          <w:spacing w:val="-15"/>
          <w:sz w:val="18"/>
        </w:rPr>
        <w:t> 凝血因子</w:t>
      </w:r>
      <w:r>
        <w:rPr>
          <w:spacing w:val="-92"/>
          <w:sz w:val="18"/>
        </w:rPr>
        <w:t>）</w:t>
      </w:r>
      <w:r>
        <w:rPr>
          <w:spacing w:val="-2"/>
          <w:sz w:val="18"/>
        </w:rPr>
        <w:t>，而凝血因子Ⅷ或凝血因子 </w:t>
      </w:r>
      <w:r>
        <w:rPr>
          <w:spacing w:val="0"/>
          <w:sz w:val="18"/>
        </w:rPr>
        <w:t>I</w:t>
      </w:r>
      <w:r>
        <w:rPr>
          <w:sz w:val="18"/>
        </w:rPr>
        <w:t>X</w:t>
      </w:r>
      <w:r>
        <w:rPr>
          <w:spacing w:val="-2"/>
          <w:sz w:val="18"/>
        </w:rPr>
        <w:t> 的活性水平少于百分之一。诊断必须由</w:t>
      </w:r>
      <w:r>
        <w:rPr>
          <w:sz w:val="18"/>
          <w:shd w:fill="C0C0C0" w:color="auto" w:val="clear"/>
        </w:rPr>
        <w:t>本公司认</w:t>
      </w:r>
      <w:r>
        <w:rPr>
          <w:spacing w:val="-182"/>
          <w:sz w:val="18"/>
          <w:shd w:fill="C0C0C0" w:color="auto" w:val="clear"/>
        </w:rPr>
        <w:t>可</w:t>
      </w:r>
      <w:r>
        <w:rPr>
          <w:sz w:val="18"/>
          <w:shd w:fill="C0C0C0" w:color="auto" w:val="clear"/>
        </w:rPr>
        <w:t>                                                                           医院的血液病专科医生</w:t>
      </w:r>
      <w:r>
        <w:rPr>
          <w:sz w:val="18"/>
        </w:rPr>
        <w:t>确认。</w:t>
      </w:r>
    </w:p>
    <w:p>
      <w:pPr>
        <w:pStyle w:val="BodyText"/>
        <w:spacing w:line="316" w:lineRule="auto" w:before="33"/>
        <w:ind w:left="2675" w:right="216"/>
      </w:pPr>
      <w:r>
        <w:rPr/>
        <w:t>本公司承担本项疾病责任不受本合同责任免除中“遗传性疾病、先天性畸形、变形或染色体异常”的限制。</w:t>
      </w:r>
    </w:p>
    <w:p>
      <w:pPr>
        <w:pStyle w:val="BodyText"/>
        <w:spacing w:before="2"/>
        <w:rPr>
          <w:sz w:val="21"/>
        </w:rPr>
      </w:pPr>
    </w:p>
    <w:p>
      <w:pPr>
        <w:pStyle w:val="ListParagraph"/>
        <w:numPr>
          <w:ilvl w:val="0"/>
          <w:numId w:val="20"/>
        </w:numPr>
        <w:tabs>
          <w:tab w:pos="600" w:val="left" w:leader="none"/>
        </w:tabs>
        <w:spacing w:line="304" w:lineRule="auto" w:before="0" w:after="0"/>
        <w:ind w:left="2675" w:right="216" w:hanging="2436"/>
        <w:jc w:val="both"/>
        <w:rPr>
          <w:sz w:val="18"/>
        </w:rPr>
      </w:pPr>
      <w:r>
        <w:rPr>
          <w:rFonts w:ascii="微软雅黑" w:eastAsia="微软雅黑" w:hint="eastAsia"/>
          <w:b/>
          <w:sz w:val="18"/>
        </w:rPr>
        <w:t>肾上腺脑白质营养不良    </w:t>
      </w:r>
      <w:r>
        <w:rPr>
          <w:sz w:val="18"/>
        </w:rPr>
        <w:t>指一种最常见的过氧化物酶体病，主要累及肾上腺和脑白质，主要表现为进行性的精神运动障碍，视力及听力下降和（或）肾上腺皮质功能低下等。须经专科医生诊断，且已经造成自主生活能力完全丧失，无法独立完成六项基本日常生活活动中的三项或三项以</w:t>
      </w:r>
      <w:r>
        <w:rPr>
          <w:spacing w:val="-7"/>
          <w:sz w:val="18"/>
        </w:rPr>
        <w:t>上，持续至少 </w:t>
      </w:r>
      <w:r>
        <w:rPr>
          <w:sz w:val="18"/>
        </w:rPr>
        <w:t>180</w:t>
      </w:r>
      <w:r>
        <w:rPr>
          <w:spacing w:val="-16"/>
          <w:sz w:val="18"/>
        </w:rPr>
        <w:t> 天。</w:t>
      </w:r>
    </w:p>
    <w:p>
      <w:pPr>
        <w:pStyle w:val="BodyText"/>
        <w:spacing w:before="7"/>
        <w:rPr>
          <w:sz w:val="22"/>
        </w:rPr>
      </w:pPr>
    </w:p>
    <w:p>
      <w:pPr>
        <w:spacing w:after="0"/>
        <w:rPr>
          <w:sz w:val="22"/>
        </w:rPr>
        <w:sectPr>
          <w:type w:val="continuous"/>
          <w:pgSz w:w="11910" w:h="16840"/>
          <w:pgMar w:top="1060" w:bottom="1160" w:left="1160" w:right="940"/>
        </w:sectPr>
      </w:pPr>
    </w:p>
    <w:p>
      <w:pPr>
        <w:pStyle w:val="Heading4"/>
        <w:numPr>
          <w:ilvl w:val="0"/>
          <w:numId w:val="20"/>
        </w:numPr>
        <w:tabs>
          <w:tab w:pos="600" w:val="left" w:leader="none"/>
        </w:tabs>
        <w:spacing w:line="240" w:lineRule="auto" w:before="0" w:after="0"/>
        <w:ind w:left="599" w:right="0" w:hanging="360"/>
        <w:jc w:val="left"/>
      </w:pPr>
      <w:r>
        <w:rPr>
          <w:spacing w:val="1"/>
        </w:rPr>
        <w:t>器官移植导致的 </w:t>
      </w:r>
      <w:r>
        <w:rPr>
          <w:spacing w:val="0"/>
          <w:w w:val="60"/>
        </w:rPr>
        <w:t>H</w:t>
      </w:r>
      <w:r>
        <w:rPr>
          <w:spacing w:val="0"/>
          <w:w w:val="149"/>
        </w:rPr>
        <w:t>I</w:t>
      </w:r>
      <w:r>
        <w:rPr>
          <w:w w:val="69"/>
        </w:rPr>
        <w:t>V</w:t>
      </w:r>
      <w:r>
        <w:rPr>
          <w:spacing w:val="8"/>
        </w:rPr>
        <w:t> 感染</w:t>
      </w:r>
    </w:p>
    <w:p>
      <w:pPr>
        <w:pStyle w:val="BodyText"/>
        <w:spacing w:before="44"/>
        <w:ind w:left="173"/>
      </w:pPr>
      <w:r>
        <w:rPr/>
        <w:br w:type="column"/>
      </w:r>
      <w:r>
        <w:rPr/>
        <w:t>指因进行器官移植而感染上人类免疫缺陷病毒（</w:t>
      </w:r>
      <w:r>
        <w:rPr>
          <w:spacing w:val="0"/>
        </w:rPr>
        <w:t>HIV</w:t>
      </w:r>
      <w:r>
        <w:rPr>
          <w:spacing w:val="-92"/>
        </w:rPr>
        <w:t>）</w:t>
      </w:r>
      <w:r>
        <w:rPr>
          <w:spacing w:val="-2"/>
        </w:rPr>
        <w:t>，且须满足下列全部条件：</w:t>
      </w:r>
    </w:p>
    <w:p>
      <w:pPr>
        <w:pStyle w:val="ListParagraph"/>
        <w:numPr>
          <w:ilvl w:val="0"/>
          <w:numId w:val="28"/>
        </w:numPr>
        <w:tabs>
          <w:tab w:pos="594" w:val="left" w:leader="none"/>
        </w:tabs>
        <w:spacing w:line="316" w:lineRule="auto" w:before="75" w:after="0"/>
        <w:ind w:left="593" w:right="223" w:hanging="420"/>
        <w:jc w:val="left"/>
        <w:rPr>
          <w:sz w:val="18"/>
        </w:rPr>
      </w:pPr>
      <w:r>
        <w:rPr>
          <w:sz w:val="18"/>
        </w:rPr>
        <w:t>在保障起始日或复效日之后，被保险人因治疗必需而实施器官移植，并且因器官移植而感染人类免疫缺陷病毒；</w:t>
      </w:r>
    </w:p>
    <w:p>
      <w:pPr>
        <w:spacing w:after="0" w:line="316" w:lineRule="auto"/>
        <w:jc w:val="left"/>
        <w:rPr>
          <w:sz w:val="18"/>
        </w:rPr>
        <w:sectPr>
          <w:type w:val="continuous"/>
          <w:pgSz w:w="11910" w:h="16840"/>
          <w:pgMar w:top="1060" w:bottom="1160" w:left="1160" w:right="940"/>
          <w:cols w:num="2" w:equalWidth="0">
            <w:col w:w="2462" w:space="40"/>
            <w:col w:w="7308"/>
          </w:cols>
        </w:sectPr>
      </w:pPr>
    </w:p>
    <w:p>
      <w:pPr>
        <w:pStyle w:val="BodyText"/>
        <w:spacing w:before="1"/>
        <w:rPr>
          <w:sz w:val="20"/>
        </w:rPr>
      </w:pPr>
    </w:p>
    <w:p>
      <w:pPr>
        <w:pStyle w:val="ListParagraph"/>
        <w:numPr>
          <w:ilvl w:val="0"/>
          <w:numId w:val="28"/>
        </w:numPr>
        <w:tabs>
          <w:tab w:pos="3096" w:val="left" w:leader="none"/>
        </w:tabs>
        <w:spacing w:line="316" w:lineRule="auto" w:before="45" w:after="0"/>
        <w:ind w:left="3095" w:right="223" w:hanging="420"/>
        <w:jc w:val="left"/>
        <w:rPr>
          <w:sz w:val="18"/>
        </w:rPr>
      </w:pPr>
      <w:r>
        <w:rPr>
          <w:sz w:val="18"/>
        </w:rPr>
        <w:t>提供器官移植治疗的器官移植中心或医院出具该项器官移植感染，属于医疗责任事故的报告，或者法院终审裁定为医疗责任并且不准上诉；</w:t>
      </w:r>
    </w:p>
    <w:p>
      <w:pPr>
        <w:pStyle w:val="ListParagraph"/>
        <w:numPr>
          <w:ilvl w:val="0"/>
          <w:numId w:val="28"/>
        </w:numPr>
        <w:tabs>
          <w:tab w:pos="3096" w:val="left" w:leader="none"/>
        </w:tabs>
        <w:spacing w:line="240" w:lineRule="auto" w:before="18" w:after="0"/>
        <w:ind w:left="3095" w:right="0" w:hanging="420"/>
        <w:jc w:val="left"/>
        <w:rPr>
          <w:sz w:val="18"/>
        </w:rPr>
      </w:pPr>
      <w:r>
        <w:rPr>
          <w:sz w:val="18"/>
        </w:rPr>
        <w:t>供器官移植治疗的器官移植中心或医院必须拥有合法经营执照；</w:t>
      </w:r>
    </w:p>
    <w:p>
      <w:pPr>
        <w:pStyle w:val="BodyText"/>
        <w:ind w:left="2675"/>
      </w:pPr>
      <w:r>
        <w:rPr>
          <w:shd w:fill="C0C0C0" w:color="auto" w:val="clear"/>
        </w:rPr>
        <w:t>任何因其他传播方式（包括：性传播或静脉注射毒品）导致的 HIV 感染不在保障范围内。</w:t>
      </w:r>
    </w:p>
    <w:p>
      <w:pPr>
        <w:pStyle w:val="BodyText"/>
        <w:spacing w:before="9"/>
        <w:rPr>
          <w:sz w:val="25"/>
        </w:rPr>
      </w:pPr>
    </w:p>
    <w:p>
      <w:pPr>
        <w:pStyle w:val="ListParagraph"/>
        <w:numPr>
          <w:ilvl w:val="0"/>
          <w:numId w:val="20"/>
        </w:numPr>
        <w:tabs>
          <w:tab w:pos="600" w:val="left" w:leader="none"/>
          <w:tab w:pos="2675" w:val="left" w:leader="none"/>
        </w:tabs>
        <w:spacing w:line="309" w:lineRule="auto" w:before="1" w:after="0"/>
        <w:ind w:left="2675" w:right="218" w:hanging="2436"/>
        <w:jc w:val="both"/>
        <w:rPr>
          <w:sz w:val="18"/>
        </w:rPr>
      </w:pPr>
      <w:r>
        <w:rPr>
          <w:rFonts w:ascii="微软雅黑" w:eastAsia="微软雅黑" w:hint="eastAsia"/>
          <w:b/>
          <w:position w:val="7"/>
          <w:sz w:val="18"/>
        </w:rPr>
        <w:t>进行性核上性麻痹</w:t>
        <w:tab/>
      </w:r>
      <w:r>
        <w:rPr>
          <w:sz w:val="18"/>
        </w:rPr>
        <w:t>进行性核上性麻痹(PSP)又</w:t>
      </w:r>
      <w:r>
        <w:rPr>
          <w:spacing w:val="30"/>
          <w:sz w:val="18"/>
        </w:rPr>
        <w:t>称</w:t>
      </w:r>
      <w:r>
        <w:rPr>
          <w:sz w:val="18"/>
        </w:rPr>
        <w:t>Steele-Rchardson-Olszewski</w:t>
      </w:r>
      <w:r>
        <w:rPr>
          <w:spacing w:val="-55"/>
          <w:sz w:val="18"/>
        </w:rPr>
        <w:t> </w:t>
      </w:r>
      <w:r>
        <w:rPr>
          <w:sz w:val="18"/>
        </w:rPr>
        <w:t>综合征,是一种神经系统变性疾病,以假球麻痹</w:t>
      </w:r>
      <w:r>
        <w:rPr>
          <w:spacing w:val="-8"/>
          <w:sz w:val="18"/>
        </w:rPr>
        <w:t>、</w:t>
      </w:r>
      <w:r>
        <w:rPr>
          <w:sz w:val="18"/>
        </w:rPr>
        <w:t>垂直性核上性眼肌麻痹</w:t>
      </w:r>
      <w:r>
        <w:rPr>
          <w:spacing w:val="-8"/>
          <w:sz w:val="18"/>
        </w:rPr>
        <w:t>、</w:t>
      </w:r>
      <w:r>
        <w:rPr>
          <w:sz w:val="18"/>
        </w:rPr>
        <w:t>锥体外系肌僵直</w:t>
      </w:r>
      <w:r>
        <w:rPr>
          <w:spacing w:val="-8"/>
          <w:sz w:val="18"/>
        </w:rPr>
        <w:t>、</w:t>
      </w:r>
      <w:r>
        <w:rPr>
          <w:sz w:val="18"/>
        </w:rPr>
        <w:t>步态共济失调和轻度痴呆为主要临床特征</w:t>
      </w:r>
      <w:r>
        <w:rPr>
          <w:spacing w:val="-34"/>
          <w:sz w:val="18"/>
        </w:rPr>
        <w:t>。</w:t>
      </w:r>
      <w:r>
        <w:rPr>
          <w:sz w:val="18"/>
        </w:rPr>
        <w:t>PSP</w:t>
      </w:r>
      <w:r>
        <w:rPr>
          <w:spacing w:val="-43"/>
          <w:sz w:val="18"/>
        </w:rPr>
        <w:t> </w:t>
      </w:r>
      <w:r>
        <w:rPr>
          <w:sz w:val="18"/>
        </w:rPr>
        <w:t>必须由</w:t>
      </w:r>
      <w:r>
        <w:rPr>
          <w:spacing w:val="-3"/>
          <w:sz w:val="18"/>
          <w:shd w:fill="C0C0C0" w:color="auto" w:val="clear"/>
        </w:rPr>
        <w:t>三</w:t>
      </w:r>
      <w:r>
        <w:rPr>
          <w:sz w:val="18"/>
          <w:shd w:fill="C0C0C0" w:color="auto" w:val="clear"/>
        </w:rPr>
        <w:t>级甲等医院的神经内科专科医生</w:t>
      </w:r>
      <w:r>
        <w:rPr>
          <w:sz w:val="18"/>
        </w:rPr>
        <w:t>确诊</w:t>
      </w:r>
      <w:r>
        <w:rPr>
          <w:spacing w:val="-34"/>
          <w:sz w:val="18"/>
        </w:rPr>
        <w:t>，</w:t>
      </w:r>
      <w:r>
        <w:rPr>
          <w:sz w:val="18"/>
        </w:rPr>
        <w:t>并且被保险人自主生活能力完全丧失，无法独立完成六项基本日常生活活动中的三项或三项以上。</w:t>
      </w:r>
    </w:p>
    <w:p>
      <w:pPr>
        <w:pStyle w:val="BodyText"/>
        <w:spacing w:before="8"/>
        <w:rPr>
          <w:sz w:val="27"/>
        </w:rPr>
      </w:pPr>
    </w:p>
    <w:p>
      <w:pPr>
        <w:spacing w:after="0"/>
        <w:rPr>
          <w:sz w:val="27"/>
        </w:rPr>
        <w:sectPr>
          <w:pgSz w:w="11910" w:h="16840"/>
          <w:pgMar w:header="872" w:footer="977" w:top="1100" w:bottom="1160" w:left="1160" w:right="940"/>
        </w:sectPr>
      </w:pPr>
    </w:p>
    <w:p>
      <w:pPr>
        <w:pStyle w:val="Heading4"/>
        <w:numPr>
          <w:ilvl w:val="0"/>
          <w:numId w:val="20"/>
        </w:numPr>
        <w:tabs>
          <w:tab w:pos="600" w:val="left" w:leader="none"/>
        </w:tabs>
        <w:spacing w:line="240" w:lineRule="auto" w:before="0" w:after="0"/>
        <w:ind w:left="599" w:right="0" w:hanging="360"/>
        <w:jc w:val="left"/>
      </w:pPr>
      <w:r>
        <w:rPr>
          <w:spacing w:val="-12"/>
          <w:w w:val="110"/>
        </w:rPr>
        <w:t>严重 </w:t>
      </w:r>
      <w:r>
        <w:rPr>
          <w:w w:val="125"/>
        </w:rPr>
        <w:t>III</w:t>
      </w:r>
      <w:r>
        <w:rPr>
          <w:spacing w:val="-43"/>
          <w:w w:val="125"/>
        </w:rPr>
        <w:t> </w:t>
      </w:r>
      <w:r>
        <w:rPr>
          <w:w w:val="110"/>
        </w:rPr>
        <w:t>度冻伤导致截肢</w:t>
      </w:r>
    </w:p>
    <w:p>
      <w:pPr>
        <w:pStyle w:val="BodyText"/>
        <w:spacing w:line="316" w:lineRule="auto" w:before="44"/>
        <w:ind w:left="175" w:right="285"/>
        <w:jc w:val="both"/>
      </w:pPr>
      <w:r>
        <w:rPr/>
        <w:br w:type="column"/>
      </w:r>
      <w:r>
        <w:rPr>
          <w:spacing w:val="-2"/>
        </w:rPr>
        <w:t>冻伤是由于寒冷潮湿作用引起的人体局部或全身损伤。严重 </w:t>
      </w:r>
      <w:r>
        <w:rPr/>
        <w:t>III</w:t>
      </w:r>
      <w:r>
        <w:rPr>
          <w:spacing w:val="-7"/>
        </w:rPr>
        <w:t> 度冻伤导致截肢指冻伤</w:t>
      </w:r>
      <w:r>
        <w:rPr>
          <w:spacing w:val="-15"/>
        </w:rPr>
        <w:t>程度达到 </w:t>
      </w:r>
      <w:r>
        <w:rPr/>
        <w:t>III</w:t>
      </w:r>
      <w:r>
        <w:rPr>
          <w:spacing w:val="-8"/>
        </w:rPr>
        <w:t> 度，且导致一个或一个以上肢体自腕关节或踝关节近端</w:t>
      </w:r>
      <w:r>
        <w:rPr/>
        <w:t>（靠近躯干端）以上完全性断离。</w:t>
      </w:r>
    </w:p>
    <w:p>
      <w:pPr>
        <w:spacing w:after="0" w:line="316" w:lineRule="auto"/>
        <w:jc w:val="both"/>
        <w:sectPr>
          <w:type w:val="continuous"/>
          <w:pgSz w:w="11910" w:h="16840"/>
          <w:pgMar w:top="1060" w:bottom="1160" w:left="1160" w:right="940"/>
          <w:cols w:num="2" w:equalWidth="0">
            <w:col w:w="2460" w:space="40"/>
            <w:col w:w="7310"/>
          </w:cols>
        </w:sectPr>
      </w:pPr>
    </w:p>
    <w:p>
      <w:pPr>
        <w:pStyle w:val="BodyText"/>
        <w:spacing w:before="0"/>
        <w:rPr>
          <w:sz w:val="20"/>
        </w:rPr>
      </w:pPr>
    </w:p>
    <w:p>
      <w:pPr>
        <w:pStyle w:val="BodyText"/>
        <w:spacing w:before="10"/>
        <w:rPr>
          <w:sz w:val="19"/>
        </w:rPr>
      </w:pPr>
    </w:p>
    <w:p>
      <w:pPr>
        <w:pStyle w:val="BodyText"/>
        <w:spacing w:before="45"/>
        <w:ind w:left="143"/>
      </w:pPr>
      <w:r>
        <w:rPr/>
        <w:t>注：</w:t>
      </w:r>
    </w:p>
    <w:p>
      <w:pPr>
        <w:pStyle w:val="ListParagraph"/>
        <w:numPr>
          <w:ilvl w:val="0"/>
          <w:numId w:val="29"/>
        </w:numPr>
        <w:tabs>
          <w:tab w:pos="563" w:val="left" w:leader="none"/>
          <w:tab w:pos="564" w:val="left" w:leader="none"/>
        </w:tabs>
        <w:spacing w:line="240" w:lineRule="auto" w:before="76" w:after="0"/>
        <w:ind w:left="563" w:right="0" w:hanging="420"/>
        <w:jc w:val="left"/>
        <w:rPr>
          <w:sz w:val="18"/>
        </w:rPr>
      </w:pPr>
      <w:r>
        <w:rPr>
          <w:sz w:val="18"/>
        </w:rPr>
        <w:t>专科医生</w:t>
      </w:r>
    </w:p>
    <w:p>
      <w:pPr>
        <w:pStyle w:val="BodyText"/>
        <w:ind w:left="563"/>
      </w:pPr>
      <w:r>
        <w:rPr/>
        <w:t>专科医生应当同时满足以下四项资格条件：</w:t>
      </w:r>
    </w:p>
    <w:p>
      <w:pPr>
        <w:pStyle w:val="ListParagraph"/>
        <w:numPr>
          <w:ilvl w:val="1"/>
          <w:numId w:val="29"/>
        </w:numPr>
        <w:tabs>
          <w:tab w:pos="984" w:val="left" w:leader="none"/>
        </w:tabs>
        <w:spacing w:line="240" w:lineRule="auto" w:before="76" w:after="0"/>
        <w:ind w:left="983" w:right="0" w:hanging="444"/>
        <w:jc w:val="left"/>
        <w:rPr>
          <w:sz w:val="18"/>
        </w:rPr>
      </w:pPr>
      <w:r>
        <w:rPr>
          <w:spacing w:val="-5"/>
          <w:sz w:val="18"/>
        </w:rPr>
        <w:t>具有有效的中华人民共和国《医师资格证书》；</w:t>
      </w:r>
    </w:p>
    <w:p>
      <w:pPr>
        <w:pStyle w:val="ListParagraph"/>
        <w:numPr>
          <w:ilvl w:val="1"/>
          <w:numId w:val="29"/>
        </w:numPr>
        <w:tabs>
          <w:tab w:pos="984" w:val="left" w:leader="none"/>
        </w:tabs>
        <w:spacing w:line="240" w:lineRule="auto" w:before="76" w:after="0"/>
        <w:ind w:left="983" w:right="0" w:hanging="444"/>
        <w:jc w:val="left"/>
        <w:rPr>
          <w:sz w:val="18"/>
        </w:rPr>
      </w:pPr>
      <w:r>
        <w:rPr>
          <w:spacing w:val="-5"/>
          <w:sz w:val="18"/>
        </w:rPr>
        <w:t>具有有效的中华人民共和国《医师执业证书》，并按期到相关部门登记注册；</w:t>
      </w:r>
    </w:p>
    <w:p>
      <w:pPr>
        <w:pStyle w:val="ListParagraph"/>
        <w:numPr>
          <w:ilvl w:val="1"/>
          <w:numId w:val="29"/>
        </w:numPr>
        <w:tabs>
          <w:tab w:pos="984" w:val="left" w:leader="none"/>
        </w:tabs>
        <w:spacing w:line="240" w:lineRule="auto" w:before="76" w:after="0"/>
        <w:ind w:left="983" w:right="0" w:hanging="444"/>
        <w:jc w:val="left"/>
        <w:rPr>
          <w:sz w:val="18"/>
        </w:rPr>
      </w:pPr>
      <w:r>
        <w:rPr>
          <w:spacing w:val="-3"/>
          <w:sz w:val="18"/>
        </w:rPr>
        <w:t>具有有效的中华人民共和国主治医师或主治医师以上职称的《医师职称证书》；</w:t>
      </w:r>
    </w:p>
    <w:p>
      <w:pPr>
        <w:pStyle w:val="ListParagraph"/>
        <w:numPr>
          <w:ilvl w:val="1"/>
          <w:numId w:val="29"/>
        </w:numPr>
        <w:tabs>
          <w:tab w:pos="984" w:val="left" w:leader="none"/>
        </w:tabs>
        <w:spacing w:line="240" w:lineRule="auto" w:before="76" w:after="0"/>
        <w:ind w:left="983" w:right="0" w:hanging="444"/>
        <w:jc w:val="left"/>
        <w:rPr>
          <w:sz w:val="18"/>
        </w:rPr>
      </w:pPr>
      <w:r>
        <w:rPr>
          <w:sz w:val="18"/>
        </w:rPr>
        <w:t>在二级或二级以上医院的相应科室从事临床工作三年以上。</w:t>
      </w:r>
    </w:p>
    <w:p>
      <w:pPr>
        <w:pStyle w:val="ListParagraph"/>
        <w:numPr>
          <w:ilvl w:val="0"/>
          <w:numId w:val="29"/>
        </w:numPr>
        <w:tabs>
          <w:tab w:pos="563" w:val="left" w:leader="none"/>
          <w:tab w:pos="564" w:val="left" w:leader="none"/>
        </w:tabs>
        <w:spacing w:line="240" w:lineRule="auto" w:before="76" w:after="0"/>
        <w:ind w:left="563" w:right="0" w:hanging="420"/>
        <w:jc w:val="left"/>
        <w:rPr>
          <w:sz w:val="18"/>
        </w:rPr>
      </w:pPr>
      <w:r>
        <w:rPr>
          <w:sz w:val="18"/>
        </w:rPr>
        <w:t>肢体机能完全丧失</w:t>
      </w:r>
    </w:p>
    <w:p>
      <w:pPr>
        <w:pStyle w:val="BodyText"/>
        <w:spacing w:line="316" w:lineRule="auto"/>
        <w:ind w:left="563" w:right="208"/>
      </w:pPr>
      <w:r>
        <w:rPr/>
        <w:t>指肢体的三大关节中的两大关节僵硬，或不能随意识活动。肢体是指包括肩关节的整个上肢或包括髋关节的整个下肢。</w:t>
      </w:r>
    </w:p>
    <w:p>
      <w:pPr>
        <w:pStyle w:val="ListParagraph"/>
        <w:numPr>
          <w:ilvl w:val="0"/>
          <w:numId w:val="29"/>
        </w:numPr>
        <w:tabs>
          <w:tab w:pos="563" w:val="left" w:leader="none"/>
          <w:tab w:pos="564" w:val="left" w:leader="none"/>
        </w:tabs>
        <w:spacing w:line="240" w:lineRule="auto" w:before="18" w:after="0"/>
        <w:ind w:left="563" w:right="0" w:hanging="420"/>
        <w:jc w:val="left"/>
        <w:rPr>
          <w:sz w:val="18"/>
        </w:rPr>
      </w:pPr>
      <w:r>
        <w:rPr>
          <w:sz w:val="18"/>
        </w:rPr>
        <w:t>语言能力完全丧失</w:t>
      </w:r>
    </w:p>
    <w:p>
      <w:pPr>
        <w:pStyle w:val="BodyText"/>
        <w:spacing w:line="316" w:lineRule="auto"/>
        <w:ind w:left="563" w:right="208"/>
      </w:pPr>
      <w:r>
        <w:rPr/>
        <w:t>指无法发出四种语音（包括口唇音、齿舌音、口盖音和喉头音）中的任何三种、或声带全部切除，或因大脑语言中枢受伤害而患失语症。</w:t>
      </w:r>
    </w:p>
    <w:p>
      <w:pPr>
        <w:pStyle w:val="ListParagraph"/>
        <w:numPr>
          <w:ilvl w:val="0"/>
          <w:numId w:val="29"/>
        </w:numPr>
        <w:tabs>
          <w:tab w:pos="563" w:val="left" w:leader="none"/>
          <w:tab w:pos="564" w:val="left" w:leader="none"/>
        </w:tabs>
        <w:spacing w:line="240" w:lineRule="auto" w:before="18" w:after="0"/>
        <w:ind w:left="563" w:right="0" w:hanging="420"/>
        <w:jc w:val="left"/>
        <w:rPr>
          <w:sz w:val="18"/>
        </w:rPr>
      </w:pPr>
      <w:r>
        <w:rPr>
          <w:sz w:val="18"/>
        </w:rPr>
        <w:t>咀嚼吞咽能力完全丧失</w:t>
      </w:r>
    </w:p>
    <w:p>
      <w:pPr>
        <w:pStyle w:val="BodyText"/>
        <w:ind w:left="563"/>
      </w:pPr>
      <w:r>
        <w:rPr/>
        <w:t>指因牙齿以外的原因导致器质障碍或机能障碍，以致不能作咀嚼吞咽运动，除流质食物外不能摄取或吞咽的状态。</w:t>
      </w:r>
    </w:p>
    <w:p>
      <w:pPr>
        <w:pStyle w:val="ListParagraph"/>
        <w:numPr>
          <w:ilvl w:val="0"/>
          <w:numId w:val="29"/>
        </w:numPr>
        <w:tabs>
          <w:tab w:pos="563" w:val="left" w:leader="none"/>
          <w:tab w:pos="564" w:val="left" w:leader="none"/>
        </w:tabs>
        <w:spacing w:line="240" w:lineRule="auto" w:before="76" w:after="0"/>
        <w:ind w:left="563" w:right="0" w:hanging="420"/>
        <w:jc w:val="left"/>
        <w:rPr>
          <w:sz w:val="18"/>
        </w:rPr>
      </w:pPr>
      <w:r>
        <w:rPr>
          <w:sz w:val="18"/>
        </w:rPr>
        <w:t>六项基本日常生活活动</w:t>
      </w:r>
    </w:p>
    <w:p>
      <w:pPr>
        <w:pStyle w:val="ListParagraph"/>
        <w:numPr>
          <w:ilvl w:val="1"/>
          <w:numId w:val="29"/>
        </w:numPr>
        <w:tabs>
          <w:tab w:pos="984" w:val="left" w:leader="none"/>
        </w:tabs>
        <w:spacing w:line="240" w:lineRule="auto" w:before="76" w:after="0"/>
        <w:ind w:left="983" w:right="0" w:hanging="444"/>
        <w:jc w:val="left"/>
        <w:rPr>
          <w:sz w:val="18"/>
        </w:rPr>
      </w:pPr>
      <w:r>
        <w:rPr>
          <w:sz w:val="18"/>
        </w:rPr>
        <w:t>穿衣：自己能够穿衣及脱衣；</w:t>
      </w:r>
    </w:p>
    <w:p>
      <w:pPr>
        <w:pStyle w:val="ListParagraph"/>
        <w:numPr>
          <w:ilvl w:val="1"/>
          <w:numId w:val="29"/>
        </w:numPr>
        <w:tabs>
          <w:tab w:pos="984" w:val="left" w:leader="none"/>
        </w:tabs>
        <w:spacing w:line="240" w:lineRule="auto" w:before="76" w:after="0"/>
        <w:ind w:left="983" w:right="0" w:hanging="444"/>
        <w:jc w:val="left"/>
        <w:rPr>
          <w:sz w:val="18"/>
        </w:rPr>
      </w:pPr>
      <w:r>
        <w:rPr>
          <w:sz w:val="18"/>
        </w:rPr>
        <w:t>移动：自己从一个房间到另一个房间；</w:t>
      </w:r>
    </w:p>
    <w:p>
      <w:pPr>
        <w:pStyle w:val="ListParagraph"/>
        <w:numPr>
          <w:ilvl w:val="1"/>
          <w:numId w:val="29"/>
        </w:numPr>
        <w:tabs>
          <w:tab w:pos="984" w:val="left" w:leader="none"/>
        </w:tabs>
        <w:spacing w:line="240" w:lineRule="auto" w:before="75" w:after="0"/>
        <w:ind w:left="983" w:right="0" w:hanging="444"/>
        <w:jc w:val="left"/>
        <w:rPr>
          <w:sz w:val="18"/>
        </w:rPr>
      </w:pPr>
      <w:r>
        <w:rPr>
          <w:sz w:val="18"/>
        </w:rPr>
        <w:t>行动：自己上下床或上下轮椅；</w:t>
      </w:r>
    </w:p>
    <w:p>
      <w:pPr>
        <w:pStyle w:val="ListParagraph"/>
        <w:numPr>
          <w:ilvl w:val="1"/>
          <w:numId w:val="29"/>
        </w:numPr>
        <w:tabs>
          <w:tab w:pos="984" w:val="left" w:leader="none"/>
        </w:tabs>
        <w:spacing w:line="240" w:lineRule="auto" w:before="75" w:after="0"/>
        <w:ind w:left="983" w:right="0" w:hanging="444"/>
        <w:jc w:val="left"/>
        <w:rPr>
          <w:sz w:val="18"/>
        </w:rPr>
      </w:pPr>
      <w:r>
        <w:rPr>
          <w:sz w:val="18"/>
        </w:rPr>
        <w:t>如厕：自己控制进行大小便；</w:t>
      </w:r>
    </w:p>
    <w:p>
      <w:pPr>
        <w:pStyle w:val="ListParagraph"/>
        <w:numPr>
          <w:ilvl w:val="1"/>
          <w:numId w:val="29"/>
        </w:numPr>
        <w:tabs>
          <w:tab w:pos="984" w:val="left" w:leader="none"/>
        </w:tabs>
        <w:spacing w:line="240" w:lineRule="auto" w:before="76" w:after="0"/>
        <w:ind w:left="983" w:right="0" w:hanging="444"/>
        <w:jc w:val="left"/>
        <w:rPr>
          <w:sz w:val="18"/>
        </w:rPr>
      </w:pPr>
      <w:r>
        <w:rPr>
          <w:sz w:val="18"/>
        </w:rPr>
        <w:t>进食：自己从已准备好的碗或碟中取食物放入口中；</w:t>
      </w:r>
    </w:p>
    <w:p>
      <w:pPr>
        <w:pStyle w:val="ListParagraph"/>
        <w:numPr>
          <w:ilvl w:val="1"/>
          <w:numId w:val="29"/>
        </w:numPr>
        <w:tabs>
          <w:tab w:pos="984" w:val="left" w:leader="none"/>
        </w:tabs>
        <w:spacing w:line="240" w:lineRule="auto" w:before="76" w:after="0"/>
        <w:ind w:left="983" w:right="0" w:hanging="444"/>
        <w:jc w:val="left"/>
        <w:rPr>
          <w:sz w:val="18"/>
        </w:rPr>
      </w:pPr>
      <w:r>
        <w:rPr>
          <w:sz w:val="18"/>
        </w:rPr>
        <w:t>洗澡：自己进行淋浴或盆浴。</w:t>
      </w:r>
    </w:p>
    <w:p>
      <w:pPr>
        <w:pStyle w:val="ListParagraph"/>
        <w:numPr>
          <w:ilvl w:val="0"/>
          <w:numId w:val="29"/>
        </w:numPr>
        <w:tabs>
          <w:tab w:pos="563" w:val="left" w:leader="none"/>
          <w:tab w:pos="564" w:val="left" w:leader="none"/>
        </w:tabs>
        <w:spacing w:line="240" w:lineRule="auto" w:before="76" w:after="0"/>
        <w:ind w:left="563" w:right="0" w:hanging="420"/>
        <w:jc w:val="left"/>
        <w:rPr>
          <w:sz w:val="18"/>
        </w:rPr>
      </w:pPr>
      <w:r>
        <w:rPr>
          <w:sz w:val="18"/>
        </w:rPr>
        <w:t>永久不可逆</w:t>
      </w:r>
    </w:p>
    <w:p>
      <w:pPr>
        <w:pStyle w:val="BodyText"/>
        <w:ind w:left="563"/>
      </w:pPr>
      <w:r>
        <w:rPr/>
        <w:t>指自疾病确诊或意外伤害发生之日起，经过积极治疗 180 天后，仍无法通过现有医疗手段恢复。</w:t>
      </w:r>
    </w:p>
    <w:sectPr>
      <w:type w:val="continuous"/>
      <w:pgSz w:w="11910" w:h="16840"/>
      <w:pgMar w:top="1060" w:bottom="116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PMingLiU-ExtB">
    <w:altName w:val="PMingLiU-ExtB"/>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80899pt;margin-top:782.019775pt;width:29.15pt;height:12pt;mso-position-horizontal-relative:page;mso-position-vertical-relative:page;z-index:-31648"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301pt;margin-top:782.019775pt;width:33.7pt;height:12pt;mso-position-horizontal-relative:page;mso-position-vertical-relative:page;z-index:-31552"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160004pt;margin-top:42.57975pt;width:194.85pt;height:12pt;mso-position-horizontal-relative:page;mso-position-vertical-relative:page;z-index:-31696" type="#_x0000_t202" filled="false" stroked="false">
          <v:textbox inset="0,0,0,0">
            <w:txbxContent>
              <w:p>
                <w:pPr>
                  <w:pStyle w:val="BodyText"/>
                  <w:spacing w:line="219" w:lineRule="exact" w:before="0"/>
                  <w:ind w:left="20"/>
                </w:pPr>
                <w:r>
                  <w:rPr>
                    <w:spacing w:val="-3"/>
                  </w:rPr>
                  <w:t>民生附加投保人豁免保费重大疾病保险 </w:t>
                </w:r>
                <w:r>
                  <w:rPr>
                    <w:rFonts w:ascii="Times New Roman" w:eastAsia="Times New Roman"/>
                  </w:rPr>
                  <w:t>2018 </w:t>
                </w:r>
                <w:r>
                  <w:rPr/>
                  <w:t>条款</w:t>
                </w:r>
              </w:p>
            </w:txbxContent>
          </v:textbox>
          <w10:wrap type="none"/>
        </v:shape>
      </w:pict>
    </w:r>
    <w:r>
      <w:rPr/>
      <w:pict>
        <v:shape style="position:absolute;margin-left:432.56601pt;margin-top:42.865395pt;width:110pt;height:11pt;mso-position-horizontal-relative:page;mso-position-vertical-relative:page;z-index:-31672"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31624" from="63.720001pt,55.559769pt" to="542.880001pt,55.559769pt" stroked="true" strokeweight=".72pt" strokecolor="#000000">
          <v:stroke dashstyle="solid"/>
          <w10:wrap type="none"/>
        </v:line>
      </w:pict>
    </w:r>
    <w:r>
      <w:rPr/>
      <w:pict>
        <v:shape style="position:absolute;margin-left:64.160004pt;margin-top:42.57975pt;width:194.85pt;height:12pt;mso-position-horizontal-relative:page;mso-position-vertical-relative:page;z-index:-31600" type="#_x0000_t202" filled="false" stroked="false">
          <v:textbox inset="0,0,0,0">
            <w:txbxContent>
              <w:p>
                <w:pPr>
                  <w:pStyle w:val="BodyText"/>
                  <w:spacing w:line="219" w:lineRule="exact" w:before="0"/>
                  <w:ind w:left="20"/>
                </w:pPr>
                <w:r>
                  <w:rPr>
                    <w:spacing w:val="-3"/>
                  </w:rPr>
                  <w:t>民生附加投保人豁免保费重大疾病保险 </w:t>
                </w:r>
                <w:r>
                  <w:rPr>
                    <w:rFonts w:ascii="Times New Roman" w:eastAsia="Times New Roman"/>
                  </w:rPr>
                  <w:t>2018 </w:t>
                </w:r>
                <w:r>
                  <w:rPr/>
                  <w:t>条款</w:t>
                </w:r>
              </w:p>
            </w:txbxContent>
          </v:textbox>
          <w10:wrap type="none"/>
        </v:shape>
      </w:pict>
    </w:r>
    <w:r>
      <w:rPr/>
      <w:pict>
        <v:shape style="position:absolute;margin-left:432.56601pt;margin-top:42.865395pt;width:110pt;height:11pt;mso-position-horizontal-relative:page;mso-position-vertical-relative:page;z-index:-31576"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563" w:hanging="421"/>
        <w:jc w:val="left"/>
      </w:pPr>
      <w:rPr>
        <w:rFonts w:hint="default" w:ascii="宋体" w:hAnsi="宋体" w:eastAsia="宋体" w:cs="宋体"/>
        <w:w w:val="100"/>
        <w:sz w:val="18"/>
        <w:szCs w:val="18"/>
      </w:rPr>
    </w:lvl>
    <w:lvl w:ilvl="1">
      <w:start w:val="1"/>
      <w:numFmt w:val="decimal"/>
      <w:lvlText w:val="(%2)"/>
      <w:lvlJc w:val="left"/>
      <w:pPr>
        <w:ind w:left="983" w:hanging="445"/>
        <w:jc w:val="left"/>
      </w:pPr>
      <w:rPr>
        <w:rFonts w:hint="default" w:ascii="宋体" w:hAnsi="宋体" w:eastAsia="宋体" w:cs="宋体"/>
        <w:spacing w:val="-92"/>
        <w:w w:val="100"/>
        <w:sz w:val="18"/>
        <w:szCs w:val="18"/>
      </w:rPr>
    </w:lvl>
    <w:lvl w:ilvl="2">
      <w:start w:val="0"/>
      <w:numFmt w:val="bullet"/>
      <w:lvlText w:val="•"/>
      <w:lvlJc w:val="left"/>
      <w:pPr>
        <w:ind w:left="1960" w:hanging="445"/>
      </w:pPr>
      <w:rPr>
        <w:rFonts w:hint="default"/>
      </w:rPr>
    </w:lvl>
    <w:lvl w:ilvl="3">
      <w:start w:val="0"/>
      <w:numFmt w:val="bullet"/>
      <w:lvlText w:val="•"/>
      <w:lvlJc w:val="left"/>
      <w:pPr>
        <w:ind w:left="2941" w:hanging="445"/>
      </w:pPr>
      <w:rPr>
        <w:rFonts w:hint="default"/>
      </w:rPr>
    </w:lvl>
    <w:lvl w:ilvl="4">
      <w:start w:val="0"/>
      <w:numFmt w:val="bullet"/>
      <w:lvlText w:val="•"/>
      <w:lvlJc w:val="left"/>
      <w:pPr>
        <w:ind w:left="3921" w:hanging="445"/>
      </w:pPr>
      <w:rPr>
        <w:rFonts w:hint="default"/>
      </w:rPr>
    </w:lvl>
    <w:lvl w:ilvl="5">
      <w:start w:val="0"/>
      <w:numFmt w:val="bullet"/>
      <w:lvlText w:val="•"/>
      <w:lvlJc w:val="left"/>
      <w:pPr>
        <w:ind w:left="4902" w:hanging="445"/>
      </w:pPr>
      <w:rPr>
        <w:rFonts w:hint="default"/>
      </w:rPr>
    </w:lvl>
    <w:lvl w:ilvl="6">
      <w:start w:val="0"/>
      <w:numFmt w:val="bullet"/>
      <w:lvlText w:val="•"/>
      <w:lvlJc w:val="left"/>
      <w:pPr>
        <w:ind w:left="5883" w:hanging="445"/>
      </w:pPr>
      <w:rPr>
        <w:rFonts w:hint="default"/>
      </w:rPr>
    </w:lvl>
    <w:lvl w:ilvl="7">
      <w:start w:val="0"/>
      <w:numFmt w:val="bullet"/>
      <w:lvlText w:val="•"/>
      <w:lvlJc w:val="left"/>
      <w:pPr>
        <w:ind w:left="6863" w:hanging="445"/>
      </w:pPr>
      <w:rPr>
        <w:rFonts w:hint="default"/>
      </w:rPr>
    </w:lvl>
    <w:lvl w:ilvl="8">
      <w:start w:val="0"/>
      <w:numFmt w:val="bullet"/>
      <w:lvlText w:val="•"/>
      <w:lvlJc w:val="left"/>
      <w:pPr>
        <w:ind w:left="7844" w:hanging="445"/>
      </w:pPr>
      <w:rPr>
        <w:rFonts w:hint="default"/>
      </w:rPr>
    </w:lvl>
  </w:abstractNum>
  <w:abstractNum w:abstractNumId="27">
    <w:multiLevelType w:val="hybridMultilevel"/>
    <w:lvl w:ilvl="0">
      <w:start w:val="1"/>
      <w:numFmt w:val="decimal"/>
      <w:lvlText w:val="(%1)"/>
      <w:lvlJc w:val="left"/>
      <w:pPr>
        <w:ind w:left="593" w:hanging="420"/>
        <w:jc w:val="right"/>
      </w:pPr>
      <w:rPr>
        <w:rFonts w:hint="default" w:ascii="宋体" w:hAnsi="宋体" w:eastAsia="宋体" w:cs="宋体"/>
        <w:spacing w:val="-33"/>
        <w:w w:val="100"/>
        <w:sz w:val="18"/>
        <w:szCs w:val="18"/>
      </w:rPr>
    </w:lvl>
    <w:lvl w:ilvl="1">
      <w:start w:val="0"/>
      <w:numFmt w:val="bullet"/>
      <w:lvlText w:val="•"/>
      <w:lvlJc w:val="left"/>
      <w:pPr>
        <w:ind w:left="1270" w:hanging="420"/>
      </w:pPr>
      <w:rPr>
        <w:rFonts w:hint="default"/>
      </w:rPr>
    </w:lvl>
    <w:lvl w:ilvl="2">
      <w:start w:val="0"/>
      <w:numFmt w:val="bullet"/>
      <w:lvlText w:val="•"/>
      <w:lvlJc w:val="left"/>
      <w:pPr>
        <w:ind w:left="1940" w:hanging="420"/>
      </w:pPr>
      <w:rPr>
        <w:rFonts w:hint="default"/>
      </w:rPr>
    </w:lvl>
    <w:lvl w:ilvl="3">
      <w:start w:val="0"/>
      <w:numFmt w:val="bullet"/>
      <w:lvlText w:val="•"/>
      <w:lvlJc w:val="left"/>
      <w:pPr>
        <w:ind w:left="2611" w:hanging="420"/>
      </w:pPr>
      <w:rPr>
        <w:rFonts w:hint="default"/>
      </w:rPr>
    </w:lvl>
    <w:lvl w:ilvl="4">
      <w:start w:val="0"/>
      <w:numFmt w:val="bullet"/>
      <w:lvlText w:val="•"/>
      <w:lvlJc w:val="left"/>
      <w:pPr>
        <w:ind w:left="3281" w:hanging="420"/>
      </w:pPr>
      <w:rPr>
        <w:rFonts w:hint="default"/>
      </w:rPr>
    </w:lvl>
    <w:lvl w:ilvl="5">
      <w:start w:val="0"/>
      <w:numFmt w:val="bullet"/>
      <w:lvlText w:val="•"/>
      <w:lvlJc w:val="left"/>
      <w:pPr>
        <w:ind w:left="3951" w:hanging="420"/>
      </w:pPr>
      <w:rPr>
        <w:rFonts w:hint="default"/>
      </w:rPr>
    </w:lvl>
    <w:lvl w:ilvl="6">
      <w:start w:val="0"/>
      <w:numFmt w:val="bullet"/>
      <w:lvlText w:val="•"/>
      <w:lvlJc w:val="left"/>
      <w:pPr>
        <w:ind w:left="4622" w:hanging="420"/>
      </w:pPr>
      <w:rPr>
        <w:rFonts w:hint="default"/>
      </w:rPr>
    </w:lvl>
    <w:lvl w:ilvl="7">
      <w:start w:val="0"/>
      <w:numFmt w:val="bullet"/>
      <w:lvlText w:val="•"/>
      <w:lvlJc w:val="left"/>
      <w:pPr>
        <w:ind w:left="5292" w:hanging="420"/>
      </w:pPr>
      <w:rPr>
        <w:rFonts w:hint="default"/>
      </w:rPr>
    </w:lvl>
    <w:lvl w:ilvl="8">
      <w:start w:val="0"/>
      <w:numFmt w:val="bullet"/>
      <w:lvlText w:val="•"/>
      <w:lvlJc w:val="left"/>
      <w:pPr>
        <w:ind w:left="5963" w:hanging="420"/>
      </w:pPr>
      <w:rPr>
        <w:rFonts w:hint="default"/>
      </w:rPr>
    </w:lvl>
  </w:abstractNum>
  <w:abstractNum w:abstractNumId="26">
    <w:multiLevelType w:val="hybridMultilevel"/>
    <w:lvl w:ilvl="0">
      <w:start w:val="1"/>
      <w:numFmt w:val="decimal"/>
      <w:lvlText w:val="(%1)"/>
      <w:lvlJc w:val="left"/>
      <w:pPr>
        <w:ind w:left="595" w:hanging="420"/>
        <w:jc w:val="left"/>
      </w:pPr>
      <w:rPr>
        <w:rFonts w:hint="default" w:ascii="宋体" w:hAnsi="宋体" w:eastAsia="宋体" w:cs="宋体"/>
        <w:spacing w:val="-33"/>
        <w:w w:val="100"/>
        <w:sz w:val="18"/>
        <w:szCs w:val="18"/>
      </w:rPr>
    </w:lvl>
    <w:lvl w:ilvl="1">
      <w:start w:val="0"/>
      <w:numFmt w:val="bullet"/>
      <w:lvlText w:val="•"/>
      <w:lvlJc w:val="left"/>
      <w:pPr>
        <w:ind w:left="1270" w:hanging="420"/>
      </w:pPr>
      <w:rPr>
        <w:rFonts w:hint="default"/>
      </w:rPr>
    </w:lvl>
    <w:lvl w:ilvl="2">
      <w:start w:val="0"/>
      <w:numFmt w:val="bullet"/>
      <w:lvlText w:val="•"/>
      <w:lvlJc w:val="left"/>
      <w:pPr>
        <w:ind w:left="1941" w:hanging="420"/>
      </w:pPr>
      <w:rPr>
        <w:rFonts w:hint="default"/>
      </w:rPr>
    </w:lvl>
    <w:lvl w:ilvl="3">
      <w:start w:val="0"/>
      <w:numFmt w:val="bullet"/>
      <w:lvlText w:val="•"/>
      <w:lvlJc w:val="left"/>
      <w:pPr>
        <w:ind w:left="2611" w:hanging="420"/>
      </w:pPr>
      <w:rPr>
        <w:rFonts w:hint="default"/>
      </w:rPr>
    </w:lvl>
    <w:lvl w:ilvl="4">
      <w:start w:val="0"/>
      <w:numFmt w:val="bullet"/>
      <w:lvlText w:val="•"/>
      <w:lvlJc w:val="left"/>
      <w:pPr>
        <w:ind w:left="3282" w:hanging="420"/>
      </w:pPr>
      <w:rPr>
        <w:rFonts w:hint="default"/>
      </w:rPr>
    </w:lvl>
    <w:lvl w:ilvl="5">
      <w:start w:val="0"/>
      <w:numFmt w:val="bullet"/>
      <w:lvlText w:val="•"/>
      <w:lvlJc w:val="left"/>
      <w:pPr>
        <w:ind w:left="3953" w:hanging="420"/>
      </w:pPr>
      <w:rPr>
        <w:rFonts w:hint="default"/>
      </w:rPr>
    </w:lvl>
    <w:lvl w:ilvl="6">
      <w:start w:val="0"/>
      <w:numFmt w:val="bullet"/>
      <w:lvlText w:val="•"/>
      <w:lvlJc w:val="left"/>
      <w:pPr>
        <w:ind w:left="4623" w:hanging="420"/>
      </w:pPr>
      <w:rPr>
        <w:rFonts w:hint="default"/>
      </w:rPr>
    </w:lvl>
    <w:lvl w:ilvl="7">
      <w:start w:val="0"/>
      <w:numFmt w:val="bullet"/>
      <w:lvlText w:val="•"/>
      <w:lvlJc w:val="left"/>
      <w:pPr>
        <w:ind w:left="5294" w:hanging="420"/>
      </w:pPr>
      <w:rPr>
        <w:rFonts w:hint="default"/>
      </w:rPr>
    </w:lvl>
    <w:lvl w:ilvl="8">
      <w:start w:val="0"/>
      <w:numFmt w:val="bullet"/>
      <w:lvlText w:val="•"/>
      <w:lvlJc w:val="left"/>
      <w:pPr>
        <w:ind w:left="5964" w:hanging="420"/>
      </w:pPr>
      <w:rPr>
        <w:rFonts w:hint="default"/>
      </w:rPr>
    </w:lvl>
  </w:abstractNum>
  <w:abstractNum w:abstractNumId="25">
    <w:multiLevelType w:val="hybridMultilevel"/>
    <w:lvl w:ilvl="0">
      <w:start w:val="1"/>
      <w:numFmt w:val="decimal"/>
      <w:lvlText w:val="(%1)"/>
      <w:lvlJc w:val="left"/>
      <w:pPr>
        <w:ind w:left="595" w:hanging="420"/>
        <w:jc w:val="left"/>
      </w:pPr>
      <w:rPr>
        <w:rFonts w:hint="default" w:ascii="宋体" w:hAnsi="宋体" w:eastAsia="宋体" w:cs="宋体"/>
        <w:spacing w:val="-33"/>
        <w:w w:val="100"/>
        <w:sz w:val="18"/>
        <w:szCs w:val="18"/>
      </w:rPr>
    </w:lvl>
    <w:lvl w:ilvl="1">
      <w:start w:val="0"/>
      <w:numFmt w:val="bullet"/>
      <w:lvlText w:val="•"/>
      <w:lvlJc w:val="left"/>
      <w:pPr>
        <w:ind w:left="1270" w:hanging="420"/>
      </w:pPr>
      <w:rPr>
        <w:rFonts w:hint="default"/>
      </w:rPr>
    </w:lvl>
    <w:lvl w:ilvl="2">
      <w:start w:val="0"/>
      <w:numFmt w:val="bullet"/>
      <w:lvlText w:val="•"/>
      <w:lvlJc w:val="left"/>
      <w:pPr>
        <w:ind w:left="1941" w:hanging="420"/>
      </w:pPr>
      <w:rPr>
        <w:rFonts w:hint="default"/>
      </w:rPr>
    </w:lvl>
    <w:lvl w:ilvl="3">
      <w:start w:val="0"/>
      <w:numFmt w:val="bullet"/>
      <w:lvlText w:val="•"/>
      <w:lvlJc w:val="left"/>
      <w:pPr>
        <w:ind w:left="2611" w:hanging="420"/>
      </w:pPr>
      <w:rPr>
        <w:rFonts w:hint="default"/>
      </w:rPr>
    </w:lvl>
    <w:lvl w:ilvl="4">
      <w:start w:val="0"/>
      <w:numFmt w:val="bullet"/>
      <w:lvlText w:val="•"/>
      <w:lvlJc w:val="left"/>
      <w:pPr>
        <w:ind w:left="3282" w:hanging="420"/>
      </w:pPr>
      <w:rPr>
        <w:rFonts w:hint="default"/>
      </w:rPr>
    </w:lvl>
    <w:lvl w:ilvl="5">
      <w:start w:val="0"/>
      <w:numFmt w:val="bullet"/>
      <w:lvlText w:val="•"/>
      <w:lvlJc w:val="left"/>
      <w:pPr>
        <w:ind w:left="3953" w:hanging="420"/>
      </w:pPr>
      <w:rPr>
        <w:rFonts w:hint="default"/>
      </w:rPr>
    </w:lvl>
    <w:lvl w:ilvl="6">
      <w:start w:val="0"/>
      <w:numFmt w:val="bullet"/>
      <w:lvlText w:val="•"/>
      <w:lvlJc w:val="left"/>
      <w:pPr>
        <w:ind w:left="4623" w:hanging="420"/>
      </w:pPr>
      <w:rPr>
        <w:rFonts w:hint="default"/>
      </w:rPr>
    </w:lvl>
    <w:lvl w:ilvl="7">
      <w:start w:val="0"/>
      <w:numFmt w:val="bullet"/>
      <w:lvlText w:val="•"/>
      <w:lvlJc w:val="left"/>
      <w:pPr>
        <w:ind w:left="5294" w:hanging="420"/>
      </w:pPr>
      <w:rPr>
        <w:rFonts w:hint="default"/>
      </w:rPr>
    </w:lvl>
    <w:lvl w:ilvl="8">
      <w:start w:val="0"/>
      <w:numFmt w:val="bullet"/>
      <w:lvlText w:val="•"/>
      <w:lvlJc w:val="left"/>
      <w:pPr>
        <w:ind w:left="5964" w:hanging="420"/>
      </w:pPr>
      <w:rPr>
        <w:rFonts w:hint="default"/>
      </w:rPr>
    </w:lvl>
  </w:abstractNum>
  <w:abstractNum w:abstractNumId="24">
    <w:multiLevelType w:val="hybridMultilevel"/>
    <w:lvl w:ilvl="0">
      <w:start w:val="1"/>
      <w:numFmt w:val="decimal"/>
      <w:lvlText w:val="(%1)"/>
      <w:lvlJc w:val="left"/>
      <w:pPr>
        <w:ind w:left="595" w:hanging="420"/>
        <w:jc w:val="left"/>
      </w:pPr>
      <w:rPr>
        <w:rFonts w:hint="default" w:ascii="宋体" w:hAnsi="宋体" w:eastAsia="宋体" w:cs="宋体"/>
        <w:spacing w:val="-45"/>
        <w:w w:val="100"/>
        <w:sz w:val="18"/>
        <w:szCs w:val="18"/>
      </w:rPr>
    </w:lvl>
    <w:lvl w:ilvl="1">
      <w:start w:val="0"/>
      <w:numFmt w:val="bullet"/>
      <w:lvlText w:val="•"/>
      <w:lvlJc w:val="left"/>
      <w:pPr>
        <w:ind w:left="1270" w:hanging="420"/>
      </w:pPr>
      <w:rPr>
        <w:rFonts w:hint="default"/>
      </w:rPr>
    </w:lvl>
    <w:lvl w:ilvl="2">
      <w:start w:val="0"/>
      <w:numFmt w:val="bullet"/>
      <w:lvlText w:val="•"/>
      <w:lvlJc w:val="left"/>
      <w:pPr>
        <w:ind w:left="1941" w:hanging="420"/>
      </w:pPr>
      <w:rPr>
        <w:rFonts w:hint="default"/>
      </w:rPr>
    </w:lvl>
    <w:lvl w:ilvl="3">
      <w:start w:val="0"/>
      <w:numFmt w:val="bullet"/>
      <w:lvlText w:val="•"/>
      <w:lvlJc w:val="left"/>
      <w:pPr>
        <w:ind w:left="2611" w:hanging="420"/>
      </w:pPr>
      <w:rPr>
        <w:rFonts w:hint="default"/>
      </w:rPr>
    </w:lvl>
    <w:lvl w:ilvl="4">
      <w:start w:val="0"/>
      <w:numFmt w:val="bullet"/>
      <w:lvlText w:val="•"/>
      <w:lvlJc w:val="left"/>
      <w:pPr>
        <w:ind w:left="3282" w:hanging="420"/>
      </w:pPr>
      <w:rPr>
        <w:rFonts w:hint="default"/>
      </w:rPr>
    </w:lvl>
    <w:lvl w:ilvl="5">
      <w:start w:val="0"/>
      <w:numFmt w:val="bullet"/>
      <w:lvlText w:val="•"/>
      <w:lvlJc w:val="left"/>
      <w:pPr>
        <w:ind w:left="3953" w:hanging="420"/>
      </w:pPr>
      <w:rPr>
        <w:rFonts w:hint="default"/>
      </w:rPr>
    </w:lvl>
    <w:lvl w:ilvl="6">
      <w:start w:val="0"/>
      <w:numFmt w:val="bullet"/>
      <w:lvlText w:val="•"/>
      <w:lvlJc w:val="left"/>
      <w:pPr>
        <w:ind w:left="4623" w:hanging="420"/>
      </w:pPr>
      <w:rPr>
        <w:rFonts w:hint="default"/>
      </w:rPr>
    </w:lvl>
    <w:lvl w:ilvl="7">
      <w:start w:val="0"/>
      <w:numFmt w:val="bullet"/>
      <w:lvlText w:val="•"/>
      <w:lvlJc w:val="left"/>
      <w:pPr>
        <w:ind w:left="5294" w:hanging="420"/>
      </w:pPr>
      <w:rPr>
        <w:rFonts w:hint="default"/>
      </w:rPr>
    </w:lvl>
    <w:lvl w:ilvl="8">
      <w:start w:val="0"/>
      <w:numFmt w:val="bullet"/>
      <w:lvlText w:val="•"/>
      <w:lvlJc w:val="left"/>
      <w:pPr>
        <w:ind w:left="5964" w:hanging="420"/>
      </w:pPr>
      <w:rPr>
        <w:rFonts w:hint="default"/>
      </w:rPr>
    </w:lvl>
  </w:abstractNum>
  <w:abstractNum w:abstractNumId="23">
    <w:multiLevelType w:val="hybridMultilevel"/>
    <w:lvl w:ilvl="0">
      <w:start w:val="1"/>
      <w:numFmt w:val="decimal"/>
      <w:lvlText w:val="(%1)"/>
      <w:lvlJc w:val="left"/>
      <w:pPr>
        <w:ind w:left="595" w:hanging="420"/>
        <w:jc w:val="left"/>
      </w:pPr>
      <w:rPr>
        <w:rFonts w:hint="default" w:ascii="宋体" w:hAnsi="宋体" w:eastAsia="宋体" w:cs="宋体"/>
        <w:spacing w:val="-33"/>
        <w:w w:val="100"/>
        <w:sz w:val="18"/>
        <w:szCs w:val="18"/>
      </w:rPr>
    </w:lvl>
    <w:lvl w:ilvl="1">
      <w:start w:val="0"/>
      <w:numFmt w:val="bullet"/>
      <w:lvlText w:val="•"/>
      <w:lvlJc w:val="left"/>
      <w:pPr>
        <w:ind w:left="1270" w:hanging="420"/>
      </w:pPr>
      <w:rPr>
        <w:rFonts w:hint="default"/>
      </w:rPr>
    </w:lvl>
    <w:lvl w:ilvl="2">
      <w:start w:val="0"/>
      <w:numFmt w:val="bullet"/>
      <w:lvlText w:val="•"/>
      <w:lvlJc w:val="left"/>
      <w:pPr>
        <w:ind w:left="1941" w:hanging="420"/>
      </w:pPr>
      <w:rPr>
        <w:rFonts w:hint="default"/>
      </w:rPr>
    </w:lvl>
    <w:lvl w:ilvl="3">
      <w:start w:val="0"/>
      <w:numFmt w:val="bullet"/>
      <w:lvlText w:val="•"/>
      <w:lvlJc w:val="left"/>
      <w:pPr>
        <w:ind w:left="2611" w:hanging="420"/>
      </w:pPr>
      <w:rPr>
        <w:rFonts w:hint="default"/>
      </w:rPr>
    </w:lvl>
    <w:lvl w:ilvl="4">
      <w:start w:val="0"/>
      <w:numFmt w:val="bullet"/>
      <w:lvlText w:val="•"/>
      <w:lvlJc w:val="left"/>
      <w:pPr>
        <w:ind w:left="3282" w:hanging="420"/>
      </w:pPr>
      <w:rPr>
        <w:rFonts w:hint="default"/>
      </w:rPr>
    </w:lvl>
    <w:lvl w:ilvl="5">
      <w:start w:val="0"/>
      <w:numFmt w:val="bullet"/>
      <w:lvlText w:val="•"/>
      <w:lvlJc w:val="left"/>
      <w:pPr>
        <w:ind w:left="3953" w:hanging="420"/>
      </w:pPr>
      <w:rPr>
        <w:rFonts w:hint="default"/>
      </w:rPr>
    </w:lvl>
    <w:lvl w:ilvl="6">
      <w:start w:val="0"/>
      <w:numFmt w:val="bullet"/>
      <w:lvlText w:val="•"/>
      <w:lvlJc w:val="left"/>
      <w:pPr>
        <w:ind w:left="4623" w:hanging="420"/>
      </w:pPr>
      <w:rPr>
        <w:rFonts w:hint="default"/>
      </w:rPr>
    </w:lvl>
    <w:lvl w:ilvl="7">
      <w:start w:val="0"/>
      <w:numFmt w:val="bullet"/>
      <w:lvlText w:val="•"/>
      <w:lvlJc w:val="left"/>
      <w:pPr>
        <w:ind w:left="5294" w:hanging="420"/>
      </w:pPr>
      <w:rPr>
        <w:rFonts w:hint="default"/>
      </w:rPr>
    </w:lvl>
    <w:lvl w:ilvl="8">
      <w:start w:val="0"/>
      <w:numFmt w:val="bullet"/>
      <w:lvlText w:val="•"/>
      <w:lvlJc w:val="left"/>
      <w:pPr>
        <w:ind w:left="5964" w:hanging="420"/>
      </w:pPr>
      <w:rPr>
        <w:rFonts w:hint="default"/>
      </w:rPr>
    </w:lvl>
  </w:abstractNum>
  <w:abstractNum w:abstractNumId="22">
    <w:multiLevelType w:val="hybridMultilevel"/>
    <w:lvl w:ilvl="0">
      <w:start w:val="1"/>
      <w:numFmt w:val="upperRoman"/>
      <w:lvlText w:val="%1"/>
      <w:lvlJc w:val="left"/>
      <w:pPr>
        <w:ind w:left="311" w:hanging="137"/>
        <w:jc w:val="left"/>
      </w:pPr>
      <w:rPr>
        <w:rFonts w:hint="default" w:ascii="宋体" w:hAnsi="宋体" w:eastAsia="宋体" w:cs="宋体"/>
        <w:w w:val="100"/>
        <w:sz w:val="18"/>
        <w:szCs w:val="18"/>
      </w:rPr>
    </w:lvl>
    <w:lvl w:ilvl="1">
      <w:start w:val="0"/>
      <w:numFmt w:val="bullet"/>
      <w:lvlText w:val="•"/>
      <w:lvlJc w:val="left"/>
      <w:pPr>
        <w:ind w:left="1018" w:hanging="137"/>
      </w:pPr>
      <w:rPr>
        <w:rFonts w:hint="default"/>
      </w:rPr>
    </w:lvl>
    <w:lvl w:ilvl="2">
      <w:start w:val="0"/>
      <w:numFmt w:val="bullet"/>
      <w:lvlText w:val="•"/>
      <w:lvlJc w:val="left"/>
      <w:pPr>
        <w:ind w:left="1717" w:hanging="137"/>
      </w:pPr>
      <w:rPr>
        <w:rFonts w:hint="default"/>
      </w:rPr>
    </w:lvl>
    <w:lvl w:ilvl="3">
      <w:start w:val="0"/>
      <w:numFmt w:val="bullet"/>
      <w:lvlText w:val="•"/>
      <w:lvlJc w:val="left"/>
      <w:pPr>
        <w:ind w:left="2415" w:hanging="137"/>
      </w:pPr>
      <w:rPr>
        <w:rFonts w:hint="default"/>
      </w:rPr>
    </w:lvl>
    <w:lvl w:ilvl="4">
      <w:start w:val="0"/>
      <w:numFmt w:val="bullet"/>
      <w:lvlText w:val="•"/>
      <w:lvlJc w:val="left"/>
      <w:pPr>
        <w:ind w:left="3114" w:hanging="137"/>
      </w:pPr>
      <w:rPr>
        <w:rFonts w:hint="default"/>
      </w:rPr>
    </w:lvl>
    <w:lvl w:ilvl="5">
      <w:start w:val="0"/>
      <w:numFmt w:val="bullet"/>
      <w:lvlText w:val="•"/>
      <w:lvlJc w:val="left"/>
      <w:pPr>
        <w:ind w:left="3812" w:hanging="137"/>
      </w:pPr>
      <w:rPr>
        <w:rFonts w:hint="default"/>
      </w:rPr>
    </w:lvl>
    <w:lvl w:ilvl="6">
      <w:start w:val="0"/>
      <w:numFmt w:val="bullet"/>
      <w:lvlText w:val="•"/>
      <w:lvlJc w:val="left"/>
      <w:pPr>
        <w:ind w:left="4511" w:hanging="137"/>
      </w:pPr>
      <w:rPr>
        <w:rFonts w:hint="default"/>
      </w:rPr>
    </w:lvl>
    <w:lvl w:ilvl="7">
      <w:start w:val="0"/>
      <w:numFmt w:val="bullet"/>
      <w:lvlText w:val="•"/>
      <w:lvlJc w:val="left"/>
      <w:pPr>
        <w:ind w:left="5209" w:hanging="137"/>
      </w:pPr>
      <w:rPr>
        <w:rFonts w:hint="default"/>
      </w:rPr>
    </w:lvl>
    <w:lvl w:ilvl="8">
      <w:start w:val="0"/>
      <w:numFmt w:val="bullet"/>
      <w:lvlText w:val="•"/>
      <w:lvlJc w:val="left"/>
      <w:pPr>
        <w:ind w:left="5908" w:hanging="137"/>
      </w:pPr>
      <w:rPr>
        <w:rFonts w:hint="default"/>
      </w:rPr>
    </w:lvl>
  </w:abstractNum>
  <w:abstractNum w:abstractNumId="21">
    <w:multiLevelType w:val="hybridMultilevel"/>
    <w:lvl w:ilvl="0">
      <w:start w:val="1"/>
      <w:numFmt w:val="decimal"/>
      <w:lvlText w:val="(%1)"/>
      <w:lvlJc w:val="left"/>
      <w:pPr>
        <w:ind w:left="595" w:hanging="420"/>
        <w:jc w:val="left"/>
      </w:pPr>
      <w:rPr>
        <w:rFonts w:hint="default" w:ascii="宋体" w:hAnsi="宋体" w:eastAsia="宋体" w:cs="宋体"/>
        <w:spacing w:val="-33"/>
        <w:w w:val="100"/>
        <w:sz w:val="18"/>
        <w:szCs w:val="18"/>
      </w:rPr>
    </w:lvl>
    <w:lvl w:ilvl="1">
      <w:start w:val="0"/>
      <w:numFmt w:val="bullet"/>
      <w:lvlText w:val="•"/>
      <w:lvlJc w:val="left"/>
      <w:pPr>
        <w:ind w:left="1270" w:hanging="420"/>
      </w:pPr>
      <w:rPr>
        <w:rFonts w:hint="default"/>
      </w:rPr>
    </w:lvl>
    <w:lvl w:ilvl="2">
      <w:start w:val="0"/>
      <w:numFmt w:val="bullet"/>
      <w:lvlText w:val="•"/>
      <w:lvlJc w:val="left"/>
      <w:pPr>
        <w:ind w:left="1941" w:hanging="420"/>
      </w:pPr>
      <w:rPr>
        <w:rFonts w:hint="default"/>
      </w:rPr>
    </w:lvl>
    <w:lvl w:ilvl="3">
      <w:start w:val="0"/>
      <w:numFmt w:val="bullet"/>
      <w:lvlText w:val="•"/>
      <w:lvlJc w:val="left"/>
      <w:pPr>
        <w:ind w:left="2611" w:hanging="420"/>
      </w:pPr>
      <w:rPr>
        <w:rFonts w:hint="default"/>
      </w:rPr>
    </w:lvl>
    <w:lvl w:ilvl="4">
      <w:start w:val="0"/>
      <w:numFmt w:val="bullet"/>
      <w:lvlText w:val="•"/>
      <w:lvlJc w:val="left"/>
      <w:pPr>
        <w:ind w:left="3282" w:hanging="420"/>
      </w:pPr>
      <w:rPr>
        <w:rFonts w:hint="default"/>
      </w:rPr>
    </w:lvl>
    <w:lvl w:ilvl="5">
      <w:start w:val="0"/>
      <w:numFmt w:val="bullet"/>
      <w:lvlText w:val="•"/>
      <w:lvlJc w:val="left"/>
      <w:pPr>
        <w:ind w:left="3953" w:hanging="420"/>
      </w:pPr>
      <w:rPr>
        <w:rFonts w:hint="default"/>
      </w:rPr>
    </w:lvl>
    <w:lvl w:ilvl="6">
      <w:start w:val="0"/>
      <w:numFmt w:val="bullet"/>
      <w:lvlText w:val="•"/>
      <w:lvlJc w:val="left"/>
      <w:pPr>
        <w:ind w:left="4623" w:hanging="420"/>
      </w:pPr>
      <w:rPr>
        <w:rFonts w:hint="default"/>
      </w:rPr>
    </w:lvl>
    <w:lvl w:ilvl="7">
      <w:start w:val="0"/>
      <w:numFmt w:val="bullet"/>
      <w:lvlText w:val="•"/>
      <w:lvlJc w:val="left"/>
      <w:pPr>
        <w:ind w:left="5294" w:hanging="420"/>
      </w:pPr>
      <w:rPr>
        <w:rFonts w:hint="default"/>
      </w:rPr>
    </w:lvl>
    <w:lvl w:ilvl="8">
      <w:start w:val="0"/>
      <w:numFmt w:val="bullet"/>
      <w:lvlText w:val="•"/>
      <w:lvlJc w:val="left"/>
      <w:pPr>
        <w:ind w:left="5964" w:hanging="420"/>
      </w:pPr>
      <w:rPr>
        <w:rFonts w:hint="default"/>
      </w:rPr>
    </w:lvl>
  </w:abstractNum>
  <w:abstractNum w:abstractNumId="20">
    <w:multiLevelType w:val="hybridMultilevel"/>
    <w:lvl w:ilvl="0">
      <w:start w:val="1"/>
      <w:numFmt w:val="decimal"/>
      <w:lvlText w:val="(%1)"/>
      <w:lvlJc w:val="left"/>
      <w:pPr>
        <w:ind w:left="175" w:hanging="420"/>
        <w:jc w:val="left"/>
      </w:pPr>
      <w:rPr>
        <w:rFonts w:hint="default" w:ascii="宋体" w:hAnsi="宋体" w:eastAsia="宋体" w:cs="宋体"/>
        <w:spacing w:val="-33"/>
        <w:w w:val="100"/>
        <w:sz w:val="18"/>
        <w:szCs w:val="18"/>
      </w:rPr>
    </w:lvl>
    <w:lvl w:ilvl="1">
      <w:start w:val="0"/>
      <w:numFmt w:val="bullet"/>
      <w:lvlText w:val="•"/>
      <w:lvlJc w:val="left"/>
      <w:pPr>
        <w:ind w:left="892" w:hanging="420"/>
      </w:pPr>
      <w:rPr>
        <w:rFonts w:hint="default"/>
      </w:rPr>
    </w:lvl>
    <w:lvl w:ilvl="2">
      <w:start w:val="0"/>
      <w:numFmt w:val="bullet"/>
      <w:lvlText w:val="•"/>
      <w:lvlJc w:val="left"/>
      <w:pPr>
        <w:ind w:left="1605" w:hanging="420"/>
      </w:pPr>
      <w:rPr>
        <w:rFonts w:hint="default"/>
      </w:rPr>
    </w:lvl>
    <w:lvl w:ilvl="3">
      <w:start w:val="0"/>
      <w:numFmt w:val="bullet"/>
      <w:lvlText w:val="•"/>
      <w:lvlJc w:val="left"/>
      <w:pPr>
        <w:ind w:left="2317" w:hanging="420"/>
      </w:pPr>
      <w:rPr>
        <w:rFonts w:hint="default"/>
      </w:rPr>
    </w:lvl>
    <w:lvl w:ilvl="4">
      <w:start w:val="0"/>
      <w:numFmt w:val="bullet"/>
      <w:lvlText w:val="•"/>
      <w:lvlJc w:val="left"/>
      <w:pPr>
        <w:ind w:left="3030" w:hanging="420"/>
      </w:pPr>
      <w:rPr>
        <w:rFonts w:hint="default"/>
      </w:rPr>
    </w:lvl>
    <w:lvl w:ilvl="5">
      <w:start w:val="0"/>
      <w:numFmt w:val="bullet"/>
      <w:lvlText w:val="•"/>
      <w:lvlJc w:val="left"/>
      <w:pPr>
        <w:ind w:left="3743" w:hanging="420"/>
      </w:pPr>
      <w:rPr>
        <w:rFonts w:hint="default"/>
      </w:rPr>
    </w:lvl>
    <w:lvl w:ilvl="6">
      <w:start w:val="0"/>
      <w:numFmt w:val="bullet"/>
      <w:lvlText w:val="•"/>
      <w:lvlJc w:val="left"/>
      <w:pPr>
        <w:ind w:left="4455" w:hanging="420"/>
      </w:pPr>
      <w:rPr>
        <w:rFonts w:hint="default"/>
      </w:rPr>
    </w:lvl>
    <w:lvl w:ilvl="7">
      <w:start w:val="0"/>
      <w:numFmt w:val="bullet"/>
      <w:lvlText w:val="•"/>
      <w:lvlJc w:val="left"/>
      <w:pPr>
        <w:ind w:left="5168" w:hanging="420"/>
      </w:pPr>
      <w:rPr>
        <w:rFonts w:hint="default"/>
      </w:rPr>
    </w:lvl>
    <w:lvl w:ilvl="8">
      <w:start w:val="0"/>
      <w:numFmt w:val="bullet"/>
      <w:lvlText w:val="•"/>
      <w:lvlJc w:val="left"/>
      <w:pPr>
        <w:ind w:left="5880" w:hanging="420"/>
      </w:pPr>
      <w:rPr>
        <w:rFonts w:hint="default"/>
      </w:rPr>
    </w:lvl>
  </w:abstractNum>
  <w:abstractNum w:abstractNumId="19">
    <w:multiLevelType w:val="hybridMultilevel"/>
    <w:lvl w:ilvl="0">
      <w:start w:val="1"/>
      <w:numFmt w:val="decimal"/>
      <w:lvlText w:val="%1."/>
      <w:lvlJc w:val="left"/>
      <w:pPr>
        <w:ind w:left="2675" w:hanging="361"/>
        <w:jc w:val="left"/>
      </w:pPr>
      <w:rPr>
        <w:rFonts w:hint="default" w:ascii="微软雅黑" w:hAnsi="微软雅黑" w:eastAsia="微软雅黑" w:cs="微软雅黑"/>
        <w:b/>
        <w:bCs/>
        <w:spacing w:val="0"/>
        <w:w w:val="81"/>
        <w:sz w:val="18"/>
        <w:szCs w:val="18"/>
      </w:rPr>
    </w:lvl>
    <w:lvl w:ilvl="1">
      <w:start w:val="1"/>
      <w:numFmt w:val="decimal"/>
      <w:lvlText w:val="(%2)"/>
      <w:lvlJc w:val="left"/>
      <w:pPr>
        <w:ind w:left="3095" w:hanging="420"/>
        <w:jc w:val="left"/>
      </w:pPr>
      <w:rPr>
        <w:rFonts w:hint="default" w:ascii="宋体" w:hAnsi="宋体" w:eastAsia="宋体" w:cs="宋体"/>
        <w:spacing w:val="-33"/>
        <w:w w:val="100"/>
        <w:sz w:val="18"/>
        <w:szCs w:val="18"/>
      </w:rPr>
    </w:lvl>
    <w:lvl w:ilvl="2">
      <w:start w:val="0"/>
      <w:numFmt w:val="bullet"/>
      <w:lvlText w:val="•"/>
      <w:lvlJc w:val="left"/>
      <w:pPr>
        <w:ind w:left="3100" w:hanging="420"/>
      </w:pPr>
      <w:rPr>
        <w:rFonts w:hint="default"/>
      </w:rPr>
    </w:lvl>
    <w:lvl w:ilvl="3">
      <w:start w:val="0"/>
      <w:numFmt w:val="bullet"/>
      <w:lvlText w:val="•"/>
      <w:lvlJc w:val="left"/>
      <w:pPr>
        <w:ind w:left="3938" w:hanging="420"/>
      </w:pPr>
      <w:rPr>
        <w:rFonts w:hint="default"/>
      </w:rPr>
    </w:lvl>
    <w:lvl w:ilvl="4">
      <w:start w:val="0"/>
      <w:numFmt w:val="bullet"/>
      <w:lvlText w:val="•"/>
      <w:lvlJc w:val="left"/>
      <w:pPr>
        <w:ind w:left="4776" w:hanging="420"/>
      </w:pPr>
      <w:rPr>
        <w:rFonts w:hint="default"/>
      </w:rPr>
    </w:lvl>
    <w:lvl w:ilvl="5">
      <w:start w:val="0"/>
      <w:numFmt w:val="bullet"/>
      <w:lvlText w:val="•"/>
      <w:lvlJc w:val="left"/>
      <w:pPr>
        <w:ind w:left="5614" w:hanging="420"/>
      </w:pPr>
      <w:rPr>
        <w:rFonts w:hint="default"/>
      </w:rPr>
    </w:lvl>
    <w:lvl w:ilvl="6">
      <w:start w:val="0"/>
      <w:numFmt w:val="bullet"/>
      <w:lvlText w:val="•"/>
      <w:lvlJc w:val="left"/>
      <w:pPr>
        <w:ind w:left="6452" w:hanging="420"/>
      </w:pPr>
      <w:rPr>
        <w:rFonts w:hint="default"/>
      </w:rPr>
    </w:lvl>
    <w:lvl w:ilvl="7">
      <w:start w:val="0"/>
      <w:numFmt w:val="bullet"/>
      <w:lvlText w:val="•"/>
      <w:lvlJc w:val="left"/>
      <w:pPr>
        <w:ind w:left="7290" w:hanging="420"/>
      </w:pPr>
      <w:rPr>
        <w:rFonts w:hint="default"/>
      </w:rPr>
    </w:lvl>
    <w:lvl w:ilvl="8">
      <w:start w:val="0"/>
      <w:numFmt w:val="bullet"/>
      <w:lvlText w:val="•"/>
      <w:lvlJc w:val="left"/>
      <w:pPr>
        <w:ind w:left="8129" w:hanging="420"/>
      </w:pPr>
      <w:rPr>
        <w:rFonts w:hint="default"/>
      </w:rPr>
    </w:lvl>
  </w:abstractNum>
  <w:abstractNum w:abstractNumId="18">
    <w:multiLevelType w:val="hybridMultilevel"/>
    <w:lvl w:ilvl="0">
      <w:start w:val="8"/>
      <w:numFmt w:val="decimal"/>
      <w:lvlText w:val="%1"/>
      <w:lvlJc w:val="left"/>
      <w:pPr>
        <w:ind w:left="827" w:hanging="684"/>
        <w:jc w:val="left"/>
      </w:pPr>
      <w:rPr>
        <w:rFonts w:hint="default"/>
      </w:rPr>
    </w:lvl>
    <w:lvl w:ilvl="1">
      <w:start w:val="8"/>
      <w:numFmt w:val="decimal"/>
      <w:lvlText w:val="%1.%2"/>
      <w:lvlJc w:val="left"/>
      <w:pPr>
        <w:ind w:left="2533" w:hanging="684"/>
        <w:jc w:val="left"/>
      </w:pPr>
      <w:rPr>
        <w:rFonts w:hint="default" w:ascii="微软雅黑" w:hAnsi="微软雅黑" w:eastAsia="微软雅黑" w:cs="微软雅黑"/>
        <w:b/>
        <w:bCs/>
        <w:w w:val="99"/>
        <w:sz w:val="21"/>
        <w:szCs w:val="21"/>
      </w:rPr>
    </w:lvl>
    <w:lvl w:ilvl="2">
      <w:start w:val="1"/>
      <w:numFmt w:val="decimal"/>
      <w:lvlText w:val="(%3)"/>
      <w:lvlJc w:val="left"/>
      <w:pPr>
        <w:ind w:left="2903" w:hanging="370"/>
        <w:jc w:val="left"/>
      </w:pPr>
      <w:rPr>
        <w:rFonts w:hint="default" w:ascii="宋体" w:hAnsi="宋体" w:eastAsia="宋体" w:cs="宋体"/>
        <w:spacing w:val="0"/>
        <w:w w:val="100"/>
        <w:sz w:val="18"/>
        <w:szCs w:val="18"/>
      </w:rPr>
    </w:lvl>
    <w:lvl w:ilvl="3">
      <w:start w:val="0"/>
      <w:numFmt w:val="bullet"/>
      <w:lvlText w:val="•"/>
      <w:lvlJc w:val="left"/>
      <w:pPr>
        <w:ind w:left="3785" w:hanging="370"/>
      </w:pPr>
      <w:rPr>
        <w:rFonts w:hint="default"/>
      </w:rPr>
    </w:lvl>
    <w:lvl w:ilvl="4">
      <w:start w:val="0"/>
      <w:numFmt w:val="bullet"/>
      <w:lvlText w:val="•"/>
      <w:lvlJc w:val="left"/>
      <w:pPr>
        <w:ind w:left="4671" w:hanging="370"/>
      </w:pPr>
      <w:rPr>
        <w:rFonts w:hint="default"/>
      </w:rPr>
    </w:lvl>
    <w:lvl w:ilvl="5">
      <w:start w:val="0"/>
      <w:numFmt w:val="bullet"/>
      <w:lvlText w:val="•"/>
      <w:lvlJc w:val="left"/>
      <w:pPr>
        <w:ind w:left="5557" w:hanging="370"/>
      </w:pPr>
      <w:rPr>
        <w:rFonts w:hint="default"/>
      </w:rPr>
    </w:lvl>
    <w:lvl w:ilvl="6">
      <w:start w:val="0"/>
      <w:numFmt w:val="bullet"/>
      <w:lvlText w:val="•"/>
      <w:lvlJc w:val="left"/>
      <w:pPr>
        <w:ind w:left="6442" w:hanging="370"/>
      </w:pPr>
      <w:rPr>
        <w:rFonts w:hint="default"/>
      </w:rPr>
    </w:lvl>
    <w:lvl w:ilvl="7">
      <w:start w:val="0"/>
      <w:numFmt w:val="bullet"/>
      <w:lvlText w:val="•"/>
      <w:lvlJc w:val="left"/>
      <w:pPr>
        <w:ind w:left="7328" w:hanging="370"/>
      </w:pPr>
      <w:rPr>
        <w:rFonts w:hint="default"/>
      </w:rPr>
    </w:lvl>
    <w:lvl w:ilvl="8">
      <w:start w:val="0"/>
      <w:numFmt w:val="bullet"/>
      <w:lvlText w:val="•"/>
      <w:lvlJc w:val="left"/>
      <w:pPr>
        <w:ind w:left="8214" w:hanging="370"/>
      </w:pPr>
      <w:rPr>
        <w:rFonts w:hint="default"/>
      </w:rPr>
    </w:lvl>
  </w:abstractNum>
  <w:abstractNum w:abstractNumId="17">
    <w:multiLevelType w:val="hybridMultilevel"/>
    <w:lvl w:ilvl="0">
      <w:start w:val="8"/>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微软雅黑" w:hAnsi="微软雅黑" w:eastAsia="微软雅黑" w:cs="微软雅黑"/>
        <w:b/>
        <w:bCs/>
        <w:w w:val="99"/>
        <w:sz w:val="21"/>
        <w:szCs w:val="21"/>
      </w:rPr>
    </w:lvl>
    <w:lvl w:ilvl="2">
      <w:start w:val="0"/>
      <w:numFmt w:val="bullet"/>
      <w:lvlText w:val="•"/>
      <w:lvlJc w:val="left"/>
      <w:pPr>
        <w:ind w:left="4129" w:hanging="684"/>
      </w:pPr>
      <w:rPr>
        <w:rFonts w:hint="default"/>
      </w:rPr>
    </w:lvl>
    <w:lvl w:ilvl="3">
      <w:start w:val="0"/>
      <w:numFmt w:val="bullet"/>
      <w:lvlText w:val="•"/>
      <w:lvlJc w:val="left"/>
      <w:pPr>
        <w:ind w:left="4883" w:hanging="684"/>
      </w:pPr>
      <w:rPr>
        <w:rFonts w:hint="default"/>
      </w:rPr>
    </w:lvl>
    <w:lvl w:ilvl="4">
      <w:start w:val="0"/>
      <w:numFmt w:val="bullet"/>
      <w:lvlText w:val="•"/>
      <w:lvlJc w:val="left"/>
      <w:pPr>
        <w:ind w:left="5638" w:hanging="684"/>
      </w:pPr>
      <w:rPr>
        <w:rFonts w:hint="default"/>
      </w:rPr>
    </w:lvl>
    <w:lvl w:ilvl="5">
      <w:start w:val="0"/>
      <w:numFmt w:val="bullet"/>
      <w:lvlText w:val="•"/>
      <w:lvlJc w:val="left"/>
      <w:pPr>
        <w:ind w:left="6392" w:hanging="684"/>
      </w:pPr>
      <w:rPr>
        <w:rFonts w:hint="default"/>
      </w:rPr>
    </w:lvl>
    <w:lvl w:ilvl="6">
      <w:start w:val="0"/>
      <w:numFmt w:val="bullet"/>
      <w:lvlText w:val="•"/>
      <w:lvlJc w:val="left"/>
      <w:pPr>
        <w:ind w:left="7147" w:hanging="684"/>
      </w:pPr>
      <w:rPr>
        <w:rFonts w:hint="default"/>
      </w:rPr>
    </w:lvl>
    <w:lvl w:ilvl="7">
      <w:start w:val="0"/>
      <w:numFmt w:val="bullet"/>
      <w:lvlText w:val="•"/>
      <w:lvlJc w:val="left"/>
      <w:pPr>
        <w:ind w:left="7901" w:hanging="684"/>
      </w:pPr>
      <w:rPr>
        <w:rFonts w:hint="default"/>
      </w:rPr>
    </w:lvl>
    <w:lvl w:ilvl="8">
      <w:start w:val="0"/>
      <w:numFmt w:val="bullet"/>
      <w:lvlText w:val="•"/>
      <w:lvlJc w:val="left"/>
      <w:pPr>
        <w:ind w:left="8656" w:hanging="684"/>
      </w:pPr>
      <w:rPr>
        <w:rFonts w:hint="default"/>
      </w:rPr>
    </w:lvl>
  </w:abstractNum>
  <w:abstractNum w:abstractNumId="16">
    <w:multiLevelType w:val="hybridMultilevel"/>
    <w:lvl w:ilvl="0">
      <w:start w:val="7"/>
      <w:numFmt w:val="decimal"/>
      <w:lvlText w:val="%1"/>
      <w:lvlJc w:val="left"/>
      <w:pPr>
        <w:ind w:left="907" w:hanging="684"/>
        <w:jc w:val="left"/>
      </w:pPr>
      <w:rPr>
        <w:rFonts w:hint="default"/>
      </w:rPr>
    </w:lvl>
    <w:lvl w:ilvl="1">
      <w:start w:val="1"/>
      <w:numFmt w:val="decimal"/>
      <w:lvlText w:val="%1.%2"/>
      <w:lvlJc w:val="left"/>
      <w:pPr>
        <w:ind w:left="2613" w:hanging="684"/>
        <w:jc w:val="left"/>
      </w:pPr>
      <w:rPr>
        <w:rFonts w:hint="default" w:ascii="微软雅黑" w:hAnsi="微软雅黑" w:eastAsia="微软雅黑" w:cs="微软雅黑"/>
        <w:b/>
        <w:bCs/>
        <w:w w:val="99"/>
        <w:position w:val="6"/>
        <w:sz w:val="21"/>
        <w:szCs w:val="21"/>
      </w:rPr>
    </w:lvl>
    <w:lvl w:ilvl="2">
      <w:start w:val="0"/>
      <w:numFmt w:val="bullet"/>
      <w:lvlText w:val="•"/>
      <w:lvlJc w:val="left"/>
      <w:pPr>
        <w:ind w:left="3462" w:hanging="684"/>
      </w:pPr>
      <w:rPr>
        <w:rFonts w:hint="default"/>
      </w:rPr>
    </w:lvl>
    <w:lvl w:ilvl="3">
      <w:start w:val="0"/>
      <w:numFmt w:val="bullet"/>
      <w:lvlText w:val="•"/>
      <w:lvlJc w:val="left"/>
      <w:pPr>
        <w:ind w:left="4305" w:hanging="684"/>
      </w:pPr>
      <w:rPr>
        <w:rFonts w:hint="default"/>
      </w:rPr>
    </w:lvl>
    <w:lvl w:ilvl="4">
      <w:start w:val="0"/>
      <w:numFmt w:val="bullet"/>
      <w:lvlText w:val="•"/>
      <w:lvlJc w:val="left"/>
      <w:pPr>
        <w:ind w:left="5148" w:hanging="684"/>
      </w:pPr>
      <w:rPr>
        <w:rFonts w:hint="default"/>
      </w:rPr>
    </w:lvl>
    <w:lvl w:ilvl="5">
      <w:start w:val="0"/>
      <w:numFmt w:val="bullet"/>
      <w:lvlText w:val="•"/>
      <w:lvlJc w:val="left"/>
      <w:pPr>
        <w:ind w:left="5991" w:hanging="684"/>
      </w:pPr>
      <w:rPr>
        <w:rFonts w:hint="default"/>
      </w:rPr>
    </w:lvl>
    <w:lvl w:ilvl="6">
      <w:start w:val="0"/>
      <w:numFmt w:val="bullet"/>
      <w:lvlText w:val="•"/>
      <w:lvlJc w:val="left"/>
      <w:pPr>
        <w:ind w:left="6834" w:hanging="684"/>
      </w:pPr>
      <w:rPr>
        <w:rFonts w:hint="default"/>
      </w:rPr>
    </w:lvl>
    <w:lvl w:ilvl="7">
      <w:start w:val="0"/>
      <w:numFmt w:val="bullet"/>
      <w:lvlText w:val="•"/>
      <w:lvlJc w:val="left"/>
      <w:pPr>
        <w:ind w:left="7677" w:hanging="684"/>
      </w:pPr>
      <w:rPr>
        <w:rFonts w:hint="default"/>
      </w:rPr>
    </w:lvl>
    <w:lvl w:ilvl="8">
      <w:start w:val="0"/>
      <w:numFmt w:val="bullet"/>
      <w:lvlText w:val="•"/>
      <w:lvlJc w:val="left"/>
      <w:pPr>
        <w:ind w:left="8519" w:hanging="684"/>
      </w:pPr>
      <w:rPr>
        <w:rFonts w:hint="default"/>
      </w:rPr>
    </w:lvl>
  </w:abstractNum>
  <w:abstractNum w:abstractNumId="15">
    <w:multiLevelType w:val="hybridMultilevel"/>
    <w:lvl w:ilvl="0">
      <w:start w:val="1"/>
      <w:numFmt w:val="decimal"/>
      <w:lvlText w:val="(%1)"/>
      <w:lvlJc w:val="left"/>
      <w:pPr>
        <w:ind w:left="586" w:hanging="421"/>
        <w:jc w:val="left"/>
      </w:pPr>
      <w:rPr>
        <w:rFonts w:hint="default" w:ascii="宋体" w:hAnsi="宋体" w:eastAsia="宋体" w:cs="宋体"/>
        <w:spacing w:val="-33"/>
        <w:w w:val="100"/>
        <w:sz w:val="18"/>
        <w:szCs w:val="18"/>
      </w:rPr>
    </w:lvl>
    <w:lvl w:ilvl="1">
      <w:start w:val="0"/>
      <w:numFmt w:val="bullet"/>
      <w:lvlText w:val="•"/>
      <w:lvlJc w:val="left"/>
      <w:pPr>
        <w:ind w:left="1294" w:hanging="421"/>
      </w:pPr>
      <w:rPr>
        <w:rFonts w:hint="default"/>
      </w:rPr>
    </w:lvl>
    <w:lvl w:ilvl="2">
      <w:start w:val="0"/>
      <w:numFmt w:val="bullet"/>
      <w:lvlText w:val="•"/>
      <w:lvlJc w:val="left"/>
      <w:pPr>
        <w:ind w:left="2009" w:hanging="421"/>
      </w:pPr>
      <w:rPr>
        <w:rFonts w:hint="default"/>
      </w:rPr>
    </w:lvl>
    <w:lvl w:ilvl="3">
      <w:start w:val="0"/>
      <w:numFmt w:val="bullet"/>
      <w:lvlText w:val="•"/>
      <w:lvlJc w:val="left"/>
      <w:pPr>
        <w:ind w:left="2723" w:hanging="421"/>
      </w:pPr>
      <w:rPr>
        <w:rFonts w:hint="default"/>
      </w:rPr>
    </w:lvl>
    <w:lvl w:ilvl="4">
      <w:start w:val="0"/>
      <w:numFmt w:val="bullet"/>
      <w:lvlText w:val="•"/>
      <w:lvlJc w:val="left"/>
      <w:pPr>
        <w:ind w:left="3438" w:hanging="421"/>
      </w:pPr>
      <w:rPr>
        <w:rFonts w:hint="default"/>
      </w:rPr>
    </w:lvl>
    <w:lvl w:ilvl="5">
      <w:start w:val="0"/>
      <w:numFmt w:val="bullet"/>
      <w:lvlText w:val="•"/>
      <w:lvlJc w:val="left"/>
      <w:pPr>
        <w:ind w:left="4152" w:hanging="421"/>
      </w:pPr>
      <w:rPr>
        <w:rFonts w:hint="default"/>
      </w:rPr>
    </w:lvl>
    <w:lvl w:ilvl="6">
      <w:start w:val="0"/>
      <w:numFmt w:val="bullet"/>
      <w:lvlText w:val="•"/>
      <w:lvlJc w:val="left"/>
      <w:pPr>
        <w:ind w:left="4867" w:hanging="421"/>
      </w:pPr>
      <w:rPr>
        <w:rFonts w:hint="default"/>
      </w:rPr>
    </w:lvl>
    <w:lvl w:ilvl="7">
      <w:start w:val="0"/>
      <w:numFmt w:val="bullet"/>
      <w:lvlText w:val="•"/>
      <w:lvlJc w:val="left"/>
      <w:pPr>
        <w:ind w:left="5581" w:hanging="421"/>
      </w:pPr>
      <w:rPr>
        <w:rFonts w:hint="default"/>
      </w:rPr>
    </w:lvl>
    <w:lvl w:ilvl="8">
      <w:start w:val="0"/>
      <w:numFmt w:val="bullet"/>
      <w:lvlText w:val="•"/>
      <w:lvlJc w:val="left"/>
      <w:pPr>
        <w:ind w:left="6296" w:hanging="421"/>
      </w:pPr>
      <w:rPr>
        <w:rFonts w:hint="default"/>
      </w:rPr>
    </w:lvl>
  </w:abstractNum>
  <w:abstractNum w:abstractNumId="14">
    <w:multiLevelType w:val="hybridMultilevel"/>
    <w:lvl w:ilvl="0">
      <w:start w:val="1"/>
      <w:numFmt w:val="decimal"/>
      <w:lvlText w:val="(%1)"/>
      <w:lvlJc w:val="left"/>
      <w:pPr>
        <w:ind w:left="593" w:hanging="421"/>
        <w:jc w:val="left"/>
      </w:pPr>
      <w:rPr>
        <w:rFonts w:hint="default" w:ascii="宋体" w:hAnsi="宋体" w:eastAsia="宋体" w:cs="宋体"/>
        <w:spacing w:val="-33"/>
        <w:w w:val="100"/>
        <w:sz w:val="18"/>
        <w:szCs w:val="18"/>
      </w:rPr>
    </w:lvl>
    <w:lvl w:ilvl="1">
      <w:start w:val="0"/>
      <w:numFmt w:val="bullet"/>
      <w:lvlText w:val="•"/>
      <w:lvlJc w:val="left"/>
      <w:pPr>
        <w:ind w:left="1312" w:hanging="421"/>
      </w:pPr>
      <w:rPr>
        <w:rFonts w:hint="default"/>
      </w:rPr>
    </w:lvl>
    <w:lvl w:ilvl="2">
      <w:start w:val="0"/>
      <w:numFmt w:val="bullet"/>
      <w:lvlText w:val="•"/>
      <w:lvlJc w:val="left"/>
      <w:pPr>
        <w:ind w:left="2025" w:hanging="421"/>
      </w:pPr>
      <w:rPr>
        <w:rFonts w:hint="default"/>
      </w:rPr>
    </w:lvl>
    <w:lvl w:ilvl="3">
      <w:start w:val="0"/>
      <w:numFmt w:val="bullet"/>
      <w:lvlText w:val="•"/>
      <w:lvlJc w:val="left"/>
      <w:pPr>
        <w:ind w:left="2737" w:hanging="421"/>
      </w:pPr>
      <w:rPr>
        <w:rFonts w:hint="default"/>
      </w:rPr>
    </w:lvl>
    <w:lvl w:ilvl="4">
      <w:start w:val="0"/>
      <w:numFmt w:val="bullet"/>
      <w:lvlText w:val="•"/>
      <w:lvlJc w:val="left"/>
      <w:pPr>
        <w:ind w:left="3450" w:hanging="421"/>
      </w:pPr>
      <w:rPr>
        <w:rFonts w:hint="default"/>
      </w:rPr>
    </w:lvl>
    <w:lvl w:ilvl="5">
      <w:start w:val="0"/>
      <w:numFmt w:val="bullet"/>
      <w:lvlText w:val="•"/>
      <w:lvlJc w:val="left"/>
      <w:pPr>
        <w:ind w:left="4162" w:hanging="421"/>
      </w:pPr>
      <w:rPr>
        <w:rFonts w:hint="default"/>
      </w:rPr>
    </w:lvl>
    <w:lvl w:ilvl="6">
      <w:start w:val="0"/>
      <w:numFmt w:val="bullet"/>
      <w:lvlText w:val="•"/>
      <w:lvlJc w:val="left"/>
      <w:pPr>
        <w:ind w:left="4875" w:hanging="421"/>
      </w:pPr>
      <w:rPr>
        <w:rFonts w:hint="default"/>
      </w:rPr>
    </w:lvl>
    <w:lvl w:ilvl="7">
      <w:start w:val="0"/>
      <w:numFmt w:val="bullet"/>
      <w:lvlText w:val="•"/>
      <w:lvlJc w:val="left"/>
      <w:pPr>
        <w:ind w:left="5587" w:hanging="421"/>
      </w:pPr>
      <w:rPr>
        <w:rFonts w:hint="default"/>
      </w:rPr>
    </w:lvl>
    <w:lvl w:ilvl="8">
      <w:start w:val="0"/>
      <w:numFmt w:val="bullet"/>
      <w:lvlText w:val="•"/>
      <w:lvlJc w:val="left"/>
      <w:pPr>
        <w:ind w:left="6300" w:hanging="421"/>
      </w:pPr>
      <w:rPr>
        <w:rFonts w:hint="default"/>
      </w:rPr>
    </w:lvl>
  </w:abstractNum>
  <w:abstractNum w:abstractNumId="13">
    <w:multiLevelType w:val="hybridMultilevel"/>
    <w:lvl w:ilvl="0">
      <w:start w:val="1"/>
      <w:numFmt w:val="decimal"/>
      <w:lvlText w:val="(%1)"/>
      <w:lvlJc w:val="left"/>
      <w:pPr>
        <w:ind w:left="586" w:hanging="413"/>
        <w:jc w:val="left"/>
      </w:pPr>
      <w:rPr>
        <w:rFonts w:hint="default" w:ascii="宋体" w:hAnsi="宋体" w:eastAsia="宋体" w:cs="宋体"/>
        <w:spacing w:val="-40"/>
        <w:w w:val="100"/>
        <w:sz w:val="18"/>
        <w:szCs w:val="18"/>
      </w:rPr>
    </w:lvl>
    <w:lvl w:ilvl="1">
      <w:start w:val="0"/>
      <w:numFmt w:val="bullet"/>
      <w:lvlText w:val="•"/>
      <w:lvlJc w:val="left"/>
      <w:pPr>
        <w:ind w:left="1294" w:hanging="413"/>
      </w:pPr>
      <w:rPr>
        <w:rFonts w:hint="default"/>
      </w:rPr>
    </w:lvl>
    <w:lvl w:ilvl="2">
      <w:start w:val="0"/>
      <w:numFmt w:val="bullet"/>
      <w:lvlText w:val="•"/>
      <w:lvlJc w:val="left"/>
      <w:pPr>
        <w:ind w:left="2009" w:hanging="413"/>
      </w:pPr>
      <w:rPr>
        <w:rFonts w:hint="default"/>
      </w:rPr>
    </w:lvl>
    <w:lvl w:ilvl="3">
      <w:start w:val="0"/>
      <w:numFmt w:val="bullet"/>
      <w:lvlText w:val="•"/>
      <w:lvlJc w:val="left"/>
      <w:pPr>
        <w:ind w:left="2723" w:hanging="413"/>
      </w:pPr>
      <w:rPr>
        <w:rFonts w:hint="default"/>
      </w:rPr>
    </w:lvl>
    <w:lvl w:ilvl="4">
      <w:start w:val="0"/>
      <w:numFmt w:val="bullet"/>
      <w:lvlText w:val="•"/>
      <w:lvlJc w:val="left"/>
      <w:pPr>
        <w:ind w:left="3438" w:hanging="413"/>
      </w:pPr>
      <w:rPr>
        <w:rFonts w:hint="default"/>
      </w:rPr>
    </w:lvl>
    <w:lvl w:ilvl="5">
      <w:start w:val="0"/>
      <w:numFmt w:val="bullet"/>
      <w:lvlText w:val="•"/>
      <w:lvlJc w:val="left"/>
      <w:pPr>
        <w:ind w:left="4152" w:hanging="413"/>
      </w:pPr>
      <w:rPr>
        <w:rFonts w:hint="default"/>
      </w:rPr>
    </w:lvl>
    <w:lvl w:ilvl="6">
      <w:start w:val="0"/>
      <w:numFmt w:val="bullet"/>
      <w:lvlText w:val="•"/>
      <w:lvlJc w:val="left"/>
      <w:pPr>
        <w:ind w:left="4867" w:hanging="413"/>
      </w:pPr>
      <w:rPr>
        <w:rFonts w:hint="default"/>
      </w:rPr>
    </w:lvl>
    <w:lvl w:ilvl="7">
      <w:start w:val="0"/>
      <w:numFmt w:val="bullet"/>
      <w:lvlText w:val="•"/>
      <w:lvlJc w:val="left"/>
      <w:pPr>
        <w:ind w:left="5581" w:hanging="413"/>
      </w:pPr>
      <w:rPr>
        <w:rFonts w:hint="default"/>
      </w:rPr>
    </w:lvl>
    <w:lvl w:ilvl="8">
      <w:start w:val="0"/>
      <w:numFmt w:val="bullet"/>
      <w:lvlText w:val="•"/>
      <w:lvlJc w:val="left"/>
      <w:pPr>
        <w:ind w:left="6296" w:hanging="413"/>
      </w:pPr>
      <w:rPr>
        <w:rFonts w:hint="default"/>
      </w:rPr>
    </w:lvl>
  </w:abstractNum>
  <w:abstractNum w:abstractNumId="12">
    <w:multiLevelType w:val="hybridMultilevel"/>
    <w:lvl w:ilvl="0">
      <w:start w:val="3"/>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微软雅黑" w:hAnsi="微软雅黑" w:eastAsia="微软雅黑" w:cs="微软雅黑"/>
        <w:b/>
        <w:bCs/>
        <w:w w:val="81"/>
        <w:sz w:val="21"/>
        <w:szCs w:val="21"/>
      </w:rPr>
    </w:lvl>
    <w:lvl w:ilvl="2">
      <w:start w:val="0"/>
      <w:numFmt w:val="bullet"/>
      <w:lvlText w:val="•"/>
      <w:lvlJc w:val="left"/>
      <w:pPr>
        <w:ind w:left="2576" w:hanging="684"/>
      </w:pPr>
      <w:rPr>
        <w:rFonts w:hint="default"/>
      </w:rPr>
    </w:lvl>
    <w:lvl w:ilvl="3">
      <w:start w:val="0"/>
      <w:numFmt w:val="bullet"/>
      <w:lvlText w:val="•"/>
      <w:lvlJc w:val="left"/>
      <w:pPr>
        <w:ind w:left="2554" w:hanging="684"/>
      </w:pPr>
      <w:rPr>
        <w:rFonts w:hint="default"/>
      </w:rPr>
    </w:lvl>
    <w:lvl w:ilvl="4">
      <w:start w:val="0"/>
      <w:numFmt w:val="bullet"/>
      <w:lvlText w:val="•"/>
      <w:lvlJc w:val="left"/>
      <w:pPr>
        <w:ind w:left="2532" w:hanging="684"/>
      </w:pPr>
      <w:rPr>
        <w:rFonts w:hint="default"/>
      </w:rPr>
    </w:lvl>
    <w:lvl w:ilvl="5">
      <w:start w:val="0"/>
      <w:numFmt w:val="bullet"/>
      <w:lvlText w:val="•"/>
      <w:lvlJc w:val="left"/>
      <w:pPr>
        <w:ind w:left="2510" w:hanging="684"/>
      </w:pPr>
      <w:rPr>
        <w:rFonts w:hint="default"/>
      </w:rPr>
    </w:lvl>
    <w:lvl w:ilvl="6">
      <w:start w:val="0"/>
      <w:numFmt w:val="bullet"/>
      <w:lvlText w:val="•"/>
      <w:lvlJc w:val="left"/>
      <w:pPr>
        <w:ind w:left="2488" w:hanging="684"/>
      </w:pPr>
      <w:rPr>
        <w:rFonts w:hint="default"/>
      </w:rPr>
    </w:lvl>
    <w:lvl w:ilvl="7">
      <w:start w:val="0"/>
      <w:numFmt w:val="bullet"/>
      <w:lvlText w:val="•"/>
      <w:lvlJc w:val="left"/>
      <w:pPr>
        <w:ind w:left="2466" w:hanging="684"/>
      </w:pPr>
      <w:rPr>
        <w:rFonts w:hint="default"/>
      </w:rPr>
    </w:lvl>
    <w:lvl w:ilvl="8">
      <w:start w:val="0"/>
      <w:numFmt w:val="bullet"/>
      <w:lvlText w:val="•"/>
      <w:lvlJc w:val="left"/>
      <w:pPr>
        <w:ind w:left="2444" w:hanging="684"/>
      </w:pPr>
      <w:rPr>
        <w:rFonts w:hint="default"/>
      </w:rPr>
    </w:lvl>
  </w:abstractNum>
  <w:abstractNum w:abstractNumId="11">
    <w:multiLevelType w:val="hybridMultilevel"/>
    <w:lvl w:ilvl="0">
      <w:start w:val="2"/>
      <w:numFmt w:val="decimal"/>
      <w:lvlText w:val="%1"/>
      <w:lvlJc w:val="left"/>
      <w:pPr>
        <w:ind w:left="907" w:hanging="684"/>
        <w:jc w:val="left"/>
      </w:pPr>
      <w:rPr>
        <w:rFonts w:hint="default"/>
      </w:rPr>
    </w:lvl>
    <w:lvl w:ilvl="1">
      <w:start w:val="1"/>
      <w:numFmt w:val="decimal"/>
      <w:lvlText w:val="%1.%2"/>
      <w:lvlJc w:val="left"/>
      <w:pPr>
        <w:ind w:left="907" w:hanging="684"/>
        <w:jc w:val="left"/>
      </w:pPr>
      <w:rPr>
        <w:rFonts w:hint="default" w:ascii="微软雅黑" w:hAnsi="微软雅黑" w:eastAsia="微软雅黑" w:cs="微软雅黑"/>
        <w:b/>
        <w:bCs/>
        <w:w w:val="99"/>
        <w:sz w:val="21"/>
        <w:szCs w:val="21"/>
      </w:rPr>
    </w:lvl>
    <w:lvl w:ilvl="2">
      <w:start w:val="0"/>
      <w:numFmt w:val="bullet"/>
      <w:lvlText w:val="•"/>
      <w:lvlJc w:val="left"/>
      <w:pPr>
        <w:ind w:left="2753" w:hanging="684"/>
      </w:pPr>
      <w:rPr>
        <w:rFonts w:hint="default"/>
      </w:rPr>
    </w:lvl>
    <w:lvl w:ilvl="3">
      <w:start w:val="0"/>
      <w:numFmt w:val="bullet"/>
      <w:lvlText w:val="•"/>
      <w:lvlJc w:val="left"/>
      <w:pPr>
        <w:ind w:left="3679" w:hanging="684"/>
      </w:pPr>
      <w:rPr>
        <w:rFonts w:hint="default"/>
      </w:rPr>
    </w:lvl>
    <w:lvl w:ilvl="4">
      <w:start w:val="0"/>
      <w:numFmt w:val="bullet"/>
      <w:lvlText w:val="•"/>
      <w:lvlJc w:val="left"/>
      <w:pPr>
        <w:ind w:left="4606" w:hanging="684"/>
      </w:pPr>
      <w:rPr>
        <w:rFonts w:hint="default"/>
      </w:rPr>
    </w:lvl>
    <w:lvl w:ilvl="5">
      <w:start w:val="0"/>
      <w:numFmt w:val="bullet"/>
      <w:lvlText w:val="•"/>
      <w:lvlJc w:val="left"/>
      <w:pPr>
        <w:ind w:left="5532" w:hanging="684"/>
      </w:pPr>
      <w:rPr>
        <w:rFonts w:hint="default"/>
      </w:rPr>
    </w:lvl>
    <w:lvl w:ilvl="6">
      <w:start w:val="0"/>
      <w:numFmt w:val="bullet"/>
      <w:lvlText w:val="•"/>
      <w:lvlJc w:val="left"/>
      <w:pPr>
        <w:ind w:left="6459" w:hanging="684"/>
      </w:pPr>
      <w:rPr>
        <w:rFonts w:hint="default"/>
      </w:rPr>
    </w:lvl>
    <w:lvl w:ilvl="7">
      <w:start w:val="0"/>
      <w:numFmt w:val="bullet"/>
      <w:lvlText w:val="•"/>
      <w:lvlJc w:val="left"/>
      <w:pPr>
        <w:ind w:left="7385" w:hanging="684"/>
      </w:pPr>
      <w:rPr>
        <w:rFonts w:hint="default"/>
      </w:rPr>
    </w:lvl>
    <w:lvl w:ilvl="8">
      <w:start w:val="0"/>
      <w:numFmt w:val="bullet"/>
      <w:lvlText w:val="•"/>
      <w:lvlJc w:val="left"/>
      <w:pPr>
        <w:ind w:left="8312" w:hanging="684"/>
      </w:pPr>
      <w:rPr>
        <w:rFonts w:hint="default"/>
      </w:rPr>
    </w:lvl>
  </w:abstractNum>
  <w:abstractNum w:abstractNumId="10">
    <w:multiLevelType w:val="hybridMultilevel"/>
    <w:lvl w:ilvl="0">
      <w:start w:val="1"/>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微软雅黑" w:hAnsi="微软雅黑" w:eastAsia="微软雅黑" w:cs="微软雅黑"/>
        <w:b/>
        <w:bCs/>
        <w:w w:val="99"/>
        <w:position w:val="1"/>
        <w:sz w:val="21"/>
        <w:szCs w:val="21"/>
      </w:rPr>
    </w:lvl>
    <w:lvl w:ilvl="2">
      <w:start w:val="0"/>
      <w:numFmt w:val="bullet"/>
      <w:lvlText w:val="•"/>
      <w:lvlJc w:val="left"/>
      <w:pPr>
        <w:ind w:left="4129" w:hanging="684"/>
      </w:pPr>
      <w:rPr>
        <w:rFonts w:hint="default"/>
      </w:rPr>
    </w:lvl>
    <w:lvl w:ilvl="3">
      <w:start w:val="0"/>
      <w:numFmt w:val="bullet"/>
      <w:lvlText w:val="•"/>
      <w:lvlJc w:val="left"/>
      <w:pPr>
        <w:ind w:left="4883" w:hanging="684"/>
      </w:pPr>
      <w:rPr>
        <w:rFonts w:hint="default"/>
      </w:rPr>
    </w:lvl>
    <w:lvl w:ilvl="4">
      <w:start w:val="0"/>
      <w:numFmt w:val="bullet"/>
      <w:lvlText w:val="•"/>
      <w:lvlJc w:val="left"/>
      <w:pPr>
        <w:ind w:left="5638" w:hanging="684"/>
      </w:pPr>
      <w:rPr>
        <w:rFonts w:hint="default"/>
      </w:rPr>
    </w:lvl>
    <w:lvl w:ilvl="5">
      <w:start w:val="0"/>
      <w:numFmt w:val="bullet"/>
      <w:lvlText w:val="•"/>
      <w:lvlJc w:val="left"/>
      <w:pPr>
        <w:ind w:left="6392" w:hanging="684"/>
      </w:pPr>
      <w:rPr>
        <w:rFonts w:hint="default"/>
      </w:rPr>
    </w:lvl>
    <w:lvl w:ilvl="6">
      <w:start w:val="0"/>
      <w:numFmt w:val="bullet"/>
      <w:lvlText w:val="•"/>
      <w:lvlJc w:val="left"/>
      <w:pPr>
        <w:ind w:left="7147" w:hanging="684"/>
      </w:pPr>
      <w:rPr>
        <w:rFonts w:hint="default"/>
      </w:rPr>
    </w:lvl>
    <w:lvl w:ilvl="7">
      <w:start w:val="0"/>
      <w:numFmt w:val="bullet"/>
      <w:lvlText w:val="•"/>
      <w:lvlJc w:val="left"/>
      <w:pPr>
        <w:ind w:left="7901" w:hanging="684"/>
      </w:pPr>
      <w:rPr>
        <w:rFonts w:hint="default"/>
      </w:rPr>
    </w:lvl>
    <w:lvl w:ilvl="8">
      <w:start w:val="0"/>
      <w:numFmt w:val="bullet"/>
      <w:lvlText w:val="•"/>
      <w:lvlJc w:val="left"/>
      <w:pPr>
        <w:ind w:left="8656" w:hanging="684"/>
      </w:pPr>
      <w:rPr>
        <w:rFonts w:hint="default"/>
      </w:rPr>
    </w:lvl>
  </w:abstractNum>
  <w:abstractNum w:abstractNumId="9">
    <w:multiLevelType w:val="hybridMultilevel"/>
    <w:lvl w:ilvl="0">
      <w:start w:val="7"/>
      <w:numFmt w:val="decimal"/>
      <w:lvlText w:val="%1"/>
      <w:lvlJc w:val="left"/>
      <w:pPr>
        <w:ind w:left="827" w:hanging="423"/>
        <w:jc w:val="left"/>
      </w:pPr>
      <w:rPr>
        <w:rFonts w:hint="default"/>
      </w:rPr>
    </w:lvl>
    <w:lvl w:ilvl="1">
      <w:start w:val="2"/>
      <w:numFmt w:val="decimal"/>
      <w:lvlText w:val="%1.%2"/>
      <w:lvlJc w:val="left"/>
      <w:pPr>
        <w:ind w:left="827" w:hanging="423"/>
        <w:jc w:val="left"/>
      </w:pPr>
      <w:rPr>
        <w:rFonts w:hint="default" w:ascii="宋体" w:hAnsi="宋体" w:eastAsia="宋体" w:cs="宋体"/>
        <w:w w:val="100"/>
        <w:sz w:val="21"/>
        <w:szCs w:val="21"/>
      </w:rPr>
    </w:lvl>
    <w:lvl w:ilvl="2">
      <w:start w:val="0"/>
      <w:numFmt w:val="bullet"/>
      <w:lvlText w:val="•"/>
      <w:lvlJc w:val="left"/>
      <w:pPr>
        <w:ind w:left="1225" w:hanging="423"/>
      </w:pPr>
      <w:rPr>
        <w:rFonts w:hint="default"/>
      </w:rPr>
    </w:lvl>
    <w:lvl w:ilvl="3">
      <w:start w:val="0"/>
      <w:numFmt w:val="bullet"/>
      <w:lvlText w:val="•"/>
      <w:lvlJc w:val="left"/>
      <w:pPr>
        <w:ind w:left="1428" w:hanging="423"/>
      </w:pPr>
      <w:rPr>
        <w:rFonts w:hint="default"/>
      </w:rPr>
    </w:lvl>
    <w:lvl w:ilvl="4">
      <w:start w:val="0"/>
      <w:numFmt w:val="bullet"/>
      <w:lvlText w:val="•"/>
      <w:lvlJc w:val="left"/>
      <w:pPr>
        <w:ind w:left="1631" w:hanging="423"/>
      </w:pPr>
      <w:rPr>
        <w:rFonts w:hint="default"/>
      </w:rPr>
    </w:lvl>
    <w:lvl w:ilvl="5">
      <w:start w:val="0"/>
      <w:numFmt w:val="bullet"/>
      <w:lvlText w:val="•"/>
      <w:lvlJc w:val="left"/>
      <w:pPr>
        <w:ind w:left="1834" w:hanging="423"/>
      </w:pPr>
      <w:rPr>
        <w:rFonts w:hint="default"/>
      </w:rPr>
    </w:lvl>
    <w:lvl w:ilvl="6">
      <w:start w:val="0"/>
      <w:numFmt w:val="bullet"/>
      <w:lvlText w:val="•"/>
      <w:lvlJc w:val="left"/>
      <w:pPr>
        <w:ind w:left="2037" w:hanging="423"/>
      </w:pPr>
      <w:rPr>
        <w:rFonts w:hint="default"/>
      </w:rPr>
    </w:lvl>
    <w:lvl w:ilvl="7">
      <w:start w:val="0"/>
      <w:numFmt w:val="bullet"/>
      <w:lvlText w:val="•"/>
      <w:lvlJc w:val="left"/>
      <w:pPr>
        <w:ind w:left="2240" w:hanging="423"/>
      </w:pPr>
      <w:rPr>
        <w:rFonts w:hint="default"/>
      </w:rPr>
    </w:lvl>
    <w:lvl w:ilvl="8">
      <w:start w:val="0"/>
      <w:numFmt w:val="bullet"/>
      <w:lvlText w:val="•"/>
      <w:lvlJc w:val="left"/>
      <w:pPr>
        <w:ind w:left="2443" w:hanging="423"/>
      </w:pPr>
      <w:rPr>
        <w:rFonts w:hint="default"/>
      </w:rPr>
    </w:lvl>
  </w:abstractNum>
  <w:abstractNum w:abstractNumId="8">
    <w:multiLevelType w:val="hybridMultilevel"/>
    <w:lvl w:ilvl="0">
      <w:start w:val="8"/>
      <w:numFmt w:val="decimal"/>
      <w:lvlText w:val="%1"/>
      <w:lvlJc w:val="left"/>
      <w:pPr>
        <w:ind w:left="866" w:hanging="526"/>
        <w:jc w:val="left"/>
      </w:pPr>
      <w:rPr>
        <w:rFonts w:hint="default"/>
      </w:rPr>
    </w:lvl>
    <w:lvl w:ilvl="1">
      <w:start w:val="11"/>
      <w:numFmt w:val="decimal"/>
      <w:lvlText w:val="%1.%2"/>
      <w:lvlJc w:val="left"/>
      <w:pPr>
        <w:ind w:left="866" w:hanging="526"/>
        <w:jc w:val="left"/>
      </w:pPr>
      <w:rPr>
        <w:rFonts w:hint="default" w:ascii="宋体" w:hAnsi="宋体" w:eastAsia="宋体" w:cs="宋体"/>
        <w:w w:val="100"/>
        <w:sz w:val="21"/>
        <w:szCs w:val="21"/>
      </w:rPr>
    </w:lvl>
    <w:lvl w:ilvl="2">
      <w:start w:val="0"/>
      <w:numFmt w:val="bullet"/>
      <w:lvlText w:val="•"/>
      <w:lvlJc w:val="left"/>
      <w:pPr>
        <w:ind w:left="1270" w:hanging="526"/>
      </w:pPr>
      <w:rPr>
        <w:rFonts w:hint="default"/>
      </w:rPr>
    </w:lvl>
    <w:lvl w:ilvl="3">
      <w:start w:val="0"/>
      <w:numFmt w:val="bullet"/>
      <w:lvlText w:val="•"/>
      <w:lvlJc w:val="left"/>
      <w:pPr>
        <w:ind w:left="1476" w:hanging="526"/>
      </w:pPr>
      <w:rPr>
        <w:rFonts w:hint="default"/>
      </w:rPr>
    </w:lvl>
    <w:lvl w:ilvl="4">
      <w:start w:val="0"/>
      <w:numFmt w:val="bullet"/>
      <w:lvlText w:val="•"/>
      <w:lvlJc w:val="left"/>
      <w:pPr>
        <w:ind w:left="1681" w:hanging="526"/>
      </w:pPr>
      <w:rPr>
        <w:rFonts w:hint="default"/>
      </w:rPr>
    </w:lvl>
    <w:lvl w:ilvl="5">
      <w:start w:val="0"/>
      <w:numFmt w:val="bullet"/>
      <w:lvlText w:val="•"/>
      <w:lvlJc w:val="left"/>
      <w:pPr>
        <w:ind w:left="1887" w:hanging="526"/>
      </w:pPr>
      <w:rPr>
        <w:rFonts w:hint="default"/>
      </w:rPr>
    </w:lvl>
    <w:lvl w:ilvl="6">
      <w:start w:val="0"/>
      <w:numFmt w:val="bullet"/>
      <w:lvlText w:val="•"/>
      <w:lvlJc w:val="left"/>
      <w:pPr>
        <w:ind w:left="2092" w:hanging="526"/>
      </w:pPr>
      <w:rPr>
        <w:rFonts w:hint="default"/>
      </w:rPr>
    </w:lvl>
    <w:lvl w:ilvl="7">
      <w:start w:val="0"/>
      <w:numFmt w:val="bullet"/>
      <w:lvlText w:val="•"/>
      <w:lvlJc w:val="left"/>
      <w:pPr>
        <w:ind w:left="2297" w:hanging="526"/>
      </w:pPr>
      <w:rPr>
        <w:rFonts w:hint="default"/>
      </w:rPr>
    </w:lvl>
    <w:lvl w:ilvl="8">
      <w:start w:val="0"/>
      <w:numFmt w:val="bullet"/>
      <w:lvlText w:val="•"/>
      <w:lvlJc w:val="left"/>
      <w:pPr>
        <w:ind w:left="2503" w:hanging="526"/>
      </w:pPr>
      <w:rPr>
        <w:rFonts w:hint="default"/>
      </w:rPr>
    </w:lvl>
  </w:abstractNum>
  <w:abstractNum w:abstractNumId="7">
    <w:multiLevelType w:val="hybridMultilevel"/>
    <w:lvl w:ilvl="0">
      <w:start w:val="8"/>
      <w:numFmt w:val="decimal"/>
      <w:lvlText w:val="%1"/>
      <w:lvlJc w:val="left"/>
      <w:pPr>
        <w:ind w:left="760" w:hanging="421"/>
        <w:jc w:val="left"/>
      </w:pPr>
      <w:rPr>
        <w:rFonts w:hint="default"/>
      </w:rPr>
    </w:lvl>
    <w:lvl w:ilvl="1">
      <w:start w:val="9"/>
      <w:numFmt w:val="decimal"/>
      <w:lvlText w:val="%1.%2"/>
      <w:lvlJc w:val="left"/>
      <w:pPr>
        <w:ind w:left="760" w:hanging="421"/>
        <w:jc w:val="left"/>
      </w:pPr>
      <w:rPr>
        <w:rFonts w:hint="default" w:ascii="宋体" w:hAnsi="宋体" w:eastAsia="宋体" w:cs="宋体"/>
        <w:w w:val="100"/>
        <w:sz w:val="21"/>
        <w:szCs w:val="21"/>
      </w:rPr>
    </w:lvl>
    <w:lvl w:ilvl="2">
      <w:start w:val="0"/>
      <w:numFmt w:val="bullet"/>
      <w:lvlText w:val="•"/>
      <w:lvlJc w:val="left"/>
      <w:pPr>
        <w:ind w:left="1190" w:hanging="421"/>
      </w:pPr>
      <w:rPr>
        <w:rFonts w:hint="default"/>
      </w:rPr>
    </w:lvl>
    <w:lvl w:ilvl="3">
      <w:start w:val="0"/>
      <w:numFmt w:val="bullet"/>
      <w:lvlText w:val="•"/>
      <w:lvlJc w:val="left"/>
      <w:pPr>
        <w:ind w:left="1406" w:hanging="421"/>
      </w:pPr>
      <w:rPr>
        <w:rFonts w:hint="default"/>
      </w:rPr>
    </w:lvl>
    <w:lvl w:ilvl="4">
      <w:start w:val="0"/>
      <w:numFmt w:val="bullet"/>
      <w:lvlText w:val="•"/>
      <w:lvlJc w:val="left"/>
      <w:pPr>
        <w:ind w:left="1621" w:hanging="421"/>
      </w:pPr>
      <w:rPr>
        <w:rFonts w:hint="default"/>
      </w:rPr>
    </w:lvl>
    <w:lvl w:ilvl="5">
      <w:start w:val="0"/>
      <w:numFmt w:val="bullet"/>
      <w:lvlText w:val="•"/>
      <w:lvlJc w:val="left"/>
      <w:pPr>
        <w:ind w:left="1837" w:hanging="421"/>
      </w:pPr>
      <w:rPr>
        <w:rFonts w:hint="default"/>
      </w:rPr>
    </w:lvl>
    <w:lvl w:ilvl="6">
      <w:start w:val="0"/>
      <w:numFmt w:val="bullet"/>
      <w:lvlText w:val="•"/>
      <w:lvlJc w:val="left"/>
      <w:pPr>
        <w:ind w:left="2052" w:hanging="421"/>
      </w:pPr>
      <w:rPr>
        <w:rFonts w:hint="default"/>
      </w:rPr>
    </w:lvl>
    <w:lvl w:ilvl="7">
      <w:start w:val="0"/>
      <w:numFmt w:val="bullet"/>
      <w:lvlText w:val="•"/>
      <w:lvlJc w:val="left"/>
      <w:pPr>
        <w:ind w:left="2267" w:hanging="421"/>
      </w:pPr>
      <w:rPr>
        <w:rFonts w:hint="default"/>
      </w:rPr>
    </w:lvl>
    <w:lvl w:ilvl="8">
      <w:start w:val="0"/>
      <w:numFmt w:val="bullet"/>
      <w:lvlText w:val="•"/>
      <w:lvlJc w:val="left"/>
      <w:pPr>
        <w:ind w:left="2483" w:hanging="421"/>
      </w:pPr>
      <w:rPr>
        <w:rFonts w:hint="default"/>
      </w:rPr>
    </w:lvl>
  </w:abstractNum>
  <w:abstractNum w:abstractNumId="6">
    <w:multiLevelType w:val="hybridMultilevel"/>
    <w:lvl w:ilvl="0">
      <w:start w:val="8"/>
      <w:numFmt w:val="decimal"/>
      <w:lvlText w:val="%1"/>
      <w:lvlJc w:val="left"/>
      <w:pPr>
        <w:ind w:left="763" w:hanging="423"/>
        <w:jc w:val="left"/>
      </w:pPr>
      <w:rPr>
        <w:rFonts w:hint="default"/>
      </w:rPr>
    </w:lvl>
    <w:lvl w:ilvl="1">
      <w:start w:val="6"/>
      <w:numFmt w:val="decimal"/>
      <w:lvlText w:val="%1.%2"/>
      <w:lvlJc w:val="left"/>
      <w:pPr>
        <w:ind w:left="763" w:hanging="423"/>
        <w:jc w:val="left"/>
      </w:pPr>
      <w:rPr>
        <w:rFonts w:hint="default" w:ascii="宋体" w:hAnsi="宋体" w:eastAsia="宋体" w:cs="宋体"/>
        <w:w w:val="100"/>
        <w:sz w:val="21"/>
        <w:szCs w:val="21"/>
      </w:rPr>
    </w:lvl>
    <w:lvl w:ilvl="2">
      <w:start w:val="0"/>
      <w:numFmt w:val="bullet"/>
      <w:lvlText w:val="•"/>
      <w:lvlJc w:val="left"/>
      <w:pPr>
        <w:ind w:left="1190" w:hanging="423"/>
      </w:pPr>
      <w:rPr>
        <w:rFonts w:hint="default"/>
      </w:rPr>
    </w:lvl>
    <w:lvl w:ilvl="3">
      <w:start w:val="0"/>
      <w:numFmt w:val="bullet"/>
      <w:lvlText w:val="•"/>
      <w:lvlJc w:val="left"/>
      <w:pPr>
        <w:ind w:left="1406" w:hanging="423"/>
      </w:pPr>
      <w:rPr>
        <w:rFonts w:hint="default"/>
      </w:rPr>
    </w:lvl>
    <w:lvl w:ilvl="4">
      <w:start w:val="0"/>
      <w:numFmt w:val="bullet"/>
      <w:lvlText w:val="•"/>
      <w:lvlJc w:val="left"/>
      <w:pPr>
        <w:ind w:left="1621" w:hanging="423"/>
      </w:pPr>
      <w:rPr>
        <w:rFonts w:hint="default"/>
      </w:rPr>
    </w:lvl>
    <w:lvl w:ilvl="5">
      <w:start w:val="0"/>
      <w:numFmt w:val="bullet"/>
      <w:lvlText w:val="•"/>
      <w:lvlJc w:val="left"/>
      <w:pPr>
        <w:ind w:left="1837" w:hanging="423"/>
      </w:pPr>
      <w:rPr>
        <w:rFonts w:hint="default"/>
      </w:rPr>
    </w:lvl>
    <w:lvl w:ilvl="6">
      <w:start w:val="0"/>
      <w:numFmt w:val="bullet"/>
      <w:lvlText w:val="•"/>
      <w:lvlJc w:val="left"/>
      <w:pPr>
        <w:ind w:left="2052" w:hanging="423"/>
      </w:pPr>
      <w:rPr>
        <w:rFonts w:hint="default"/>
      </w:rPr>
    </w:lvl>
    <w:lvl w:ilvl="7">
      <w:start w:val="0"/>
      <w:numFmt w:val="bullet"/>
      <w:lvlText w:val="•"/>
      <w:lvlJc w:val="left"/>
      <w:pPr>
        <w:ind w:left="2267" w:hanging="423"/>
      </w:pPr>
      <w:rPr>
        <w:rFonts w:hint="default"/>
      </w:rPr>
    </w:lvl>
    <w:lvl w:ilvl="8">
      <w:start w:val="0"/>
      <w:numFmt w:val="bullet"/>
      <w:lvlText w:val="•"/>
      <w:lvlJc w:val="left"/>
      <w:pPr>
        <w:ind w:left="2483" w:hanging="423"/>
      </w:pPr>
      <w:rPr>
        <w:rFonts w:hint="default"/>
      </w:rPr>
    </w:lvl>
  </w:abstractNum>
  <w:abstractNum w:abstractNumId="5">
    <w:multiLevelType w:val="hybridMultilevel"/>
    <w:lvl w:ilvl="0">
      <w:start w:val="2"/>
      <w:numFmt w:val="decimal"/>
      <w:lvlText w:val="%1"/>
      <w:lvlJc w:val="left"/>
      <w:pPr>
        <w:ind w:left="683" w:hanging="423"/>
        <w:jc w:val="left"/>
      </w:pPr>
      <w:rPr>
        <w:rFonts w:hint="default"/>
      </w:rPr>
    </w:lvl>
    <w:lvl w:ilvl="1">
      <w:start w:val="1"/>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1055" w:hanging="423"/>
      </w:pPr>
      <w:rPr>
        <w:rFonts w:hint="default"/>
      </w:rPr>
    </w:lvl>
    <w:lvl w:ilvl="3">
      <w:start w:val="0"/>
      <w:numFmt w:val="bullet"/>
      <w:lvlText w:val="•"/>
      <w:lvlJc w:val="left"/>
      <w:pPr>
        <w:ind w:left="1243" w:hanging="423"/>
      </w:pPr>
      <w:rPr>
        <w:rFonts w:hint="default"/>
      </w:rPr>
    </w:lvl>
    <w:lvl w:ilvl="4">
      <w:start w:val="0"/>
      <w:numFmt w:val="bullet"/>
      <w:lvlText w:val="•"/>
      <w:lvlJc w:val="left"/>
      <w:pPr>
        <w:ind w:left="1431" w:hanging="423"/>
      </w:pPr>
      <w:rPr>
        <w:rFonts w:hint="default"/>
      </w:rPr>
    </w:lvl>
    <w:lvl w:ilvl="5">
      <w:start w:val="0"/>
      <w:numFmt w:val="bullet"/>
      <w:lvlText w:val="•"/>
      <w:lvlJc w:val="left"/>
      <w:pPr>
        <w:ind w:left="1619" w:hanging="423"/>
      </w:pPr>
      <w:rPr>
        <w:rFonts w:hint="default"/>
      </w:rPr>
    </w:lvl>
    <w:lvl w:ilvl="6">
      <w:start w:val="0"/>
      <w:numFmt w:val="bullet"/>
      <w:lvlText w:val="•"/>
      <w:lvlJc w:val="left"/>
      <w:pPr>
        <w:ind w:left="1806" w:hanging="423"/>
      </w:pPr>
      <w:rPr>
        <w:rFonts w:hint="default"/>
      </w:rPr>
    </w:lvl>
    <w:lvl w:ilvl="7">
      <w:start w:val="0"/>
      <w:numFmt w:val="bullet"/>
      <w:lvlText w:val="•"/>
      <w:lvlJc w:val="left"/>
      <w:pPr>
        <w:ind w:left="1994" w:hanging="423"/>
      </w:pPr>
      <w:rPr>
        <w:rFonts w:hint="default"/>
      </w:rPr>
    </w:lvl>
    <w:lvl w:ilvl="8">
      <w:start w:val="0"/>
      <w:numFmt w:val="bullet"/>
      <w:lvlText w:val="•"/>
      <w:lvlJc w:val="left"/>
      <w:pPr>
        <w:ind w:left="2182" w:hanging="423"/>
      </w:pPr>
      <w:rPr>
        <w:rFonts w:hint="default"/>
      </w:rPr>
    </w:lvl>
  </w:abstractNum>
  <w:abstractNum w:abstractNumId="4">
    <w:multiLevelType w:val="hybridMultilevel"/>
    <w:lvl w:ilvl="0">
      <w:start w:val="8"/>
      <w:numFmt w:val="decimal"/>
      <w:lvlText w:val="%1"/>
      <w:lvlJc w:val="left"/>
      <w:pPr>
        <w:ind w:left="760" w:hanging="421"/>
        <w:jc w:val="left"/>
      </w:pPr>
      <w:rPr>
        <w:rFonts w:hint="default"/>
      </w:rPr>
    </w:lvl>
    <w:lvl w:ilvl="1">
      <w:start w:val="4"/>
      <w:numFmt w:val="decimal"/>
      <w:lvlText w:val="%1.%2"/>
      <w:lvlJc w:val="left"/>
      <w:pPr>
        <w:ind w:left="760" w:hanging="421"/>
        <w:jc w:val="left"/>
      </w:pPr>
      <w:rPr>
        <w:rFonts w:hint="default" w:ascii="宋体" w:hAnsi="宋体" w:eastAsia="宋体" w:cs="宋体"/>
        <w:w w:val="100"/>
        <w:sz w:val="21"/>
        <w:szCs w:val="21"/>
      </w:rPr>
    </w:lvl>
    <w:lvl w:ilvl="2">
      <w:start w:val="0"/>
      <w:numFmt w:val="bullet"/>
      <w:lvlText w:val="•"/>
      <w:lvlJc w:val="left"/>
      <w:pPr>
        <w:ind w:left="1190" w:hanging="421"/>
      </w:pPr>
      <w:rPr>
        <w:rFonts w:hint="default"/>
      </w:rPr>
    </w:lvl>
    <w:lvl w:ilvl="3">
      <w:start w:val="0"/>
      <w:numFmt w:val="bullet"/>
      <w:lvlText w:val="•"/>
      <w:lvlJc w:val="left"/>
      <w:pPr>
        <w:ind w:left="1406" w:hanging="421"/>
      </w:pPr>
      <w:rPr>
        <w:rFonts w:hint="default"/>
      </w:rPr>
    </w:lvl>
    <w:lvl w:ilvl="4">
      <w:start w:val="0"/>
      <w:numFmt w:val="bullet"/>
      <w:lvlText w:val="•"/>
      <w:lvlJc w:val="left"/>
      <w:pPr>
        <w:ind w:left="1621" w:hanging="421"/>
      </w:pPr>
      <w:rPr>
        <w:rFonts w:hint="default"/>
      </w:rPr>
    </w:lvl>
    <w:lvl w:ilvl="5">
      <w:start w:val="0"/>
      <w:numFmt w:val="bullet"/>
      <w:lvlText w:val="•"/>
      <w:lvlJc w:val="left"/>
      <w:pPr>
        <w:ind w:left="1837" w:hanging="421"/>
      </w:pPr>
      <w:rPr>
        <w:rFonts w:hint="default"/>
      </w:rPr>
    </w:lvl>
    <w:lvl w:ilvl="6">
      <w:start w:val="0"/>
      <w:numFmt w:val="bullet"/>
      <w:lvlText w:val="•"/>
      <w:lvlJc w:val="left"/>
      <w:pPr>
        <w:ind w:left="2052" w:hanging="421"/>
      </w:pPr>
      <w:rPr>
        <w:rFonts w:hint="default"/>
      </w:rPr>
    </w:lvl>
    <w:lvl w:ilvl="7">
      <w:start w:val="0"/>
      <w:numFmt w:val="bullet"/>
      <w:lvlText w:val="•"/>
      <w:lvlJc w:val="left"/>
      <w:pPr>
        <w:ind w:left="2267" w:hanging="421"/>
      </w:pPr>
      <w:rPr>
        <w:rFonts w:hint="default"/>
      </w:rPr>
    </w:lvl>
    <w:lvl w:ilvl="8">
      <w:start w:val="0"/>
      <w:numFmt w:val="bullet"/>
      <w:lvlText w:val="•"/>
      <w:lvlJc w:val="left"/>
      <w:pPr>
        <w:ind w:left="2483" w:hanging="421"/>
      </w:pPr>
      <w:rPr>
        <w:rFonts w:hint="default"/>
      </w:rPr>
    </w:lvl>
  </w:abstractNum>
  <w:abstractNum w:abstractNumId="3">
    <w:multiLevelType w:val="hybridMultilevel"/>
    <w:lvl w:ilvl="0">
      <w:start w:val="5"/>
      <w:numFmt w:val="decimal"/>
      <w:lvlText w:val="%1"/>
      <w:lvlJc w:val="left"/>
      <w:pPr>
        <w:ind w:left="827" w:hanging="423"/>
        <w:jc w:val="left"/>
      </w:pPr>
      <w:rPr>
        <w:rFonts w:hint="default"/>
      </w:rPr>
    </w:lvl>
    <w:lvl w:ilvl="1">
      <w:start w:val="1"/>
      <w:numFmt w:val="decimal"/>
      <w:lvlText w:val="%1.%2"/>
      <w:lvlJc w:val="left"/>
      <w:pPr>
        <w:ind w:left="827" w:hanging="423"/>
        <w:jc w:val="left"/>
      </w:pPr>
      <w:rPr>
        <w:rFonts w:hint="default" w:ascii="宋体" w:hAnsi="宋体" w:eastAsia="宋体" w:cs="宋体"/>
        <w:w w:val="100"/>
        <w:sz w:val="21"/>
        <w:szCs w:val="21"/>
      </w:rPr>
    </w:lvl>
    <w:lvl w:ilvl="2">
      <w:start w:val="0"/>
      <w:numFmt w:val="bullet"/>
      <w:lvlText w:val="•"/>
      <w:lvlJc w:val="left"/>
      <w:pPr>
        <w:ind w:left="1225" w:hanging="423"/>
      </w:pPr>
      <w:rPr>
        <w:rFonts w:hint="default"/>
      </w:rPr>
    </w:lvl>
    <w:lvl w:ilvl="3">
      <w:start w:val="0"/>
      <w:numFmt w:val="bullet"/>
      <w:lvlText w:val="•"/>
      <w:lvlJc w:val="left"/>
      <w:pPr>
        <w:ind w:left="1428" w:hanging="423"/>
      </w:pPr>
      <w:rPr>
        <w:rFonts w:hint="default"/>
      </w:rPr>
    </w:lvl>
    <w:lvl w:ilvl="4">
      <w:start w:val="0"/>
      <w:numFmt w:val="bullet"/>
      <w:lvlText w:val="•"/>
      <w:lvlJc w:val="left"/>
      <w:pPr>
        <w:ind w:left="1631" w:hanging="423"/>
      </w:pPr>
      <w:rPr>
        <w:rFonts w:hint="default"/>
      </w:rPr>
    </w:lvl>
    <w:lvl w:ilvl="5">
      <w:start w:val="0"/>
      <w:numFmt w:val="bullet"/>
      <w:lvlText w:val="•"/>
      <w:lvlJc w:val="left"/>
      <w:pPr>
        <w:ind w:left="1834" w:hanging="423"/>
      </w:pPr>
      <w:rPr>
        <w:rFonts w:hint="default"/>
      </w:rPr>
    </w:lvl>
    <w:lvl w:ilvl="6">
      <w:start w:val="0"/>
      <w:numFmt w:val="bullet"/>
      <w:lvlText w:val="•"/>
      <w:lvlJc w:val="left"/>
      <w:pPr>
        <w:ind w:left="2037" w:hanging="423"/>
      </w:pPr>
      <w:rPr>
        <w:rFonts w:hint="default"/>
      </w:rPr>
    </w:lvl>
    <w:lvl w:ilvl="7">
      <w:start w:val="0"/>
      <w:numFmt w:val="bullet"/>
      <w:lvlText w:val="•"/>
      <w:lvlJc w:val="left"/>
      <w:pPr>
        <w:ind w:left="2240" w:hanging="423"/>
      </w:pPr>
      <w:rPr>
        <w:rFonts w:hint="default"/>
      </w:rPr>
    </w:lvl>
    <w:lvl w:ilvl="8">
      <w:start w:val="0"/>
      <w:numFmt w:val="bullet"/>
      <w:lvlText w:val="•"/>
      <w:lvlJc w:val="left"/>
      <w:pPr>
        <w:ind w:left="2443" w:hanging="423"/>
      </w:pPr>
      <w:rPr>
        <w:rFonts w:hint="default"/>
      </w:rPr>
    </w:lvl>
  </w:abstractNum>
  <w:abstractNum w:abstractNumId="2">
    <w:multiLevelType w:val="hybridMultilevel"/>
    <w:lvl w:ilvl="0">
      <w:start w:val="8"/>
      <w:numFmt w:val="decimal"/>
      <w:lvlText w:val="%1"/>
      <w:lvlJc w:val="left"/>
      <w:pPr>
        <w:ind w:left="760" w:hanging="421"/>
        <w:jc w:val="left"/>
      </w:pPr>
      <w:rPr>
        <w:rFonts w:hint="default"/>
      </w:rPr>
    </w:lvl>
    <w:lvl w:ilvl="1">
      <w:start w:val="1"/>
      <w:numFmt w:val="decimal"/>
      <w:lvlText w:val="%1.%2"/>
      <w:lvlJc w:val="left"/>
      <w:pPr>
        <w:ind w:left="760" w:hanging="421"/>
        <w:jc w:val="left"/>
      </w:pPr>
      <w:rPr>
        <w:rFonts w:hint="default" w:ascii="宋体" w:hAnsi="宋体" w:eastAsia="宋体" w:cs="宋体"/>
        <w:w w:val="100"/>
        <w:sz w:val="21"/>
        <w:szCs w:val="21"/>
      </w:rPr>
    </w:lvl>
    <w:lvl w:ilvl="2">
      <w:start w:val="0"/>
      <w:numFmt w:val="bullet"/>
      <w:lvlText w:val="•"/>
      <w:lvlJc w:val="left"/>
      <w:pPr>
        <w:ind w:left="1190" w:hanging="421"/>
      </w:pPr>
      <w:rPr>
        <w:rFonts w:hint="default"/>
      </w:rPr>
    </w:lvl>
    <w:lvl w:ilvl="3">
      <w:start w:val="0"/>
      <w:numFmt w:val="bullet"/>
      <w:lvlText w:val="•"/>
      <w:lvlJc w:val="left"/>
      <w:pPr>
        <w:ind w:left="1406" w:hanging="421"/>
      </w:pPr>
      <w:rPr>
        <w:rFonts w:hint="default"/>
      </w:rPr>
    </w:lvl>
    <w:lvl w:ilvl="4">
      <w:start w:val="0"/>
      <w:numFmt w:val="bullet"/>
      <w:lvlText w:val="•"/>
      <w:lvlJc w:val="left"/>
      <w:pPr>
        <w:ind w:left="1621" w:hanging="421"/>
      </w:pPr>
      <w:rPr>
        <w:rFonts w:hint="default"/>
      </w:rPr>
    </w:lvl>
    <w:lvl w:ilvl="5">
      <w:start w:val="0"/>
      <w:numFmt w:val="bullet"/>
      <w:lvlText w:val="•"/>
      <w:lvlJc w:val="left"/>
      <w:pPr>
        <w:ind w:left="1837" w:hanging="421"/>
      </w:pPr>
      <w:rPr>
        <w:rFonts w:hint="default"/>
      </w:rPr>
    </w:lvl>
    <w:lvl w:ilvl="6">
      <w:start w:val="0"/>
      <w:numFmt w:val="bullet"/>
      <w:lvlText w:val="•"/>
      <w:lvlJc w:val="left"/>
      <w:pPr>
        <w:ind w:left="2052" w:hanging="421"/>
      </w:pPr>
      <w:rPr>
        <w:rFonts w:hint="default"/>
      </w:rPr>
    </w:lvl>
    <w:lvl w:ilvl="7">
      <w:start w:val="0"/>
      <w:numFmt w:val="bullet"/>
      <w:lvlText w:val="•"/>
      <w:lvlJc w:val="left"/>
      <w:pPr>
        <w:ind w:left="2267" w:hanging="421"/>
      </w:pPr>
      <w:rPr>
        <w:rFonts w:hint="default"/>
      </w:rPr>
    </w:lvl>
    <w:lvl w:ilvl="8">
      <w:start w:val="0"/>
      <w:numFmt w:val="bullet"/>
      <w:lvlText w:val="•"/>
      <w:lvlJc w:val="left"/>
      <w:pPr>
        <w:ind w:left="2483" w:hanging="421"/>
      </w:pPr>
      <w:rPr>
        <w:rFonts w:hint="default"/>
      </w:rPr>
    </w:lvl>
  </w:abstractNum>
  <w:abstractNum w:abstractNumId="1">
    <w:multiLevelType w:val="hybridMultilevel"/>
    <w:lvl w:ilvl="0">
      <w:start w:val="1"/>
      <w:numFmt w:val="decimal"/>
      <w:lvlText w:val="%1"/>
      <w:lvlJc w:val="left"/>
      <w:pPr>
        <w:ind w:left="683" w:hanging="423"/>
        <w:jc w:val="left"/>
      </w:pPr>
      <w:rPr>
        <w:rFonts w:hint="default"/>
      </w:rPr>
    </w:lvl>
    <w:lvl w:ilvl="1">
      <w:start w:val="1"/>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1055" w:hanging="423"/>
      </w:pPr>
      <w:rPr>
        <w:rFonts w:hint="default"/>
      </w:rPr>
    </w:lvl>
    <w:lvl w:ilvl="3">
      <w:start w:val="0"/>
      <w:numFmt w:val="bullet"/>
      <w:lvlText w:val="•"/>
      <w:lvlJc w:val="left"/>
      <w:pPr>
        <w:ind w:left="1243" w:hanging="423"/>
      </w:pPr>
      <w:rPr>
        <w:rFonts w:hint="default"/>
      </w:rPr>
    </w:lvl>
    <w:lvl w:ilvl="4">
      <w:start w:val="0"/>
      <w:numFmt w:val="bullet"/>
      <w:lvlText w:val="•"/>
      <w:lvlJc w:val="left"/>
      <w:pPr>
        <w:ind w:left="1431" w:hanging="423"/>
      </w:pPr>
      <w:rPr>
        <w:rFonts w:hint="default"/>
      </w:rPr>
    </w:lvl>
    <w:lvl w:ilvl="5">
      <w:start w:val="0"/>
      <w:numFmt w:val="bullet"/>
      <w:lvlText w:val="•"/>
      <w:lvlJc w:val="left"/>
      <w:pPr>
        <w:ind w:left="1619" w:hanging="423"/>
      </w:pPr>
      <w:rPr>
        <w:rFonts w:hint="default"/>
      </w:rPr>
    </w:lvl>
    <w:lvl w:ilvl="6">
      <w:start w:val="0"/>
      <w:numFmt w:val="bullet"/>
      <w:lvlText w:val="•"/>
      <w:lvlJc w:val="left"/>
      <w:pPr>
        <w:ind w:left="1806" w:hanging="423"/>
      </w:pPr>
      <w:rPr>
        <w:rFonts w:hint="default"/>
      </w:rPr>
    </w:lvl>
    <w:lvl w:ilvl="7">
      <w:start w:val="0"/>
      <w:numFmt w:val="bullet"/>
      <w:lvlText w:val="•"/>
      <w:lvlJc w:val="left"/>
      <w:pPr>
        <w:ind w:left="1994" w:hanging="423"/>
      </w:pPr>
      <w:rPr>
        <w:rFonts w:hint="default"/>
      </w:rPr>
    </w:lvl>
    <w:lvl w:ilvl="8">
      <w:start w:val="0"/>
      <w:numFmt w:val="bullet"/>
      <w:lvlText w:val="•"/>
      <w:lvlJc w:val="left"/>
      <w:pPr>
        <w:ind w:left="2182" w:hanging="423"/>
      </w:pPr>
      <w:rPr>
        <w:rFonts w:hint="default"/>
      </w:rPr>
    </w:lvl>
  </w:abstractNum>
  <w:abstractNum w:abstractNumId="0">
    <w:multiLevelType w:val="hybridMultilevel"/>
    <w:lvl w:ilvl="0">
      <w:start w:val="0"/>
      <w:numFmt w:val="bullet"/>
      <w:lvlText w:val=""/>
      <w:lvlJc w:val="left"/>
      <w:pPr>
        <w:ind w:left="1808" w:hanging="440"/>
      </w:pPr>
      <w:rPr>
        <w:rFonts w:hint="default" w:ascii="Wingdings" w:hAnsi="Wingdings" w:eastAsia="Wingdings" w:cs="Wingdings"/>
        <w:w w:val="100"/>
        <w:sz w:val="21"/>
        <w:szCs w:val="21"/>
      </w:rPr>
    </w:lvl>
    <w:lvl w:ilvl="1">
      <w:start w:val="0"/>
      <w:numFmt w:val="bullet"/>
      <w:lvlText w:val="•"/>
      <w:lvlJc w:val="left"/>
      <w:pPr>
        <w:ind w:left="2600" w:hanging="440"/>
      </w:pPr>
      <w:rPr>
        <w:rFonts w:hint="default"/>
      </w:rPr>
    </w:lvl>
    <w:lvl w:ilvl="2">
      <w:start w:val="0"/>
      <w:numFmt w:val="bullet"/>
      <w:lvlText w:val="•"/>
      <w:lvlJc w:val="left"/>
      <w:pPr>
        <w:ind w:left="3401" w:hanging="440"/>
      </w:pPr>
      <w:rPr>
        <w:rFonts w:hint="default"/>
      </w:rPr>
    </w:lvl>
    <w:lvl w:ilvl="3">
      <w:start w:val="0"/>
      <w:numFmt w:val="bullet"/>
      <w:lvlText w:val="•"/>
      <w:lvlJc w:val="left"/>
      <w:pPr>
        <w:ind w:left="4201" w:hanging="440"/>
      </w:pPr>
      <w:rPr>
        <w:rFonts w:hint="default"/>
      </w:rPr>
    </w:lvl>
    <w:lvl w:ilvl="4">
      <w:start w:val="0"/>
      <w:numFmt w:val="bullet"/>
      <w:lvlText w:val="•"/>
      <w:lvlJc w:val="left"/>
      <w:pPr>
        <w:ind w:left="5002" w:hanging="440"/>
      </w:pPr>
      <w:rPr>
        <w:rFonts w:hint="default"/>
      </w:rPr>
    </w:lvl>
    <w:lvl w:ilvl="5">
      <w:start w:val="0"/>
      <w:numFmt w:val="bullet"/>
      <w:lvlText w:val="•"/>
      <w:lvlJc w:val="left"/>
      <w:pPr>
        <w:ind w:left="5802" w:hanging="440"/>
      </w:pPr>
      <w:rPr>
        <w:rFonts w:hint="default"/>
      </w:rPr>
    </w:lvl>
    <w:lvl w:ilvl="6">
      <w:start w:val="0"/>
      <w:numFmt w:val="bullet"/>
      <w:lvlText w:val="•"/>
      <w:lvlJc w:val="left"/>
      <w:pPr>
        <w:ind w:left="6603" w:hanging="440"/>
      </w:pPr>
      <w:rPr>
        <w:rFonts w:hint="default"/>
      </w:rPr>
    </w:lvl>
    <w:lvl w:ilvl="7">
      <w:start w:val="0"/>
      <w:numFmt w:val="bullet"/>
      <w:lvlText w:val="•"/>
      <w:lvlJc w:val="left"/>
      <w:pPr>
        <w:ind w:left="7403" w:hanging="440"/>
      </w:pPr>
      <w:rPr>
        <w:rFonts w:hint="default"/>
      </w:rPr>
    </w:lvl>
    <w:lvl w:ilvl="8">
      <w:start w:val="0"/>
      <w:numFmt w:val="bullet"/>
      <w:lvlText w:val="•"/>
      <w:lvlJc w:val="left"/>
      <w:pPr>
        <w:ind w:left="8204" w:hanging="440"/>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299" w:right="2492"/>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ind w:left="223"/>
      <w:outlineLvl w:val="2"/>
    </w:pPr>
    <w:rPr>
      <w:rFonts w:ascii="微软雅黑" w:hAnsi="微软雅黑" w:eastAsia="微软雅黑" w:cs="微软雅黑"/>
      <w:b/>
      <w:bCs/>
      <w:sz w:val="24"/>
      <w:szCs w:val="24"/>
    </w:rPr>
  </w:style>
  <w:style w:styleId="Heading3" w:type="paragraph">
    <w:name w:val="Heading 3"/>
    <w:basedOn w:val="Normal"/>
    <w:uiPriority w:val="1"/>
    <w:qFormat/>
    <w:pPr>
      <w:spacing w:line="337" w:lineRule="exact"/>
      <w:ind w:left="1808"/>
      <w:outlineLvl w:val="3"/>
    </w:pPr>
    <w:rPr>
      <w:rFonts w:ascii="微软雅黑" w:hAnsi="微软雅黑" w:eastAsia="微软雅黑" w:cs="微软雅黑"/>
      <w:b/>
      <w:bCs/>
      <w:sz w:val="21"/>
      <w:szCs w:val="21"/>
    </w:rPr>
  </w:style>
  <w:style w:styleId="Heading4" w:type="paragraph">
    <w:name w:val="Heading 4"/>
    <w:basedOn w:val="Normal"/>
    <w:uiPriority w:val="1"/>
    <w:qFormat/>
    <w:pPr>
      <w:ind w:left="599" w:hanging="360"/>
      <w:outlineLvl w:val="4"/>
    </w:pPr>
    <w:rPr>
      <w:rFonts w:ascii="微软雅黑" w:hAnsi="微软雅黑" w:eastAsia="微软雅黑" w:cs="微软雅黑"/>
      <w:b/>
      <w:bCs/>
      <w:sz w:val="18"/>
      <w:szCs w:val="18"/>
    </w:rPr>
  </w:style>
  <w:style w:styleId="ListParagraph" w:type="paragraph">
    <w:name w:val="List Paragraph"/>
    <w:basedOn w:val="Normal"/>
    <w:uiPriority w:val="1"/>
    <w:qFormat/>
    <w:pPr>
      <w:ind w:left="2675"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2018-10-19T21:54:25Z</dcterms:created>
  <dcterms:modified xsi:type="dcterms:W3CDTF">2018-10-19T21:54:25Z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2018-01-08T00:00:00Z</vt:filetime>
  </property>
  <property fmtid="{D5CDD505-2E9C-101B-9397-08002B2CF9AE}" pid="3" name="LastSaved">
    <vt:filetime>2018-10-19T00:00:00Z</vt:filetime>
  </property>
</Properties>
</file>