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ind w:right="273"/>
        <w:jc w:val="right"/>
      </w:pPr>
      <w:r>
        <w:rPr/>
        <w:drawing>
          <wp:anchor distT="0" distB="0" distL="0" distR="0" allowOverlap="1" layoutInCell="1" locked="0" behindDoc="0" simplePos="0" relativeHeight="0">
            <wp:simplePos x="0" y="0"/>
            <wp:positionH relativeFrom="page">
              <wp:posOffset>719455</wp:posOffset>
            </wp:positionH>
            <wp:positionV relativeFrom="paragraph">
              <wp:posOffset>237028</wp:posOffset>
            </wp:positionV>
            <wp:extent cx="1330245" cy="448055"/>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30245" cy="448055"/>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5317490</wp:posOffset>
            </wp:positionH>
            <wp:positionV relativeFrom="paragraph">
              <wp:posOffset>275128</wp:posOffset>
            </wp:positionV>
            <wp:extent cx="723900" cy="7239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anchor>
        </w:drawing>
      </w:r>
      <w:r>
        <w:rPr/>
        <w:pict>
          <v:group style="position:absolute;margin-left:51.119999pt;margin-top:713.02002pt;width:480.85pt;height:.5pt;mso-position-horizontal-relative:page;mso-position-vertical-relative:page;z-index:-25648" coordorigin="1022,14260" coordsize="9617,10">
            <v:shape style="position:absolute;left:1022;top:14260;width:10;height:10" type="#_x0000_t75" stroked="false">
              <v:imagedata r:id="rId7" o:title=""/>
            </v:shape>
            <v:shape style="position:absolute;left:1032;top:14260;width:9607;height:10" type="#_x0000_t75" stroked="false">
              <v:imagedata r:id="rId8" o:title=""/>
            </v:shape>
            <w10:wrap type="none"/>
          </v:group>
        </w:pict>
      </w:r>
      <w:r>
        <w:rPr/>
        <w:t>中意人寿[2016]疾病保险 010 号</w:t>
      </w:r>
    </w:p>
    <w:p>
      <w:pPr>
        <w:pStyle w:val="BodyText"/>
        <w:spacing w:before="26"/>
        <w:ind w:right="691"/>
        <w:jc w:val="right"/>
      </w:pPr>
      <w:r>
        <w:rPr/>
        <w:t>请扫描以查询验证条款</w:t>
      </w:r>
    </w:p>
    <w:p>
      <w:pPr>
        <w:pStyle w:val="BodyText"/>
        <w:spacing w:before="2"/>
        <w:rPr>
          <w:sz w:val="17"/>
        </w:rPr>
      </w:pPr>
    </w:p>
    <w:p>
      <w:pPr>
        <w:spacing w:before="1"/>
        <w:ind w:left="1019" w:right="1262" w:firstLine="0"/>
        <w:jc w:val="center"/>
        <w:rPr>
          <w:b/>
          <w:sz w:val="32"/>
        </w:rPr>
      </w:pPr>
      <w:r>
        <w:rPr>
          <w:b/>
          <w:sz w:val="32"/>
        </w:rPr>
        <w:t>阅 读 提 示</w:t>
      </w:r>
    </w:p>
    <w:p>
      <w:pPr>
        <w:pStyle w:val="Heading2"/>
        <w:spacing w:line="240" w:lineRule="auto" w:before="17"/>
        <w:ind w:left="1149" w:right="1262" w:firstLine="0"/>
        <w:jc w:val="center"/>
      </w:pPr>
      <w:r>
        <w:rPr/>
        <w:t>本阅读提示是为了帮助您更好理解条款，对本合同内容的解释以条款正文为准。</w:t>
      </w:r>
    </w:p>
    <w:p>
      <w:pPr>
        <w:pStyle w:val="BodyText"/>
        <w:spacing w:before="3"/>
        <w:rPr>
          <w:b/>
          <w:sz w:val="18"/>
        </w:rPr>
      </w:pPr>
    </w:p>
    <w:p>
      <w:pPr>
        <w:tabs>
          <w:tab w:pos="633" w:val="left" w:leader="none"/>
        </w:tabs>
        <w:spacing w:line="283" w:lineRule="exact" w:before="0"/>
        <w:ind w:left="212" w:right="0" w:firstLine="0"/>
        <w:jc w:val="left"/>
        <w:rPr>
          <w:b/>
          <w:sz w:val="21"/>
        </w:rPr>
      </w:pPr>
      <w:r>
        <w:rPr>
          <w:rFonts w:ascii="Symbol" w:hAnsi="Symbol" w:eastAsia="Symbol"/>
          <w:b/>
          <w:sz w:val="21"/>
        </w:rPr>
        <w:t></w:t>
      </w:r>
      <w:r>
        <w:rPr>
          <w:rFonts w:ascii="Times New Roman" w:hAnsi="Times New Roman" w:eastAsia="Times New Roman"/>
          <w:sz w:val="21"/>
        </w:rPr>
        <w:tab/>
      </w:r>
      <w:r>
        <w:rPr>
          <w:b/>
          <w:sz w:val="21"/>
        </w:rPr>
        <w:t>您拥有的重要权益</w:t>
      </w:r>
    </w:p>
    <w:p>
      <w:pPr>
        <w:pStyle w:val="ListParagraph"/>
        <w:numPr>
          <w:ilvl w:val="0"/>
          <w:numId w:val="1"/>
        </w:numPr>
        <w:tabs>
          <w:tab w:pos="1053" w:val="left" w:leader="none"/>
          <w:tab w:pos="1054" w:val="left" w:leader="none"/>
          <w:tab w:pos="9461" w:val="right" w:leader="dot"/>
        </w:tabs>
        <w:spacing w:line="272" w:lineRule="exact" w:before="0" w:after="0"/>
        <w:ind w:left="1053" w:right="0" w:hanging="413"/>
        <w:jc w:val="left"/>
        <w:rPr>
          <w:rFonts w:ascii="Times New Roman" w:eastAsia="Times New Roman"/>
          <w:sz w:val="21"/>
        </w:rPr>
      </w:pPr>
      <w:r>
        <w:rPr>
          <w:sz w:val="21"/>
        </w:rPr>
        <w:t>犹豫</w:t>
      </w:r>
      <w:r>
        <w:rPr>
          <w:spacing w:val="-3"/>
          <w:sz w:val="21"/>
        </w:rPr>
        <w:t>期</w:t>
      </w:r>
      <w:r>
        <w:rPr>
          <w:sz w:val="21"/>
        </w:rPr>
        <w:t>内</w:t>
      </w:r>
      <w:r>
        <w:rPr>
          <w:spacing w:val="-3"/>
          <w:sz w:val="21"/>
        </w:rPr>
        <w:t>您</w:t>
      </w:r>
      <w:r>
        <w:rPr>
          <w:sz w:val="21"/>
        </w:rPr>
        <w:t>可</w:t>
      </w:r>
      <w:r>
        <w:rPr>
          <w:spacing w:val="-3"/>
          <w:sz w:val="21"/>
        </w:rPr>
        <w:t>以</w:t>
      </w:r>
      <w:r>
        <w:rPr>
          <w:sz w:val="21"/>
        </w:rPr>
        <w:t>要</w:t>
      </w:r>
      <w:r>
        <w:rPr>
          <w:spacing w:val="-3"/>
          <w:sz w:val="21"/>
        </w:rPr>
        <w:t>求</w:t>
      </w:r>
      <w:r>
        <w:rPr>
          <w:sz w:val="21"/>
        </w:rPr>
        <w:t>全</w:t>
      </w:r>
      <w:r>
        <w:rPr>
          <w:spacing w:val="-3"/>
          <w:sz w:val="21"/>
        </w:rPr>
        <w:t>额</w:t>
      </w:r>
      <w:r>
        <w:rPr>
          <w:sz w:val="21"/>
        </w:rPr>
        <w:t>退还</w:t>
      </w:r>
      <w:r>
        <w:rPr>
          <w:spacing w:val="-3"/>
          <w:sz w:val="21"/>
        </w:rPr>
        <w:t>保</w:t>
      </w:r>
      <w:r>
        <w:rPr>
          <w:sz w:val="21"/>
        </w:rPr>
        <w:t>险费</w:t>
        <w:tab/>
      </w:r>
      <w:r>
        <w:rPr>
          <w:rFonts w:ascii="Times New Roman" w:eastAsia="Times New Roman"/>
          <w:sz w:val="21"/>
        </w:rPr>
        <w:t>1.5</w:t>
      </w:r>
    </w:p>
    <w:p>
      <w:pPr>
        <w:pStyle w:val="ListParagraph"/>
        <w:numPr>
          <w:ilvl w:val="0"/>
          <w:numId w:val="1"/>
        </w:numPr>
        <w:tabs>
          <w:tab w:pos="1053" w:val="left" w:leader="none"/>
          <w:tab w:pos="1054" w:val="left" w:leader="none"/>
          <w:tab w:pos="9461" w:val="right" w:leader="dot"/>
        </w:tabs>
        <w:spacing w:line="272" w:lineRule="exact" w:before="0" w:after="0"/>
        <w:ind w:left="1053" w:right="0" w:hanging="413"/>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有</w:t>
      </w:r>
      <w:r>
        <w:rPr>
          <w:spacing w:val="-3"/>
          <w:sz w:val="21"/>
        </w:rPr>
        <w:t>本</w:t>
      </w:r>
      <w:r>
        <w:rPr>
          <w:sz w:val="21"/>
        </w:rPr>
        <w:t>合</w:t>
      </w:r>
      <w:r>
        <w:rPr>
          <w:spacing w:val="-3"/>
          <w:sz w:val="21"/>
        </w:rPr>
        <w:t>同</w:t>
      </w:r>
      <w:r>
        <w:rPr>
          <w:sz w:val="21"/>
        </w:rPr>
        <w:t>提供</w:t>
      </w:r>
      <w:r>
        <w:rPr>
          <w:spacing w:val="-3"/>
          <w:sz w:val="21"/>
        </w:rPr>
        <w:t>的</w:t>
      </w:r>
      <w:r>
        <w:rPr>
          <w:sz w:val="21"/>
        </w:rPr>
        <w:t>保</w:t>
      </w:r>
      <w:r>
        <w:rPr>
          <w:spacing w:val="-3"/>
          <w:sz w:val="21"/>
        </w:rPr>
        <w:t>障</w:t>
      </w:r>
      <w:r>
        <w:rPr>
          <w:sz w:val="21"/>
        </w:rPr>
        <w:t>利益</w:t>
        <w:tab/>
      </w:r>
      <w:r>
        <w:rPr>
          <w:rFonts w:ascii="Times New Roman" w:eastAsia="Times New Roman"/>
          <w:sz w:val="21"/>
        </w:rPr>
        <w:t>2.4</w:t>
      </w:r>
    </w:p>
    <w:p>
      <w:pPr>
        <w:pStyle w:val="ListParagraph"/>
        <w:numPr>
          <w:ilvl w:val="0"/>
          <w:numId w:val="1"/>
        </w:numPr>
        <w:tabs>
          <w:tab w:pos="1053" w:val="left" w:leader="none"/>
          <w:tab w:pos="1054" w:val="left" w:leader="none"/>
          <w:tab w:pos="9461" w:val="right" w:leader="dot"/>
        </w:tabs>
        <w:spacing w:line="282" w:lineRule="exact" w:before="0" w:after="0"/>
        <w:ind w:left="1053" w:right="0" w:hanging="413"/>
        <w:jc w:val="left"/>
        <w:rPr>
          <w:rFonts w:ascii="Times New Roman" w:eastAsia="Times New Roman"/>
          <w:sz w:val="21"/>
        </w:rPr>
      </w:pPr>
      <w:r>
        <w:rPr>
          <w:sz w:val="21"/>
        </w:rPr>
        <w:t>您有</w:t>
      </w:r>
      <w:r>
        <w:rPr>
          <w:spacing w:val="-3"/>
          <w:sz w:val="21"/>
        </w:rPr>
        <w:t>权</w:t>
      </w:r>
      <w:r>
        <w:rPr>
          <w:sz w:val="21"/>
        </w:rPr>
        <w:t>解</w:t>
      </w:r>
      <w:r>
        <w:rPr>
          <w:spacing w:val="-3"/>
          <w:sz w:val="21"/>
        </w:rPr>
        <w:t>除</w:t>
      </w:r>
      <w:r>
        <w:rPr>
          <w:sz w:val="21"/>
        </w:rPr>
        <w:t>合同</w:t>
        <w:tab/>
      </w:r>
      <w:r>
        <w:rPr>
          <w:rFonts w:ascii="Times New Roman" w:eastAsia="Times New Roman"/>
          <w:sz w:val="21"/>
        </w:rPr>
        <w:t>7</w:t>
      </w:r>
    </w:p>
    <w:p>
      <w:pPr>
        <w:pStyle w:val="Heading2"/>
        <w:tabs>
          <w:tab w:pos="633" w:val="left" w:leader="none"/>
        </w:tabs>
        <w:spacing w:before="223"/>
        <w:ind w:left="212" w:firstLine="0"/>
      </w:pPr>
      <w:r>
        <w:rPr>
          <w:rFonts w:ascii="Symbol" w:hAnsi="Symbol" w:eastAsia="Symbol"/>
        </w:rPr>
        <w:t></w:t>
      </w:r>
      <w:r>
        <w:rPr>
          <w:rFonts w:ascii="Times New Roman" w:hAnsi="Times New Roman" w:eastAsia="Times New Roman"/>
          <w:b w:val="0"/>
        </w:rPr>
        <w:tab/>
      </w:r>
      <w:r>
        <w:rPr>
          <w:spacing w:val="-1"/>
        </w:rPr>
        <w:t>您应当特别注意的事项</w:t>
      </w:r>
    </w:p>
    <w:p>
      <w:pPr>
        <w:pStyle w:val="ListParagraph"/>
        <w:numPr>
          <w:ilvl w:val="0"/>
          <w:numId w:val="1"/>
        </w:numPr>
        <w:tabs>
          <w:tab w:pos="1053" w:val="left" w:leader="none"/>
          <w:tab w:pos="1054" w:val="left" w:leader="none"/>
          <w:tab w:pos="9512" w:val="right" w:leader="dot"/>
        </w:tabs>
        <w:spacing w:line="272" w:lineRule="exact" w:before="0" w:after="0"/>
        <w:ind w:left="1053" w:right="0" w:hanging="413"/>
        <w:jc w:val="left"/>
        <w:rPr>
          <w:rFonts w:ascii="Times New Roman" w:eastAsia="Times New Roman"/>
          <w:sz w:val="21"/>
        </w:rPr>
      </w:pPr>
      <w:r>
        <w:rPr>
          <w:sz w:val="21"/>
        </w:rPr>
        <w:t>等待</w:t>
      </w:r>
      <w:r>
        <w:rPr>
          <w:spacing w:val="-3"/>
          <w:sz w:val="21"/>
        </w:rPr>
        <w:t>期</w:t>
      </w:r>
      <w:r>
        <w:rPr>
          <w:sz w:val="21"/>
        </w:rPr>
        <w:t>内</w:t>
      </w:r>
      <w:r>
        <w:rPr>
          <w:spacing w:val="-3"/>
          <w:sz w:val="21"/>
        </w:rPr>
        <w:t>我</w:t>
      </w:r>
      <w:r>
        <w:rPr>
          <w:sz w:val="21"/>
        </w:rPr>
        <w:t>们</w:t>
      </w:r>
      <w:r>
        <w:rPr>
          <w:spacing w:val="-3"/>
          <w:sz w:val="21"/>
        </w:rPr>
        <w:t>不</w:t>
      </w:r>
      <w:r>
        <w:rPr>
          <w:sz w:val="21"/>
        </w:rPr>
        <w:t>承</w:t>
      </w:r>
      <w:r>
        <w:rPr>
          <w:spacing w:val="-3"/>
          <w:sz w:val="21"/>
        </w:rPr>
        <w:t>担</w:t>
      </w:r>
      <w:r>
        <w:rPr>
          <w:sz w:val="21"/>
        </w:rPr>
        <w:t>保</w:t>
      </w:r>
      <w:r>
        <w:rPr>
          <w:spacing w:val="-3"/>
          <w:sz w:val="21"/>
        </w:rPr>
        <w:t>险</w:t>
      </w:r>
      <w:r>
        <w:rPr>
          <w:sz w:val="21"/>
        </w:rPr>
        <w:t>责任</w:t>
        <w:tab/>
      </w:r>
      <w:r>
        <w:rPr>
          <w:rFonts w:ascii="Times New Roman" w:eastAsia="Times New Roman"/>
          <w:sz w:val="21"/>
        </w:rPr>
        <w:t>2.3</w:t>
      </w:r>
    </w:p>
    <w:p>
      <w:pPr>
        <w:pStyle w:val="ListParagraph"/>
        <w:numPr>
          <w:ilvl w:val="0"/>
          <w:numId w:val="1"/>
        </w:numPr>
        <w:tabs>
          <w:tab w:pos="1053" w:val="left" w:leader="none"/>
          <w:tab w:pos="1054" w:val="left" w:leader="none"/>
          <w:tab w:pos="9512" w:val="right" w:leader="dot"/>
        </w:tabs>
        <w:spacing w:line="273" w:lineRule="exact" w:before="0" w:after="0"/>
        <w:ind w:left="1053" w:right="0" w:hanging="413"/>
        <w:jc w:val="left"/>
        <w:rPr>
          <w:rFonts w:ascii="Times New Roman" w:eastAsia="Times New Roman"/>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r>
      <w:r>
        <w:rPr>
          <w:rFonts w:ascii="Times New Roman" w:eastAsia="Times New Roman"/>
          <w:sz w:val="21"/>
        </w:rPr>
        <w:t>2.5</w:t>
      </w:r>
    </w:p>
    <w:p>
      <w:pPr>
        <w:pStyle w:val="ListParagraph"/>
        <w:numPr>
          <w:ilvl w:val="0"/>
          <w:numId w:val="1"/>
        </w:numPr>
        <w:tabs>
          <w:tab w:pos="1053" w:val="left" w:leader="none"/>
          <w:tab w:pos="1054" w:val="left" w:leader="none"/>
          <w:tab w:pos="9511" w:val="right" w:leader="dot"/>
        </w:tabs>
        <w:spacing w:line="272" w:lineRule="exact" w:before="0" w:after="0"/>
        <w:ind w:left="1053" w:right="0" w:hanging="413"/>
        <w:jc w:val="left"/>
        <w:rPr>
          <w:rFonts w:ascii="Times New Roman" w:eastAsia="Times New Roman"/>
          <w:sz w:val="21"/>
        </w:rPr>
      </w:pPr>
      <w:r>
        <w:rPr>
          <w:sz w:val="21"/>
        </w:rPr>
        <w:t>您应</w:t>
      </w:r>
      <w:r>
        <w:rPr>
          <w:spacing w:val="-3"/>
          <w:sz w:val="21"/>
        </w:rPr>
        <w:t>按</w:t>
      </w:r>
      <w:r>
        <w:rPr>
          <w:sz w:val="21"/>
        </w:rPr>
        <w:t>时</w:t>
      </w:r>
      <w:r>
        <w:rPr>
          <w:spacing w:val="-3"/>
          <w:sz w:val="21"/>
        </w:rPr>
        <w:t>支</w:t>
      </w:r>
      <w:r>
        <w:rPr>
          <w:sz w:val="21"/>
        </w:rPr>
        <w:t>付</w:t>
      </w:r>
      <w:r>
        <w:rPr>
          <w:spacing w:val="-3"/>
          <w:sz w:val="21"/>
        </w:rPr>
        <w:t>保</w:t>
      </w:r>
      <w:r>
        <w:rPr>
          <w:sz w:val="21"/>
        </w:rPr>
        <w:t>险费</w:t>
        <w:tab/>
      </w:r>
      <w:r>
        <w:rPr>
          <w:rFonts w:ascii="Times New Roman" w:eastAsia="Times New Roman"/>
          <w:sz w:val="21"/>
        </w:rPr>
        <w:t>4.1</w:t>
      </w:r>
    </w:p>
    <w:p>
      <w:pPr>
        <w:pStyle w:val="ListParagraph"/>
        <w:numPr>
          <w:ilvl w:val="0"/>
          <w:numId w:val="1"/>
        </w:numPr>
        <w:tabs>
          <w:tab w:pos="1053" w:val="left" w:leader="none"/>
          <w:tab w:pos="1054" w:val="left" w:leader="none"/>
          <w:tab w:pos="9509" w:val="right" w:leader="dot"/>
        </w:tabs>
        <w:spacing w:line="272" w:lineRule="exact" w:before="0" w:after="0"/>
        <w:ind w:left="1053" w:right="0" w:hanging="413"/>
        <w:jc w:val="left"/>
        <w:rPr>
          <w:rFonts w:ascii="Times New Roman" w:eastAsia="Times New Roman"/>
          <w:sz w:val="21"/>
        </w:rPr>
      </w:pPr>
      <w:r>
        <w:rPr>
          <w:sz w:val="21"/>
        </w:rPr>
        <w:t>解除</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r>
      <w:r>
        <w:rPr>
          <w:rFonts w:ascii="Times New Roman" w:eastAsia="Times New Roman"/>
          <w:sz w:val="21"/>
        </w:rPr>
        <w:t>7.1</w:t>
      </w:r>
    </w:p>
    <w:p>
      <w:pPr>
        <w:pStyle w:val="ListParagraph"/>
        <w:numPr>
          <w:ilvl w:val="0"/>
          <w:numId w:val="1"/>
        </w:numPr>
        <w:tabs>
          <w:tab w:pos="1053" w:val="left" w:leader="none"/>
          <w:tab w:pos="1054" w:val="left" w:leader="none"/>
          <w:tab w:pos="9509" w:val="right" w:leader="dot"/>
        </w:tabs>
        <w:spacing w:line="272" w:lineRule="exact" w:before="0" w:after="0"/>
        <w:ind w:left="1053" w:right="0" w:hanging="415"/>
        <w:jc w:val="left"/>
        <w:rPr>
          <w:rFonts w:ascii="Times New Roman" w:eastAsia="Times New Roman"/>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本</w:t>
      </w:r>
      <w:r>
        <w:rPr>
          <w:spacing w:val="-3"/>
          <w:sz w:val="21"/>
        </w:rPr>
        <w:t>合</w:t>
      </w:r>
      <w:r>
        <w:rPr>
          <w:sz w:val="21"/>
        </w:rPr>
        <w:t>同</w:t>
      </w:r>
      <w:r>
        <w:rPr>
          <w:spacing w:val="-3"/>
          <w:sz w:val="21"/>
        </w:rPr>
        <w:t>效</w:t>
      </w:r>
      <w:r>
        <w:rPr>
          <w:sz w:val="21"/>
        </w:rPr>
        <w:t>力终止</w:t>
        <w:tab/>
      </w:r>
      <w:r>
        <w:rPr>
          <w:rFonts w:ascii="Times New Roman" w:eastAsia="Times New Roman"/>
          <w:sz w:val="21"/>
        </w:rPr>
        <w:t>7.2</w:t>
      </w:r>
    </w:p>
    <w:p>
      <w:pPr>
        <w:pStyle w:val="ListParagraph"/>
        <w:numPr>
          <w:ilvl w:val="0"/>
          <w:numId w:val="1"/>
        </w:numPr>
        <w:tabs>
          <w:tab w:pos="1053" w:val="left" w:leader="none"/>
          <w:tab w:pos="1054" w:val="left" w:leader="none"/>
          <w:tab w:pos="9461" w:val="right" w:leader="dot"/>
        </w:tabs>
        <w:spacing w:line="282" w:lineRule="exact" w:before="0" w:after="0"/>
        <w:ind w:left="1053" w:right="0" w:hanging="413"/>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请</w:t>
      </w:r>
      <w:r>
        <w:rPr>
          <w:sz w:val="21"/>
        </w:rPr>
        <w:t>您</w:t>
      </w:r>
      <w:r>
        <w:rPr>
          <w:spacing w:val="-3"/>
          <w:sz w:val="21"/>
        </w:rPr>
        <w:t>注意</w:t>
        <w:tab/>
      </w:r>
      <w:r>
        <w:rPr>
          <w:rFonts w:ascii="Times New Roman" w:eastAsia="Times New Roman"/>
          <w:sz w:val="21"/>
        </w:rPr>
        <w:t>12</w:t>
      </w:r>
    </w:p>
    <w:p>
      <w:pPr>
        <w:tabs>
          <w:tab w:pos="633" w:val="left" w:leader="none"/>
        </w:tabs>
        <w:spacing w:before="222"/>
        <w:ind w:left="212" w:right="0" w:firstLine="0"/>
        <w:jc w:val="left"/>
        <w:rPr>
          <w:b/>
          <w:sz w:val="21"/>
        </w:rPr>
      </w:pPr>
      <w:r>
        <w:rPr>
          <w:rFonts w:ascii="Symbol" w:hAnsi="Symbol" w:eastAsia="Symbol"/>
          <w:b/>
          <w:sz w:val="21"/>
        </w:rPr>
        <w:t></w:t>
      </w:r>
      <w:r>
        <w:rPr>
          <w:rFonts w:ascii="Times New Roman" w:hAnsi="Times New Roman" w:eastAsia="Times New Roman"/>
          <w:sz w:val="21"/>
        </w:rPr>
        <w:tab/>
      </w:r>
      <w:r>
        <w:rPr>
          <w:b/>
          <w:spacing w:val="-3"/>
          <w:sz w:val="21"/>
        </w:rPr>
        <w:t>条款是保险合同的重要内容，为充分保障您的权益，请您仔细阅读本条款。</w:t>
      </w:r>
    </w:p>
    <w:p>
      <w:pPr>
        <w:tabs>
          <w:tab w:pos="633" w:val="left" w:leader="none"/>
        </w:tabs>
        <w:spacing w:before="221" w:after="16"/>
        <w:ind w:left="212" w:right="0" w:firstLine="0"/>
        <w:jc w:val="left"/>
        <w:rPr>
          <w:b/>
          <w:sz w:val="21"/>
        </w:rPr>
      </w:pPr>
      <w:r>
        <w:rPr>
          <w:rFonts w:ascii="Symbol" w:hAnsi="Symbol" w:eastAsia="Symbol"/>
          <w:b/>
          <w:sz w:val="21"/>
        </w:rPr>
        <w:t></w:t>
      </w:r>
      <w:r>
        <w:rPr>
          <w:rFonts w:ascii="Times New Roman" w:hAnsi="Times New Roman" w:eastAsia="Times New Roman"/>
          <w:sz w:val="21"/>
        </w:rPr>
        <w:tab/>
      </w:r>
      <w:r>
        <w:rPr>
          <w:b/>
          <w:sz w:val="21"/>
        </w:rPr>
        <w:t>条款目录</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7"/>
        <w:gridCol w:w="3201"/>
        <w:gridCol w:w="3459"/>
      </w:tblGrid>
      <w:tr>
        <w:trPr>
          <w:trHeight w:val="378" w:hRule="atLeast"/>
        </w:trPr>
        <w:tc>
          <w:tcPr>
            <w:tcW w:w="2947" w:type="dxa"/>
            <w:tcBorders>
              <w:top w:val="single" w:sz="4" w:space="0" w:color="000000"/>
              <w:left w:val="single" w:sz="4" w:space="0" w:color="000000"/>
            </w:tcBorders>
          </w:tcPr>
          <w:p>
            <w:pPr>
              <w:pStyle w:val="TableParagraph"/>
              <w:spacing w:before="16"/>
              <w:ind w:left="110"/>
              <w:rPr>
                <w:b/>
                <w:sz w:val="21"/>
              </w:rPr>
            </w:pPr>
            <w:r>
              <w:rPr>
                <w:rFonts w:ascii="Times New Roman" w:eastAsia="Times New Roman"/>
                <w:b/>
                <w:sz w:val="21"/>
              </w:rPr>
              <w:t>1  </w:t>
            </w:r>
            <w:r>
              <w:rPr>
                <w:b/>
                <w:sz w:val="21"/>
              </w:rPr>
              <w:t>您与我们订立的合同</w:t>
            </w:r>
          </w:p>
        </w:tc>
        <w:tc>
          <w:tcPr>
            <w:tcW w:w="3201" w:type="dxa"/>
            <w:tcBorders>
              <w:top w:val="single" w:sz="4" w:space="0" w:color="000000"/>
            </w:tcBorders>
          </w:tcPr>
          <w:p>
            <w:pPr>
              <w:pStyle w:val="TableParagraph"/>
              <w:spacing w:before="16"/>
              <w:ind w:left="579"/>
              <w:rPr>
                <w:sz w:val="21"/>
              </w:rPr>
            </w:pPr>
            <w:r>
              <w:rPr>
                <w:rFonts w:ascii="Times New Roman" w:eastAsia="Times New Roman"/>
                <w:sz w:val="21"/>
              </w:rPr>
              <w:t>3.5  </w:t>
            </w:r>
            <w:r>
              <w:rPr>
                <w:sz w:val="21"/>
              </w:rPr>
              <w:t>保险金的给付</w:t>
            </w:r>
          </w:p>
        </w:tc>
        <w:tc>
          <w:tcPr>
            <w:tcW w:w="3459" w:type="dxa"/>
            <w:tcBorders>
              <w:top w:val="single" w:sz="4" w:space="0" w:color="000000"/>
              <w:right w:val="single" w:sz="4" w:space="0" w:color="000000"/>
            </w:tcBorders>
          </w:tcPr>
          <w:p>
            <w:pPr>
              <w:pStyle w:val="TableParagraph"/>
              <w:spacing w:line="20" w:lineRule="exact"/>
              <w:ind w:left="3458" w:right="-55"/>
              <w:rPr>
                <w:sz w:val="2"/>
              </w:rPr>
            </w:pPr>
            <w:r>
              <w:rPr>
                <w:sz w:val="2"/>
              </w:rPr>
              <w:drawing>
                <wp:inline distT="0" distB="0" distL="0" distR="0">
                  <wp:extent cx="6095" cy="6096"/>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095" cy="6096"/>
                          </a:xfrm>
                          <a:prstGeom prst="rect">
                            <a:avLst/>
                          </a:prstGeom>
                        </pic:spPr>
                      </pic:pic>
                    </a:graphicData>
                  </a:graphic>
                </wp:inline>
              </w:drawing>
            </w:r>
            <w:r>
              <w:rPr>
                <w:sz w:val="2"/>
              </w:rPr>
            </w:r>
          </w:p>
          <w:p>
            <w:pPr>
              <w:pStyle w:val="TableParagraph"/>
              <w:ind w:left="369"/>
              <w:rPr>
                <w:b/>
                <w:sz w:val="21"/>
              </w:rPr>
            </w:pPr>
            <w:r>
              <w:rPr>
                <w:rFonts w:ascii="Times New Roman" w:eastAsia="Times New Roman"/>
                <w:b/>
                <w:sz w:val="21"/>
              </w:rPr>
              <w:t>8  </w:t>
            </w:r>
            <w:r>
              <w:rPr>
                <w:b/>
                <w:sz w:val="21"/>
              </w:rPr>
              <w:t>如实告知</w:t>
            </w:r>
          </w:p>
        </w:tc>
      </w:tr>
      <w:tr>
        <w:trPr>
          <w:trHeight w:val="376" w:hRule="atLeast"/>
        </w:trPr>
        <w:tc>
          <w:tcPr>
            <w:tcW w:w="2947" w:type="dxa"/>
            <w:tcBorders>
              <w:left w:val="single" w:sz="4" w:space="0" w:color="000000"/>
            </w:tcBorders>
          </w:tcPr>
          <w:p>
            <w:pPr>
              <w:pStyle w:val="TableParagraph"/>
              <w:spacing w:before="14"/>
              <w:ind w:left="321"/>
              <w:rPr>
                <w:sz w:val="21"/>
              </w:rPr>
            </w:pPr>
            <w:r>
              <w:rPr>
                <w:rFonts w:ascii="Times New Roman" w:eastAsia="Times New Roman"/>
                <w:sz w:val="21"/>
              </w:rPr>
              <w:t>1.1  </w:t>
            </w:r>
            <w:r>
              <w:rPr>
                <w:sz w:val="21"/>
              </w:rPr>
              <w:t>合同构成</w:t>
            </w:r>
          </w:p>
        </w:tc>
        <w:tc>
          <w:tcPr>
            <w:tcW w:w="3201" w:type="dxa"/>
          </w:tcPr>
          <w:p>
            <w:pPr>
              <w:pStyle w:val="TableParagraph"/>
              <w:spacing w:before="14"/>
              <w:ind w:left="579"/>
              <w:rPr>
                <w:sz w:val="21"/>
              </w:rPr>
            </w:pPr>
            <w:r>
              <w:rPr>
                <w:rFonts w:ascii="Times New Roman" w:eastAsia="Times New Roman"/>
                <w:sz w:val="21"/>
              </w:rPr>
              <w:t>3.6  </w:t>
            </w:r>
            <w:r>
              <w:rPr>
                <w:sz w:val="21"/>
              </w:rPr>
              <w:t>宣告死亡处理</w:t>
            </w:r>
          </w:p>
        </w:tc>
        <w:tc>
          <w:tcPr>
            <w:tcW w:w="3459" w:type="dxa"/>
            <w:tcBorders>
              <w:right w:val="single" w:sz="4" w:space="0" w:color="000000"/>
            </w:tcBorders>
          </w:tcPr>
          <w:p>
            <w:pPr>
              <w:pStyle w:val="TableParagraph"/>
              <w:spacing w:before="14"/>
              <w:ind w:left="580"/>
              <w:rPr>
                <w:sz w:val="21"/>
              </w:rPr>
            </w:pPr>
            <w:r>
              <w:rPr>
                <w:rFonts w:ascii="Times New Roman" w:eastAsia="Times New Roman"/>
                <w:sz w:val="21"/>
              </w:rPr>
              <w:t>8.1  </w:t>
            </w:r>
            <w:r>
              <w:rPr>
                <w:sz w:val="21"/>
              </w:rPr>
              <w:t>明确说明与如实告知</w:t>
            </w:r>
          </w:p>
        </w:tc>
      </w:tr>
      <w:tr>
        <w:trPr>
          <w:trHeight w:val="375" w:hRule="atLeast"/>
        </w:trPr>
        <w:tc>
          <w:tcPr>
            <w:tcW w:w="2947" w:type="dxa"/>
            <w:tcBorders>
              <w:left w:val="single" w:sz="4" w:space="0" w:color="000000"/>
            </w:tcBorders>
          </w:tcPr>
          <w:p>
            <w:pPr>
              <w:pStyle w:val="TableParagraph"/>
              <w:spacing w:before="14"/>
              <w:ind w:left="321"/>
              <w:rPr>
                <w:sz w:val="21"/>
              </w:rPr>
            </w:pPr>
            <w:r>
              <w:rPr>
                <w:rFonts w:ascii="Times New Roman" w:eastAsia="Times New Roman"/>
                <w:sz w:val="21"/>
              </w:rPr>
              <w:t>1.2  </w:t>
            </w:r>
            <w:r>
              <w:rPr>
                <w:sz w:val="21"/>
              </w:rPr>
              <w:t>保险合同成立与生效</w:t>
            </w:r>
          </w:p>
        </w:tc>
        <w:tc>
          <w:tcPr>
            <w:tcW w:w="3201" w:type="dxa"/>
          </w:tcPr>
          <w:p>
            <w:pPr>
              <w:pStyle w:val="TableParagraph"/>
              <w:spacing w:before="14"/>
              <w:ind w:left="579"/>
              <w:rPr>
                <w:sz w:val="21"/>
              </w:rPr>
            </w:pPr>
            <w:r>
              <w:rPr>
                <w:rFonts w:ascii="Times New Roman" w:eastAsia="Times New Roman"/>
                <w:sz w:val="21"/>
              </w:rPr>
              <w:t>3.7  </w:t>
            </w:r>
            <w:r>
              <w:rPr>
                <w:sz w:val="21"/>
              </w:rPr>
              <w:t>诉讼时效</w:t>
            </w:r>
          </w:p>
        </w:tc>
        <w:tc>
          <w:tcPr>
            <w:tcW w:w="3459" w:type="dxa"/>
            <w:tcBorders>
              <w:right w:val="single" w:sz="4" w:space="0" w:color="000000"/>
            </w:tcBorders>
          </w:tcPr>
          <w:p>
            <w:pPr>
              <w:pStyle w:val="TableParagraph"/>
              <w:spacing w:before="14"/>
              <w:ind w:left="580"/>
              <w:rPr>
                <w:sz w:val="21"/>
              </w:rPr>
            </w:pPr>
            <w:r>
              <w:rPr>
                <w:rFonts w:ascii="Times New Roman" w:eastAsia="Times New Roman"/>
                <w:sz w:val="21"/>
              </w:rPr>
              <w:t>8.2  </w:t>
            </w:r>
            <w:r>
              <w:rPr>
                <w:sz w:val="21"/>
              </w:rPr>
              <w:t>本公司合同解除权的限制</w:t>
            </w:r>
          </w:p>
        </w:tc>
      </w:tr>
      <w:tr>
        <w:trPr>
          <w:trHeight w:val="375" w:hRule="atLeast"/>
        </w:trPr>
        <w:tc>
          <w:tcPr>
            <w:tcW w:w="2947" w:type="dxa"/>
            <w:tcBorders>
              <w:left w:val="single" w:sz="4" w:space="0" w:color="000000"/>
            </w:tcBorders>
          </w:tcPr>
          <w:p>
            <w:pPr>
              <w:pStyle w:val="TableParagraph"/>
              <w:spacing w:before="13"/>
              <w:ind w:left="321"/>
              <w:rPr>
                <w:sz w:val="21"/>
              </w:rPr>
            </w:pPr>
            <w:r>
              <w:rPr>
                <w:rFonts w:ascii="Times New Roman" w:eastAsia="Times New Roman"/>
                <w:sz w:val="21"/>
              </w:rPr>
              <w:t>1.3  </w:t>
            </w:r>
            <w:r>
              <w:rPr>
                <w:sz w:val="21"/>
              </w:rPr>
              <w:t>投保年龄</w:t>
            </w:r>
          </w:p>
        </w:tc>
        <w:tc>
          <w:tcPr>
            <w:tcW w:w="3201" w:type="dxa"/>
          </w:tcPr>
          <w:p>
            <w:pPr>
              <w:pStyle w:val="TableParagraph"/>
              <w:spacing w:before="13"/>
              <w:ind w:left="368"/>
              <w:rPr>
                <w:b/>
                <w:sz w:val="21"/>
              </w:rPr>
            </w:pPr>
            <w:r>
              <w:rPr>
                <w:rFonts w:ascii="Times New Roman" w:eastAsia="Times New Roman"/>
                <w:b/>
                <w:sz w:val="21"/>
              </w:rPr>
              <w:t>4  </w:t>
            </w:r>
            <w:r>
              <w:rPr>
                <w:b/>
                <w:sz w:val="21"/>
              </w:rPr>
              <w:t>保险费的支付</w:t>
            </w:r>
          </w:p>
        </w:tc>
        <w:tc>
          <w:tcPr>
            <w:tcW w:w="3459" w:type="dxa"/>
            <w:tcBorders>
              <w:right w:val="single" w:sz="4" w:space="0" w:color="000000"/>
            </w:tcBorders>
          </w:tcPr>
          <w:p>
            <w:pPr>
              <w:pStyle w:val="TableParagraph"/>
              <w:spacing w:before="13"/>
              <w:ind w:left="369"/>
              <w:rPr>
                <w:b/>
                <w:sz w:val="21"/>
              </w:rPr>
            </w:pPr>
            <w:r>
              <w:rPr>
                <w:rFonts w:ascii="Times New Roman" w:eastAsia="Times New Roman"/>
                <w:b/>
                <w:sz w:val="21"/>
              </w:rPr>
              <w:t>9  </w:t>
            </w:r>
            <w:r>
              <w:rPr>
                <w:b/>
                <w:sz w:val="21"/>
              </w:rPr>
              <w:t>其他需要关注的事项</w:t>
            </w:r>
          </w:p>
        </w:tc>
      </w:tr>
      <w:tr>
        <w:trPr>
          <w:trHeight w:val="377" w:hRule="atLeast"/>
        </w:trPr>
        <w:tc>
          <w:tcPr>
            <w:tcW w:w="2947" w:type="dxa"/>
            <w:tcBorders>
              <w:left w:val="single" w:sz="4" w:space="0" w:color="000000"/>
            </w:tcBorders>
          </w:tcPr>
          <w:p>
            <w:pPr>
              <w:pStyle w:val="TableParagraph"/>
              <w:spacing w:before="14"/>
              <w:ind w:left="321"/>
              <w:rPr>
                <w:sz w:val="21"/>
              </w:rPr>
            </w:pPr>
            <w:r>
              <w:rPr>
                <w:rFonts w:ascii="Times New Roman" w:eastAsia="Times New Roman"/>
                <w:sz w:val="21"/>
              </w:rPr>
              <w:t>1.4  </w:t>
            </w:r>
            <w:r>
              <w:rPr>
                <w:sz w:val="21"/>
              </w:rPr>
              <w:t>合同的签收</w:t>
            </w:r>
          </w:p>
        </w:tc>
        <w:tc>
          <w:tcPr>
            <w:tcW w:w="3201" w:type="dxa"/>
          </w:tcPr>
          <w:p>
            <w:pPr>
              <w:pStyle w:val="TableParagraph"/>
              <w:spacing w:before="14"/>
              <w:ind w:left="579"/>
              <w:rPr>
                <w:sz w:val="21"/>
              </w:rPr>
            </w:pPr>
            <w:r>
              <w:rPr>
                <w:rFonts w:ascii="Times New Roman" w:eastAsia="Times New Roman"/>
                <w:sz w:val="21"/>
              </w:rPr>
              <w:t>4.1  </w:t>
            </w:r>
            <w:r>
              <w:rPr>
                <w:sz w:val="21"/>
              </w:rPr>
              <w:t>保险费的支付</w:t>
            </w:r>
          </w:p>
        </w:tc>
        <w:tc>
          <w:tcPr>
            <w:tcW w:w="3459" w:type="dxa"/>
            <w:tcBorders>
              <w:right w:val="single" w:sz="4" w:space="0" w:color="000000"/>
            </w:tcBorders>
          </w:tcPr>
          <w:p>
            <w:pPr>
              <w:pStyle w:val="TableParagraph"/>
              <w:spacing w:before="14"/>
              <w:ind w:left="580"/>
              <w:rPr>
                <w:sz w:val="21"/>
              </w:rPr>
            </w:pPr>
            <w:r>
              <w:rPr>
                <w:rFonts w:ascii="Times New Roman" w:eastAsia="Times New Roman"/>
                <w:sz w:val="21"/>
              </w:rPr>
              <w:t>9.1  </w:t>
            </w:r>
            <w:r>
              <w:rPr>
                <w:sz w:val="21"/>
              </w:rPr>
              <w:t>年龄错误</w:t>
            </w:r>
          </w:p>
        </w:tc>
      </w:tr>
      <w:tr>
        <w:trPr>
          <w:trHeight w:val="375" w:hRule="atLeast"/>
        </w:trPr>
        <w:tc>
          <w:tcPr>
            <w:tcW w:w="2947" w:type="dxa"/>
            <w:tcBorders>
              <w:left w:val="single" w:sz="4" w:space="0" w:color="000000"/>
            </w:tcBorders>
          </w:tcPr>
          <w:p>
            <w:pPr>
              <w:pStyle w:val="TableParagraph"/>
              <w:spacing w:before="14"/>
              <w:ind w:left="321"/>
              <w:rPr>
                <w:sz w:val="21"/>
              </w:rPr>
            </w:pPr>
            <w:r>
              <w:rPr>
                <w:rFonts w:ascii="Times New Roman" w:eastAsia="Times New Roman"/>
                <w:sz w:val="21"/>
              </w:rPr>
              <w:t>1.5  </w:t>
            </w:r>
            <w:r>
              <w:rPr>
                <w:sz w:val="21"/>
              </w:rPr>
              <w:t>犹豫期</w:t>
            </w:r>
          </w:p>
        </w:tc>
        <w:tc>
          <w:tcPr>
            <w:tcW w:w="3201" w:type="dxa"/>
          </w:tcPr>
          <w:p>
            <w:pPr>
              <w:pStyle w:val="TableParagraph"/>
              <w:spacing w:before="14"/>
              <w:ind w:left="579"/>
              <w:rPr>
                <w:sz w:val="21"/>
              </w:rPr>
            </w:pPr>
            <w:r>
              <w:rPr>
                <w:rFonts w:ascii="Times New Roman" w:eastAsia="Times New Roman"/>
                <w:sz w:val="21"/>
              </w:rPr>
              <w:t>4.2  </w:t>
            </w:r>
            <w:r>
              <w:rPr>
                <w:sz w:val="21"/>
              </w:rPr>
              <w:t>保险费支付的宽限期</w:t>
            </w:r>
          </w:p>
        </w:tc>
        <w:tc>
          <w:tcPr>
            <w:tcW w:w="3459" w:type="dxa"/>
            <w:tcBorders>
              <w:right w:val="single" w:sz="4" w:space="0" w:color="000000"/>
            </w:tcBorders>
          </w:tcPr>
          <w:p>
            <w:pPr>
              <w:pStyle w:val="TableParagraph"/>
              <w:spacing w:before="14"/>
              <w:ind w:left="580"/>
              <w:rPr>
                <w:sz w:val="21"/>
              </w:rPr>
            </w:pPr>
            <w:r>
              <w:rPr>
                <w:rFonts w:ascii="Times New Roman" w:eastAsia="Times New Roman"/>
                <w:sz w:val="21"/>
              </w:rPr>
              <w:t>9.2  </w:t>
            </w:r>
            <w:r>
              <w:rPr>
                <w:sz w:val="21"/>
              </w:rPr>
              <w:t>未还款项</w:t>
            </w:r>
          </w:p>
        </w:tc>
      </w:tr>
      <w:tr>
        <w:trPr>
          <w:trHeight w:val="375" w:hRule="atLeast"/>
        </w:trPr>
        <w:tc>
          <w:tcPr>
            <w:tcW w:w="2947" w:type="dxa"/>
            <w:tcBorders>
              <w:left w:val="single" w:sz="4" w:space="0" w:color="000000"/>
            </w:tcBorders>
          </w:tcPr>
          <w:p>
            <w:pPr>
              <w:pStyle w:val="TableParagraph"/>
              <w:spacing w:before="13"/>
              <w:ind w:left="110"/>
              <w:rPr>
                <w:b/>
                <w:sz w:val="21"/>
              </w:rPr>
            </w:pPr>
            <w:r>
              <w:rPr>
                <w:rFonts w:ascii="Times New Roman" w:eastAsia="Times New Roman"/>
                <w:b/>
                <w:sz w:val="21"/>
              </w:rPr>
              <w:t>2  </w:t>
            </w:r>
            <w:r>
              <w:rPr>
                <w:b/>
                <w:sz w:val="21"/>
              </w:rPr>
              <w:t>我们提供的保障</w:t>
            </w:r>
          </w:p>
        </w:tc>
        <w:tc>
          <w:tcPr>
            <w:tcW w:w="3201" w:type="dxa"/>
          </w:tcPr>
          <w:p>
            <w:pPr>
              <w:pStyle w:val="TableParagraph"/>
              <w:spacing w:before="13"/>
              <w:ind w:left="579"/>
              <w:rPr>
                <w:sz w:val="21"/>
              </w:rPr>
            </w:pPr>
            <w:r>
              <w:rPr>
                <w:rFonts w:ascii="Times New Roman" w:eastAsia="Times New Roman"/>
                <w:sz w:val="21"/>
              </w:rPr>
              <w:t>4.3  </w:t>
            </w:r>
            <w:r>
              <w:rPr>
                <w:sz w:val="21"/>
              </w:rPr>
              <w:t>保险金的自动垫交</w:t>
            </w:r>
          </w:p>
        </w:tc>
        <w:tc>
          <w:tcPr>
            <w:tcW w:w="3459" w:type="dxa"/>
            <w:tcBorders>
              <w:right w:val="single" w:sz="4" w:space="0" w:color="000000"/>
            </w:tcBorders>
          </w:tcPr>
          <w:p>
            <w:pPr>
              <w:pStyle w:val="TableParagraph"/>
              <w:spacing w:before="13"/>
              <w:ind w:left="580"/>
              <w:rPr>
                <w:sz w:val="21"/>
              </w:rPr>
            </w:pPr>
            <w:r>
              <w:rPr>
                <w:rFonts w:ascii="Times New Roman" w:eastAsia="Times New Roman"/>
                <w:sz w:val="21"/>
              </w:rPr>
              <w:t>9.3  </w:t>
            </w:r>
            <w:r>
              <w:rPr>
                <w:sz w:val="21"/>
              </w:rPr>
              <w:t>基本保险金额的变更</w:t>
            </w:r>
          </w:p>
        </w:tc>
      </w:tr>
      <w:tr>
        <w:trPr>
          <w:trHeight w:val="376" w:hRule="atLeast"/>
        </w:trPr>
        <w:tc>
          <w:tcPr>
            <w:tcW w:w="2947" w:type="dxa"/>
            <w:tcBorders>
              <w:left w:val="single" w:sz="4" w:space="0" w:color="000000"/>
            </w:tcBorders>
          </w:tcPr>
          <w:p>
            <w:pPr>
              <w:pStyle w:val="TableParagraph"/>
              <w:spacing w:before="14"/>
              <w:ind w:left="321"/>
              <w:rPr>
                <w:sz w:val="21"/>
              </w:rPr>
            </w:pPr>
            <w:r>
              <w:rPr>
                <w:rFonts w:ascii="Times New Roman" w:eastAsia="Times New Roman"/>
                <w:sz w:val="21"/>
              </w:rPr>
              <w:t>2.1  </w:t>
            </w:r>
            <w:r>
              <w:rPr>
                <w:sz w:val="21"/>
              </w:rPr>
              <w:t>基本保险金额</w:t>
            </w:r>
          </w:p>
        </w:tc>
        <w:tc>
          <w:tcPr>
            <w:tcW w:w="3201" w:type="dxa"/>
          </w:tcPr>
          <w:p>
            <w:pPr>
              <w:pStyle w:val="TableParagraph"/>
              <w:spacing w:before="14"/>
              <w:ind w:left="579"/>
              <w:rPr>
                <w:sz w:val="21"/>
              </w:rPr>
            </w:pPr>
            <w:r>
              <w:rPr>
                <w:rFonts w:ascii="Times New Roman" w:eastAsia="Times New Roman"/>
                <w:sz w:val="21"/>
              </w:rPr>
              <w:t>4.4  </w:t>
            </w:r>
            <w:r>
              <w:rPr>
                <w:sz w:val="21"/>
              </w:rPr>
              <w:t>减额交清保险</w:t>
            </w:r>
          </w:p>
        </w:tc>
        <w:tc>
          <w:tcPr>
            <w:tcW w:w="3459" w:type="dxa"/>
            <w:tcBorders>
              <w:right w:val="single" w:sz="4" w:space="0" w:color="000000"/>
            </w:tcBorders>
          </w:tcPr>
          <w:p>
            <w:pPr>
              <w:pStyle w:val="TableParagraph"/>
              <w:spacing w:before="14"/>
              <w:ind w:left="580"/>
              <w:rPr>
                <w:sz w:val="21"/>
              </w:rPr>
            </w:pPr>
            <w:r>
              <w:rPr>
                <w:rFonts w:ascii="Times New Roman" w:eastAsia="Times New Roman"/>
                <w:sz w:val="21"/>
              </w:rPr>
              <w:t>9.4  </w:t>
            </w:r>
            <w:r>
              <w:rPr>
                <w:sz w:val="21"/>
              </w:rPr>
              <w:t>合同内容变更</w:t>
            </w:r>
          </w:p>
        </w:tc>
      </w:tr>
      <w:tr>
        <w:trPr>
          <w:trHeight w:val="375" w:hRule="atLeast"/>
        </w:trPr>
        <w:tc>
          <w:tcPr>
            <w:tcW w:w="2947" w:type="dxa"/>
            <w:tcBorders>
              <w:left w:val="single" w:sz="4" w:space="0" w:color="000000"/>
            </w:tcBorders>
          </w:tcPr>
          <w:p>
            <w:pPr>
              <w:pStyle w:val="TableParagraph"/>
              <w:spacing w:before="14"/>
              <w:ind w:left="321"/>
              <w:rPr>
                <w:sz w:val="21"/>
              </w:rPr>
            </w:pPr>
            <w:r>
              <w:rPr>
                <w:rFonts w:ascii="Times New Roman" w:eastAsia="Times New Roman"/>
                <w:sz w:val="21"/>
              </w:rPr>
              <w:t>2.2  </w:t>
            </w:r>
            <w:r>
              <w:rPr>
                <w:sz w:val="21"/>
              </w:rPr>
              <w:t>保险期间</w:t>
            </w:r>
          </w:p>
        </w:tc>
        <w:tc>
          <w:tcPr>
            <w:tcW w:w="3201" w:type="dxa"/>
          </w:tcPr>
          <w:p>
            <w:pPr>
              <w:pStyle w:val="TableParagraph"/>
              <w:spacing w:before="14"/>
              <w:ind w:left="368"/>
              <w:rPr>
                <w:b/>
                <w:sz w:val="21"/>
              </w:rPr>
            </w:pPr>
            <w:r>
              <w:rPr>
                <w:rFonts w:ascii="Times New Roman" w:eastAsia="Times New Roman"/>
                <w:b/>
                <w:sz w:val="21"/>
              </w:rPr>
              <w:t>5  </w:t>
            </w:r>
            <w:r>
              <w:rPr>
                <w:b/>
                <w:sz w:val="21"/>
              </w:rPr>
              <w:t>现金价值权益</w:t>
            </w:r>
          </w:p>
        </w:tc>
        <w:tc>
          <w:tcPr>
            <w:tcW w:w="3459" w:type="dxa"/>
            <w:tcBorders>
              <w:right w:val="single" w:sz="4" w:space="0" w:color="000000"/>
            </w:tcBorders>
          </w:tcPr>
          <w:p>
            <w:pPr>
              <w:pStyle w:val="TableParagraph"/>
              <w:spacing w:before="14"/>
              <w:ind w:left="580"/>
              <w:rPr>
                <w:sz w:val="21"/>
              </w:rPr>
            </w:pPr>
            <w:r>
              <w:rPr>
                <w:rFonts w:ascii="Times New Roman" w:eastAsia="Times New Roman"/>
                <w:sz w:val="21"/>
              </w:rPr>
              <w:t>9.5  </w:t>
            </w:r>
            <w:r>
              <w:rPr>
                <w:sz w:val="21"/>
              </w:rPr>
              <w:t>地址变更</w:t>
            </w:r>
          </w:p>
        </w:tc>
      </w:tr>
      <w:tr>
        <w:trPr>
          <w:trHeight w:val="375" w:hRule="atLeast"/>
        </w:trPr>
        <w:tc>
          <w:tcPr>
            <w:tcW w:w="2947" w:type="dxa"/>
            <w:tcBorders>
              <w:left w:val="single" w:sz="4" w:space="0" w:color="000000"/>
            </w:tcBorders>
          </w:tcPr>
          <w:p>
            <w:pPr>
              <w:pStyle w:val="TableParagraph"/>
              <w:spacing w:before="13"/>
              <w:ind w:left="321"/>
              <w:rPr>
                <w:sz w:val="21"/>
              </w:rPr>
            </w:pPr>
            <w:r>
              <w:rPr>
                <w:rFonts w:ascii="Times New Roman" w:eastAsia="Times New Roman"/>
                <w:sz w:val="21"/>
              </w:rPr>
              <w:t>2.3  </w:t>
            </w:r>
            <w:r>
              <w:rPr>
                <w:sz w:val="21"/>
              </w:rPr>
              <w:t>等待期</w:t>
            </w:r>
          </w:p>
        </w:tc>
        <w:tc>
          <w:tcPr>
            <w:tcW w:w="3201" w:type="dxa"/>
          </w:tcPr>
          <w:p>
            <w:pPr>
              <w:pStyle w:val="TableParagraph"/>
              <w:spacing w:before="13"/>
              <w:ind w:left="579"/>
              <w:rPr>
                <w:sz w:val="21"/>
              </w:rPr>
            </w:pPr>
            <w:r>
              <w:rPr>
                <w:rFonts w:ascii="Times New Roman" w:eastAsia="Times New Roman"/>
                <w:sz w:val="21"/>
              </w:rPr>
              <w:t>5.1  </w:t>
            </w:r>
            <w:r>
              <w:rPr>
                <w:sz w:val="21"/>
              </w:rPr>
              <w:t>现金价值</w:t>
            </w:r>
          </w:p>
        </w:tc>
        <w:tc>
          <w:tcPr>
            <w:tcW w:w="3459" w:type="dxa"/>
            <w:tcBorders>
              <w:right w:val="single" w:sz="4" w:space="0" w:color="000000"/>
            </w:tcBorders>
          </w:tcPr>
          <w:p>
            <w:pPr>
              <w:pStyle w:val="TableParagraph"/>
              <w:spacing w:before="13"/>
              <w:ind w:left="580"/>
              <w:rPr>
                <w:sz w:val="21"/>
              </w:rPr>
            </w:pPr>
            <w:r>
              <w:rPr>
                <w:rFonts w:ascii="Times New Roman" w:eastAsia="Times New Roman"/>
                <w:sz w:val="21"/>
              </w:rPr>
              <w:t>9.6  </w:t>
            </w:r>
            <w:r>
              <w:rPr>
                <w:sz w:val="21"/>
              </w:rPr>
              <w:t>争议处理</w:t>
            </w:r>
          </w:p>
        </w:tc>
      </w:tr>
      <w:tr>
        <w:trPr>
          <w:trHeight w:val="376" w:hRule="atLeast"/>
        </w:trPr>
        <w:tc>
          <w:tcPr>
            <w:tcW w:w="2947" w:type="dxa"/>
            <w:tcBorders>
              <w:left w:val="single" w:sz="4" w:space="0" w:color="000000"/>
            </w:tcBorders>
          </w:tcPr>
          <w:p>
            <w:pPr>
              <w:pStyle w:val="TableParagraph"/>
              <w:spacing w:before="14"/>
              <w:ind w:left="321"/>
              <w:rPr>
                <w:sz w:val="21"/>
              </w:rPr>
            </w:pPr>
            <w:r>
              <w:rPr>
                <w:rFonts w:ascii="Times New Roman" w:eastAsia="Times New Roman"/>
                <w:sz w:val="21"/>
              </w:rPr>
              <w:t>2.4  </w:t>
            </w:r>
            <w:r>
              <w:rPr>
                <w:sz w:val="21"/>
              </w:rPr>
              <w:t>保险责任</w:t>
            </w:r>
          </w:p>
        </w:tc>
        <w:tc>
          <w:tcPr>
            <w:tcW w:w="3201" w:type="dxa"/>
          </w:tcPr>
          <w:p>
            <w:pPr>
              <w:pStyle w:val="TableParagraph"/>
              <w:spacing w:before="14"/>
              <w:ind w:left="579"/>
              <w:rPr>
                <w:sz w:val="21"/>
              </w:rPr>
            </w:pPr>
            <w:r>
              <w:rPr>
                <w:rFonts w:ascii="Times New Roman" w:eastAsia="Times New Roman"/>
                <w:sz w:val="21"/>
              </w:rPr>
              <w:t>5.2  </w:t>
            </w:r>
            <w:r>
              <w:rPr>
                <w:sz w:val="21"/>
              </w:rPr>
              <w:t>保单贷款</w:t>
            </w:r>
          </w:p>
        </w:tc>
        <w:tc>
          <w:tcPr>
            <w:tcW w:w="3459" w:type="dxa"/>
            <w:tcBorders>
              <w:right w:val="single" w:sz="4" w:space="0" w:color="000000"/>
            </w:tcBorders>
          </w:tcPr>
          <w:p>
            <w:pPr>
              <w:pStyle w:val="TableParagraph"/>
              <w:spacing w:before="14"/>
              <w:ind w:left="369"/>
              <w:rPr>
                <w:b/>
                <w:sz w:val="21"/>
              </w:rPr>
            </w:pPr>
            <w:r>
              <w:rPr>
                <w:rFonts w:ascii="Times New Roman" w:eastAsia="Times New Roman"/>
                <w:b/>
                <w:sz w:val="21"/>
              </w:rPr>
              <w:t>10  </w:t>
            </w:r>
            <w:r>
              <w:rPr>
                <w:b/>
                <w:sz w:val="21"/>
              </w:rPr>
              <w:t>轻症疾病的定义及范围</w:t>
            </w:r>
          </w:p>
        </w:tc>
      </w:tr>
      <w:tr>
        <w:trPr>
          <w:trHeight w:val="375" w:hRule="atLeast"/>
        </w:trPr>
        <w:tc>
          <w:tcPr>
            <w:tcW w:w="2947" w:type="dxa"/>
            <w:tcBorders>
              <w:left w:val="single" w:sz="4" w:space="0" w:color="000000"/>
            </w:tcBorders>
          </w:tcPr>
          <w:p>
            <w:pPr>
              <w:pStyle w:val="TableParagraph"/>
              <w:spacing w:before="14"/>
              <w:ind w:left="321"/>
              <w:rPr>
                <w:sz w:val="21"/>
              </w:rPr>
            </w:pPr>
            <w:r>
              <w:rPr>
                <w:rFonts w:ascii="Times New Roman" w:eastAsia="Times New Roman"/>
                <w:sz w:val="21"/>
              </w:rPr>
              <w:t>2.5  </w:t>
            </w:r>
            <w:r>
              <w:rPr>
                <w:sz w:val="21"/>
              </w:rPr>
              <w:t>责任免除</w:t>
            </w:r>
          </w:p>
        </w:tc>
        <w:tc>
          <w:tcPr>
            <w:tcW w:w="3201" w:type="dxa"/>
          </w:tcPr>
          <w:p>
            <w:pPr>
              <w:pStyle w:val="TableParagraph"/>
              <w:spacing w:before="14"/>
              <w:ind w:left="368"/>
              <w:rPr>
                <w:b/>
                <w:sz w:val="21"/>
              </w:rPr>
            </w:pPr>
            <w:r>
              <w:rPr>
                <w:rFonts w:ascii="Times New Roman" w:eastAsia="Times New Roman"/>
                <w:b/>
                <w:sz w:val="21"/>
              </w:rPr>
              <w:t>6  </w:t>
            </w:r>
            <w:r>
              <w:rPr>
                <w:b/>
                <w:sz w:val="21"/>
              </w:rPr>
              <w:t>合同效力的中止及恢复</w:t>
            </w:r>
          </w:p>
        </w:tc>
        <w:tc>
          <w:tcPr>
            <w:tcW w:w="3459" w:type="dxa"/>
            <w:tcBorders>
              <w:right w:val="single" w:sz="4" w:space="0" w:color="000000"/>
            </w:tcBorders>
          </w:tcPr>
          <w:p>
            <w:pPr>
              <w:pStyle w:val="TableParagraph"/>
              <w:spacing w:before="14"/>
              <w:ind w:left="369"/>
              <w:rPr>
                <w:b/>
                <w:sz w:val="21"/>
              </w:rPr>
            </w:pPr>
            <w:r>
              <w:rPr>
                <w:rFonts w:ascii="Times New Roman" w:eastAsia="Times New Roman"/>
                <w:b/>
                <w:sz w:val="21"/>
              </w:rPr>
              <w:t>11  </w:t>
            </w:r>
            <w:r>
              <w:rPr>
                <w:b/>
                <w:sz w:val="21"/>
              </w:rPr>
              <w:t>重大疾病的定义及范围</w:t>
            </w:r>
          </w:p>
        </w:tc>
      </w:tr>
      <w:tr>
        <w:trPr>
          <w:trHeight w:val="375" w:hRule="atLeast"/>
        </w:trPr>
        <w:tc>
          <w:tcPr>
            <w:tcW w:w="2947" w:type="dxa"/>
            <w:tcBorders>
              <w:left w:val="single" w:sz="4" w:space="0" w:color="000000"/>
            </w:tcBorders>
          </w:tcPr>
          <w:p>
            <w:pPr>
              <w:pStyle w:val="TableParagraph"/>
              <w:spacing w:before="13"/>
              <w:ind w:left="110"/>
              <w:rPr>
                <w:b/>
                <w:sz w:val="21"/>
              </w:rPr>
            </w:pPr>
            <w:r>
              <w:rPr>
                <w:rFonts w:ascii="Times New Roman" w:eastAsia="Times New Roman"/>
                <w:b/>
                <w:sz w:val="21"/>
              </w:rPr>
              <w:t>3  </w:t>
            </w:r>
            <w:r>
              <w:rPr>
                <w:b/>
                <w:sz w:val="21"/>
              </w:rPr>
              <w:t>保险金的申请</w:t>
            </w:r>
          </w:p>
        </w:tc>
        <w:tc>
          <w:tcPr>
            <w:tcW w:w="3201" w:type="dxa"/>
          </w:tcPr>
          <w:p>
            <w:pPr>
              <w:pStyle w:val="TableParagraph"/>
              <w:spacing w:before="13"/>
              <w:ind w:left="579"/>
              <w:rPr>
                <w:sz w:val="21"/>
              </w:rPr>
            </w:pPr>
            <w:r>
              <w:rPr>
                <w:rFonts w:ascii="Times New Roman" w:eastAsia="Times New Roman"/>
                <w:sz w:val="21"/>
              </w:rPr>
              <w:t>6.1  </w:t>
            </w:r>
            <w:r>
              <w:rPr>
                <w:sz w:val="21"/>
              </w:rPr>
              <w:t>合同效力的中止</w:t>
            </w:r>
          </w:p>
        </w:tc>
        <w:tc>
          <w:tcPr>
            <w:tcW w:w="3459" w:type="dxa"/>
            <w:tcBorders>
              <w:right w:val="single" w:sz="4" w:space="0" w:color="000000"/>
            </w:tcBorders>
          </w:tcPr>
          <w:p>
            <w:pPr>
              <w:pStyle w:val="TableParagraph"/>
              <w:spacing w:before="13"/>
              <w:ind w:left="369"/>
              <w:rPr>
                <w:b/>
                <w:sz w:val="21"/>
              </w:rPr>
            </w:pPr>
            <w:r>
              <w:rPr>
                <w:rFonts w:ascii="Times New Roman" w:eastAsia="Times New Roman"/>
                <w:b/>
                <w:sz w:val="21"/>
              </w:rPr>
              <w:t>12</w:t>
            </w:r>
            <w:r>
              <w:rPr>
                <w:rFonts w:ascii="Times New Roman" w:eastAsia="Times New Roman"/>
                <w:b/>
                <w:spacing w:val="51"/>
                <w:sz w:val="21"/>
              </w:rPr>
              <w:t> </w:t>
            </w:r>
            <w:r>
              <w:rPr>
                <w:b/>
                <w:sz w:val="21"/>
              </w:rPr>
              <w:t>释义</w:t>
            </w:r>
          </w:p>
        </w:tc>
      </w:tr>
      <w:tr>
        <w:trPr>
          <w:trHeight w:val="377" w:hRule="atLeast"/>
        </w:trPr>
        <w:tc>
          <w:tcPr>
            <w:tcW w:w="2947" w:type="dxa"/>
            <w:tcBorders>
              <w:left w:val="single" w:sz="4" w:space="0" w:color="000000"/>
            </w:tcBorders>
          </w:tcPr>
          <w:p>
            <w:pPr>
              <w:pStyle w:val="TableParagraph"/>
              <w:spacing w:before="14"/>
              <w:ind w:left="321"/>
              <w:rPr>
                <w:sz w:val="21"/>
              </w:rPr>
            </w:pPr>
            <w:r>
              <w:rPr>
                <w:rFonts w:ascii="Times New Roman" w:eastAsia="Times New Roman"/>
                <w:sz w:val="21"/>
              </w:rPr>
              <w:t>3.1  </w:t>
            </w:r>
            <w:r>
              <w:rPr>
                <w:sz w:val="21"/>
              </w:rPr>
              <w:t>受益人</w:t>
            </w:r>
          </w:p>
        </w:tc>
        <w:tc>
          <w:tcPr>
            <w:tcW w:w="3201" w:type="dxa"/>
          </w:tcPr>
          <w:p>
            <w:pPr>
              <w:pStyle w:val="TableParagraph"/>
              <w:spacing w:before="14"/>
              <w:ind w:left="579"/>
              <w:rPr>
                <w:sz w:val="21"/>
              </w:rPr>
            </w:pPr>
            <w:r>
              <w:rPr>
                <w:rFonts w:ascii="Times New Roman" w:eastAsia="Times New Roman"/>
                <w:sz w:val="21"/>
              </w:rPr>
              <w:t>6.2  </w:t>
            </w:r>
            <w:r>
              <w:rPr>
                <w:sz w:val="21"/>
              </w:rPr>
              <w:t>合同效力的恢复</w:t>
            </w:r>
          </w:p>
        </w:tc>
        <w:tc>
          <w:tcPr>
            <w:tcW w:w="3459" w:type="dxa"/>
            <w:tcBorders>
              <w:right w:val="single" w:sz="4" w:space="0" w:color="000000"/>
            </w:tcBorders>
          </w:tcPr>
          <w:p>
            <w:pPr>
              <w:pStyle w:val="TableParagraph"/>
              <w:spacing w:before="14"/>
              <w:ind w:left="369"/>
              <w:rPr>
                <w:b/>
                <w:sz w:val="21"/>
              </w:rPr>
            </w:pPr>
            <w:r>
              <w:rPr>
                <w:rFonts w:ascii="Times New Roman" w:eastAsia="Times New Roman"/>
                <w:b/>
                <w:sz w:val="21"/>
              </w:rPr>
              <w:t>13  </w:t>
            </w:r>
            <w:r>
              <w:rPr>
                <w:b/>
                <w:sz w:val="21"/>
              </w:rPr>
              <w:t>特别说明</w:t>
            </w:r>
          </w:p>
        </w:tc>
      </w:tr>
      <w:tr>
        <w:trPr>
          <w:trHeight w:val="375" w:hRule="atLeast"/>
        </w:trPr>
        <w:tc>
          <w:tcPr>
            <w:tcW w:w="2947" w:type="dxa"/>
            <w:tcBorders>
              <w:left w:val="single" w:sz="4" w:space="0" w:color="000000"/>
            </w:tcBorders>
          </w:tcPr>
          <w:p>
            <w:pPr>
              <w:pStyle w:val="TableParagraph"/>
              <w:spacing w:before="14"/>
              <w:ind w:left="321"/>
              <w:rPr>
                <w:sz w:val="21"/>
              </w:rPr>
            </w:pPr>
            <w:r>
              <w:rPr>
                <w:rFonts w:ascii="Times New Roman" w:eastAsia="Times New Roman"/>
                <w:sz w:val="21"/>
              </w:rPr>
              <w:t>3.2  </w:t>
            </w:r>
            <w:r>
              <w:rPr>
                <w:sz w:val="21"/>
              </w:rPr>
              <w:t>保险事故通知</w:t>
            </w:r>
          </w:p>
        </w:tc>
        <w:tc>
          <w:tcPr>
            <w:tcW w:w="3201" w:type="dxa"/>
          </w:tcPr>
          <w:p>
            <w:pPr>
              <w:pStyle w:val="TableParagraph"/>
              <w:spacing w:before="14"/>
              <w:ind w:left="368"/>
              <w:rPr>
                <w:b/>
                <w:sz w:val="21"/>
              </w:rPr>
            </w:pPr>
            <w:r>
              <w:rPr>
                <w:rFonts w:ascii="Times New Roman" w:eastAsia="Times New Roman"/>
                <w:b/>
                <w:sz w:val="21"/>
              </w:rPr>
              <w:t>7  </w:t>
            </w:r>
            <w:r>
              <w:rPr>
                <w:b/>
                <w:sz w:val="21"/>
              </w:rPr>
              <w:t>合同解除及效力终止</w:t>
            </w:r>
          </w:p>
        </w:tc>
        <w:tc>
          <w:tcPr>
            <w:tcW w:w="3459" w:type="dxa"/>
            <w:tcBorders>
              <w:right w:val="single" w:sz="4" w:space="0" w:color="000000"/>
            </w:tcBorders>
          </w:tcPr>
          <w:p>
            <w:pPr>
              <w:pStyle w:val="TableParagraph"/>
              <w:spacing w:before="14"/>
              <w:ind w:left="369"/>
              <w:rPr>
                <w:b/>
                <w:sz w:val="21"/>
              </w:rPr>
            </w:pPr>
            <w:r>
              <w:rPr>
                <w:b/>
                <w:sz w:val="21"/>
              </w:rPr>
              <w:t>附表一</w:t>
            </w:r>
          </w:p>
        </w:tc>
      </w:tr>
      <w:tr>
        <w:trPr>
          <w:trHeight w:val="375" w:hRule="atLeast"/>
        </w:trPr>
        <w:tc>
          <w:tcPr>
            <w:tcW w:w="2947" w:type="dxa"/>
            <w:tcBorders>
              <w:left w:val="single" w:sz="4" w:space="0" w:color="000000"/>
            </w:tcBorders>
          </w:tcPr>
          <w:p>
            <w:pPr>
              <w:pStyle w:val="TableParagraph"/>
              <w:spacing w:before="13"/>
              <w:ind w:left="321"/>
              <w:rPr>
                <w:sz w:val="21"/>
              </w:rPr>
            </w:pPr>
            <w:r>
              <w:rPr>
                <w:rFonts w:ascii="Times New Roman" w:eastAsia="Times New Roman"/>
                <w:sz w:val="21"/>
              </w:rPr>
              <w:t>3.3  </w:t>
            </w:r>
            <w:r>
              <w:rPr>
                <w:sz w:val="21"/>
              </w:rPr>
              <w:t>保险金的申请</w:t>
            </w:r>
          </w:p>
        </w:tc>
        <w:tc>
          <w:tcPr>
            <w:tcW w:w="3201" w:type="dxa"/>
          </w:tcPr>
          <w:p>
            <w:pPr>
              <w:pStyle w:val="TableParagraph"/>
              <w:spacing w:before="13"/>
              <w:ind w:left="579"/>
              <w:rPr>
                <w:sz w:val="21"/>
              </w:rPr>
            </w:pPr>
            <w:r>
              <w:rPr>
                <w:rFonts w:ascii="Times New Roman" w:eastAsia="Times New Roman"/>
                <w:sz w:val="21"/>
              </w:rPr>
              <w:t>7.1  </w:t>
            </w:r>
            <w:r>
              <w:rPr>
                <w:sz w:val="21"/>
              </w:rPr>
              <w:t>解除合同的手续及风险</w:t>
            </w:r>
          </w:p>
        </w:tc>
        <w:tc>
          <w:tcPr>
            <w:tcW w:w="3459" w:type="dxa"/>
            <w:tcBorders>
              <w:right w:val="single" w:sz="4" w:space="0" w:color="000000"/>
            </w:tcBorders>
          </w:tcPr>
          <w:p>
            <w:pPr>
              <w:pStyle w:val="TableParagraph"/>
              <w:ind w:left="0"/>
              <w:rPr>
                <w:rFonts w:ascii="Times New Roman"/>
                <w:sz w:val="20"/>
              </w:rPr>
            </w:pPr>
          </w:p>
        </w:tc>
      </w:tr>
      <w:tr>
        <w:trPr>
          <w:trHeight w:val="382" w:hRule="atLeast"/>
        </w:trPr>
        <w:tc>
          <w:tcPr>
            <w:tcW w:w="2947" w:type="dxa"/>
            <w:tcBorders>
              <w:left w:val="single" w:sz="4" w:space="0" w:color="000000"/>
            </w:tcBorders>
          </w:tcPr>
          <w:p>
            <w:pPr>
              <w:pStyle w:val="TableParagraph"/>
              <w:spacing w:before="14"/>
              <w:ind w:left="321"/>
              <w:rPr>
                <w:sz w:val="21"/>
              </w:rPr>
            </w:pPr>
            <w:r>
              <w:rPr>
                <w:rFonts w:ascii="Times New Roman" w:eastAsia="Times New Roman"/>
                <w:sz w:val="21"/>
              </w:rPr>
              <w:t>3.4  </w:t>
            </w:r>
            <w:r>
              <w:rPr>
                <w:sz w:val="21"/>
              </w:rPr>
              <w:t>司法鉴定</w:t>
            </w:r>
          </w:p>
        </w:tc>
        <w:tc>
          <w:tcPr>
            <w:tcW w:w="3201" w:type="dxa"/>
          </w:tcPr>
          <w:p>
            <w:pPr>
              <w:pStyle w:val="TableParagraph"/>
              <w:spacing w:before="14"/>
              <w:ind w:left="579"/>
              <w:rPr>
                <w:sz w:val="21"/>
              </w:rPr>
            </w:pPr>
            <w:r>
              <w:rPr>
                <w:rFonts w:ascii="Times New Roman" w:eastAsia="Times New Roman"/>
                <w:sz w:val="21"/>
              </w:rPr>
              <w:t>7.2  </w:t>
            </w:r>
            <w:r>
              <w:rPr>
                <w:sz w:val="21"/>
              </w:rPr>
              <w:t>合同效力的终止</w:t>
            </w:r>
          </w:p>
        </w:tc>
        <w:tc>
          <w:tcPr>
            <w:tcW w:w="3459" w:type="dxa"/>
            <w:tcBorders>
              <w:right w:val="single" w:sz="4" w:space="0" w:color="000000"/>
            </w:tcBorders>
          </w:tcPr>
          <w:p>
            <w:pPr>
              <w:pStyle w:val="TableParagraph"/>
              <w:ind w:left="0"/>
              <w:rPr>
                <w:rFonts w:ascii="Times New Roman"/>
                <w:sz w:val="20"/>
              </w:rPr>
            </w:pPr>
          </w:p>
        </w:tc>
      </w:tr>
    </w:tbl>
    <w:p>
      <w:pPr>
        <w:spacing w:after="0"/>
        <w:rPr>
          <w:rFonts w:ascii="Times New Roman"/>
          <w:sz w:val="20"/>
        </w:rPr>
        <w:sectPr>
          <w:type w:val="continuous"/>
          <w:pgSz w:w="11910" w:h="16840"/>
          <w:pgMar w:top="460" w:bottom="280" w:left="920" w:right="1160"/>
        </w:sectPr>
      </w:pPr>
    </w:p>
    <w:p>
      <w:pPr>
        <w:pStyle w:val="BodyText"/>
        <w:ind w:left="1794"/>
        <w:rPr>
          <w:sz w:val="20"/>
        </w:rPr>
      </w:pPr>
      <w:r>
        <w:rPr>
          <w:sz w:val="20"/>
        </w:rPr>
        <w:drawing>
          <wp:inline distT="0" distB="0" distL="0" distR="0">
            <wp:extent cx="3616802" cy="886396"/>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1" cstate="print"/>
                    <a:stretch>
                      <a:fillRect/>
                    </a:stretch>
                  </pic:blipFill>
                  <pic:spPr>
                    <a:xfrm>
                      <a:off x="0" y="0"/>
                      <a:ext cx="3616802" cy="886396"/>
                    </a:xfrm>
                    <a:prstGeom prst="rect">
                      <a:avLst/>
                    </a:prstGeom>
                  </pic:spPr>
                </pic:pic>
              </a:graphicData>
            </a:graphic>
          </wp:inline>
        </w:drawing>
      </w:r>
      <w:r>
        <w:rPr>
          <w:sz w:val="20"/>
        </w:rPr>
      </w:r>
    </w:p>
    <w:p>
      <w:pPr>
        <w:pStyle w:val="BodyText"/>
        <w:spacing w:before="10"/>
        <w:rPr>
          <w:b/>
          <w:sz w:val="13"/>
        </w:rPr>
      </w:pPr>
    </w:p>
    <w:p>
      <w:pPr>
        <w:spacing w:before="1"/>
        <w:ind w:left="2389" w:right="0" w:firstLine="0"/>
        <w:jc w:val="left"/>
        <w:rPr>
          <w:b/>
          <w:sz w:val="32"/>
        </w:rPr>
      </w:pPr>
      <w:r>
        <w:rPr>
          <w:b/>
          <w:w w:val="95"/>
          <w:sz w:val="32"/>
        </w:rPr>
        <w:t>中意悦享安康重大疾病保险条款</w:t>
      </w:r>
    </w:p>
    <w:p>
      <w:pPr>
        <w:spacing w:before="273"/>
        <w:ind w:left="3954" w:right="0" w:firstLine="0"/>
        <w:jc w:val="left"/>
        <w:rPr>
          <w:sz w:val="18"/>
        </w:rPr>
      </w:pPr>
      <w:r>
        <w:rPr>
          <w:sz w:val="18"/>
        </w:rPr>
        <w:t>报中国保险监督管理委员会备案文号：中意人寿［</w:t>
      </w:r>
      <w:r>
        <w:rPr>
          <w:rFonts w:ascii="Times New Roman" w:eastAsia="Times New Roman"/>
          <w:sz w:val="18"/>
        </w:rPr>
        <w:t>2016</w:t>
      </w:r>
      <w:r>
        <w:rPr>
          <w:sz w:val="18"/>
        </w:rPr>
        <w:t>］第 </w:t>
      </w:r>
      <w:r>
        <w:rPr>
          <w:rFonts w:ascii="Times New Roman" w:eastAsia="Times New Roman"/>
          <w:sz w:val="18"/>
        </w:rPr>
        <w:t>215 </w:t>
      </w:r>
      <w:r>
        <w:rPr>
          <w:sz w:val="18"/>
        </w:rPr>
        <w:t>号</w:t>
      </w:r>
    </w:p>
    <w:p>
      <w:pPr>
        <w:pStyle w:val="BodyText"/>
        <w:rPr>
          <w:sz w:val="20"/>
        </w:rPr>
      </w:pPr>
    </w:p>
    <w:p>
      <w:pPr>
        <w:pStyle w:val="BodyText"/>
        <w:spacing w:line="225" w:lineRule="auto" w:before="143"/>
        <w:ind w:left="102" w:right="98" w:firstLine="419"/>
        <w:jc w:val="both"/>
      </w:pPr>
      <w:r>
        <w:rPr>
          <w:spacing w:val="-2"/>
        </w:rPr>
        <w:t>在本条款中，</w:t>
      </w:r>
      <w:r>
        <w:rPr>
          <w:rFonts w:ascii="Times New Roman" w:hAnsi="Times New Roman" w:eastAsia="Times New Roman"/>
        </w:rPr>
        <w:t>“</w:t>
      </w:r>
      <w:r>
        <w:rPr/>
        <w:t>您</w:t>
      </w:r>
      <w:r>
        <w:rPr>
          <w:rFonts w:ascii="Times New Roman" w:hAnsi="Times New Roman" w:eastAsia="Times New Roman"/>
        </w:rPr>
        <w:t>”</w:t>
      </w:r>
      <w:r>
        <w:rPr>
          <w:spacing w:val="-3"/>
        </w:rPr>
        <w:t>指投保人，</w:t>
      </w:r>
      <w:r>
        <w:rPr>
          <w:rFonts w:ascii="Times New Roman" w:hAnsi="Times New Roman" w:eastAsia="Times New Roman"/>
        </w:rPr>
        <w:t>“</w:t>
      </w:r>
      <w:r>
        <w:rPr/>
        <w:t>我们</w:t>
      </w:r>
      <w:r>
        <w:rPr>
          <w:rFonts w:ascii="Times New Roman" w:hAnsi="Times New Roman" w:eastAsia="Times New Roman"/>
          <w:spacing w:val="-3"/>
        </w:rPr>
        <w:t>”</w:t>
      </w:r>
      <w:r>
        <w:rPr/>
        <w:t>、</w:t>
      </w:r>
      <w:r>
        <w:rPr>
          <w:rFonts w:ascii="Times New Roman" w:hAnsi="Times New Roman" w:eastAsia="Times New Roman"/>
        </w:rPr>
        <w:t>“</w:t>
      </w:r>
      <w:r>
        <w:rPr>
          <w:spacing w:val="-3"/>
        </w:rPr>
        <w:t>本公司</w:t>
      </w:r>
      <w:r>
        <w:rPr>
          <w:rFonts w:ascii="Times New Roman" w:hAnsi="Times New Roman" w:eastAsia="Times New Roman"/>
        </w:rPr>
        <w:t>”</w:t>
      </w:r>
      <w:r>
        <w:rPr>
          <w:spacing w:val="-3"/>
        </w:rPr>
        <w:t>均指中意人寿保险有限公司，</w:t>
      </w:r>
      <w:r>
        <w:rPr>
          <w:rFonts w:ascii="Times New Roman" w:hAnsi="Times New Roman" w:eastAsia="Times New Roman"/>
        </w:rPr>
        <w:t>“</w:t>
      </w:r>
      <w:r>
        <w:rPr>
          <w:spacing w:val="-2"/>
        </w:rPr>
        <w:t>本合同</w:t>
      </w:r>
      <w:r>
        <w:rPr>
          <w:rFonts w:ascii="Times New Roman" w:hAnsi="Times New Roman" w:eastAsia="Times New Roman"/>
          <w:spacing w:val="-3"/>
        </w:rPr>
        <w:t>”</w:t>
      </w:r>
      <w:r>
        <w:rPr>
          <w:spacing w:val="-2"/>
        </w:rPr>
        <w:t>指您与我</w:t>
      </w:r>
      <w:r>
        <w:rPr>
          <w:spacing w:val="-3"/>
        </w:rPr>
        <w:t>们之间订立的</w:t>
      </w:r>
      <w:r>
        <w:rPr>
          <w:rFonts w:ascii="Times New Roman" w:hAnsi="Times New Roman" w:eastAsia="Times New Roman"/>
          <w:spacing w:val="-3"/>
        </w:rPr>
        <w:t>“</w:t>
      </w:r>
      <w:r>
        <w:rPr>
          <w:spacing w:val="-3"/>
        </w:rPr>
        <w:t>中意悦享安康重大疾病保险</w:t>
      </w:r>
      <w:r>
        <w:rPr>
          <w:rFonts w:ascii="Times New Roman" w:hAnsi="Times New Roman" w:eastAsia="Times New Roman"/>
        </w:rPr>
        <w:t>”</w:t>
      </w:r>
      <w:r>
        <w:rPr>
          <w:spacing w:val="-7"/>
        </w:rPr>
        <w:t>保险合同。本产品可通过电话渠道、网络营销渠道及本公</w:t>
      </w:r>
      <w:r>
        <w:rPr>
          <w:spacing w:val="-5"/>
        </w:rPr>
        <w:t>司的其他销售渠道销售。</w:t>
      </w:r>
    </w:p>
    <w:p>
      <w:pPr>
        <w:pStyle w:val="BodyText"/>
        <w:spacing w:before="6"/>
        <w:rPr>
          <w:sz w:val="20"/>
        </w:rPr>
      </w:pPr>
    </w:p>
    <w:p>
      <w:pPr>
        <w:pStyle w:val="Heading1"/>
        <w:numPr>
          <w:ilvl w:val="0"/>
          <w:numId w:val="2"/>
        </w:numPr>
        <w:tabs>
          <w:tab w:pos="1064" w:val="left" w:leader="none"/>
          <w:tab w:pos="1065" w:val="left" w:leader="none"/>
        </w:tabs>
        <w:spacing w:line="324" w:lineRule="exact" w:before="0" w:after="0"/>
        <w:ind w:left="1064" w:right="0" w:hanging="480"/>
        <w:jc w:val="left"/>
      </w:pPr>
      <w:r>
        <w:rPr>
          <w:w w:val="95"/>
        </w:rPr>
        <w:t>您与我们订立的合同</w:t>
      </w:r>
    </w:p>
    <w:p>
      <w:pPr>
        <w:pStyle w:val="Heading2"/>
        <w:numPr>
          <w:ilvl w:val="1"/>
          <w:numId w:val="2"/>
        </w:numPr>
        <w:tabs>
          <w:tab w:pos="994" w:val="left" w:leader="none"/>
          <w:tab w:pos="995" w:val="left" w:leader="none"/>
        </w:tabs>
        <w:spacing w:line="274" w:lineRule="exact" w:before="0" w:after="0"/>
        <w:ind w:left="994" w:right="0" w:hanging="472"/>
        <w:jc w:val="left"/>
      </w:pPr>
      <w:r>
        <w:rPr/>
        <w:t>合同构成</w:t>
      </w:r>
    </w:p>
    <w:p>
      <w:pPr>
        <w:pStyle w:val="BodyText"/>
        <w:spacing w:line="237" w:lineRule="auto"/>
        <w:ind w:left="102" w:right="240" w:firstLine="424"/>
        <w:jc w:val="both"/>
      </w:pPr>
      <w:r>
        <w:rPr/>
        <w:t>本合同是您与我们约定保险权利义务关系的协议，包括本保险条款、保险单或其他保险凭证、投保单、与保险合同有关的投保文件、合法有效的声明、批注、批单及其他您与我们共同认可的书面协议。</w:t>
      </w:r>
    </w:p>
    <w:p>
      <w:pPr>
        <w:pStyle w:val="BodyText"/>
        <w:spacing w:before="8"/>
        <w:rPr>
          <w:sz w:val="18"/>
        </w:rPr>
      </w:pPr>
    </w:p>
    <w:p>
      <w:pPr>
        <w:pStyle w:val="Heading2"/>
        <w:numPr>
          <w:ilvl w:val="1"/>
          <w:numId w:val="2"/>
        </w:numPr>
        <w:tabs>
          <w:tab w:pos="994" w:val="left" w:leader="none"/>
          <w:tab w:pos="995" w:val="left" w:leader="none"/>
        </w:tabs>
        <w:spacing w:line="281" w:lineRule="exact" w:before="1" w:after="0"/>
        <w:ind w:left="994" w:right="0" w:hanging="472"/>
        <w:jc w:val="left"/>
      </w:pPr>
      <w:r>
        <w:rPr/>
        <w:t>保险合同成立与生效</w:t>
      </w:r>
    </w:p>
    <w:p>
      <w:pPr>
        <w:pStyle w:val="BodyText"/>
        <w:spacing w:line="264" w:lineRule="exact"/>
        <w:ind w:left="521"/>
      </w:pPr>
      <w:r>
        <w:rPr/>
        <w:t>您提出保险申请、我们同意承保，本合同成立。</w:t>
      </w:r>
    </w:p>
    <w:p>
      <w:pPr>
        <w:spacing w:line="237" w:lineRule="auto" w:before="2"/>
        <w:ind w:left="102" w:right="245" w:firstLine="419"/>
        <w:jc w:val="left"/>
        <w:rPr>
          <w:sz w:val="21"/>
        </w:rPr>
      </w:pPr>
      <w:r>
        <w:rPr>
          <w:spacing w:val="-3"/>
          <w:sz w:val="21"/>
        </w:rPr>
        <w:t>本合同自我们同意承保、收取首期保险费并签发保险单后开始生效，合同生效日期在保险单上</w:t>
      </w:r>
      <w:r>
        <w:rPr>
          <w:spacing w:val="-3"/>
          <w:w w:val="100"/>
          <w:sz w:val="21"/>
        </w:rPr>
        <w:t>载明。</w:t>
      </w:r>
      <w:r>
        <w:rPr>
          <w:b/>
          <w:w w:val="100"/>
          <w:sz w:val="21"/>
        </w:rPr>
        <w:t>保单年度（</w:t>
      </w:r>
      <w:r>
        <w:rPr>
          <w:rFonts w:ascii="Times New Roman" w:eastAsia="Times New Roman"/>
          <w:b/>
          <w:spacing w:val="-3"/>
          <w:w w:val="100"/>
          <w:sz w:val="21"/>
        </w:rPr>
        <w:t>1</w:t>
      </w:r>
      <w:r>
        <w:rPr>
          <w:rFonts w:ascii="Times New Roman" w:eastAsia="Times New Roman"/>
          <w:b/>
          <w:w w:val="100"/>
          <w:sz w:val="21"/>
        </w:rPr>
        <w:t>2.</w:t>
      </w:r>
      <w:r>
        <w:rPr>
          <w:rFonts w:ascii="Times New Roman" w:eastAsia="Times New Roman"/>
          <w:b/>
          <w:spacing w:val="-3"/>
          <w:w w:val="100"/>
          <w:sz w:val="21"/>
        </w:rPr>
        <w:t>1</w:t>
      </w:r>
      <w:r>
        <w:rPr>
          <w:b/>
          <w:spacing w:val="-106"/>
          <w:w w:val="100"/>
          <w:sz w:val="21"/>
        </w:rPr>
        <w:t>）</w:t>
      </w:r>
      <w:r>
        <w:rPr>
          <w:spacing w:val="-2"/>
          <w:w w:val="100"/>
          <w:sz w:val="21"/>
        </w:rPr>
        <w:t>、</w:t>
      </w:r>
      <w:r>
        <w:rPr>
          <w:b/>
          <w:w w:val="100"/>
          <w:sz w:val="21"/>
        </w:rPr>
        <w:t>保险费约定支付日（</w:t>
      </w:r>
      <w:r>
        <w:rPr>
          <w:rFonts w:ascii="Times New Roman" w:eastAsia="Times New Roman"/>
          <w:b/>
          <w:spacing w:val="-3"/>
          <w:w w:val="100"/>
          <w:sz w:val="21"/>
        </w:rPr>
        <w:t>1</w:t>
      </w:r>
      <w:r>
        <w:rPr>
          <w:rFonts w:ascii="Times New Roman" w:eastAsia="Times New Roman"/>
          <w:b/>
          <w:w w:val="100"/>
          <w:sz w:val="21"/>
        </w:rPr>
        <w:t>2.</w:t>
      </w:r>
      <w:r>
        <w:rPr>
          <w:rFonts w:ascii="Times New Roman" w:eastAsia="Times New Roman"/>
          <w:b/>
          <w:spacing w:val="-3"/>
          <w:w w:val="100"/>
          <w:sz w:val="21"/>
        </w:rPr>
        <w:t>2</w:t>
      </w:r>
      <w:r>
        <w:rPr>
          <w:b/>
          <w:w w:val="100"/>
          <w:sz w:val="21"/>
        </w:rPr>
        <w:t>）</w:t>
      </w:r>
      <w:r>
        <w:rPr>
          <w:spacing w:val="-3"/>
          <w:w w:val="100"/>
          <w:sz w:val="21"/>
        </w:rPr>
        <w:t>均以该日期计算。</w:t>
      </w:r>
    </w:p>
    <w:p>
      <w:pPr>
        <w:pStyle w:val="Heading2"/>
        <w:spacing w:line="258" w:lineRule="exact"/>
        <w:ind w:left="524" w:firstLine="0"/>
      </w:pPr>
      <w:r>
        <w:rPr/>
        <w:t>我们自保险单上约定的生效日的次日零时起开始承担本合同约定的保险责任。</w:t>
      </w:r>
    </w:p>
    <w:p>
      <w:pPr>
        <w:pStyle w:val="BodyText"/>
        <w:spacing w:before="3"/>
        <w:rPr>
          <w:b/>
          <w:sz w:val="18"/>
        </w:rPr>
      </w:pPr>
    </w:p>
    <w:p>
      <w:pPr>
        <w:pStyle w:val="ListParagraph"/>
        <w:numPr>
          <w:ilvl w:val="1"/>
          <w:numId w:val="2"/>
        </w:numPr>
        <w:tabs>
          <w:tab w:pos="994" w:val="left" w:leader="none"/>
          <w:tab w:pos="995" w:val="left" w:leader="none"/>
        </w:tabs>
        <w:spacing w:line="281" w:lineRule="exact" w:before="0" w:after="0"/>
        <w:ind w:left="994" w:right="0" w:hanging="472"/>
        <w:jc w:val="left"/>
        <w:rPr>
          <w:b/>
          <w:sz w:val="21"/>
        </w:rPr>
      </w:pPr>
      <w:r>
        <w:rPr>
          <w:b/>
          <w:sz w:val="21"/>
        </w:rPr>
        <w:t>投保年龄</w:t>
      </w:r>
    </w:p>
    <w:p>
      <w:pPr>
        <w:pStyle w:val="BodyText"/>
        <w:spacing w:line="225" w:lineRule="auto" w:before="7"/>
        <w:ind w:left="521" w:right="3026"/>
      </w:pPr>
      <w:r>
        <w:rPr/>
        <w:t>指您投保本合同时被保险人的年龄，年龄以</w:t>
      </w:r>
      <w:r>
        <w:rPr>
          <w:b/>
        </w:rPr>
        <w:t>周岁（</w:t>
      </w:r>
      <w:r>
        <w:rPr>
          <w:rFonts w:ascii="Times New Roman" w:eastAsia="Times New Roman"/>
          <w:b/>
        </w:rPr>
        <w:t>12.3</w:t>
      </w:r>
      <w:r>
        <w:rPr>
          <w:b/>
        </w:rPr>
        <w:t>）</w:t>
      </w:r>
      <w:r>
        <w:rPr/>
        <w:t>计算。本合同接受的投保年龄为出生满</w:t>
      </w:r>
      <w:r>
        <w:rPr>
          <w:rFonts w:ascii="Times New Roman" w:eastAsia="Times New Roman"/>
        </w:rPr>
        <w:t>7</w:t>
      </w:r>
      <w:r>
        <w:rPr/>
        <w:t>天至</w:t>
      </w:r>
      <w:r>
        <w:rPr>
          <w:rFonts w:ascii="Times New Roman" w:eastAsia="Times New Roman"/>
        </w:rPr>
        <w:t>65</w:t>
      </w:r>
      <w:r>
        <w:rPr/>
        <w:t>周岁。</w:t>
      </w:r>
    </w:p>
    <w:p>
      <w:pPr>
        <w:pStyle w:val="BodyText"/>
        <w:rPr>
          <w:sz w:val="17"/>
        </w:rPr>
      </w:pPr>
    </w:p>
    <w:p>
      <w:pPr>
        <w:pStyle w:val="Heading2"/>
        <w:numPr>
          <w:ilvl w:val="1"/>
          <w:numId w:val="2"/>
        </w:numPr>
        <w:tabs>
          <w:tab w:pos="994" w:val="left" w:leader="none"/>
          <w:tab w:pos="995" w:val="left" w:leader="none"/>
        </w:tabs>
        <w:spacing w:line="281" w:lineRule="exact" w:before="0" w:after="0"/>
        <w:ind w:left="994" w:right="0" w:hanging="472"/>
        <w:jc w:val="left"/>
      </w:pPr>
      <w:r>
        <w:rPr/>
        <w:t>合同的签收</w:t>
      </w:r>
    </w:p>
    <w:p>
      <w:pPr>
        <w:pStyle w:val="BodyText"/>
        <w:spacing w:line="265" w:lineRule="exact"/>
        <w:ind w:left="521"/>
      </w:pPr>
      <w:r>
        <w:rPr/>
        <w:t>在您收到本合同时，您应当签署本合同的签收回执。</w:t>
      </w:r>
    </w:p>
    <w:p>
      <w:pPr>
        <w:pStyle w:val="BodyText"/>
        <w:spacing w:before="6"/>
        <w:rPr>
          <w:sz w:val="18"/>
        </w:rPr>
      </w:pPr>
    </w:p>
    <w:p>
      <w:pPr>
        <w:pStyle w:val="Heading2"/>
        <w:numPr>
          <w:ilvl w:val="1"/>
          <w:numId w:val="2"/>
        </w:numPr>
        <w:tabs>
          <w:tab w:pos="994" w:val="left" w:leader="none"/>
          <w:tab w:pos="995" w:val="left" w:leader="none"/>
        </w:tabs>
        <w:spacing w:line="281" w:lineRule="exact" w:before="0" w:after="0"/>
        <w:ind w:left="994" w:right="0" w:hanging="472"/>
        <w:jc w:val="left"/>
      </w:pPr>
      <w:r>
        <w:rPr/>
        <w:t>犹豫期</w:t>
      </w:r>
    </w:p>
    <w:p>
      <w:pPr>
        <w:pStyle w:val="BodyText"/>
        <w:spacing w:line="230" w:lineRule="auto" w:before="1"/>
        <w:ind w:left="102" w:right="206" w:firstLine="419"/>
        <w:jc w:val="both"/>
      </w:pPr>
      <w:r>
        <w:rPr>
          <w:spacing w:val="-5"/>
        </w:rPr>
        <w:t>自您签收本合同的次日起，有</w:t>
      </w:r>
      <w:r>
        <w:rPr>
          <w:rFonts w:ascii="Times New Roman" w:eastAsia="Times New Roman"/>
        </w:rPr>
        <w:t>10</w:t>
      </w:r>
      <w:r>
        <w:rPr>
          <w:spacing w:val="-6"/>
        </w:rPr>
        <w:t>日的犹豫期</w:t>
      </w:r>
      <w:r>
        <w:rPr/>
        <w:t>（</w:t>
      </w:r>
      <w:r>
        <w:rPr>
          <w:spacing w:val="-5"/>
        </w:rPr>
        <w:t>通过商业银行投保的，有</w:t>
      </w:r>
      <w:r>
        <w:rPr>
          <w:rFonts w:ascii="Times New Roman" w:eastAsia="Times New Roman"/>
        </w:rPr>
        <w:t>15</w:t>
      </w:r>
      <w:r>
        <w:rPr>
          <w:spacing w:val="-3"/>
        </w:rPr>
        <w:t>日的犹豫期</w:t>
      </w:r>
      <w:r>
        <w:rPr>
          <w:spacing w:val="-106"/>
        </w:rPr>
        <w:t>）</w:t>
      </w:r>
      <w:r>
        <w:rPr>
          <w:spacing w:val="-6"/>
        </w:rPr>
        <w:t>。在此期</w:t>
      </w:r>
      <w:r>
        <w:rPr>
          <w:spacing w:val="-4"/>
        </w:rPr>
        <w:t>间，请您仔细阅读本合同，如果您认为本合同与您的需求不相符，您可以在犹豫期结束前解除本合</w:t>
      </w:r>
      <w:r>
        <w:rPr>
          <w:spacing w:val="-3"/>
        </w:rPr>
        <w:t>同，我们将在扣除不超过</w:t>
      </w:r>
      <w:r>
        <w:rPr>
          <w:rFonts w:ascii="Times New Roman" w:eastAsia="Times New Roman"/>
        </w:rPr>
        <w:t>10</w:t>
      </w:r>
      <w:r>
        <w:rPr>
          <w:spacing w:val="-3"/>
        </w:rPr>
        <w:t>元的工本费后无息退还您所支付的保险费。</w:t>
      </w:r>
    </w:p>
    <w:p>
      <w:pPr>
        <w:pStyle w:val="BodyText"/>
        <w:spacing w:line="225" w:lineRule="auto"/>
        <w:ind w:left="102" w:right="206" w:firstLine="419"/>
      </w:pPr>
      <w:r>
        <w:rPr>
          <w:spacing w:val="-4"/>
          <w:w w:val="100"/>
        </w:rPr>
        <w:t>解除合同时，您需要填写申请书，并提供您的保险合同及</w:t>
      </w:r>
      <w:r>
        <w:rPr>
          <w:b/>
          <w:spacing w:val="-2"/>
          <w:w w:val="100"/>
        </w:rPr>
        <w:t>有效身份证件</w:t>
      </w:r>
      <w:r>
        <w:rPr>
          <w:b/>
          <w:spacing w:val="-1"/>
          <w:w w:val="100"/>
        </w:rPr>
        <w:t>（</w:t>
      </w:r>
      <w:r>
        <w:rPr>
          <w:rFonts w:ascii="Times New Roman" w:eastAsia="Times New Roman"/>
          <w:b/>
          <w:w w:val="100"/>
        </w:rPr>
        <w:t>12</w:t>
      </w:r>
      <w:r>
        <w:rPr>
          <w:rFonts w:ascii="Times New Roman" w:eastAsia="Times New Roman"/>
          <w:b/>
          <w:spacing w:val="-3"/>
          <w:w w:val="100"/>
        </w:rPr>
        <w:t>.</w:t>
      </w:r>
      <w:r>
        <w:rPr>
          <w:rFonts w:ascii="Times New Roman" w:eastAsia="Times New Roman"/>
          <w:b/>
          <w:w w:val="100"/>
        </w:rPr>
        <w:t>4</w:t>
      </w:r>
      <w:r>
        <w:rPr>
          <w:b/>
          <w:spacing w:val="-106"/>
          <w:w w:val="100"/>
        </w:rPr>
        <w:t>）</w:t>
      </w:r>
      <w:r>
        <w:rPr>
          <w:spacing w:val="-3"/>
          <w:w w:val="100"/>
        </w:rPr>
        <w:t>。自您书面申请</w:t>
      </w:r>
      <w:r>
        <w:rPr>
          <w:spacing w:val="-3"/>
        </w:rPr>
        <w:t>解除合同之日起，本合同即被解除，我们自本合同生效日起不承担保险责任。</w:t>
      </w:r>
    </w:p>
    <w:p>
      <w:pPr>
        <w:pStyle w:val="BodyText"/>
        <w:spacing w:before="12"/>
        <w:rPr>
          <w:sz w:val="17"/>
        </w:rPr>
      </w:pPr>
    </w:p>
    <w:p>
      <w:pPr>
        <w:pStyle w:val="Heading1"/>
        <w:numPr>
          <w:ilvl w:val="0"/>
          <w:numId w:val="2"/>
        </w:numPr>
        <w:tabs>
          <w:tab w:pos="1064" w:val="left" w:leader="none"/>
          <w:tab w:pos="1065" w:val="left" w:leader="none"/>
        </w:tabs>
        <w:spacing w:line="325" w:lineRule="exact" w:before="1" w:after="0"/>
        <w:ind w:left="1064" w:right="0" w:hanging="480"/>
        <w:jc w:val="left"/>
      </w:pPr>
      <w:r>
        <w:rPr>
          <w:w w:val="95"/>
        </w:rPr>
        <w:t>我们提供的保障</w:t>
      </w:r>
    </w:p>
    <w:p>
      <w:pPr>
        <w:pStyle w:val="Heading2"/>
        <w:numPr>
          <w:ilvl w:val="1"/>
          <w:numId w:val="2"/>
        </w:numPr>
        <w:tabs>
          <w:tab w:pos="994" w:val="left" w:leader="none"/>
          <w:tab w:pos="995" w:val="left" w:leader="none"/>
        </w:tabs>
        <w:spacing w:line="274" w:lineRule="exact" w:before="0" w:after="0"/>
        <w:ind w:left="994" w:right="0" w:hanging="472"/>
        <w:jc w:val="left"/>
      </w:pPr>
      <w:r>
        <w:rPr/>
        <w:t>基本保险金额</w:t>
      </w:r>
    </w:p>
    <w:p>
      <w:pPr>
        <w:pStyle w:val="BodyText"/>
        <w:ind w:left="102" w:right="245" w:firstLine="419"/>
      </w:pPr>
      <w:r>
        <w:rPr/>
        <w:t>本合同的基本保险金额由您在投保时与我们约定，并在保险单上载明。如果该基本保险金额有所变更，以变更后的基本保险金额为准。</w:t>
      </w:r>
    </w:p>
    <w:p>
      <w:pPr>
        <w:pStyle w:val="BodyText"/>
        <w:rPr>
          <w:sz w:val="19"/>
        </w:rPr>
      </w:pPr>
    </w:p>
    <w:p>
      <w:pPr>
        <w:pStyle w:val="Heading2"/>
        <w:numPr>
          <w:ilvl w:val="1"/>
          <w:numId w:val="2"/>
        </w:numPr>
        <w:tabs>
          <w:tab w:pos="994" w:val="left" w:leader="none"/>
          <w:tab w:pos="995" w:val="left" w:leader="none"/>
        </w:tabs>
        <w:spacing w:line="281" w:lineRule="exact" w:before="0" w:after="0"/>
        <w:ind w:left="994" w:right="0" w:hanging="472"/>
        <w:jc w:val="left"/>
      </w:pPr>
      <w:r>
        <w:rPr/>
        <w:t>保险期间</w:t>
      </w:r>
    </w:p>
    <w:p>
      <w:pPr>
        <w:pStyle w:val="BodyText"/>
        <w:spacing w:line="265" w:lineRule="exact"/>
        <w:ind w:left="521"/>
      </w:pPr>
      <w:r>
        <w:rPr/>
        <w:t>本合同的保险期间为自生效日的次日零时起至被保险人身故，并于保险单上载明。</w:t>
      </w:r>
    </w:p>
    <w:p>
      <w:pPr>
        <w:pStyle w:val="BodyText"/>
        <w:spacing w:before="3"/>
        <w:rPr>
          <w:sz w:val="18"/>
        </w:rPr>
      </w:pPr>
    </w:p>
    <w:p>
      <w:pPr>
        <w:pStyle w:val="Heading2"/>
        <w:numPr>
          <w:ilvl w:val="1"/>
          <w:numId w:val="2"/>
        </w:numPr>
        <w:tabs>
          <w:tab w:pos="994" w:val="left" w:leader="none"/>
          <w:tab w:pos="995" w:val="left" w:leader="none"/>
        </w:tabs>
        <w:spacing w:line="282" w:lineRule="exact" w:before="1" w:after="0"/>
        <w:ind w:left="994" w:right="0" w:hanging="472"/>
        <w:jc w:val="left"/>
      </w:pPr>
      <w:r>
        <w:rPr/>
        <w:t>等待期</w:t>
      </w:r>
    </w:p>
    <w:p>
      <w:pPr>
        <w:spacing w:line="223" w:lineRule="auto" w:before="12"/>
        <w:ind w:left="102" w:right="208" w:firstLine="422"/>
        <w:jc w:val="left"/>
        <w:rPr>
          <w:b/>
          <w:sz w:val="21"/>
        </w:rPr>
      </w:pPr>
      <w:r>
        <w:rPr>
          <w:b/>
          <w:sz w:val="21"/>
        </w:rPr>
        <w:t>本合同轻症疾病保险金和重大疾病保险金的等待期是指自本合同生效日（或最后复效日）</w:t>
      </w:r>
      <w:r>
        <w:rPr>
          <w:rFonts w:ascii="Times New Roman" w:eastAsia="Times New Roman"/>
          <w:b/>
          <w:sz w:val="21"/>
        </w:rPr>
        <w:t>90</w:t>
      </w:r>
      <w:r>
        <w:rPr>
          <w:b/>
          <w:sz w:val="21"/>
        </w:rPr>
        <w:t>天内（含第</w:t>
      </w:r>
      <w:r>
        <w:rPr>
          <w:rFonts w:ascii="Times New Roman" w:eastAsia="Times New Roman"/>
          <w:b/>
          <w:sz w:val="21"/>
        </w:rPr>
        <w:t>90</w:t>
      </w:r>
      <w:r>
        <w:rPr>
          <w:b/>
          <w:sz w:val="21"/>
        </w:rPr>
        <w:t>天）的期间。</w:t>
      </w:r>
    </w:p>
    <w:p>
      <w:pPr>
        <w:spacing w:after="0" w:line="223" w:lineRule="auto"/>
        <w:jc w:val="left"/>
        <w:rPr>
          <w:sz w:val="21"/>
        </w:rPr>
        <w:sectPr>
          <w:footerReference w:type="default" r:id="rId9"/>
          <w:footerReference w:type="even" r:id="rId10"/>
          <w:pgSz w:w="11910" w:h="16840"/>
          <w:pgMar w:footer="1239" w:header="0" w:top="1120" w:bottom="1420" w:left="1600" w:right="920"/>
          <w:pgNumType w:start="1"/>
        </w:sectPr>
      </w:pPr>
    </w:p>
    <w:p>
      <w:pPr>
        <w:spacing w:line="230" w:lineRule="auto" w:before="32"/>
        <w:ind w:left="112" w:right="109" w:firstLine="422"/>
        <w:jc w:val="left"/>
        <w:rPr>
          <w:sz w:val="21"/>
        </w:rPr>
      </w:pPr>
      <w:r>
        <w:rPr>
          <w:b/>
          <w:spacing w:val="-4"/>
          <w:sz w:val="21"/>
        </w:rPr>
        <w:t>如果被保险人在等待期内发病（</w:t>
      </w:r>
      <w:r>
        <w:rPr>
          <w:rFonts w:ascii="Times New Roman" w:eastAsia="Times New Roman"/>
          <w:b/>
          <w:spacing w:val="-4"/>
          <w:sz w:val="21"/>
        </w:rPr>
        <w:t>12.5</w:t>
      </w:r>
      <w:r>
        <w:rPr>
          <w:b/>
          <w:spacing w:val="-4"/>
          <w:sz w:val="21"/>
        </w:rPr>
        <w:t>）</w:t>
      </w:r>
      <w:r>
        <w:rPr>
          <w:b/>
          <w:spacing w:val="-1"/>
          <w:sz w:val="21"/>
        </w:rPr>
        <w:t>或确诊患有本合同第</w:t>
      </w:r>
      <w:r>
        <w:rPr>
          <w:rFonts w:ascii="Times New Roman" w:eastAsia="Times New Roman"/>
          <w:b/>
          <w:sz w:val="21"/>
        </w:rPr>
        <w:t>10</w:t>
      </w:r>
      <w:r>
        <w:rPr>
          <w:b/>
          <w:sz w:val="21"/>
        </w:rPr>
        <w:t>条或第</w:t>
      </w:r>
      <w:r>
        <w:rPr>
          <w:rFonts w:ascii="Times New Roman" w:eastAsia="Times New Roman"/>
          <w:b/>
          <w:spacing w:val="-9"/>
          <w:sz w:val="21"/>
        </w:rPr>
        <w:t>11</w:t>
      </w:r>
      <w:r>
        <w:rPr>
          <w:b/>
          <w:sz w:val="21"/>
        </w:rPr>
        <w:t>条约定的任意一种疾病， </w:t>
      </w:r>
      <w:r>
        <w:rPr>
          <w:b/>
          <w:spacing w:val="-3"/>
          <w:sz w:val="21"/>
        </w:rPr>
        <w:t>我们不承担保险责任，将无息向您退回本合同及其有效的附加合同实际已交纳的保险费，同时本合</w:t>
      </w:r>
      <w:r>
        <w:rPr>
          <w:b/>
          <w:spacing w:val="-1"/>
          <w:sz w:val="21"/>
        </w:rPr>
        <w:t>同效力终止。</w:t>
      </w:r>
      <w:r>
        <w:rPr>
          <w:spacing w:val="-3"/>
          <w:sz w:val="21"/>
        </w:rPr>
        <w:t>但因</w:t>
      </w:r>
      <w:r>
        <w:rPr>
          <w:b/>
          <w:sz w:val="21"/>
        </w:rPr>
        <w:t>意外伤害（</w:t>
      </w:r>
      <w:r>
        <w:rPr>
          <w:rFonts w:ascii="Times New Roman" w:eastAsia="Times New Roman"/>
          <w:b/>
          <w:sz w:val="21"/>
        </w:rPr>
        <w:t>12.6</w:t>
      </w:r>
      <w:r>
        <w:rPr>
          <w:b/>
          <w:sz w:val="21"/>
        </w:rPr>
        <w:t>）</w:t>
      </w:r>
      <w:r>
        <w:rPr>
          <w:spacing w:val="-3"/>
          <w:sz w:val="21"/>
        </w:rPr>
        <w:t>事故引起的疾病无等待期。</w:t>
      </w:r>
    </w:p>
    <w:p>
      <w:pPr>
        <w:pStyle w:val="BodyText"/>
        <w:spacing w:before="2"/>
        <w:rPr>
          <w:sz w:val="17"/>
        </w:rPr>
      </w:pPr>
    </w:p>
    <w:p>
      <w:pPr>
        <w:pStyle w:val="ListParagraph"/>
        <w:numPr>
          <w:ilvl w:val="1"/>
          <w:numId w:val="2"/>
        </w:numPr>
        <w:tabs>
          <w:tab w:pos="1005" w:val="left" w:leader="none"/>
          <w:tab w:pos="1006" w:val="left" w:leader="none"/>
        </w:tabs>
        <w:spacing w:line="281" w:lineRule="exact" w:before="1" w:after="0"/>
        <w:ind w:left="1006" w:right="0" w:hanging="473"/>
        <w:jc w:val="left"/>
        <w:rPr>
          <w:b/>
          <w:sz w:val="21"/>
        </w:rPr>
      </w:pPr>
      <w:r>
        <w:rPr>
          <w:b/>
          <w:sz w:val="21"/>
        </w:rPr>
        <w:t>保险责任</w:t>
      </w:r>
    </w:p>
    <w:p>
      <w:pPr>
        <w:pStyle w:val="BodyText"/>
        <w:spacing w:line="265" w:lineRule="exact"/>
        <w:ind w:left="533"/>
      </w:pPr>
      <w:r>
        <w:rPr/>
        <w:t>在本合同有效期内，我们承担如下保险责任：</w:t>
      </w:r>
    </w:p>
    <w:p>
      <w:pPr>
        <w:pStyle w:val="BodyText"/>
        <w:spacing w:before="3"/>
        <w:rPr>
          <w:sz w:val="18"/>
        </w:rPr>
      </w:pPr>
    </w:p>
    <w:p>
      <w:pPr>
        <w:pStyle w:val="ListParagraph"/>
        <w:numPr>
          <w:ilvl w:val="2"/>
          <w:numId w:val="2"/>
        </w:numPr>
        <w:tabs>
          <w:tab w:pos="1059" w:val="left" w:leader="none"/>
        </w:tabs>
        <w:spacing w:line="282" w:lineRule="exact" w:before="0" w:after="0"/>
        <w:ind w:left="1058" w:right="0" w:hanging="525"/>
        <w:jc w:val="left"/>
        <w:rPr>
          <w:sz w:val="21"/>
        </w:rPr>
      </w:pPr>
      <w:r>
        <w:rPr>
          <w:spacing w:val="-3"/>
          <w:sz w:val="21"/>
        </w:rPr>
        <w:t>轻症疾病保险金</w:t>
      </w:r>
    </w:p>
    <w:p>
      <w:pPr>
        <w:spacing w:line="223" w:lineRule="auto" w:before="11"/>
        <w:ind w:left="112" w:right="244" w:firstLine="420"/>
        <w:jc w:val="left"/>
        <w:rPr>
          <w:sz w:val="21"/>
        </w:rPr>
      </w:pPr>
      <w:r>
        <w:rPr>
          <w:spacing w:val="-3"/>
          <w:sz w:val="21"/>
        </w:rPr>
        <w:t>如果被保险人在等待期后</w:t>
      </w:r>
      <w:r>
        <w:rPr>
          <w:b/>
          <w:spacing w:val="-3"/>
          <w:sz w:val="21"/>
        </w:rPr>
        <w:t>首次发病（</w:t>
      </w:r>
      <w:r>
        <w:rPr>
          <w:rFonts w:ascii="Times New Roman" w:eastAsia="Times New Roman"/>
          <w:b/>
          <w:spacing w:val="-3"/>
          <w:sz w:val="21"/>
        </w:rPr>
        <w:t>12.7</w:t>
      </w:r>
      <w:r>
        <w:rPr>
          <w:b/>
          <w:spacing w:val="-3"/>
          <w:sz w:val="21"/>
        </w:rPr>
        <w:t>）</w:t>
      </w:r>
      <w:r>
        <w:rPr>
          <w:spacing w:val="-2"/>
          <w:sz w:val="21"/>
        </w:rPr>
        <w:t>并经</w:t>
      </w:r>
      <w:r>
        <w:rPr>
          <w:b/>
          <w:spacing w:val="-4"/>
          <w:sz w:val="21"/>
        </w:rPr>
        <w:t>专科医生</w:t>
      </w:r>
      <w:r>
        <w:rPr>
          <w:b/>
          <w:spacing w:val="-3"/>
          <w:sz w:val="21"/>
        </w:rPr>
        <w:t>（</w:t>
      </w:r>
      <w:r>
        <w:rPr>
          <w:rFonts w:ascii="Times New Roman" w:eastAsia="Times New Roman"/>
          <w:b/>
          <w:spacing w:val="-3"/>
          <w:sz w:val="21"/>
        </w:rPr>
        <w:t>12.8</w:t>
      </w:r>
      <w:r>
        <w:rPr>
          <w:b/>
          <w:spacing w:val="-3"/>
          <w:sz w:val="21"/>
        </w:rPr>
        <w:t>）首次确诊（</w:t>
      </w:r>
      <w:r>
        <w:rPr>
          <w:rFonts w:ascii="Times New Roman" w:eastAsia="Times New Roman"/>
          <w:b/>
          <w:spacing w:val="-3"/>
          <w:sz w:val="21"/>
        </w:rPr>
        <w:t>12.9</w:t>
      </w:r>
      <w:r>
        <w:rPr>
          <w:b/>
          <w:spacing w:val="-3"/>
          <w:sz w:val="21"/>
        </w:rPr>
        <w:t>）</w:t>
      </w:r>
      <w:r>
        <w:rPr>
          <w:spacing w:val="-2"/>
          <w:sz w:val="21"/>
        </w:rPr>
        <w:t>患有符合</w:t>
      </w:r>
      <w:r>
        <w:rPr>
          <w:b/>
          <w:sz w:val="21"/>
        </w:rPr>
        <w:t>我</w:t>
      </w:r>
      <w:r>
        <w:rPr>
          <w:b/>
          <w:spacing w:val="-12"/>
          <w:sz w:val="21"/>
        </w:rPr>
        <w:t>们第 </w:t>
      </w:r>
      <w:r>
        <w:rPr>
          <w:rFonts w:ascii="Times New Roman" w:eastAsia="Times New Roman"/>
          <w:b/>
          <w:sz w:val="21"/>
        </w:rPr>
        <w:t>10 </w:t>
      </w:r>
      <w:r>
        <w:rPr>
          <w:b/>
          <w:spacing w:val="-5"/>
          <w:sz w:val="21"/>
        </w:rPr>
        <w:t>条约定的任意一种轻症疾病，</w:t>
      </w:r>
      <w:r>
        <w:rPr>
          <w:spacing w:val="-8"/>
          <w:sz w:val="21"/>
        </w:rPr>
        <w:t>且确诊时被保险人仍然生存，我们将按本合同基本保险金额的</w:t>
      </w:r>
    </w:p>
    <w:p>
      <w:pPr>
        <w:spacing w:line="264" w:lineRule="exact" w:before="0"/>
        <w:ind w:left="112" w:right="0" w:firstLine="0"/>
        <w:jc w:val="left"/>
        <w:rPr>
          <w:sz w:val="21"/>
        </w:rPr>
      </w:pPr>
      <w:r>
        <w:rPr>
          <w:rFonts w:ascii="Times New Roman" w:eastAsia="Times New Roman"/>
          <w:sz w:val="21"/>
        </w:rPr>
        <w:t>20%</w:t>
      </w:r>
      <w:r>
        <w:rPr>
          <w:sz w:val="21"/>
        </w:rPr>
        <w:t>向被保险人给付</w:t>
      </w:r>
      <w:r>
        <w:rPr>
          <w:b/>
          <w:sz w:val="21"/>
        </w:rPr>
        <w:t>轻症疾病保险金</w:t>
      </w:r>
      <w:r>
        <w:rPr>
          <w:sz w:val="21"/>
        </w:rPr>
        <w:t>。</w:t>
      </w:r>
    </w:p>
    <w:p>
      <w:pPr>
        <w:pStyle w:val="Heading2"/>
        <w:spacing w:line="271" w:lineRule="exact"/>
        <w:ind w:left="535" w:firstLine="0"/>
      </w:pPr>
      <w:r>
        <w:rPr/>
        <w:t>轻症疾病保险金最多给付两次，且两次确诊符合本合同第 </w:t>
      </w:r>
      <w:r>
        <w:rPr>
          <w:rFonts w:ascii="Times New Roman" w:eastAsia="Times New Roman"/>
        </w:rPr>
        <w:t>10 </w:t>
      </w:r>
      <w:r>
        <w:rPr/>
        <w:t>条约定轻症疾病的日期间隔不小</w:t>
      </w:r>
    </w:p>
    <w:p>
      <w:pPr>
        <w:spacing w:line="225" w:lineRule="auto" w:before="7"/>
        <w:ind w:left="112" w:right="248" w:firstLine="0"/>
        <w:jc w:val="left"/>
        <w:rPr>
          <w:b/>
          <w:sz w:val="21"/>
        </w:rPr>
      </w:pPr>
      <w:r>
        <w:rPr>
          <w:b/>
          <w:sz w:val="21"/>
        </w:rPr>
        <w:t>于一年，轻症疾病保险金给付满两次后，此项责任终止，本合同继续有效。符合本合同第 </w:t>
      </w:r>
      <w:r>
        <w:rPr>
          <w:rFonts w:ascii="Times New Roman" w:eastAsia="Times New Roman"/>
          <w:b/>
          <w:sz w:val="21"/>
        </w:rPr>
        <w:t>10 </w:t>
      </w:r>
      <w:r>
        <w:rPr>
          <w:b/>
          <w:sz w:val="21"/>
        </w:rPr>
        <w:t>条约定的同一种轻症疾病的保险金仅给付一次。</w:t>
      </w:r>
    </w:p>
    <w:p>
      <w:pPr>
        <w:pStyle w:val="BodyText"/>
        <w:spacing w:before="3"/>
        <w:rPr>
          <w:b/>
          <w:sz w:val="18"/>
        </w:rPr>
      </w:pPr>
    </w:p>
    <w:p>
      <w:pPr>
        <w:pStyle w:val="ListParagraph"/>
        <w:numPr>
          <w:ilvl w:val="2"/>
          <w:numId w:val="2"/>
        </w:numPr>
        <w:tabs>
          <w:tab w:pos="1059" w:val="left" w:leader="none"/>
        </w:tabs>
        <w:spacing w:line="282" w:lineRule="exact" w:before="0" w:after="0"/>
        <w:ind w:left="1058" w:right="0" w:hanging="525"/>
        <w:jc w:val="left"/>
        <w:rPr>
          <w:sz w:val="21"/>
        </w:rPr>
      </w:pPr>
      <w:r>
        <w:rPr>
          <w:spacing w:val="-3"/>
          <w:sz w:val="21"/>
        </w:rPr>
        <w:t>重大疾病保险金</w:t>
      </w:r>
    </w:p>
    <w:p>
      <w:pPr>
        <w:spacing w:line="230" w:lineRule="auto" w:before="3"/>
        <w:ind w:left="112" w:right="247" w:firstLine="420"/>
        <w:jc w:val="both"/>
        <w:rPr>
          <w:sz w:val="21"/>
        </w:rPr>
      </w:pPr>
      <w:r>
        <w:rPr>
          <w:sz w:val="21"/>
        </w:rPr>
        <w:t>如果被保险人在等待期后首次发病并经专科医生首次确诊患有符合</w:t>
      </w:r>
      <w:r>
        <w:rPr>
          <w:b/>
          <w:sz w:val="21"/>
        </w:rPr>
        <w:t>我们第 </w:t>
      </w:r>
      <w:r>
        <w:rPr>
          <w:rFonts w:ascii="Times New Roman" w:eastAsia="Times New Roman"/>
          <w:b/>
          <w:sz w:val="21"/>
        </w:rPr>
        <w:t>11 </w:t>
      </w:r>
      <w:r>
        <w:rPr>
          <w:b/>
          <w:sz w:val="21"/>
        </w:rPr>
        <w:t>条约定的任意一种重大疾病</w:t>
      </w:r>
      <w:r>
        <w:rPr>
          <w:sz w:val="21"/>
        </w:rPr>
        <w:t>，且确诊时被保险人仍然生存，我们将按本合同基本保险金额向被保险人给付</w:t>
      </w:r>
      <w:r>
        <w:rPr>
          <w:b/>
          <w:sz w:val="21"/>
        </w:rPr>
        <w:t>重大疾病保险金</w:t>
      </w:r>
      <w:r>
        <w:rPr>
          <w:sz w:val="21"/>
        </w:rPr>
        <w:t>。</w:t>
      </w:r>
    </w:p>
    <w:p>
      <w:pPr>
        <w:pStyle w:val="Heading2"/>
        <w:spacing w:line="225" w:lineRule="auto" w:before="16"/>
        <w:ind w:left="112" w:right="220" w:firstLine="422"/>
        <w:jc w:val="both"/>
      </w:pPr>
      <w:r>
        <w:rPr/>
        <w:t>重大疾病保险金最多给付两次，且两次确诊符合本合同第</w:t>
      </w:r>
      <w:r>
        <w:rPr>
          <w:rFonts w:ascii="Times New Roman" w:eastAsia="Times New Roman"/>
        </w:rPr>
        <w:t>11</w:t>
      </w:r>
      <w:r>
        <w:rPr/>
        <w:t>条约定重大疾病的日期间隔不小于一年，重大疾病保险金给付满两次后，本合同效力终止。符合本合同第</w:t>
      </w:r>
      <w:r>
        <w:rPr>
          <w:rFonts w:ascii="Times New Roman" w:eastAsia="Times New Roman"/>
        </w:rPr>
        <w:t>11</w:t>
      </w:r>
      <w:r>
        <w:rPr/>
        <w:t>条约定的同一种重大疾病的保险金仅给付一次。</w:t>
      </w:r>
    </w:p>
    <w:p>
      <w:pPr>
        <w:spacing w:line="287" w:lineRule="exact" w:before="0"/>
        <w:ind w:left="535" w:right="0" w:firstLine="0"/>
        <w:jc w:val="left"/>
        <w:rPr>
          <w:b/>
          <w:sz w:val="21"/>
        </w:rPr>
      </w:pPr>
      <w:r>
        <w:rPr>
          <w:b/>
          <w:sz w:val="21"/>
        </w:rPr>
        <w:t>自给付第一次重大疾病保险金起，本合同的现金价值（</w:t>
      </w:r>
      <w:r>
        <w:rPr>
          <w:rFonts w:ascii="Times New Roman" w:eastAsia="Times New Roman"/>
          <w:b/>
          <w:sz w:val="21"/>
        </w:rPr>
        <w:t>12.10</w:t>
      </w:r>
      <w:r>
        <w:rPr>
          <w:b/>
          <w:sz w:val="21"/>
        </w:rPr>
        <w:t>）为零。</w:t>
      </w:r>
    </w:p>
    <w:p>
      <w:pPr>
        <w:pStyle w:val="BodyText"/>
        <w:rPr>
          <w:b/>
          <w:sz w:val="17"/>
        </w:rPr>
      </w:pPr>
    </w:p>
    <w:p>
      <w:pPr>
        <w:spacing w:before="1"/>
        <w:ind w:left="112" w:right="110" w:firstLine="422"/>
        <w:jc w:val="left"/>
        <w:rPr>
          <w:b/>
          <w:sz w:val="21"/>
        </w:rPr>
      </w:pPr>
      <w:r>
        <w:rPr>
          <w:b/>
          <w:spacing w:val="-3"/>
          <w:sz w:val="21"/>
        </w:rPr>
        <w:t>若重大疾病的首次确诊日期在轻症疾病的首次确诊日期之前，则对于存在附表一对应关系的轻</w:t>
      </w:r>
      <w:r>
        <w:rPr>
          <w:b/>
          <w:spacing w:val="-11"/>
          <w:sz w:val="21"/>
        </w:rPr>
        <w:t>症疾病和重大疾病，我们给付的轻症疾病保险金和重大疾病保险金之和以本合同基本保险金额为限。</w:t>
      </w:r>
    </w:p>
    <w:p>
      <w:pPr>
        <w:pStyle w:val="BodyText"/>
        <w:spacing w:before="3"/>
        <w:rPr>
          <w:b/>
          <w:sz w:val="18"/>
        </w:rPr>
      </w:pPr>
    </w:p>
    <w:p>
      <w:pPr>
        <w:spacing w:before="0"/>
        <w:ind w:left="112" w:right="209" w:firstLine="422"/>
        <w:jc w:val="left"/>
        <w:rPr>
          <w:b/>
          <w:sz w:val="21"/>
        </w:rPr>
      </w:pPr>
      <w:r>
        <w:rPr>
          <w:b/>
          <w:sz w:val="21"/>
        </w:rPr>
        <w:t>轻症疾病保险金仅针对符合本合同约定的轻症疾病进行给付，对于申请保险金时已经符合重大疾病保险金给付条件的，仅给付重大疾病保险金，不再给付轻症疾病保险金。</w:t>
      </w:r>
    </w:p>
    <w:p>
      <w:pPr>
        <w:pStyle w:val="BodyText"/>
        <w:spacing w:before="2"/>
        <w:rPr>
          <w:b/>
          <w:sz w:val="18"/>
        </w:rPr>
      </w:pPr>
    </w:p>
    <w:p>
      <w:pPr>
        <w:pStyle w:val="ListParagraph"/>
        <w:numPr>
          <w:ilvl w:val="2"/>
          <w:numId w:val="2"/>
        </w:numPr>
        <w:tabs>
          <w:tab w:pos="1059" w:val="left" w:leader="none"/>
        </w:tabs>
        <w:spacing w:line="281" w:lineRule="exact" w:before="1" w:after="0"/>
        <w:ind w:left="1058" w:right="0" w:hanging="525"/>
        <w:jc w:val="left"/>
        <w:rPr>
          <w:sz w:val="21"/>
        </w:rPr>
      </w:pPr>
      <w:r>
        <w:rPr>
          <w:spacing w:val="-3"/>
          <w:sz w:val="21"/>
        </w:rPr>
        <w:t>身故保险金</w:t>
      </w:r>
    </w:p>
    <w:p>
      <w:pPr>
        <w:pStyle w:val="BodyText"/>
        <w:spacing w:line="225" w:lineRule="auto" w:before="8"/>
        <w:ind w:left="112" w:right="253" w:firstLine="420"/>
      </w:pPr>
      <w:r>
        <w:rPr/>
        <w:t>若被保险人身故，且被保险人身故时未满</w:t>
      </w:r>
      <w:r>
        <w:rPr>
          <w:rFonts w:ascii="Times New Roman" w:eastAsia="Times New Roman"/>
        </w:rPr>
        <w:t>18</w:t>
      </w:r>
      <w:r>
        <w:rPr/>
        <w:t>周岁，我们将向本合同的身故保险金受益人给付下列两项金额中的较大者，本合同随即终止：</w:t>
      </w:r>
    </w:p>
    <w:p>
      <w:pPr>
        <w:pStyle w:val="BodyText"/>
        <w:spacing w:line="279" w:lineRule="exact"/>
        <w:ind w:left="427"/>
      </w:pPr>
      <w:r>
        <w:rPr>
          <w:w w:val="100"/>
        </w:rPr>
        <w:t>（</w:t>
      </w:r>
      <w:r>
        <w:rPr>
          <w:rFonts w:ascii="Times New Roman" w:eastAsia="Times New Roman"/>
          <w:w w:val="100"/>
        </w:rPr>
        <w:t>1</w:t>
      </w:r>
      <w:r>
        <w:rPr>
          <w:spacing w:val="-3"/>
          <w:w w:val="100"/>
        </w:rPr>
        <w:t>）累计已支付的本合同保险费</w:t>
      </w:r>
      <w:r>
        <w:rPr>
          <w:w w:val="100"/>
        </w:rPr>
        <w:t>（</w:t>
      </w:r>
      <w:r>
        <w:rPr>
          <w:spacing w:val="-3"/>
          <w:w w:val="100"/>
        </w:rPr>
        <w:t>不包括其附加合同的保险费</w:t>
      </w:r>
      <w:r>
        <w:rPr>
          <w:spacing w:val="-106"/>
          <w:w w:val="100"/>
        </w:rPr>
        <w:t>）</w:t>
      </w:r>
      <w:r>
        <w:rPr>
          <w:w w:val="100"/>
        </w:rPr>
        <w:t>；</w:t>
      </w:r>
    </w:p>
    <w:p>
      <w:pPr>
        <w:pStyle w:val="BodyText"/>
        <w:spacing w:line="282" w:lineRule="exact"/>
        <w:ind w:left="427"/>
      </w:pPr>
      <w:r>
        <w:rPr>
          <w:spacing w:val="-1"/>
        </w:rPr>
        <w:t>（</w:t>
      </w:r>
      <w:r>
        <w:rPr>
          <w:rFonts w:ascii="Times New Roman" w:eastAsia="Times New Roman"/>
          <w:spacing w:val="-1"/>
        </w:rPr>
        <w:t>2</w:t>
      </w:r>
      <w:r>
        <w:rPr>
          <w:spacing w:val="-1"/>
        </w:rPr>
        <w:t>）</w:t>
      </w:r>
      <w:r>
        <w:rPr>
          <w:spacing w:val="-3"/>
        </w:rPr>
        <w:t>本合同在被保险人身故时的现金价值</w:t>
      </w:r>
      <w:r>
        <w:rPr/>
        <w:t>（</w:t>
      </w:r>
      <w:r>
        <w:rPr>
          <w:spacing w:val="-3"/>
        </w:rPr>
        <w:t>不包括其附加合同的现金价值</w:t>
      </w:r>
      <w:r>
        <w:rPr>
          <w:spacing w:val="-108"/>
        </w:rPr>
        <w:t>）</w:t>
      </w:r>
      <w:r>
        <w:rPr/>
        <w:t>。</w:t>
      </w:r>
    </w:p>
    <w:p>
      <w:pPr>
        <w:pStyle w:val="BodyText"/>
        <w:spacing w:before="7"/>
        <w:rPr>
          <w:sz w:val="18"/>
        </w:rPr>
      </w:pPr>
    </w:p>
    <w:p>
      <w:pPr>
        <w:pStyle w:val="BodyText"/>
        <w:spacing w:line="223" w:lineRule="auto"/>
        <w:ind w:left="112" w:right="253" w:firstLine="420"/>
      </w:pPr>
      <w:r>
        <w:rPr/>
        <w:t>若被保险人身故，且被保险人身故时已满</w:t>
      </w:r>
      <w:r>
        <w:rPr>
          <w:rFonts w:ascii="Times New Roman" w:eastAsia="Times New Roman"/>
        </w:rPr>
        <w:t>18</w:t>
      </w:r>
      <w:r>
        <w:rPr/>
        <w:t>周岁，我们将按照本合同的基本保险金额向身故保险金受益人给付身故保险金。</w:t>
      </w:r>
    </w:p>
    <w:p>
      <w:pPr>
        <w:spacing w:line="510" w:lineRule="atLeast" w:before="3"/>
        <w:ind w:left="533" w:right="3598" w:firstLine="2"/>
        <w:jc w:val="left"/>
        <w:rPr>
          <w:sz w:val="21"/>
        </w:rPr>
      </w:pPr>
      <w:r>
        <w:rPr>
          <w:b/>
          <w:sz w:val="21"/>
        </w:rPr>
        <w:t>如身故前已给付重大疾病保险金，则此项责任自动终止。</w:t>
      </w:r>
      <w:r>
        <w:rPr>
          <w:sz w:val="21"/>
        </w:rPr>
        <w:t>未成年人身故保险金限制</w:t>
      </w:r>
    </w:p>
    <w:p>
      <w:pPr>
        <w:pStyle w:val="BodyText"/>
        <w:spacing w:line="237" w:lineRule="auto" w:before="1"/>
        <w:ind w:left="112" w:right="218" w:firstLine="420"/>
      </w:pPr>
      <w:r>
        <w:rPr/>
        <w:t>为未成年子女投保的人身保险，因被保险人身故给付的保险金总和不得超过国务院保险监督管理机构规定的限额，身故给付的保险金额总和约定也不得超过前述限制。</w:t>
      </w:r>
    </w:p>
    <w:p>
      <w:pPr>
        <w:pStyle w:val="BodyText"/>
        <w:spacing w:before="3"/>
        <w:rPr>
          <w:sz w:val="18"/>
        </w:rPr>
      </w:pPr>
    </w:p>
    <w:p>
      <w:pPr>
        <w:pStyle w:val="ListParagraph"/>
        <w:numPr>
          <w:ilvl w:val="2"/>
          <w:numId w:val="2"/>
        </w:numPr>
        <w:tabs>
          <w:tab w:pos="1059" w:val="left" w:leader="none"/>
        </w:tabs>
        <w:spacing w:line="282" w:lineRule="exact" w:before="0" w:after="0"/>
        <w:ind w:left="1058" w:right="0" w:hanging="525"/>
        <w:jc w:val="left"/>
        <w:rPr>
          <w:sz w:val="21"/>
        </w:rPr>
      </w:pPr>
      <w:r>
        <w:rPr>
          <w:spacing w:val="-3"/>
          <w:sz w:val="21"/>
        </w:rPr>
        <w:t>豁免保险费</w:t>
      </w:r>
    </w:p>
    <w:p>
      <w:pPr>
        <w:pStyle w:val="BodyText"/>
        <w:spacing w:line="237" w:lineRule="auto"/>
        <w:ind w:left="112" w:right="215" w:firstLine="420"/>
        <w:jc w:val="both"/>
      </w:pPr>
      <w:r>
        <w:rPr/>
        <w:t>在本合同有效期内，如果被保险人在等待期后发生如下任一保险事故，我们将自发生该保险事故后的首个保险费约定支付日开始，豁免本合同有效期内的剩余应付保险费（不包括其附加合同的保险费），本合同继续有效：</w:t>
      </w:r>
    </w:p>
    <w:p>
      <w:pPr>
        <w:pStyle w:val="BodyText"/>
        <w:spacing w:line="279" w:lineRule="exact" w:before="6"/>
        <w:ind w:left="533"/>
      </w:pPr>
      <w:r>
        <w:rPr/>
        <w:t>（</w:t>
      </w:r>
      <w:r>
        <w:rPr>
          <w:rFonts w:ascii="Times New Roman" w:eastAsia="Times New Roman"/>
        </w:rPr>
        <w:t>1</w:t>
      </w:r>
      <w:r>
        <w:rPr/>
        <w:t>）首次发病并经专科医生首次确诊患有符合本合同第</w:t>
      </w:r>
      <w:r>
        <w:rPr>
          <w:rFonts w:ascii="Times New Roman" w:eastAsia="Times New Roman"/>
        </w:rPr>
        <w:t>10</w:t>
      </w:r>
      <w:r>
        <w:rPr/>
        <w:t>条约定的轻症疾病；</w:t>
      </w:r>
    </w:p>
    <w:p>
      <w:pPr>
        <w:pStyle w:val="BodyText"/>
        <w:spacing w:line="282" w:lineRule="exact"/>
        <w:ind w:left="538"/>
      </w:pPr>
      <w:r>
        <w:rPr/>
        <w:t>（</w:t>
      </w:r>
      <w:r>
        <w:rPr>
          <w:rFonts w:ascii="Times New Roman" w:eastAsia="Times New Roman"/>
        </w:rPr>
        <w:t>2</w:t>
      </w:r>
      <w:r>
        <w:rPr/>
        <w:t>）首次发病并经专科医生首次确诊患有符合本合同第</w:t>
      </w:r>
      <w:r>
        <w:rPr>
          <w:rFonts w:ascii="Times New Roman" w:eastAsia="Times New Roman"/>
        </w:rPr>
        <w:t>11</w:t>
      </w:r>
      <w:r>
        <w:rPr/>
        <w:t>条约定的重大疾病；</w:t>
      </w:r>
    </w:p>
    <w:p>
      <w:pPr>
        <w:spacing w:after="0" w:line="282" w:lineRule="exact"/>
        <w:sectPr>
          <w:pgSz w:w="11910" w:h="16840"/>
          <w:pgMar w:header="0" w:footer="1239" w:top="1060" w:bottom="1420" w:left="1020" w:right="1480"/>
        </w:sectPr>
      </w:pPr>
    </w:p>
    <w:p>
      <w:pPr>
        <w:pStyle w:val="Heading2"/>
        <w:numPr>
          <w:ilvl w:val="1"/>
          <w:numId w:val="2"/>
        </w:numPr>
        <w:tabs>
          <w:tab w:pos="994" w:val="left" w:leader="none"/>
          <w:tab w:pos="995" w:val="left" w:leader="none"/>
        </w:tabs>
        <w:spacing w:line="282" w:lineRule="exact" w:before="20" w:after="0"/>
        <w:ind w:left="994" w:right="0" w:hanging="472"/>
        <w:jc w:val="left"/>
      </w:pPr>
      <w:r>
        <w:rPr/>
        <w:t>责任免除</w:t>
      </w:r>
    </w:p>
    <w:p>
      <w:pPr>
        <w:spacing w:line="237" w:lineRule="auto" w:before="0"/>
        <w:ind w:left="102" w:right="207" w:firstLine="422"/>
        <w:jc w:val="left"/>
        <w:rPr>
          <w:b/>
          <w:sz w:val="21"/>
        </w:rPr>
      </w:pPr>
      <w:r>
        <w:rPr>
          <w:b/>
          <w:sz w:val="21"/>
        </w:rPr>
        <w:t>因下列情形之一而导致被保险人身故或患有我们约定的疾病或达到疾病状态的，我们不承担给付保险金和豁免保险费的责任：</w:t>
      </w:r>
    </w:p>
    <w:p>
      <w:pPr>
        <w:pStyle w:val="ListParagraph"/>
        <w:numPr>
          <w:ilvl w:val="0"/>
          <w:numId w:val="3"/>
        </w:numPr>
        <w:tabs>
          <w:tab w:pos="1096" w:val="left" w:leader="none"/>
        </w:tabs>
        <w:spacing w:line="280" w:lineRule="exact" w:before="6" w:after="0"/>
        <w:ind w:left="1095" w:right="0" w:hanging="566"/>
        <w:jc w:val="left"/>
        <w:rPr>
          <w:b/>
          <w:sz w:val="21"/>
        </w:rPr>
      </w:pPr>
      <w:r>
        <w:rPr>
          <w:b/>
          <w:spacing w:val="-2"/>
          <w:sz w:val="21"/>
        </w:rPr>
        <w:t>投保人对被保险人的故意杀害、故意伤害；</w:t>
      </w:r>
    </w:p>
    <w:p>
      <w:pPr>
        <w:pStyle w:val="ListParagraph"/>
        <w:numPr>
          <w:ilvl w:val="0"/>
          <w:numId w:val="3"/>
        </w:numPr>
        <w:tabs>
          <w:tab w:pos="1096" w:val="left" w:leader="none"/>
        </w:tabs>
        <w:spacing w:line="272" w:lineRule="exact" w:before="0" w:after="0"/>
        <w:ind w:left="1095" w:right="0" w:hanging="566"/>
        <w:jc w:val="left"/>
        <w:rPr>
          <w:b/>
          <w:sz w:val="21"/>
        </w:rPr>
      </w:pPr>
      <w:r>
        <w:rPr>
          <w:b/>
          <w:spacing w:val="-3"/>
          <w:sz w:val="21"/>
        </w:rPr>
        <w:t>被保险人故意犯罪或者抗拒依法采取的刑事强制措施；</w:t>
      </w:r>
    </w:p>
    <w:p>
      <w:pPr>
        <w:pStyle w:val="ListParagraph"/>
        <w:numPr>
          <w:ilvl w:val="0"/>
          <w:numId w:val="3"/>
        </w:numPr>
        <w:tabs>
          <w:tab w:pos="1096" w:val="left" w:leader="none"/>
        </w:tabs>
        <w:spacing w:line="223" w:lineRule="auto" w:before="12" w:after="0"/>
        <w:ind w:left="1095" w:right="221" w:hanging="566"/>
        <w:jc w:val="left"/>
        <w:rPr>
          <w:b/>
          <w:sz w:val="21"/>
        </w:rPr>
      </w:pPr>
      <w:r>
        <w:rPr>
          <w:b/>
          <w:spacing w:val="-3"/>
          <w:sz w:val="21"/>
        </w:rPr>
        <w:t>被保险人自本合同成立或者合同效力恢复之日起</w:t>
      </w:r>
      <w:r>
        <w:rPr>
          <w:rFonts w:ascii="Times New Roman" w:eastAsia="Times New Roman"/>
          <w:b/>
          <w:spacing w:val="-3"/>
          <w:sz w:val="21"/>
        </w:rPr>
        <w:t>2</w:t>
      </w:r>
      <w:r>
        <w:rPr>
          <w:b/>
          <w:spacing w:val="-8"/>
          <w:sz w:val="21"/>
        </w:rPr>
        <w:t>年内自杀，但被保险人自杀时为无民事行为能力人的除外；</w:t>
      </w:r>
    </w:p>
    <w:p>
      <w:pPr>
        <w:pStyle w:val="ListParagraph"/>
        <w:numPr>
          <w:ilvl w:val="0"/>
          <w:numId w:val="3"/>
        </w:numPr>
        <w:tabs>
          <w:tab w:pos="1096" w:val="left" w:leader="none"/>
        </w:tabs>
        <w:spacing w:line="280" w:lineRule="exact" w:before="0" w:after="0"/>
        <w:ind w:left="1095" w:right="0" w:hanging="566"/>
        <w:jc w:val="left"/>
        <w:rPr>
          <w:b/>
          <w:sz w:val="21"/>
        </w:rPr>
      </w:pPr>
      <w:r>
        <w:rPr>
          <w:b/>
          <w:spacing w:val="-1"/>
          <w:sz w:val="21"/>
        </w:rPr>
        <w:t>被保险人未经医师</w:t>
      </w:r>
      <w:r>
        <w:rPr>
          <w:b/>
          <w:spacing w:val="-3"/>
          <w:sz w:val="21"/>
        </w:rPr>
        <w:t>（</w:t>
      </w:r>
      <w:r>
        <w:rPr>
          <w:rFonts w:ascii="Times New Roman" w:eastAsia="Times New Roman"/>
          <w:b/>
          <w:spacing w:val="-3"/>
          <w:sz w:val="21"/>
        </w:rPr>
        <w:t>12.11</w:t>
      </w:r>
      <w:r>
        <w:rPr>
          <w:b/>
          <w:spacing w:val="-3"/>
          <w:sz w:val="21"/>
        </w:rPr>
        <w:t>）</w:t>
      </w:r>
      <w:r>
        <w:rPr>
          <w:b/>
          <w:spacing w:val="-2"/>
          <w:sz w:val="21"/>
        </w:rPr>
        <w:t>处方注射、吸食、服用毒品</w:t>
      </w:r>
      <w:r>
        <w:rPr>
          <w:b/>
          <w:sz w:val="21"/>
        </w:rPr>
        <w:t>（</w:t>
      </w:r>
      <w:r>
        <w:rPr>
          <w:rFonts w:ascii="Times New Roman" w:eastAsia="Times New Roman"/>
          <w:b/>
          <w:sz w:val="21"/>
        </w:rPr>
        <w:t>12.12</w:t>
      </w:r>
      <w:r>
        <w:rPr>
          <w:b/>
          <w:sz w:val="21"/>
        </w:rPr>
        <w:t>）或处方药品；</w:t>
      </w:r>
    </w:p>
    <w:p>
      <w:pPr>
        <w:pStyle w:val="ListParagraph"/>
        <w:numPr>
          <w:ilvl w:val="0"/>
          <w:numId w:val="3"/>
        </w:numPr>
        <w:tabs>
          <w:tab w:pos="1091" w:val="left" w:leader="none"/>
        </w:tabs>
        <w:spacing w:line="225" w:lineRule="auto" w:before="7" w:after="0"/>
        <w:ind w:left="1090" w:right="117" w:hanging="564"/>
        <w:jc w:val="left"/>
        <w:rPr>
          <w:b/>
          <w:sz w:val="21"/>
        </w:rPr>
      </w:pPr>
      <w:r>
        <w:rPr>
          <w:b/>
          <w:spacing w:val="-8"/>
          <w:w w:val="100"/>
          <w:sz w:val="21"/>
        </w:rPr>
        <w:t>被保险人酒后驾驶</w:t>
      </w:r>
      <w:r>
        <w:rPr>
          <w:b/>
          <w:w w:val="100"/>
          <w:sz w:val="21"/>
        </w:rPr>
        <w:t>（</w:t>
      </w:r>
      <w:r>
        <w:rPr>
          <w:rFonts w:ascii="Times New Roman" w:eastAsia="Times New Roman"/>
          <w:b/>
          <w:w w:val="100"/>
          <w:sz w:val="21"/>
        </w:rPr>
        <w:t>12</w:t>
      </w:r>
      <w:r>
        <w:rPr>
          <w:rFonts w:ascii="Times New Roman" w:eastAsia="Times New Roman"/>
          <w:b/>
          <w:spacing w:val="-3"/>
          <w:w w:val="100"/>
          <w:sz w:val="21"/>
        </w:rPr>
        <w:t>.</w:t>
      </w:r>
      <w:r>
        <w:rPr>
          <w:rFonts w:ascii="Times New Roman" w:eastAsia="Times New Roman"/>
          <w:b/>
          <w:w w:val="100"/>
          <w:sz w:val="21"/>
        </w:rPr>
        <w:t>1</w:t>
      </w:r>
      <w:r>
        <w:rPr>
          <w:rFonts w:ascii="Times New Roman" w:eastAsia="Times New Roman"/>
          <w:b/>
          <w:spacing w:val="-3"/>
          <w:w w:val="100"/>
          <w:sz w:val="21"/>
        </w:rPr>
        <w:t>3</w:t>
      </w:r>
      <w:r>
        <w:rPr>
          <w:b/>
          <w:spacing w:val="-106"/>
          <w:w w:val="100"/>
          <w:sz w:val="21"/>
        </w:rPr>
        <w:t>）</w:t>
      </w:r>
      <w:r>
        <w:rPr>
          <w:b/>
          <w:spacing w:val="-13"/>
          <w:w w:val="100"/>
          <w:sz w:val="21"/>
        </w:rPr>
        <w:t>，无合法有效驾驶证驾驶</w:t>
      </w:r>
      <w:r>
        <w:rPr>
          <w:b/>
          <w:spacing w:val="-3"/>
          <w:w w:val="100"/>
          <w:sz w:val="21"/>
        </w:rPr>
        <w:t>（</w:t>
      </w:r>
      <w:r>
        <w:rPr>
          <w:rFonts w:ascii="Times New Roman" w:eastAsia="Times New Roman"/>
          <w:b/>
          <w:w w:val="100"/>
          <w:sz w:val="21"/>
        </w:rPr>
        <w:t>12.1</w:t>
      </w:r>
      <w:r>
        <w:rPr>
          <w:rFonts w:ascii="Times New Roman" w:eastAsia="Times New Roman"/>
          <w:b/>
          <w:spacing w:val="-3"/>
          <w:w w:val="100"/>
          <w:sz w:val="21"/>
        </w:rPr>
        <w:t>4</w:t>
      </w:r>
      <w:r>
        <w:rPr>
          <w:b/>
          <w:spacing w:val="-60"/>
          <w:w w:val="100"/>
          <w:sz w:val="21"/>
        </w:rPr>
        <w:t>）</w:t>
      </w:r>
      <w:r>
        <w:rPr>
          <w:b/>
          <w:spacing w:val="-9"/>
          <w:w w:val="100"/>
          <w:sz w:val="21"/>
        </w:rPr>
        <w:t>或驾驶无有效行驶证</w:t>
      </w:r>
      <w:r>
        <w:rPr>
          <w:b/>
          <w:w w:val="100"/>
          <w:sz w:val="21"/>
        </w:rPr>
        <w:t>（</w:t>
      </w:r>
      <w:r>
        <w:rPr>
          <w:rFonts w:ascii="Times New Roman" w:eastAsia="Times New Roman"/>
          <w:b/>
          <w:w w:val="100"/>
          <w:sz w:val="21"/>
        </w:rPr>
        <w:t>12</w:t>
      </w:r>
      <w:r>
        <w:rPr>
          <w:rFonts w:ascii="Times New Roman" w:eastAsia="Times New Roman"/>
          <w:b/>
          <w:spacing w:val="-3"/>
          <w:w w:val="100"/>
          <w:sz w:val="21"/>
        </w:rPr>
        <w:t>.</w:t>
      </w:r>
      <w:r>
        <w:rPr>
          <w:rFonts w:ascii="Times New Roman" w:eastAsia="Times New Roman"/>
          <w:b/>
          <w:w w:val="100"/>
          <w:sz w:val="21"/>
        </w:rPr>
        <w:t>1</w:t>
      </w:r>
      <w:r>
        <w:rPr>
          <w:rFonts w:ascii="Times New Roman" w:eastAsia="Times New Roman"/>
          <w:b/>
          <w:spacing w:val="-3"/>
          <w:w w:val="100"/>
          <w:sz w:val="21"/>
        </w:rPr>
        <w:t>5</w:t>
      </w:r>
      <w:r>
        <w:rPr>
          <w:b/>
          <w:w w:val="100"/>
          <w:sz w:val="21"/>
        </w:rPr>
        <w:t>）的机动车（</w:t>
      </w:r>
      <w:r>
        <w:rPr>
          <w:rFonts w:ascii="Times New Roman" w:eastAsia="Times New Roman"/>
          <w:b/>
          <w:w w:val="100"/>
          <w:sz w:val="21"/>
        </w:rPr>
        <w:t>12</w:t>
      </w:r>
      <w:r>
        <w:rPr>
          <w:rFonts w:ascii="Times New Roman" w:eastAsia="Times New Roman"/>
          <w:b/>
          <w:spacing w:val="-3"/>
          <w:w w:val="100"/>
          <w:sz w:val="21"/>
        </w:rPr>
        <w:t>.</w:t>
      </w:r>
      <w:r>
        <w:rPr>
          <w:rFonts w:ascii="Times New Roman" w:eastAsia="Times New Roman"/>
          <w:b/>
          <w:w w:val="100"/>
          <w:sz w:val="21"/>
        </w:rPr>
        <w:t>1</w:t>
      </w:r>
      <w:r>
        <w:rPr>
          <w:rFonts w:ascii="Times New Roman" w:eastAsia="Times New Roman"/>
          <w:b/>
          <w:spacing w:val="-2"/>
          <w:w w:val="100"/>
          <w:sz w:val="21"/>
        </w:rPr>
        <w:t>6</w:t>
      </w:r>
      <w:r>
        <w:rPr>
          <w:b/>
          <w:spacing w:val="-106"/>
          <w:w w:val="100"/>
          <w:sz w:val="21"/>
        </w:rPr>
        <w:t>）</w:t>
      </w:r>
      <w:r>
        <w:rPr>
          <w:b/>
          <w:w w:val="100"/>
          <w:sz w:val="21"/>
        </w:rPr>
        <w:t>；</w:t>
      </w:r>
    </w:p>
    <w:p>
      <w:pPr>
        <w:pStyle w:val="ListParagraph"/>
        <w:numPr>
          <w:ilvl w:val="0"/>
          <w:numId w:val="3"/>
        </w:numPr>
        <w:tabs>
          <w:tab w:pos="1091" w:val="left" w:leader="none"/>
        </w:tabs>
        <w:spacing w:line="263" w:lineRule="exact" w:before="0" w:after="0"/>
        <w:ind w:left="1090" w:right="0" w:hanging="564"/>
        <w:jc w:val="left"/>
        <w:rPr>
          <w:b/>
          <w:sz w:val="21"/>
        </w:rPr>
      </w:pPr>
      <w:r>
        <w:rPr>
          <w:b/>
          <w:spacing w:val="-2"/>
          <w:w w:val="100"/>
          <w:sz w:val="21"/>
        </w:rPr>
        <w:t>被保险人感染艾滋病病毒或患艾滋病</w:t>
      </w:r>
      <w:r>
        <w:rPr>
          <w:b/>
          <w:w w:val="100"/>
          <w:sz w:val="21"/>
        </w:rPr>
        <w:t>（</w:t>
      </w:r>
      <w:r>
        <w:rPr>
          <w:rFonts w:ascii="Times New Roman" w:eastAsia="Times New Roman"/>
          <w:b/>
          <w:w w:val="100"/>
          <w:sz w:val="21"/>
        </w:rPr>
        <w:t>1</w:t>
      </w:r>
      <w:r>
        <w:rPr>
          <w:rFonts w:ascii="Times New Roman" w:eastAsia="Times New Roman"/>
          <w:b/>
          <w:spacing w:val="-3"/>
          <w:w w:val="100"/>
          <w:sz w:val="21"/>
        </w:rPr>
        <w:t>2</w:t>
      </w:r>
      <w:r>
        <w:rPr>
          <w:rFonts w:ascii="Times New Roman" w:eastAsia="Times New Roman"/>
          <w:b/>
          <w:w w:val="100"/>
          <w:sz w:val="21"/>
        </w:rPr>
        <w:t>.1</w:t>
      </w:r>
      <w:r>
        <w:rPr>
          <w:rFonts w:ascii="Times New Roman" w:eastAsia="Times New Roman"/>
          <w:b/>
          <w:spacing w:val="-2"/>
          <w:w w:val="100"/>
          <w:sz w:val="21"/>
        </w:rPr>
        <w:t>7</w:t>
      </w:r>
      <w:r>
        <w:rPr>
          <w:b/>
          <w:spacing w:val="-106"/>
          <w:w w:val="100"/>
          <w:sz w:val="21"/>
        </w:rPr>
        <w:t>）</w:t>
      </w:r>
      <w:r>
        <w:rPr>
          <w:b/>
          <w:w w:val="100"/>
          <w:sz w:val="21"/>
        </w:rPr>
        <w:t>；</w:t>
      </w:r>
    </w:p>
    <w:p>
      <w:pPr>
        <w:pStyle w:val="ListParagraph"/>
        <w:numPr>
          <w:ilvl w:val="0"/>
          <w:numId w:val="3"/>
        </w:numPr>
        <w:tabs>
          <w:tab w:pos="1091" w:val="left" w:leader="none"/>
        </w:tabs>
        <w:spacing w:line="272" w:lineRule="exact" w:before="0" w:after="0"/>
        <w:ind w:left="1090" w:right="0" w:hanging="564"/>
        <w:jc w:val="left"/>
        <w:rPr>
          <w:b/>
          <w:sz w:val="21"/>
        </w:rPr>
      </w:pPr>
      <w:r>
        <w:rPr>
          <w:b/>
          <w:spacing w:val="-2"/>
          <w:sz w:val="21"/>
        </w:rPr>
        <w:t>战争、军事冲突、暴乱或武装叛乱；</w:t>
      </w:r>
    </w:p>
    <w:p>
      <w:pPr>
        <w:pStyle w:val="ListParagraph"/>
        <w:numPr>
          <w:ilvl w:val="0"/>
          <w:numId w:val="3"/>
        </w:numPr>
        <w:tabs>
          <w:tab w:pos="1091" w:val="left" w:leader="none"/>
        </w:tabs>
        <w:spacing w:line="272" w:lineRule="exact" w:before="0" w:after="0"/>
        <w:ind w:left="1090" w:right="0" w:hanging="564"/>
        <w:jc w:val="left"/>
        <w:rPr>
          <w:b/>
          <w:sz w:val="21"/>
        </w:rPr>
      </w:pPr>
      <w:r>
        <w:rPr>
          <w:b/>
          <w:spacing w:val="-2"/>
          <w:sz w:val="21"/>
        </w:rPr>
        <w:t>核爆炸、核辐射或核污染；</w:t>
      </w:r>
    </w:p>
    <w:p>
      <w:pPr>
        <w:pStyle w:val="ListParagraph"/>
        <w:numPr>
          <w:ilvl w:val="0"/>
          <w:numId w:val="3"/>
        </w:numPr>
        <w:tabs>
          <w:tab w:pos="1091" w:val="left" w:leader="none"/>
        </w:tabs>
        <w:spacing w:line="282" w:lineRule="exact" w:before="0" w:after="0"/>
        <w:ind w:left="1090" w:right="0" w:hanging="564"/>
        <w:jc w:val="left"/>
        <w:rPr>
          <w:b/>
          <w:sz w:val="21"/>
        </w:rPr>
      </w:pPr>
      <w:r>
        <w:rPr>
          <w:b/>
          <w:w w:val="100"/>
          <w:sz w:val="21"/>
        </w:rPr>
        <w:t>遗传性疾病（</w:t>
      </w:r>
      <w:r>
        <w:rPr>
          <w:rFonts w:ascii="Times New Roman" w:eastAsia="Times New Roman"/>
          <w:b/>
          <w:w w:val="100"/>
          <w:sz w:val="21"/>
        </w:rPr>
        <w:t>1</w:t>
      </w:r>
      <w:r>
        <w:rPr>
          <w:rFonts w:ascii="Times New Roman" w:eastAsia="Times New Roman"/>
          <w:b/>
          <w:spacing w:val="-2"/>
          <w:w w:val="100"/>
          <w:sz w:val="21"/>
        </w:rPr>
        <w:t>2</w:t>
      </w:r>
      <w:r>
        <w:rPr>
          <w:rFonts w:ascii="Times New Roman" w:eastAsia="Times New Roman"/>
          <w:b/>
          <w:w w:val="100"/>
          <w:sz w:val="21"/>
        </w:rPr>
        <w:t>.1</w:t>
      </w:r>
      <w:r>
        <w:rPr>
          <w:rFonts w:ascii="Times New Roman" w:eastAsia="Times New Roman"/>
          <w:b/>
          <w:spacing w:val="-3"/>
          <w:w w:val="100"/>
          <w:sz w:val="21"/>
        </w:rPr>
        <w:t>8</w:t>
      </w:r>
      <w:r>
        <w:rPr>
          <w:b/>
          <w:spacing w:val="-106"/>
          <w:w w:val="100"/>
          <w:sz w:val="21"/>
        </w:rPr>
        <w:t>）</w:t>
      </w:r>
      <w:r>
        <w:rPr>
          <w:b/>
          <w:spacing w:val="-2"/>
          <w:w w:val="100"/>
          <w:sz w:val="21"/>
        </w:rPr>
        <w:t>、先天性畸形、变形或染色体异常</w:t>
      </w:r>
      <w:r>
        <w:rPr>
          <w:b/>
          <w:w w:val="100"/>
          <w:sz w:val="21"/>
        </w:rPr>
        <w:t>（</w:t>
      </w:r>
      <w:r>
        <w:rPr>
          <w:rFonts w:ascii="Times New Roman" w:eastAsia="Times New Roman"/>
          <w:b/>
          <w:w w:val="100"/>
          <w:sz w:val="21"/>
        </w:rPr>
        <w:t>12.</w:t>
      </w:r>
      <w:r>
        <w:rPr>
          <w:rFonts w:ascii="Times New Roman" w:eastAsia="Times New Roman"/>
          <w:b/>
          <w:spacing w:val="-3"/>
          <w:w w:val="100"/>
          <w:sz w:val="21"/>
        </w:rPr>
        <w:t>19</w:t>
      </w:r>
      <w:r>
        <w:rPr>
          <w:b/>
          <w:spacing w:val="-106"/>
          <w:w w:val="100"/>
          <w:sz w:val="21"/>
        </w:rPr>
        <w:t>）</w:t>
      </w:r>
      <w:r>
        <w:rPr>
          <w:b/>
          <w:w w:val="100"/>
          <w:sz w:val="21"/>
        </w:rPr>
        <w:t>。</w:t>
      </w:r>
    </w:p>
    <w:p>
      <w:pPr>
        <w:pStyle w:val="BodyText"/>
        <w:spacing w:before="7"/>
        <w:rPr>
          <w:b/>
          <w:sz w:val="18"/>
        </w:rPr>
      </w:pPr>
    </w:p>
    <w:p>
      <w:pPr>
        <w:spacing w:line="223" w:lineRule="auto" w:before="0"/>
        <w:ind w:left="102" w:right="206" w:firstLine="422"/>
        <w:jc w:val="left"/>
        <w:rPr>
          <w:b/>
          <w:sz w:val="21"/>
        </w:rPr>
      </w:pPr>
      <w:r>
        <w:rPr>
          <w:b/>
          <w:spacing w:val="-5"/>
          <w:sz w:val="21"/>
        </w:rPr>
        <w:t>发生上述第</w:t>
      </w:r>
      <w:r>
        <w:rPr>
          <w:b/>
          <w:spacing w:val="-10"/>
          <w:sz w:val="21"/>
        </w:rPr>
        <w:t>（</w:t>
      </w:r>
      <w:r>
        <w:rPr>
          <w:rFonts w:ascii="Times New Roman" w:eastAsia="Times New Roman"/>
          <w:b/>
          <w:spacing w:val="-10"/>
          <w:sz w:val="21"/>
        </w:rPr>
        <w:t>1</w:t>
      </w:r>
      <w:r>
        <w:rPr>
          <w:b/>
          <w:spacing w:val="-10"/>
          <w:sz w:val="21"/>
        </w:rPr>
        <w:t>）</w:t>
      </w:r>
      <w:r>
        <w:rPr>
          <w:b/>
          <w:spacing w:val="-6"/>
          <w:sz w:val="21"/>
        </w:rPr>
        <w:t>项情形导致被保险人身故，本合同效力终止，我们向被保险人继承人退还本合</w:t>
      </w:r>
      <w:r>
        <w:rPr>
          <w:b/>
          <w:spacing w:val="-1"/>
          <w:sz w:val="21"/>
        </w:rPr>
        <w:t>同的现金价值。</w:t>
      </w:r>
    </w:p>
    <w:p>
      <w:pPr>
        <w:spacing w:line="223" w:lineRule="auto" w:before="19"/>
        <w:ind w:left="102" w:right="147" w:firstLine="422"/>
        <w:jc w:val="left"/>
        <w:rPr>
          <w:b/>
          <w:sz w:val="21"/>
        </w:rPr>
      </w:pPr>
      <w:r>
        <w:rPr>
          <w:b/>
          <w:sz w:val="21"/>
        </w:rPr>
        <w:t>发生上述第（</w:t>
      </w:r>
      <w:r>
        <w:rPr>
          <w:rFonts w:ascii="Times New Roman" w:eastAsia="Times New Roman"/>
          <w:b/>
          <w:sz w:val="21"/>
        </w:rPr>
        <w:t>1</w:t>
      </w:r>
      <w:r>
        <w:rPr>
          <w:b/>
          <w:sz w:val="21"/>
        </w:rPr>
        <w:t>）项情形导致被保险人患有本合同第 </w:t>
      </w:r>
      <w:r>
        <w:rPr>
          <w:rFonts w:ascii="Times New Roman" w:eastAsia="Times New Roman"/>
          <w:b/>
          <w:sz w:val="21"/>
        </w:rPr>
        <w:t>11 </w:t>
      </w:r>
      <w:r>
        <w:rPr>
          <w:b/>
          <w:sz w:val="21"/>
        </w:rPr>
        <w:t>条约定的重大疾病，本合同效力终止， 我们向被保险人退还本合同的现金价值。</w:t>
      </w:r>
    </w:p>
    <w:p>
      <w:pPr>
        <w:spacing w:line="223" w:lineRule="auto" w:before="19"/>
        <w:ind w:left="102" w:right="51" w:firstLine="422"/>
        <w:jc w:val="left"/>
        <w:rPr>
          <w:b/>
          <w:sz w:val="21"/>
        </w:rPr>
      </w:pPr>
      <w:r>
        <w:rPr>
          <w:b/>
          <w:sz w:val="21"/>
        </w:rPr>
        <w:t>发生上述其他情形导致被保险人身故或患有本合同第 </w:t>
      </w:r>
      <w:r>
        <w:rPr>
          <w:rFonts w:ascii="Times New Roman" w:eastAsia="Times New Roman"/>
          <w:b/>
          <w:sz w:val="21"/>
        </w:rPr>
        <w:t>11 </w:t>
      </w:r>
      <w:r>
        <w:rPr>
          <w:b/>
          <w:sz w:val="21"/>
        </w:rPr>
        <w:t>条约定的重大疾病，本合同效力终止， 我们向您退还本合同的现金价值。</w:t>
      </w:r>
    </w:p>
    <w:p>
      <w:pPr>
        <w:spacing w:line="223" w:lineRule="auto" w:before="19"/>
        <w:ind w:left="102" w:right="206" w:firstLine="422"/>
        <w:jc w:val="left"/>
        <w:rPr>
          <w:b/>
          <w:sz w:val="21"/>
        </w:rPr>
      </w:pPr>
      <w:r>
        <w:rPr>
          <w:b/>
          <w:spacing w:val="-5"/>
          <w:sz w:val="21"/>
        </w:rPr>
        <w:t>发生上述情形导致被保险人患有本合同第 </w:t>
      </w:r>
      <w:r>
        <w:rPr>
          <w:rFonts w:ascii="Times New Roman" w:eastAsia="Times New Roman"/>
          <w:b/>
          <w:sz w:val="21"/>
        </w:rPr>
        <w:t>10 </w:t>
      </w:r>
      <w:r>
        <w:rPr>
          <w:b/>
          <w:spacing w:val="-10"/>
          <w:sz w:val="21"/>
        </w:rPr>
        <w:t>条约定的轻症疾病，我们不承担给付轻症疾病保险</w:t>
      </w:r>
      <w:r>
        <w:rPr>
          <w:b/>
          <w:spacing w:val="-9"/>
          <w:sz w:val="21"/>
        </w:rPr>
        <w:t>金的责任，也不承担豁免保险费的责任，本合同继续有效。</w:t>
      </w:r>
    </w:p>
    <w:p>
      <w:pPr>
        <w:pStyle w:val="BodyText"/>
        <w:spacing w:before="10"/>
        <w:rPr>
          <w:b/>
          <w:sz w:val="17"/>
        </w:rPr>
      </w:pPr>
    </w:p>
    <w:p>
      <w:pPr>
        <w:pStyle w:val="ListParagraph"/>
        <w:numPr>
          <w:ilvl w:val="0"/>
          <w:numId w:val="2"/>
        </w:numPr>
        <w:tabs>
          <w:tab w:pos="1064" w:val="left" w:leader="none"/>
          <w:tab w:pos="1065" w:val="left" w:leader="none"/>
        </w:tabs>
        <w:spacing w:line="325" w:lineRule="exact" w:before="0" w:after="0"/>
        <w:ind w:left="1064" w:right="0" w:hanging="480"/>
        <w:jc w:val="left"/>
        <w:rPr>
          <w:b/>
          <w:sz w:val="24"/>
        </w:rPr>
      </w:pPr>
      <w:r>
        <w:rPr>
          <w:b/>
          <w:sz w:val="24"/>
        </w:rPr>
        <w:t>保险金的申请</w:t>
      </w:r>
    </w:p>
    <w:p>
      <w:pPr>
        <w:pStyle w:val="ListParagraph"/>
        <w:numPr>
          <w:ilvl w:val="1"/>
          <w:numId w:val="2"/>
        </w:numPr>
        <w:tabs>
          <w:tab w:pos="994" w:val="left" w:leader="none"/>
          <w:tab w:pos="995" w:val="left" w:leader="none"/>
        </w:tabs>
        <w:spacing w:line="274" w:lineRule="exact" w:before="0" w:after="0"/>
        <w:ind w:left="994" w:right="0" w:hanging="472"/>
        <w:jc w:val="left"/>
        <w:rPr>
          <w:b/>
          <w:sz w:val="21"/>
        </w:rPr>
      </w:pPr>
      <w:r>
        <w:rPr>
          <w:b/>
          <w:sz w:val="21"/>
        </w:rPr>
        <w:t>受益人</w:t>
      </w:r>
    </w:p>
    <w:p>
      <w:pPr>
        <w:pStyle w:val="BodyText"/>
        <w:spacing w:line="264" w:lineRule="exact"/>
        <w:ind w:left="521"/>
      </w:pPr>
      <w:r>
        <w:rPr/>
        <w:t>您或者被保险人可以指定一人或多人为身故保险金受益人。</w:t>
      </w:r>
    </w:p>
    <w:p>
      <w:pPr>
        <w:pStyle w:val="BodyText"/>
        <w:spacing w:line="237" w:lineRule="auto" w:before="2"/>
        <w:ind w:left="102" w:right="245" w:firstLine="419"/>
      </w:pPr>
      <w:r>
        <w:rPr/>
        <w:t>身故保险金受益人为多人时，可以确定受益顺序和受益份额；如果没有确定份额，各受益人按照相等份额享有受益权。</w:t>
      </w:r>
    </w:p>
    <w:p>
      <w:pPr>
        <w:pStyle w:val="BodyText"/>
        <w:spacing w:line="272" w:lineRule="exact"/>
        <w:ind w:left="521"/>
      </w:pPr>
      <w:r>
        <w:rPr/>
        <w:t>被保险人为无民事行为能力或限制民事行为能力人的，可以由其监护人指定受益人。</w:t>
      </w:r>
    </w:p>
    <w:p>
      <w:pPr>
        <w:pStyle w:val="BodyText"/>
        <w:spacing w:line="237" w:lineRule="auto" w:before="1"/>
        <w:ind w:left="102" w:right="244" w:firstLine="419"/>
        <w:jc w:val="both"/>
      </w:pPr>
      <w:r>
        <w:rPr/>
        <w:t>您或者被保险人可以变更身故保险金受益人并书面通知我们。我们收到变更受益人的书面通知后，在保险单或其他保险凭证上批注或附贴批单。您在指定和变更身故保险金受益人时，必须经过被保险人同意。</w:t>
      </w:r>
    </w:p>
    <w:p>
      <w:pPr>
        <w:pStyle w:val="BodyText"/>
        <w:spacing w:line="237" w:lineRule="auto" w:before="1"/>
        <w:ind w:left="102" w:right="245" w:firstLine="419"/>
      </w:pPr>
      <w:r>
        <w:rPr/>
        <w:t>被保险人身故后，有下列情形之一的，保险金作为被保险人的遗产，由我们依照《中华人民共和国继承法》的规定履行给付保险金的义务：</w:t>
      </w:r>
    </w:p>
    <w:p>
      <w:pPr>
        <w:pStyle w:val="BodyText"/>
        <w:spacing w:line="280" w:lineRule="exact"/>
        <w:ind w:left="521"/>
      </w:pPr>
      <w:r>
        <w:rPr/>
        <w:t>（</w:t>
      </w:r>
      <w:r>
        <w:rPr>
          <w:rFonts w:ascii="Times New Roman" w:eastAsia="Times New Roman"/>
        </w:rPr>
        <w:t>1</w:t>
      </w:r>
      <w:r>
        <w:rPr/>
        <w:t>）没有指定受益人，或者受益人指定不明无法确定的；</w:t>
      </w:r>
    </w:p>
    <w:p>
      <w:pPr>
        <w:pStyle w:val="BodyText"/>
        <w:spacing w:line="272" w:lineRule="exact"/>
        <w:ind w:left="521"/>
      </w:pPr>
      <w:r>
        <w:rPr/>
        <w:t>（</w:t>
      </w:r>
      <w:r>
        <w:rPr>
          <w:rFonts w:ascii="Times New Roman" w:eastAsia="Times New Roman"/>
        </w:rPr>
        <w:t>2</w:t>
      </w:r>
      <w:r>
        <w:rPr/>
        <w:t>）受益人先于被保险人身故，没有其他受益人的；</w:t>
      </w:r>
    </w:p>
    <w:p>
      <w:pPr>
        <w:pStyle w:val="BodyText"/>
        <w:spacing w:line="272" w:lineRule="exact"/>
        <w:ind w:left="521"/>
      </w:pPr>
      <w:r>
        <w:rPr/>
        <w:t>（</w:t>
      </w:r>
      <w:r>
        <w:rPr>
          <w:rFonts w:ascii="Times New Roman" w:eastAsia="Times New Roman"/>
        </w:rPr>
        <w:t>3</w:t>
      </w:r>
      <w:r>
        <w:rPr/>
        <w:t>）受益人依法丧失受益权或者放弃受益权，没有其他受益人的。</w:t>
      </w:r>
    </w:p>
    <w:p>
      <w:pPr>
        <w:spacing w:line="240" w:lineRule="auto" w:before="0"/>
        <w:ind w:left="514" w:right="453" w:firstLine="7"/>
        <w:jc w:val="left"/>
        <w:rPr>
          <w:b/>
          <w:sz w:val="21"/>
        </w:rPr>
      </w:pPr>
      <w:r>
        <w:rPr>
          <w:sz w:val="21"/>
        </w:rPr>
        <w:t>受益人与被保险人在同一事件中身故，且不能确定身故先后顺序的，推定受益人身故在先。</w:t>
      </w:r>
      <w:r>
        <w:rPr>
          <w:b/>
          <w:sz w:val="21"/>
        </w:rPr>
        <w:t>受益人故意造成被保险人身故的，或者故意杀害被保险人未遂的，该受益人丧失受益权。</w:t>
      </w:r>
    </w:p>
    <w:p>
      <w:pPr>
        <w:pStyle w:val="BodyText"/>
        <w:spacing w:before="7"/>
        <w:rPr>
          <w:b/>
        </w:rPr>
      </w:pPr>
    </w:p>
    <w:p>
      <w:pPr>
        <w:pStyle w:val="BodyText"/>
        <w:ind w:left="521"/>
      </w:pPr>
      <w:r>
        <w:rPr/>
        <w:t>除另有约定外，轻症疾病保险金和重大疾病保险金受益人为被保险人本人。</w:t>
      </w:r>
    </w:p>
    <w:p>
      <w:pPr>
        <w:pStyle w:val="BodyText"/>
        <w:spacing w:before="3"/>
        <w:rPr>
          <w:sz w:val="18"/>
        </w:rPr>
      </w:pPr>
    </w:p>
    <w:p>
      <w:pPr>
        <w:pStyle w:val="Heading2"/>
        <w:numPr>
          <w:ilvl w:val="1"/>
          <w:numId w:val="2"/>
        </w:numPr>
        <w:tabs>
          <w:tab w:pos="994" w:val="left" w:leader="none"/>
          <w:tab w:pos="995" w:val="left" w:leader="none"/>
        </w:tabs>
        <w:spacing w:line="282" w:lineRule="exact" w:before="0" w:after="0"/>
        <w:ind w:left="994" w:right="0" w:hanging="472"/>
        <w:jc w:val="left"/>
      </w:pPr>
      <w:r>
        <w:rPr/>
        <w:t>保险事故通知</w:t>
      </w:r>
    </w:p>
    <w:p>
      <w:pPr>
        <w:pStyle w:val="BodyText"/>
        <w:spacing w:line="273" w:lineRule="exact"/>
        <w:ind w:left="521"/>
      </w:pPr>
      <w:r>
        <w:rPr/>
        <w:t>您或受益人知道保险事故后应当在</w:t>
      </w:r>
      <w:r>
        <w:rPr>
          <w:rFonts w:ascii="Times New Roman" w:eastAsia="Times New Roman"/>
        </w:rPr>
        <w:t>10</w:t>
      </w:r>
      <w:r>
        <w:rPr/>
        <w:t>日内通知我们。</w:t>
      </w:r>
    </w:p>
    <w:p>
      <w:pPr>
        <w:pStyle w:val="BodyText"/>
        <w:spacing w:line="237" w:lineRule="auto"/>
        <w:ind w:left="102" w:right="207" w:firstLine="419"/>
        <w:jc w:val="both"/>
      </w:pPr>
      <w:r>
        <w:rPr/>
        <w:t>如果您或受益人故意或者因重大过失未及时通知，致使保险事故的性质、原因、损失程度等难以确定的，我们对无法确定的部分，不承担给付保险金的责任，但我们通过其他途径已经及时知道或者应当及时知道保险事故发生或者虽未及时通知但不影响我们确定保险事故的性质、原因、损失程度的除外。</w:t>
      </w:r>
    </w:p>
    <w:p>
      <w:pPr>
        <w:spacing w:after="0" w:line="237" w:lineRule="auto"/>
        <w:jc w:val="both"/>
        <w:sectPr>
          <w:pgSz w:w="11910" w:h="16840"/>
          <w:pgMar w:header="0" w:footer="1239" w:top="1060" w:bottom="1420" w:left="1600" w:right="920"/>
        </w:sectPr>
      </w:pPr>
    </w:p>
    <w:p>
      <w:pPr>
        <w:pStyle w:val="Heading2"/>
        <w:numPr>
          <w:ilvl w:val="1"/>
          <w:numId w:val="2"/>
        </w:numPr>
        <w:tabs>
          <w:tab w:pos="993" w:val="left" w:leader="none"/>
          <w:tab w:pos="994" w:val="left" w:leader="none"/>
        </w:tabs>
        <w:spacing w:line="282" w:lineRule="exact" w:before="20" w:after="0"/>
        <w:ind w:left="994" w:right="0" w:hanging="473"/>
        <w:jc w:val="left"/>
      </w:pPr>
      <w:r>
        <w:rPr/>
        <w:t>保险金的申请</w:t>
      </w:r>
    </w:p>
    <w:p>
      <w:pPr>
        <w:pStyle w:val="ListParagraph"/>
        <w:numPr>
          <w:ilvl w:val="2"/>
          <w:numId w:val="2"/>
        </w:numPr>
        <w:tabs>
          <w:tab w:pos="1059" w:val="left" w:leader="none"/>
        </w:tabs>
        <w:spacing w:line="273" w:lineRule="exact" w:before="0" w:after="0"/>
        <w:ind w:left="1058" w:right="0" w:hanging="525"/>
        <w:jc w:val="left"/>
        <w:rPr>
          <w:sz w:val="21"/>
        </w:rPr>
      </w:pPr>
      <w:r>
        <w:rPr>
          <w:spacing w:val="-3"/>
          <w:sz w:val="21"/>
        </w:rPr>
        <w:t>轻症疾病保险金及重大疾病保险金的申请</w:t>
      </w:r>
    </w:p>
    <w:p>
      <w:pPr>
        <w:pStyle w:val="BodyText"/>
        <w:ind w:left="112" w:right="118" w:firstLine="420"/>
      </w:pPr>
      <w:r>
        <w:rPr/>
        <w:t>申请轻症疾病保险金和重大疾病保险金时，申请人须填写保险金给付申请书，并须提供下列证明和资料：</w:t>
      </w:r>
    </w:p>
    <w:p>
      <w:pPr>
        <w:pStyle w:val="ListParagraph"/>
        <w:numPr>
          <w:ilvl w:val="0"/>
          <w:numId w:val="4"/>
        </w:numPr>
        <w:tabs>
          <w:tab w:pos="1107" w:val="left" w:leader="none"/>
        </w:tabs>
        <w:spacing w:line="279" w:lineRule="exact" w:before="9" w:after="0"/>
        <w:ind w:left="1106" w:right="0" w:hanging="573"/>
        <w:jc w:val="left"/>
        <w:rPr>
          <w:sz w:val="21"/>
        </w:rPr>
      </w:pPr>
      <w:r>
        <w:rPr>
          <w:spacing w:val="-1"/>
          <w:sz w:val="21"/>
        </w:rPr>
        <w:t>保险合同；</w:t>
      </w:r>
    </w:p>
    <w:p>
      <w:pPr>
        <w:pStyle w:val="ListParagraph"/>
        <w:numPr>
          <w:ilvl w:val="0"/>
          <w:numId w:val="4"/>
        </w:numPr>
        <w:tabs>
          <w:tab w:pos="1107" w:val="left" w:leader="none"/>
        </w:tabs>
        <w:spacing w:line="272" w:lineRule="exact" w:before="0" w:after="0"/>
        <w:ind w:left="1106" w:right="0" w:hanging="573"/>
        <w:jc w:val="left"/>
        <w:rPr>
          <w:sz w:val="21"/>
        </w:rPr>
      </w:pPr>
      <w:r>
        <w:rPr>
          <w:spacing w:val="-3"/>
          <w:sz w:val="21"/>
        </w:rPr>
        <w:t>申请人的有效身份证件；</w:t>
      </w:r>
    </w:p>
    <w:p>
      <w:pPr>
        <w:pStyle w:val="ListParagraph"/>
        <w:numPr>
          <w:ilvl w:val="0"/>
          <w:numId w:val="4"/>
        </w:numPr>
        <w:tabs>
          <w:tab w:pos="1107" w:val="left" w:leader="none"/>
        </w:tabs>
        <w:spacing w:line="272" w:lineRule="exact" w:before="0" w:after="0"/>
        <w:ind w:left="1106" w:right="0" w:hanging="566"/>
        <w:jc w:val="left"/>
        <w:rPr>
          <w:sz w:val="21"/>
        </w:rPr>
      </w:pPr>
      <w:r>
        <w:rPr>
          <w:b/>
          <w:spacing w:val="-1"/>
          <w:sz w:val="21"/>
        </w:rPr>
        <w:t>医院（</w:t>
      </w:r>
      <w:r>
        <w:rPr>
          <w:rFonts w:ascii="Times New Roman" w:eastAsia="Times New Roman"/>
          <w:b/>
          <w:spacing w:val="-1"/>
          <w:sz w:val="21"/>
        </w:rPr>
        <w:t>12.20</w:t>
      </w:r>
      <w:r>
        <w:rPr>
          <w:b/>
          <w:spacing w:val="-1"/>
          <w:sz w:val="21"/>
        </w:rPr>
        <w:t>）</w:t>
      </w:r>
      <w:r>
        <w:rPr>
          <w:spacing w:val="-3"/>
          <w:sz w:val="21"/>
        </w:rPr>
        <w:t>出具的诊断证明、病历及检查报告；</w:t>
      </w:r>
    </w:p>
    <w:p>
      <w:pPr>
        <w:pStyle w:val="ListParagraph"/>
        <w:numPr>
          <w:ilvl w:val="0"/>
          <w:numId w:val="4"/>
        </w:numPr>
        <w:tabs>
          <w:tab w:pos="1107" w:val="left" w:leader="none"/>
        </w:tabs>
        <w:spacing w:line="282" w:lineRule="exact" w:before="0" w:after="0"/>
        <w:ind w:left="1106" w:right="0" w:hanging="573"/>
        <w:jc w:val="left"/>
        <w:rPr>
          <w:sz w:val="21"/>
        </w:rPr>
      </w:pPr>
      <w:r>
        <w:rPr>
          <w:spacing w:val="-3"/>
          <w:sz w:val="21"/>
        </w:rPr>
        <w:t>所能提供的与确认保险事故的性质、原因等有关的其他证明和资料。</w:t>
      </w:r>
    </w:p>
    <w:p>
      <w:pPr>
        <w:pStyle w:val="BodyText"/>
        <w:rPr>
          <w:sz w:val="17"/>
        </w:rPr>
      </w:pPr>
    </w:p>
    <w:p>
      <w:pPr>
        <w:pStyle w:val="Heading2"/>
        <w:numPr>
          <w:ilvl w:val="2"/>
          <w:numId w:val="2"/>
        </w:numPr>
        <w:tabs>
          <w:tab w:pos="1059" w:val="left" w:leader="none"/>
        </w:tabs>
        <w:spacing w:line="281" w:lineRule="exact" w:before="0" w:after="0"/>
        <w:ind w:left="1058" w:right="0" w:hanging="525"/>
        <w:jc w:val="left"/>
      </w:pPr>
      <w:r>
        <w:rPr/>
        <w:t>身故保险金的申请</w:t>
      </w:r>
    </w:p>
    <w:p>
      <w:pPr>
        <w:pStyle w:val="BodyText"/>
        <w:spacing w:line="264" w:lineRule="exact"/>
        <w:ind w:left="533"/>
      </w:pPr>
      <w:r>
        <w:rPr/>
        <w:t>申请身故保险金时，申请人须填写保险金给付申请书，并须提供下列证明和资料：</w:t>
      </w:r>
    </w:p>
    <w:p>
      <w:pPr>
        <w:pStyle w:val="ListParagraph"/>
        <w:numPr>
          <w:ilvl w:val="0"/>
          <w:numId w:val="5"/>
        </w:numPr>
        <w:tabs>
          <w:tab w:pos="1107" w:val="left" w:leader="none"/>
        </w:tabs>
        <w:spacing w:line="280" w:lineRule="exact" w:before="0" w:after="0"/>
        <w:ind w:left="953" w:right="0" w:hanging="420"/>
        <w:jc w:val="left"/>
        <w:rPr>
          <w:sz w:val="21"/>
        </w:rPr>
      </w:pPr>
      <w:r>
        <w:rPr>
          <w:spacing w:val="-1"/>
          <w:sz w:val="21"/>
        </w:rPr>
        <w:t>保险合同；</w:t>
      </w:r>
    </w:p>
    <w:p>
      <w:pPr>
        <w:pStyle w:val="ListParagraph"/>
        <w:numPr>
          <w:ilvl w:val="0"/>
          <w:numId w:val="5"/>
        </w:numPr>
        <w:tabs>
          <w:tab w:pos="1107" w:val="left" w:leader="none"/>
        </w:tabs>
        <w:spacing w:line="272" w:lineRule="exact" w:before="0" w:after="0"/>
        <w:ind w:left="953" w:right="0" w:hanging="420"/>
        <w:jc w:val="left"/>
        <w:rPr>
          <w:sz w:val="21"/>
        </w:rPr>
      </w:pPr>
      <w:r>
        <w:rPr>
          <w:spacing w:val="-3"/>
          <w:sz w:val="21"/>
        </w:rPr>
        <w:t>申请人的有效身份证件；</w:t>
      </w:r>
    </w:p>
    <w:p>
      <w:pPr>
        <w:pStyle w:val="ListParagraph"/>
        <w:numPr>
          <w:ilvl w:val="0"/>
          <w:numId w:val="5"/>
        </w:numPr>
        <w:tabs>
          <w:tab w:pos="1107" w:val="left" w:leader="none"/>
        </w:tabs>
        <w:spacing w:line="223" w:lineRule="auto" w:before="12" w:after="0"/>
        <w:ind w:left="953" w:right="209" w:hanging="420"/>
        <w:jc w:val="left"/>
        <w:rPr>
          <w:sz w:val="21"/>
        </w:rPr>
      </w:pPr>
      <w:r>
        <w:rPr>
          <w:spacing w:val="-3"/>
          <w:sz w:val="21"/>
        </w:rPr>
        <w:t>国家卫生行政部门认定的医疗机构、公安部门或其他相关机构出具的被保险人的死亡证明；</w:t>
      </w:r>
    </w:p>
    <w:p>
      <w:pPr>
        <w:pStyle w:val="ListParagraph"/>
        <w:numPr>
          <w:ilvl w:val="0"/>
          <w:numId w:val="5"/>
        </w:numPr>
        <w:tabs>
          <w:tab w:pos="1107" w:val="left" w:leader="none"/>
        </w:tabs>
        <w:spacing w:line="223" w:lineRule="auto" w:before="18" w:after="0"/>
        <w:ind w:left="533" w:right="1834" w:firstLine="0"/>
        <w:jc w:val="left"/>
        <w:rPr>
          <w:sz w:val="21"/>
        </w:rPr>
      </w:pPr>
      <w:r>
        <w:rPr>
          <w:spacing w:val="-3"/>
          <w:sz w:val="21"/>
        </w:rPr>
        <w:t>所能提供的与确认保险事故的性质、原因等有关的其他证明和资料。保险金作为被保险人遗产时，必须提供可证明合法继承权的相关权利文件。</w:t>
      </w:r>
    </w:p>
    <w:p>
      <w:pPr>
        <w:pStyle w:val="BodyText"/>
        <w:spacing w:before="2"/>
        <w:rPr>
          <w:sz w:val="18"/>
        </w:rPr>
      </w:pPr>
    </w:p>
    <w:p>
      <w:pPr>
        <w:pStyle w:val="BodyText"/>
        <w:ind w:left="533"/>
      </w:pPr>
      <w:r>
        <w:rPr/>
        <w:t>以上申请资料和证明不完整的，我们将及时一次性通知申请人补充提供有关资料和证明。</w:t>
      </w:r>
    </w:p>
    <w:p>
      <w:pPr>
        <w:pStyle w:val="BodyText"/>
        <w:spacing w:before="2"/>
        <w:rPr>
          <w:sz w:val="18"/>
        </w:rPr>
      </w:pPr>
    </w:p>
    <w:p>
      <w:pPr>
        <w:pStyle w:val="Heading2"/>
        <w:numPr>
          <w:ilvl w:val="1"/>
          <w:numId w:val="2"/>
        </w:numPr>
        <w:tabs>
          <w:tab w:pos="1010" w:val="left" w:leader="none"/>
          <w:tab w:pos="1011" w:val="left" w:leader="none"/>
        </w:tabs>
        <w:spacing w:line="282" w:lineRule="exact" w:before="0" w:after="0"/>
        <w:ind w:left="1010" w:right="0" w:hanging="472"/>
        <w:jc w:val="left"/>
      </w:pPr>
      <w:r>
        <w:rPr/>
        <w:t>司法鉴定</w:t>
      </w:r>
    </w:p>
    <w:p>
      <w:pPr>
        <w:pStyle w:val="BodyText"/>
        <w:spacing w:line="237" w:lineRule="auto"/>
        <w:ind w:left="112" w:right="149" w:firstLine="425"/>
      </w:pPr>
      <w:r>
        <w:rPr/>
        <w:t>保险事故发生后，我们有权要求进行尸检或要求司法鉴定机构或医疗机构对保险事故及被保险人身体机能状况进行鉴定，费用由我们承担。</w:t>
      </w:r>
    </w:p>
    <w:p>
      <w:pPr>
        <w:pStyle w:val="BodyText"/>
        <w:spacing w:before="9"/>
        <w:rPr>
          <w:sz w:val="18"/>
        </w:rPr>
      </w:pPr>
    </w:p>
    <w:p>
      <w:pPr>
        <w:pStyle w:val="Heading2"/>
        <w:numPr>
          <w:ilvl w:val="1"/>
          <w:numId w:val="2"/>
        </w:numPr>
        <w:tabs>
          <w:tab w:pos="1005" w:val="left" w:leader="none"/>
          <w:tab w:pos="1006" w:val="left" w:leader="none"/>
        </w:tabs>
        <w:spacing w:line="282" w:lineRule="exact" w:before="0" w:after="0"/>
        <w:ind w:left="1006" w:right="0" w:hanging="473"/>
        <w:jc w:val="left"/>
      </w:pPr>
      <w:r>
        <w:rPr/>
        <w:t>保险金的给付</w:t>
      </w:r>
    </w:p>
    <w:p>
      <w:pPr>
        <w:pStyle w:val="BodyText"/>
        <w:spacing w:line="272" w:lineRule="exact"/>
        <w:ind w:left="533"/>
      </w:pPr>
      <w:r>
        <w:rPr/>
        <w:t>我们在收到保险金给付申请书及上述有关证明和资料后，将在</w:t>
      </w:r>
      <w:r>
        <w:rPr>
          <w:rFonts w:ascii="Times New Roman" w:eastAsia="Times New Roman"/>
        </w:rPr>
        <w:t>5</w:t>
      </w:r>
      <w:r>
        <w:rPr/>
        <w:t>日内作出核定；情形复杂的，在</w:t>
      </w:r>
    </w:p>
    <w:p>
      <w:pPr>
        <w:pStyle w:val="BodyText"/>
        <w:spacing w:line="272" w:lineRule="exact"/>
        <w:ind w:left="112"/>
      </w:pPr>
      <w:r>
        <w:rPr>
          <w:rFonts w:ascii="Times New Roman" w:eastAsia="Times New Roman"/>
        </w:rPr>
        <w:t>30</w:t>
      </w:r>
      <w:r>
        <w:rPr/>
        <w:t>日内作出核定。</w:t>
      </w:r>
    </w:p>
    <w:p>
      <w:pPr>
        <w:pStyle w:val="BodyText"/>
        <w:spacing w:line="228" w:lineRule="auto" w:before="5"/>
        <w:ind w:left="112" w:right="153" w:firstLine="420"/>
        <w:jc w:val="both"/>
      </w:pPr>
      <w:r>
        <w:rPr/>
        <w:t>对属于保险责任的，我们在与受益人达成给付保险金的协议后</w:t>
      </w:r>
      <w:r>
        <w:rPr>
          <w:rFonts w:ascii="Times New Roman" w:eastAsia="Times New Roman"/>
        </w:rPr>
        <w:t>10</w:t>
      </w:r>
      <w:r>
        <w:rPr/>
        <w:t>日内，履行给付保险金义务； 若我们在收到保险金给付申请书及上述有关证明和资料后第</w:t>
      </w:r>
      <w:r>
        <w:rPr>
          <w:rFonts w:ascii="Times New Roman" w:eastAsia="Times New Roman"/>
        </w:rPr>
        <w:t>30</w:t>
      </w:r>
      <w:r>
        <w:rPr/>
        <w:t>日仍未作出核定，除支付保险金外， 我们将从第</w:t>
      </w:r>
      <w:r>
        <w:rPr>
          <w:rFonts w:ascii="Times New Roman" w:eastAsia="Times New Roman"/>
        </w:rPr>
        <w:t>31</w:t>
      </w:r>
      <w:r>
        <w:rPr/>
        <w:t>日起按超过天数赔偿受益人因此受到的利息损失。利息按照中国人民银行公布的同期金融机构人民币一年期定期存款利率单利计算。若我们要求投保人、被保险人或者受益人补充提供有关证明和资料的，则上述的</w:t>
      </w:r>
      <w:r>
        <w:rPr>
          <w:rFonts w:ascii="Times New Roman" w:eastAsia="Times New Roman"/>
        </w:rPr>
        <w:t>30</w:t>
      </w:r>
      <w:r>
        <w:rPr/>
        <w:t>日不包括补充提供有关证明和资料的期间。</w:t>
      </w:r>
    </w:p>
    <w:p>
      <w:pPr>
        <w:pStyle w:val="BodyText"/>
        <w:spacing w:line="225" w:lineRule="auto"/>
        <w:ind w:left="112" w:right="115" w:firstLine="420"/>
      </w:pPr>
      <w:r>
        <w:rPr>
          <w:spacing w:val="-10"/>
        </w:rPr>
        <w:t>对不属于保险责任的，我们自作出核定之日起</w:t>
      </w:r>
      <w:r>
        <w:rPr>
          <w:rFonts w:ascii="Times New Roman" w:eastAsia="Times New Roman"/>
          <w:spacing w:val="-3"/>
        </w:rPr>
        <w:t>3</w:t>
      </w:r>
      <w:r>
        <w:rPr>
          <w:spacing w:val="-3"/>
        </w:rPr>
        <w:t>日内向受益人发出拒绝给付保险金通知书并说明理由。</w:t>
      </w:r>
    </w:p>
    <w:p>
      <w:pPr>
        <w:pStyle w:val="BodyText"/>
        <w:spacing w:line="230" w:lineRule="auto" w:before="10"/>
        <w:ind w:left="112" w:right="153" w:firstLine="420"/>
        <w:jc w:val="both"/>
      </w:pPr>
      <w:r>
        <w:rPr/>
        <w:t>我们在收到保险金给付申请书及有关证明和资料之日起</w:t>
      </w:r>
      <w:r>
        <w:rPr>
          <w:rFonts w:ascii="Times New Roman" w:eastAsia="Times New Roman"/>
        </w:rPr>
        <w:t>60</w:t>
      </w:r>
      <w:r>
        <w:rPr/>
        <w:t>日内，对给付保险金的数额不能确定的，根据已有证明和资料可以确定的数额先予支付；我们最终确定给付保险金的数额后，将支付相应的差额。</w:t>
      </w:r>
    </w:p>
    <w:p>
      <w:pPr>
        <w:pStyle w:val="BodyText"/>
        <w:spacing w:before="2"/>
        <w:rPr>
          <w:sz w:val="18"/>
        </w:rPr>
      </w:pPr>
    </w:p>
    <w:p>
      <w:pPr>
        <w:pStyle w:val="Heading2"/>
        <w:numPr>
          <w:ilvl w:val="1"/>
          <w:numId w:val="2"/>
        </w:numPr>
        <w:tabs>
          <w:tab w:pos="1005" w:val="left" w:leader="none"/>
          <w:tab w:pos="1006" w:val="left" w:leader="none"/>
        </w:tabs>
        <w:spacing w:line="282" w:lineRule="exact" w:before="1" w:after="0"/>
        <w:ind w:left="1006" w:right="0" w:hanging="473"/>
        <w:jc w:val="left"/>
      </w:pPr>
      <w:r>
        <w:rPr/>
        <w:t>宣告死亡处理</w:t>
      </w:r>
    </w:p>
    <w:p>
      <w:pPr>
        <w:pStyle w:val="BodyText"/>
        <w:spacing w:line="237" w:lineRule="auto"/>
        <w:ind w:left="112" w:right="148" w:firstLine="425"/>
      </w:pPr>
      <w:r>
        <w:rPr/>
        <w:t>如果被保险人在本合同有效期内失踪，而且被法院宣告死亡，我们将根据法院宣告被保险人死亡之日的年龄按本合同</w:t>
      </w:r>
      <w:r>
        <w:rPr>
          <w:rFonts w:ascii="Times New Roman" w:eastAsia="Times New Roman"/>
        </w:rPr>
        <w:t>2.4</w:t>
      </w:r>
      <w:r>
        <w:rPr/>
        <w:t>款处理，同时本合同效力终止。</w:t>
      </w:r>
    </w:p>
    <w:p>
      <w:pPr>
        <w:pStyle w:val="BodyText"/>
        <w:spacing w:line="272" w:lineRule="exact" w:before="16"/>
        <w:ind w:left="112" w:right="153" w:firstLine="420"/>
      </w:pPr>
      <w:r>
        <w:rPr/>
        <w:t>如果被保险人在宣告死亡后重新出现或者确知其没有死亡，受益人或者其他领取保险金的人应于知道后</w:t>
      </w:r>
      <w:r>
        <w:rPr>
          <w:rFonts w:ascii="Times New Roman" w:eastAsia="Times New Roman"/>
        </w:rPr>
        <w:t>30</w:t>
      </w:r>
      <w:r>
        <w:rPr/>
        <w:t>日内向我们退还已给付的保险金，本合同的效力由我们与您依法协商处理。</w:t>
      </w:r>
    </w:p>
    <w:p>
      <w:pPr>
        <w:pStyle w:val="BodyText"/>
        <w:spacing w:before="4"/>
        <w:rPr>
          <w:sz w:val="16"/>
        </w:rPr>
      </w:pPr>
    </w:p>
    <w:p>
      <w:pPr>
        <w:pStyle w:val="Heading2"/>
        <w:numPr>
          <w:ilvl w:val="1"/>
          <w:numId w:val="2"/>
        </w:numPr>
        <w:tabs>
          <w:tab w:pos="1005" w:val="left" w:leader="none"/>
          <w:tab w:pos="1006" w:val="left" w:leader="none"/>
        </w:tabs>
        <w:spacing w:line="282" w:lineRule="exact" w:before="0" w:after="0"/>
        <w:ind w:left="1006" w:right="0" w:hanging="473"/>
        <w:jc w:val="left"/>
      </w:pPr>
      <w:r>
        <w:rPr/>
        <w:t>诉讼时效</w:t>
      </w:r>
    </w:p>
    <w:p>
      <w:pPr>
        <w:pStyle w:val="BodyText"/>
        <w:spacing w:line="223" w:lineRule="auto" w:before="12"/>
        <w:ind w:left="112" w:right="113" w:firstLine="420"/>
      </w:pPr>
      <w:r>
        <w:rPr/>
        <w:t>受益人及其他有权领取保险金的人向我们请求给付保险金的诉讼时效期间为 </w:t>
      </w:r>
      <w:r>
        <w:rPr>
          <w:rFonts w:ascii="Times New Roman" w:eastAsia="Times New Roman"/>
        </w:rPr>
        <w:t>2 </w:t>
      </w:r>
      <w:r>
        <w:rPr/>
        <w:t>年，自其知道或者应当知道保险事故发生之日起计算。</w:t>
      </w:r>
    </w:p>
    <w:p>
      <w:pPr>
        <w:pStyle w:val="BodyText"/>
        <w:spacing w:before="10"/>
        <w:rPr>
          <w:sz w:val="17"/>
        </w:rPr>
      </w:pPr>
    </w:p>
    <w:p>
      <w:pPr>
        <w:pStyle w:val="Heading1"/>
        <w:numPr>
          <w:ilvl w:val="0"/>
          <w:numId w:val="2"/>
        </w:numPr>
        <w:tabs>
          <w:tab w:pos="1075" w:val="left" w:leader="none"/>
          <w:tab w:pos="1076" w:val="left" w:leader="none"/>
        </w:tabs>
        <w:spacing w:line="325" w:lineRule="exact" w:before="0" w:after="0"/>
        <w:ind w:left="1075" w:right="0" w:hanging="480"/>
        <w:jc w:val="left"/>
      </w:pPr>
      <w:r>
        <w:rPr/>
        <w:t>保险费的支付</w:t>
      </w:r>
    </w:p>
    <w:p>
      <w:pPr>
        <w:pStyle w:val="Heading2"/>
        <w:numPr>
          <w:ilvl w:val="1"/>
          <w:numId w:val="2"/>
        </w:numPr>
        <w:tabs>
          <w:tab w:pos="1005" w:val="left" w:leader="none"/>
          <w:tab w:pos="1006" w:val="left" w:leader="none"/>
        </w:tabs>
        <w:spacing w:line="275" w:lineRule="exact" w:before="0" w:after="0"/>
        <w:ind w:left="1006" w:right="0" w:hanging="473"/>
        <w:jc w:val="left"/>
      </w:pPr>
      <w:r>
        <w:rPr/>
        <w:t>保险费的支付</w:t>
      </w:r>
    </w:p>
    <w:p>
      <w:pPr>
        <w:pStyle w:val="BodyText"/>
        <w:spacing w:line="264" w:lineRule="exact"/>
        <w:ind w:left="540"/>
      </w:pPr>
      <w:r>
        <w:rPr/>
        <w:t>本合同保险费的支付方式和支付期限由您和我们约定并在保险单上载明。</w:t>
      </w:r>
    </w:p>
    <w:p>
      <w:pPr>
        <w:pStyle w:val="BodyText"/>
        <w:spacing w:line="273" w:lineRule="exact"/>
        <w:ind w:left="538"/>
      </w:pPr>
      <w:r>
        <w:rPr/>
        <w:t>分期支付的保险费，在支付首期保险费后，您应当在每个保险费约定支付日或之前支付当期保</w:t>
      </w:r>
    </w:p>
    <w:p>
      <w:pPr>
        <w:spacing w:after="0" w:line="273" w:lineRule="exact"/>
        <w:sectPr>
          <w:pgSz w:w="11910" w:h="16840"/>
          <w:pgMar w:header="0" w:footer="1239" w:top="1060" w:bottom="1420" w:left="1020" w:right="1580"/>
        </w:sectPr>
      </w:pPr>
    </w:p>
    <w:p>
      <w:pPr>
        <w:pStyle w:val="BodyText"/>
        <w:spacing w:before="20"/>
        <w:ind w:left="102"/>
      </w:pPr>
      <w:r>
        <w:rPr/>
        <w:t>险费。</w:t>
      </w:r>
    </w:p>
    <w:p>
      <w:pPr>
        <w:pStyle w:val="BodyText"/>
        <w:spacing w:before="5"/>
        <w:rPr>
          <w:sz w:val="18"/>
        </w:rPr>
      </w:pPr>
    </w:p>
    <w:p>
      <w:pPr>
        <w:pStyle w:val="Heading2"/>
        <w:numPr>
          <w:ilvl w:val="1"/>
          <w:numId w:val="2"/>
        </w:numPr>
        <w:tabs>
          <w:tab w:pos="994" w:val="left" w:leader="none"/>
          <w:tab w:pos="995" w:val="left" w:leader="none"/>
        </w:tabs>
        <w:spacing w:line="281" w:lineRule="exact" w:before="0" w:after="0"/>
        <w:ind w:left="994" w:right="0" w:hanging="472"/>
        <w:jc w:val="left"/>
      </w:pPr>
      <w:r>
        <w:rPr/>
        <w:t>保险费支付的宽限期</w:t>
      </w:r>
    </w:p>
    <w:p>
      <w:pPr>
        <w:pStyle w:val="BodyText"/>
        <w:spacing w:line="230" w:lineRule="auto" w:before="1"/>
        <w:ind w:left="102" w:right="240" w:firstLine="424"/>
        <w:jc w:val="both"/>
      </w:pPr>
      <w:r>
        <w:rPr/>
        <w:t>分期支付保险费的，您支付首期保险费后，除本合同另有约定外，如果您到期未支付保险费， 自保险费约定支付日的次日零时起</w:t>
      </w:r>
      <w:r>
        <w:rPr>
          <w:rFonts w:ascii="Times New Roman" w:eastAsia="Times New Roman"/>
        </w:rPr>
        <w:t>60</w:t>
      </w:r>
      <w:r>
        <w:rPr/>
        <w:t>日为宽限期。宽限期内发生的保险事故，我们仍会承担保险责任，但在给付保险金时会扣减您欠付的保险费。</w:t>
      </w:r>
    </w:p>
    <w:p>
      <w:pPr>
        <w:pStyle w:val="BodyText"/>
        <w:spacing w:line="271" w:lineRule="exact"/>
        <w:ind w:left="526"/>
      </w:pPr>
      <w:r>
        <w:rPr/>
        <w:t>如果您宽限期结束之后仍未支付保险费，则本合同自宽限期满的次日零时起效力中止。</w:t>
      </w:r>
    </w:p>
    <w:p>
      <w:pPr>
        <w:pStyle w:val="BodyText"/>
        <w:spacing w:before="5"/>
        <w:rPr>
          <w:sz w:val="18"/>
        </w:rPr>
      </w:pPr>
    </w:p>
    <w:p>
      <w:pPr>
        <w:pStyle w:val="Heading2"/>
        <w:numPr>
          <w:ilvl w:val="1"/>
          <w:numId w:val="2"/>
        </w:numPr>
        <w:tabs>
          <w:tab w:pos="994" w:val="left" w:leader="none"/>
          <w:tab w:pos="995" w:val="left" w:leader="none"/>
        </w:tabs>
        <w:spacing w:line="281" w:lineRule="exact" w:before="0" w:after="0"/>
        <w:ind w:left="994" w:right="0" w:hanging="472"/>
        <w:jc w:val="left"/>
      </w:pPr>
      <w:r>
        <w:rPr/>
        <w:t>保险费自动垫交</w:t>
      </w:r>
    </w:p>
    <w:p>
      <w:pPr>
        <w:pStyle w:val="BodyText"/>
        <w:spacing w:line="237" w:lineRule="auto"/>
        <w:ind w:left="102" w:right="240" w:firstLine="424"/>
        <w:jc w:val="both"/>
      </w:pPr>
      <w:r>
        <w:rPr>
          <w:spacing w:val="-3"/>
        </w:rPr>
        <w:t>您可以选择保险费自动垫交功能，即如果您在宽限期结束时仍未支付保险费，我们将以本合同的现金价值扣除您尚未偿还的各项欠款之后的余额自动垫交到期应付的保险费，本合同继续有效。所垫交的保险费视同贷款</w:t>
      </w:r>
      <w:r>
        <w:rPr/>
        <w:t>（</w:t>
      </w:r>
      <w:r>
        <w:rPr>
          <w:spacing w:val="-3"/>
        </w:rPr>
        <w:t>贷款利率参照</w:t>
      </w:r>
      <w:r>
        <w:rPr>
          <w:rFonts w:ascii="Times New Roman" w:eastAsia="Times New Roman"/>
        </w:rPr>
        <w:t>5.2</w:t>
      </w:r>
      <w:r>
        <w:rPr/>
        <w:t>款</w:t>
      </w:r>
      <w:r>
        <w:rPr>
          <w:spacing w:val="-106"/>
        </w:rPr>
        <w:t>）</w:t>
      </w:r>
      <w:r>
        <w:rPr/>
        <w:t>。</w:t>
      </w:r>
    </w:p>
    <w:p>
      <w:pPr>
        <w:pStyle w:val="BodyText"/>
        <w:spacing w:line="274" w:lineRule="exact" w:before="14"/>
        <w:ind w:left="102" w:right="32" w:firstLine="424"/>
      </w:pPr>
      <w:r>
        <w:rPr/>
        <w:t>当现金价值扣除各项欠款后的余额不足以垫交一期保险费的，我们将根据现金价值的余额计算本合同可以继续有效的天数，本合同在此期间继续有效。当现金价值余额为零时，本合同效力中止。</w:t>
      </w:r>
    </w:p>
    <w:p>
      <w:pPr>
        <w:pStyle w:val="BodyText"/>
        <w:spacing w:before="3"/>
        <w:rPr>
          <w:sz w:val="16"/>
        </w:rPr>
      </w:pPr>
    </w:p>
    <w:p>
      <w:pPr>
        <w:pStyle w:val="Heading2"/>
        <w:numPr>
          <w:ilvl w:val="1"/>
          <w:numId w:val="2"/>
        </w:numPr>
        <w:tabs>
          <w:tab w:pos="999" w:val="left" w:leader="none"/>
          <w:tab w:pos="1000" w:val="left" w:leader="none"/>
        </w:tabs>
        <w:spacing w:line="282" w:lineRule="exact" w:before="1" w:after="0"/>
        <w:ind w:left="999" w:right="0" w:hanging="473"/>
        <w:jc w:val="left"/>
      </w:pPr>
      <w:r>
        <w:rPr/>
        <w:t>减额交清保险</w:t>
      </w:r>
    </w:p>
    <w:p>
      <w:pPr>
        <w:pStyle w:val="BodyText"/>
        <w:spacing w:line="237" w:lineRule="auto"/>
        <w:ind w:left="102" w:right="240" w:firstLine="424"/>
        <w:jc w:val="both"/>
      </w:pPr>
      <w:r>
        <w:rPr/>
        <w:t>分期支付保险费的，在本合同有效期内，若本合同有现金价值，您可以以书面形式向我们申请将本合同变更为减额交清保险，您无需再支付任何保险费，本合同继续有效，其给付条件不变，给付金额以变更为减额交清保险后的基本保险金额为准。变更为减额交清保险后的基本保险金额以宽限期开始前一日本合同的现金价值余额计算得出。</w:t>
      </w:r>
    </w:p>
    <w:p>
      <w:pPr>
        <w:pStyle w:val="BodyText"/>
        <w:spacing w:line="271" w:lineRule="exact" w:before="5"/>
        <w:ind w:left="526"/>
      </w:pPr>
      <w:r>
        <w:rPr/>
        <w:t>变更为减额交清保险后的基本保险金额不得低于我们当时规定的最低保险金额。</w:t>
      </w:r>
    </w:p>
    <w:p>
      <w:pPr>
        <w:pStyle w:val="BodyText"/>
        <w:spacing w:line="237" w:lineRule="auto" w:before="1"/>
        <w:ind w:left="102" w:right="240" w:firstLine="424"/>
      </w:pPr>
      <w:r>
        <w:rPr/>
        <w:t>若您选择变更为减额交清保险，您附加的其他所有附加险即刻终止，同时我们退还申请减额交清时所有附加险的现金价值。</w:t>
      </w:r>
    </w:p>
    <w:p>
      <w:pPr>
        <w:pStyle w:val="BodyText"/>
        <w:spacing w:before="6"/>
        <w:rPr>
          <w:sz w:val="20"/>
        </w:rPr>
      </w:pPr>
    </w:p>
    <w:p>
      <w:pPr>
        <w:pStyle w:val="Heading1"/>
        <w:numPr>
          <w:ilvl w:val="0"/>
          <w:numId w:val="2"/>
        </w:numPr>
        <w:tabs>
          <w:tab w:pos="1064" w:val="left" w:leader="none"/>
          <w:tab w:pos="1065" w:val="left" w:leader="none"/>
        </w:tabs>
        <w:spacing w:line="325" w:lineRule="exact" w:before="0" w:after="0"/>
        <w:ind w:left="1064" w:right="0" w:hanging="480"/>
        <w:jc w:val="left"/>
      </w:pPr>
      <w:r>
        <w:rPr/>
        <w:t>现金价值权益</w:t>
      </w:r>
    </w:p>
    <w:p>
      <w:pPr>
        <w:pStyle w:val="Heading2"/>
        <w:numPr>
          <w:ilvl w:val="1"/>
          <w:numId w:val="2"/>
        </w:numPr>
        <w:tabs>
          <w:tab w:pos="994" w:val="left" w:leader="none"/>
          <w:tab w:pos="995" w:val="left" w:leader="none"/>
        </w:tabs>
        <w:spacing w:line="274" w:lineRule="exact" w:before="0" w:after="0"/>
        <w:ind w:left="994" w:right="0" w:hanging="472"/>
        <w:jc w:val="left"/>
      </w:pPr>
      <w:r>
        <w:rPr/>
        <w:t>现金价值</w:t>
      </w:r>
    </w:p>
    <w:p>
      <w:pPr>
        <w:pStyle w:val="BodyText"/>
        <w:spacing w:line="265" w:lineRule="exact"/>
        <w:ind w:left="526"/>
      </w:pPr>
      <w:r>
        <w:rPr/>
        <w:t>本合同的每个保单年度末的现金价值会在保险单上载明。</w:t>
      </w:r>
    </w:p>
    <w:p>
      <w:pPr>
        <w:pStyle w:val="BodyText"/>
        <w:spacing w:before="2"/>
        <w:rPr>
          <w:sz w:val="18"/>
        </w:rPr>
      </w:pPr>
    </w:p>
    <w:p>
      <w:pPr>
        <w:pStyle w:val="Heading2"/>
        <w:numPr>
          <w:ilvl w:val="1"/>
          <w:numId w:val="2"/>
        </w:numPr>
        <w:tabs>
          <w:tab w:pos="994" w:val="left" w:leader="none"/>
          <w:tab w:pos="995" w:val="left" w:leader="none"/>
        </w:tabs>
        <w:spacing w:line="282" w:lineRule="exact" w:before="1" w:after="0"/>
        <w:ind w:left="994" w:right="0" w:hanging="472"/>
        <w:jc w:val="left"/>
      </w:pPr>
      <w:r>
        <w:rPr/>
        <w:t>保单贷款</w:t>
      </w:r>
    </w:p>
    <w:p>
      <w:pPr>
        <w:pStyle w:val="BodyText"/>
        <w:spacing w:line="225" w:lineRule="auto" w:before="9"/>
        <w:ind w:left="102" w:right="206" w:firstLine="424"/>
        <w:jc w:val="both"/>
      </w:pPr>
      <w:r>
        <w:rPr>
          <w:spacing w:val="-3"/>
        </w:rPr>
        <w:t>在本合同有效期内，您可以向我们申请贷款。贷款金额不得超过本合同现金价值的</w:t>
      </w:r>
      <w:r>
        <w:rPr>
          <w:rFonts w:ascii="Times New Roman" w:eastAsia="Times New Roman"/>
        </w:rPr>
        <w:t>80%</w:t>
      </w:r>
      <w:r>
        <w:rPr>
          <w:spacing w:val="-2"/>
        </w:rPr>
        <w:t>扣除各</w:t>
      </w:r>
      <w:r>
        <w:rPr>
          <w:spacing w:val="-7"/>
        </w:rPr>
        <w:t>项欠款后余额，每次贷款期限最长不超过</w:t>
      </w:r>
      <w:r>
        <w:rPr>
          <w:rFonts w:ascii="Times New Roman" w:eastAsia="Times New Roman"/>
        </w:rPr>
        <w:t>6</w:t>
      </w:r>
      <w:r>
        <w:rPr>
          <w:spacing w:val="-8"/>
        </w:rPr>
        <w:t>个月。贷款利率最高不超过以下两者中的数值较大者，具</w:t>
      </w:r>
      <w:r>
        <w:rPr>
          <w:spacing w:val="-5"/>
        </w:rPr>
        <w:t>体以我们宣布的为准：</w:t>
      </w:r>
    </w:p>
    <w:p>
      <w:pPr>
        <w:pStyle w:val="BodyText"/>
        <w:spacing w:line="279" w:lineRule="exact"/>
        <w:ind w:left="526"/>
      </w:pPr>
      <w:r>
        <w:rPr/>
        <w:t>（</w:t>
      </w:r>
      <w:r>
        <w:rPr>
          <w:rFonts w:ascii="Times New Roman" w:eastAsia="Times New Roman"/>
        </w:rPr>
        <w:t>1</w:t>
      </w:r>
      <w:r>
        <w:rPr/>
        <w:t>）同期中国人民银行</w:t>
      </w:r>
      <w:r>
        <w:rPr>
          <w:rFonts w:ascii="Times New Roman" w:eastAsia="Times New Roman"/>
        </w:rPr>
        <w:t>6</w:t>
      </w:r>
      <w:r>
        <w:rPr/>
        <w:t>个月期贷款利率与</w:t>
      </w:r>
      <w:r>
        <w:rPr>
          <w:rFonts w:ascii="Times New Roman" w:eastAsia="Times New Roman"/>
        </w:rPr>
        <w:t>2%</w:t>
      </w:r>
      <w:r>
        <w:rPr/>
        <w:t>之和；</w:t>
      </w:r>
    </w:p>
    <w:p>
      <w:pPr>
        <w:pStyle w:val="BodyText"/>
        <w:spacing w:line="272" w:lineRule="exact"/>
        <w:ind w:left="526"/>
      </w:pPr>
      <w:r>
        <w:rPr/>
        <w:t>（</w:t>
      </w:r>
      <w:r>
        <w:rPr>
          <w:rFonts w:ascii="Times New Roman" w:eastAsia="Times New Roman"/>
        </w:rPr>
        <w:t>2</w:t>
      </w:r>
      <w:r>
        <w:rPr/>
        <w:t>）</w:t>
      </w:r>
      <w:r>
        <w:rPr>
          <w:rFonts w:ascii="Times New Roman" w:eastAsia="Times New Roman"/>
        </w:rPr>
        <w:t>4</w:t>
      </w:r>
      <w:r>
        <w:rPr/>
        <w:t>％。</w:t>
      </w:r>
    </w:p>
    <w:p>
      <w:pPr>
        <w:pStyle w:val="BodyText"/>
        <w:spacing w:line="223" w:lineRule="auto" w:before="10"/>
        <w:ind w:left="102" w:right="240" w:firstLine="424"/>
      </w:pPr>
      <w:r>
        <w:rPr/>
        <w:t>我们将每年宣布贷款利率两次，时间分别为</w:t>
      </w:r>
      <w:r>
        <w:rPr>
          <w:rFonts w:ascii="Times New Roman" w:eastAsia="Times New Roman"/>
        </w:rPr>
        <w:t>1</w:t>
      </w:r>
      <w:r>
        <w:rPr/>
        <w:t>月</w:t>
      </w:r>
      <w:r>
        <w:rPr>
          <w:rFonts w:ascii="Times New Roman" w:eastAsia="Times New Roman"/>
        </w:rPr>
        <w:t>1</w:t>
      </w:r>
      <w:r>
        <w:rPr/>
        <w:t>日和</w:t>
      </w:r>
      <w:r>
        <w:rPr>
          <w:rFonts w:ascii="Times New Roman" w:eastAsia="Times New Roman"/>
        </w:rPr>
        <w:t>7</w:t>
      </w:r>
      <w:r>
        <w:rPr/>
        <w:t>月</w:t>
      </w:r>
      <w:r>
        <w:rPr>
          <w:rFonts w:ascii="Times New Roman" w:eastAsia="Times New Roman"/>
        </w:rPr>
        <w:t>1</w:t>
      </w:r>
      <w:r>
        <w:rPr/>
        <w:t>日。贷款本金及利息应在贷款当期期限届满日前偿还。未能偿还的利息将被并入原贷款金额中，视同重新贷款。</w:t>
      </w:r>
    </w:p>
    <w:p>
      <w:pPr>
        <w:pStyle w:val="BodyText"/>
        <w:spacing w:line="274" w:lineRule="exact"/>
        <w:ind w:left="521"/>
      </w:pPr>
      <w:r>
        <w:rPr/>
        <w:t>自贷款本金及利息加上其他各项欠款达到本合同现金价值的次日零时起，本合同效力中止。</w:t>
      </w:r>
    </w:p>
    <w:p>
      <w:pPr>
        <w:pStyle w:val="BodyText"/>
        <w:spacing w:before="10"/>
        <w:rPr>
          <w:sz w:val="17"/>
        </w:rPr>
      </w:pPr>
    </w:p>
    <w:p>
      <w:pPr>
        <w:pStyle w:val="Heading1"/>
        <w:numPr>
          <w:ilvl w:val="0"/>
          <w:numId w:val="2"/>
        </w:numPr>
        <w:tabs>
          <w:tab w:pos="1064" w:val="left" w:leader="none"/>
          <w:tab w:pos="1065" w:val="left" w:leader="none"/>
        </w:tabs>
        <w:spacing w:line="325" w:lineRule="exact" w:before="0" w:after="0"/>
        <w:ind w:left="1064" w:right="0" w:hanging="480"/>
        <w:jc w:val="left"/>
      </w:pPr>
      <w:r>
        <w:rPr/>
        <w:t>合同效力的中止及恢复</w:t>
      </w:r>
    </w:p>
    <w:p>
      <w:pPr>
        <w:pStyle w:val="Heading2"/>
        <w:numPr>
          <w:ilvl w:val="1"/>
          <w:numId w:val="2"/>
        </w:numPr>
        <w:tabs>
          <w:tab w:pos="994" w:val="left" w:leader="none"/>
          <w:tab w:pos="995" w:val="left" w:leader="none"/>
        </w:tabs>
        <w:spacing w:line="274" w:lineRule="exact" w:before="0" w:after="0"/>
        <w:ind w:left="994" w:right="0" w:hanging="472"/>
        <w:jc w:val="left"/>
      </w:pPr>
      <w:r>
        <w:rPr/>
        <w:t>合同效力的中止</w:t>
      </w:r>
    </w:p>
    <w:p>
      <w:pPr>
        <w:pStyle w:val="BodyText"/>
        <w:spacing w:line="265" w:lineRule="exact"/>
        <w:ind w:left="526"/>
      </w:pPr>
      <w:r>
        <w:rPr/>
        <w:t>在本合同效力中止期间，我们不承担保险责任。</w:t>
      </w:r>
    </w:p>
    <w:p>
      <w:pPr>
        <w:pStyle w:val="BodyText"/>
        <w:spacing w:before="2"/>
        <w:rPr>
          <w:sz w:val="18"/>
        </w:rPr>
      </w:pPr>
    </w:p>
    <w:p>
      <w:pPr>
        <w:pStyle w:val="Heading2"/>
        <w:numPr>
          <w:ilvl w:val="1"/>
          <w:numId w:val="2"/>
        </w:numPr>
        <w:tabs>
          <w:tab w:pos="994" w:val="left" w:leader="none"/>
          <w:tab w:pos="995" w:val="left" w:leader="none"/>
        </w:tabs>
        <w:spacing w:line="282" w:lineRule="exact" w:before="0" w:after="0"/>
        <w:ind w:left="994" w:right="0" w:hanging="472"/>
        <w:jc w:val="left"/>
      </w:pPr>
      <w:r>
        <w:rPr/>
        <w:t>合同效力的恢复</w:t>
      </w:r>
    </w:p>
    <w:p>
      <w:pPr>
        <w:pStyle w:val="BodyText"/>
        <w:spacing w:line="223" w:lineRule="auto" w:before="11"/>
        <w:ind w:left="102" w:right="204" w:firstLine="424"/>
      </w:pPr>
      <w:r>
        <w:rPr>
          <w:spacing w:val="-3"/>
        </w:rPr>
        <w:t>本合同效力中止后</w:t>
      </w:r>
      <w:r>
        <w:rPr>
          <w:rFonts w:ascii="Times New Roman" w:eastAsia="Times New Roman"/>
          <w:spacing w:val="-3"/>
        </w:rPr>
        <w:t>2</w:t>
      </w:r>
      <w:r>
        <w:rPr>
          <w:spacing w:val="-9"/>
        </w:rPr>
        <w:t>年内，您可以申请恢复合同效力。经我们与您协商并达成协议，在您补付保</w:t>
      </w:r>
      <w:r>
        <w:rPr>
          <w:spacing w:val="-5"/>
        </w:rPr>
        <w:t>险费及其他所有未还款项的次日零时起，合同效力恢复。</w:t>
      </w:r>
    </w:p>
    <w:p>
      <w:pPr>
        <w:pStyle w:val="BodyText"/>
        <w:spacing w:line="223" w:lineRule="auto" w:before="19"/>
        <w:ind w:left="102" w:right="136" w:firstLine="424"/>
      </w:pPr>
      <w:r>
        <w:rPr/>
        <w:t>自本合同效力中止之日起满</w:t>
      </w:r>
      <w:r>
        <w:rPr>
          <w:rFonts w:ascii="Times New Roman" w:eastAsia="Times New Roman"/>
        </w:rPr>
        <w:t>2</w:t>
      </w:r>
      <w:r>
        <w:rPr/>
        <w:t>年您和我们未达成协议的，我们有权解除合同。我们解除合同的， 向您退还合同效力中止时本合同的现金价值。</w:t>
      </w:r>
    </w:p>
    <w:p>
      <w:pPr>
        <w:pStyle w:val="BodyText"/>
        <w:spacing w:before="10"/>
        <w:rPr>
          <w:sz w:val="17"/>
        </w:rPr>
      </w:pPr>
    </w:p>
    <w:p>
      <w:pPr>
        <w:pStyle w:val="Heading1"/>
        <w:numPr>
          <w:ilvl w:val="0"/>
          <w:numId w:val="2"/>
        </w:numPr>
        <w:tabs>
          <w:tab w:pos="1064" w:val="left" w:leader="none"/>
          <w:tab w:pos="1065" w:val="left" w:leader="none"/>
        </w:tabs>
        <w:spacing w:line="325" w:lineRule="exact" w:before="0" w:after="0"/>
        <w:ind w:left="1064" w:right="0" w:hanging="480"/>
        <w:jc w:val="left"/>
      </w:pPr>
      <w:r>
        <w:rPr>
          <w:w w:val="95"/>
        </w:rPr>
        <w:t>合同解除及效力终止</w:t>
      </w:r>
    </w:p>
    <w:p>
      <w:pPr>
        <w:pStyle w:val="Heading2"/>
        <w:numPr>
          <w:ilvl w:val="1"/>
          <w:numId w:val="2"/>
        </w:numPr>
        <w:tabs>
          <w:tab w:pos="994" w:val="left" w:leader="none"/>
          <w:tab w:pos="995" w:val="left" w:leader="none"/>
        </w:tabs>
        <w:spacing w:line="274" w:lineRule="exact" w:before="0" w:after="0"/>
        <w:ind w:left="994" w:right="0" w:hanging="472"/>
        <w:jc w:val="left"/>
      </w:pPr>
      <w:r>
        <w:rPr>
          <w:spacing w:val="-1"/>
        </w:rPr>
        <w:t>解除合同的手续及风险</w:t>
      </w:r>
    </w:p>
    <w:p>
      <w:pPr>
        <w:pStyle w:val="BodyText"/>
        <w:spacing w:line="264" w:lineRule="exact"/>
        <w:ind w:left="521"/>
      </w:pPr>
      <w:r>
        <w:rPr/>
        <w:t>如您在犹豫期后申请解除本合同，请填写解除合同申请书并向我们提供下列资料：</w:t>
      </w:r>
    </w:p>
    <w:p>
      <w:pPr>
        <w:pStyle w:val="BodyText"/>
        <w:spacing w:line="290" w:lineRule="exact"/>
        <w:ind w:left="521"/>
      </w:pPr>
      <w:r>
        <w:rPr/>
        <w:t>（</w:t>
      </w:r>
      <w:r>
        <w:rPr>
          <w:rFonts w:ascii="Times New Roman" w:eastAsia="Times New Roman"/>
        </w:rPr>
        <w:t>1</w:t>
      </w:r>
      <w:r>
        <w:rPr/>
        <w:t>）保险合同；</w:t>
      </w:r>
    </w:p>
    <w:p>
      <w:pPr>
        <w:spacing w:after="0" w:line="290" w:lineRule="exact"/>
        <w:sectPr>
          <w:pgSz w:w="11910" w:h="16840"/>
          <w:pgMar w:header="0" w:footer="1239" w:top="1060" w:bottom="1420" w:left="1600" w:right="920"/>
        </w:sectPr>
      </w:pPr>
    </w:p>
    <w:p>
      <w:pPr>
        <w:pStyle w:val="BodyText"/>
        <w:spacing w:line="282" w:lineRule="exact" w:before="20"/>
        <w:ind w:left="533"/>
      </w:pPr>
      <w:r>
        <w:rPr/>
        <w:t>（</w:t>
      </w:r>
      <w:r>
        <w:rPr>
          <w:rFonts w:ascii="Times New Roman" w:eastAsia="Times New Roman"/>
        </w:rPr>
        <w:t>2</w:t>
      </w:r>
      <w:r>
        <w:rPr/>
        <w:t>）您的有效身份证件。</w:t>
      </w:r>
    </w:p>
    <w:p>
      <w:pPr>
        <w:pStyle w:val="BodyText"/>
        <w:spacing w:line="223" w:lineRule="auto" w:before="11"/>
        <w:ind w:left="112" w:right="117" w:firstLine="420"/>
      </w:pPr>
      <w:r>
        <w:rPr/>
        <w:t>自我们收到解除合同申请书时起，本合同效力终止。我们自收到解除合同申请书之日起</w:t>
      </w:r>
      <w:r>
        <w:rPr>
          <w:rFonts w:ascii="Times New Roman" w:eastAsia="Times New Roman"/>
        </w:rPr>
        <w:t>30</w:t>
      </w:r>
      <w:r>
        <w:rPr/>
        <w:t>日内向您退还本合同现金价值扣除您尚未偿还的各项欠款之后的余额。</w:t>
      </w:r>
    </w:p>
    <w:p>
      <w:pPr>
        <w:pStyle w:val="BodyText"/>
        <w:spacing w:line="274" w:lineRule="exact"/>
        <w:ind w:left="533"/>
      </w:pPr>
      <w:r>
        <w:rPr/>
        <w:t>您犹豫期后解除合同会遭受一定损失。</w:t>
      </w:r>
    </w:p>
    <w:p>
      <w:pPr>
        <w:pStyle w:val="BodyText"/>
        <w:spacing w:before="3"/>
        <w:rPr>
          <w:sz w:val="18"/>
        </w:rPr>
      </w:pPr>
    </w:p>
    <w:p>
      <w:pPr>
        <w:pStyle w:val="Heading2"/>
        <w:numPr>
          <w:ilvl w:val="1"/>
          <w:numId w:val="2"/>
        </w:numPr>
        <w:tabs>
          <w:tab w:pos="1005" w:val="left" w:leader="none"/>
          <w:tab w:pos="1006" w:val="left" w:leader="none"/>
        </w:tabs>
        <w:spacing w:line="281" w:lineRule="exact" w:before="0" w:after="0"/>
        <w:ind w:left="1006" w:right="0" w:hanging="473"/>
        <w:jc w:val="left"/>
      </w:pPr>
      <w:r>
        <w:rPr/>
        <w:t>合同效力的终止</w:t>
      </w:r>
    </w:p>
    <w:p>
      <w:pPr>
        <w:pStyle w:val="BodyText"/>
        <w:spacing w:line="264" w:lineRule="exact"/>
        <w:ind w:left="533"/>
      </w:pPr>
      <w:r>
        <w:rPr/>
        <w:t>发生下列情况之一时，本合同效力终止：</w:t>
      </w:r>
    </w:p>
    <w:p>
      <w:pPr>
        <w:pStyle w:val="BodyText"/>
        <w:spacing w:line="280" w:lineRule="exact"/>
        <w:ind w:left="538"/>
      </w:pPr>
      <w:r>
        <w:rPr/>
        <w:t>（</w:t>
      </w:r>
      <w:r>
        <w:rPr>
          <w:rFonts w:ascii="Times New Roman" w:eastAsia="Times New Roman"/>
        </w:rPr>
        <w:t>1</w:t>
      </w:r>
      <w:r>
        <w:rPr/>
        <w:t>）我们收到解除合同申请书；</w:t>
      </w:r>
    </w:p>
    <w:p>
      <w:pPr>
        <w:pStyle w:val="BodyText"/>
        <w:spacing w:line="272" w:lineRule="exact"/>
        <w:ind w:left="538"/>
      </w:pPr>
      <w:r>
        <w:rPr/>
        <w:t>（</w:t>
      </w:r>
      <w:r>
        <w:rPr>
          <w:rFonts w:ascii="Times New Roman" w:eastAsia="Times New Roman"/>
        </w:rPr>
        <w:t>2</w:t>
      </w:r>
      <w:r>
        <w:rPr/>
        <w:t>）本合同因其他条款所列情况而效力中止且未按</w:t>
      </w:r>
      <w:r>
        <w:rPr>
          <w:rFonts w:ascii="Times New Roman" w:eastAsia="Times New Roman"/>
        </w:rPr>
        <w:t>6.2</w:t>
      </w:r>
      <w:r>
        <w:rPr/>
        <w:t>款恢复效力；</w:t>
      </w:r>
    </w:p>
    <w:p>
      <w:pPr>
        <w:pStyle w:val="BodyText"/>
        <w:spacing w:line="272" w:lineRule="exact"/>
        <w:ind w:left="538"/>
      </w:pPr>
      <w:r>
        <w:rPr/>
        <w:t>（</w:t>
      </w:r>
      <w:r>
        <w:rPr>
          <w:rFonts w:ascii="Times New Roman" w:eastAsia="Times New Roman"/>
        </w:rPr>
        <w:t>3</w:t>
      </w:r>
      <w:r>
        <w:rPr/>
        <w:t>）被保险人身故；</w:t>
      </w:r>
    </w:p>
    <w:p>
      <w:pPr>
        <w:pStyle w:val="BodyText"/>
        <w:spacing w:line="281" w:lineRule="exact"/>
        <w:ind w:left="538"/>
      </w:pPr>
      <w:r>
        <w:rPr/>
        <w:t>（</w:t>
      </w:r>
      <w:r>
        <w:rPr>
          <w:rFonts w:ascii="Times New Roman" w:eastAsia="Times New Roman"/>
        </w:rPr>
        <w:t>4</w:t>
      </w:r>
      <w:r>
        <w:rPr/>
        <w:t>）因本合同其他条款约定情形而终止。</w:t>
      </w:r>
    </w:p>
    <w:p>
      <w:pPr>
        <w:pStyle w:val="BodyText"/>
        <w:spacing w:before="8"/>
        <w:rPr>
          <w:sz w:val="16"/>
        </w:rPr>
      </w:pPr>
    </w:p>
    <w:p>
      <w:pPr>
        <w:pStyle w:val="Heading1"/>
        <w:numPr>
          <w:ilvl w:val="0"/>
          <w:numId w:val="2"/>
        </w:numPr>
        <w:tabs>
          <w:tab w:pos="1075" w:val="left" w:leader="none"/>
          <w:tab w:pos="1076" w:val="left" w:leader="none"/>
        </w:tabs>
        <w:spacing w:line="325" w:lineRule="exact" w:before="0" w:after="0"/>
        <w:ind w:left="1075" w:right="0" w:hanging="480"/>
        <w:jc w:val="left"/>
      </w:pPr>
      <w:r>
        <w:rPr/>
        <w:t>如实告知</w:t>
      </w:r>
    </w:p>
    <w:p>
      <w:pPr>
        <w:pStyle w:val="Heading2"/>
        <w:numPr>
          <w:ilvl w:val="1"/>
          <w:numId w:val="2"/>
        </w:numPr>
        <w:tabs>
          <w:tab w:pos="1005" w:val="left" w:leader="none"/>
          <w:tab w:pos="1006" w:val="left" w:leader="none"/>
        </w:tabs>
        <w:spacing w:line="275" w:lineRule="exact" w:before="0" w:after="0"/>
        <w:ind w:left="1006" w:right="0" w:hanging="473"/>
        <w:jc w:val="left"/>
      </w:pPr>
      <w:r>
        <w:rPr/>
        <w:t>明确说明与如实告知</w:t>
      </w:r>
    </w:p>
    <w:p>
      <w:pPr>
        <w:pStyle w:val="BodyText"/>
        <w:spacing w:line="264" w:lineRule="exact"/>
        <w:ind w:left="538"/>
      </w:pPr>
      <w:r>
        <w:rPr/>
        <w:t>订立本合同时，我们应向您说明本合同的内容。</w:t>
      </w:r>
    </w:p>
    <w:p>
      <w:pPr>
        <w:pStyle w:val="BodyText"/>
        <w:spacing w:line="237" w:lineRule="auto" w:before="1"/>
        <w:ind w:left="112" w:right="148" w:firstLine="425"/>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line="272" w:lineRule="exact"/>
        <w:ind w:left="538"/>
      </w:pPr>
      <w:r>
        <w:rPr/>
        <w:t>我们就您和被保险人的有关情况提出询问，您应当如实告知。</w:t>
      </w:r>
    </w:p>
    <w:p>
      <w:pPr>
        <w:pStyle w:val="BodyText"/>
        <w:ind w:left="112" w:right="148" w:firstLine="425"/>
      </w:pPr>
      <w:r>
        <w:rPr/>
        <w:t>如果您故意或者因重大过失未履行前款规定的如实告知义务，足以影响我们决定是否同意承保或者提高保险费率的，我们有权解除本合同。</w:t>
      </w:r>
    </w:p>
    <w:p>
      <w:pPr>
        <w:pStyle w:val="BodyText"/>
        <w:spacing w:line="237" w:lineRule="auto" w:before="1"/>
        <w:ind w:left="112" w:right="148" w:firstLine="425"/>
      </w:pPr>
      <w:r>
        <w:rPr/>
        <w:t>如果您故意不履行如实告知义务，对于本合同解除前发生的保险事故，我们不承担给付保险金的责任，并不退还保险费。</w:t>
      </w:r>
    </w:p>
    <w:p>
      <w:pPr>
        <w:pStyle w:val="BodyText"/>
        <w:spacing w:line="237" w:lineRule="auto" w:before="1"/>
        <w:ind w:left="112" w:right="148" w:firstLine="425"/>
      </w:pPr>
      <w:r>
        <w:rPr/>
        <w:t>如果您因重大过失未履行如实告知义务，对保险事故的发生有严重影响的，对于本合同解除前发生的保险事故，我们不承担给付保险金的责任，但应当退还保险费。</w:t>
      </w:r>
    </w:p>
    <w:p>
      <w:pPr>
        <w:pStyle w:val="BodyText"/>
        <w:spacing w:line="237" w:lineRule="auto" w:before="1"/>
        <w:ind w:left="112" w:right="148" w:firstLine="425"/>
      </w:pPr>
      <w:r>
        <w:rPr/>
        <w:t>我们在合同订立时已经知道您未如实告知的情况的，我们不得解除合同；发生保险事故的，我们承担给付保险金的责任。</w:t>
      </w:r>
    </w:p>
    <w:p>
      <w:pPr>
        <w:pStyle w:val="BodyText"/>
        <w:spacing w:before="3"/>
        <w:rPr>
          <w:sz w:val="18"/>
        </w:rPr>
      </w:pPr>
    </w:p>
    <w:p>
      <w:pPr>
        <w:pStyle w:val="Heading2"/>
        <w:numPr>
          <w:ilvl w:val="1"/>
          <w:numId w:val="2"/>
        </w:numPr>
        <w:tabs>
          <w:tab w:pos="1005" w:val="left" w:leader="none"/>
          <w:tab w:pos="1006" w:val="left" w:leader="none"/>
        </w:tabs>
        <w:spacing w:line="282" w:lineRule="exact" w:before="0" w:after="0"/>
        <w:ind w:left="1006" w:right="0" w:hanging="473"/>
        <w:jc w:val="left"/>
      </w:pPr>
      <w:r>
        <w:rPr>
          <w:spacing w:val="-1"/>
        </w:rPr>
        <w:t>本公司合同解除权的限制</w:t>
      </w:r>
    </w:p>
    <w:p>
      <w:pPr>
        <w:pStyle w:val="BodyText"/>
        <w:spacing w:line="223" w:lineRule="auto" w:before="11"/>
        <w:ind w:left="112" w:right="148" w:firstLine="425"/>
      </w:pPr>
      <w:r>
        <w:rPr/>
        <w:t>前条规定的合同解除权，自我们知道有解除事由之日起，超过</w:t>
      </w:r>
      <w:r>
        <w:rPr>
          <w:rFonts w:ascii="Times New Roman" w:eastAsia="Times New Roman"/>
        </w:rPr>
        <w:t>30</w:t>
      </w:r>
      <w:r>
        <w:rPr/>
        <w:t>日不行使而消灭。自本合同成立之日起超过</w:t>
      </w:r>
      <w:r>
        <w:rPr>
          <w:rFonts w:ascii="Times New Roman" w:eastAsia="Times New Roman"/>
        </w:rPr>
        <w:t>2</w:t>
      </w:r>
      <w:r>
        <w:rPr/>
        <w:t>年的，我们不得解除合同；发生保险事故的，我们承担给付保险金的责任。</w:t>
      </w:r>
    </w:p>
    <w:p>
      <w:pPr>
        <w:pStyle w:val="BodyText"/>
        <w:spacing w:before="9"/>
        <w:rPr>
          <w:sz w:val="16"/>
        </w:rPr>
      </w:pPr>
    </w:p>
    <w:p>
      <w:pPr>
        <w:pStyle w:val="Heading1"/>
        <w:numPr>
          <w:ilvl w:val="0"/>
          <w:numId w:val="2"/>
        </w:numPr>
        <w:tabs>
          <w:tab w:pos="1075" w:val="left" w:leader="none"/>
          <w:tab w:pos="1076" w:val="left" w:leader="none"/>
        </w:tabs>
        <w:spacing w:line="324" w:lineRule="exact" w:before="0" w:after="0"/>
        <w:ind w:left="1075" w:right="0" w:hanging="480"/>
        <w:jc w:val="left"/>
      </w:pPr>
      <w:r>
        <w:rPr>
          <w:w w:val="95"/>
        </w:rPr>
        <w:t>其他需要关注的事项</w:t>
      </w:r>
    </w:p>
    <w:p>
      <w:pPr>
        <w:pStyle w:val="Heading2"/>
        <w:numPr>
          <w:ilvl w:val="1"/>
          <w:numId w:val="2"/>
        </w:numPr>
        <w:tabs>
          <w:tab w:pos="1005" w:val="left" w:leader="none"/>
          <w:tab w:pos="1006" w:val="left" w:leader="none"/>
        </w:tabs>
        <w:spacing w:line="274" w:lineRule="exact" w:before="0" w:after="0"/>
        <w:ind w:left="1006" w:right="0" w:hanging="473"/>
        <w:jc w:val="left"/>
      </w:pPr>
      <w:r>
        <w:rPr/>
        <w:t>年龄错误</w:t>
      </w:r>
    </w:p>
    <w:p>
      <w:pPr>
        <w:pStyle w:val="BodyText"/>
        <w:spacing w:line="237" w:lineRule="auto"/>
        <w:ind w:left="112" w:right="148" w:firstLine="425"/>
      </w:pPr>
      <w:r>
        <w:rPr/>
        <w:t>您在申请投保时，应将与有效身份证件相符的被保险人的出生日期在投保单上填明，如果发生错误按照下列方式办理：</w:t>
      </w:r>
    </w:p>
    <w:p>
      <w:pPr>
        <w:pStyle w:val="BodyText"/>
        <w:spacing w:line="225" w:lineRule="auto" w:before="22"/>
        <w:ind w:left="112" w:right="112" w:firstLine="425"/>
        <w:jc w:val="both"/>
      </w:pPr>
      <w:r>
        <w:rPr>
          <w:spacing w:val="-9"/>
        </w:rPr>
        <w:t>（</w:t>
      </w:r>
      <w:r>
        <w:rPr>
          <w:rFonts w:ascii="Times New Roman" w:hAnsi="Times New Roman" w:eastAsia="Times New Roman"/>
          <w:spacing w:val="-9"/>
        </w:rPr>
        <w:t>1</w:t>
      </w:r>
      <w:r>
        <w:rPr>
          <w:spacing w:val="-9"/>
        </w:rPr>
        <w:t>）</w:t>
      </w:r>
      <w:r>
        <w:rPr>
          <w:spacing w:val="-6"/>
        </w:rPr>
        <w:t>您申报的被保险人年龄不真实，并且其真实年龄不符合本合同约定投保年龄限制的，我们</w:t>
      </w:r>
      <w:r>
        <w:rPr>
          <w:spacing w:val="-14"/>
        </w:rPr>
        <w:t>有权解除合同，并向您退还本合同的现金价值。我们行使合同解除权适用</w:t>
      </w:r>
      <w:r>
        <w:rPr>
          <w:rFonts w:ascii="Times New Roman" w:hAnsi="Times New Roman" w:eastAsia="Times New Roman"/>
          <w:spacing w:val="-3"/>
        </w:rPr>
        <w:t>“</w:t>
      </w:r>
      <w:r>
        <w:rPr>
          <w:spacing w:val="-3"/>
        </w:rPr>
        <w:t>本公司合同解除权的限制</w:t>
      </w:r>
      <w:r>
        <w:rPr>
          <w:rFonts w:ascii="Times New Roman" w:hAnsi="Times New Roman" w:eastAsia="Times New Roman"/>
        </w:rPr>
        <w:t>” </w:t>
      </w:r>
      <w:r>
        <w:rPr>
          <w:spacing w:val="-1"/>
        </w:rPr>
        <w:t>的规定；</w:t>
      </w:r>
    </w:p>
    <w:p>
      <w:pPr>
        <w:pStyle w:val="BodyText"/>
        <w:spacing w:line="225" w:lineRule="auto" w:before="14"/>
        <w:ind w:left="112" w:right="115" w:firstLine="425"/>
      </w:pPr>
      <w:r>
        <w:rPr>
          <w:spacing w:val="-9"/>
        </w:rPr>
        <w:t>（</w:t>
      </w:r>
      <w:r>
        <w:rPr>
          <w:rFonts w:ascii="Times New Roman" w:eastAsia="Times New Roman"/>
          <w:spacing w:val="-9"/>
        </w:rPr>
        <w:t>2</w:t>
      </w:r>
      <w:r>
        <w:rPr>
          <w:spacing w:val="-9"/>
        </w:rPr>
        <w:t>）</w:t>
      </w:r>
      <w:r>
        <w:rPr>
          <w:spacing w:val="-6"/>
        </w:rPr>
        <w:t>您申报的被保险人年龄不真实，致使您实付保险费少于应付保险费的，我们有权更正并要</w:t>
      </w:r>
      <w:r>
        <w:rPr>
          <w:spacing w:val="-4"/>
        </w:rPr>
        <w:t>求您补付保险费。若已经发生保险事故，在给付保险金时按实付保险费和应付保险费的比例给付；</w:t>
      </w:r>
    </w:p>
    <w:p>
      <w:pPr>
        <w:pStyle w:val="BodyText"/>
        <w:spacing w:line="223" w:lineRule="auto" w:before="17"/>
        <w:ind w:left="112" w:right="115" w:firstLine="425"/>
      </w:pPr>
      <w:r>
        <w:rPr>
          <w:spacing w:val="-9"/>
        </w:rPr>
        <w:t>（</w:t>
      </w:r>
      <w:r>
        <w:rPr>
          <w:rFonts w:ascii="Times New Roman" w:eastAsia="Times New Roman"/>
          <w:spacing w:val="-9"/>
        </w:rPr>
        <w:t>3</w:t>
      </w:r>
      <w:r>
        <w:rPr>
          <w:spacing w:val="-9"/>
        </w:rPr>
        <w:t>）</w:t>
      </w:r>
      <w:r>
        <w:rPr>
          <w:spacing w:val="-6"/>
        </w:rPr>
        <w:t>您申报的被保险人年龄不真实，致使您实付保险费多于应付保险费的，我们会将多收的保</w:t>
      </w:r>
      <w:r>
        <w:rPr>
          <w:spacing w:val="-4"/>
        </w:rPr>
        <w:t>险费退还给您。</w:t>
      </w:r>
    </w:p>
    <w:p>
      <w:pPr>
        <w:pStyle w:val="BodyText"/>
        <w:spacing w:before="6"/>
        <w:rPr>
          <w:sz w:val="18"/>
        </w:rPr>
      </w:pPr>
    </w:p>
    <w:p>
      <w:pPr>
        <w:pStyle w:val="Heading2"/>
        <w:numPr>
          <w:ilvl w:val="1"/>
          <w:numId w:val="2"/>
        </w:numPr>
        <w:tabs>
          <w:tab w:pos="1005" w:val="left" w:leader="none"/>
          <w:tab w:pos="1006" w:val="left" w:leader="none"/>
        </w:tabs>
        <w:spacing w:line="281" w:lineRule="exact" w:before="0" w:after="0"/>
        <w:ind w:left="1006" w:right="0" w:hanging="473"/>
        <w:jc w:val="left"/>
      </w:pPr>
      <w:r>
        <w:rPr/>
        <w:t>未还款项</w:t>
      </w:r>
    </w:p>
    <w:p>
      <w:pPr>
        <w:pStyle w:val="BodyText"/>
        <w:ind w:left="112" w:right="148" w:firstLine="425"/>
      </w:pPr>
      <w:r>
        <w:rPr/>
        <w:t>我们在给付各项保险金、退还现金价值或返还保险费时，如果您有欠付的保险费、保单贷款、利息或其他未还款项，我们会在扣除上述欠款后给付。</w:t>
      </w:r>
    </w:p>
    <w:p>
      <w:pPr>
        <w:pStyle w:val="BodyText"/>
        <w:rPr>
          <w:sz w:val="19"/>
        </w:rPr>
      </w:pPr>
    </w:p>
    <w:p>
      <w:pPr>
        <w:pStyle w:val="Heading2"/>
        <w:numPr>
          <w:ilvl w:val="1"/>
          <w:numId w:val="2"/>
        </w:numPr>
        <w:tabs>
          <w:tab w:pos="1005" w:val="left" w:leader="none"/>
          <w:tab w:pos="1006" w:val="left" w:leader="none"/>
        </w:tabs>
        <w:spacing w:line="281" w:lineRule="exact" w:before="0" w:after="0"/>
        <w:ind w:left="1006" w:right="0" w:hanging="473"/>
        <w:jc w:val="left"/>
      </w:pPr>
      <w:r>
        <w:rPr/>
        <w:t>基本保险金额的变更</w:t>
      </w:r>
    </w:p>
    <w:p>
      <w:pPr>
        <w:pStyle w:val="BodyText"/>
        <w:ind w:left="112" w:right="148" w:firstLine="425"/>
      </w:pPr>
      <w:r>
        <w:rPr/>
        <w:t>在本合同有效期内，您可以以书面形式申请减少本合同的基本保险金额，经我们同意并在本合同上批注后生效。</w:t>
      </w:r>
    </w:p>
    <w:p>
      <w:pPr>
        <w:pStyle w:val="BodyText"/>
        <w:spacing w:line="271" w:lineRule="exact" w:before="10"/>
        <w:ind w:left="538"/>
      </w:pPr>
      <w:r>
        <w:rPr/>
        <w:t>减额后的基本保险金额不得低于申请减额时我们规定的最低基本保险金额。对于基本保险金额</w:t>
      </w:r>
    </w:p>
    <w:p>
      <w:pPr>
        <w:spacing w:after="0" w:line="271" w:lineRule="exact"/>
        <w:sectPr>
          <w:pgSz w:w="11910" w:h="16840"/>
          <w:pgMar w:header="0" w:footer="1239" w:top="1060" w:bottom="1420" w:left="1020" w:right="1580"/>
        </w:sectPr>
      </w:pPr>
    </w:p>
    <w:p>
      <w:pPr>
        <w:pStyle w:val="BodyText"/>
        <w:spacing w:before="20"/>
        <w:ind w:left="102"/>
      </w:pPr>
      <w:r>
        <w:rPr/>
        <w:t>的减少部分，我们将退还对应的现金价值。</w:t>
      </w:r>
    </w:p>
    <w:p>
      <w:pPr>
        <w:pStyle w:val="BodyText"/>
        <w:spacing w:before="5"/>
        <w:rPr>
          <w:sz w:val="18"/>
        </w:rPr>
      </w:pPr>
    </w:p>
    <w:p>
      <w:pPr>
        <w:pStyle w:val="Heading2"/>
        <w:numPr>
          <w:ilvl w:val="1"/>
          <w:numId w:val="2"/>
        </w:numPr>
        <w:tabs>
          <w:tab w:pos="994" w:val="left" w:leader="none"/>
          <w:tab w:pos="995" w:val="left" w:leader="none"/>
        </w:tabs>
        <w:spacing w:line="281" w:lineRule="exact" w:before="0" w:after="0"/>
        <w:ind w:left="994" w:right="0" w:hanging="472"/>
        <w:jc w:val="left"/>
      </w:pPr>
      <w:r>
        <w:rPr/>
        <w:t>合同内容变更</w:t>
      </w:r>
    </w:p>
    <w:p>
      <w:pPr>
        <w:pStyle w:val="BodyText"/>
        <w:ind w:left="102" w:right="170" w:firstLine="419"/>
      </w:pPr>
      <w:r>
        <w:rPr/>
        <w:t>在本合同有效期内，经您与我们协商一致，可以变更本合同的有关内容。变更本合同的，应当由我们在保险单或者其他保险凭证上批注或者附贴批单，或者由您与我们订立书面的变更协议。</w:t>
      </w:r>
    </w:p>
    <w:p>
      <w:pPr>
        <w:pStyle w:val="BodyText"/>
        <w:rPr>
          <w:sz w:val="19"/>
        </w:rPr>
      </w:pPr>
    </w:p>
    <w:p>
      <w:pPr>
        <w:pStyle w:val="Heading2"/>
        <w:numPr>
          <w:ilvl w:val="1"/>
          <w:numId w:val="2"/>
        </w:numPr>
        <w:tabs>
          <w:tab w:pos="994" w:val="left" w:leader="none"/>
          <w:tab w:pos="995" w:val="left" w:leader="none"/>
        </w:tabs>
        <w:spacing w:line="281" w:lineRule="exact" w:before="0" w:after="0"/>
        <w:ind w:left="994" w:right="0" w:hanging="472"/>
        <w:jc w:val="left"/>
      </w:pPr>
      <w:r>
        <w:rPr/>
        <w:t>地址变更</w:t>
      </w:r>
    </w:p>
    <w:p>
      <w:pPr>
        <w:pStyle w:val="BodyText"/>
        <w:ind w:left="102" w:right="169" w:firstLine="419"/>
      </w:pPr>
      <w:r>
        <w:rPr/>
        <w:t>为了保障您的合法权益，您的住所或通讯地址变更时，请及时以书面形式或双方认可的其他形式通知我们。否则我们按本合同载明的最后住所或通讯地址发送的有关通知，均视为已送达给您。</w:t>
      </w:r>
    </w:p>
    <w:p>
      <w:pPr>
        <w:pStyle w:val="BodyText"/>
        <w:spacing w:before="13"/>
        <w:rPr>
          <w:sz w:val="18"/>
        </w:rPr>
      </w:pPr>
    </w:p>
    <w:p>
      <w:pPr>
        <w:pStyle w:val="Heading2"/>
        <w:numPr>
          <w:ilvl w:val="1"/>
          <w:numId w:val="2"/>
        </w:numPr>
        <w:tabs>
          <w:tab w:pos="994" w:val="left" w:leader="none"/>
          <w:tab w:pos="995" w:val="left" w:leader="none"/>
        </w:tabs>
        <w:spacing w:line="281" w:lineRule="exact" w:before="0" w:after="0"/>
        <w:ind w:left="994" w:right="0" w:hanging="472"/>
        <w:jc w:val="left"/>
      </w:pPr>
      <w:r>
        <w:rPr/>
        <w:t>争议处理</w:t>
      </w:r>
    </w:p>
    <w:p>
      <w:pPr>
        <w:pStyle w:val="BodyText"/>
        <w:spacing w:line="264" w:lineRule="exact"/>
        <w:ind w:left="526"/>
      </w:pPr>
      <w:r>
        <w:rPr/>
        <w:t>本合同履行过程中，双方发生争议时，可以从下列两种方式中选择一种争议处理方式：</w:t>
      </w:r>
    </w:p>
    <w:p>
      <w:pPr>
        <w:pStyle w:val="BodyText"/>
        <w:spacing w:line="223" w:lineRule="auto" w:before="19"/>
        <w:ind w:left="102" w:right="169" w:firstLine="424"/>
      </w:pPr>
      <w:r>
        <w:rPr>
          <w:spacing w:val="-7"/>
        </w:rPr>
        <w:t>（</w:t>
      </w:r>
      <w:r>
        <w:rPr>
          <w:rFonts w:ascii="Times New Roman" w:eastAsia="Times New Roman"/>
          <w:spacing w:val="-7"/>
        </w:rPr>
        <w:t>1</w:t>
      </w:r>
      <w:r>
        <w:rPr>
          <w:spacing w:val="-7"/>
        </w:rPr>
        <w:t>）因履行本合同发生的争议，由双方协商解决，协商不成的，提交保险单签发地的市仲裁委</w:t>
      </w:r>
      <w:r>
        <w:rPr>
          <w:spacing w:val="-4"/>
        </w:rPr>
        <w:t>员会仲裁；</w:t>
      </w:r>
    </w:p>
    <w:p>
      <w:pPr>
        <w:pStyle w:val="BodyText"/>
        <w:spacing w:line="223" w:lineRule="auto" w:before="18"/>
        <w:ind w:left="102" w:right="167" w:firstLine="419"/>
      </w:pPr>
      <w:r>
        <w:rPr>
          <w:spacing w:val="-6"/>
        </w:rPr>
        <w:t>（</w:t>
      </w:r>
      <w:r>
        <w:rPr>
          <w:rFonts w:ascii="Times New Roman" w:eastAsia="Times New Roman"/>
          <w:spacing w:val="-6"/>
        </w:rPr>
        <w:t>2</w:t>
      </w:r>
      <w:r>
        <w:rPr>
          <w:spacing w:val="-6"/>
        </w:rPr>
        <w:t>）</w:t>
      </w:r>
      <w:r>
        <w:rPr>
          <w:spacing w:val="-7"/>
        </w:rPr>
        <w:t>因履行本合同发生的争议，由双方协商解决，协商不成的，依法向被告住所地人民法院起诉。</w:t>
      </w:r>
    </w:p>
    <w:p>
      <w:pPr>
        <w:pStyle w:val="BodyText"/>
        <w:spacing w:before="10"/>
        <w:rPr>
          <w:sz w:val="17"/>
        </w:rPr>
      </w:pPr>
    </w:p>
    <w:p>
      <w:pPr>
        <w:pStyle w:val="Heading1"/>
        <w:numPr>
          <w:ilvl w:val="0"/>
          <w:numId w:val="2"/>
        </w:numPr>
        <w:tabs>
          <w:tab w:pos="1184" w:val="left" w:leader="none"/>
          <w:tab w:pos="1185" w:val="left" w:leader="none"/>
        </w:tabs>
        <w:spacing w:line="325" w:lineRule="exact" w:before="0" w:after="0"/>
        <w:ind w:left="1184" w:right="0" w:hanging="600"/>
        <w:jc w:val="left"/>
      </w:pPr>
      <w:r>
        <w:rPr>
          <w:w w:val="95"/>
        </w:rPr>
        <w:t>轻症疾病的定义及范围</w:t>
      </w:r>
    </w:p>
    <w:p>
      <w:pPr>
        <w:pStyle w:val="BodyText"/>
        <w:spacing w:line="237" w:lineRule="auto"/>
        <w:ind w:left="102" w:right="170" w:firstLine="419"/>
      </w:pPr>
      <w:r>
        <w:rPr/>
        <w:t>本合同所指轻症疾病，是指被保险人发生符合以下定义所述条件的疾病、疾病状态或手术，应当由专科医生明确诊断。</w:t>
      </w:r>
    </w:p>
    <w:p>
      <w:pPr>
        <w:pStyle w:val="BodyText"/>
        <w:spacing w:before="7"/>
        <w:rPr>
          <w:sz w:val="18"/>
        </w:rPr>
      </w:pPr>
    </w:p>
    <w:p>
      <w:pPr>
        <w:pStyle w:val="Heading2"/>
        <w:numPr>
          <w:ilvl w:val="1"/>
          <w:numId w:val="2"/>
        </w:numPr>
        <w:tabs>
          <w:tab w:pos="1100" w:val="left" w:leader="none"/>
          <w:tab w:pos="1101" w:val="left" w:leader="none"/>
        </w:tabs>
        <w:spacing w:line="282" w:lineRule="exact" w:before="1" w:after="0"/>
        <w:ind w:left="1100" w:right="0" w:hanging="578"/>
        <w:jc w:val="left"/>
      </w:pPr>
      <w:r>
        <w:rPr>
          <w:spacing w:val="-2"/>
        </w:rPr>
        <w:t>极早期的恶性肿瘤或恶性病变</w:t>
      </w:r>
    </w:p>
    <w:p>
      <w:pPr>
        <w:pStyle w:val="BodyText"/>
        <w:spacing w:line="264" w:lineRule="exact"/>
        <w:ind w:left="526"/>
      </w:pPr>
      <w:r>
        <w:rPr/>
        <w:t>指经组织病理学检查被明确诊断为下列恶性病变，并且接受了相应的治疗。</w:t>
      </w:r>
    </w:p>
    <w:p>
      <w:pPr>
        <w:pStyle w:val="BodyText"/>
        <w:spacing w:line="280" w:lineRule="exact"/>
        <w:ind w:left="526"/>
      </w:pPr>
      <w:r>
        <w:rPr/>
        <w:t>（</w:t>
      </w:r>
      <w:r>
        <w:rPr>
          <w:rFonts w:ascii="Times New Roman" w:eastAsia="Times New Roman"/>
        </w:rPr>
        <w:t>1</w:t>
      </w:r>
      <w:r>
        <w:rPr/>
        <w:t>）原位癌</w:t>
      </w:r>
      <w:r>
        <w:rPr>
          <w:rFonts w:ascii="Times New Roman" w:eastAsia="Times New Roman"/>
        </w:rPr>
        <w:t>*</w:t>
      </w:r>
      <w:r>
        <w:rPr/>
        <w:t>；</w:t>
      </w:r>
    </w:p>
    <w:p>
      <w:pPr>
        <w:pStyle w:val="BodyText"/>
        <w:spacing w:line="272" w:lineRule="exact"/>
        <w:ind w:left="526"/>
      </w:pPr>
      <w:r>
        <w:rPr/>
        <w:t>（</w:t>
      </w:r>
      <w:r>
        <w:rPr>
          <w:rFonts w:ascii="Times New Roman" w:eastAsia="Times New Roman"/>
        </w:rPr>
        <w:t>2</w:t>
      </w:r>
      <w:r>
        <w:rPr/>
        <w:t>）相当于</w:t>
      </w:r>
      <w:r>
        <w:rPr>
          <w:rFonts w:ascii="Times New Roman" w:eastAsia="Times New Roman"/>
        </w:rPr>
        <w:t>Binet  </w:t>
      </w:r>
      <w:r>
        <w:rPr/>
        <w:t>分期方案</w:t>
      </w:r>
      <w:r>
        <w:rPr>
          <w:rFonts w:ascii="Times New Roman" w:eastAsia="Times New Roman"/>
        </w:rPr>
        <w:t>A</w:t>
      </w:r>
      <w:r>
        <w:rPr/>
        <w:t>期程度的慢性淋巴细胞白血病；</w:t>
      </w:r>
    </w:p>
    <w:p>
      <w:pPr>
        <w:pStyle w:val="BodyText"/>
        <w:spacing w:line="272" w:lineRule="exact"/>
        <w:ind w:left="526"/>
      </w:pPr>
      <w:r>
        <w:rPr/>
        <w:t>（</w:t>
      </w:r>
      <w:r>
        <w:rPr>
          <w:rFonts w:ascii="Times New Roman" w:eastAsia="Times New Roman"/>
        </w:rPr>
        <w:t>3</w:t>
      </w:r>
      <w:r>
        <w:rPr/>
        <w:t>）相当于</w:t>
      </w:r>
      <w:r>
        <w:rPr>
          <w:rFonts w:ascii="Times New Roman" w:eastAsia="Times New Roman"/>
        </w:rPr>
        <w:t>Ann Arbor  </w:t>
      </w:r>
      <w:r>
        <w:rPr/>
        <w:t>分期方案</w:t>
      </w:r>
      <w:r>
        <w:rPr>
          <w:rFonts w:ascii="Times New Roman" w:eastAsia="Times New Roman"/>
        </w:rPr>
        <w:t>I</w:t>
      </w:r>
      <w:r>
        <w:rPr/>
        <w:t>期程度的何杰金氏病；</w:t>
      </w:r>
    </w:p>
    <w:p>
      <w:pPr>
        <w:pStyle w:val="BodyText"/>
        <w:spacing w:line="282" w:lineRule="exact"/>
        <w:ind w:left="526"/>
      </w:pPr>
      <w:r>
        <w:rPr/>
        <w:t>（</w:t>
      </w:r>
      <w:r>
        <w:rPr>
          <w:rFonts w:ascii="Times New Roman" w:eastAsia="Times New Roman"/>
        </w:rPr>
        <w:t>4</w:t>
      </w:r>
      <w:r>
        <w:rPr/>
        <w:t>）皮肤癌（不包括恶性黑色素瘤及已发生转移的皮肤癌）；</w:t>
      </w:r>
    </w:p>
    <w:p>
      <w:pPr>
        <w:pStyle w:val="ListParagraph"/>
        <w:numPr>
          <w:ilvl w:val="0"/>
          <w:numId w:val="5"/>
        </w:numPr>
        <w:tabs>
          <w:tab w:pos="1056" w:val="left" w:leader="none"/>
        </w:tabs>
        <w:spacing w:line="333" w:lineRule="exact" w:before="9" w:after="0"/>
        <w:ind w:left="1055" w:right="0" w:hanging="529"/>
        <w:jc w:val="left"/>
        <w:rPr>
          <w:sz w:val="21"/>
        </w:rPr>
      </w:pPr>
      <w:r>
        <w:rPr>
          <w:rFonts w:ascii="Times New Roman" w:eastAsia="Times New Roman"/>
          <w:sz w:val="21"/>
        </w:rPr>
        <w:t>TNM</w:t>
      </w:r>
      <w:r>
        <w:rPr>
          <w:spacing w:val="3"/>
          <w:sz w:val="21"/>
        </w:rPr>
        <w:t>分期为</w:t>
      </w:r>
      <w:r>
        <w:rPr>
          <w:rFonts w:ascii="Times New Roman" w:eastAsia="Times New Roman"/>
          <w:i/>
          <w:spacing w:val="-5"/>
          <w:sz w:val="24"/>
        </w:rPr>
        <w:t>T</w:t>
      </w:r>
      <w:r>
        <w:rPr>
          <w:rFonts w:ascii="Times New Roman" w:eastAsia="Times New Roman"/>
          <w:spacing w:val="-5"/>
          <w:position w:val="-5"/>
          <w:sz w:val="14"/>
        </w:rPr>
        <w:t>1</w:t>
      </w:r>
      <w:r>
        <w:rPr>
          <w:rFonts w:ascii="Times New Roman" w:eastAsia="Times New Roman"/>
          <w:i/>
          <w:spacing w:val="-5"/>
          <w:sz w:val="24"/>
        </w:rPr>
        <w:t>N</w:t>
      </w:r>
      <w:r>
        <w:rPr>
          <w:rFonts w:ascii="Times New Roman" w:eastAsia="Times New Roman"/>
          <w:spacing w:val="-5"/>
          <w:position w:val="-5"/>
          <w:sz w:val="14"/>
        </w:rPr>
        <w:t>0</w:t>
      </w:r>
      <w:r>
        <w:rPr>
          <w:rFonts w:ascii="Times New Roman" w:eastAsia="Times New Roman"/>
          <w:spacing w:val="-12"/>
          <w:position w:val="-5"/>
          <w:sz w:val="14"/>
        </w:rPr>
        <w:t> </w:t>
      </w:r>
      <w:r>
        <w:rPr>
          <w:rFonts w:ascii="Times New Roman" w:eastAsia="Times New Roman"/>
          <w:i/>
          <w:spacing w:val="6"/>
          <w:sz w:val="24"/>
        </w:rPr>
        <w:t>M</w:t>
      </w:r>
      <w:r>
        <w:rPr>
          <w:rFonts w:ascii="Times New Roman" w:eastAsia="Times New Roman"/>
          <w:spacing w:val="6"/>
          <w:position w:val="-5"/>
          <w:sz w:val="14"/>
        </w:rPr>
        <w:t>0</w:t>
      </w:r>
      <w:r>
        <w:rPr>
          <w:rFonts w:ascii="Times New Roman" w:eastAsia="Times New Roman"/>
          <w:spacing w:val="35"/>
          <w:position w:val="-5"/>
          <w:sz w:val="14"/>
        </w:rPr>
        <w:t> </w:t>
      </w:r>
      <w:r>
        <w:rPr>
          <w:spacing w:val="-3"/>
          <w:sz w:val="21"/>
        </w:rPr>
        <w:t>期或更轻分期的前列腺癌。</w:t>
      </w:r>
    </w:p>
    <w:p>
      <w:pPr>
        <w:pStyle w:val="BodyText"/>
        <w:spacing w:line="272" w:lineRule="exact"/>
        <w:ind w:left="526"/>
      </w:pPr>
      <w:r>
        <w:rPr/>
        <w:t>但因感染艾滋病病毒或患艾滋病期间所患恶性肿瘤不在保障范围内。</w:t>
      </w:r>
    </w:p>
    <w:p>
      <w:pPr>
        <w:pStyle w:val="BodyText"/>
        <w:spacing w:line="281" w:lineRule="exact"/>
        <w:ind w:left="526"/>
      </w:pPr>
      <w:r>
        <w:rPr>
          <w:rFonts w:ascii="Times New Roman" w:eastAsia="Times New Roman"/>
        </w:rPr>
        <w:t>*</w:t>
      </w:r>
      <w:r>
        <w:rPr/>
        <w:t>原位癌</w:t>
      </w:r>
    </w:p>
    <w:p>
      <w:pPr>
        <w:pStyle w:val="BodyText"/>
        <w:ind w:left="102" w:right="165" w:firstLine="424"/>
      </w:pPr>
      <w:r>
        <w:rPr/>
        <w:t>指恶性细胞局限于上皮内尚未穿破基底膜浸润周围正常组织的癌细胞新生物。原位癌必须经对固定活组织的组织病理学检查明确诊断。被保险人必须己经接受了针对原位癌病灶的积极治疗。</w:t>
      </w:r>
    </w:p>
    <w:p>
      <w:pPr>
        <w:pStyle w:val="BodyText"/>
        <w:rPr>
          <w:sz w:val="19"/>
        </w:rPr>
      </w:pPr>
    </w:p>
    <w:p>
      <w:pPr>
        <w:pStyle w:val="Heading2"/>
        <w:numPr>
          <w:ilvl w:val="1"/>
          <w:numId w:val="2"/>
        </w:numPr>
        <w:tabs>
          <w:tab w:pos="1105" w:val="left" w:leader="none"/>
          <w:tab w:pos="1106" w:val="left" w:leader="none"/>
        </w:tabs>
        <w:spacing w:line="281" w:lineRule="exact" w:before="0" w:after="0"/>
        <w:ind w:left="1105" w:right="0" w:hanging="579"/>
        <w:jc w:val="left"/>
      </w:pPr>
      <w:r>
        <w:rPr>
          <w:spacing w:val="-2"/>
        </w:rPr>
        <w:t>不典型的急性心肌梗塞</w:t>
      </w:r>
    </w:p>
    <w:p>
      <w:pPr>
        <w:pStyle w:val="BodyText"/>
        <w:spacing w:line="225" w:lineRule="auto" w:before="7"/>
        <w:ind w:left="102" w:right="167" w:firstLine="424"/>
      </w:pPr>
      <w:r>
        <w:rPr/>
        <w:t>指被临床诊断为急性心肌梗塞并接受了急性心肌梗塞治疗，虽然未达到重大疾病</w:t>
      </w:r>
      <w:r>
        <w:rPr>
          <w:rFonts w:ascii="Times New Roman" w:hAnsi="Times New Roman" w:eastAsia="Times New Roman"/>
        </w:rPr>
        <w:t>“</w:t>
      </w:r>
      <w:r>
        <w:rPr/>
        <w:t>急性心肌梗塞</w:t>
      </w:r>
      <w:r>
        <w:rPr>
          <w:rFonts w:ascii="Times New Roman" w:hAnsi="Times New Roman" w:eastAsia="Times New Roman"/>
        </w:rPr>
        <w:t>”</w:t>
      </w:r>
      <w:r>
        <w:rPr/>
        <w:t>的给付标准，但满足下列全部条件：</w:t>
      </w:r>
    </w:p>
    <w:p>
      <w:pPr>
        <w:pStyle w:val="BodyText"/>
        <w:spacing w:line="263" w:lineRule="exact"/>
        <w:ind w:left="526"/>
      </w:pPr>
      <w:r>
        <w:rPr/>
        <w:t>（</w:t>
      </w:r>
      <w:r>
        <w:rPr>
          <w:rFonts w:ascii="Times New Roman" w:eastAsia="Times New Roman"/>
        </w:rPr>
        <w:t>1</w:t>
      </w:r>
      <w:r>
        <w:rPr/>
        <w:t>）肌钙蛋白有诊断意义的升高；</w:t>
      </w:r>
    </w:p>
    <w:p>
      <w:pPr>
        <w:pStyle w:val="BodyText"/>
        <w:spacing w:line="282" w:lineRule="exact"/>
        <w:ind w:left="526"/>
      </w:pPr>
      <w:r>
        <w:rPr/>
        <w:t>（</w:t>
      </w:r>
      <w:r>
        <w:rPr>
          <w:rFonts w:ascii="Times New Roman" w:eastAsia="Times New Roman"/>
        </w:rPr>
        <w:t>2</w:t>
      </w:r>
      <w:r>
        <w:rPr/>
        <w:t>）心电图有损伤性的</w:t>
      </w:r>
      <w:r>
        <w:rPr>
          <w:rFonts w:ascii="Times New Roman" w:eastAsia="Times New Roman"/>
        </w:rPr>
        <w:t>ST</w:t>
      </w:r>
      <w:r>
        <w:rPr/>
        <w:t>段改变但未出现病理</w:t>
      </w:r>
      <w:r>
        <w:rPr>
          <w:rFonts w:ascii="Times New Roman" w:eastAsia="Times New Roman"/>
        </w:rPr>
        <w:t>Q</w:t>
      </w:r>
      <w:r>
        <w:rPr/>
        <w:t>波。</w:t>
      </w:r>
    </w:p>
    <w:p>
      <w:pPr>
        <w:pStyle w:val="BodyText"/>
        <w:spacing w:before="12"/>
        <w:rPr>
          <w:sz w:val="16"/>
        </w:rPr>
      </w:pPr>
    </w:p>
    <w:p>
      <w:pPr>
        <w:pStyle w:val="Heading2"/>
        <w:numPr>
          <w:ilvl w:val="1"/>
          <w:numId w:val="2"/>
        </w:numPr>
        <w:tabs>
          <w:tab w:pos="1105" w:val="left" w:leader="none"/>
          <w:tab w:pos="1106" w:val="left" w:leader="none"/>
        </w:tabs>
        <w:spacing w:line="281" w:lineRule="exact" w:before="1" w:after="0"/>
        <w:ind w:left="1105" w:right="0" w:hanging="579"/>
        <w:jc w:val="left"/>
      </w:pPr>
      <w:r>
        <w:rPr>
          <w:spacing w:val="-2"/>
        </w:rPr>
        <w:t>微创冠状动脉手术</w:t>
      </w:r>
      <w:r>
        <w:rPr/>
        <w:t>（非开胸手术）</w:t>
      </w:r>
    </w:p>
    <w:p>
      <w:pPr>
        <w:pStyle w:val="BodyText"/>
        <w:spacing w:line="237" w:lineRule="auto"/>
        <w:ind w:left="102" w:right="164" w:firstLine="424"/>
        <w:jc w:val="both"/>
      </w:pPr>
      <w:r>
        <w:rPr/>
        <w:t>指为纠正冠状动脉的狭窄或堵塞，而实际实施的冠状动脉球囊扩张成形术、冠状动脉支架植入术、冠状动脉粥肿斑块切除术、激光冠状动脉成形术或微创冠状动脉旁路移植手术。其中微创冠状动脉旁路移植手术通过微创开胸术（肋骨间小切口）进行，且诊断须由冠状动脉血管造影检查确诊狭窄或堵塞。微创冠状动脉绕道也包括</w:t>
      </w:r>
      <w:r>
        <w:rPr>
          <w:rFonts w:ascii="Times New Roman" w:hAnsi="Times New Roman" w:eastAsia="Times New Roman"/>
        </w:rPr>
        <w:t>“</w:t>
      </w:r>
      <w:r>
        <w:rPr/>
        <w:t>锁孔</w:t>
      </w:r>
      <w:r>
        <w:rPr>
          <w:rFonts w:ascii="Times New Roman" w:hAnsi="Times New Roman" w:eastAsia="Times New Roman"/>
        </w:rPr>
        <w:t>”</w:t>
      </w:r>
      <w:r>
        <w:rPr/>
        <w:t>冠脉搭桥手术。必须满足下列全部条件：</w:t>
      </w:r>
    </w:p>
    <w:p>
      <w:pPr>
        <w:pStyle w:val="ListParagraph"/>
        <w:numPr>
          <w:ilvl w:val="0"/>
          <w:numId w:val="6"/>
        </w:numPr>
        <w:tabs>
          <w:tab w:pos="1158" w:val="left" w:leader="none"/>
        </w:tabs>
        <w:spacing w:line="263" w:lineRule="exact" w:before="7" w:after="0"/>
        <w:ind w:left="1158" w:right="0" w:hanging="632"/>
        <w:jc w:val="left"/>
        <w:rPr>
          <w:sz w:val="21"/>
        </w:rPr>
      </w:pPr>
      <w:r>
        <w:rPr>
          <w:spacing w:val="-3"/>
          <w:sz w:val="21"/>
        </w:rPr>
        <w:t>血管造影显示至少两支冠状动脉狭窄超过</w:t>
      </w:r>
      <w:r>
        <w:rPr>
          <w:rFonts w:ascii="Times New Roman" w:eastAsia="Times New Roman"/>
          <w:sz w:val="21"/>
        </w:rPr>
        <w:t>50%</w:t>
      </w:r>
      <w:r>
        <w:rPr>
          <w:spacing w:val="-3"/>
          <w:sz w:val="21"/>
        </w:rPr>
        <w:t>或一支冠状动脉狭窄超过</w:t>
      </w:r>
      <w:r>
        <w:rPr>
          <w:rFonts w:ascii="Times New Roman" w:eastAsia="Times New Roman"/>
          <w:sz w:val="21"/>
        </w:rPr>
        <w:t>70%</w:t>
      </w:r>
      <w:r>
        <w:rPr>
          <w:sz w:val="21"/>
        </w:rPr>
        <w:t>；</w:t>
      </w:r>
    </w:p>
    <w:p>
      <w:pPr>
        <w:pStyle w:val="ListParagraph"/>
        <w:numPr>
          <w:ilvl w:val="0"/>
          <w:numId w:val="6"/>
        </w:numPr>
        <w:tabs>
          <w:tab w:pos="1158" w:val="left" w:leader="none"/>
        </w:tabs>
        <w:spacing w:line="282" w:lineRule="exact" w:before="0" w:after="0"/>
        <w:ind w:left="1158" w:right="0" w:hanging="632"/>
        <w:jc w:val="left"/>
        <w:rPr>
          <w:sz w:val="21"/>
        </w:rPr>
      </w:pPr>
      <w:r>
        <w:rPr>
          <w:spacing w:val="-3"/>
          <w:sz w:val="21"/>
        </w:rPr>
        <w:t>手术须由心脏专科医师进行，并确认该手术的必要性。</w:t>
      </w:r>
    </w:p>
    <w:p>
      <w:pPr>
        <w:pStyle w:val="BodyText"/>
        <w:rPr>
          <w:sz w:val="17"/>
        </w:rPr>
      </w:pPr>
    </w:p>
    <w:p>
      <w:pPr>
        <w:pStyle w:val="Heading2"/>
        <w:numPr>
          <w:ilvl w:val="1"/>
          <w:numId w:val="2"/>
        </w:numPr>
        <w:tabs>
          <w:tab w:pos="1105" w:val="left" w:leader="none"/>
          <w:tab w:pos="1106" w:val="left" w:leader="none"/>
        </w:tabs>
        <w:spacing w:line="281" w:lineRule="exact" w:before="0" w:after="0"/>
        <w:ind w:left="1105" w:right="0" w:hanging="579"/>
        <w:jc w:val="left"/>
      </w:pPr>
      <w:r>
        <w:rPr>
          <w:spacing w:val="-1"/>
        </w:rPr>
        <w:t>轻微脑中风后遗症</w:t>
      </w:r>
    </w:p>
    <w:p>
      <w:pPr>
        <w:pStyle w:val="BodyText"/>
        <w:spacing w:line="225" w:lineRule="auto" w:before="7"/>
        <w:ind w:left="102" w:right="101" w:firstLine="424"/>
        <w:jc w:val="both"/>
      </w:pPr>
      <w:r>
        <w:rPr>
          <w:spacing w:val="-7"/>
        </w:rPr>
        <w:t>指被保险人实际发生了脑血管的突发病变并出现神经系统功能障碍表现，头颅断层扫描</w:t>
      </w:r>
      <w:r>
        <w:rPr>
          <w:spacing w:val="-12"/>
        </w:rPr>
        <w:t>（</w:t>
      </w:r>
      <w:r>
        <w:rPr>
          <w:rFonts w:ascii="Times New Roman" w:hAnsi="Times New Roman" w:eastAsia="Times New Roman"/>
          <w:spacing w:val="-12"/>
        </w:rPr>
        <w:t>CT</w:t>
      </w:r>
      <w:r>
        <w:rPr>
          <w:spacing w:val="-12"/>
        </w:rPr>
        <w:t>）</w:t>
      </w:r>
      <w:r>
        <w:rPr>
          <w:spacing w:val="-44"/>
        </w:rPr>
        <w:t>、</w:t>
      </w:r>
      <w:r>
        <w:rPr>
          <w:spacing w:val="-4"/>
        </w:rPr>
        <w:t>核磁共振</w:t>
      </w:r>
      <w:r>
        <w:rPr>
          <w:spacing w:val="-3"/>
        </w:rPr>
        <w:t>（</w:t>
      </w:r>
      <w:r>
        <w:rPr>
          <w:rFonts w:ascii="Times New Roman" w:hAnsi="Times New Roman" w:eastAsia="Times New Roman"/>
          <w:spacing w:val="-3"/>
        </w:rPr>
        <w:t>MRI</w:t>
      </w:r>
      <w:r>
        <w:rPr>
          <w:spacing w:val="-3"/>
        </w:rPr>
        <w:t>）</w:t>
      </w:r>
      <w:r>
        <w:rPr>
          <w:spacing w:val="-6"/>
        </w:rPr>
        <w:t>等影像学检查证实存在对应病灶，确诊为脑出血、脑栓塞或者脑梗塞，在确诊</w:t>
      </w:r>
      <w:r>
        <w:rPr>
          <w:rFonts w:ascii="Times New Roman" w:hAnsi="Times New Roman" w:eastAsia="Times New Roman"/>
        </w:rPr>
        <w:t>180 </w:t>
      </w:r>
      <w:r>
        <w:rPr/>
        <w:t>天后遗留神经系统功能障碍。后遗的神经系统功能障碍程度虽未达到重大疾病</w:t>
      </w:r>
      <w:r>
        <w:rPr>
          <w:rFonts w:ascii="Times New Roman" w:hAnsi="Times New Roman" w:eastAsia="Times New Roman"/>
        </w:rPr>
        <w:t>“</w:t>
      </w:r>
      <w:r>
        <w:rPr/>
        <w:t>脑中风后遗症</w:t>
      </w:r>
      <w:r>
        <w:rPr>
          <w:rFonts w:ascii="Times New Roman" w:hAnsi="Times New Roman" w:eastAsia="Times New Roman"/>
        </w:rPr>
        <w:t>”</w:t>
      </w:r>
      <w:r>
        <w:rPr/>
        <w:t>的给</w:t>
      </w:r>
      <w:r>
        <w:rPr>
          <w:spacing w:val="-3"/>
        </w:rPr>
        <w:t>付标准，但仍遗留下列一种或者一种以上障碍：</w:t>
      </w:r>
    </w:p>
    <w:p>
      <w:pPr>
        <w:spacing w:after="0" w:line="225" w:lineRule="auto"/>
        <w:jc w:val="both"/>
        <w:sectPr>
          <w:pgSz w:w="11910" w:h="16840"/>
          <w:pgMar w:header="0" w:footer="1239" w:top="1060" w:bottom="1420" w:left="1600" w:right="960"/>
        </w:sectPr>
      </w:pPr>
    </w:p>
    <w:p>
      <w:pPr>
        <w:pStyle w:val="ListParagraph"/>
        <w:numPr>
          <w:ilvl w:val="0"/>
          <w:numId w:val="7"/>
        </w:numPr>
        <w:tabs>
          <w:tab w:pos="1170" w:val="left" w:leader="none"/>
        </w:tabs>
        <w:spacing w:line="282" w:lineRule="exact" w:before="20" w:after="0"/>
        <w:ind w:left="1169" w:right="0" w:hanging="631"/>
        <w:jc w:val="left"/>
        <w:rPr>
          <w:sz w:val="21"/>
        </w:rPr>
      </w:pPr>
      <w:r>
        <w:rPr>
          <w:spacing w:val="-3"/>
          <w:sz w:val="21"/>
        </w:rPr>
        <w:t>一肢或者一肢以上肢体机能部分丧失，其肢体肌力为Ⅲ级，或者小于Ⅲ级；</w:t>
      </w:r>
    </w:p>
    <w:p>
      <w:pPr>
        <w:pStyle w:val="ListParagraph"/>
        <w:numPr>
          <w:ilvl w:val="0"/>
          <w:numId w:val="7"/>
        </w:numPr>
        <w:tabs>
          <w:tab w:pos="1170" w:val="left" w:leader="none"/>
        </w:tabs>
        <w:spacing w:line="282" w:lineRule="exact" w:before="0" w:after="0"/>
        <w:ind w:left="1169" w:right="0" w:hanging="631"/>
        <w:jc w:val="left"/>
        <w:rPr>
          <w:sz w:val="21"/>
        </w:rPr>
      </w:pPr>
      <w:r>
        <w:rPr>
          <w:spacing w:val="-3"/>
          <w:sz w:val="21"/>
        </w:rPr>
        <w:t>自主生活能力部分丧失，无法独立完成六项基本日常生活活动中的两项或者两项以上。</w:t>
      </w:r>
    </w:p>
    <w:p>
      <w:pPr>
        <w:pStyle w:val="BodyText"/>
        <w:spacing w:before="1"/>
        <w:rPr>
          <w:sz w:val="17"/>
        </w:rPr>
      </w:pPr>
    </w:p>
    <w:p>
      <w:pPr>
        <w:pStyle w:val="Heading2"/>
        <w:numPr>
          <w:ilvl w:val="1"/>
          <w:numId w:val="2"/>
        </w:numPr>
        <w:tabs>
          <w:tab w:pos="1116" w:val="left" w:leader="none"/>
          <w:tab w:pos="1117" w:val="left" w:leader="none"/>
        </w:tabs>
        <w:spacing w:line="282" w:lineRule="exact" w:before="0" w:after="0"/>
        <w:ind w:left="1116" w:right="0" w:hanging="578"/>
        <w:jc w:val="left"/>
      </w:pPr>
      <w:r>
        <w:rPr>
          <w:spacing w:val="-2"/>
        </w:rPr>
        <w:t>微创心脏瓣膜介入手术</w:t>
      </w:r>
      <w:r>
        <w:rPr/>
        <w:t>（非开胸手术）</w:t>
      </w:r>
    </w:p>
    <w:p>
      <w:pPr>
        <w:pStyle w:val="BodyText"/>
        <w:spacing w:line="237" w:lineRule="auto"/>
        <w:ind w:left="112" w:right="213" w:firstLine="425"/>
      </w:pPr>
      <w:r>
        <w:rPr/>
        <w:t>为了治疗心脏瓣膜疾病，实际实施的非开胸的经胸壁打孔内镜手术或经皮经导管介入手术进行的心脏瓣膜置换或修复手术。</w:t>
      </w:r>
    </w:p>
    <w:p>
      <w:pPr>
        <w:pStyle w:val="BodyText"/>
        <w:spacing w:before="9"/>
        <w:rPr>
          <w:sz w:val="18"/>
        </w:rPr>
      </w:pPr>
    </w:p>
    <w:p>
      <w:pPr>
        <w:pStyle w:val="Heading2"/>
        <w:numPr>
          <w:ilvl w:val="1"/>
          <w:numId w:val="2"/>
        </w:numPr>
        <w:tabs>
          <w:tab w:pos="1116" w:val="left" w:leader="none"/>
          <w:tab w:pos="1117" w:val="left" w:leader="none"/>
        </w:tabs>
        <w:spacing w:line="282" w:lineRule="exact" w:before="0" w:after="0"/>
        <w:ind w:left="1116" w:right="0" w:hanging="578"/>
        <w:jc w:val="left"/>
      </w:pPr>
      <w:r>
        <w:rPr>
          <w:spacing w:val="-1"/>
        </w:rPr>
        <w:t>视力严重受损</w:t>
      </w:r>
      <w:r>
        <w:rPr>
          <w:rFonts w:ascii="Times New Roman" w:eastAsia="Times New Roman"/>
        </w:rPr>
        <w:t>------</w:t>
      </w:r>
      <w:r>
        <w:rPr/>
        <w:t>三岁始理赔</w:t>
      </w:r>
    </w:p>
    <w:p>
      <w:pPr>
        <w:pStyle w:val="BodyText"/>
        <w:spacing w:line="264" w:lineRule="exact"/>
        <w:ind w:left="538"/>
      </w:pPr>
      <w:r>
        <w:rPr/>
        <w:t>指因疾病或意外伤害导致双目视力</w:t>
      </w:r>
      <w:r>
        <w:rPr>
          <w:b/>
        </w:rPr>
        <w:t>永久不可逆</w:t>
      </w:r>
      <w:r>
        <w:rPr/>
        <w:t>性丧失，双眼中较好眼须满足下列全部条件：</w:t>
      </w:r>
    </w:p>
    <w:p>
      <w:pPr>
        <w:pStyle w:val="BodyText"/>
        <w:spacing w:line="280" w:lineRule="exact"/>
        <w:ind w:left="538"/>
      </w:pPr>
      <w:r>
        <w:rPr/>
        <w:t>（</w:t>
      </w:r>
      <w:r>
        <w:rPr>
          <w:rFonts w:ascii="Times New Roman" w:eastAsia="Times New Roman"/>
        </w:rPr>
        <w:t>1</w:t>
      </w:r>
      <w:r>
        <w:rPr/>
        <w:t>）矫正视力为</w:t>
      </w:r>
      <w:r>
        <w:rPr>
          <w:rFonts w:ascii="Times New Roman" w:eastAsia="Times New Roman"/>
        </w:rPr>
        <w:t>0.02-0.1</w:t>
      </w:r>
      <w:r>
        <w:rPr/>
        <w:t>（采用国际标准视力表，如果使用其他视力表应进行换算）</w:t>
      </w:r>
    </w:p>
    <w:p>
      <w:pPr>
        <w:pStyle w:val="BodyText"/>
        <w:spacing w:line="272" w:lineRule="exact"/>
        <w:ind w:left="538"/>
      </w:pPr>
      <w:r>
        <w:rPr/>
        <w:t>（</w:t>
      </w:r>
      <w:r>
        <w:rPr>
          <w:rFonts w:ascii="Times New Roman" w:eastAsia="Times New Roman"/>
        </w:rPr>
        <w:t>2</w:t>
      </w:r>
      <w:r>
        <w:rPr/>
        <w:t>）视野半径为</w:t>
      </w:r>
      <w:r>
        <w:rPr>
          <w:rFonts w:ascii="Times New Roman" w:eastAsia="Times New Roman"/>
        </w:rPr>
        <w:t>5-20</w:t>
      </w:r>
      <w:r>
        <w:rPr/>
        <w:t>度</w:t>
      </w:r>
    </w:p>
    <w:p>
      <w:pPr>
        <w:pStyle w:val="BodyText"/>
        <w:spacing w:line="265" w:lineRule="exact"/>
        <w:ind w:left="538"/>
      </w:pPr>
      <w:r>
        <w:rPr/>
        <w:t>被保险人申请理赔时年龄必须在三周岁以上，并且提供理赔当时的视力丧失诊断及检查证据。</w:t>
      </w:r>
    </w:p>
    <w:p>
      <w:pPr>
        <w:pStyle w:val="BodyText"/>
        <w:spacing w:before="3"/>
        <w:rPr>
          <w:sz w:val="18"/>
        </w:rPr>
      </w:pPr>
    </w:p>
    <w:p>
      <w:pPr>
        <w:pStyle w:val="Heading2"/>
        <w:numPr>
          <w:ilvl w:val="1"/>
          <w:numId w:val="2"/>
        </w:numPr>
        <w:tabs>
          <w:tab w:pos="1116" w:val="left" w:leader="none"/>
          <w:tab w:pos="1117" w:val="left" w:leader="none"/>
        </w:tabs>
        <w:spacing w:line="282" w:lineRule="exact" w:before="0" w:after="0"/>
        <w:ind w:left="1116" w:right="0" w:hanging="578"/>
        <w:jc w:val="left"/>
      </w:pPr>
      <w:r>
        <w:rPr/>
        <w:t>主动脉内手术</w:t>
      </w:r>
    </w:p>
    <w:p>
      <w:pPr>
        <w:pStyle w:val="BodyText"/>
        <w:spacing w:line="237" w:lineRule="auto"/>
        <w:ind w:left="112" w:right="107" w:firstLine="425"/>
      </w:pPr>
      <w:r>
        <w:rPr>
          <w:spacing w:val="-6"/>
        </w:rPr>
        <w:t>为了治疗主动脉疾病实际实施的经皮经导管进行的动脉内手术。主动脉指胸主动脉和腹主动脉， </w:t>
      </w:r>
      <w:r>
        <w:rPr>
          <w:spacing w:val="-4"/>
        </w:rPr>
        <w:t>不包括胸主动脉和腹主动脉的分支血管。</w:t>
      </w:r>
    </w:p>
    <w:p>
      <w:pPr>
        <w:pStyle w:val="BodyText"/>
        <w:spacing w:before="9"/>
        <w:rPr>
          <w:sz w:val="18"/>
        </w:rPr>
      </w:pPr>
    </w:p>
    <w:p>
      <w:pPr>
        <w:pStyle w:val="Heading2"/>
        <w:numPr>
          <w:ilvl w:val="1"/>
          <w:numId w:val="2"/>
        </w:numPr>
        <w:tabs>
          <w:tab w:pos="1116" w:val="left" w:leader="none"/>
          <w:tab w:pos="1117" w:val="left" w:leader="none"/>
        </w:tabs>
        <w:spacing w:line="282" w:lineRule="exact" w:before="0" w:after="0"/>
        <w:ind w:left="1116" w:right="0" w:hanging="578"/>
        <w:jc w:val="left"/>
      </w:pPr>
      <w:r>
        <w:rPr>
          <w:spacing w:val="-3"/>
        </w:rPr>
        <w:t>脑垂体瘤、脑囊肿、脑动脉瘤及脑血管瘤</w:t>
      </w:r>
    </w:p>
    <w:p>
      <w:pPr>
        <w:pStyle w:val="BodyText"/>
        <w:spacing w:line="223" w:lineRule="auto" w:before="11"/>
        <w:ind w:left="112" w:right="215" w:firstLine="425"/>
      </w:pPr>
      <w:r>
        <w:rPr/>
        <w:t>指经头颅断层扫描（</w:t>
      </w:r>
      <w:r>
        <w:rPr>
          <w:rFonts w:ascii="Times New Roman" w:eastAsia="Times New Roman"/>
        </w:rPr>
        <w:t>CT</w:t>
      </w:r>
      <w:r>
        <w:rPr/>
        <w:t>）、核磁共振（</w:t>
      </w:r>
      <w:r>
        <w:rPr>
          <w:rFonts w:ascii="Times New Roman" w:eastAsia="Times New Roman"/>
        </w:rPr>
        <w:t>MRI</w:t>
      </w:r>
      <w:r>
        <w:rPr/>
        <w:t>）或其他影像学检查被确诊为下列病变，并实际接受了手术或放射治疗。</w:t>
      </w:r>
    </w:p>
    <w:p>
      <w:pPr>
        <w:pStyle w:val="BodyText"/>
        <w:spacing w:line="280" w:lineRule="exact"/>
        <w:ind w:left="538"/>
      </w:pPr>
      <w:r>
        <w:rPr/>
        <w:t>（</w:t>
      </w:r>
      <w:r>
        <w:rPr>
          <w:rFonts w:ascii="Times New Roman" w:eastAsia="Times New Roman"/>
        </w:rPr>
        <w:t>1</w:t>
      </w:r>
      <w:r>
        <w:rPr/>
        <w:t>）脑垂体瘤；</w:t>
      </w:r>
    </w:p>
    <w:p>
      <w:pPr>
        <w:pStyle w:val="BodyText"/>
        <w:spacing w:line="272" w:lineRule="exact"/>
        <w:ind w:left="538"/>
      </w:pPr>
      <w:r>
        <w:rPr/>
        <w:t>（</w:t>
      </w:r>
      <w:r>
        <w:rPr>
          <w:rFonts w:ascii="Times New Roman" w:eastAsia="Times New Roman"/>
        </w:rPr>
        <w:t>2</w:t>
      </w:r>
      <w:r>
        <w:rPr/>
        <w:t>）脑囊肿；</w:t>
      </w:r>
    </w:p>
    <w:p>
      <w:pPr>
        <w:pStyle w:val="BodyText"/>
        <w:spacing w:line="282" w:lineRule="exact"/>
        <w:ind w:left="538"/>
      </w:pPr>
      <w:r>
        <w:rPr/>
        <w:t>（</w:t>
      </w:r>
      <w:r>
        <w:rPr>
          <w:rFonts w:ascii="Times New Roman" w:eastAsia="Times New Roman"/>
        </w:rPr>
        <w:t>3</w:t>
      </w:r>
      <w:r>
        <w:rPr/>
        <w:t>）脑动脉瘤、脑血管瘤。</w:t>
      </w:r>
    </w:p>
    <w:p>
      <w:pPr>
        <w:pStyle w:val="BodyText"/>
        <w:rPr>
          <w:sz w:val="17"/>
        </w:rPr>
      </w:pPr>
    </w:p>
    <w:p>
      <w:pPr>
        <w:pStyle w:val="Heading2"/>
        <w:numPr>
          <w:ilvl w:val="1"/>
          <w:numId w:val="2"/>
        </w:numPr>
        <w:tabs>
          <w:tab w:pos="1116" w:val="left" w:leader="none"/>
          <w:tab w:pos="1117" w:val="left" w:leader="none"/>
        </w:tabs>
        <w:spacing w:line="281" w:lineRule="exact" w:before="0" w:after="0"/>
        <w:ind w:left="1116" w:right="0" w:hanging="578"/>
        <w:jc w:val="left"/>
      </w:pPr>
      <w:r>
        <w:rPr>
          <w:spacing w:val="-11"/>
        </w:rPr>
        <w:t>较小面积 </w:t>
      </w:r>
      <w:r>
        <w:rPr>
          <w:rFonts w:ascii="Times New Roman" w:eastAsia="Times New Roman"/>
        </w:rPr>
        <w:t>III</w:t>
      </w:r>
      <w:r>
        <w:rPr>
          <w:rFonts w:ascii="Times New Roman" w:eastAsia="Times New Roman"/>
          <w:spacing w:val="-3"/>
        </w:rPr>
        <w:t> </w:t>
      </w:r>
      <w:r>
        <w:rPr/>
        <w:t>度烧伤</w:t>
      </w:r>
    </w:p>
    <w:p>
      <w:pPr>
        <w:pStyle w:val="BodyText"/>
        <w:spacing w:line="225" w:lineRule="auto" w:before="7"/>
        <w:ind w:left="112" w:right="198" w:firstLine="425"/>
      </w:pPr>
      <w:r>
        <w:rPr>
          <w:spacing w:val="-5"/>
        </w:rPr>
        <w:t>指烧伤程度为Ⅲ度，且Ⅲ度烧伤面积为全身体表面积的 </w:t>
      </w:r>
      <w:r>
        <w:rPr>
          <w:rFonts w:ascii="Times New Roman" w:hAnsi="Times New Roman" w:eastAsia="Times New Roman"/>
        </w:rPr>
        <w:t>10%</w:t>
      </w:r>
      <w:r>
        <w:rPr>
          <w:spacing w:val="-16"/>
        </w:rPr>
        <w:t>或者 </w:t>
      </w:r>
      <w:r>
        <w:rPr>
          <w:rFonts w:ascii="Times New Roman" w:hAnsi="Times New Roman" w:eastAsia="Times New Roman"/>
        </w:rPr>
        <w:t>10%</w:t>
      </w:r>
      <w:r>
        <w:rPr>
          <w:spacing w:val="-8"/>
        </w:rPr>
        <w:t>以上，但尚未达到 </w:t>
      </w:r>
      <w:r>
        <w:rPr>
          <w:rFonts w:ascii="Times New Roman" w:hAnsi="Times New Roman" w:eastAsia="Times New Roman"/>
        </w:rPr>
        <w:t>20%</w:t>
      </w:r>
      <w:r>
        <w:rPr/>
        <w:t>。</w:t>
      </w:r>
      <w:r>
        <w:rPr>
          <w:spacing w:val="-3"/>
        </w:rPr>
        <w:t>体表面积根据《中国新九分法》计算。</w:t>
      </w:r>
    </w:p>
    <w:p>
      <w:pPr>
        <w:pStyle w:val="BodyText"/>
        <w:spacing w:before="3"/>
        <w:rPr>
          <w:sz w:val="18"/>
        </w:rPr>
      </w:pPr>
    </w:p>
    <w:p>
      <w:pPr>
        <w:pStyle w:val="Heading2"/>
        <w:numPr>
          <w:ilvl w:val="1"/>
          <w:numId w:val="2"/>
        </w:numPr>
        <w:tabs>
          <w:tab w:pos="1219" w:val="left" w:leader="none"/>
          <w:tab w:pos="1220" w:val="left" w:leader="none"/>
        </w:tabs>
        <w:spacing w:line="281" w:lineRule="exact" w:before="0" w:after="0"/>
        <w:ind w:left="1219" w:right="0" w:hanging="681"/>
        <w:jc w:val="left"/>
      </w:pPr>
      <w:r>
        <w:rPr/>
        <w:t>重症头部外伤</w:t>
      </w:r>
    </w:p>
    <w:p>
      <w:pPr>
        <w:pStyle w:val="BodyText"/>
        <w:spacing w:line="225" w:lineRule="auto" w:before="7"/>
        <w:ind w:left="112" w:right="116" w:firstLine="425"/>
      </w:pPr>
      <w:r>
        <w:rPr>
          <w:spacing w:val="-6"/>
        </w:rPr>
        <w:t>指因头部遭受机械性外力伤害，引起脑重要部位损伤，并且由头颅断层扫描</w:t>
      </w:r>
      <w:r>
        <w:rPr/>
        <w:t>（</w:t>
      </w:r>
      <w:r>
        <w:rPr>
          <w:rFonts w:ascii="Times New Roman" w:eastAsia="Times New Roman"/>
        </w:rPr>
        <w:t>CT</w:t>
      </w:r>
      <w:r>
        <w:rPr/>
        <w:t>）</w:t>
      </w:r>
      <w:r>
        <w:rPr>
          <w:spacing w:val="-3"/>
        </w:rPr>
        <w:t>、核磁共振检查（</w:t>
      </w:r>
      <w:r>
        <w:rPr>
          <w:rFonts w:ascii="Times New Roman" w:eastAsia="Times New Roman"/>
          <w:spacing w:val="-3"/>
        </w:rPr>
        <w:t>MRI</w:t>
      </w:r>
      <w:r>
        <w:rPr>
          <w:spacing w:val="-3"/>
        </w:rPr>
        <w:t>）或正电子发射断层扫描</w:t>
      </w:r>
      <w:r>
        <w:rPr/>
        <w:t>（</w:t>
      </w:r>
      <w:r>
        <w:rPr>
          <w:rFonts w:ascii="Times New Roman" w:eastAsia="Times New Roman"/>
        </w:rPr>
        <w:t>PET</w:t>
      </w:r>
      <w:r>
        <w:rPr/>
        <w:t>）</w:t>
      </w:r>
      <w:r>
        <w:rPr>
          <w:spacing w:val="-3"/>
        </w:rPr>
        <w:t>等影像学检查证实。头部外伤导致神经系统功能障碍， 并且符合以下条件之一：</w:t>
      </w:r>
    </w:p>
    <w:p>
      <w:pPr>
        <w:pStyle w:val="BodyText"/>
        <w:spacing w:line="280" w:lineRule="exact"/>
        <w:ind w:left="538"/>
      </w:pPr>
      <w:r>
        <w:rPr/>
        <w:t>（</w:t>
      </w:r>
      <w:r>
        <w:rPr>
          <w:rFonts w:ascii="Times New Roman" w:eastAsia="Times New Roman"/>
        </w:rPr>
        <w:t>1</w:t>
      </w:r>
      <w:r>
        <w:rPr/>
        <w:t>）被保险人接受了全麻下颅骨切开颅内血肿清除术（颅骨钻孔术除外）；</w:t>
      </w:r>
    </w:p>
    <w:p>
      <w:pPr>
        <w:pStyle w:val="BodyText"/>
        <w:spacing w:line="272" w:lineRule="exact"/>
        <w:ind w:left="538"/>
      </w:pPr>
      <w:r>
        <w:rPr/>
        <w:t>（</w:t>
      </w:r>
      <w:r>
        <w:rPr>
          <w:rFonts w:ascii="Times New Roman" w:eastAsia="Times New Roman"/>
        </w:rPr>
        <w:t>2</w:t>
      </w:r>
      <w:r>
        <w:rPr/>
        <w:t>）在外伤 </w:t>
      </w:r>
      <w:r>
        <w:rPr>
          <w:rFonts w:ascii="Times New Roman" w:eastAsia="Times New Roman"/>
        </w:rPr>
        <w:t>180 </w:t>
      </w:r>
      <w:r>
        <w:rPr/>
        <w:t>天后仍然遗留一肢或一肢以上肢体肌力 </w:t>
      </w:r>
      <w:r>
        <w:rPr>
          <w:rFonts w:ascii="Times New Roman" w:eastAsia="Times New Roman"/>
        </w:rPr>
        <w:t>III </w:t>
      </w:r>
      <w:r>
        <w:rPr/>
        <w:t>级或 </w:t>
      </w:r>
      <w:r>
        <w:rPr>
          <w:rFonts w:ascii="Times New Roman" w:eastAsia="Times New Roman"/>
        </w:rPr>
        <w:t>III </w:t>
      </w:r>
      <w:r>
        <w:rPr/>
        <w:t>级以下的运动功能障碍。</w:t>
      </w:r>
    </w:p>
    <w:p>
      <w:pPr>
        <w:pStyle w:val="BodyText"/>
        <w:spacing w:line="282" w:lineRule="exact"/>
        <w:ind w:left="538"/>
      </w:pPr>
      <w:r>
        <w:rPr/>
        <w:t>（</w:t>
      </w:r>
      <w:r>
        <w:rPr>
          <w:rFonts w:ascii="Times New Roman" w:eastAsia="Times New Roman"/>
        </w:rPr>
        <w:t>3</w:t>
      </w:r>
      <w:r>
        <w:rPr/>
        <w:t>）在外伤 </w:t>
      </w:r>
      <w:r>
        <w:rPr>
          <w:rFonts w:ascii="Times New Roman" w:eastAsia="Times New Roman"/>
        </w:rPr>
        <w:t>180 </w:t>
      </w:r>
      <w:r>
        <w:rPr/>
        <w:t>天后语言能力或咀嚼吞咽能力部分丧失。</w:t>
      </w:r>
    </w:p>
    <w:p>
      <w:pPr>
        <w:pStyle w:val="BodyText"/>
        <w:spacing w:before="7"/>
        <w:rPr>
          <w:sz w:val="16"/>
        </w:rPr>
      </w:pPr>
    </w:p>
    <w:p>
      <w:pPr>
        <w:pStyle w:val="Heading1"/>
        <w:numPr>
          <w:ilvl w:val="0"/>
          <w:numId w:val="2"/>
        </w:numPr>
        <w:tabs>
          <w:tab w:pos="1181" w:val="left" w:leader="none"/>
          <w:tab w:pos="1182" w:val="left" w:leader="none"/>
        </w:tabs>
        <w:spacing w:line="324" w:lineRule="exact" w:before="1" w:after="0"/>
        <w:ind w:left="1181" w:right="0" w:hanging="586"/>
        <w:jc w:val="left"/>
      </w:pPr>
      <w:r>
        <w:rPr/>
        <w:t>重大疾病的定义及范围</w:t>
      </w:r>
    </w:p>
    <w:p>
      <w:pPr>
        <w:pStyle w:val="BodyText"/>
        <w:ind w:left="112" w:right="218" w:firstLine="420"/>
      </w:pPr>
      <w:r>
        <w:rPr/>
        <w:t>本合同所指重大疾病，是被保险人发生符合以下定义所述条件的疾病、疾病状态或手术，应当由专科医生明确诊断。</w:t>
      </w:r>
    </w:p>
    <w:p>
      <w:pPr>
        <w:pStyle w:val="BodyText"/>
        <w:spacing w:before="5"/>
      </w:pPr>
    </w:p>
    <w:p>
      <w:pPr>
        <w:pStyle w:val="Heading2"/>
        <w:numPr>
          <w:ilvl w:val="1"/>
          <w:numId w:val="2"/>
        </w:numPr>
        <w:tabs>
          <w:tab w:pos="1133" w:val="left" w:leader="none"/>
          <w:tab w:pos="1134" w:val="left" w:leader="none"/>
        </w:tabs>
        <w:spacing w:line="282" w:lineRule="exact" w:before="0" w:after="0"/>
        <w:ind w:left="1133" w:right="0" w:hanging="600"/>
        <w:jc w:val="left"/>
      </w:pPr>
      <w:r>
        <w:rPr/>
        <w:t>恶性肿瘤</w:t>
      </w:r>
    </w:p>
    <w:p>
      <w:pPr>
        <w:pStyle w:val="BodyText"/>
        <w:spacing w:line="237" w:lineRule="auto"/>
        <w:ind w:left="112" w:right="215" w:firstLine="420"/>
        <w:jc w:val="both"/>
      </w:pPr>
      <w:r>
        <w:rPr>
          <w:spacing w:val="-3"/>
        </w:rPr>
        <w:t>指恶性细胞不受控制的进行性增长和扩散，浸润和破坏周围正常组织，可以经血管、淋巴管和</w:t>
      </w:r>
      <w:r>
        <w:rPr>
          <w:spacing w:val="-11"/>
        </w:rPr>
        <w:t>体腔扩散转移到身体其它部位的疾病。经病理学检查结果明确诊断，临床诊断属于世界卫生组织《疾</w:t>
      </w:r>
      <w:r>
        <w:rPr>
          <w:spacing w:val="-10"/>
        </w:rPr>
        <w:t>病和有关健康问题的国际统计分类》</w:t>
      </w:r>
      <w:r>
        <w:rPr/>
        <w:t>（</w:t>
      </w:r>
      <w:r>
        <w:rPr>
          <w:rFonts w:ascii="Times New Roman" w:eastAsia="Times New Roman"/>
        </w:rPr>
        <w:t>ICD-10</w:t>
      </w:r>
      <w:r>
        <w:rPr/>
        <w:t>）</w:t>
      </w:r>
      <w:r>
        <w:rPr>
          <w:spacing w:val="-3"/>
        </w:rPr>
        <w:t>的恶性肿瘤范畴。</w:t>
      </w:r>
    </w:p>
    <w:p>
      <w:pPr>
        <w:pStyle w:val="BodyText"/>
        <w:spacing w:line="255" w:lineRule="exact" w:before="6"/>
        <w:ind w:left="533"/>
      </w:pPr>
      <w:r>
        <w:rPr/>
        <w:t>下列疾病不在保障范围内：</w:t>
      </w:r>
    </w:p>
    <w:p>
      <w:pPr>
        <w:pStyle w:val="Heading2"/>
        <w:ind w:left="535" w:firstLine="0"/>
      </w:pPr>
      <w:r>
        <w:rPr/>
        <w:t>（</w:t>
      </w:r>
      <w:r>
        <w:rPr>
          <w:rFonts w:ascii="Times New Roman" w:eastAsia="Times New Roman"/>
        </w:rPr>
        <w:t>1</w:t>
      </w:r>
      <w:r>
        <w:rPr/>
        <w:t>）原位癌；</w:t>
      </w:r>
    </w:p>
    <w:p>
      <w:pPr>
        <w:spacing w:line="272" w:lineRule="exact" w:before="0"/>
        <w:ind w:left="535" w:right="0" w:firstLine="0"/>
        <w:jc w:val="left"/>
        <w:rPr>
          <w:b/>
          <w:sz w:val="21"/>
        </w:rPr>
      </w:pPr>
      <w:r>
        <w:rPr>
          <w:b/>
          <w:sz w:val="21"/>
        </w:rPr>
        <w:t>（</w:t>
      </w:r>
      <w:r>
        <w:rPr>
          <w:rFonts w:ascii="Times New Roman" w:eastAsia="Times New Roman"/>
          <w:b/>
          <w:sz w:val="21"/>
        </w:rPr>
        <w:t>2</w:t>
      </w:r>
      <w:r>
        <w:rPr>
          <w:b/>
          <w:sz w:val="21"/>
        </w:rPr>
        <w:t>）相当于</w:t>
      </w:r>
      <w:r>
        <w:rPr>
          <w:rFonts w:ascii="Times New Roman" w:eastAsia="Times New Roman"/>
          <w:b/>
          <w:sz w:val="21"/>
        </w:rPr>
        <w:t>Binet</w:t>
      </w:r>
      <w:r>
        <w:rPr>
          <w:b/>
          <w:sz w:val="21"/>
        </w:rPr>
        <w:t>分期方案</w:t>
      </w:r>
      <w:r>
        <w:rPr>
          <w:rFonts w:ascii="Times New Roman" w:eastAsia="Times New Roman"/>
          <w:b/>
          <w:sz w:val="21"/>
        </w:rPr>
        <w:t>A</w:t>
      </w:r>
      <w:r>
        <w:rPr>
          <w:b/>
          <w:sz w:val="21"/>
        </w:rPr>
        <w:t>期程度的慢性淋巴细胞白血病；</w:t>
      </w:r>
    </w:p>
    <w:p>
      <w:pPr>
        <w:spacing w:line="272" w:lineRule="exact" w:before="0"/>
        <w:ind w:left="535" w:right="0" w:firstLine="0"/>
        <w:jc w:val="left"/>
        <w:rPr>
          <w:b/>
          <w:sz w:val="21"/>
        </w:rPr>
      </w:pPr>
      <w:r>
        <w:rPr>
          <w:b/>
          <w:sz w:val="21"/>
        </w:rPr>
        <w:t>（</w:t>
      </w:r>
      <w:r>
        <w:rPr>
          <w:rFonts w:ascii="Times New Roman" w:eastAsia="Times New Roman"/>
          <w:b/>
          <w:sz w:val="21"/>
        </w:rPr>
        <w:t>3</w:t>
      </w:r>
      <w:r>
        <w:rPr>
          <w:b/>
          <w:sz w:val="21"/>
        </w:rPr>
        <w:t>）相当于</w:t>
      </w:r>
      <w:r>
        <w:rPr>
          <w:rFonts w:ascii="Times New Roman" w:eastAsia="Times New Roman"/>
          <w:b/>
          <w:sz w:val="21"/>
        </w:rPr>
        <w:t>Ann Arbor</w:t>
      </w:r>
      <w:r>
        <w:rPr>
          <w:b/>
          <w:sz w:val="21"/>
        </w:rPr>
        <w:t>分期方案</w:t>
      </w:r>
      <w:r>
        <w:rPr>
          <w:rFonts w:ascii="Times New Roman" w:eastAsia="Times New Roman"/>
          <w:b/>
          <w:sz w:val="21"/>
        </w:rPr>
        <w:t>I</w:t>
      </w:r>
      <w:r>
        <w:rPr>
          <w:b/>
          <w:sz w:val="21"/>
        </w:rPr>
        <w:t>期程度的何杰金氏病；</w:t>
      </w:r>
    </w:p>
    <w:p>
      <w:pPr>
        <w:spacing w:line="272" w:lineRule="exact" w:before="0"/>
        <w:ind w:left="535" w:right="0" w:firstLine="0"/>
        <w:jc w:val="left"/>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spacing w:line="272" w:lineRule="exact" w:before="0"/>
        <w:ind w:left="535" w:right="0" w:firstLine="0"/>
        <w:jc w:val="left"/>
        <w:rPr>
          <w:b/>
          <w:sz w:val="21"/>
        </w:rPr>
      </w:pPr>
      <w:r>
        <w:rPr>
          <w:b/>
          <w:sz w:val="21"/>
        </w:rPr>
        <w:t>（</w:t>
      </w:r>
      <w:r>
        <w:rPr>
          <w:rFonts w:ascii="Times New Roman" w:eastAsia="Times New Roman"/>
          <w:b/>
          <w:sz w:val="21"/>
        </w:rPr>
        <w:t>5</w:t>
      </w:r>
      <w:r>
        <w:rPr>
          <w:b/>
          <w:sz w:val="21"/>
        </w:rPr>
        <w:t>）</w:t>
      </w:r>
      <w:r>
        <w:rPr>
          <w:rFonts w:ascii="Times New Roman" w:eastAsia="Times New Roman"/>
          <w:b/>
          <w:sz w:val="21"/>
        </w:rPr>
        <w:t>TNM</w:t>
      </w:r>
      <w:r>
        <w:rPr>
          <w:b/>
          <w:sz w:val="21"/>
        </w:rPr>
        <w:t>分期为</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r>
      <w:r>
        <w:rPr>
          <w:b/>
          <w:sz w:val="21"/>
          <w:vertAlign w:val="baseline"/>
        </w:rPr>
        <w:t>期或更轻分期的前列腺癌；</w:t>
      </w:r>
    </w:p>
    <w:p>
      <w:pPr>
        <w:spacing w:line="281" w:lineRule="exact" w:before="0"/>
        <w:ind w:left="535" w:right="0" w:firstLine="0"/>
        <w:jc w:val="left"/>
        <w:rPr>
          <w:b/>
          <w:sz w:val="21"/>
        </w:rPr>
      </w:pPr>
      <w:r>
        <w:rPr>
          <w:b/>
          <w:sz w:val="21"/>
        </w:rPr>
        <w:t>（</w:t>
      </w:r>
      <w:r>
        <w:rPr>
          <w:rFonts w:ascii="Times New Roman" w:eastAsia="Times New Roman"/>
          <w:b/>
          <w:sz w:val="21"/>
        </w:rPr>
        <w:t>6</w:t>
      </w:r>
      <w:r>
        <w:rPr>
          <w:b/>
          <w:sz w:val="21"/>
        </w:rPr>
        <w:t>）感染艾滋病病毒或患艾滋病期间所患恶性肿瘤。</w:t>
      </w:r>
    </w:p>
    <w:p>
      <w:pPr>
        <w:spacing w:after="0" w:line="281" w:lineRule="exact"/>
        <w:jc w:val="left"/>
        <w:rPr>
          <w:sz w:val="21"/>
        </w:rPr>
        <w:sectPr>
          <w:pgSz w:w="11910" w:h="16840"/>
          <w:pgMar w:header="0" w:footer="1239" w:top="1060" w:bottom="1420" w:left="1020" w:right="1480"/>
        </w:sectPr>
      </w:pPr>
    </w:p>
    <w:p>
      <w:pPr>
        <w:pStyle w:val="ListParagraph"/>
        <w:numPr>
          <w:ilvl w:val="1"/>
          <w:numId w:val="2"/>
        </w:numPr>
        <w:tabs>
          <w:tab w:pos="1121" w:val="left" w:leader="none"/>
          <w:tab w:pos="1122" w:val="left" w:leader="none"/>
        </w:tabs>
        <w:spacing w:line="282" w:lineRule="exact" w:before="20" w:after="0"/>
        <w:ind w:left="1122" w:right="0" w:hanging="600"/>
        <w:jc w:val="left"/>
        <w:rPr>
          <w:b/>
          <w:sz w:val="21"/>
        </w:rPr>
      </w:pPr>
      <w:r>
        <w:rPr>
          <w:b/>
          <w:sz w:val="21"/>
        </w:rPr>
        <w:t>急性心肌梗塞</w:t>
      </w:r>
    </w:p>
    <w:p>
      <w:pPr>
        <w:pStyle w:val="BodyText"/>
        <w:spacing w:line="265" w:lineRule="exact"/>
        <w:ind w:left="521"/>
      </w:pPr>
      <w:r>
        <w:rPr/>
        <w:t>指因冠状动脉阻塞导致的相应区域供血不足造成部分心肌坏死。须满足下列至少三项条件：</w:t>
      </w:r>
    </w:p>
    <w:p>
      <w:pPr>
        <w:pStyle w:val="BodyText"/>
        <w:spacing w:line="281" w:lineRule="exact"/>
        <w:ind w:left="521"/>
      </w:pPr>
      <w:r>
        <w:rPr/>
        <w:t>（</w:t>
      </w:r>
      <w:r>
        <w:rPr>
          <w:rFonts w:ascii="Times New Roman" w:eastAsia="Times New Roman"/>
        </w:rPr>
        <w:t>1</w:t>
      </w:r>
      <w:r>
        <w:rPr/>
        <w:t>）典型临床表现，例如急性胸痛等；</w:t>
      </w:r>
    </w:p>
    <w:p>
      <w:pPr>
        <w:pStyle w:val="BodyText"/>
        <w:spacing w:line="272" w:lineRule="exact"/>
        <w:ind w:left="521"/>
      </w:pPr>
      <w:r>
        <w:rPr/>
        <w:t>（</w:t>
      </w:r>
      <w:r>
        <w:rPr>
          <w:rFonts w:ascii="Times New Roman" w:eastAsia="Times New Roman"/>
        </w:rPr>
        <w:t>2</w:t>
      </w:r>
      <w:r>
        <w:rPr/>
        <w:t>）新近的心电图改变提示急性心肌梗塞；</w:t>
      </w:r>
    </w:p>
    <w:p>
      <w:pPr>
        <w:pStyle w:val="BodyText"/>
        <w:spacing w:line="272" w:lineRule="exact"/>
        <w:ind w:left="521"/>
      </w:pPr>
      <w:r>
        <w:rPr/>
        <w:t>（</w:t>
      </w:r>
      <w:r>
        <w:rPr>
          <w:rFonts w:ascii="Times New Roman" w:eastAsia="Times New Roman"/>
        </w:rPr>
        <w:t>3</w:t>
      </w:r>
      <w:r>
        <w:rPr/>
        <w:t>）心肌酶或肌钙蛋白有诊断意义的升高，或呈符合急性心肌梗塞的动态性变化；</w:t>
      </w:r>
    </w:p>
    <w:p>
      <w:pPr>
        <w:pStyle w:val="BodyText"/>
        <w:spacing w:line="282" w:lineRule="exact"/>
        <w:ind w:left="521"/>
      </w:pPr>
      <w:r>
        <w:rPr/>
        <w:t>（</w:t>
      </w:r>
      <w:r>
        <w:rPr>
          <w:rFonts w:ascii="Times New Roman" w:eastAsia="Times New Roman"/>
        </w:rPr>
        <w:t>4</w:t>
      </w:r>
      <w:r>
        <w:rPr/>
        <w:t>）发病</w:t>
      </w:r>
      <w:r>
        <w:rPr>
          <w:rFonts w:ascii="Times New Roman" w:eastAsia="Times New Roman"/>
        </w:rPr>
        <w:t>90</w:t>
      </w:r>
      <w:r>
        <w:rPr/>
        <w:t>天后，经检查证实左心室功能降低，如左心室射血分数低于</w:t>
      </w:r>
      <w:r>
        <w:rPr>
          <w:rFonts w:ascii="Times New Roman" w:eastAsia="Times New Roman"/>
        </w:rPr>
        <w:t>50%</w:t>
      </w:r>
      <w:r>
        <w:rPr/>
        <w:t>。</w:t>
      </w:r>
    </w:p>
    <w:p>
      <w:pPr>
        <w:pStyle w:val="BodyText"/>
        <w:rPr>
          <w:sz w:val="17"/>
        </w:rPr>
      </w:pPr>
    </w:p>
    <w:p>
      <w:pPr>
        <w:pStyle w:val="Heading2"/>
        <w:numPr>
          <w:ilvl w:val="1"/>
          <w:numId w:val="2"/>
        </w:numPr>
        <w:tabs>
          <w:tab w:pos="1121" w:val="left" w:leader="none"/>
          <w:tab w:pos="1122" w:val="left" w:leader="none"/>
        </w:tabs>
        <w:spacing w:line="281" w:lineRule="exact" w:before="0" w:after="0"/>
        <w:ind w:left="1122" w:right="0" w:hanging="600"/>
        <w:jc w:val="left"/>
      </w:pPr>
      <w:r>
        <w:rPr/>
        <w:t>脑中风后遗症</w:t>
      </w:r>
    </w:p>
    <w:p>
      <w:pPr>
        <w:pStyle w:val="BodyText"/>
        <w:ind w:left="102" w:right="109" w:firstLine="419"/>
      </w:pPr>
      <w:r>
        <w:rPr/>
        <w:t>指因脑血管的突发病变引起脑血管出血、栓塞或梗塞，并导致神经系统永久性的功能障碍。神经系统永久性的功能障碍，指疾病确诊</w:t>
      </w:r>
      <w:r>
        <w:rPr>
          <w:rFonts w:ascii="Times New Roman" w:eastAsia="Times New Roman"/>
        </w:rPr>
        <w:t>180</w:t>
      </w:r>
      <w:r>
        <w:rPr/>
        <w:t>天后，仍遗留下列一种或一种以上障碍：</w:t>
      </w:r>
    </w:p>
    <w:p>
      <w:pPr>
        <w:spacing w:line="263" w:lineRule="exact" w:before="10"/>
        <w:ind w:left="521" w:right="0" w:firstLine="0"/>
        <w:jc w:val="left"/>
        <w:rPr>
          <w:sz w:val="21"/>
        </w:rPr>
      </w:pPr>
      <w:r>
        <w:rPr>
          <w:w w:val="100"/>
          <w:sz w:val="21"/>
        </w:rPr>
        <w:t>（</w:t>
      </w:r>
      <w:r>
        <w:rPr>
          <w:rFonts w:ascii="Times New Roman" w:eastAsia="Times New Roman"/>
          <w:w w:val="100"/>
          <w:sz w:val="21"/>
        </w:rPr>
        <w:t>1</w:t>
      </w:r>
      <w:r>
        <w:rPr>
          <w:spacing w:val="-3"/>
          <w:w w:val="100"/>
          <w:sz w:val="21"/>
        </w:rPr>
        <w:t>）一肢或一肢以上</w:t>
      </w:r>
      <w:r>
        <w:rPr>
          <w:b/>
          <w:w w:val="100"/>
          <w:sz w:val="21"/>
        </w:rPr>
        <w:t>肢体机能完全丧失（</w:t>
      </w:r>
      <w:r>
        <w:rPr>
          <w:rFonts w:ascii="Times New Roman" w:eastAsia="Times New Roman"/>
          <w:b/>
          <w:spacing w:val="-3"/>
          <w:w w:val="100"/>
          <w:sz w:val="21"/>
        </w:rPr>
        <w:t>1</w:t>
      </w:r>
      <w:r>
        <w:rPr>
          <w:rFonts w:ascii="Times New Roman" w:eastAsia="Times New Roman"/>
          <w:b/>
          <w:w w:val="100"/>
          <w:sz w:val="21"/>
        </w:rPr>
        <w:t>2</w:t>
      </w:r>
      <w:r>
        <w:rPr>
          <w:rFonts w:ascii="Times New Roman" w:eastAsia="Times New Roman"/>
          <w:b/>
          <w:spacing w:val="-1"/>
          <w:w w:val="100"/>
          <w:sz w:val="21"/>
        </w:rPr>
        <w:t>.</w:t>
      </w:r>
      <w:r>
        <w:rPr>
          <w:rFonts w:ascii="Times New Roman" w:eastAsia="Times New Roman"/>
          <w:b/>
          <w:w w:val="100"/>
          <w:sz w:val="21"/>
        </w:rPr>
        <w:t>2</w:t>
      </w:r>
      <w:r>
        <w:rPr>
          <w:rFonts w:ascii="Times New Roman" w:eastAsia="Times New Roman"/>
          <w:b/>
          <w:spacing w:val="-3"/>
          <w:w w:val="100"/>
          <w:sz w:val="21"/>
        </w:rPr>
        <w:t>1</w:t>
      </w:r>
      <w:r>
        <w:rPr>
          <w:b/>
          <w:spacing w:val="-106"/>
          <w:w w:val="100"/>
          <w:sz w:val="21"/>
        </w:rPr>
        <w:t>）</w:t>
      </w:r>
      <w:r>
        <w:rPr>
          <w:w w:val="100"/>
          <w:sz w:val="21"/>
        </w:rPr>
        <w:t>；</w:t>
      </w:r>
    </w:p>
    <w:p>
      <w:pPr>
        <w:pStyle w:val="Heading2"/>
        <w:spacing w:line="272" w:lineRule="exact"/>
        <w:ind w:left="521" w:firstLine="0"/>
        <w:rPr>
          <w:b w:val="0"/>
        </w:rPr>
      </w:pPr>
      <w:r>
        <w:rPr>
          <w:b w:val="0"/>
          <w:w w:val="100"/>
        </w:rPr>
        <w:t>（</w:t>
      </w:r>
      <w:r>
        <w:rPr>
          <w:rFonts w:ascii="Times New Roman" w:eastAsia="Times New Roman"/>
          <w:b w:val="0"/>
          <w:w w:val="100"/>
        </w:rPr>
        <w:t>2</w:t>
      </w:r>
      <w:r>
        <w:rPr>
          <w:b w:val="0"/>
          <w:spacing w:val="-3"/>
          <w:w w:val="100"/>
        </w:rPr>
        <w:t>）</w:t>
      </w:r>
      <w:r>
        <w:rPr>
          <w:spacing w:val="-2"/>
          <w:w w:val="100"/>
        </w:rPr>
        <w:t>语言能力或咀嚼吞咽能力完全丧失</w:t>
      </w:r>
      <w:r>
        <w:rPr>
          <w:w w:val="100"/>
        </w:rPr>
        <w:t>（</w:t>
      </w:r>
      <w:r>
        <w:rPr>
          <w:rFonts w:ascii="Times New Roman" w:eastAsia="Times New Roman"/>
          <w:spacing w:val="-3"/>
          <w:w w:val="100"/>
        </w:rPr>
        <w:t>1</w:t>
      </w:r>
      <w:r>
        <w:rPr>
          <w:rFonts w:ascii="Times New Roman" w:eastAsia="Times New Roman"/>
          <w:w w:val="100"/>
        </w:rPr>
        <w:t>2</w:t>
      </w:r>
      <w:r>
        <w:rPr>
          <w:rFonts w:ascii="Times New Roman" w:eastAsia="Times New Roman"/>
          <w:spacing w:val="-1"/>
          <w:w w:val="100"/>
        </w:rPr>
        <w:t>.</w:t>
      </w:r>
      <w:r>
        <w:rPr>
          <w:rFonts w:ascii="Times New Roman" w:eastAsia="Times New Roman"/>
          <w:w w:val="100"/>
        </w:rPr>
        <w:t>2</w:t>
      </w:r>
      <w:r>
        <w:rPr>
          <w:rFonts w:ascii="Times New Roman" w:eastAsia="Times New Roman"/>
          <w:spacing w:val="-3"/>
          <w:w w:val="100"/>
        </w:rPr>
        <w:t>2</w:t>
      </w:r>
      <w:r>
        <w:rPr>
          <w:spacing w:val="-106"/>
          <w:w w:val="100"/>
        </w:rPr>
        <w:t>）</w:t>
      </w:r>
      <w:r>
        <w:rPr>
          <w:b w:val="0"/>
          <w:w w:val="100"/>
        </w:rPr>
        <w:t>；</w:t>
      </w:r>
    </w:p>
    <w:p>
      <w:pPr>
        <w:spacing w:line="225" w:lineRule="auto" w:before="8"/>
        <w:ind w:left="102" w:right="110" w:firstLine="419"/>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rPr>
        <w:t>12.23</w:t>
      </w:r>
      <w:r>
        <w:rPr>
          <w:b/>
          <w:sz w:val="21"/>
        </w:rPr>
        <w:t>）</w:t>
      </w:r>
      <w:r>
        <w:rPr>
          <w:sz w:val="21"/>
        </w:rPr>
        <w:t>中的三项或三项以上。</w:t>
      </w:r>
    </w:p>
    <w:p>
      <w:pPr>
        <w:pStyle w:val="BodyText"/>
        <w:spacing w:before="10"/>
        <w:rPr>
          <w:sz w:val="20"/>
        </w:rPr>
      </w:pPr>
    </w:p>
    <w:p>
      <w:pPr>
        <w:pStyle w:val="Heading2"/>
        <w:numPr>
          <w:ilvl w:val="1"/>
          <w:numId w:val="2"/>
        </w:numPr>
        <w:tabs>
          <w:tab w:pos="1121" w:val="left" w:leader="none"/>
          <w:tab w:pos="1122" w:val="left" w:leader="none"/>
        </w:tabs>
        <w:spacing w:line="282" w:lineRule="exact" w:before="0" w:after="0"/>
        <w:ind w:left="1122" w:right="0" w:hanging="600"/>
        <w:jc w:val="left"/>
      </w:pPr>
      <w:r>
        <w:rPr>
          <w:spacing w:val="-1"/>
        </w:rPr>
        <w:t>重大器官移植术或造血干细胞移植术</w:t>
      </w:r>
    </w:p>
    <w:p>
      <w:pPr>
        <w:pStyle w:val="BodyText"/>
        <w:spacing w:line="237" w:lineRule="auto"/>
        <w:ind w:left="102" w:right="110" w:firstLine="419"/>
      </w:pPr>
      <w:r>
        <w:rPr/>
        <w:t>重大器官移植术，指因相应器官功能衰竭，已经实施了肾脏、肝脏、心脏或肺脏的异体移植手术。</w:t>
      </w:r>
    </w:p>
    <w:p>
      <w:pPr>
        <w:pStyle w:val="BodyText"/>
        <w:spacing w:line="237" w:lineRule="auto" w:before="7"/>
        <w:ind w:left="102" w:right="109" w:firstLine="419"/>
      </w:pPr>
      <w:r>
        <w:rPr/>
        <w:t>造血干细胞移植术，指因造血功能损害或造血系统恶性肿瘤，已经实施了造血干细胞（包括骨髓造血干细胞、外周血造血干细胞和脐血造血干细胞）的异体移植手术。</w:t>
      </w:r>
    </w:p>
    <w:p>
      <w:pPr>
        <w:pStyle w:val="BodyText"/>
        <w:spacing w:before="12"/>
        <w:rPr>
          <w:sz w:val="20"/>
        </w:rPr>
      </w:pPr>
    </w:p>
    <w:p>
      <w:pPr>
        <w:pStyle w:val="Heading2"/>
        <w:numPr>
          <w:ilvl w:val="1"/>
          <w:numId w:val="2"/>
        </w:numPr>
        <w:tabs>
          <w:tab w:pos="1121" w:val="left" w:leader="none"/>
          <w:tab w:pos="1122" w:val="left" w:leader="none"/>
        </w:tabs>
        <w:spacing w:line="281" w:lineRule="exact" w:before="0" w:after="0"/>
        <w:ind w:left="1122" w:right="0" w:hanging="600"/>
        <w:jc w:val="left"/>
      </w:pPr>
      <w:r>
        <w:rPr/>
        <w:t>冠状动脉搭桥术</w:t>
      </w:r>
      <w:r>
        <w:rPr>
          <w:spacing w:val="-3"/>
        </w:rPr>
        <w:t>（</w:t>
      </w:r>
      <w:r>
        <w:rPr>
          <w:spacing w:val="-2"/>
        </w:rPr>
        <w:t>或称冠状动脉旁路移植术</w:t>
      </w:r>
      <w:r>
        <w:rPr/>
        <w:t>）</w:t>
      </w:r>
    </w:p>
    <w:p>
      <w:pPr>
        <w:pStyle w:val="BodyText"/>
        <w:spacing w:line="264" w:lineRule="exact"/>
        <w:ind w:left="521"/>
      </w:pPr>
      <w:r>
        <w:rPr/>
        <w:t>指为治疗严重的冠心病，实际实施了开胸进行的冠状动脉血管旁路移植的手术。</w:t>
      </w:r>
    </w:p>
    <w:p>
      <w:pPr>
        <w:pStyle w:val="Heading2"/>
        <w:spacing w:line="237" w:lineRule="auto" w:before="2"/>
        <w:ind w:left="102" w:right="107" w:firstLine="422"/>
      </w:pPr>
      <w:r>
        <w:rPr/>
        <w:t>冠状动脉支架植入术、心导管球囊扩张术、激光射频技术及其它非开胸的介入手术、腔镜手术不在保障范围内。</w:t>
      </w:r>
    </w:p>
    <w:p>
      <w:pPr>
        <w:pStyle w:val="BodyText"/>
        <w:spacing w:before="12"/>
        <w:rPr>
          <w:b/>
          <w:sz w:val="20"/>
        </w:rPr>
      </w:pPr>
    </w:p>
    <w:p>
      <w:pPr>
        <w:pStyle w:val="ListParagraph"/>
        <w:numPr>
          <w:ilvl w:val="1"/>
          <w:numId w:val="2"/>
        </w:numPr>
        <w:tabs>
          <w:tab w:pos="1121" w:val="left" w:leader="none"/>
          <w:tab w:pos="1122" w:val="left" w:leader="none"/>
        </w:tabs>
        <w:spacing w:line="281" w:lineRule="exact" w:before="0" w:after="0"/>
        <w:ind w:left="1122" w:right="0" w:hanging="600"/>
        <w:jc w:val="left"/>
        <w:rPr>
          <w:b/>
          <w:sz w:val="21"/>
        </w:rPr>
      </w:pPr>
      <w:r>
        <w:rPr>
          <w:b/>
          <w:sz w:val="21"/>
        </w:rPr>
        <w:t>终末期肾病（</w:t>
      </w:r>
      <w:r>
        <w:rPr>
          <w:b/>
          <w:spacing w:val="-3"/>
          <w:sz w:val="21"/>
        </w:rPr>
        <w:t>或称慢性肾功能衰竭尿毒症期</w:t>
      </w:r>
      <w:r>
        <w:rPr>
          <w:b/>
          <w:sz w:val="21"/>
        </w:rPr>
        <w:t>）</w:t>
      </w:r>
    </w:p>
    <w:p>
      <w:pPr>
        <w:pStyle w:val="BodyText"/>
        <w:spacing w:line="225" w:lineRule="auto" w:before="7"/>
        <w:ind w:left="102" w:right="109" w:firstLine="419"/>
      </w:pPr>
      <w:r>
        <w:rPr/>
        <w:t>指双肾功能慢性不可逆性衰竭，达到尿毒症期，经诊断后已经进行了至少</w:t>
      </w:r>
      <w:r>
        <w:rPr>
          <w:rFonts w:ascii="Times New Roman" w:eastAsia="Times New Roman"/>
        </w:rPr>
        <w:t>90</w:t>
      </w:r>
      <w:r>
        <w:rPr/>
        <w:t>天的规律性透析治疗或实施了肾脏移植手术。</w:t>
      </w:r>
    </w:p>
    <w:p>
      <w:pPr>
        <w:pStyle w:val="BodyText"/>
        <w:spacing w:before="3"/>
        <w:rPr>
          <w:sz w:val="18"/>
        </w:rPr>
      </w:pPr>
    </w:p>
    <w:p>
      <w:pPr>
        <w:pStyle w:val="Heading2"/>
        <w:numPr>
          <w:ilvl w:val="1"/>
          <w:numId w:val="2"/>
        </w:numPr>
        <w:tabs>
          <w:tab w:pos="1121" w:val="left" w:leader="none"/>
          <w:tab w:pos="1122" w:val="left" w:leader="none"/>
        </w:tabs>
        <w:spacing w:line="281" w:lineRule="exact" w:before="0" w:after="0"/>
        <w:ind w:left="1122" w:right="0" w:hanging="600"/>
        <w:jc w:val="left"/>
      </w:pPr>
      <w:r>
        <w:rPr/>
        <w:t>多个肢体缺失</w:t>
      </w:r>
    </w:p>
    <w:p>
      <w:pPr>
        <w:pStyle w:val="BodyText"/>
        <w:ind w:left="102" w:right="110" w:firstLine="419"/>
      </w:pPr>
      <w:r>
        <w:rPr/>
        <w:t>指因疾病或意外伤害导致两个或两个以上肢体自腕关节或踝关节近端（靠近躯干端）以上完全性断离。</w:t>
      </w:r>
    </w:p>
    <w:p>
      <w:pPr>
        <w:pStyle w:val="BodyText"/>
        <w:rPr>
          <w:sz w:val="19"/>
        </w:rPr>
      </w:pPr>
    </w:p>
    <w:p>
      <w:pPr>
        <w:pStyle w:val="Heading2"/>
        <w:numPr>
          <w:ilvl w:val="1"/>
          <w:numId w:val="2"/>
        </w:numPr>
        <w:tabs>
          <w:tab w:pos="1121" w:val="left" w:leader="none"/>
          <w:tab w:pos="1122" w:val="left" w:leader="none"/>
        </w:tabs>
        <w:spacing w:line="281" w:lineRule="exact" w:before="0" w:after="0"/>
        <w:ind w:left="1122" w:right="0" w:hanging="600"/>
        <w:jc w:val="left"/>
      </w:pPr>
      <w:r>
        <w:rPr>
          <w:spacing w:val="-1"/>
        </w:rPr>
        <w:t>急性或亚急性重症肝炎</w:t>
      </w:r>
    </w:p>
    <w:p>
      <w:pPr>
        <w:pStyle w:val="BodyText"/>
        <w:ind w:left="102" w:right="110" w:firstLine="419"/>
      </w:pPr>
      <w:r>
        <w:rPr/>
        <w:t>指因肝炎病毒感染引起肝脏组织弥漫性坏死，导致急性肝功能衰竭，且经血清学或病毒学检查证实，并须满足下列全部条件：</w:t>
      </w:r>
    </w:p>
    <w:p>
      <w:pPr>
        <w:pStyle w:val="BodyText"/>
        <w:spacing w:line="279" w:lineRule="exact" w:before="10"/>
        <w:ind w:left="521"/>
      </w:pPr>
      <w:r>
        <w:rPr/>
        <w:t>（</w:t>
      </w:r>
      <w:r>
        <w:rPr>
          <w:rFonts w:ascii="Times New Roman" w:eastAsia="Times New Roman"/>
        </w:rPr>
        <w:t>1</w:t>
      </w:r>
      <w:r>
        <w:rPr/>
        <w:t>）重度黄疸或黄疸迅速加重；</w:t>
      </w:r>
    </w:p>
    <w:p>
      <w:pPr>
        <w:pStyle w:val="BodyText"/>
        <w:spacing w:line="272" w:lineRule="exact"/>
        <w:ind w:left="521"/>
      </w:pPr>
      <w:r>
        <w:rPr/>
        <w:t>（</w:t>
      </w:r>
      <w:r>
        <w:rPr>
          <w:rFonts w:ascii="Times New Roman" w:eastAsia="Times New Roman"/>
        </w:rPr>
        <w:t>2</w:t>
      </w:r>
      <w:r>
        <w:rPr/>
        <w:t>）肝性脑病；</w:t>
      </w:r>
    </w:p>
    <w:p>
      <w:pPr>
        <w:pStyle w:val="BodyText"/>
        <w:spacing w:line="272" w:lineRule="exact"/>
        <w:ind w:left="521"/>
      </w:pPr>
      <w:r>
        <w:rPr/>
        <w:t>（</w:t>
      </w:r>
      <w:r>
        <w:rPr>
          <w:rFonts w:ascii="Times New Roman" w:eastAsia="Times New Roman"/>
        </w:rPr>
        <w:t>3</w:t>
      </w:r>
      <w:r>
        <w:rPr/>
        <w:t>）</w:t>
      </w:r>
      <w:r>
        <w:rPr>
          <w:rFonts w:ascii="Times New Roman" w:eastAsia="Times New Roman"/>
        </w:rPr>
        <w:t>B</w:t>
      </w:r>
      <w:r>
        <w:rPr/>
        <w:t>超或其它影像学检查显示肝脏体积急速萎缩；</w:t>
      </w:r>
    </w:p>
    <w:p>
      <w:pPr>
        <w:pStyle w:val="BodyText"/>
        <w:spacing w:line="282" w:lineRule="exact"/>
        <w:ind w:left="521"/>
      </w:pPr>
      <w:r>
        <w:rPr/>
        <w:t>（</w:t>
      </w:r>
      <w:r>
        <w:rPr>
          <w:rFonts w:ascii="Times New Roman" w:eastAsia="Times New Roman"/>
        </w:rPr>
        <w:t>4</w:t>
      </w:r>
      <w:r>
        <w:rPr/>
        <w:t>）肝功能指标进行性恶化。</w:t>
      </w:r>
    </w:p>
    <w:p>
      <w:pPr>
        <w:pStyle w:val="BodyText"/>
        <w:rPr>
          <w:sz w:val="17"/>
        </w:rPr>
      </w:pPr>
    </w:p>
    <w:p>
      <w:pPr>
        <w:pStyle w:val="Heading2"/>
        <w:numPr>
          <w:ilvl w:val="1"/>
          <w:numId w:val="2"/>
        </w:numPr>
        <w:tabs>
          <w:tab w:pos="1121" w:val="left" w:leader="none"/>
          <w:tab w:pos="1122" w:val="left" w:leader="none"/>
        </w:tabs>
        <w:spacing w:line="281" w:lineRule="exact" w:before="0" w:after="0"/>
        <w:ind w:left="1122" w:right="0" w:hanging="600"/>
        <w:jc w:val="left"/>
      </w:pPr>
      <w:r>
        <w:rPr/>
        <w:t>良性脑肿瘤</w:t>
      </w:r>
    </w:p>
    <w:p>
      <w:pPr>
        <w:pStyle w:val="BodyText"/>
        <w:ind w:left="102" w:right="104" w:firstLine="419"/>
      </w:pPr>
      <w:r>
        <w:rPr>
          <w:spacing w:val="-3"/>
        </w:rPr>
        <w:t>指脑的良性肿瘤，已经引起颅内压增高，临床表现为视神经乳头水肿、精神症状、癫痫及运动</w:t>
      </w:r>
      <w:r>
        <w:rPr>
          <w:spacing w:val="-8"/>
          <w:w w:val="100"/>
        </w:rPr>
        <w:t>感觉障碍等，并危及生命。须由头颅断层扫描</w:t>
      </w:r>
      <w:r>
        <w:rPr>
          <w:w w:val="100"/>
        </w:rPr>
        <w:t>（</w:t>
      </w:r>
      <w:r>
        <w:rPr>
          <w:rFonts w:ascii="Times New Roman" w:eastAsia="Times New Roman"/>
          <w:spacing w:val="-2"/>
          <w:w w:val="100"/>
        </w:rPr>
        <w:t>C</w:t>
      </w:r>
      <w:r>
        <w:rPr>
          <w:rFonts w:ascii="Times New Roman" w:eastAsia="Times New Roman"/>
          <w:w w:val="100"/>
        </w:rPr>
        <w:t>T</w:t>
      </w:r>
      <w:r>
        <w:rPr>
          <w:spacing w:val="-108"/>
          <w:w w:val="100"/>
        </w:rPr>
        <w:t>）</w:t>
      </w:r>
      <w:r>
        <w:rPr>
          <w:spacing w:val="-8"/>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17"/>
          <w:w w:val="100"/>
        </w:rPr>
        <w:t>）</w:t>
      </w:r>
      <w:r>
        <w:rPr>
          <w:spacing w:val="-3"/>
          <w:w w:val="100"/>
        </w:rPr>
        <w:t>或正电子发射断层扫描</w:t>
      </w:r>
    </w:p>
    <w:p>
      <w:pPr>
        <w:pStyle w:val="BodyText"/>
        <w:spacing w:line="263" w:lineRule="exact" w:before="10"/>
        <w:ind w:left="87" w:right="3749"/>
        <w:jc w:val="center"/>
      </w:pPr>
      <w:r>
        <w:rPr/>
        <w:t>（</w:t>
      </w:r>
      <w:r>
        <w:rPr>
          <w:rFonts w:ascii="Times New Roman" w:eastAsia="Times New Roman"/>
        </w:rPr>
        <w:t>PET</w:t>
      </w:r>
      <w:r>
        <w:rPr/>
        <w:t>）等影像学检查证实，并须满足下列至少一项条件：</w:t>
      </w:r>
    </w:p>
    <w:p>
      <w:pPr>
        <w:pStyle w:val="BodyText"/>
        <w:spacing w:line="272" w:lineRule="exact"/>
        <w:ind w:left="521"/>
      </w:pPr>
      <w:r>
        <w:rPr/>
        <w:t>（</w:t>
      </w:r>
      <w:r>
        <w:rPr>
          <w:rFonts w:ascii="Times New Roman" w:eastAsia="Times New Roman"/>
        </w:rPr>
        <w:t>1</w:t>
      </w:r>
      <w:r>
        <w:rPr/>
        <w:t>）实际实施了开颅进行的脑肿瘤完全切除或部分切除的手术；</w:t>
      </w:r>
    </w:p>
    <w:p>
      <w:pPr>
        <w:pStyle w:val="BodyText"/>
        <w:spacing w:line="271" w:lineRule="exact"/>
        <w:ind w:left="521"/>
      </w:pPr>
      <w:r>
        <w:rPr/>
        <w:t>（</w:t>
      </w:r>
      <w:r>
        <w:rPr>
          <w:rFonts w:ascii="Times New Roman" w:eastAsia="Times New Roman"/>
        </w:rPr>
        <w:t>2</w:t>
      </w:r>
      <w:r>
        <w:rPr/>
        <w:t>）实际实施了对脑肿瘤进行的放射治疗。</w:t>
      </w:r>
    </w:p>
    <w:p>
      <w:pPr>
        <w:pStyle w:val="Heading2"/>
        <w:spacing w:line="265" w:lineRule="exact"/>
        <w:ind w:left="524" w:firstLine="0"/>
      </w:pPr>
      <w:r>
        <w:rPr/>
        <w:t>脑垂体瘤、脑囊肿、脑血管性疾病不在保障范围内。</w:t>
      </w:r>
    </w:p>
    <w:p>
      <w:pPr>
        <w:pStyle w:val="BodyText"/>
        <w:rPr>
          <w:b/>
        </w:rPr>
      </w:pPr>
    </w:p>
    <w:p>
      <w:pPr>
        <w:pStyle w:val="ListParagraph"/>
        <w:numPr>
          <w:ilvl w:val="1"/>
          <w:numId w:val="2"/>
        </w:numPr>
        <w:tabs>
          <w:tab w:pos="1227" w:val="left" w:leader="none"/>
          <w:tab w:pos="1228" w:val="left" w:leader="none"/>
        </w:tabs>
        <w:spacing w:line="281" w:lineRule="exact" w:before="0" w:after="0"/>
        <w:ind w:left="1227" w:right="0" w:hanging="705"/>
        <w:jc w:val="left"/>
        <w:rPr>
          <w:b/>
          <w:sz w:val="21"/>
        </w:rPr>
      </w:pPr>
      <w:r>
        <w:rPr>
          <w:b/>
          <w:spacing w:val="-1"/>
          <w:sz w:val="21"/>
        </w:rPr>
        <w:t>慢性肝功能衰竭失代偿期</w:t>
      </w:r>
    </w:p>
    <w:p>
      <w:pPr>
        <w:pStyle w:val="BodyText"/>
        <w:spacing w:line="265" w:lineRule="exact"/>
        <w:ind w:left="521"/>
      </w:pPr>
      <w:r>
        <w:rPr/>
        <w:t>指因慢性肝脏疾病导致肝功能衰竭。须满足下列全部条件：</w:t>
      </w:r>
    </w:p>
    <w:p>
      <w:pPr>
        <w:spacing w:after="0" w:line="265" w:lineRule="exact"/>
        <w:sectPr>
          <w:pgSz w:w="11910" w:h="16840"/>
          <w:pgMar w:header="0" w:footer="1239" w:top="1060" w:bottom="1420" w:left="1600" w:right="1020"/>
        </w:sectPr>
      </w:pPr>
    </w:p>
    <w:p>
      <w:pPr>
        <w:pStyle w:val="BodyText"/>
        <w:spacing w:line="282" w:lineRule="exact" w:before="20"/>
        <w:ind w:left="533"/>
      </w:pPr>
      <w:r>
        <w:rPr/>
        <w:t>（</w:t>
      </w:r>
      <w:r>
        <w:rPr>
          <w:rFonts w:ascii="Times New Roman" w:eastAsia="Times New Roman"/>
        </w:rPr>
        <w:t>1</w:t>
      </w:r>
      <w:r>
        <w:rPr/>
        <w:t>）持续性黄疸；</w:t>
      </w:r>
    </w:p>
    <w:p>
      <w:pPr>
        <w:pStyle w:val="BodyText"/>
        <w:spacing w:line="273" w:lineRule="exact"/>
        <w:ind w:left="533"/>
      </w:pPr>
      <w:r>
        <w:rPr/>
        <w:t>（</w:t>
      </w:r>
      <w:r>
        <w:rPr>
          <w:rFonts w:ascii="Times New Roman" w:eastAsia="Times New Roman"/>
        </w:rPr>
        <w:t>2</w:t>
      </w:r>
      <w:r>
        <w:rPr/>
        <w:t>）腹水；</w:t>
      </w:r>
    </w:p>
    <w:p>
      <w:pPr>
        <w:pStyle w:val="BodyText"/>
        <w:spacing w:line="273" w:lineRule="exact"/>
        <w:ind w:left="533"/>
      </w:pPr>
      <w:r>
        <w:rPr/>
        <w:t>（</w:t>
      </w:r>
      <w:r>
        <w:rPr>
          <w:rFonts w:ascii="Times New Roman" w:eastAsia="Times New Roman"/>
        </w:rPr>
        <w:t>3</w:t>
      </w:r>
      <w:r>
        <w:rPr/>
        <w:t>）肝性脑病；</w:t>
      </w:r>
    </w:p>
    <w:p>
      <w:pPr>
        <w:spacing w:line="223" w:lineRule="auto" w:before="11"/>
        <w:ind w:left="535" w:right="3722" w:hanging="3"/>
        <w:jc w:val="left"/>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p>
      <w:pPr>
        <w:pStyle w:val="BodyText"/>
        <w:spacing w:before="2"/>
        <w:rPr>
          <w:b/>
          <w:sz w:val="18"/>
        </w:rPr>
      </w:pPr>
    </w:p>
    <w:p>
      <w:pPr>
        <w:pStyle w:val="Heading2"/>
        <w:numPr>
          <w:ilvl w:val="1"/>
          <w:numId w:val="2"/>
        </w:numPr>
        <w:tabs>
          <w:tab w:pos="1231" w:val="left" w:leader="none"/>
          <w:tab w:pos="1232" w:val="left" w:leader="none"/>
        </w:tabs>
        <w:spacing w:line="282" w:lineRule="exact" w:before="0" w:after="0"/>
        <w:ind w:left="1231" w:right="0" w:hanging="698"/>
        <w:jc w:val="left"/>
      </w:pPr>
      <w:r>
        <w:rPr>
          <w:spacing w:val="-1"/>
        </w:rPr>
        <w:t>脑炎后遗症或脑膜炎后遗症</w:t>
      </w:r>
    </w:p>
    <w:p>
      <w:pPr>
        <w:pStyle w:val="BodyText"/>
        <w:spacing w:line="237" w:lineRule="auto"/>
        <w:ind w:left="112" w:right="218" w:firstLine="420"/>
      </w:pPr>
      <w:r>
        <w:rPr/>
        <w:t>指因患脑炎或脑膜炎导致的神经系统永久性的功能障碍。神经系统永久性的功能障碍，指疾病确诊</w:t>
      </w:r>
      <w:r>
        <w:rPr>
          <w:rFonts w:ascii="Times New Roman" w:eastAsia="Times New Roman"/>
        </w:rPr>
        <w:t>180</w:t>
      </w:r>
      <w:r>
        <w:rPr/>
        <w:t>天后，仍遗留下列一种或一种以上障碍：</w:t>
      </w:r>
    </w:p>
    <w:p>
      <w:pPr>
        <w:pStyle w:val="BodyText"/>
        <w:spacing w:line="264" w:lineRule="exact" w:before="6"/>
        <w:ind w:left="533"/>
      </w:pPr>
      <w:r>
        <w:rPr/>
        <w:t>（</w:t>
      </w:r>
      <w:r>
        <w:rPr>
          <w:rFonts w:ascii="Times New Roman" w:eastAsia="Times New Roman"/>
        </w:rPr>
        <w:t>1</w:t>
      </w:r>
      <w:r>
        <w:rPr/>
        <w:t>）一肢或一肢以上肢体机能完全丧失；</w:t>
      </w:r>
    </w:p>
    <w:p>
      <w:pPr>
        <w:pStyle w:val="BodyText"/>
        <w:spacing w:line="272" w:lineRule="exact"/>
        <w:ind w:left="533"/>
      </w:pPr>
      <w:r>
        <w:rPr/>
        <w:t>（</w:t>
      </w:r>
      <w:r>
        <w:rPr>
          <w:rFonts w:ascii="Times New Roman" w:eastAsia="Times New Roman"/>
        </w:rPr>
        <w:t>2</w:t>
      </w:r>
      <w:r>
        <w:rPr/>
        <w:t>）语言能力或咀嚼吞咽能力完全丧失；</w:t>
      </w:r>
    </w:p>
    <w:p>
      <w:pPr>
        <w:pStyle w:val="BodyText"/>
        <w:spacing w:line="282" w:lineRule="exact"/>
        <w:ind w:left="533"/>
      </w:pPr>
      <w:r>
        <w:rPr/>
        <w:t>（</w:t>
      </w:r>
      <w:r>
        <w:rPr>
          <w:rFonts w:ascii="Times New Roman" w:eastAsia="Times New Roman"/>
        </w:rPr>
        <w:t>3</w:t>
      </w:r>
      <w:r>
        <w:rPr/>
        <w:t>）自主生活能力完全丧失，无法独立完成六项基本日常生活活动中的三项或三项以上。</w:t>
      </w:r>
    </w:p>
    <w:p>
      <w:pPr>
        <w:pStyle w:val="BodyText"/>
        <w:spacing w:before="12"/>
        <w:rPr>
          <w:sz w:val="16"/>
        </w:rPr>
      </w:pPr>
    </w:p>
    <w:p>
      <w:pPr>
        <w:pStyle w:val="Heading2"/>
        <w:numPr>
          <w:ilvl w:val="1"/>
          <w:numId w:val="2"/>
        </w:numPr>
        <w:tabs>
          <w:tab w:pos="1238" w:val="left" w:leader="none"/>
          <w:tab w:pos="1239" w:val="left" w:leader="none"/>
        </w:tabs>
        <w:spacing w:line="281" w:lineRule="exact" w:before="1" w:after="0"/>
        <w:ind w:left="1238" w:right="0" w:hanging="705"/>
        <w:jc w:val="left"/>
      </w:pPr>
      <w:r>
        <w:rPr/>
        <w:t>深度昏迷</w:t>
      </w:r>
    </w:p>
    <w:p>
      <w:pPr>
        <w:pStyle w:val="BodyText"/>
        <w:spacing w:line="225" w:lineRule="auto" w:before="7"/>
        <w:ind w:left="112" w:right="215" w:firstLine="420"/>
        <w:jc w:val="both"/>
      </w:pP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 coma scale</w:t>
      </w:r>
      <w:r>
        <w:rPr/>
        <w:t>）结果为</w:t>
      </w:r>
      <w:r>
        <w:rPr>
          <w:rFonts w:ascii="Times New Roman" w:eastAsia="Times New Roman"/>
        </w:rPr>
        <w:t>5</w:t>
      </w:r>
      <w:r>
        <w:rPr/>
        <w:t>分或</w:t>
      </w:r>
      <w:r>
        <w:rPr>
          <w:rFonts w:ascii="Times New Roman" w:eastAsia="Times New Roman"/>
        </w:rPr>
        <w:t>5</w:t>
      </w:r>
      <w:r>
        <w:rPr/>
        <w:t>分以下，且已经持续使用呼吸机及其它生命维持系统</w:t>
      </w:r>
      <w:r>
        <w:rPr>
          <w:rFonts w:ascii="Times New Roman" w:eastAsia="Times New Roman"/>
        </w:rPr>
        <w:t>96 </w:t>
      </w:r>
      <w:r>
        <w:rPr/>
        <w:t>小时以上。</w:t>
      </w:r>
    </w:p>
    <w:p>
      <w:pPr>
        <w:pStyle w:val="Heading2"/>
        <w:spacing w:line="274" w:lineRule="exact"/>
        <w:ind w:left="535" w:firstLine="0"/>
      </w:pPr>
      <w:r>
        <w:rPr/>
        <w:t>因酗酒或药物滥用导致的深度昏迷不在保障范围内。</w:t>
      </w:r>
    </w:p>
    <w:p>
      <w:pPr>
        <w:pStyle w:val="BodyText"/>
        <w:spacing w:before="11"/>
        <w:rPr>
          <w:b/>
          <w:sz w:val="20"/>
        </w:rPr>
      </w:pPr>
    </w:p>
    <w:p>
      <w:pPr>
        <w:pStyle w:val="ListParagraph"/>
        <w:numPr>
          <w:ilvl w:val="1"/>
          <w:numId w:val="2"/>
        </w:numPr>
        <w:tabs>
          <w:tab w:pos="1238" w:val="left" w:leader="none"/>
          <w:tab w:pos="1239" w:val="left" w:leader="none"/>
        </w:tabs>
        <w:spacing w:line="282" w:lineRule="exact" w:before="0" w:after="0"/>
        <w:ind w:left="1238" w:right="0" w:hanging="705"/>
        <w:jc w:val="left"/>
        <w:rPr>
          <w:b/>
          <w:sz w:val="21"/>
        </w:rPr>
      </w:pPr>
      <w:r>
        <w:rPr>
          <w:b/>
          <w:sz w:val="21"/>
        </w:rPr>
        <w:t>双耳失聪</w:t>
      </w:r>
    </w:p>
    <w:p>
      <w:pPr>
        <w:pStyle w:val="BodyText"/>
        <w:spacing w:line="225" w:lineRule="auto" w:before="8"/>
        <w:ind w:left="112" w:right="212" w:firstLine="420"/>
        <w:jc w:val="both"/>
      </w:pPr>
      <w:r>
        <w:rPr/>
        <w:t>指因疾病或意外伤害导致双耳听力</w:t>
      </w:r>
      <w:r>
        <w:rPr>
          <w:b/>
        </w:rPr>
        <w:t>永久不可逆（</w:t>
      </w:r>
      <w:r>
        <w:rPr>
          <w:rFonts w:ascii="Times New Roman" w:eastAsia="Times New Roman"/>
          <w:b/>
        </w:rPr>
        <w:t>12.24</w:t>
      </w:r>
      <w:r>
        <w:rPr>
          <w:b/>
        </w:rPr>
        <w:t>）</w:t>
      </w:r>
      <w:r>
        <w:rPr/>
        <w:t>性丧失，在</w:t>
      </w:r>
      <w:r>
        <w:rPr>
          <w:rFonts w:ascii="Times New Roman" w:eastAsia="Times New Roman"/>
        </w:rPr>
        <w:t>500</w:t>
      </w:r>
      <w:r>
        <w:rPr/>
        <w:t>赫兹、</w:t>
      </w:r>
      <w:r>
        <w:rPr>
          <w:rFonts w:ascii="Times New Roman" w:eastAsia="Times New Roman"/>
        </w:rPr>
        <w:t>1000</w:t>
      </w:r>
      <w:r>
        <w:rPr/>
        <w:t>赫兹和</w:t>
      </w:r>
      <w:r>
        <w:rPr>
          <w:rFonts w:ascii="Times New Roman" w:eastAsia="Times New Roman"/>
        </w:rPr>
        <w:t>2000 </w:t>
      </w:r>
      <w:r>
        <w:rPr/>
        <w:t>赫兹语音频率下，平均听阈大于</w:t>
      </w:r>
      <w:r>
        <w:rPr>
          <w:rFonts w:ascii="Times New Roman" w:eastAsia="Times New Roman"/>
        </w:rPr>
        <w:t>90</w:t>
      </w:r>
      <w:r>
        <w:rPr/>
        <w:t>分贝，且经纯音听力测试、声导抗检测或听觉诱发电位检测等证实。</w:t>
      </w:r>
    </w:p>
    <w:p>
      <w:pPr>
        <w:pStyle w:val="BodyText"/>
        <w:spacing w:line="237" w:lineRule="auto"/>
        <w:ind w:left="112" w:right="215" w:firstLine="420"/>
        <w:jc w:val="both"/>
      </w:pPr>
      <w:r>
        <w:rPr/>
        <w:t>特别声明：我们将在被保险人年龄在三周岁或以上时受理理赔，并且保险金申请人必须提供理赔受理当时的听力丧失诊断及检查证据。若被保险人发病时不足三周岁，我们将延期到被保险人年满三周岁后予以受理和评估。</w:t>
      </w:r>
    </w:p>
    <w:p>
      <w:pPr>
        <w:pStyle w:val="BodyText"/>
        <w:spacing w:before="4"/>
        <w:rPr>
          <w:sz w:val="18"/>
        </w:rPr>
      </w:pPr>
    </w:p>
    <w:p>
      <w:pPr>
        <w:pStyle w:val="Heading2"/>
        <w:numPr>
          <w:ilvl w:val="1"/>
          <w:numId w:val="2"/>
        </w:numPr>
        <w:tabs>
          <w:tab w:pos="1238" w:val="left" w:leader="none"/>
          <w:tab w:pos="1239" w:val="left" w:leader="none"/>
        </w:tabs>
        <w:spacing w:line="282" w:lineRule="exact" w:before="0" w:after="0"/>
        <w:ind w:left="1238" w:right="0" w:hanging="705"/>
        <w:jc w:val="left"/>
      </w:pPr>
      <w:r>
        <w:rPr/>
        <w:t>双目失明</w:t>
      </w:r>
    </w:p>
    <w:p>
      <w:pPr>
        <w:pStyle w:val="BodyText"/>
        <w:spacing w:line="264" w:lineRule="exact"/>
        <w:ind w:left="533"/>
      </w:pPr>
      <w:r>
        <w:rPr/>
        <w:t>指因疾病或意外伤害导致双眼视力永久不可逆性丧失，双眼中较好眼须满足下列至少一项条件：</w:t>
      </w:r>
    </w:p>
    <w:p>
      <w:pPr>
        <w:pStyle w:val="BodyText"/>
        <w:spacing w:line="280" w:lineRule="exact"/>
        <w:ind w:left="533"/>
      </w:pPr>
      <w:r>
        <w:rPr/>
        <w:t>（</w:t>
      </w:r>
      <w:r>
        <w:rPr>
          <w:rFonts w:ascii="Times New Roman" w:eastAsia="Times New Roman"/>
        </w:rPr>
        <w:t>1</w:t>
      </w:r>
      <w:r>
        <w:rPr/>
        <w:t>）眼球缺失或摘除；</w:t>
      </w:r>
    </w:p>
    <w:p>
      <w:pPr>
        <w:pStyle w:val="BodyText"/>
        <w:spacing w:line="273" w:lineRule="exact"/>
        <w:ind w:left="533"/>
      </w:pPr>
      <w:r>
        <w:rPr>
          <w:w w:val="100"/>
        </w:rPr>
        <w:t>（</w:t>
      </w:r>
      <w:r>
        <w:rPr>
          <w:rFonts w:ascii="Times New Roman" w:eastAsia="Times New Roman"/>
          <w:w w:val="100"/>
        </w:rPr>
        <w:t>2</w:t>
      </w:r>
      <w:r>
        <w:rPr>
          <w:spacing w:val="-3"/>
          <w:w w:val="100"/>
        </w:rPr>
        <w:t>）矫正视力低于</w:t>
      </w:r>
      <w:r>
        <w:rPr>
          <w:rFonts w:ascii="Times New Roman" w:eastAsia="Times New Roman"/>
          <w:spacing w:val="-3"/>
          <w:w w:val="100"/>
        </w:rPr>
        <w:t>0</w:t>
      </w:r>
      <w:r>
        <w:rPr>
          <w:rFonts w:ascii="Times New Roman" w:eastAsia="Times New Roman"/>
          <w:w w:val="100"/>
        </w:rPr>
        <w:t>.0</w:t>
      </w:r>
      <w:r>
        <w:rPr>
          <w:rFonts w:ascii="Times New Roman" w:eastAsia="Times New Roman"/>
          <w:spacing w:val="-3"/>
          <w:w w:val="100"/>
        </w:rPr>
        <w:t>2</w:t>
      </w:r>
      <w:r>
        <w:rPr>
          <w:spacing w:val="-3"/>
          <w:w w:val="100"/>
        </w:rPr>
        <w:t>（采用国际标准视力表，如果使用其它视力表应进行换算</w:t>
      </w:r>
      <w:r>
        <w:rPr>
          <w:spacing w:val="-108"/>
          <w:w w:val="100"/>
        </w:rPr>
        <w:t>）</w:t>
      </w:r>
      <w:r>
        <w:rPr>
          <w:w w:val="100"/>
        </w:rPr>
        <w:t>；</w:t>
      </w:r>
    </w:p>
    <w:p>
      <w:pPr>
        <w:pStyle w:val="BodyText"/>
        <w:spacing w:line="273" w:lineRule="exact"/>
        <w:ind w:left="533"/>
      </w:pPr>
      <w:r>
        <w:rPr/>
        <w:t>（</w:t>
      </w:r>
      <w:r>
        <w:rPr>
          <w:rFonts w:ascii="Times New Roman" w:eastAsia="Times New Roman"/>
        </w:rPr>
        <w:t>3</w:t>
      </w:r>
      <w:r>
        <w:rPr/>
        <w:t>）视野半径小于</w:t>
      </w:r>
      <w:r>
        <w:rPr>
          <w:rFonts w:ascii="Times New Roman" w:eastAsia="Times New Roman"/>
        </w:rPr>
        <w:t>5</w:t>
      </w:r>
      <w:r>
        <w:rPr/>
        <w:t>度。</w:t>
      </w:r>
    </w:p>
    <w:p>
      <w:pPr>
        <w:pStyle w:val="BodyText"/>
        <w:spacing w:line="237" w:lineRule="auto"/>
        <w:ind w:left="112" w:right="216" w:firstLine="420"/>
        <w:jc w:val="both"/>
      </w:pPr>
      <w:r>
        <w:rPr/>
        <w:t>特别声明：我们将在被保险人年龄在三周岁或以上时受理理赔，并且保险金申请人必须提供理赔受理当时的视力丧失诊断及检查证据。若被保险人发病时不足三周岁，我们将延期到被保险人年满三周岁后予以受理和评估。</w:t>
      </w:r>
    </w:p>
    <w:p>
      <w:pPr>
        <w:pStyle w:val="BodyText"/>
        <w:spacing w:before="3"/>
      </w:pPr>
    </w:p>
    <w:p>
      <w:pPr>
        <w:pStyle w:val="Heading2"/>
        <w:numPr>
          <w:ilvl w:val="1"/>
          <w:numId w:val="2"/>
        </w:numPr>
        <w:tabs>
          <w:tab w:pos="1238" w:val="left" w:leader="none"/>
          <w:tab w:pos="1239" w:val="left" w:leader="none"/>
        </w:tabs>
        <w:spacing w:line="282" w:lineRule="exact" w:before="1" w:after="0"/>
        <w:ind w:left="1238" w:right="0" w:hanging="705"/>
        <w:jc w:val="left"/>
      </w:pPr>
      <w:r>
        <w:rPr/>
        <w:t>瘫痪</w:t>
      </w:r>
    </w:p>
    <w:p>
      <w:pPr>
        <w:pStyle w:val="BodyText"/>
        <w:spacing w:line="230" w:lineRule="auto" w:before="2"/>
        <w:ind w:left="112" w:right="216" w:firstLine="420"/>
        <w:jc w:val="both"/>
      </w:pPr>
      <w:r>
        <w:rPr/>
        <w:t>指因疾病或意外伤害导致两肢或两肢以上肢体机能永久完全丧失。肢体机能永久完全丧失，指疾病确诊</w:t>
      </w:r>
      <w:r>
        <w:rPr>
          <w:rFonts w:ascii="Times New Roman" w:eastAsia="Times New Roman"/>
        </w:rPr>
        <w:t>180</w:t>
      </w:r>
      <w:r>
        <w:rPr/>
        <w:t>天后或意外伤害发生</w:t>
      </w:r>
      <w:r>
        <w:rPr>
          <w:rFonts w:ascii="Times New Roman" w:eastAsia="Times New Roman"/>
        </w:rPr>
        <w:t>180</w:t>
      </w:r>
      <w:r>
        <w:rPr/>
        <w:t>天后，每肢三大关节中的两大关节仍然完全僵硬，或不能随意识活动。</w:t>
      </w:r>
    </w:p>
    <w:p>
      <w:pPr>
        <w:pStyle w:val="BodyText"/>
        <w:spacing w:before="10"/>
        <w:rPr>
          <w:sz w:val="20"/>
        </w:rPr>
      </w:pPr>
    </w:p>
    <w:p>
      <w:pPr>
        <w:pStyle w:val="Heading2"/>
        <w:numPr>
          <w:ilvl w:val="1"/>
          <w:numId w:val="2"/>
        </w:numPr>
        <w:tabs>
          <w:tab w:pos="1238" w:val="left" w:leader="none"/>
          <w:tab w:pos="1239" w:val="left" w:leader="none"/>
        </w:tabs>
        <w:spacing w:line="281" w:lineRule="exact" w:before="0" w:after="0"/>
        <w:ind w:left="1238" w:right="0" w:hanging="705"/>
        <w:jc w:val="left"/>
      </w:pPr>
      <w:r>
        <w:rPr/>
        <w:t>心脏瓣膜手术</w:t>
      </w:r>
    </w:p>
    <w:p>
      <w:pPr>
        <w:pStyle w:val="BodyText"/>
        <w:spacing w:line="265" w:lineRule="exact"/>
        <w:ind w:left="533"/>
      </w:pPr>
      <w:r>
        <w:rPr/>
        <w:t>指为治疗心脏瓣膜疾病，实际实施了开胸进行的心脏瓣膜置换或修复的手术。</w:t>
      </w:r>
    </w:p>
    <w:p>
      <w:pPr>
        <w:pStyle w:val="BodyText"/>
        <w:spacing w:before="6"/>
        <w:rPr>
          <w:sz w:val="18"/>
        </w:rPr>
      </w:pPr>
    </w:p>
    <w:p>
      <w:pPr>
        <w:pStyle w:val="Heading2"/>
        <w:numPr>
          <w:ilvl w:val="1"/>
          <w:numId w:val="2"/>
        </w:numPr>
        <w:tabs>
          <w:tab w:pos="1238" w:val="left" w:leader="none"/>
          <w:tab w:pos="1239" w:val="left" w:leader="none"/>
        </w:tabs>
        <w:spacing w:line="281" w:lineRule="exact" w:before="0" w:after="0"/>
        <w:ind w:left="1238" w:right="0" w:hanging="705"/>
        <w:jc w:val="left"/>
      </w:pPr>
      <w:r>
        <w:rPr/>
        <w:t>严重阿尔茨海默病</w:t>
      </w:r>
    </w:p>
    <w:p>
      <w:pPr>
        <w:pStyle w:val="BodyText"/>
        <w:spacing w:line="228" w:lineRule="auto" w:before="3"/>
        <w:ind w:left="112" w:right="215" w:firstLine="420"/>
        <w:jc w:val="both"/>
      </w:pPr>
      <w:r>
        <w:rPr>
          <w:spacing w:val="-3"/>
        </w:rPr>
        <w:t>指因大脑进行性、不可逆性改变导致智能严重衰退或丧失，临床表现为明显的认知能力障碍、</w:t>
      </w:r>
      <w:r>
        <w:rPr>
          <w:w w:val="100"/>
        </w:rPr>
        <w:t>行为异常和社交能力减退，其日常生活必须持续受到他人监护。须由头颅断层扫描</w:t>
      </w:r>
      <w:r>
        <w:rPr>
          <w:spacing w:val="5"/>
          <w:w w:val="100"/>
        </w:rPr>
        <w:t>（</w:t>
      </w:r>
      <w:r>
        <w:rPr>
          <w:rFonts w:ascii="Times New Roman" w:eastAsia="Times New Roman"/>
          <w:spacing w:val="-2"/>
          <w:w w:val="100"/>
        </w:rPr>
        <w:t>C</w:t>
      </w:r>
      <w:r>
        <w:rPr>
          <w:rFonts w:ascii="Times New Roman" w:eastAsia="Times New Roman"/>
          <w:spacing w:val="1"/>
          <w:w w:val="100"/>
        </w:rPr>
        <w:t>T</w:t>
      </w:r>
      <w:r>
        <w:rPr>
          <w:spacing w:val="-106"/>
          <w:w w:val="100"/>
        </w:rPr>
        <w:t>）</w:t>
      </w:r>
      <w:r>
        <w:rPr>
          <w:w w:val="100"/>
        </w:rPr>
        <w:t>、核磁共</w:t>
      </w:r>
      <w:r>
        <w:rPr>
          <w:spacing w:val="-7"/>
        </w:rPr>
        <w:t>振检查</w:t>
      </w:r>
      <w:r>
        <w:rPr>
          <w:spacing w:val="-5"/>
        </w:rPr>
        <w:t>（</w:t>
      </w:r>
      <w:r>
        <w:rPr>
          <w:rFonts w:ascii="Times New Roman" w:eastAsia="Times New Roman"/>
          <w:spacing w:val="-5"/>
        </w:rPr>
        <w:t>MRI</w:t>
      </w:r>
      <w:r>
        <w:rPr>
          <w:spacing w:val="-5"/>
        </w:rPr>
        <w:t>）或正电子发射断层扫描（</w:t>
      </w:r>
      <w:r>
        <w:rPr>
          <w:rFonts w:ascii="Times New Roman" w:eastAsia="Times New Roman"/>
          <w:spacing w:val="-5"/>
        </w:rPr>
        <w:t>PET</w:t>
      </w:r>
      <w:r>
        <w:rPr>
          <w:spacing w:val="-5"/>
        </w:rPr>
        <w:t>）</w:t>
      </w:r>
      <w:r>
        <w:rPr>
          <w:spacing w:val="-6"/>
        </w:rPr>
        <w:t>等影像学检查证实，且自主生活能力完全丧失，无法</w:t>
      </w:r>
      <w:r>
        <w:rPr>
          <w:spacing w:val="-4"/>
        </w:rPr>
        <w:t>独立完成六项基本日常生活活动中的三项或三项以上。</w:t>
      </w:r>
    </w:p>
    <w:p>
      <w:pPr>
        <w:pStyle w:val="Heading2"/>
        <w:spacing w:line="274" w:lineRule="exact"/>
        <w:ind w:left="535" w:firstLine="0"/>
      </w:pPr>
      <w:r>
        <w:rPr/>
        <w:t>神经官能症和精神疾病不在保障范围内。</w:t>
      </w:r>
    </w:p>
    <w:p>
      <w:pPr>
        <w:spacing w:after="0" w:line="274" w:lineRule="exact"/>
        <w:sectPr>
          <w:pgSz w:w="11910" w:h="16840"/>
          <w:pgMar w:header="0" w:footer="1239" w:top="1060" w:bottom="1420" w:left="1020" w:right="1480"/>
        </w:sectPr>
      </w:pPr>
    </w:p>
    <w:p>
      <w:pPr>
        <w:pStyle w:val="ListParagraph"/>
        <w:numPr>
          <w:ilvl w:val="1"/>
          <w:numId w:val="2"/>
        </w:numPr>
        <w:tabs>
          <w:tab w:pos="1227" w:val="left" w:leader="none"/>
          <w:tab w:pos="1228" w:val="left" w:leader="none"/>
        </w:tabs>
        <w:spacing w:line="282" w:lineRule="exact" w:before="20" w:after="0"/>
        <w:ind w:left="1227" w:right="0" w:hanging="705"/>
        <w:jc w:val="left"/>
        <w:rPr>
          <w:b/>
          <w:sz w:val="21"/>
        </w:rPr>
      </w:pPr>
      <w:r>
        <w:rPr>
          <w:b/>
          <w:sz w:val="21"/>
        </w:rPr>
        <w:t>严重脑损伤</w:t>
      </w:r>
    </w:p>
    <w:p>
      <w:pPr>
        <w:pStyle w:val="BodyText"/>
        <w:spacing w:line="230" w:lineRule="auto" w:before="2"/>
        <w:ind w:left="102" w:right="206" w:firstLine="419"/>
        <w:jc w:val="both"/>
      </w:pPr>
      <w:r>
        <w:rPr>
          <w:spacing w:val="-3"/>
        </w:rPr>
        <w:t>指因头部遭受机械性外力，引起脑重要部位损伤，导致神经系统永久性的功能障碍。须由头颅</w:t>
      </w:r>
      <w:r>
        <w:rPr>
          <w:spacing w:val="-5"/>
          <w:w w:val="100"/>
        </w:rPr>
        <w:t>断层扫描</w:t>
      </w:r>
      <w:r>
        <w:rPr>
          <w:spacing w:val="-1"/>
          <w:w w:val="100"/>
        </w:rPr>
        <w:t>（</w:t>
      </w:r>
      <w:r>
        <w:rPr>
          <w:rFonts w:ascii="Times New Roman" w:eastAsia="Times New Roman"/>
          <w:spacing w:val="-2"/>
          <w:w w:val="100"/>
        </w:rPr>
        <w:t>C</w:t>
      </w:r>
      <w:r>
        <w:rPr>
          <w:rFonts w:ascii="Times New Roman" w:eastAsia="Times New Roman"/>
          <w:w w:val="100"/>
        </w:rPr>
        <w:t>T</w:t>
      </w:r>
      <w:r>
        <w:rPr>
          <w:spacing w:val="-108"/>
          <w:w w:val="100"/>
        </w:rPr>
        <w:t>）</w:t>
      </w:r>
      <w:r>
        <w:rPr>
          <w:spacing w:val="-5"/>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8"/>
          <w:w w:val="100"/>
        </w:rPr>
        <w:t>）</w:t>
      </w:r>
      <w:r>
        <w:rPr>
          <w:spacing w:val="-4"/>
          <w:w w:val="100"/>
        </w:rPr>
        <w:t>或正电子发射断层扫描</w:t>
      </w:r>
      <w:r>
        <w:rPr>
          <w:spacing w:val="-3"/>
          <w:w w:val="100"/>
        </w:rPr>
        <w:t>（</w:t>
      </w:r>
      <w:r>
        <w:rPr>
          <w:rFonts w:ascii="Times New Roman" w:eastAsia="Times New Roman"/>
          <w:spacing w:val="1"/>
          <w:w w:val="100"/>
        </w:rPr>
        <w:t>P</w:t>
      </w:r>
      <w:r>
        <w:rPr>
          <w:rFonts w:ascii="Times New Roman" w:eastAsia="Times New Roman"/>
          <w:spacing w:val="-2"/>
          <w:w w:val="100"/>
        </w:rPr>
        <w:t>ET</w:t>
      </w:r>
      <w:r>
        <w:rPr>
          <w:spacing w:val="-8"/>
          <w:w w:val="100"/>
        </w:rPr>
        <w:t>）</w:t>
      </w:r>
      <w:r>
        <w:rPr>
          <w:spacing w:val="-4"/>
          <w:w w:val="100"/>
        </w:rPr>
        <w:t>等影像学检查证实。神经系</w:t>
      </w:r>
      <w:r>
        <w:rPr>
          <w:spacing w:val="-3"/>
        </w:rPr>
        <w:t>统永久性的功能障碍，指脑损伤</w:t>
      </w:r>
      <w:r>
        <w:rPr>
          <w:rFonts w:ascii="Times New Roman" w:eastAsia="Times New Roman"/>
        </w:rPr>
        <w:t>180</w:t>
      </w:r>
      <w:r>
        <w:rPr>
          <w:spacing w:val="-3"/>
        </w:rPr>
        <w:t>天后，仍遗留下列一种或一种以上障碍：</w:t>
      </w:r>
    </w:p>
    <w:p>
      <w:pPr>
        <w:pStyle w:val="BodyText"/>
        <w:spacing w:line="263" w:lineRule="exact"/>
        <w:ind w:left="521"/>
      </w:pPr>
      <w:r>
        <w:rPr/>
        <w:t>（</w:t>
      </w:r>
      <w:r>
        <w:rPr>
          <w:rFonts w:ascii="Times New Roman" w:eastAsia="Times New Roman"/>
        </w:rPr>
        <w:t>1</w:t>
      </w:r>
      <w:r>
        <w:rPr/>
        <w:t>）一肢或一肢以上肢体机能完全丧失；</w:t>
      </w:r>
    </w:p>
    <w:p>
      <w:pPr>
        <w:pStyle w:val="BodyText"/>
        <w:spacing w:line="272" w:lineRule="exact"/>
        <w:ind w:left="521"/>
      </w:pPr>
      <w:r>
        <w:rPr/>
        <w:t>（</w:t>
      </w:r>
      <w:r>
        <w:rPr>
          <w:rFonts w:ascii="Times New Roman" w:eastAsia="Times New Roman"/>
        </w:rPr>
        <w:t>2</w:t>
      </w:r>
      <w:r>
        <w:rPr/>
        <w:t>）语言能力或咀嚼吞咽能力完全丧失；</w:t>
      </w:r>
    </w:p>
    <w:p>
      <w:pPr>
        <w:pStyle w:val="BodyText"/>
        <w:spacing w:line="281" w:lineRule="exact"/>
        <w:ind w:left="521"/>
      </w:pPr>
      <w:r>
        <w:rPr/>
        <w:t>（</w:t>
      </w:r>
      <w:r>
        <w:rPr>
          <w:rFonts w:ascii="Times New Roman" w:eastAsia="Times New Roman"/>
        </w:rPr>
        <w:t>3</w:t>
      </w:r>
      <w:r>
        <w:rPr/>
        <w:t>）自主生活能力完全丧失，无法独立完成六项基本日常生活活动中的三项或三项以上。</w:t>
      </w:r>
    </w:p>
    <w:p>
      <w:pPr>
        <w:pStyle w:val="BodyText"/>
        <w:rPr>
          <w:sz w:val="17"/>
        </w:rPr>
      </w:pPr>
    </w:p>
    <w:p>
      <w:pPr>
        <w:pStyle w:val="Heading2"/>
        <w:numPr>
          <w:ilvl w:val="1"/>
          <w:numId w:val="2"/>
        </w:numPr>
        <w:tabs>
          <w:tab w:pos="1227" w:val="left" w:leader="none"/>
          <w:tab w:pos="1228" w:val="left" w:leader="none"/>
        </w:tabs>
        <w:spacing w:line="282" w:lineRule="exact" w:before="0" w:after="0"/>
        <w:ind w:left="1227" w:right="0" w:hanging="705"/>
        <w:jc w:val="left"/>
      </w:pPr>
      <w:r>
        <w:rPr/>
        <w:t>严重帕金森病</w:t>
      </w:r>
    </w:p>
    <w:p>
      <w:pPr>
        <w:pStyle w:val="BodyText"/>
        <w:spacing w:line="264" w:lineRule="exact"/>
        <w:ind w:left="521"/>
      </w:pPr>
      <w:r>
        <w:rPr/>
        <w:t>是一种中枢神经系统的退行性疾病，临床表现为震颤麻痹、共济失调等。须满足下列全部条件：</w:t>
      </w:r>
    </w:p>
    <w:p>
      <w:pPr>
        <w:pStyle w:val="BodyText"/>
        <w:spacing w:line="280" w:lineRule="exact"/>
        <w:ind w:left="521"/>
      </w:pPr>
      <w:r>
        <w:rPr/>
        <w:t>（</w:t>
      </w:r>
      <w:r>
        <w:rPr>
          <w:rFonts w:ascii="Times New Roman" w:eastAsia="Times New Roman"/>
        </w:rPr>
        <w:t>1</w:t>
      </w:r>
      <w:r>
        <w:rPr/>
        <w:t>）药物治疗无法控制病情；</w:t>
      </w:r>
    </w:p>
    <w:p>
      <w:pPr>
        <w:spacing w:line="223" w:lineRule="auto" w:before="11"/>
        <w:ind w:left="524" w:right="561" w:hanging="3"/>
        <w:jc w:val="left"/>
        <w:rPr>
          <w:b/>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r>
        <w:rPr>
          <w:b/>
          <w:sz w:val="21"/>
        </w:rPr>
        <w:t>继发性帕金森综合征不在保障范围内。</w:t>
      </w:r>
    </w:p>
    <w:p>
      <w:pPr>
        <w:pStyle w:val="BodyText"/>
        <w:spacing w:before="3"/>
        <w:rPr>
          <w:b/>
          <w:sz w:val="18"/>
        </w:rPr>
      </w:pPr>
    </w:p>
    <w:p>
      <w:pPr>
        <w:pStyle w:val="Heading2"/>
        <w:numPr>
          <w:ilvl w:val="1"/>
          <w:numId w:val="2"/>
        </w:numPr>
        <w:tabs>
          <w:tab w:pos="1227" w:val="left" w:leader="none"/>
          <w:tab w:pos="1228" w:val="left" w:leader="none"/>
        </w:tabs>
        <w:spacing w:line="282" w:lineRule="exact" w:before="0" w:after="0"/>
        <w:ind w:left="1227" w:right="0" w:hanging="705"/>
        <w:jc w:val="left"/>
      </w:pPr>
      <w:r>
        <w:rPr/>
        <w:t>严重Ⅲ度烧伤</w:t>
      </w:r>
    </w:p>
    <w:p>
      <w:pPr>
        <w:pStyle w:val="BodyText"/>
        <w:spacing w:line="223" w:lineRule="auto" w:before="11"/>
        <w:ind w:left="102" w:right="206" w:firstLine="419"/>
      </w:pPr>
      <w:r>
        <w:rPr>
          <w:spacing w:val="-12"/>
        </w:rPr>
        <w:t>指烧伤程度为Ⅲ度，且Ⅲ度烧伤的面积达到全身体表面积的</w:t>
      </w:r>
      <w:r>
        <w:rPr>
          <w:rFonts w:ascii="Times New Roman" w:hAnsi="Times New Roman" w:eastAsia="Times New Roman"/>
        </w:rPr>
        <w:t>20</w:t>
      </w:r>
      <w:r>
        <w:rPr>
          <w:spacing w:val="10"/>
        </w:rPr>
        <w:t>％ 或</w:t>
      </w:r>
      <w:r>
        <w:rPr>
          <w:rFonts w:ascii="Times New Roman" w:hAnsi="Times New Roman" w:eastAsia="Times New Roman"/>
        </w:rPr>
        <w:t>20</w:t>
      </w:r>
      <w:r>
        <w:rPr>
          <w:spacing w:val="-19"/>
        </w:rPr>
        <w:t>％以上。体表面积根据《中</w:t>
      </w:r>
      <w:r>
        <w:rPr>
          <w:spacing w:val="-8"/>
        </w:rPr>
        <w:t>国新九分法》计算。</w:t>
      </w:r>
    </w:p>
    <w:p>
      <w:pPr>
        <w:pStyle w:val="BodyText"/>
        <w:spacing w:before="3"/>
        <w:rPr>
          <w:sz w:val="18"/>
        </w:rPr>
      </w:pPr>
    </w:p>
    <w:p>
      <w:pPr>
        <w:pStyle w:val="Heading2"/>
        <w:numPr>
          <w:ilvl w:val="1"/>
          <w:numId w:val="2"/>
        </w:numPr>
        <w:tabs>
          <w:tab w:pos="1227" w:val="left" w:leader="none"/>
          <w:tab w:pos="1228" w:val="left" w:leader="none"/>
        </w:tabs>
        <w:spacing w:line="282" w:lineRule="exact" w:before="0" w:after="0"/>
        <w:ind w:left="1227" w:right="0" w:hanging="705"/>
        <w:jc w:val="left"/>
      </w:pPr>
      <w:r>
        <w:rPr>
          <w:spacing w:val="-1"/>
        </w:rPr>
        <w:t>严重原发性肺动脉高压</w:t>
      </w:r>
    </w:p>
    <w:p>
      <w:pPr>
        <w:spacing w:line="230" w:lineRule="auto" w:before="2"/>
        <w:ind w:left="102" w:right="204" w:firstLine="419"/>
        <w:jc w:val="both"/>
        <w:rPr>
          <w:sz w:val="21"/>
        </w:rPr>
      </w:pPr>
      <w:r>
        <w:rPr>
          <w:spacing w:val="-3"/>
          <w:sz w:val="21"/>
        </w:rPr>
        <w:t>指不明原因的肺动脉压力持续性增高，进行性发展而导致的慢性疾病，已经造成永久不可逆性</w:t>
      </w:r>
      <w:r>
        <w:rPr>
          <w:spacing w:val="-3"/>
          <w:w w:val="100"/>
          <w:sz w:val="21"/>
        </w:rPr>
        <w:t>的体力活动能力受限，达到</w:t>
      </w:r>
      <w:r>
        <w:rPr>
          <w:b/>
          <w:w w:val="100"/>
          <w:sz w:val="21"/>
        </w:rPr>
        <w:t>美国纽约心脏病学会心功能状态分级</w:t>
      </w:r>
      <w:r>
        <w:rPr>
          <w:rFonts w:ascii="Times New Roman" w:eastAsia="Times New Roman"/>
          <w:b/>
          <w:spacing w:val="-1"/>
          <w:w w:val="100"/>
          <w:sz w:val="21"/>
        </w:rPr>
        <w:t>I</w:t>
      </w:r>
      <w:r>
        <w:rPr>
          <w:rFonts w:ascii="Times New Roman" w:eastAsia="Times New Roman"/>
          <w:b/>
          <w:spacing w:val="-2"/>
          <w:w w:val="100"/>
          <w:sz w:val="21"/>
        </w:rPr>
        <w:t>V</w:t>
      </w:r>
      <w:r>
        <w:rPr>
          <w:b/>
          <w:spacing w:val="1"/>
          <w:w w:val="100"/>
          <w:sz w:val="21"/>
        </w:rPr>
        <w:t>级（</w:t>
      </w:r>
      <w:r>
        <w:rPr>
          <w:rFonts w:ascii="Times New Roman" w:eastAsia="Times New Roman"/>
          <w:b/>
          <w:w w:val="100"/>
          <w:sz w:val="21"/>
        </w:rPr>
        <w:t>1</w:t>
      </w:r>
      <w:r>
        <w:rPr>
          <w:rFonts w:ascii="Times New Roman" w:eastAsia="Times New Roman"/>
          <w:b/>
          <w:spacing w:val="-3"/>
          <w:w w:val="100"/>
          <w:sz w:val="21"/>
        </w:rPr>
        <w:t>2</w:t>
      </w:r>
      <w:r>
        <w:rPr>
          <w:rFonts w:ascii="Times New Roman" w:eastAsia="Times New Roman"/>
          <w:b/>
          <w:spacing w:val="-1"/>
          <w:w w:val="100"/>
          <w:sz w:val="21"/>
        </w:rPr>
        <w:t>.</w:t>
      </w:r>
      <w:r>
        <w:rPr>
          <w:rFonts w:ascii="Times New Roman" w:eastAsia="Times New Roman"/>
          <w:b/>
          <w:w w:val="100"/>
          <w:sz w:val="21"/>
        </w:rPr>
        <w:t>25</w:t>
      </w:r>
      <w:r>
        <w:rPr>
          <w:b/>
          <w:spacing w:val="-104"/>
          <w:w w:val="100"/>
          <w:sz w:val="21"/>
        </w:rPr>
        <w:t>）</w:t>
      </w:r>
      <w:r>
        <w:rPr>
          <w:w w:val="100"/>
          <w:sz w:val="21"/>
        </w:rPr>
        <w:t>，且静息状态下肺动</w:t>
      </w:r>
      <w:r>
        <w:rPr>
          <w:spacing w:val="-3"/>
          <w:sz w:val="21"/>
        </w:rPr>
        <w:t>脉平均压超过</w:t>
      </w:r>
      <w:r>
        <w:rPr>
          <w:rFonts w:ascii="Times New Roman" w:eastAsia="Times New Roman"/>
          <w:spacing w:val="-1"/>
          <w:sz w:val="21"/>
        </w:rPr>
        <w:t>30mmHg</w:t>
      </w:r>
      <w:r>
        <w:rPr>
          <w:sz w:val="21"/>
        </w:rPr>
        <w:t>。</w:t>
      </w:r>
    </w:p>
    <w:p>
      <w:pPr>
        <w:pStyle w:val="BodyText"/>
        <w:rPr>
          <w:sz w:val="17"/>
        </w:rPr>
      </w:pPr>
    </w:p>
    <w:p>
      <w:pPr>
        <w:pStyle w:val="Heading2"/>
        <w:numPr>
          <w:ilvl w:val="1"/>
          <w:numId w:val="2"/>
        </w:numPr>
        <w:tabs>
          <w:tab w:pos="1227" w:val="left" w:leader="none"/>
          <w:tab w:pos="1228" w:val="left" w:leader="none"/>
        </w:tabs>
        <w:spacing w:line="281" w:lineRule="exact" w:before="0" w:after="0"/>
        <w:ind w:left="1227" w:right="0" w:hanging="705"/>
        <w:jc w:val="left"/>
      </w:pPr>
      <w:r>
        <w:rPr/>
        <w:t>严重运动神经元病</w:t>
      </w:r>
    </w:p>
    <w:p>
      <w:pPr>
        <w:pStyle w:val="BodyText"/>
        <w:spacing w:line="237" w:lineRule="auto"/>
        <w:ind w:left="102" w:right="207" w:firstLine="41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2"/>
        <w:rPr>
          <w:sz w:val="18"/>
        </w:rPr>
      </w:pPr>
    </w:p>
    <w:p>
      <w:pPr>
        <w:pStyle w:val="Heading2"/>
        <w:numPr>
          <w:ilvl w:val="1"/>
          <w:numId w:val="2"/>
        </w:numPr>
        <w:tabs>
          <w:tab w:pos="1227" w:val="left" w:leader="none"/>
          <w:tab w:pos="1228" w:val="left" w:leader="none"/>
        </w:tabs>
        <w:spacing w:line="281" w:lineRule="exact" w:before="0" w:after="0"/>
        <w:ind w:left="1227" w:right="0" w:hanging="705"/>
        <w:jc w:val="left"/>
      </w:pPr>
      <w:r>
        <w:rPr/>
        <w:t>语言能力丧失</w:t>
      </w:r>
    </w:p>
    <w:p>
      <w:pPr>
        <w:pStyle w:val="BodyText"/>
        <w:spacing w:line="223" w:lineRule="auto" w:before="10"/>
        <w:ind w:left="102" w:right="209" w:firstLine="419"/>
      </w:pPr>
      <w:r>
        <w:rPr>
          <w:spacing w:val="-2"/>
        </w:rPr>
        <w:t>指因疾病或意外伤害导致完全丧失语言能力，经过积极治疗至少</w:t>
      </w:r>
      <w:r>
        <w:rPr>
          <w:rFonts w:ascii="Times New Roman" w:eastAsia="Times New Roman"/>
        </w:rPr>
        <w:t>12</w:t>
      </w:r>
      <w:r>
        <w:rPr/>
        <w:t>个月（</w:t>
      </w:r>
      <w:r>
        <w:rPr>
          <w:spacing w:val="-2"/>
        </w:rPr>
        <w:t>声带完全切除不受此</w:t>
      </w:r>
      <w:r>
        <w:rPr>
          <w:spacing w:val="-3"/>
          <w:w w:val="100"/>
        </w:rPr>
        <w:t>时间限制</w:t>
      </w:r>
      <w:r>
        <w:rPr>
          <w:spacing w:val="-108"/>
          <w:w w:val="100"/>
        </w:rPr>
        <w:t>）</w:t>
      </w:r>
      <w:r>
        <w:rPr>
          <w:spacing w:val="-3"/>
          <w:w w:val="100"/>
        </w:rPr>
        <w:t>，仍无法通过现有医疗手段恢复。</w:t>
      </w:r>
    </w:p>
    <w:p>
      <w:pPr>
        <w:pStyle w:val="BodyText"/>
        <w:spacing w:line="272" w:lineRule="exact"/>
        <w:ind w:left="521"/>
      </w:pPr>
      <w:r>
        <w:rPr/>
        <w:t>精神心理因素所致的语言能力丧失不在保障范围内。</w:t>
      </w:r>
    </w:p>
    <w:p>
      <w:pPr>
        <w:pStyle w:val="BodyText"/>
        <w:spacing w:line="237" w:lineRule="auto" w:before="1"/>
        <w:ind w:left="102" w:right="207" w:firstLine="419"/>
        <w:jc w:val="both"/>
      </w:pPr>
      <w:r>
        <w:rPr/>
        <w:t>特别声明：我们将在被保险人年龄在三周岁或以上时受理理赔，并且保险金申请人必须提供理赔受理当时的语言能力丧失诊断及检查证据。若被保险人发病时不足三周岁，我们将延期到被保险人年满三周岁后予以受理和评估。</w:t>
      </w:r>
    </w:p>
    <w:p>
      <w:pPr>
        <w:pStyle w:val="BodyText"/>
        <w:spacing w:before="3"/>
        <w:rPr>
          <w:sz w:val="18"/>
        </w:rPr>
      </w:pPr>
    </w:p>
    <w:p>
      <w:pPr>
        <w:pStyle w:val="Heading2"/>
        <w:numPr>
          <w:ilvl w:val="1"/>
          <w:numId w:val="2"/>
        </w:numPr>
        <w:tabs>
          <w:tab w:pos="1227" w:val="left" w:leader="none"/>
          <w:tab w:pos="1228" w:val="left" w:leader="none"/>
        </w:tabs>
        <w:spacing w:line="282" w:lineRule="exact" w:before="0" w:after="0"/>
        <w:ind w:left="1227" w:right="0" w:hanging="705"/>
        <w:jc w:val="left"/>
      </w:pPr>
      <w:r>
        <w:rPr>
          <w:spacing w:val="-1"/>
        </w:rPr>
        <w:t>重型再生障碍性贫血</w:t>
      </w:r>
    </w:p>
    <w:p>
      <w:pPr>
        <w:pStyle w:val="BodyText"/>
        <w:spacing w:line="237" w:lineRule="auto"/>
        <w:ind w:left="102" w:right="210" w:firstLine="419"/>
      </w:pPr>
      <w:r>
        <w:rPr/>
        <w:t>指因骨髓造血功能慢性持续性衰竭导致的贫血、中性粒细胞减少及血小板减少。须满足下列全部条件：</w:t>
      </w:r>
    </w:p>
    <w:p>
      <w:pPr>
        <w:pStyle w:val="BodyText"/>
        <w:spacing w:line="280" w:lineRule="exact" w:before="6"/>
        <w:ind w:left="521"/>
      </w:pPr>
      <w:r>
        <w:rPr/>
        <w:t>（</w:t>
      </w:r>
      <w:r>
        <w:rPr>
          <w:rFonts w:ascii="Times New Roman" w:eastAsia="Times New Roman"/>
        </w:rPr>
        <w:t>1</w:t>
      </w:r>
      <w:r>
        <w:rPr/>
        <w:t>）骨髓穿刺检查或骨髓活检结果支持诊断；</w:t>
      </w:r>
    </w:p>
    <w:p>
      <w:pPr>
        <w:pStyle w:val="BodyText"/>
        <w:spacing w:line="272" w:lineRule="exact"/>
        <w:ind w:left="521"/>
      </w:pPr>
      <w:r>
        <w:rPr/>
        <w:t>（</w:t>
      </w:r>
      <w:r>
        <w:rPr>
          <w:rFonts w:ascii="Times New Roman" w:eastAsia="Times New Roman"/>
        </w:rPr>
        <w:t>2</w:t>
      </w:r>
      <w:r>
        <w:rPr/>
        <w:t>）外周血象须具备以下三项条件：</w:t>
      </w:r>
    </w:p>
    <w:p>
      <w:pPr>
        <w:pStyle w:val="BodyText"/>
        <w:spacing w:line="272" w:lineRule="exact"/>
        <w:ind w:left="627"/>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spacing w:line="272" w:lineRule="exact"/>
        <w:ind w:left="627"/>
      </w:pPr>
      <w:r>
        <w:rPr/>
        <w:t>② 网织红细胞＜</w:t>
      </w:r>
      <w:r>
        <w:rPr>
          <w:rFonts w:ascii="Times New Roman" w:hAnsi="Times New Roman" w:eastAsia="Times New Roman"/>
        </w:rPr>
        <w:t>1%</w:t>
      </w:r>
      <w:r>
        <w:rPr/>
        <w:t>；</w:t>
      </w:r>
    </w:p>
    <w:p>
      <w:pPr>
        <w:pStyle w:val="BodyText"/>
        <w:spacing w:line="282" w:lineRule="exact"/>
        <w:ind w:left="627"/>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2"/>
        <w:numPr>
          <w:ilvl w:val="1"/>
          <w:numId w:val="2"/>
        </w:numPr>
        <w:tabs>
          <w:tab w:pos="1227" w:val="left" w:leader="none"/>
          <w:tab w:pos="1228" w:val="left" w:leader="none"/>
        </w:tabs>
        <w:spacing w:line="281" w:lineRule="exact" w:before="223" w:after="0"/>
        <w:ind w:left="1227" w:right="0" w:hanging="705"/>
        <w:jc w:val="left"/>
      </w:pPr>
      <w:r>
        <w:rPr/>
        <w:t>主动脉手术</w:t>
      </w:r>
    </w:p>
    <w:p>
      <w:pPr>
        <w:pStyle w:val="BodyText"/>
        <w:ind w:left="102" w:right="98" w:firstLine="419"/>
      </w:pPr>
      <w:r>
        <w:rPr>
          <w:spacing w:val="-7"/>
        </w:rPr>
        <w:t>指为治疗主动脉疾病，实际实施了开胸或开腹进行的切除、置换、修补病损主动脉血管的手术。</w:t>
      </w:r>
      <w:r>
        <w:rPr>
          <w:spacing w:val="-5"/>
        </w:rPr>
        <w:t>主动脉指胸主动脉和腹主动脉，不包括胸主动脉和腹主动脉的分支血管。</w:t>
      </w:r>
    </w:p>
    <w:p>
      <w:pPr>
        <w:pStyle w:val="Heading2"/>
        <w:spacing w:line="271" w:lineRule="exact" w:before="10"/>
        <w:ind w:left="524" w:firstLine="0"/>
      </w:pPr>
      <w:r>
        <w:rPr/>
        <w:t>动脉内血管成形术不在保障范围内。</w:t>
      </w:r>
    </w:p>
    <w:p>
      <w:pPr>
        <w:pStyle w:val="BodyText"/>
        <w:spacing w:before="3"/>
        <w:rPr>
          <w:b/>
          <w:sz w:val="18"/>
        </w:rPr>
      </w:pPr>
    </w:p>
    <w:p>
      <w:pPr>
        <w:pStyle w:val="ListParagraph"/>
        <w:numPr>
          <w:ilvl w:val="1"/>
          <w:numId w:val="2"/>
        </w:numPr>
        <w:tabs>
          <w:tab w:pos="1227" w:val="left" w:leader="none"/>
          <w:tab w:pos="1228" w:val="left" w:leader="none"/>
        </w:tabs>
        <w:spacing w:line="282" w:lineRule="exact" w:before="0" w:after="0"/>
        <w:ind w:left="1227" w:right="0" w:hanging="705"/>
        <w:jc w:val="left"/>
        <w:rPr>
          <w:b/>
          <w:sz w:val="21"/>
        </w:rPr>
      </w:pPr>
      <w:r>
        <w:rPr>
          <w:b/>
          <w:sz w:val="21"/>
        </w:rPr>
        <w:t>严重心肌病</w:t>
      </w:r>
    </w:p>
    <w:p>
      <w:pPr>
        <w:pStyle w:val="BodyText"/>
        <w:spacing w:line="266" w:lineRule="exact"/>
        <w:ind w:left="521"/>
      </w:pPr>
      <w:r>
        <w:rPr/>
        <w:t>指被保险人因心肌病导致慢性心功能损害造成永久不可逆性的体力活动能力受限，达到美国纽</w:t>
      </w:r>
    </w:p>
    <w:p>
      <w:pPr>
        <w:spacing w:after="0" w:line="266" w:lineRule="exact"/>
        <w:sectPr>
          <w:pgSz w:w="11910" w:h="16840"/>
          <w:pgMar w:header="0" w:footer="1239" w:top="1060" w:bottom="1420" w:left="1600" w:right="920"/>
        </w:sectPr>
      </w:pPr>
    </w:p>
    <w:p>
      <w:pPr>
        <w:pStyle w:val="BodyText"/>
        <w:spacing w:line="282" w:lineRule="exact" w:before="20"/>
        <w:ind w:left="96" w:right="5901"/>
        <w:jc w:val="center"/>
      </w:pPr>
      <w:r>
        <w:rPr/>
        <w:t>约心脏病学会心功能状态分级</w:t>
      </w:r>
      <w:r>
        <w:rPr>
          <w:rFonts w:ascii="Times New Roman" w:eastAsia="Times New Roman"/>
        </w:rPr>
        <w:t>IV</w:t>
      </w:r>
      <w:r>
        <w:rPr/>
        <w:t>级。</w:t>
      </w:r>
    </w:p>
    <w:p>
      <w:pPr>
        <w:pStyle w:val="BodyText"/>
        <w:spacing w:line="265" w:lineRule="exact"/>
        <w:ind w:left="533"/>
      </w:pPr>
      <w:r>
        <w:rPr/>
        <w:t>心肌病必须经医院的超声心动图检查来确认。</w:t>
      </w:r>
    </w:p>
    <w:p>
      <w:pPr>
        <w:pStyle w:val="Heading2"/>
        <w:spacing w:line="273" w:lineRule="exact"/>
        <w:ind w:left="535" w:firstLine="0"/>
      </w:pPr>
      <w:r>
        <w:rPr/>
        <w:t>因酗酒或药物滥用导致的心肌病不在保障范围内。</w:t>
      </w:r>
    </w:p>
    <w:p>
      <w:pPr>
        <w:pStyle w:val="BodyText"/>
        <w:spacing w:before="5"/>
        <w:rPr>
          <w:b/>
          <w:sz w:val="18"/>
        </w:rPr>
      </w:pPr>
    </w:p>
    <w:p>
      <w:pPr>
        <w:pStyle w:val="ListParagraph"/>
        <w:numPr>
          <w:ilvl w:val="1"/>
          <w:numId w:val="2"/>
        </w:numPr>
        <w:tabs>
          <w:tab w:pos="1238" w:val="left" w:leader="none"/>
          <w:tab w:pos="1239" w:val="left" w:leader="none"/>
        </w:tabs>
        <w:spacing w:line="281" w:lineRule="exact" w:before="0" w:after="0"/>
        <w:ind w:left="1238" w:right="0" w:hanging="705"/>
        <w:jc w:val="left"/>
        <w:rPr>
          <w:b/>
          <w:sz w:val="21"/>
        </w:rPr>
      </w:pPr>
      <w:r>
        <w:rPr>
          <w:b/>
          <w:sz w:val="21"/>
        </w:rPr>
        <w:t>慢性肺功能衰竭</w:t>
      </w:r>
    </w:p>
    <w:p>
      <w:pPr>
        <w:pStyle w:val="BodyText"/>
        <w:spacing w:line="263" w:lineRule="exact"/>
        <w:ind w:left="533"/>
      </w:pPr>
      <w:r>
        <w:rPr/>
        <w:t>慢性肺部疾病导致永久不可逆性的慢性呼吸功能衰竭，必须符合下列所有条件：</w:t>
      </w:r>
    </w:p>
    <w:p>
      <w:pPr>
        <w:pStyle w:val="BodyText"/>
        <w:spacing w:line="280" w:lineRule="exact"/>
        <w:ind w:left="427"/>
      </w:pPr>
      <w:r>
        <w:rPr/>
        <w:t>（</w:t>
      </w:r>
      <w:r>
        <w:rPr>
          <w:rFonts w:ascii="Times New Roman" w:eastAsia="Times New Roman"/>
        </w:rPr>
        <w:t>1</w:t>
      </w:r>
      <w:r>
        <w:rPr/>
        <w:t>）休息时出现呼吸困难；</w:t>
      </w:r>
    </w:p>
    <w:p>
      <w:pPr>
        <w:pStyle w:val="BodyText"/>
        <w:spacing w:line="272" w:lineRule="exact"/>
        <w:ind w:left="427"/>
      </w:pPr>
      <w:r>
        <w:rPr/>
        <w:t>（</w:t>
      </w:r>
      <w:r>
        <w:rPr>
          <w:rFonts w:ascii="Times New Roman" w:eastAsia="Times New Roman"/>
        </w:rPr>
        <w:t>2</w:t>
      </w:r>
      <w:r>
        <w:rPr/>
        <w:t>）动脉血氧分压（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50mmHg</w:t>
      </w:r>
      <w:r>
        <w:rPr>
          <w:vertAlign w:val="baseline"/>
        </w:rPr>
        <w:t>；</w:t>
      </w:r>
    </w:p>
    <w:p>
      <w:pPr>
        <w:pStyle w:val="BodyText"/>
        <w:spacing w:line="272" w:lineRule="exact"/>
        <w:ind w:left="427"/>
      </w:pPr>
      <w:r>
        <w:rPr/>
        <w:t>（</w:t>
      </w:r>
      <w:r>
        <w:rPr>
          <w:rFonts w:ascii="Times New Roman" w:eastAsia="Times New Roman"/>
        </w:rPr>
        <w:t>3</w:t>
      </w:r>
      <w:r>
        <w:rPr/>
        <w:t>）动脉血氧饱和度（</w:t>
      </w:r>
      <w:r>
        <w:rPr>
          <w:rFonts w:ascii="Times New Roman" w:eastAsia="Times New Roman"/>
        </w:rPr>
        <w:t>SaO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80</w:t>
      </w:r>
      <w:r>
        <w:rPr>
          <w:vertAlign w:val="baseline"/>
        </w:rPr>
        <w:t>％；</w:t>
      </w:r>
    </w:p>
    <w:p>
      <w:pPr>
        <w:pStyle w:val="BodyText"/>
        <w:spacing w:line="282" w:lineRule="exact"/>
        <w:ind w:left="427"/>
      </w:pPr>
      <w:r>
        <w:rPr/>
        <w:t>（</w:t>
      </w:r>
      <w:r>
        <w:rPr>
          <w:rFonts w:ascii="Times New Roman" w:eastAsia="Times New Roman"/>
        </w:rPr>
        <w:t>4</w:t>
      </w:r>
      <w:r>
        <w:rPr/>
        <w:t>）因缺氧必须接受持续的输氧治疗。</w:t>
      </w:r>
    </w:p>
    <w:p>
      <w:pPr>
        <w:pStyle w:val="BodyText"/>
        <w:rPr>
          <w:sz w:val="17"/>
        </w:rPr>
      </w:pPr>
    </w:p>
    <w:p>
      <w:pPr>
        <w:pStyle w:val="Heading2"/>
        <w:numPr>
          <w:ilvl w:val="1"/>
          <w:numId w:val="2"/>
        </w:numPr>
        <w:tabs>
          <w:tab w:pos="1238" w:val="left" w:leader="none"/>
          <w:tab w:pos="1239" w:val="left" w:leader="none"/>
        </w:tabs>
        <w:spacing w:line="281" w:lineRule="exact" w:before="0" w:after="0"/>
        <w:ind w:left="1238" w:right="0" w:hanging="705"/>
        <w:jc w:val="left"/>
      </w:pPr>
      <w:r>
        <w:rPr/>
        <w:t>严重多发性硬化症</w:t>
      </w:r>
    </w:p>
    <w:p>
      <w:pPr>
        <w:pStyle w:val="BodyText"/>
        <w:spacing w:line="225" w:lineRule="auto" w:before="7"/>
        <w:ind w:left="112" w:right="217" w:firstLine="420"/>
      </w:pPr>
      <w:r>
        <w:rPr/>
        <w:t>多发性硬化为中枢神经系统白质多灶性脱髓鞘病变。多发性硬化须由核磁共振（</w:t>
      </w:r>
      <w:r>
        <w:rPr>
          <w:rFonts w:ascii="Times New Roman" w:eastAsia="Times New Roman"/>
        </w:rPr>
        <w:t>MRI</w:t>
      </w:r>
      <w:r>
        <w:rPr/>
        <w:t>）等影像学检查证实，并且被保险人已永久不可逆地无法独立完成下列任何一项基本日常生活活动：</w:t>
      </w:r>
    </w:p>
    <w:p>
      <w:pPr>
        <w:pStyle w:val="BodyText"/>
        <w:spacing w:line="279" w:lineRule="exact"/>
        <w:ind w:left="533"/>
      </w:pPr>
      <w:r>
        <w:rPr/>
        <w:t>（</w:t>
      </w:r>
      <w:r>
        <w:rPr>
          <w:rFonts w:ascii="Times New Roman" w:eastAsia="Times New Roman"/>
        </w:rPr>
        <w:t>1</w:t>
      </w:r>
      <w:r>
        <w:rPr/>
        <w:t>）移动：自己从一个房间到另一个房间；</w:t>
      </w:r>
    </w:p>
    <w:p>
      <w:pPr>
        <w:pStyle w:val="BodyText"/>
        <w:spacing w:line="282" w:lineRule="exact"/>
        <w:ind w:left="533"/>
      </w:pPr>
      <w:r>
        <w:rPr/>
        <w:t>（</w:t>
      </w:r>
      <w:r>
        <w:rPr>
          <w:rFonts w:ascii="Times New Roman" w:eastAsia="Times New Roman"/>
        </w:rPr>
        <w:t>2</w:t>
      </w:r>
      <w:r>
        <w:rPr/>
        <w:t>）进食：自己从已准备好的碗或碟中取食物放入口中。</w:t>
      </w:r>
    </w:p>
    <w:p>
      <w:pPr>
        <w:pStyle w:val="BodyText"/>
        <w:spacing w:before="1"/>
        <w:rPr>
          <w:sz w:val="17"/>
        </w:rPr>
      </w:pPr>
    </w:p>
    <w:p>
      <w:pPr>
        <w:pStyle w:val="Heading2"/>
        <w:numPr>
          <w:ilvl w:val="1"/>
          <w:numId w:val="2"/>
        </w:numPr>
        <w:tabs>
          <w:tab w:pos="1238" w:val="left" w:leader="none"/>
          <w:tab w:pos="1239" w:val="left" w:leader="none"/>
        </w:tabs>
        <w:spacing w:line="281" w:lineRule="exact" w:before="0" w:after="0"/>
        <w:ind w:left="1238" w:right="0" w:hanging="705"/>
        <w:jc w:val="left"/>
      </w:pPr>
      <w:r>
        <w:rPr>
          <w:spacing w:val="-2"/>
        </w:rPr>
        <w:t>因职业关系导致的人类免疫缺陷病毒</w:t>
      </w:r>
      <w:r>
        <w:rPr/>
        <w:t>（</w:t>
      </w:r>
      <w:r>
        <w:rPr>
          <w:rFonts w:ascii="Times New Roman" w:eastAsia="Times New Roman"/>
        </w:rPr>
        <w:t>HIV</w:t>
      </w:r>
      <w:r>
        <w:rPr/>
        <w:t>）感染</w:t>
      </w:r>
    </w:p>
    <w:p>
      <w:pPr>
        <w:pStyle w:val="BodyText"/>
        <w:ind w:left="112" w:right="218" w:firstLine="420"/>
      </w:pPr>
      <w:r>
        <w:rPr>
          <w:spacing w:val="-3"/>
        </w:rPr>
        <w:t>被保险人在其常规职业工作过程中遭遇外伤，或者职业需要处理血液或者其他体液时感染上人</w:t>
      </w:r>
      <w:r>
        <w:rPr>
          <w:spacing w:val="-3"/>
          <w:w w:val="100"/>
        </w:rPr>
        <w:t>类免疫缺陷病毒（</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p>
    <w:p>
      <w:pPr>
        <w:pStyle w:val="BodyText"/>
        <w:spacing w:line="255" w:lineRule="exact" w:before="10"/>
        <w:ind w:left="533"/>
      </w:pPr>
      <w:r>
        <w:rPr/>
        <w:t>必须满足下列全部条件：</w:t>
      </w:r>
    </w:p>
    <w:p>
      <w:pPr>
        <w:pStyle w:val="BodyText"/>
        <w:spacing w:line="280" w:lineRule="exact"/>
        <w:ind w:left="533"/>
      </w:pPr>
      <w:r>
        <w:rPr/>
        <w:t>（</w:t>
      </w:r>
      <w:r>
        <w:rPr>
          <w:rFonts w:ascii="Times New Roman" w:eastAsia="Times New Roman"/>
        </w:rPr>
        <w:t>1</w:t>
      </w:r>
      <w:r>
        <w:rPr/>
        <w:t>）感染必须是在被保险人正在从事其职业工作中发生，该职业必须属于以下列表内的职业；</w:t>
      </w:r>
    </w:p>
    <w:p>
      <w:pPr>
        <w:pStyle w:val="BodyText"/>
        <w:spacing w:line="272" w:lineRule="exact"/>
        <w:ind w:left="533"/>
      </w:pPr>
      <w:r>
        <w:rPr/>
        <w:t>（</w:t>
      </w:r>
      <w:r>
        <w:rPr>
          <w:rFonts w:ascii="Times New Roman" w:eastAsia="Times New Roman"/>
        </w:rPr>
        <w:t>2</w:t>
      </w:r>
      <w:r>
        <w:rPr/>
        <w:t>）血清转化必须出现在事故发生后的</w:t>
      </w:r>
      <w:r>
        <w:rPr>
          <w:rFonts w:ascii="Times New Roman" w:eastAsia="Times New Roman"/>
        </w:rPr>
        <w:t>6</w:t>
      </w:r>
      <w:r>
        <w:rPr/>
        <w:t>个月以内；</w:t>
      </w:r>
    </w:p>
    <w:p>
      <w:pPr>
        <w:pStyle w:val="BodyText"/>
        <w:spacing w:line="223" w:lineRule="auto" w:before="12"/>
        <w:ind w:left="112" w:right="218" w:firstLine="420"/>
      </w:pPr>
      <w:r>
        <w:rPr/>
        <w:t>（</w:t>
      </w:r>
      <w:r>
        <w:rPr>
          <w:rFonts w:ascii="Times New Roman" w:eastAsia="Times New Roman"/>
        </w:rPr>
        <w:t>3</w:t>
      </w:r>
      <w:r>
        <w:rPr/>
        <w:t>）必须提供被保险人在所报事故发生后的</w:t>
      </w:r>
      <w:r>
        <w:rPr>
          <w:rFonts w:ascii="Times New Roman" w:eastAsia="Times New Roman"/>
        </w:rPr>
        <w:t>5</w:t>
      </w:r>
      <w:r>
        <w:rPr/>
        <w:t>天以内进行的检查报告，该报告必须显示被保险人血液</w:t>
      </w:r>
      <w:r>
        <w:rPr>
          <w:rFonts w:ascii="Times New Roman" w:eastAsia="Times New Roman"/>
        </w:rPr>
        <w:t>HIV</w:t>
      </w:r>
      <w:r>
        <w:rPr/>
        <w:t>病毒阴性和</w:t>
      </w:r>
      <w:r>
        <w:rPr>
          <w:rFonts w:ascii="Times New Roman" w:eastAsia="Times New Roman"/>
        </w:rPr>
        <w:t>/</w:t>
      </w:r>
      <w:r>
        <w:rPr/>
        <w:t>或</w:t>
      </w:r>
      <w:r>
        <w:rPr>
          <w:rFonts w:ascii="Times New Roman" w:eastAsia="Times New Roman"/>
        </w:rPr>
        <w:t>HIV</w:t>
      </w:r>
      <w:r>
        <w:rPr/>
        <w:t>抗体阴性；</w:t>
      </w:r>
    </w:p>
    <w:p>
      <w:pPr>
        <w:pStyle w:val="BodyText"/>
        <w:spacing w:line="223" w:lineRule="auto" w:before="3" w:after="17"/>
        <w:ind w:left="533" w:right="1295"/>
        <w:rPr>
          <w:rFonts w:ascii="Times New Roman" w:eastAsia="Times New Roman"/>
        </w:rPr>
      </w:pPr>
      <w:r>
        <w:rPr/>
        <w:t>（</w:t>
      </w:r>
      <w:r>
        <w:rPr>
          <w:rFonts w:ascii="Times New Roman" w:eastAsia="Times New Roman"/>
        </w:rPr>
        <w:t>4</w:t>
      </w:r>
      <w:r>
        <w:rPr/>
        <w:t>）必须在事故发生后的</w:t>
      </w:r>
      <w:r>
        <w:rPr>
          <w:rFonts w:ascii="Times New Roman" w:eastAsia="Times New Roman"/>
        </w:rPr>
        <w:t>12</w:t>
      </w:r>
      <w:r>
        <w:rPr/>
        <w:t>个月内证实被保险人体内存在</w:t>
      </w:r>
      <w:r>
        <w:rPr>
          <w:rFonts w:ascii="Times New Roman" w:eastAsia="Times New Roman"/>
        </w:rPr>
        <w:t>HIV</w:t>
      </w:r>
      <w:r>
        <w:rPr/>
        <w:t>病毒或者</w:t>
      </w:r>
      <w:r>
        <w:rPr>
          <w:rFonts w:ascii="Times New Roman" w:eastAsia="Times New Roman"/>
        </w:rPr>
        <w:t>HIV</w:t>
      </w:r>
      <w:r>
        <w:rPr/>
        <w:t>抗体。职业限制如下所示</w:t>
      </w:r>
      <w:r>
        <w:rPr>
          <w:rFonts w:ascii="Times New Roman" w:eastAsia="Times New Roman"/>
        </w:rPr>
        <w:t>:</w:t>
      </w:r>
    </w:p>
    <w:tbl>
      <w:tblPr>
        <w:tblW w:w="0" w:type="auto"/>
        <w:jc w:val="left"/>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0"/>
        <w:gridCol w:w="2422"/>
      </w:tblGrid>
      <w:tr>
        <w:trPr>
          <w:trHeight w:val="270" w:hRule="atLeast"/>
        </w:trPr>
        <w:tc>
          <w:tcPr>
            <w:tcW w:w="2540" w:type="dxa"/>
          </w:tcPr>
          <w:p>
            <w:pPr>
              <w:pStyle w:val="TableParagraph"/>
              <w:spacing w:line="241" w:lineRule="exact"/>
              <w:ind w:left="69"/>
              <w:rPr>
                <w:sz w:val="21"/>
              </w:rPr>
            </w:pPr>
            <w:r>
              <w:rPr>
                <w:sz w:val="21"/>
              </w:rPr>
              <w:t>医师和牙科医师</w:t>
            </w:r>
          </w:p>
        </w:tc>
        <w:tc>
          <w:tcPr>
            <w:tcW w:w="2422" w:type="dxa"/>
          </w:tcPr>
          <w:p>
            <w:pPr>
              <w:pStyle w:val="TableParagraph"/>
              <w:spacing w:line="241" w:lineRule="exact"/>
              <w:ind w:left="71"/>
              <w:rPr>
                <w:sz w:val="21"/>
              </w:rPr>
            </w:pPr>
            <w:r>
              <w:rPr>
                <w:sz w:val="21"/>
              </w:rPr>
              <w:t>护士</w:t>
            </w:r>
          </w:p>
        </w:tc>
      </w:tr>
      <w:tr>
        <w:trPr>
          <w:trHeight w:val="273" w:hRule="atLeast"/>
        </w:trPr>
        <w:tc>
          <w:tcPr>
            <w:tcW w:w="2540" w:type="dxa"/>
          </w:tcPr>
          <w:p>
            <w:pPr>
              <w:pStyle w:val="TableParagraph"/>
              <w:spacing w:line="243" w:lineRule="exact"/>
              <w:ind w:left="69"/>
              <w:rPr>
                <w:sz w:val="21"/>
              </w:rPr>
            </w:pPr>
            <w:r>
              <w:rPr>
                <w:sz w:val="21"/>
              </w:rPr>
              <w:t>实验室工作人员</w:t>
            </w:r>
          </w:p>
        </w:tc>
        <w:tc>
          <w:tcPr>
            <w:tcW w:w="2422" w:type="dxa"/>
          </w:tcPr>
          <w:p>
            <w:pPr>
              <w:pStyle w:val="TableParagraph"/>
              <w:spacing w:line="243" w:lineRule="exact"/>
              <w:ind w:left="71"/>
              <w:rPr>
                <w:sz w:val="21"/>
              </w:rPr>
            </w:pPr>
            <w:r>
              <w:rPr>
                <w:sz w:val="21"/>
              </w:rPr>
              <w:t>医院护工</w:t>
            </w:r>
          </w:p>
        </w:tc>
      </w:tr>
      <w:tr>
        <w:trPr>
          <w:trHeight w:val="273" w:hRule="atLeast"/>
        </w:trPr>
        <w:tc>
          <w:tcPr>
            <w:tcW w:w="2540" w:type="dxa"/>
          </w:tcPr>
          <w:p>
            <w:pPr>
              <w:pStyle w:val="TableParagraph"/>
              <w:spacing w:line="241" w:lineRule="exact"/>
              <w:ind w:left="69"/>
              <w:rPr>
                <w:sz w:val="21"/>
              </w:rPr>
            </w:pPr>
            <w:r>
              <w:rPr>
                <w:sz w:val="21"/>
              </w:rPr>
              <w:t>医师助理和牙医助理</w:t>
            </w:r>
          </w:p>
        </w:tc>
        <w:tc>
          <w:tcPr>
            <w:tcW w:w="2422" w:type="dxa"/>
          </w:tcPr>
          <w:p>
            <w:pPr>
              <w:pStyle w:val="TableParagraph"/>
              <w:spacing w:line="241" w:lineRule="exact"/>
              <w:ind w:left="71"/>
              <w:rPr>
                <w:sz w:val="21"/>
              </w:rPr>
            </w:pPr>
            <w:r>
              <w:rPr>
                <w:sz w:val="21"/>
              </w:rPr>
              <w:t>救护车工作人员</w:t>
            </w:r>
          </w:p>
        </w:tc>
      </w:tr>
      <w:tr>
        <w:trPr>
          <w:trHeight w:val="273" w:hRule="atLeast"/>
        </w:trPr>
        <w:tc>
          <w:tcPr>
            <w:tcW w:w="2540" w:type="dxa"/>
          </w:tcPr>
          <w:p>
            <w:pPr>
              <w:pStyle w:val="TableParagraph"/>
              <w:spacing w:line="241" w:lineRule="exact"/>
              <w:ind w:left="69"/>
              <w:rPr>
                <w:sz w:val="21"/>
              </w:rPr>
            </w:pPr>
            <w:r>
              <w:rPr>
                <w:sz w:val="21"/>
              </w:rPr>
              <w:t>助产士</w:t>
            </w:r>
          </w:p>
        </w:tc>
        <w:tc>
          <w:tcPr>
            <w:tcW w:w="2422" w:type="dxa"/>
          </w:tcPr>
          <w:p>
            <w:pPr>
              <w:pStyle w:val="TableParagraph"/>
              <w:spacing w:line="241" w:lineRule="exact"/>
              <w:ind w:left="71"/>
              <w:rPr>
                <w:sz w:val="21"/>
              </w:rPr>
            </w:pPr>
            <w:r>
              <w:rPr>
                <w:sz w:val="21"/>
              </w:rPr>
              <w:t>警察</w:t>
            </w:r>
          </w:p>
        </w:tc>
      </w:tr>
    </w:tbl>
    <w:p>
      <w:pPr>
        <w:pStyle w:val="BodyText"/>
        <w:spacing w:before="10"/>
        <w:rPr>
          <w:rFonts w:ascii="Times New Roman"/>
          <w:sz w:val="17"/>
        </w:rPr>
      </w:pPr>
    </w:p>
    <w:p>
      <w:pPr>
        <w:pStyle w:val="Heading2"/>
        <w:numPr>
          <w:ilvl w:val="1"/>
          <w:numId w:val="2"/>
        </w:numPr>
        <w:tabs>
          <w:tab w:pos="1238" w:val="left" w:leader="none"/>
          <w:tab w:pos="1239" w:val="left" w:leader="none"/>
        </w:tabs>
        <w:spacing w:line="282" w:lineRule="exact" w:before="0" w:after="0"/>
        <w:ind w:left="1238" w:right="0" w:hanging="705"/>
        <w:jc w:val="left"/>
      </w:pPr>
      <w:r>
        <w:rPr/>
        <w:t>严重溃疡性结肠炎</w:t>
      </w:r>
    </w:p>
    <w:p>
      <w:pPr>
        <w:pStyle w:val="BodyText"/>
        <w:spacing w:line="237" w:lineRule="auto"/>
        <w:ind w:left="112" w:right="215" w:firstLine="420"/>
        <w:jc w:val="both"/>
      </w:pPr>
      <w:r>
        <w:rPr/>
        <w:t>本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9"/>
        <w:rPr>
          <w:sz w:val="18"/>
        </w:rPr>
      </w:pPr>
    </w:p>
    <w:p>
      <w:pPr>
        <w:pStyle w:val="Heading2"/>
        <w:numPr>
          <w:ilvl w:val="1"/>
          <w:numId w:val="2"/>
        </w:numPr>
        <w:tabs>
          <w:tab w:pos="1238" w:val="left" w:leader="none"/>
          <w:tab w:pos="1239" w:val="left" w:leader="none"/>
        </w:tabs>
        <w:spacing w:line="281" w:lineRule="exact" w:before="0" w:after="0"/>
        <w:ind w:left="1238" w:right="0" w:hanging="705"/>
        <w:jc w:val="left"/>
      </w:pPr>
      <w:r>
        <w:rPr/>
        <w:t>全身性重症肌无力</w:t>
      </w:r>
    </w:p>
    <w:p>
      <w:pPr>
        <w:pStyle w:val="BodyText"/>
        <w:ind w:left="112" w:right="43" w:firstLine="420"/>
      </w:pP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line="279" w:lineRule="exact" w:before="10"/>
        <w:ind w:left="533"/>
      </w:pPr>
      <w:r>
        <w:rPr/>
        <w:t>（</w:t>
      </w:r>
      <w:r>
        <w:rPr>
          <w:rFonts w:ascii="Times New Roman" w:eastAsia="Times New Roman"/>
        </w:rPr>
        <w:t>1</w:t>
      </w:r>
      <w:r>
        <w:rPr/>
        <w:t>）经药物治疗和胸腺切除治疗一年以上仍无法控制病情；</w:t>
      </w:r>
    </w:p>
    <w:p>
      <w:pPr>
        <w:pStyle w:val="BodyText"/>
        <w:spacing w:line="282" w:lineRule="exact"/>
        <w:ind w:left="533"/>
      </w:pPr>
      <w:r>
        <w:rPr/>
        <w:t>（</w:t>
      </w:r>
      <w:r>
        <w:rPr>
          <w:rFonts w:ascii="Times New Roman" w:eastAsia="Times New Roman"/>
        </w:rPr>
        <w:t>2</w:t>
      </w:r>
      <w:r>
        <w:rPr/>
        <w:t>）自主生活能力完全丧失，无法独立完成六项基本日常生活活动中的三项或三项以上。</w:t>
      </w:r>
    </w:p>
    <w:p>
      <w:pPr>
        <w:pStyle w:val="BodyText"/>
        <w:rPr>
          <w:sz w:val="17"/>
        </w:rPr>
      </w:pPr>
    </w:p>
    <w:p>
      <w:pPr>
        <w:pStyle w:val="Heading2"/>
        <w:numPr>
          <w:ilvl w:val="1"/>
          <w:numId w:val="2"/>
        </w:numPr>
        <w:tabs>
          <w:tab w:pos="1238" w:val="left" w:leader="none"/>
          <w:tab w:pos="1239" w:val="left" w:leader="none"/>
        </w:tabs>
        <w:spacing w:line="281" w:lineRule="exact" w:before="0" w:after="0"/>
        <w:ind w:left="1238" w:right="0" w:hanging="705"/>
        <w:jc w:val="left"/>
      </w:pPr>
      <w:r>
        <w:rPr>
          <w:spacing w:val="-1"/>
        </w:rPr>
        <w:t>严重类风湿性关节炎</w:t>
      </w:r>
    </w:p>
    <w:p>
      <w:pPr>
        <w:pStyle w:val="BodyText"/>
        <w:spacing w:line="232" w:lineRule="auto"/>
        <w:ind w:left="112" w:right="213" w:firstLine="420"/>
        <w:jc w:val="both"/>
      </w:pPr>
      <w:r>
        <w:rPr/>
        <w:t>类风湿性关节炎为广泛分布的慢性进行性多关节病变，表现为关节严重变形，侵犯至少三个主要关节或关节组，如：双手（多手指）关节、双足（多足趾）关节、双腕关节、双膝关节和双髋关节。类风湿性关节炎必须明确诊断并且已经达到类风湿性关节炎功能分类</w:t>
      </w:r>
      <w:r>
        <w:rPr>
          <w:rFonts w:ascii="Times New Roman" w:eastAsia="Times New Roman"/>
        </w:rPr>
        <w:t>IV</w:t>
      </w:r>
      <w:r>
        <w:rPr/>
        <w:t>级的永久不可逆性关节功能障碍（生活不能自理，且丧失工作能力）并且满足下列全部条件：</w:t>
      </w:r>
    </w:p>
    <w:p>
      <w:pPr>
        <w:pStyle w:val="BodyText"/>
        <w:spacing w:line="279" w:lineRule="exact" w:before="2"/>
        <w:ind w:left="533"/>
      </w:pPr>
      <w:r>
        <w:rPr/>
        <w:t>（</w:t>
      </w:r>
      <w:r>
        <w:rPr>
          <w:rFonts w:ascii="Times New Roman" w:eastAsia="Times New Roman"/>
        </w:rPr>
        <w:t>1</w:t>
      </w:r>
      <w:r>
        <w:rPr/>
        <w:t>）晨僵；</w:t>
      </w:r>
    </w:p>
    <w:p>
      <w:pPr>
        <w:pStyle w:val="BodyText"/>
        <w:spacing w:line="272" w:lineRule="exact"/>
        <w:ind w:left="533"/>
      </w:pPr>
      <w:r>
        <w:rPr/>
        <w:t>（</w:t>
      </w:r>
      <w:r>
        <w:rPr>
          <w:rFonts w:ascii="Times New Roman" w:eastAsia="Times New Roman"/>
        </w:rPr>
        <w:t>2</w:t>
      </w:r>
      <w:r>
        <w:rPr/>
        <w:t>）对称性关节炎；</w:t>
      </w:r>
    </w:p>
    <w:p>
      <w:pPr>
        <w:pStyle w:val="BodyText"/>
        <w:spacing w:line="271" w:lineRule="exact"/>
        <w:ind w:left="533"/>
      </w:pPr>
      <w:r>
        <w:rPr/>
        <w:t>（</w:t>
      </w:r>
      <w:r>
        <w:rPr>
          <w:rFonts w:ascii="Times New Roman" w:eastAsia="Times New Roman"/>
        </w:rPr>
        <w:t>3</w:t>
      </w:r>
      <w:r>
        <w:rPr/>
        <w:t>）类风湿性皮下结节；</w:t>
      </w:r>
    </w:p>
    <w:p>
      <w:pPr>
        <w:pStyle w:val="BodyText"/>
        <w:spacing w:line="281" w:lineRule="exact"/>
        <w:ind w:left="533"/>
      </w:pPr>
      <w:r>
        <w:rPr/>
        <w:t>（</w:t>
      </w:r>
      <w:r>
        <w:rPr>
          <w:rFonts w:ascii="Times New Roman" w:eastAsia="Times New Roman"/>
        </w:rPr>
        <w:t>4</w:t>
      </w:r>
      <w:r>
        <w:rPr/>
        <w:t>）类风湿因子滴度升高；</w:t>
      </w:r>
    </w:p>
    <w:p>
      <w:pPr>
        <w:spacing w:after="0" w:line="281" w:lineRule="exact"/>
        <w:sectPr>
          <w:pgSz w:w="11910" w:h="16840"/>
          <w:pgMar w:header="0" w:footer="1239" w:top="1060" w:bottom="1420" w:left="1020" w:right="1480"/>
        </w:sectPr>
      </w:pPr>
    </w:p>
    <w:p>
      <w:pPr>
        <w:pStyle w:val="BodyText"/>
        <w:spacing w:before="20"/>
        <w:ind w:left="521"/>
      </w:pPr>
      <w:r>
        <w:rPr/>
        <w:t>（</w:t>
      </w:r>
      <w:r>
        <w:rPr>
          <w:rFonts w:ascii="Times New Roman" w:eastAsia="Times New Roman"/>
        </w:rPr>
        <w:t>5</w:t>
      </w:r>
      <w:r>
        <w:rPr/>
        <w:t>）</w:t>
      </w:r>
      <w:r>
        <w:rPr>
          <w:rFonts w:ascii="Times New Roman" w:eastAsia="Times New Roman"/>
        </w:rPr>
        <w:t>X</w:t>
      </w:r>
      <w:r>
        <w:rPr/>
        <w:t>线显示严重的关节（软骨和骨）破坏和关节畸形。</w:t>
      </w:r>
    </w:p>
    <w:p>
      <w:pPr>
        <w:pStyle w:val="BodyText"/>
        <w:spacing w:before="2"/>
        <w:rPr>
          <w:sz w:val="17"/>
        </w:rPr>
      </w:pPr>
    </w:p>
    <w:p>
      <w:pPr>
        <w:pStyle w:val="Heading2"/>
        <w:numPr>
          <w:ilvl w:val="1"/>
          <w:numId w:val="2"/>
        </w:numPr>
        <w:tabs>
          <w:tab w:pos="1227" w:val="left" w:leader="none"/>
          <w:tab w:pos="1228" w:val="left" w:leader="none"/>
        </w:tabs>
        <w:spacing w:line="281" w:lineRule="exact" w:before="0" w:after="0"/>
        <w:ind w:left="1227" w:right="0" w:hanging="705"/>
        <w:jc w:val="left"/>
      </w:pPr>
      <w:r>
        <w:rPr/>
        <w:t>脊髓灰质炎</w:t>
      </w:r>
    </w:p>
    <w:p>
      <w:pPr>
        <w:pStyle w:val="BodyText"/>
        <w:spacing w:line="232" w:lineRule="auto"/>
        <w:ind w:left="102" w:right="139" w:firstLine="419"/>
        <w:jc w:val="both"/>
      </w:pPr>
      <w:r>
        <w:rPr>
          <w:spacing w:val="-3"/>
        </w:rPr>
        <w:t>脊髓灰质炎是由于脊髓灰质炎病毒感染所致的瘫痪性疾病，临床表现为运动功能损害或呼吸无力。脊髓灰质炎必须明确诊断。本合同仅对脊髓灰质炎造成的神经系统功能损害导致被保险人一肢或一肢以上肢体机能永久完全丧失的情况予以理赔。肢体机能永久完全丧失，指疾病确诊</w:t>
      </w:r>
      <w:r>
        <w:rPr>
          <w:rFonts w:ascii="Times New Roman" w:eastAsia="Times New Roman"/>
        </w:rPr>
        <w:t>180</w:t>
      </w:r>
      <w:r>
        <w:rPr>
          <w:spacing w:val="-2"/>
        </w:rPr>
        <w:t>天后， </w:t>
      </w:r>
      <w:r>
        <w:rPr>
          <w:spacing w:val="-3"/>
        </w:rPr>
        <w:t>每肢三大关节中的两大关节仍然完全僵硬，或不能随意识活动。</w:t>
      </w:r>
    </w:p>
    <w:p>
      <w:pPr>
        <w:pStyle w:val="BodyText"/>
        <w:spacing w:before="7"/>
        <w:rPr>
          <w:sz w:val="18"/>
        </w:rPr>
      </w:pPr>
    </w:p>
    <w:p>
      <w:pPr>
        <w:pStyle w:val="Heading2"/>
        <w:numPr>
          <w:ilvl w:val="1"/>
          <w:numId w:val="2"/>
        </w:numPr>
        <w:tabs>
          <w:tab w:pos="1227" w:val="left" w:leader="none"/>
          <w:tab w:pos="1228" w:val="left" w:leader="none"/>
        </w:tabs>
        <w:spacing w:line="281" w:lineRule="exact" w:before="0" w:after="0"/>
        <w:ind w:left="1227" w:right="0" w:hanging="705"/>
        <w:jc w:val="left"/>
      </w:pPr>
      <w:r>
        <w:rPr>
          <w:spacing w:val="-2"/>
        </w:rPr>
        <w:t>经输血导致的人类免疫缺陷病毒</w:t>
      </w:r>
      <w:r>
        <w:rPr/>
        <w:t>（</w:t>
      </w:r>
      <w:r>
        <w:rPr>
          <w:rFonts w:ascii="Times New Roman" w:eastAsia="Times New Roman"/>
        </w:rPr>
        <w:t>HIV</w:t>
      </w:r>
      <w:r>
        <w:rPr/>
        <w:t>）感染</w:t>
      </w:r>
    </w:p>
    <w:p>
      <w:pPr>
        <w:pStyle w:val="BodyText"/>
        <w:spacing w:line="272" w:lineRule="exact"/>
        <w:ind w:left="521"/>
      </w:pPr>
      <w:r>
        <w:rPr/>
        <w:t>被保险人感染上人类免疫缺陷病毒（</w:t>
      </w:r>
      <w:r>
        <w:rPr>
          <w:rFonts w:ascii="Times New Roman" w:eastAsia="Times New Roman"/>
        </w:rPr>
        <w:t>HIV</w:t>
      </w:r>
      <w:r>
        <w:rPr/>
        <w:t>）并且满足下列全部条件：</w:t>
      </w:r>
    </w:p>
    <w:p>
      <w:pPr>
        <w:pStyle w:val="BodyText"/>
        <w:spacing w:line="272" w:lineRule="exact"/>
        <w:ind w:left="521"/>
      </w:pPr>
      <w:r>
        <w:rPr/>
        <w:t>（</w:t>
      </w:r>
      <w:r>
        <w:rPr>
          <w:rFonts w:ascii="Times New Roman" w:eastAsia="Times New Roman"/>
        </w:rPr>
        <w:t>1</w:t>
      </w:r>
      <w:r>
        <w:rPr/>
        <w:t>）在保障起始日或复效日之后，被保险人因输血而感染</w:t>
      </w:r>
      <w:r>
        <w:rPr>
          <w:rFonts w:ascii="Times New Roman" w:eastAsia="Times New Roman"/>
        </w:rPr>
        <w:t>HIV</w:t>
      </w:r>
      <w:r>
        <w:rPr/>
        <w:t>；</w:t>
      </w:r>
    </w:p>
    <w:p>
      <w:pPr>
        <w:pStyle w:val="BodyText"/>
        <w:spacing w:line="223" w:lineRule="auto" w:before="10"/>
        <w:ind w:left="102" w:right="145" w:firstLine="419"/>
      </w:pPr>
      <w:r>
        <w:rPr/>
        <w:t>（</w:t>
      </w:r>
      <w:r>
        <w:rPr>
          <w:rFonts w:ascii="Times New Roman" w:eastAsia="Times New Roman"/>
        </w:rPr>
        <w:t>2</w:t>
      </w:r>
      <w:r>
        <w:rPr/>
        <w:t>）提供输血治疗的输血中心或医院出具该项输血感染属医疗责任事故的报告，或者法院终审裁定为医疗责任并且不准上诉；</w:t>
      </w:r>
    </w:p>
    <w:p>
      <w:pPr>
        <w:pStyle w:val="BodyText"/>
        <w:spacing w:line="280" w:lineRule="exact"/>
        <w:ind w:left="521"/>
      </w:pPr>
      <w:r>
        <w:rPr/>
        <w:t>（</w:t>
      </w:r>
      <w:r>
        <w:rPr>
          <w:rFonts w:ascii="Times New Roman" w:eastAsia="Times New Roman"/>
        </w:rPr>
        <w:t>3</w:t>
      </w:r>
      <w:r>
        <w:rPr/>
        <w:t>）受感染的被保险人不是血友病患者。</w:t>
      </w:r>
    </w:p>
    <w:p>
      <w:pPr>
        <w:pStyle w:val="BodyText"/>
        <w:spacing w:line="225" w:lineRule="auto" w:before="8"/>
        <w:ind w:left="102" w:right="150" w:firstLine="419"/>
      </w:pPr>
      <w:r>
        <w:rPr/>
        <w:t>在任何治愈艾滋病（</w:t>
      </w:r>
      <w:r>
        <w:rPr>
          <w:rFonts w:ascii="Times New Roman" w:eastAsia="Times New Roman"/>
        </w:rPr>
        <w:t>AIDS</w:t>
      </w:r>
      <w:r>
        <w:rPr/>
        <w:t>）或阻止</w:t>
      </w:r>
      <w:r>
        <w:rPr>
          <w:rFonts w:ascii="Times New Roman" w:eastAsia="Times New Roman"/>
        </w:rPr>
        <w:t>HIV</w:t>
      </w:r>
      <w:r>
        <w:rPr/>
        <w:t>病毒作用的疗法被发现以后，或能防止</w:t>
      </w:r>
      <w:r>
        <w:rPr>
          <w:rFonts w:ascii="Times New Roman" w:eastAsia="Times New Roman"/>
        </w:rPr>
        <w:t>AIDS</w:t>
      </w:r>
      <w:r>
        <w:rPr/>
        <w:t>发生的医疗方法被研究出来以后，本合同将不再予以赔付。</w:t>
      </w:r>
    </w:p>
    <w:p>
      <w:pPr>
        <w:spacing w:line="230" w:lineRule="auto" w:before="8"/>
        <w:ind w:left="102" w:right="99" w:firstLine="422"/>
        <w:jc w:val="left"/>
        <w:rPr>
          <w:sz w:val="21"/>
        </w:rPr>
      </w:pPr>
      <w:r>
        <w:rPr>
          <w:b/>
          <w:spacing w:val="-3"/>
          <w:sz w:val="21"/>
        </w:rPr>
        <w:t>任何因其他传播方式</w:t>
      </w:r>
      <w:r>
        <w:rPr>
          <w:b/>
          <w:sz w:val="21"/>
        </w:rPr>
        <w:t>（</w:t>
      </w:r>
      <w:r>
        <w:rPr>
          <w:b/>
          <w:spacing w:val="-6"/>
          <w:sz w:val="21"/>
        </w:rPr>
        <w:t>包括：性传播或静脉注射毒品</w:t>
      </w:r>
      <w:r>
        <w:rPr>
          <w:b/>
          <w:spacing w:val="-25"/>
          <w:sz w:val="21"/>
        </w:rPr>
        <w:t>）</w:t>
      </w:r>
      <w:r>
        <w:rPr>
          <w:b/>
          <w:sz w:val="21"/>
        </w:rPr>
        <w:t>导致的</w:t>
      </w:r>
      <w:r>
        <w:rPr>
          <w:rFonts w:ascii="Times New Roman" w:eastAsia="Times New Roman"/>
          <w:b/>
          <w:spacing w:val="-3"/>
          <w:sz w:val="21"/>
        </w:rPr>
        <w:t>HIV</w:t>
      </w:r>
      <w:r>
        <w:rPr>
          <w:b/>
          <w:sz w:val="21"/>
        </w:rPr>
        <w:t>感染不在本合同保障范围内。</w:t>
      </w:r>
      <w:r>
        <w:rPr>
          <w:spacing w:val="1"/>
          <w:sz w:val="21"/>
        </w:rPr>
        <w:t>保险公司必须拥有获得使用被保险人的所有血液样本的权利和能够对这些样本进行独立检验的权 利。</w:t>
      </w:r>
    </w:p>
    <w:p>
      <w:pPr>
        <w:pStyle w:val="BodyText"/>
        <w:spacing w:before="3"/>
        <w:rPr>
          <w:sz w:val="18"/>
        </w:rPr>
      </w:pPr>
    </w:p>
    <w:p>
      <w:pPr>
        <w:pStyle w:val="Heading2"/>
        <w:numPr>
          <w:ilvl w:val="1"/>
          <w:numId w:val="2"/>
        </w:numPr>
        <w:tabs>
          <w:tab w:pos="1227" w:val="left" w:leader="none"/>
          <w:tab w:pos="1228" w:val="left" w:leader="none"/>
        </w:tabs>
        <w:spacing w:line="282" w:lineRule="exact" w:before="0" w:after="0"/>
        <w:ind w:left="1227" w:right="0" w:hanging="705"/>
        <w:jc w:val="left"/>
      </w:pPr>
      <w:r>
        <w:rPr/>
        <w:t>严重克隆病</w:t>
      </w:r>
    </w:p>
    <w:p>
      <w:pPr>
        <w:pStyle w:val="BodyText"/>
        <w:spacing w:line="237" w:lineRule="auto"/>
        <w:ind w:left="102" w:right="209" w:firstLine="419"/>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9"/>
        <w:rPr>
          <w:sz w:val="18"/>
        </w:rPr>
      </w:pPr>
    </w:p>
    <w:p>
      <w:pPr>
        <w:pStyle w:val="Heading2"/>
        <w:numPr>
          <w:ilvl w:val="1"/>
          <w:numId w:val="2"/>
        </w:numPr>
        <w:tabs>
          <w:tab w:pos="1227" w:val="left" w:leader="none"/>
          <w:tab w:pos="1228" w:val="left" w:leader="none"/>
        </w:tabs>
        <w:spacing w:line="282" w:lineRule="exact" w:before="0" w:after="0"/>
        <w:ind w:left="1227" w:right="0" w:hanging="705"/>
        <w:jc w:val="left"/>
      </w:pPr>
      <w:r>
        <w:rPr/>
        <w:t>肌营养不良症</w:t>
      </w:r>
    </w:p>
    <w:p>
      <w:pPr>
        <w:pStyle w:val="BodyText"/>
        <w:spacing w:line="237" w:lineRule="auto"/>
        <w:ind w:left="102" w:right="210" w:firstLine="419"/>
      </w:pPr>
      <w:r>
        <w:rPr/>
        <w:t>肌营养不良症是一组遗传性肌肉变性性病变，临床特征为与神经系统无关的肌肉无力和肌肉萎缩。须满足自主生活能力完全丧失，无法独立完成六项基本日常生活活动中的三项或三项以上。</w:t>
      </w:r>
    </w:p>
    <w:p>
      <w:pPr>
        <w:pStyle w:val="BodyText"/>
        <w:spacing w:before="11"/>
        <w:rPr>
          <w:sz w:val="18"/>
        </w:rPr>
      </w:pPr>
    </w:p>
    <w:p>
      <w:pPr>
        <w:pStyle w:val="Heading2"/>
        <w:numPr>
          <w:ilvl w:val="1"/>
          <w:numId w:val="2"/>
        </w:numPr>
        <w:tabs>
          <w:tab w:pos="1227" w:val="left" w:leader="none"/>
          <w:tab w:pos="1228" w:val="left" w:leader="none"/>
        </w:tabs>
        <w:spacing w:line="281" w:lineRule="exact" w:before="0" w:after="0"/>
        <w:ind w:left="1227" w:right="0" w:hanging="705"/>
        <w:jc w:val="left"/>
      </w:pPr>
      <w:r>
        <w:rPr>
          <w:spacing w:val="-1"/>
        </w:rPr>
        <w:t>破裂脑动脉瘤夹闭手术</w:t>
      </w:r>
    </w:p>
    <w:p>
      <w:pPr>
        <w:pStyle w:val="BodyText"/>
        <w:spacing w:line="237" w:lineRule="auto"/>
        <w:ind w:left="102" w:right="210" w:firstLine="419"/>
      </w:pPr>
      <w:r>
        <w:rPr/>
        <w:t>指因脑动脉瘤破裂造成蛛网膜下腔出血，被保险人实际接受了在全麻下进行的开颅动脉瘤夹闭手术。</w:t>
      </w:r>
    </w:p>
    <w:p>
      <w:pPr>
        <w:pStyle w:val="Heading2"/>
        <w:spacing w:line="237" w:lineRule="auto" w:before="9"/>
        <w:ind w:left="102" w:right="206" w:firstLine="422"/>
      </w:pPr>
      <w:r>
        <w:rPr/>
        <w:t>脑动脉瘤（未破裂）预防性手术、颅骨打孔手术、动脉瘤栓塞手术、血管内手术及其他颅脑手术不在本保障范围内。</w:t>
      </w:r>
    </w:p>
    <w:p>
      <w:pPr>
        <w:pStyle w:val="BodyText"/>
        <w:spacing w:before="5"/>
        <w:rPr>
          <w:b/>
          <w:sz w:val="18"/>
        </w:rPr>
      </w:pPr>
    </w:p>
    <w:p>
      <w:pPr>
        <w:pStyle w:val="ListParagraph"/>
        <w:numPr>
          <w:ilvl w:val="1"/>
          <w:numId w:val="2"/>
        </w:numPr>
        <w:tabs>
          <w:tab w:pos="1227" w:val="left" w:leader="none"/>
          <w:tab w:pos="1228" w:val="left" w:leader="none"/>
        </w:tabs>
        <w:spacing w:line="281" w:lineRule="exact" w:before="0" w:after="0"/>
        <w:ind w:left="1227" w:right="0" w:hanging="705"/>
        <w:jc w:val="left"/>
        <w:rPr>
          <w:b/>
          <w:sz w:val="21"/>
        </w:rPr>
      </w:pPr>
      <w:r>
        <w:rPr>
          <w:b/>
          <w:spacing w:val="-1"/>
          <w:sz w:val="21"/>
        </w:rPr>
        <w:t>严重弥漫性系统性硬皮病</w:t>
      </w:r>
    </w:p>
    <w:p>
      <w:pPr>
        <w:pStyle w:val="BodyText"/>
        <w:spacing w:line="223" w:lineRule="auto" w:before="10"/>
        <w:ind w:left="102" w:right="183" w:firstLine="419"/>
      </w:pPr>
      <w:r>
        <w:rPr/>
        <w:t>一种系统性胶原血管病引起进行性的皮肤</w:t>
      </w:r>
      <w:r>
        <w:rPr>
          <w:rFonts w:ascii="Times New Roman" w:eastAsia="Times New Roman"/>
        </w:rPr>
        <w:t>/</w:t>
      </w:r>
      <w:r>
        <w:rPr/>
        <w:t>血管和内脏器官的弥漫性纤维化。诊断必须明确并由活检和血清学证据支持并且疾病已经影响到心脏、肺或肾脏等内脏器官并且达到下列标准之一。</w:t>
      </w:r>
    </w:p>
    <w:p>
      <w:pPr>
        <w:pStyle w:val="BodyText"/>
        <w:spacing w:line="280" w:lineRule="exact"/>
        <w:ind w:left="521"/>
      </w:pPr>
      <w:r>
        <w:rPr/>
        <w:t>（</w:t>
      </w:r>
      <w:r>
        <w:rPr>
          <w:rFonts w:ascii="Times New Roman" w:eastAsia="Times New Roman"/>
        </w:rPr>
        <w:t>1</w:t>
      </w:r>
      <w:r>
        <w:rPr/>
        <w:t>）肺纤维化，已经出现肺动脉高压、肺心病；</w:t>
      </w:r>
    </w:p>
    <w:p>
      <w:pPr>
        <w:pStyle w:val="BodyText"/>
        <w:spacing w:line="272" w:lineRule="exact"/>
        <w:ind w:left="521"/>
      </w:pPr>
      <w:r>
        <w:rPr/>
        <w:t>（</w:t>
      </w:r>
      <w:r>
        <w:rPr>
          <w:rFonts w:ascii="Times New Roman" w:eastAsia="Times New Roman"/>
        </w:rPr>
        <w:t>2</w:t>
      </w:r>
      <w:r>
        <w:rPr/>
        <w:t>）心脏损害，心脏功能衰竭程度达到纽约心脏病学会的心功能分级标准之心功能</w:t>
      </w:r>
      <w:r>
        <w:rPr>
          <w:rFonts w:ascii="Times New Roman" w:eastAsia="Times New Roman"/>
        </w:rPr>
        <w:t>IV</w:t>
      </w:r>
      <w:r>
        <w:rPr/>
        <w:t>级；</w:t>
      </w:r>
    </w:p>
    <w:p>
      <w:pPr>
        <w:spacing w:line="223" w:lineRule="auto" w:before="11"/>
        <w:ind w:left="524" w:right="5184" w:hanging="3"/>
        <w:jc w:val="left"/>
        <w:rPr>
          <w:b/>
          <w:sz w:val="21"/>
        </w:rPr>
      </w:pPr>
      <w:r>
        <w:rPr>
          <w:sz w:val="21"/>
        </w:rPr>
        <w:t>（</w:t>
      </w:r>
      <w:r>
        <w:rPr>
          <w:rFonts w:ascii="Times New Roman" w:eastAsia="Times New Roman"/>
          <w:sz w:val="21"/>
        </w:rPr>
        <w:t>3</w:t>
      </w:r>
      <w:r>
        <w:rPr>
          <w:sz w:val="21"/>
        </w:rPr>
        <w:t>）肾脏损害，已经出现肾功能衰竭。</w:t>
      </w:r>
      <w:r>
        <w:rPr>
          <w:b/>
          <w:sz w:val="21"/>
        </w:rPr>
        <w:t>下列疾病除外：</w:t>
      </w:r>
    </w:p>
    <w:p>
      <w:pPr>
        <w:pStyle w:val="Heading2"/>
        <w:spacing w:line="280" w:lineRule="exact"/>
        <w:ind w:left="524" w:firstLine="0"/>
      </w:pPr>
      <w:r>
        <w:rPr/>
        <w:t>（</w:t>
      </w:r>
      <w:r>
        <w:rPr>
          <w:rFonts w:ascii="Times New Roman" w:eastAsia="Times New Roman"/>
        </w:rPr>
        <w:t>1</w:t>
      </w:r>
      <w:r>
        <w:rPr/>
        <w:t>）局限硬皮病</w:t>
      </w:r>
    </w:p>
    <w:p>
      <w:pPr>
        <w:spacing w:line="272" w:lineRule="exact" w:before="0"/>
        <w:ind w:left="524" w:right="0" w:firstLine="0"/>
        <w:jc w:val="left"/>
        <w:rPr>
          <w:b/>
          <w:sz w:val="21"/>
        </w:rPr>
      </w:pPr>
      <w:r>
        <w:rPr>
          <w:b/>
          <w:sz w:val="21"/>
        </w:rPr>
        <w:t>（</w:t>
      </w:r>
      <w:r>
        <w:rPr>
          <w:rFonts w:ascii="Times New Roman" w:eastAsia="Times New Roman"/>
          <w:b/>
          <w:sz w:val="21"/>
        </w:rPr>
        <w:t>2</w:t>
      </w:r>
      <w:r>
        <w:rPr>
          <w:b/>
          <w:sz w:val="21"/>
        </w:rPr>
        <w:t>）嗜酸细胞筋膜炎</w:t>
      </w:r>
    </w:p>
    <w:p>
      <w:pPr>
        <w:spacing w:line="282" w:lineRule="exact" w:before="0"/>
        <w:ind w:left="524" w:right="0" w:firstLine="0"/>
        <w:jc w:val="left"/>
        <w:rPr>
          <w:b/>
          <w:sz w:val="21"/>
        </w:rPr>
      </w:pPr>
      <w:r>
        <w:rPr>
          <w:b/>
          <w:sz w:val="21"/>
        </w:rPr>
        <w:t>（</w:t>
      </w:r>
      <w:r>
        <w:rPr>
          <w:rFonts w:ascii="Times New Roman" w:eastAsia="Times New Roman"/>
          <w:b/>
          <w:sz w:val="21"/>
        </w:rPr>
        <w:t>3</w:t>
      </w:r>
      <w:r>
        <w:rPr>
          <w:b/>
          <w:sz w:val="21"/>
        </w:rPr>
        <w:t>）</w:t>
      </w:r>
      <w:r>
        <w:rPr>
          <w:rFonts w:ascii="Times New Roman" w:eastAsia="Times New Roman"/>
          <w:b/>
          <w:sz w:val="21"/>
        </w:rPr>
        <w:t>CREST</w:t>
      </w:r>
      <w:r>
        <w:rPr>
          <w:b/>
          <w:sz w:val="21"/>
        </w:rPr>
        <w:t>综合征</w:t>
      </w:r>
    </w:p>
    <w:p>
      <w:pPr>
        <w:pStyle w:val="BodyText"/>
        <w:spacing w:before="1"/>
        <w:rPr>
          <w:b/>
          <w:sz w:val="17"/>
        </w:rPr>
      </w:pPr>
    </w:p>
    <w:p>
      <w:pPr>
        <w:pStyle w:val="ListParagraph"/>
        <w:numPr>
          <w:ilvl w:val="1"/>
          <w:numId w:val="2"/>
        </w:numPr>
        <w:tabs>
          <w:tab w:pos="1227" w:val="left" w:leader="none"/>
          <w:tab w:pos="1228" w:val="left" w:leader="none"/>
        </w:tabs>
        <w:spacing w:line="281" w:lineRule="exact" w:before="0" w:after="0"/>
        <w:ind w:left="1227" w:right="0" w:hanging="705"/>
        <w:jc w:val="left"/>
        <w:rPr>
          <w:b/>
          <w:sz w:val="21"/>
        </w:rPr>
      </w:pPr>
      <w:r>
        <w:rPr>
          <w:b/>
          <w:sz w:val="21"/>
        </w:rPr>
        <w:t>严重冠心病</w:t>
      </w:r>
    </w:p>
    <w:p>
      <w:pPr>
        <w:spacing w:line="232" w:lineRule="auto" w:before="0"/>
        <w:ind w:left="102" w:right="209" w:firstLine="419"/>
        <w:jc w:val="both"/>
        <w:rPr>
          <w:b/>
          <w:sz w:val="21"/>
        </w:rPr>
      </w:pPr>
      <w:r>
        <w:rPr>
          <w:spacing w:val="-2"/>
          <w:sz w:val="21"/>
        </w:rPr>
        <w:t>指经根据冠状动脉造影检查结果明确诊断为三支主要血管严重狭窄性病变</w:t>
      </w:r>
      <w:r>
        <w:rPr>
          <w:spacing w:val="-3"/>
          <w:sz w:val="21"/>
        </w:rPr>
        <w:t>（</w:t>
      </w:r>
      <w:r>
        <w:rPr>
          <w:sz w:val="21"/>
        </w:rPr>
        <w:t>至少一支血管管腔直径减少</w:t>
      </w:r>
      <w:r>
        <w:rPr>
          <w:rFonts w:ascii="Times New Roman" w:eastAsia="Times New Roman"/>
          <w:sz w:val="21"/>
        </w:rPr>
        <w:t>75</w:t>
      </w:r>
      <w:r>
        <w:rPr>
          <w:sz w:val="21"/>
        </w:rPr>
        <w:t>％以上和其他两支血管管腔直径减少</w:t>
      </w:r>
      <w:r>
        <w:rPr>
          <w:rFonts w:ascii="Times New Roman" w:eastAsia="Times New Roman"/>
          <w:sz w:val="21"/>
        </w:rPr>
        <w:t>60</w:t>
      </w:r>
      <w:r>
        <w:rPr>
          <w:sz w:val="21"/>
        </w:rPr>
        <w:t>％以上</w:t>
      </w:r>
      <w:r>
        <w:rPr>
          <w:spacing w:val="-101"/>
          <w:sz w:val="21"/>
        </w:rPr>
        <w:t>）</w:t>
      </w:r>
      <w:r>
        <w:rPr>
          <w:sz w:val="21"/>
        </w:rPr>
        <w:t>。冠状动脉的主要血管指左冠状动脉主</w:t>
      </w:r>
      <w:r>
        <w:rPr>
          <w:spacing w:val="-3"/>
          <w:sz w:val="21"/>
        </w:rPr>
        <w:t>干、前降支、左旋支及右冠状动脉。</w:t>
      </w:r>
      <w:r>
        <w:rPr>
          <w:b/>
          <w:sz w:val="21"/>
        </w:rPr>
        <w:t>前降支、左旋支及右冠状动脉的分支血管的狭窄不作为本保障的衡量指标。</w:t>
      </w:r>
    </w:p>
    <w:p>
      <w:pPr>
        <w:spacing w:after="0" w:line="232" w:lineRule="auto"/>
        <w:jc w:val="both"/>
        <w:rPr>
          <w:sz w:val="21"/>
        </w:rPr>
        <w:sectPr>
          <w:pgSz w:w="11910" w:h="16840"/>
          <w:pgMar w:header="0" w:footer="1239" w:top="1060" w:bottom="1420" w:left="1600" w:right="920"/>
        </w:sectPr>
      </w:pPr>
    </w:p>
    <w:p>
      <w:pPr>
        <w:pStyle w:val="Heading2"/>
        <w:numPr>
          <w:ilvl w:val="1"/>
          <w:numId w:val="2"/>
        </w:numPr>
        <w:tabs>
          <w:tab w:pos="1238" w:val="left" w:leader="none"/>
          <w:tab w:pos="1239" w:val="left" w:leader="none"/>
        </w:tabs>
        <w:spacing w:line="282" w:lineRule="exact" w:before="20" w:after="0"/>
        <w:ind w:left="1238" w:right="0" w:hanging="705"/>
        <w:jc w:val="left"/>
      </w:pPr>
      <w:r>
        <w:rPr>
          <w:spacing w:val="-1"/>
        </w:rPr>
        <w:t>严重慢性复发性胰腺炎</w:t>
      </w:r>
    </w:p>
    <w:p>
      <w:pPr>
        <w:pStyle w:val="BodyText"/>
        <w:spacing w:line="237" w:lineRule="auto"/>
        <w:ind w:left="112" w:right="118" w:firstLine="420"/>
      </w:pPr>
      <w:r>
        <w:rPr/>
        <w:t>指慢性反复发作的胰腺炎症导致胰腺的广泛纤维化、坏死、弥漫性钙化及假性囊肿形成，造成胰腺功能障碍出现严重糖尿病和营养不良。必须满足以下所有条件：</w:t>
      </w:r>
    </w:p>
    <w:p>
      <w:pPr>
        <w:pStyle w:val="BodyText"/>
        <w:spacing w:line="280" w:lineRule="exact" w:before="6"/>
        <w:ind w:left="533"/>
      </w:pPr>
      <w:r>
        <w:rPr/>
        <w:t>（</w:t>
      </w:r>
      <w:r>
        <w:rPr>
          <w:rFonts w:ascii="Times New Roman" w:eastAsia="Times New Roman"/>
        </w:rPr>
        <w:t>1</w:t>
      </w:r>
      <w:r>
        <w:rPr/>
        <w:t>）</w:t>
      </w:r>
      <w:r>
        <w:rPr>
          <w:rFonts w:ascii="Times New Roman" w:eastAsia="Times New Roman"/>
        </w:rPr>
        <w:t>CT</w:t>
      </w:r>
      <w:r>
        <w:rPr/>
        <w:t>显示胰腺广泛钙化或逆行胰胆管造影（</w:t>
      </w:r>
      <w:r>
        <w:rPr>
          <w:rFonts w:ascii="Times New Roman" w:eastAsia="Times New Roman"/>
        </w:rPr>
        <w:t>ERCP</w:t>
      </w:r>
      <w:r>
        <w:rPr/>
        <w:t>）显示胰管扭曲、扩张和狭窄；</w:t>
      </w:r>
    </w:p>
    <w:p>
      <w:pPr>
        <w:spacing w:line="225" w:lineRule="auto" w:before="7"/>
        <w:ind w:left="535" w:right="3939" w:hanging="3"/>
        <w:jc w:val="left"/>
        <w:rPr>
          <w:b/>
          <w:sz w:val="21"/>
        </w:rPr>
      </w:pPr>
      <w:r>
        <w:rPr>
          <w:sz w:val="21"/>
        </w:rPr>
        <w:t>（</w:t>
      </w:r>
      <w:r>
        <w:rPr>
          <w:rFonts w:ascii="Times New Roman" w:eastAsia="Times New Roman"/>
          <w:sz w:val="21"/>
        </w:rPr>
        <w:t>2</w:t>
      </w:r>
      <w:r>
        <w:rPr>
          <w:sz w:val="21"/>
        </w:rPr>
        <w:t>）接受胰岛素替代治疗和酶替代治疗</w:t>
      </w:r>
      <w:r>
        <w:rPr>
          <w:rFonts w:ascii="Times New Roman" w:eastAsia="Times New Roman"/>
          <w:sz w:val="21"/>
        </w:rPr>
        <w:t>180</w:t>
      </w:r>
      <w:r>
        <w:rPr>
          <w:sz w:val="21"/>
        </w:rPr>
        <w:t>天以上。</w:t>
      </w:r>
      <w:r>
        <w:rPr>
          <w:b/>
          <w:sz w:val="21"/>
        </w:rPr>
        <w:t>酒精导致的慢性复发性胰腺炎不在本保障范围内。</w:t>
      </w:r>
    </w:p>
    <w:p>
      <w:pPr>
        <w:pStyle w:val="BodyText"/>
        <w:spacing w:before="2"/>
        <w:rPr>
          <w:b/>
          <w:sz w:val="18"/>
        </w:rPr>
      </w:pPr>
    </w:p>
    <w:p>
      <w:pPr>
        <w:pStyle w:val="Heading2"/>
        <w:numPr>
          <w:ilvl w:val="1"/>
          <w:numId w:val="2"/>
        </w:numPr>
        <w:tabs>
          <w:tab w:pos="1238" w:val="left" w:leader="none"/>
          <w:tab w:pos="1239" w:val="left" w:leader="none"/>
        </w:tabs>
        <w:spacing w:line="281" w:lineRule="exact" w:before="0" w:after="0"/>
        <w:ind w:left="1238" w:right="0" w:hanging="705"/>
        <w:jc w:val="left"/>
      </w:pPr>
      <w:r>
        <w:rPr/>
        <w:t>植物人状态</w:t>
      </w:r>
    </w:p>
    <w:p>
      <w:pPr>
        <w:pStyle w:val="BodyText"/>
        <w:spacing w:line="230" w:lineRule="auto" w:before="1"/>
        <w:ind w:left="112" w:right="116" w:firstLine="420"/>
        <w:jc w:val="both"/>
      </w:pPr>
      <w:r>
        <w:rPr/>
        <w:t>植物人状态系指由于严重颅脑外伤或脑损害造成大脑和</w:t>
      </w:r>
      <w:r>
        <w:rPr>
          <w:rFonts w:ascii="Times New Roman" w:eastAsia="Times New Roman"/>
        </w:rPr>
        <w:t>/</w:t>
      </w:r>
      <w:r>
        <w:rPr/>
        <w:t>或脑干严重损害导致完全永久性的对自身和环境的意识丧失和中枢神经系统功能丧失，仅残存植物神经功能的疾病状态。诊断必须明确并且具有严重颅脑外伤或脑损害的证据。植物人状态必须持续</w:t>
      </w:r>
      <w:r>
        <w:rPr>
          <w:rFonts w:ascii="Times New Roman" w:eastAsia="Times New Roman"/>
        </w:rPr>
        <w:t>30</w:t>
      </w:r>
      <w:r>
        <w:rPr/>
        <w:t>天以上方可申请理赔。</w:t>
      </w:r>
    </w:p>
    <w:p>
      <w:pPr>
        <w:pStyle w:val="BodyText"/>
        <w:rPr>
          <w:sz w:val="17"/>
        </w:rPr>
      </w:pPr>
    </w:p>
    <w:p>
      <w:pPr>
        <w:pStyle w:val="Heading2"/>
        <w:numPr>
          <w:ilvl w:val="1"/>
          <w:numId w:val="2"/>
        </w:numPr>
        <w:tabs>
          <w:tab w:pos="1238" w:val="left" w:leader="none"/>
          <w:tab w:pos="1239" w:val="left" w:leader="none"/>
        </w:tabs>
        <w:spacing w:line="282" w:lineRule="exact" w:before="0" w:after="0"/>
        <w:ind w:left="1238" w:right="0" w:hanging="705"/>
        <w:jc w:val="left"/>
      </w:pPr>
      <w:r>
        <w:rPr>
          <w:spacing w:val="-1"/>
        </w:rPr>
        <w:t>重症急性坏死性筋膜炎</w:t>
      </w:r>
    </w:p>
    <w:p>
      <w:pPr>
        <w:pStyle w:val="BodyText"/>
        <w:spacing w:line="237" w:lineRule="auto"/>
        <w:ind w:left="112" w:right="117" w:firstLine="420"/>
      </w:pPr>
      <w:r>
        <w:rPr/>
        <w:t>是一种由细菌侵入皮下组织和筋膜引起的急性坏死性软组织感染，可伴有毒血症、败血症、中毒性休克、弥漫性血管内凝血及多器官衰竭。必须满足以下所有条件：</w:t>
      </w:r>
    </w:p>
    <w:p>
      <w:pPr>
        <w:pStyle w:val="BodyText"/>
        <w:spacing w:line="280" w:lineRule="exact" w:before="6"/>
        <w:ind w:left="533"/>
      </w:pPr>
      <w:r>
        <w:rPr/>
        <w:t>（</w:t>
      </w:r>
      <w:r>
        <w:rPr>
          <w:rFonts w:ascii="Times New Roman" w:eastAsia="Times New Roman"/>
        </w:rPr>
        <w:t>1</w:t>
      </w:r>
      <w:r>
        <w:rPr/>
        <w:t>）细菌培养和临床表现符合坏死性筋膜炎诊断标准；</w:t>
      </w:r>
    </w:p>
    <w:p>
      <w:pPr>
        <w:pStyle w:val="BodyText"/>
        <w:spacing w:line="273" w:lineRule="exact"/>
        <w:ind w:left="533"/>
      </w:pPr>
      <w:r>
        <w:rPr/>
        <w:t>（</w:t>
      </w:r>
      <w:r>
        <w:rPr>
          <w:rFonts w:ascii="Times New Roman" w:eastAsia="Times New Roman"/>
        </w:rPr>
        <w:t>2</w:t>
      </w:r>
      <w:r>
        <w:rPr/>
        <w:t>）病情迅速恶化，有脓毒血症表现；</w:t>
      </w:r>
    </w:p>
    <w:p>
      <w:pPr>
        <w:pStyle w:val="BodyText"/>
        <w:spacing w:line="282" w:lineRule="exact"/>
        <w:ind w:left="533"/>
      </w:pPr>
      <w:r>
        <w:rPr>
          <w:spacing w:val="-1"/>
        </w:rPr>
        <w:t>（</w:t>
      </w:r>
      <w:r>
        <w:rPr>
          <w:rFonts w:ascii="Times New Roman" w:eastAsia="Times New Roman"/>
          <w:spacing w:val="-1"/>
        </w:rPr>
        <w:t>3</w:t>
      </w:r>
      <w:r>
        <w:rPr>
          <w:spacing w:val="-1"/>
        </w:rPr>
        <w:t>）</w:t>
      </w:r>
      <w:r>
        <w:rPr>
          <w:spacing w:val="-3"/>
        </w:rPr>
        <w:t>受感染肢体被截肢（自腕关节或踝关节近端</w:t>
      </w:r>
      <w:r>
        <w:rPr>
          <w:spacing w:val="-108"/>
        </w:rPr>
        <w:t>）</w:t>
      </w:r>
      <w:r>
        <w:rPr/>
        <w:t>。</w:t>
      </w:r>
    </w:p>
    <w:p>
      <w:pPr>
        <w:pStyle w:val="BodyText"/>
        <w:rPr>
          <w:sz w:val="17"/>
        </w:rPr>
      </w:pPr>
    </w:p>
    <w:p>
      <w:pPr>
        <w:pStyle w:val="Heading2"/>
        <w:numPr>
          <w:ilvl w:val="1"/>
          <w:numId w:val="2"/>
        </w:numPr>
        <w:tabs>
          <w:tab w:pos="1238" w:val="left" w:leader="none"/>
          <w:tab w:pos="1239" w:val="left" w:leader="none"/>
        </w:tabs>
        <w:spacing w:line="281" w:lineRule="exact" w:before="0" w:after="0"/>
        <w:ind w:left="1238" w:right="0" w:hanging="705"/>
        <w:jc w:val="left"/>
      </w:pPr>
      <w:r>
        <w:rPr/>
        <w:t>嗜铬细胞瘤</w:t>
      </w:r>
    </w:p>
    <w:p>
      <w:pPr>
        <w:pStyle w:val="BodyText"/>
        <w:ind w:left="112" w:right="118" w:firstLine="420"/>
      </w:pPr>
      <w:r>
        <w:rPr/>
        <w:t>指发生在肾上腺或肾上腺外嗜铬组织的以分泌过多的儿茶酚胺为表现的神经内分泌肿瘤。嗜铬细胞瘤必须由内分泌专科医生诊断，并且满足以下所有条件：</w:t>
      </w:r>
    </w:p>
    <w:p>
      <w:pPr>
        <w:pStyle w:val="BodyText"/>
        <w:spacing w:line="279" w:lineRule="exact" w:before="10"/>
        <w:ind w:left="533"/>
      </w:pPr>
      <w:r>
        <w:rPr/>
        <w:t>（</w:t>
      </w:r>
      <w:r>
        <w:rPr>
          <w:rFonts w:ascii="Times New Roman" w:eastAsia="Times New Roman"/>
        </w:rPr>
        <w:t>1</w:t>
      </w:r>
      <w:r>
        <w:rPr/>
        <w:t>）临床有高血压症候群表现；</w:t>
      </w:r>
    </w:p>
    <w:p>
      <w:pPr>
        <w:pStyle w:val="BodyText"/>
        <w:spacing w:line="282" w:lineRule="exact"/>
        <w:ind w:left="533"/>
      </w:pPr>
      <w:r>
        <w:rPr/>
        <w:t>（</w:t>
      </w:r>
      <w:r>
        <w:rPr>
          <w:rFonts w:ascii="Times New Roman" w:eastAsia="Times New Roman"/>
        </w:rPr>
        <w:t>2</w:t>
      </w:r>
      <w:r>
        <w:rPr/>
        <w:t>）已经实施了嗜铬细胞瘤切除手术。</w:t>
      </w:r>
    </w:p>
    <w:p>
      <w:pPr>
        <w:pStyle w:val="BodyText"/>
        <w:rPr>
          <w:sz w:val="17"/>
        </w:rPr>
      </w:pPr>
    </w:p>
    <w:p>
      <w:pPr>
        <w:pStyle w:val="Heading2"/>
        <w:numPr>
          <w:ilvl w:val="1"/>
          <w:numId w:val="2"/>
        </w:numPr>
        <w:tabs>
          <w:tab w:pos="1238" w:val="left" w:leader="none"/>
          <w:tab w:pos="1239" w:val="left" w:leader="none"/>
        </w:tabs>
        <w:spacing w:line="281" w:lineRule="exact" w:before="0" w:after="0"/>
        <w:ind w:left="1238" w:right="0" w:hanging="705"/>
        <w:jc w:val="left"/>
      </w:pPr>
      <w:r>
        <w:rPr/>
        <w:t>象皮病</w:t>
      </w:r>
    </w:p>
    <w:p>
      <w:pPr>
        <w:pStyle w:val="BodyText"/>
        <w:spacing w:line="225" w:lineRule="auto" w:before="7"/>
        <w:ind w:left="112" w:right="120" w:firstLine="420"/>
      </w:pPr>
      <w:r>
        <w:rPr/>
        <w:t>指因丝虫感染导致淋巴阻塞性出现严重淋巴水肿，达到国际淋巴学会淋巴肿分期第</w:t>
      </w:r>
      <w:r>
        <w:rPr>
          <w:rFonts w:ascii="Times New Roman" w:eastAsia="Times New Roman"/>
        </w:rPr>
        <w:t>III</w:t>
      </w:r>
      <w:r>
        <w:rPr/>
        <w:t>期，临床表现为肢体象皮肿，患肢较键肢增粗</w:t>
      </w:r>
      <w:r>
        <w:rPr>
          <w:rFonts w:ascii="Times New Roman" w:eastAsia="Times New Roman"/>
        </w:rPr>
        <w:t>30%</w:t>
      </w:r>
      <w:r>
        <w:rPr/>
        <w:t>以上，日常生活不能自理。</w:t>
      </w:r>
    </w:p>
    <w:p>
      <w:pPr>
        <w:pStyle w:val="BodyText"/>
        <w:rPr>
          <w:sz w:val="17"/>
        </w:rPr>
      </w:pPr>
    </w:p>
    <w:p>
      <w:pPr>
        <w:pStyle w:val="Heading2"/>
        <w:numPr>
          <w:ilvl w:val="1"/>
          <w:numId w:val="2"/>
        </w:numPr>
        <w:tabs>
          <w:tab w:pos="1238" w:val="left" w:leader="none"/>
          <w:tab w:pos="1239" w:val="left" w:leader="none"/>
        </w:tabs>
        <w:spacing w:line="281" w:lineRule="exact" w:before="0" w:after="0"/>
        <w:ind w:left="1238" w:right="0" w:hanging="705"/>
        <w:jc w:val="left"/>
      </w:pPr>
      <w:r>
        <w:rPr/>
        <w:t>胰腺移植</w:t>
      </w:r>
    </w:p>
    <w:p>
      <w:pPr>
        <w:spacing w:line="240" w:lineRule="auto" w:before="0"/>
        <w:ind w:left="535" w:right="1413" w:hanging="3"/>
        <w:jc w:val="left"/>
        <w:rPr>
          <w:b/>
          <w:sz w:val="21"/>
        </w:rPr>
      </w:pPr>
      <w:r>
        <w:rPr>
          <w:sz w:val="21"/>
        </w:rPr>
        <w:t>指因胰腺功能衰竭，已经实施了在全身麻醉下进行的胰腺的异体器官移植手术。</w:t>
      </w:r>
      <w:r>
        <w:rPr>
          <w:b/>
          <w:sz w:val="21"/>
        </w:rPr>
        <w:t>单纯胰岛移植、部分胰腺组织或细胞的移植不在本保障范围之内。</w:t>
      </w:r>
    </w:p>
    <w:p>
      <w:pPr>
        <w:pStyle w:val="BodyText"/>
        <w:rPr>
          <w:b/>
          <w:sz w:val="19"/>
        </w:rPr>
      </w:pPr>
    </w:p>
    <w:p>
      <w:pPr>
        <w:pStyle w:val="Heading2"/>
        <w:numPr>
          <w:ilvl w:val="1"/>
          <w:numId w:val="2"/>
        </w:numPr>
        <w:tabs>
          <w:tab w:pos="1238" w:val="left" w:leader="none"/>
          <w:tab w:pos="1239" w:val="left" w:leader="none"/>
        </w:tabs>
        <w:spacing w:line="282" w:lineRule="exact" w:before="0" w:after="0"/>
        <w:ind w:left="1238" w:right="0" w:hanging="705"/>
        <w:jc w:val="left"/>
      </w:pPr>
      <w:r>
        <w:rPr>
          <w:spacing w:val="-1"/>
        </w:rPr>
        <w:t>慢性肾上腺皮质功能衰竭</w:t>
      </w:r>
    </w:p>
    <w:p>
      <w:pPr>
        <w:pStyle w:val="BodyText"/>
        <w:spacing w:line="237" w:lineRule="auto"/>
        <w:ind w:left="112" w:right="118" w:firstLine="420"/>
      </w:pPr>
      <w:r>
        <w:rPr/>
        <w:t>指自身免疫性肾上腺炎（既往称：特发性肾上腺皮质萎缩）导致肾上腺萎缩和慢性肾上腺皮质功能减退。必须满足所有以下条件：</w:t>
      </w:r>
    </w:p>
    <w:p>
      <w:pPr>
        <w:pStyle w:val="BodyText"/>
        <w:spacing w:line="279" w:lineRule="exact" w:before="6"/>
        <w:ind w:left="533"/>
      </w:pPr>
      <w:r>
        <w:rPr/>
        <w:t>（</w:t>
      </w:r>
      <w:r>
        <w:rPr>
          <w:rFonts w:ascii="Times New Roman" w:eastAsia="Times New Roman"/>
        </w:rPr>
        <w:t>1</w:t>
      </w:r>
      <w:r>
        <w:rPr/>
        <w:t>）明确诊断，符合所有以下诊断标准：</w:t>
      </w:r>
    </w:p>
    <w:p>
      <w:pPr>
        <w:pStyle w:val="BodyText"/>
        <w:spacing w:line="272" w:lineRule="exact"/>
        <w:ind w:left="533"/>
      </w:pPr>
      <w:r>
        <w:rPr/>
        <w:t>血浆促肾上腺皮质激素（</w:t>
      </w:r>
      <w:r>
        <w:rPr>
          <w:rFonts w:ascii="Times New Roman" w:eastAsia="Times New Roman"/>
        </w:rPr>
        <w:t>ACTH</w:t>
      </w:r>
      <w:r>
        <w:rPr/>
        <w:t>）水平测定，</w:t>
      </w:r>
      <w:r>
        <w:rPr>
          <w:rFonts w:ascii="Times New Roman" w:eastAsia="Times New Roman"/>
        </w:rPr>
        <w:t>&gt;100pg/ml</w:t>
      </w:r>
      <w:r>
        <w:rPr/>
        <w:t>；</w:t>
      </w:r>
    </w:p>
    <w:p>
      <w:pPr>
        <w:pStyle w:val="BodyText"/>
        <w:spacing w:line="225" w:lineRule="auto" w:before="7"/>
        <w:ind w:left="533" w:right="1063"/>
      </w:pPr>
      <w:r>
        <w:rPr/>
        <w:t>血浆肾素活性、血管紧张素</w:t>
      </w:r>
      <w:r>
        <w:rPr>
          <w:rFonts w:ascii="Times New Roman" w:eastAsia="Times New Roman"/>
        </w:rPr>
        <w:t>II</w:t>
      </w:r>
      <w:r>
        <w:rPr/>
        <w:t>和醛固酮测定，显示为原发性肾上腺皮质功能减退症； 促肾上腺皮质激素（</w:t>
      </w:r>
      <w:r>
        <w:rPr>
          <w:rFonts w:ascii="Times New Roman" w:eastAsia="Times New Roman"/>
        </w:rPr>
        <w:t>ACTH</w:t>
      </w:r>
      <w:r>
        <w:rPr/>
        <w:t>）刺激试验显示为原发性肾上腺皮质功能减退症。</w:t>
      </w:r>
    </w:p>
    <w:p>
      <w:pPr>
        <w:pStyle w:val="BodyText"/>
        <w:spacing w:line="263" w:lineRule="exact"/>
        <w:ind w:left="533"/>
      </w:pPr>
      <w:r>
        <w:rPr/>
        <w:t>（</w:t>
      </w:r>
      <w:r>
        <w:rPr>
          <w:rFonts w:ascii="Times New Roman" w:eastAsia="Times New Roman"/>
        </w:rPr>
        <w:t>2</w:t>
      </w:r>
      <w:r>
        <w:rPr/>
        <w:t>）已经采用皮质类固醇替代治疗</w:t>
      </w:r>
      <w:r>
        <w:rPr>
          <w:rFonts w:ascii="Times New Roman" w:eastAsia="Times New Roman"/>
        </w:rPr>
        <w:t>180</w:t>
      </w:r>
      <w:r>
        <w:rPr/>
        <w:t>天以上。</w:t>
      </w:r>
    </w:p>
    <w:p>
      <w:pPr>
        <w:pStyle w:val="Heading2"/>
        <w:spacing w:line="223" w:lineRule="auto" w:before="12"/>
        <w:ind w:left="112" w:right="120" w:firstLine="422"/>
      </w:pPr>
      <w:r>
        <w:rPr/>
        <w:t>肾上腺结核、</w:t>
      </w:r>
      <w:r>
        <w:rPr>
          <w:rFonts w:ascii="Times New Roman" w:eastAsia="Times New Roman"/>
        </w:rPr>
        <w:t>HIV</w:t>
      </w:r>
      <w:r>
        <w:rPr/>
        <w:t>感染或艾滋病、感染、肿瘤所致的原发性肾上腺皮质功能减退和继发性肾上腺皮质功能减退不在本保障范围内。</w:t>
      </w:r>
    </w:p>
    <w:p>
      <w:pPr>
        <w:pStyle w:val="BodyText"/>
        <w:spacing w:before="2"/>
        <w:rPr>
          <w:b/>
          <w:sz w:val="18"/>
        </w:rPr>
      </w:pPr>
    </w:p>
    <w:p>
      <w:pPr>
        <w:pStyle w:val="ListParagraph"/>
        <w:numPr>
          <w:ilvl w:val="1"/>
          <w:numId w:val="2"/>
        </w:numPr>
        <w:tabs>
          <w:tab w:pos="1238" w:val="left" w:leader="none"/>
          <w:tab w:pos="1239" w:val="left" w:leader="none"/>
        </w:tabs>
        <w:spacing w:line="282" w:lineRule="exact" w:before="0" w:after="0"/>
        <w:ind w:left="1238" w:right="0" w:hanging="705"/>
        <w:jc w:val="left"/>
        <w:rPr>
          <w:b/>
          <w:sz w:val="21"/>
        </w:rPr>
      </w:pPr>
      <w:r>
        <w:rPr>
          <w:b/>
          <w:sz w:val="21"/>
        </w:rPr>
        <w:t>严重心肌炎</w:t>
      </w:r>
    </w:p>
    <w:p>
      <w:pPr>
        <w:pStyle w:val="BodyText"/>
        <w:spacing w:line="237" w:lineRule="auto"/>
        <w:ind w:left="112" w:right="118" w:firstLine="420"/>
      </w:pPr>
      <w:r>
        <w:rPr/>
        <w:t>指被保人因严重心肌炎性病变导致心功能损害造成持续的永久不可逆性的心功能衰竭。必须满足所有以下条件：</w:t>
      </w:r>
    </w:p>
    <w:p>
      <w:pPr>
        <w:pStyle w:val="BodyText"/>
        <w:spacing w:line="223" w:lineRule="auto" w:before="25"/>
        <w:ind w:left="112" w:right="47" w:firstLine="420"/>
      </w:pPr>
      <w:r>
        <w:rPr/>
        <w:t>（</w:t>
      </w:r>
      <w:r>
        <w:rPr>
          <w:rFonts w:ascii="Times New Roman" w:eastAsia="Times New Roman"/>
        </w:rPr>
        <w:t>1</w:t>
      </w:r>
      <w:r>
        <w:rPr/>
        <w:t>）心功能衰竭程度达到纽约心脏病学会的心功能分级标准之心功能</w:t>
      </w:r>
      <w:r>
        <w:rPr>
          <w:rFonts w:ascii="Times New Roman" w:eastAsia="Times New Roman"/>
        </w:rPr>
        <w:t>IV</w:t>
      </w:r>
      <w:r>
        <w:rPr/>
        <w:t>级，或左室射血分数低于</w:t>
      </w:r>
      <w:r>
        <w:rPr>
          <w:rFonts w:ascii="Times New Roman" w:eastAsia="Times New Roman"/>
        </w:rPr>
        <w:t>30%</w:t>
      </w:r>
      <w:r>
        <w:rPr/>
        <w:t>；</w:t>
      </w:r>
    </w:p>
    <w:p>
      <w:pPr>
        <w:pStyle w:val="BodyText"/>
        <w:spacing w:line="264" w:lineRule="exact"/>
        <w:ind w:left="533"/>
      </w:pPr>
      <w:r>
        <w:rPr/>
        <w:t>（</w:t>
      </w:r>
      <w:r>
        <w:rPr>
          <w:rFonts w:ascii="Times New Roman" w:eastAsia="Times New Roman"/>
        </w:rPr>
        <w:t>2</w:t>
      </w:r>
      <w:r>
        <w:rPr/>
        <w:t>）心功能</w:t>
      </w:r>
      <w:r>
        <w:rPr>
          <w:rFonts w:ascii="Times New Roman" w:eastAsia="Times New Roman"/>
        </w:rPr>
        <w:t>IV</w:t>
      </w:r>
      <w:r>
        <w:rPr/>
        <w:t>级状态持续不间断</w:t>
      </w:r>
      <w:r>
        <w:rPr>
          <w:rFonts w:ascii="Times New Roman" w:eastAsia="Times New Roman"/>
        </w:rPr>
        <w:t>180</w:t>
      </w:r>
      <w:r>
        <w:rPr/>
        <w:t>天以上；</w:t>
      </w:r>
    </w:p>
    <w:p>
      <w:pPr>
        <w:pStyle w:val="BodyText"/>
        <w:spacing w:line="281" w:lineRule="exact"/>
        <w:ind w:left="533"/>
      </w:pPr>
      <w:r>
        <w:rPr/>
        <w:t>（</w:t>
      </w:r>
      <w:r>
        <w:rPr>
          <w:rFonts w:ascii="Times New Roman" w:eastAsia="Times New Roman"/>
        </w:rPr>
        <w:t>3</w:t>
      </w:r>
      <w:r>
        <w:rPr/>
        <w:t>）被保险人永久不可逆性的体力活动能力受限，不能从事任何体力活动。</w:t>
      </w:r>
    </w:p>
    <w:p>
      <w:pPr>
        <w:spacing w:after="0" w:line="281" w:lineRule="exact"/>
        <w:sectPr>
          <w:pgSz w:w="11910" w:h="16840"/>
          <w:pgMar w:header="0" w:footer="1239" w:top="1060" w:bottom="1420" w:left="1020" w:right="1580"/>
        </w:sectPr>
      </w:pPr>
    </w:p>
    <w:p>
      <w:pPr>
        <w:pStyle w:val="Heading2"/>
        <w:numPr>
          <w:ilvl w:val="1"/>
          <w:numId w:val="2"/>
        </w:numPr>
        <w:tabs>
          <w:tab w:pos="1227" w:val="left" w:leader="none"/>
          <w:tab w:pos="1228" w:val="left" w:leader="none"/>
        </w:tabs>
        <w:spacing w:line="282" w:lineRule="exact" w:before="20" w:after="0"/>
        <w:ind w:left="1227" w:right="0" w:hanging="705"/>
        <w:jc w:val="left"/>
      </w:pPr>
      <w:r>
        <w:rPr/>
        <w:t>肺源性心脏病</w:t>
      </w:r>
    </w:p>
    <w:p>
      <w:pPr>
        <w:pStyle w:val="BodyText"/>
        <w:spacing w:line="230" w:lineRule="auto" w:before="2"/>
        <w:ind w:left="102" w:right="207" w:firstLine="419"/>
        <w:jc w:val="both"/>
      </w:pPr>
      <w:r>
        <w:rPr/>
        <w:t>指被保人因慢性肺部疾病导致慢性心功能损害造成永久不可逆性的心功能衰竭。心功能衰竭程度达到纽约心脏病学会的心功能分级标准之心功能</w:t>
      </w:r>
      <w:r>
        <w:rPr>
          <w:rFonts w:ascii="Times New Roman" w:eastAsia="Times New Roman"/>
        </w:rPr>
        <w:t>IV</w:t>
      </w:r>
      <w:r>
        <w:rPr/>
        <w:t>级。被保险人永久不可逆性的体力活动能力受限，不能从事任何体力活动。</w:t>
      </w:r>
    </w:p>
    <w:p>
      <w:pPr>
        <w:pStyle w:val="BodyText"/>
        <w:spacing w:before="3"/>
        <w:rPr>
          <w:sz w:val="18"/>
        </w:rPr>
      </w:pPr>
    </w:p>
    <w:p>
      <w:pPr>
        <w:pStyle w:val="Heading2"/>
        <w:numPr>
          <w:ilvl w:val="1"/>
          <w:numId w:val="2"/>
        </w:numPr>
        <w:tabs>
          <w:tab w:pos="1227" w:val="left" w:leader="none"/>
          <w:tab w:pos="1228" w:val="left" w:leader="none"/>
        </w:tabs>
        <w:spacing w:line="281" w:lineRule="exact" w:before="0" w:after="0"/>
        <w:ind w:left="1227" w:right="0" w:hanging="705"/>
        <w:jc w:val="left"/>
      </w:pPr>
      <w:r>
        <w:rPr>
          <w:spacing w:val="-1"/>
        </w:rPr>
        <w:t>严重原发性硬化性胆管炎</w:t>
      </w:r>
    </w:p>
    <w:p>
      <w:pPr>
        <w:pStyle w:val="BodyText"/>
        <w:ind w:left="102" w:right="208" w:firstLine="419"/>
      </w:pPr>
      <w:r>
        <w:rPr/>
        <w:t>为一种特发型淤胆性疾病，特点为肝内及肝外胆道系统胆管壁增厚和管腔狭窄。必须满足以下所有条件：</w:t>
      </w:r>
    </w:p>
    <w:p>
      <w:pPr>
        <w:pStyle w:val="BodyText"/>
        <w:spacing w:line="279" w:lineRule="exact" w:before="10"/>
        <w:ind w:left="521"/>
      </w:pPr>
      <w:r>
        <w:rPr/>
        <w:t>（</w:t>
      </w:r>
      <w:r>
        <w:rPr>
          <w:rFonts w:ascii="Times New Roman" w:eastAsia="Times New Roman"/>
        </w:rPr>
        <w:t>1</w:t>
      </w:r>
      <w:r>
        <w:rPr/>
        <w:t>）诊断由逆行胰胆管造影（</w:t>
      </w:r>
      <w:r>
        <w:rPr>
          <w:rFonts w:ascii="Times New Roman" w:eastAsia="Times New Roman"/>
        </w:rPr>
        <w:t>ERCP</w:t>
      </w:r>
      <w:r>
        <w:rPr/>
        <w:t>）或经皮胆管造影（</w:t>
      </w:r>
      <w:r>
        <w:rPr>
          <w:rFonts w:ascii="Times New Roman" w:eastAsia="Times New Roman"/>
        </w:rPr>
        <w:t>PTC</w:t>
      </w:r>
      <w:r>
        <w:rPr/>
        <w:t>）确认；</w:t>
      </w:r>
    </w:p>
    <w:p>
      <w:pPr>
        <w:pStyle w:val="BodyText"/>
        <w:spacing w:line="272" w:lineRule="exact"/>
        <w:ind w:left="521"/>
      </w:pPr>
      <w:r>
        <w:rPr/>
        <w:t>（</w:t>
      </w:r>
      <w:r>
        <w:rPr>
          <w:rFonts w:ascii="Times New Roman" w:eastAsia="Times New Roman"/>
        </w:rPr>
        <w:t>2</w:t>
      </w:r>
      <w:r>
        <w:rPr/>
        <w:t>）持续性黄疸伴碱性磷酸酶（</w:t>
      </w:r>
      <w:r>
        <w:rPr>
          <w:rFonts w:ascii="Times New Roman" w:eastAsia="Times New Roman"/>
        </w:rPr>
        <w:t>ALP</w:t>
      </w:r>
      <w:r>
        <w:rPr/>
        <w:t>）显著升高；</w:t>
      </w:r>
    </w:p>
    <w:p>
      <w:pPr>
        <w:pStyle w:val="BodyText"/>
        <w:spacing w:line="281" w:lineRule="exact"/>
        <w:ind w:left="521"/>
      </w:pPr>
      <w:r>
        <w:rPr/>
        <w:t>（</w:t>
      </w:r>
      <w:r>
        <w:rPr>
          <w:rFonts w:ascii="Times New Roman" w:eastAsia="Times New Roman"/>
        </w:rPr>
        <w:t>3</w:t>
      </w:r>
      <w:r>
        <w:rPr/>
        <w:t>）出现继发性胆汁性肝硬化和门静脉高压。</w:t>
      </w:r>
    </w:p>
    <w:p>
      <w:pPr>
        <w:pStyle w:val="BodyText"/>
        <w:rPr>
          <w:sz w:val="17"/>
        </w:rPr>
      </w:pPr>
    </w:p>
    <w:p>
      <w:pPr>
        <w:pStyle w:val="Heading2"/>
        <w:numPr>
          <w:ilvl w:val="1"/>
          <w:numId w:val="2"/>
        </w:numPr>
        <w:tabs>
          <w:tab w:pos="1227" w:val="left" w:leader="none"/>
          <w:tab w:pos="1228" w:val="left" w:leader="none"/>
        </w:tabs>
        <w:spacing w:line="282" w:lineRule="exact" w:before="0" w:after="0"/>
        <w:ind w:left="1227" w:right="0" w:hanging="705"/>
        <w:jc w:val="left"/>
      </w:pPr>
      <w:r>
        <w:rPr>
          <w:spacing w:val="-1"/>
        </w:rPr>
        <w:t>严重自身免疫性肝炎</w:t>
      </w:r>
    </w:p>
    <w:p>
      <w:pPr>
        <w:pStyle w:val="BodyText"/>
        <w:spacing w:line="237" w:lineRule="auto"/>
        <w:ind w:left="102" w:right="100" w:firstLine="419"/>
      </w:pPr>
      <w:r>
        <w:rPr>
          <w:spacing w:val="-3"/>
        </w:rPr>
        <w:t>自身免疫性肝炎是一种原因不明的慢性肝脏的坏死性炎性疾病，机体免疫机制被破坏，产生针</w:t>
      </w:r>
      <w:r>
        <w:rPr>
          <w:spacing w:val="-6"/>
        </w:rPr>
        <w:t>对肝脏自身抗原的抗体导致自身免疫反应，从而破坏肝细胞造成肝脏炎症坏死，进而发展为肝硬化。</w:t>
      </w:r>
      <w:r>
        <w:rPr>
          <w:spacing w:val="-4"/>
        </w:rPr>
        <w:t>必须满足所有以下条件：</w:t>
      </w:r>
    </w:p>
    <w:p>
      <w:pPr>
        <w:pStyle w:val="BodyText"/>
        <w:spacing w:line="279" w:lineRule="exact" w:before="6"/>
        <w:ind w:left="521"/>
      </w:pPr>
      <w:r>
        <w:rPr/>
        <w:t>（</w:t>
      </w:r>
      <w:r>
        <w:rPr>
          <w:rFonts w:ascii="Times New Roman" w:hAnsi="Times New Roman" w:eastAsia="Times New Roman"/>
        </w:rPr>
        <w:t>1</w:t>
      </w:r>
      <w:r>
        <w:rPr/>
        <w:t>）高</w:t>
      </w:r>
      <w:r>
        <w:rPr>
          <w:rFonts w:ascii="Times New Roman" w:hAnsi="Times New Roman" w:eastAsia="Times New Roman"/>
        </w:rPr>
        <w:t>γ</w:t>
      </w:r>
      <w:r>
        <w:rPr/>
        <w:t>球蛋白血症；</w:t>
      </w:r>
    </w:p>
    <w:p>
      <w:pPr>
        <w:pStyle w:val="BodyText"/>
        <w:spacing w:line="223" w:lineRule="auto" w:before="11"/>
        <w:ind w:left="102" w:right="213" w:firstLine="419"/>
      </w:pPr>
      <w:r>
        <w:rPr>
          <w:spacing w:val="-17"/>
        </w:rPr>
        <w:t>（</w:t>
      </w:r>
      <w:r>
        <w:rPr>
          <w:rFonts w:ascii="Times New Roman" w:eastAsia="Times New Roman"/>
          <w:spacing w:val="-17"/>
        </w:rPr>
        <w:t>2</w:t>
      </w:r>
      <w:r>
        <w:rPr>
          <w:spacing w:val="-17"/>
        </w:rPr>
        <w:t>）</w:t>
      </w:r>
      <w:r>
        <w:rPr>
          <w:spacing w:val="-6"/>
        </w:rPr>
        <w:t>血液中存在高水平的自身免疫抗体，如</w:t>
      </w:r>
      <w:r>
        <w:rPr>
          <w:rFonts w:ascii="Times New Roman" w:eastAsia="Times New Roman"/>
          <w:spacing w:val="-14"/>
        </w:rPr>
        <w:t>ANA</w:t>
      </w:r>
      <w:r>
        <w:rPr>
          <w:spacing w:val="-14"/>
        </w:rPr>
        <w:t>（</w:t>
      </w:r>
      <w:r>
        <w:rPr>
          <w:spacing w:val="-1"/>
        </w:rPr>
        <w:t>抗核抗体</w:t>
      </w:r>
      <w:r>
        <w:rPr>
          <w:spacing w:val="-108"/>
        </w:rPr>
        <w:t>）</w:t>
      </w:r>
      <w:r>
        <w:rPr>
          <w:spacing w:val="-48"/>
        </w:rPr>
        <w:t>、</w:t>
      </w:r>
      <w:r>
        <w:rPr>
          <w:rFonts w:ascii="Times New Roman" w:eastAsia="Times New Roman"/>
          <w:spacing w:val="-14"/>
        </w:rPr>
        <w:t>SMA</w:t>
      </w:r>
      <w:r>
        <w:rPr>
          <w:spacing w:val="-14"/>
        </w:rPr>
        <w:t>（</w:t>
      </w:r>
      <w:r>
        <w:rPr>
          <w:spacing w:val="-3"/>
        </w:rPr>
        <w:t>抗平滑肌抗体</w:t>
      </w:r>
      <w:r>
        <w:rPr>
          <w:spacing w:val="-106"/>
        </w:rPr>
        <w:t>）</w:t>
      </w:r>
      <w:r>
        <w:rPr>
          <w:spacing w:val="-26"/>
        </w:rPr>
        <w:t>、抗</w:t>
      </w:r>
      <w:r>
        <w:rPr>
          <w:rFonts w:ascii="Times New Roman" w:eastAsia="Times New Roman"/>
        </w:rPr>
        <w:t>LKM1 </w:t>
      </w:r>
      <w:r>
        <w:rPr>
          <w:spacing w:val="-2"/>
        </w:rPr>
        <w:t>抗体或抗</w:t>
      </w:r>
      <w:r>
        <w:rPr>
          <w:rFonts w:ascii="Times New Roman" w:eastAsia="Times New Roman"/>
          <w:spacing w:val="-1"/>
        </w:rPr>
        <w:t>-SLA/LP</w:t>
      </w:r>
      <w:r>
        <w:rPr>
          <w:spacing w:val="-2"/>
        </w:rPr>
        <w:t>抗体；</w:t>
      </w:r>
    </w:p>
    <w:p>
      <w:pPr>
        <w:pStyle w:val="BodyText"/>
        <w:spacing w:line="264" w:lineRule="exact"/>
        <w:ind w:left="521"/>
      </w:pPr>
      <w:r>
        <w:rPr/>
        <w:t>（</w:t>
      </w:r>
      <w:r>
        <w:rPr>
          <w:rFonts w:ascii="Times New Roman" w:eastAsia="Times New Roman"/>
        </w:rPr>
        <w:t>3</w:t>
      </w:r>
      <w:r>
        <w:rPr/>
        <w:t>）肝脏活检证实免疫性肝炎；</w:t>
      </w:r>
    </w:p>
    <w:p>
      <w:pPr>
        <w:pStyle w:val="BodyText"/>
        <w:spacing w:line="281" w:lineRule="exact"/>
        <w:ind w:left="521"/>
      </w:pPr>
      <w:r>
        <w:rPr/>
        <w:t>（</w:t>
      </w:r>
      <w:r>
        <w:rPr>
          <w:rFonts w:ascii="Times New Roman" w:eastAsia="Times New Roman"/>
        </w:rPr>
        <w:t>4</w:t>
      </w:r>
      <w:r>
        <w:rPr/>
        <w:t>）临床已经出现腹水、食道静脉曲张和脾肿大等肝硬化表现。</w:t>
      </w:r>
    </w:p>
    <w:p>
      <w:pPr>
        <w:pStyle w:val="BodyText"/>
        <w:spacing w:before="6"/>
        <w:rPr>
          <w:sz w:val="16"/>
        </w:rPr>
      </w:pPr>
    </w:p>
    <w:p>
      <w:pPr>
        <w:pStyle w:val="Heading1"/>
        <w:numPr>
          <w:ilvl w:val="0"/>
          <w:numId w:val="2"/>
        </w:numPr>
        <w:tabs>
          <w:tab w:pos="1184" w:val="left" w:leader="none"/>
          <w:tab w:pos="1185" w:val="left" w:leader="none"/>
        </w:tabs>
        <w:spacing w:line="325" w:lineRule="exact" w:before="0" w:after="0"/>
        <w:ind w:left="1184" w:right="0" w:hanging="600"/>
        <w:jc w:val="left"/>
      </w:pPr>
      <w:r>
        <w:rPr/>
        <w:t>释义</w:t>
      </w:r>
    </w:p>
    <w:p>
      <w:pPr>
        <w:pStyle w:val="Heading2"/>
        <w:numPr>
          <w:ilvl w:val="1"/>
          <w:numId w:val="2"/>
        </w:numPr>
        <w:tabs>
          <w:tab w:pos="1100" w:val="left" w:leader="none"/>
          <w:tab w:pos="1101" w:val="left" w:leader="none"/>
        </w:tabs>
        <w:spacing w:line="275" w:lineRule="exact" w:before="0" w:after="0"/>
        <w:ind w:left="533" w:right="0" w:hanging="11"/>
        <w:jc w:val="left"/>
      </w:pPr>
      <w:r>
        <w:rPr/>
        <w:t>保单年度</w:t>
      </w:r>
    </w:p>
    <w:p>
      <w:pPr>
        <w:pStyle w:val="BodyText"/>
        <w:spacing w:line="223" w:lineRule="auto" w:before="12"/>
        <w:ind w:left="102" w:right="206" w:firstLine="424"/>
      </w:pPr>
      <w:r>
        <w:rPr/>
        <w:t>从保险合同生效日或生效对应日的次日零时起至下一年度保险合同生效对应日 </w:t>
      </w:r>
      <w:r>
        <w:rPr>
          <w:rFonts w:ascii="Times New Roman" w:eastAsia="Times New Roman"/>
        </w:rPr>
        <w:t>24 </w:t>
      </w:r>
      <w:r>
        <w:rPr/>
        <w:t>时止为一个保单年度。</w:t>
      </w:r>
    </w:p>
    <w:p>
      <w:pPr>
        <w:pStyle w:val="BodyText"/>
        <w:spacing w:before="12"/>
        <w:rPr>
          <w:sz w:val="20"/>
        </w:rPr>
      </w:pPr>
    </w:p>
    <w:p>
      <w:pPr>
        <w:pStyle w:val="Heading2"/>
        <w:numPr>
          <w:ilvl w:val="1"/>
          <w:numId w:val="2"/>
        </w:numPr>
        <w:tabs>
          <w:tab w:pos="1129" w:val="left" w:leader="none"/>
          <w:tab w:pos="1130" w:val="left" w:leader="none"/>
        </w:tabs>
        <w:spacing w:line="281" w:lineRule="exact" w:before="0" w:after="0"/>
        <w:ind w:left="1129" w:right="0" w:hanging="607"/>
        <w:jc w:val="left"/>
      </w:pPr>
      <w:r>
        <w:rPr/>
        <w:t>保险费约定支付日</w:t>
      </w:r>
    </w:p>
    <w:p>
      <w:pPr>
        <w:pStyle w:val="BodyText"/>
        <w:spacing w:line="237" w:lineRule="auto"/>
        <w:ind w:left="102" w:right="210" w:firstLine="419"/>
      </w:pPr>
      <w:r>
        <w:rPr/>
        <w:t>保险合同生效日在每月、每季、每半年或每年（根据支付方式确定）的对应日。如果当月无对应的同一日，则以该月最后一日为对应日。</w:t>
      </w:r>
    </w:p>
    <w:p>
      <w:pPr>
        <w:pStyle w:val="BodyText"/>
        <w:spacing w:before="8"/>
      </w:pPr>
    </w:p>
    <w:p>
      <w:pPr>
        <w:pStyle w:val="Heading2"/>
        <w:numPr>
          <w:ilvl w:val="1"/>
          <w:numId w:val="2"/>
        </w:numPr>
        <w:tabs>
          <w:tab w:pos="1129" w:val="left" w:leader="none"/>
          <w:tab w:pos="1130" w:val="left" w:leader="none"/>
        </w:tabs>
        <w:spacing w:line="281" w:lineRule="exact" w:before="0" w:after="0"/>
        <w:ind w:left="1129" w:right="0" w:hanging="607"/>
        <w:jc w:val="left"/>
      </w:pPr>
      <w:r>
        <w:rPr/>
        <w:t>周岁</w:t>
      </w:r>
    </w:p>
    <w:p>
      <w:pPr>
        <w:pStyle w:val="BodyText"/>
        <w:spacing w:line="225" w:lineRule="auto" w:before="7"/>
        <w:ind w:left="102" w:right="208" w:firstLine="419"/>
      </w:pPr>
      <w:r>
        <w:rPr/>
        <w:t>指按有效法定身份证明文件中记载的出生日期计算的年龄，自出生之日起为零周岁，每经过</w:t>
      </w:r>
      <w:r>
        <w:rPr>
          <w:rFonts w:ascii="Times New Roman" w:eastAsia="Times New Roman"/>
        </w:rPr>
        <w:t>1 </w:t>
      </w:r>
      <w:r>
        <w:rPr/>
        <w:t>年增加</w:t>
      </w:r>
      <w:r>
        <w:rPr>
          <w:rFonts w:ascii="Times New Roman" w:eastAsia="Times New Roman"/>
        </w:rPr>
        <w:t>1</w:t>
      </w:r>
      <w:r>
        <w:rPr/>
        <w:t>岁，不足</w:t>
      </w:r>
      <w:r>
        <w:rPr>
          <w:rFonts w:ascii="Times New Roman" w:eastAsia="Times New Roman"/>
        </w:rPr>
        <w:t>1</w:t>
      </w:r>
      <w:r>
        <w:rPr/>
        <w:t>年的不计。</w:t>
      </w:r>
    </w:p>
    <w:p>
      <w:pPr>
        <w:pStyle w:val="BodyText"/>
        <w:spacing w:before="7"/>
        <w:rPr>
          <w:sz w:val="19"/>
        </w:rPr>
      </w:pPr>
    </w:p>
    <w:p>
      <w:pPr>
        <w:pStyle w:val="Heading2"/>
        <w:numPr>
          <w:ilvl w:val="1"/>
          <w:numId w:val="2"/>
        </w:numPr>
        <w:tabs>
          <w:tab w:pos="1129" w:val="left" w:leader="none"/>
          <w:tab w:pos="1130" w:val="left" w:leader="none"/>
        </w:tabs>
        <w:spacing w:line="282" w:lineRule="exact" w:before="0" w:after="0"/>
        <w:ind w:left="1129" w:right="0" w:hanging="607"/>
        <w:jc w:val="left"/>
      </w:pPr>
      <w:r>
        <w:rPr/>
        <w:t>有效身份证件</w:t>
      </w:r>
    </w:p>
    <w:p>
      <w:pPr>
        <w:pStyle w:val="BodyText"/>
        <w:spacing w:line="237" w:lineRule="auto"/>
        <w:ind w:left="102" w:right="100" w:firstLine="419"/>
      </w:pPr>
      <w:r>
        <w:rPr>
          <w:spacing w:val="-9"/>
        </w:rPr>
        <w:t>指依据法律规定，由有权机构制作颁发的证明身份的证件等，如：居民身份证、户口簿、护照、</w:t>
      </w:r>
      <w:r>
        <w:rPr>
          <w:spacing w:val="-5"/>
        </w:rPr>
        <w:t>军人证等。</w:t>
      </w:r>
    </w:p>
    <w:p>
      <w:pPr>
        <w:pStyle w:val="BodyText"/>
        <w:spacing w:before="6"/>
      </w:pPr>
    </w:p>
    <w:p>
      <w:pPr>
        <w:pStyle w:val="Heading2"/>
        <w:numPr>
          <w:ilvl w:val="1"/>
          <w:numId w:val="2"/>
        </w:numPr>
        <w:tabs>
          <w:tab w:pos="1100" w:val="left" w:leader="none"/>
          <w:tab w:pos="1101" w:val="left" w:leader="none"/>
        </w:tabs>
        <w:spacing w:line="281" w:lineRule="exact" w:before="0" w:after="0"/>
        <w:ind w:left="533" w:right="0" w:hanging="11"/>
        <w:jc w:val="left"/>
      </w:pPr>
      <w:r>
        <w:rPr/>
        <w:t>发病</w:t>
      </w:r>
    </w:p>
    <w:p>
      <w:pPr>
        <w:pStyle w:val="BodyText"/>
        <w:ind w:left="102" w:right="245" w:firstLine="419"/>
      </w:pPr>
      <w:r>
        <w:rPr/>
        <w:t>发病是指出现疾病的前兆和异常的身体状况，该疾病的前兆或异常的身体状况足以引起注意或应当引起注意并寻求检查、诊断、治疗或护理。</w:t>
      </w:r>
    </w:p>
    <w:p>
      <w:pPr>
        <w:pStyle w:val="BodyText"/>
        <w:spacing w:before="13"/>
        <w:rPr>
          <w:sz w:val="18"/>
        </w:rPr>
      </w:pPr>
    </w:p>
    <w:p>
      <w:pPr>
        <w:pStyle w:val="Heading2"/>
        <w:numPr>
          <w:ilvl w:val="1"/>
          <w:numId w:val="2"/>
        </w:numPr>
        <w:tabs>
          <w:tab w:pos="1100" w:val="left" w:leader="none"/>
          <w:tab w:pos="1101" w:val="left" w:leader="none"/>
        </w:tabs>
        <w:spacing w:line="281" w:lineRule="exact" w:before="0" w:after="0"/>
        <w:ind w:left="533" w:right="0" w:hanging="11"/>
        <w:jc w:val="left"/>
      </w:pPr>
      <w:r>
        <w:rPr/>
        <w:t>意外伤害</w:t>
      </w:r>
    </w:p>
    <w:p>
      <w:pPr>
        <w:pStyle w:val="BodyText"/>
        <w:spacing w:line="265" w:lineRule="exact"/>
        <w:ind w:left="521"/>
      </w:pPr>
      <w:r>
        <w:rPr/>
        <w:t>指遭受外来的、突发的、非本意的、非疾病使身体受到伤害的客观事件。</w:t>
      </w:r>
    </w:p>
    <w:p>
      <w:pPr>
        <w:pStyle w:val="BodyText"/>
        <w:spacing w:before="3"/>
        <w:rPr>
          <w:sz w:val="18"/>
        </w:rPr>
      </w:pPr>
    </w:p>
    <w:p>
      <w:pPr>
        <w:pStyle w:val="Heading2"/>
        <w:numPr>
          <w:ilvl w:val="1"/>
          <w:numId w:val="2"/>
        </w:numPr>
        <w:tabs>
          <w:tab w:pos="1100" w:val="left" w:leader="none"/>
          <w:tab w:pos="1101" w:val="left" w:leader="none"/>
        </w:tabs>
        <w:spacing w:line="282" w:lineRule="exact" w:before="0" w:after="0"/>
        <w:ind w:left="533" w:right="0" w:hanging="11"/>
        <w:jc w:val="left"/>
      </w:pPr>
      <w:r>
        <w:rPr/>
        <w:t>首次发病</w:t>
      </w:r>
    </w:p>
    <w:p>
      <w:pPr>
        <w:pStyle w:val="BodyText"/>
        <w:spacing w:line="266" w:lineRule="exact"/>
        <w:ind w:left="521"/>
      </w:pPr>
      <w:r>
        <w:rPr/>
        <w:t>指自被保险人出生之日起第一次发病，而不是指自本合同生效、复效之后第一次发病。</w:t>
      </w:r>
    </w:p>
    <w:p>
      <w:pPr>
        <w:pStyle w:val="BodyText"/>
        <w:spacing w:before="3"/>
        <w:rPr>
          <w:sz w:val="18"/>
        </w:rPr>
      </w:pPr>
    </w:p>
    <w:p>
      <w:pPr>
        <w:pStyle w:val="Heading2"/>
        <w:numPr>
          <w:ilvl w:val="1"/>
          <w:numId w:val="2"/>
        </w:numPr>
        <w:tabs>
          <w:tab w:pos="1100" w:val="left" w:leader="none"/>
          <w:tab w:pos="1101" w:val="left" w:leader="none"/>
        </w:tabs>
        <w:spacing w:line="281" w:lineRule="exact" w:before="0" w:after="0"/>
        <w:ind w:left="533" w:right="0" w:hanging="11"/>
        <w:jc w:val="left"/>
      </w:pPr>
      <w:r>
        <w:rPr/>
        <w:t>专科医生</w:t>
      </w:r>
    </w:p>
    <w:p>
      <w:pPr>
        <w:pStyle w:val="BodyText"/>
        <w:spacing w:line="264" w:lineRule="exact"/>
        <w:ind w:left="521"/>
      </w:pPr>
      <w:r>
        <w:rPr/>
        <w:t>专科医生应当同时满足以下四项资格条件：</w:t>
      </w:r>
    </w:p>
    <w:p>
      <w:pPr>
        <w:pStyle w:val="BodyText"/>
        <w:spacing w:line="290" w:lineRule="exact"/>
        <w:ind w:left="521"/>
      </w:pPr>
      <w:r>
        <w:rPr/>
        <w:t>（</w:t>
      </w:r>
      <w:r>
        <w:rPr>
          <w:rFonts w:ascii="Times New Roman" w:eastAsia="Times New Roman"/>
        </w:rPr>
        <w:t>1</w:t>
      </w:r>
      <w:r>
        <w:rPr/>
        <w:t>）具有有效的中华人民共和国《医师资格证书》；</w:t>
      </w:r>
    </w:p>
    <w:p>
      <w:pPr>
        <w:spacing w:after="0" w:line="290" w:lineRule="exact"/>
        <w:sectPr>
          <w:pgSz w:w="11910" w:h="16840"/>
          <w:pgMar w:header="0" w:footer="1239" w:top="1060" w:bottom="1420" w:left="1600" w:right="920"/>
        </w:sectPr>
      </w:pPr>
    </w:p>
    <w:p>
      <w:pPr>
        <w:pStyle w:val="BodyText"/>
        <w:spacing w:line="282" w:lineRule="exact" w:before="20"/>
        <w:ind w:left="533"/>
      </w:pPr>
      <w:r>
        <w:rPr/>
        <w:t>（</w:t>
      </w:r>
      <w:r>
        <w:rPr>
          <w:rFonts w:ascii="Times New Roman" w:eastAsia="Times New Roman"/>
        </w:rPr>
        <w:t>2</w:t>
      </w:r>
      <w:r>
        <w:rPr/>
        <w:t>）具有有效的中华人民共和国《医师执业证书》，并按期到相关部门登记注册；</w:t>
      </w:r>
    </w:p>
    <w:p>
      <w:pPr>
        <w:pStyle w:val="BodyText"/>
        <w:spacing w:line="273" w:lineRule="exact"/>
        <w:ind w:left="533"/>
      </w:pPr>
      <w:r>
        <w:rPr/>
        <w:t>（</w:t>
      </w:r>
      <w:r>
        <w:rPr>
          <w:rFonts w:ascii="Times New Roman" w:eastAsia="Times New Roman"/>
        </w:rPr>
        <w:t>3</w:t>
      </w:r>
      <w:r>
        <w:rPr/>
        <w:t>）具有有效的中华人民共和国主治医师或主治医师以上职称的《医师职称证书》；</w:t>
      </w:r>
    </w:p>
    <w:p>
      <w:pPr>
        <w:pStyle w:val="BodyText"/>
        <w:spacing w:line="281" w:lineRule="exact"/>
        <w:ind w:left="533"/>
      </w:pPr>
      <w:r>
        <w:rPr/>
        <w:t>（</w:t>
      </w:r>
      <w:r>
        <w:rPr>
          <w:rFonts w:ascii="Times New Roman" w:eastAsia="Times New Roman"/>
        </w:rPr>
        <w:t>4</w:t>
      </w:r>
      <w:r>
        <w:rPr/>
        <w:t>）在二级或二级以上医院的相应科室从事临床工作三年以上。</w:t>
      </w:r>
    </w:p>
    <w:p>
      <w:pPr>
        <w:pStyle w:val="BodyText"/>
        <w:spacing w:before="2"/>
        <w:rPr>
          <w:sz w:val="17"/>
        </w:rPr>
      </w:pPr>
    </w:p>
    <w:p>
      <w:pPr>
        <w:pStyle w:val="Heading2"/>
        <w:numPr>
          <w:ilvl w:val="1"/>
          <w:numId w:val="2"/>
        </w:numPr>
        <w:tabs>
          <w:tab w:pos="1111" w:val="left" w:leader="none"/>
          <w:tab w:pos="1112" w:val="left" w:leader="none"/>
        </w:tabs>
        <w:spacing w:line="281" w:lineRule="exact" w:before="0" w:after="0"/>
        <w:ind w:left="1111" w:right="0" w:hanging="578"/>
        <w:jc w:val="left"/>
      </w:pPr>
      <w:r>
        <w:rPr/>
        <w:t>首次确诊</w:t>
      </w:r>
    </w:p>
    <w:p>
      <w:pPr>
        <w:pStyle w:val="BodyText"/>
        <w:spacing w:line="237" w:lineRule="auto"/>
        <w:ind w:left="112" w:right="218" w:firstLine="420"/>
      </w:pPr>
      <w:r>
        <w:rPr/>
        <w:t>指自被保险人出生之日起第一次经医院确诊患有本合同所约定的某种疾病，而不是指自本合同生效、复效之后第一次经医院确诊患有本合同所约定的某种疾病。</w:t>
      </w:r>
    </w:p>
    <w:p>
      <w:pPr>
        <w:pStyle w:val="BodyText"/>
        <w:rPr>
          <w:sz w:val="19"/>
        </w:rPr>
      </w:pPr>
    </w:p>
    <w:p>
      <w:pPr>
        <w:pStyle w:val="Heading2"/>
        <w:numPr>
          <w:ilvl w:val="1"/>
          <w:numId w:val="2"/>
        </w:numPr>
        <w:tabs>
          <w:tab w:pos="1214" w:val="left" w:leader="none"/>
          <w:tab w:pos="1215" w:val="left" w:leader="none"/>
        </w:tabs>
        <w:spacing w:line="281" w:lineRule="exact" w:before="0" w:after="0"/>
        <w:ind w:left="1214" w:right="0" w:hanging="681"/>
        <w:jc w:val="left"/>
      </w:pPr>
      <w:r>
        <w:rPr/>
        <w:t>现金价值</w:t>
      </w:r>
    </w:p>
    <w:p>
      <w:pPr>
        <w:pStyle w:val="BodyText"/>
        <w:ind w:left="112" w:right="218" w:firstLine="420"/>
      </w:pPr>
      <w:r>
        <w:rPr/>
        <w:t>指保险单所具有的价值，通常体现为解除合同时，根据精算原理计算的，由我们退还的那部分金额。</w:t>
      </w:r>
    </w:p>
    <w:p>
      <w:pPr>
        <w:pStyle w:val="BodyText"/>
        <w:spacing w:before="13"/>
        <w:rPr>
          <w:sz w:val="18"/>
        </w:rPr>
      </w:pPr>
    </w:p>
    <w:p>
      <w:pPr>
        <w:pStyle w:val="Heading2"/>
        <w:numPr>
          <w:ilvl w:val="1"/>
          <w:numId w:val="2"/>
        </w:numPr>
        <w:tabs>
          <w:tab w:pos="1207" w:val="left" w:leader="none"/>
          <w:tab w:pos="1208" w:val="left" w:leader="none"/>
        </w:tabs>
        <w:spacing w:line="281" w:lineRule="exact" w:before="0" w:after="0"/>
        <w:ind w:left="1207" w:right="0" w:hanging="674"/>
        <w:jc w:val="left"/>
      </w:pPr>
      <w:r>
        <w:rPr/>
        <w:t>医师</w:t>
      </w:r>
    </w:p>
    <w:p>
      <w:pPr>
        <w:pStyle w:val="BodyText"/>
        <w:ind w:left="112" w:right="218" w:firstLine="420"/>
      </w:pPr>
      <w:r>
        <w:rPr/>
        <w:t>指在医院内行医并拥有处方权的医师，亦指在被保险人接受诊断、医疗、处方或手术的地区内合法注册且有行医资格的医师。不包括投保人、被保险人本人及其近亲属。</w:t>
      </w:r>
    </w:p>
    <w:p>
      <w:pPr>
        <w:pStyle w:val="BodyText"/>
        <w:spacing w:before="13"/>
        <w:rPr>
          <w:sz w:val="18"/>
        </w:rPr>
      </w:pPr>
    </w:p>
    <w:p>
      <w:pPr>
        <w:pStyle w:val="Heading2"/>
        <w:numPr>
          <w:ilvl w:val="1"/>
          <w:numId w:val="2"/>
        </w:numPr>
        <w:tabs>
          <w:tab w:pos="1214" w:val="left" w:leader="none"/>
          <w:tab w:pos="1215" w:val="left" w:leader="none"/>
        </w:tabs>
        <w:spacing w:line="281" w:lineRule="exact" w:before="0" w:after="0"/>
        <w:ind w:left="1214" w:right="0" w:hanging="681"/>
        <w:jc w:val="left"/>
      </w:pPr>
      <w:r>
        <w:rPr/>
        <w:t>毒品</w:t>
      </w:r>
    </w:p>
    <w:p>
      <w:pPr>
        <w:pStyle w:val="BodyText"/>
        <w:spacing w:line="237" w:lineRule="auto"/>
        <w:ind w:left="112" w:right="212" w:firstLine="420"/>
        <w:jc w:val="both"/>
      </w:pPr>
      <w:r>
        <w:rPr>
          <w:spacing w:val="-6"/>
        </w:rPr>
        <w:t>指中华人民共和国刑法规定的鸦片、海洛因、甲基苯丙胺</w:t>
      </w:r>
      <w:r>
        <w:rPr>
          <w:spacing w:val="-3"/>
        </w:rPr>
        <w:t>（</w:t>
      </w:r>
      <w:r>
        <w:rPr>
          <w:spacing w:val="-2"/>
        </w:rPr>
        <w:t>冰毒</w:t>
      </w:r>
      <w:r>
        <w:rPr>
          <w:spacing w:val="-108"/>
        </w:rPr>
        <w:t>）</w:t>
      </w:r>
      <w:r>
        <w:rPr>
          <w:spacing w:val="-7"/>
        </w:rPr>
        <w:t>、吗啡、大麻、可卡因以及国家规定管制的其他能够使人形成瘾癖的麻醉药品和精神药品，但不包括由医师开具并遵医嘱用于治</w:t>
      </w:r>
      <w:r>
        <w:rPr>
          <w:spacing w:val="-5"/>
        </w:rPr>
        <w:t>疗疾病的含有毒品成分的处方药品。</w:t>
      </w:r>
    </w:p>
    <w:p>
      <w:pPr>
        <w:pStyle w:val="BodyText"/>
        <w:spacing w:before="10"/>
        <w:rPr>
          <w:sz w:val="18"/>
        </w:rPr>
      </w:pPr>
    </w:p>
    <w:p>
      <w:pPr>
        <w:pStyle w:val="Heading2"/>
        <w:numPr>
          <w:ilvl w:val="1"/>
          <w:numId w:val="2"/>
        </w:numPr>
        <w:tabs>
          <w:tab w:pos="1214" w:val="left" w:leader="none"/>
          <w:tab w:pos="1215" w:val="left" w:leader="none"/>
        </w:tabs>
        <w:spacing w:line="282" w:lineRule="exact" w:before="0" w:after="0"/>
        <w:ind w:left="1214" w:right="0" w:hanging="681"/>
        <w:jc w:val="left"/>
      </w:pPr>
      <w:r>
        <w:rPr/>
        <w:t>酒后驾驶</w:t>
      </w:r>
    </w:p>
    <w:p>
      <w:pPr>
        <w:pStyle w:val="BodyText"/>
        <w:spacing w:line="237" w:lineRule="auto"/>
        <w:ind w:left="112" w:right="109" w:firstLine="420"/>
      </w:pPr>
      <w:r>
        <w:rPr>
          <w:spacing w:val="-10"/>
        </w:rPr>
        <w:t>指经检测或鉴定，发生事故时车辆驾驶人员每百毫升血液中的酒精含量达到或超过一定的标准， </w:t>
      </w:r>
      <w:r>
        <w:rPr>
          <w:spacing w:val="-5"/>
        </w:rPr>
        <w:t>公安机关交通管理部门依据《道路交通安全法》的规定认定为饮酒后驾驶或醉酒后驾驶。</w:t>
      </w:r>
    </w:p>
    <w:p>
      <w:pPr>
        <w:pStyle w:val="BodyText"/>
        <w:rPr>
          <w:sz w:val="20"/>
        </w:rPr>
      </w:pPr>
    </w:p>
    <w:p>
      <w:pPr>
        <w:pStyle w:val="ListParagraph"/>
        <w:numPr>
          <w:ilvl w:val="1"/>
          <w:numId w:val="2"/>
        </w:numPr>
        <w:tabs>
          <w:tab w:pos="1214" w:val="left" w:leader="none"/>
          <w:tab w:pos="1215" w:val="left" w:leader="none"/>
        </w:tabs>
        <w:spacing w:line="225" w:lineRule="auto" w:before="0" w:after="0"/>
        <w:ind w:left="533" w:right="6079" w:firstLine="0"/>
        <w:jc w:val="left"/>
        <w:rPr>
          <w:sz w:val="21"/>
        </w:rPr>
      </w:pPr>
      <w:r>
        <w:rPr>
          <w:b/>
          <w:spacing w:val="-1"/>
          <w:sz w:val="21"/>
        </w:rPr>
        <w:t>无合法有效驾驶证驾驶</w:t>
      </w:r>
      <w:r>
        <w:rPr>
          <w:spacing w:val="-3"/>
          <w:sz w:val="21"/>
        </w:rPr>
        <w:t>指下列情形之一：</w:t>
      </w:r>
    </w:p>
    <w:p>
      <w:pPr>
        <w:pStyle w:val="BodyText"/>
        <w:spacing w:line="279" w:lineRule="exact"/>
        <w:ind w:left="533"/>
      </w:pPr>
      <w:r>
        <w:rPr/>
        <w:t>（</w:t>
      </w:r>
      <w:r>
        <w:rPr>
          <w:rFonts w:ascii="Times New Roman" w:eastAsia="Times New Roman"/>
        </w:rPr>
        <w:t>1</w:t>
      </w:r>
      <w:r>
        <w:rPr/>
        <w:t>）没有取得驾驶资格；</w:t>
      </w:r>
    </w:p>
    <w:p>
      <w:pPr>
        <w:pStyle w:val="BodyText"/>
        <w:spacing w:line="272" w:lineRule="exact"/>
        <w:ind w:left="533"/>
      </w:pPr>
      <w:r>
        <w:rPr/>
        <w:t>（</w:t>
      </w:r>
      <w:r>
        <w:rPr>
          <w:rFonts w:ascii="Times New Roman" w:eastAsia="Times New Roman"/>
        </w:rPr>
        <w:t>2</w:t>
      </w:r>
      <w:r>
        <w:rPr/>
        <w:t>）驾驶与驾驶证准驾车型不相符合的车辆；</w:t>
      </w:r>
    </w:p>
    <w:p>
      <w:pPr>
        <w:pStyle w:val="BodyText"/>
        <w:spacing w:line="272" w:lineRule="exact"/>
        <w:ind w:left="533"/>
      </w:pPr>
      <w:r>
        <w:rPr/>
        <w:t>（</w:t>
      </w:r>
      <w:r>
        <w:rPr>
          <w:rFonts w:ascii="Times New Roman" w:eastAsia="Times New Roman"/>
        </w:rPr>
        <w:t>3</w:t>
      </w:r>
      <w:r>
        <w:rPr/>
        <w:t>）持审验不合格的驾驶证驾驶；</w:t>
      </w:r>
    </w:p>
    <w:p>
      <w:pPr>
        <w:pStyle w:val="BodyText"/>
        <w:spacing w:line="282" w:lineRule="exact"/>
        <w:ind w:left="533"/>
      </w:pPr>
      <w:r>
        <w:rPr/>
        <w:t>（</w:t>
      </w:r>
      <w:r>
        <w:rPr>
          <w:rFonts w:ascii="Times New Roman" w:eastAsia="Times New Roman"/>
        </w:rPr>
        <w:t>4</w:t>
      </w:r>
      <w:r>
        <w:rPr/>
        <w:t>）持学习驾驶证学习驾车时，无教练员随车指导，或不按指定时间、路线学习驾车。</w:t>
      </w:r>
    </w:p>
    <w:p>
      <w:pPr>
        <w:pStyle w:val="BodyText"/>
        <w:spacing w:before="7"/>
        <w:rPr>
          <w:sz w:val="18"/>
        </w:rPr>
      </w:pPr>
    </w:p>
    <w:p>
      <w:pPr>
        <w:pStyle w:val="ListParagraph"/>
        <w:numPr>
          <w:ilvl w:val="1"/>
          <w:numId w:val="2"/>
        </w:numPr>
        <w:tabs>
          <w:tab w:pos="1214" w:val="left" w:leader="none"/>
          <w:tab w:pos="1215" w:val="left" w:leader="none"/>
        </w:tabs>
        <w:spacing w:line="223" w:lineRule="auto" w:before="0" w:after="0"/>
        <w:ind w:left="533" w:right="6922" w:firstLine="0"/>
        <w:jc w:val="left"/>
        <w:rPr>
          <w:sz w:val="21"/>
        </w:rPr>
      </w:pPr>
      <w:r>
        <w:rPr>
          <w:b/>
          <w:sz w:val="21"/>
        </w:rPr>
        <w:t>无有效行驶证</w:t>
      </w:r>
      <w:r>
        <w:rPr>
          <w:spacing w:val="-3"/>
          <w:sz w:val="21"/>
        </w:rPr>
        <w:t>指下列情形之一：</w:t>
      </w:r>
    </w:p>
    <w:p>
      <w:pPr>
        <w:pStyle w:val="BodyText"/>
        <w:spacing w:line="280" w:lineRule="exact"/>
        <w:ind w:left="533"/>
      </w:pPr>
      <w:r>
        <w:rPr/>
        <w:t>（</w:t>
      </w:r>
      <w:r>
        <w:rPr>
          <w:rFonts w:ascii="Times New Roman" w:eastAsia="Times New Roman"/>
        </w:rPr>
        <w:t>1</w:t>
      </w:r>
      <w:r>
        <w:rPr/>
        <w:t>）未取得行驶证；</w:t>
      </w:r>
    </w:p>
    <w:p>
      <w:pPr>
        <w:pStyle w:val="BodyText"/>
        <w:spacing w:line="272" w:lineRule="exact"/>
        <w:ind w:left="533"/>
      </w:pPr>
      <w:r>
        <w:rPr/>
        <w:t>（</w:t>
      </w:r>
      <w:r>
        <w:rPr>
          <w:rFonts w:ascii="Times New Roman" w:eastAsia="Times New Roman"/>
        </w:rPr>
        <w:t>2</w:t>
      </w:r>
      <w:r>
        <w:rPr/>
        <w:t>）机动车被依法注销登记的；</w:t>
      </w:r>
    </w:p>
    <w:p>
      <w:pPr>
        <w:pStyle w:val="BodyText"/>
        <w:spacing w:line="282" w:lineRule="exact"/>
        <w:ind w:left="533"/>
      </w:pPr>
      <w:r>
        <w:rPr/>
        <w:t>（</w:t>
      </w:r>
      <w:r>
        <w:rPr>
          <w:rFonts w:ascii="Times New Roman" w:eastAsia="Times New Roman"/>
        </w:rPr>
        <w:t>3</w:t>
      </w:r>
      <w:r>
        <w:rPr/>
        <w:t>）未在行驶证检验有效期内依法按时进行或者未通过机动车安全技术检验的。</w:t>
      </w:r>
    </w:p>
    <w:p>
      <w:pPr>
        <w:pStyle w:val="BodyText"/>
        <w:spacing w:before="1"/>
        <w:rPr>
          <w:sz w:val="17"/>
        </w:rPr>
      </w:pPr>
    </w:p>
    <w:p>
      <w:pPr>
        <w:pStyle w:val="Heading2"/>
        <w:numPr>
          <w:ilvl w:val="1"/>
          <w:numId w:val="2"/>
        </w:numPr>
        <w:tabs>
          <w:tab w:pos="1214" w:val="left" w:leader="none"/>
          <w:tab w:pos="1215" w:val="left" w:leader="none"/>
        </w:tabs>
        <w:spacing w:line="281" w:lineRule="exact" w:before="0" w:after="0"/>
        <w:ind w:left="1214" w:right="0" w:hanging="681"/>
        <w:jc w:val="left"/>
      </w:pPr>
      <w:r>
        <w:rPr/>
        <w:t>机动车</w:t>
      </w:r>
    </w:p>
    <w:p>
      <w:pPr>
        <w:pStyle w:val="BodyText"/>
        <w:spacing w:line="265" w:lineRule="exact"/>
        <w:ind w:left="533"/>
      </w:pPr>
      <w:r>
        <w:rPr/>
        <w:t>指以动力装置驱动或者牵引，供人员乘用或者用于运送物品以及进行工程专项作业的轮式车辆。</w:t>
      </w:r>
    </w:p>
    <w:p>
      <w:pPr>
        <w:pStyle w:val="BodyText"/>
        <w:spacing w:before="3"/>
        <w:rPr>
          <w:sz w:val="18"/>
        </w:rPr>
      </w:pPr>
    </w:p>
    <w:p>
      <w:pPr>
        <w:pStyle w:val="Heading2"/>
        <w:numPr>
          <w:ilvl w:val="1"/>
          <w:numId w:val="2"/>
        </w:numPr>
        <w:tabs>
          <w:tab w:pos="1214" w:val="left" w:leader="none"/>
          <w:tab w:pos="1215" w:val="left" w:leader="none"/>
        </w:tabs>
        <w:spacing w:line="282" w:lineRule="exact" w:before="0" w:after="0"/>
        <w:ind w:left="1214" w:right="0" w:hanging="681"/>
        <w:jc w:val="left"/>
      </w:pPr>
      <w:r>
        <w:rPr>
          <w:spacing w:val="-1"/>
        </w:rPr>
        <w:t>感染艾滋病病毒或患艾滋病</w:t>
      </w:r>
    </w:p>
    <w:p>
      <w:pPr>
        <w:pStyle w:val="BodyText"/>
        <w:spacing w:line="223" w:lineRule="auto" w:before="11"/>
        <w:ind w:left="112" w:right="218" w:firstLine="420"/>
      </w:pPr>
      <w:r>
        <w:rPr/>
        <w:t>艾滋病病毒指人类免疫缺陷病毒，英文缩写为</w:t>
      </w:r>
      <w:r>
        <w:rPr>
          <w:rFonts w:ascii="Times New Roman" w:eastAsia="Times New Roman"/>
        </w:rPr>
        <w:t>HIV</w:t>
      </w:r>
      <w:r>
        <w:rPr/>
        <w:t>。艾滋病指人类免疫缺陷病毒引起的获得性免疫缺陷综合征，英文缩写为</w:t>
      </w:r>
      <w:r>
        <w:rPr>
          <w:rFonts w:ascii="Times New Roman" w:eastAsia="Times New Roman"/>
        </w:rPr>
        <w:t>AIDS</w:t>
      </w:r>
      <w:r>
        <w:rPr/>
        <w:t>。</w:t>
      </w:r>
    </w:p>
    <w:p>
      <w:pPr>
        <w:pStyle w:val="BodyText"/>
        <w:spacing w:line="272" w:lineRule="exact" w:before="10"/>
        <w:ind w:left="112" w:right="218" w:firstLine="420"/>
      </w:pPr>
      <w:r>
        <w:rPr/>
        <w:t>在人体血液或其他样本中检测到艾滋病病毒或其抗体呈阳性，没有出现临床症状或体征的，为感染艾滋病病毒；如果同时出现了明显临床症状或体征的，为患艾滋病。</w:t>
      </w:r>
    </w:p>
    <w:p>
      <w:pPr>
        <w:pStyle w:val="BodyText"/>
        <w:spacing w:before="4"/>
        <w:rPr>
          <w:sz w:val="16"/>
        </w:rPr>
      </w:pPr>
    </w:p>
    <w:p>
      <w:pPr>
        <w:pStyle w:val="Heading2"/>
        <w:numPr>
          <w:ilvl w:val="1"/>
          <w:numId w:val="2"/>
        </w:numPr>
        <w:tabs>
          <w:tab w:pos="1214" w:val="left" w:leader="none"/>
          <w:tab w:pos="1215" w:val="left" w:leader="none"/>
        </w:tabs>
        <w:spacing w:line="282" w:lineRule="exact" w:before="0" w:after="0"/>
        <w:ind w:left="1214" w:right="0" w:hanging="681"/>
        <w:jc w:val="left"/>
      </w:pPr>
      <w:r>
        <w:rPr/>
        <w:t>遗传性疾病</w:t>
      </w:r>
    </w:p>
    <w:p>
      <w:pPr>
        <w:pStyle w:val="BodyText"/>
        <w:spacing w:line="237" w:lineRule="auto"/>
        <w:ind w:left="112" w:right="218" w:firstLine="420"/>
      </w:pPr>
      <w:r>
        <w:rPr/>
        <w:t>指生殖细胞或受精卵的遗传物质（染色体和基因）发生突变或畸变所引起的疾病，通常具有由亲代传至后代的垂直传递的特征。</w:t>
      </w:r>
    </w:p>
    <w:p>
      <w:pPr>
        <w:pStyle w:val="BodyText"/>
        <w:spacing w:before="9"/>
        <w:rPr>
          <w:sz w:val="18"/>
        </w:rPr>
      </w:pPr>
    </w:p>
    <w:p>
      <w:pPr>
        <w:pStyle w:val="Heading2"/>
        <w:numPr>
          <w:ilvl w:val="1"/>
          <w:numId w:val="2"/>
        </w:numPr>
        <w:tabs>
          <w:tab w:pos="1214" w:val="left" w:leader="none"/>
          <w:tab w:pos="1215" w:val="left" w:leader="none"/>
        </w:tabs>
        <w:spacing w:line="282" w:lineRule="exact" w:before="0" w:after="0"/>
        <w:ind w:left="1214" w:right="0" w:hanging="681"/>
        <w:jc w:val="left"/>
      </w:pPr>
      <w:r>
        <w:rPr>
          <w:spacing w:val="-1"/>
        </w:rPr>
        <w:t>先天性畸形、变形或染色体异常</w:t>
      </w:r>
    </w:p>
    <w:p>
      <w:pPr>
        <w:pStyle w:val="BodyText"/>
        <w:spacing w:line="266" w:lineRule="exact"/>
        <w:ind w:left="533"/>
      </w:pPr>
      <w:r>
        <w:rPr/>
        <w:t>指被保险人出生时就具有的畸形、变形或染色体异常。先天性畸形、变形和染色体异常依照世</w:t>
      </w:r>
    </w:p>
    <w:p>
      <w:pPr>
        <w:spacing w:after="0" w:line="266" w:lineRule="exact"/>
        <w:sectPr>
          <w:pgSz w:w="11910" w:h="16840"/>
          <w:pgMar w:header="0" w:footer="1239" w:top="1060" w:bottom="1420" w:left="1020" w:right="1480"/>
        </w:sectPr>
      </w:pPr>
    </w:p>
    <w:p>
      <w:pPr>
        <w:pStyle w:val="BodyText"/>
        <w:spacing w:before="20"/>
        <w:ind w:left="102"/>
      </w:pPr>
      <w:r>
        <w:rPr/>
        <w:t>界卫生组织《疾病和有关健康问题的国际统计分类》（</w:t>
      </w:r>
      <w:r>
        <w:rPr>
          <w:rFonts w:ascii="Times New Roman" w:eastAsia="Times New Roman"/>
        </w:rPr>
        <w:t>ICD-10</w:t>
      </w:r>
      <w:r>
        <w:rPr/>
        <w:t>）确定。</w:t>
      </w:r>
    </w:p>
    <w:p>
      <w:pPr>
        <w:pStyle w:val="BodyText"/>
        <w:spacing w:before="2"/>
        <w:rPr>
          <w:sz w:val="17"/>
        </w:rPr>
      </w:pPr>
    </w:p>
    <w:p>
      <w:pPr>
        <w:pStyle w:val="Heading2"/>
        <w:numPr>
          <w:ilvl w:val="1"/>
          <w:numId w:val="2"/>
        </w:numPr>
        <w:tabs>
          <w:tab w:pos="1203" w:val="left" w:leader="none"/>
          <w:tab w:pos="1204" w:val="left" w:leader="none"/>
        </w:tabs>
        <w:spacing w:line="281" w:lineRule="exact" w:before="0" w:after="0"/>
        <w:ind w:left="1203" w:right="0" w:hanging="681"/>
        <w:jc w:val="left"/>
      </w:pPr>
      <w:r>
        <w:rPr/>
        <w:t>医院</w:t>
      </w:r>
    </w:p>
    <w:p>
      <w:pPr>
        <w:pStyle w:val="BodyText"/>
        <w:ind w:left="102" w:right="210" w:firstLine="419"/>
      </w:pPr>
      <w:r>
        <w:rPr/>
        <w:t>指具备由政府卫生行政管理部门颁发的、合法有效的医疗机构执业许可证并符合下列条件之一的公立或基本医疗保险定点医疗机构，及我们指定属于本合同就诊范围的其他医院：</w:t>
      </w:r>
    </w:p>
    <w:p>
      <w:pPr>
        <w:pStyle w:val="BodyText"/>
        <w:spacing w:line="230" w:lineRule="auto" w:before="18"/>
        <w:ind w:left="102" w:right="101" w:firstLine="419"/>
      </w:pPr>
      <w:r>
        <w:rPr>
          <w:spacing w:val="-20"/>
        </w:rPr>
        <w:t>（</w:t>
      </w:r>
      <w:r>
        <w:rPr>
          <w:rFonts w:ascii="Times New Roman" w:eastAsia="Times New Roman"/>
          <w:spacing w:val="-20"/>
        </w:rPr>
        <w:t>1</w:t>
      </w:r>
      <w:r>
        <w:rPr>
          <w:spacing w:val="-20"/>
        </w:rPr>
        <w:t>）</w:t>
      </w:r>
      <w:r>
        <w:rPr>
          <w:spacing w:val="-11"/>
        </w:rPr>
        <w:t>二级或二级以上的医院、二级或二级以上的妇幼保健院、住院床位在 </w:t>
      </w:r>
      <w:r>
        <w:rPr>
          <w:rFonts w:ascii="Times New Roman" w:eastAsia="Times New Roman"/>
        </w:rPr>
        <w:t>100 </w:t>
      </w:r>
      <w:r>
        <w:rPr>
          <w:spacing w:val="-3"/>
        </w:rPr>
        <w:t>张及以上的医院， 但不包括上述医院的康复病房以及精神病医院、皮肤病医院、整形外科医院、美容医院、康复医院和疗养院。</w:t>
      </w:r>
    </w:p>
    <w:p>
      <w:pPr>
        <w:pStyle w:val="BodyText"/>
        <w:spacing w:line="287" w:lineRule="exact"/>
        <w:ind w:left="521"/>
      </w:pPr>
      <w:r>
        <w:rPr/>
        <w:t>（</w:t>
      </w:r>
      <w:r>
        <w:rPr>
          <w:rFonts w:ascii="Times New Roman" w:eastAsia="Times New Roman"/>
        </w:rPr>
        <w:t>2</w:t>
      </w:r>
      <w:r>
        <w:rPr/>
        <w:t>）我们认可的、为受伤者和患病者提供全日 </w:t>
      </w:r>
      <w:r>
        <w:rPr>
          <w:rFonts w:ascii="Times New Roman" w:eastAsia="Times New Roman"/>
        </w:rPr>
        <w:t>24 </w:t>
      </w:r>
      <w:r>
        <w:rPr/>
        <w:t>小时诊断和治疗服务的医疗机构。</w:t>
      </w:r>
    </w:p>
    <w:p>
      <w:pPr>
        <w:pStyle w:val="BodyText"/>
        <w:spacing w:before="10"/>
        <w:rPr>
          <w:sz w:val="19"/>
        </w:rPr>
      </w:pPr>
    </w:p>
    <w:p>
      <w:pPr>
        <w:pStyle w:val="Heading2"/>
        <w:numPr>
          <w:ilvl w:val="1"/>
          <w:numId w:val="2"/>
        </w:numPr>
        <w:tabs>
          <w:tab w:pos="1203" w:val="left" w:leader="none"/>
          <w:tab w:pos="1204" w:val="left" w:leader="none"/>
        </w:tabs>
        <w:spacing w:line="281" w:lineRule="exact" w:before="0" w:after="0"/>
        <w:ind w:left="1203" w:right="0" w:hanging="681"/>
        <w:jc w:val="left"/>
      </w:pPr>
      <w:r>
        <w:rPr/>
        <w:t>肢体机能完全丧失</w:t>
      </w:r>
    </w:p>
    <w:p>
      <w:pPr>
        <w:pStyle w:val="BodyText"/>
        <w:ind w:left="102" w:right="210" w:firstLine="419"/>
      </w:pPr>
      <w:r>
        <w:rPr/>
        <w:t>指肢体的三大关节中的两大关节僵硬，或不能随意识活动。肢体是指包括肩关节的整个上肢或包括髋关节的整个下肢。</w:t>
      </w:r>
    </w:p>
    <w:p>
      <w:pPr>
        <w:pStyle w:val="BodyText"/>
        <w:spacing w:before="7"/>
      </w:pPr>
    </w:p>
    <w:p>
      <w:pPr>
        <w:pStyle w:val="Heading2"/>
        <w:numPr>
          <w:ilvl w:val="1"/>
          <w:numId w:val="2"/>
        </w:numPr>
        <w:tabs>
          <w:tab w:pos="1203" w:val="left" w:leader="none"/>
          <w:tab w:pos="1204" w:val="left" w:leader="none"/>
        </w:tabs>
        <w:spacing w:line="282" w:lineRule="exact" w:before="0" w:after="0"/>
        <w:ind w:left="1203" w:right="0" w:hanging="681"/>
        <w:jc w:val="left"/>
      </w:pPr>
      <w:r>
        <w:rPr>
          <w:spacing w:val="-1"/>
        </w:rPr>
        <w:t>语言能力或咀嚼吞咽能力完全丧失</w:t>
      </w:r>
    </w:p>
    <w:p>
      <w:pPr>
        <w:pStyle w:val="BodyText"/>
        <w:spacing w:line="237" w:lineRule="auto"/>
        <w:ind w:left="102" w:right="209" w:firstLine="419"/>
      </w:pPr>
      <w:r>
        <w:rPr/>
        <w:t>语言能力完全丧失，指无法发出四种语音（包括口唇音、齿舌音、口盖音和喉头音）中的任何三种、或声带全部切除，或因大脑语言中枢受伤害而患失语症。</w:t>
      </w:r>
    </w:p>
    <w:p>
      <w:pPr>
        <w:pStyle w:val="BodyText"/>
        <w:spacing w:line="237" w:lineRule="auto" w:before="8"/>
        <w:ind w:left="102" w:right="210" w:firstLine="419"/>
      </w:pPr>
      <w:r>
        <w:rPr/>
        <w:t>咀嚼吞咽能力完全丧失，指因牙齿以外的原因导致器质障碍或机能障碍，以致不能作咀嚼吞咽运动，除流质食物外不能摄取或吞咽的状态。</w:t>
      </w:r>
    </w:p>
    <w:p>
      <w:pPr>
        <w:pStyle w:val="BodyText"/>
        <w:spacing w:before="7"/>
        <w:rPr>
          <w:sz w:val="22"/>
        </w:rPr>
      </w:pPr>
    </w:p>
    <w:p>
      <w:pPr>
        <w:pStyle w:val="ListParagraph"/>
        <w:numPr>
          <w:ilvl w:val="1"/>
          <w:numId w:val="2"/>
        </w:numPr>
        <w:tabs>
          <w:tab w:pos="1203" w:val="left" w:leader="none"/>
          <w:tab w:pos="1204" w:val="left" w:leader="none"/>
        </w:tabs>
        <w:spacing w:line="223" w:lineRule="auto" w:before="0" w:after="0"/>
        <w:ind w:left="522" w:right="6071" w:firstLine="0"/>
        <w:jc w:val="left"/>
        <w:rPr>
          <w:sz w:val="21"/>
        </w:rPr>
      </w:pPr>
      <w:r>
        <w:rPr>
          <w:b/>
          <w:spacing w:val="-1"/>
          <w:sz w:val="21"/>
        </w:rPr>
        <w:t>六项基本日常生活活动</w:t>
      </w:r>
      <w:r>
        <w:rPr>
          <w:spacing w:val="-3"/>
          <w:sz w:val="21"/>
        </w:rPr>
        <w:t>六项基本日常生活活动是指：</w:t>
      </w:r>
    </w:p>
    <w:p>
      <w:pPr>
        <w:pStyle w:val="BodyText"/>
        <w:spacing w:line="280" w:lineRule="exact"/>
        <w:ind w:left="521"/>
      </w:pPr>
      <w:r>
        <w:rPr/>
        <w:t>（</w:t>
      </w:r>
      <w:r>
        <w:rPr>
          <w:rFonts w:ascii="Times New Roman" w:eastAsia="Times New Roman"/>
        </w:rPr>
        <w:t>1</w:t>
      </w:r>
      <w:r>
        <w:rPr/>
        <w:t>）穿衣：自己能够穿衣及脱衣；</w:t>
      </w:r>
    </w:p>
    <w:p>
      <w:pPr>
        <w:pStyle w:val="BodyText"/>
        <w:spacing w:line="272" w:lineRule="exact"/>
        <w:ind w:left="521"/>
      </w:pPr>
      <w:r>
        <w:rPr/>
        <w:t>（</w:t>
      </w:r>
      <w:r>
        <w:rPr>
          <w:rFonts w:ascii="Times New Roman" w:eastAsia="Times New Roman"/>
        </w:rPr>
        <w:t>2</w:t>
      </w:r>
      <w:r>
        <w:rPr/>
        <w:t>）移动：自己从一个房间到另一个房间；</w:t>
      </w:r>
    </w:p>
    <w:p>
      <w:pPr>
        <w:pStyle w:val="BodyText"/>
        <w:spacing w:line="272" w:lineRule="exact"/>
        <w:ind w:left="521"/>
      </w:pPr>
      <w:r>
        <w:rPr/>
        <w:t>（</w:t>
      </w:r>
      <w:r>
        <w:rPr>
          <w:rFonts w:ascii="Times New Roman" w:eastAsia="Times New Roman"/>
        </w:rPr>
        <w:t>3</w:t>
      </w:r>
      <w:r>
        <w:rPr/>
        <w:t>）行动：自己上下床或上下轮椅；</w:t>
      </w:r>
    </w:p>
    <w:p>
      <w:pPr>
        <w:pStyle w:val="BodyText"/>
        <w:spacing w:line="272" w:lineRule="exact"/>
        <w:ind w:left="521"/>
      </w:pPr>
      <w:r>
        <w:rPr/>
        <w:t>（</w:t>
      </w:r>
      <w:r>
        <w:rPr>
          <w:rFonts w:ascii="Times New Roman" w:eastAsia="Times New Roman"/>
        </w:rPr>
        <w:t>4</w:t>
      </w:r>
      <w:r>
        <w:rPr/>
        <w:t>）如厕：自己控制进行大小便；</w:t>
      </w:r>
    </w:p>
    <w:p>
      <w:pPr>
        <w:pStyle w:val="BodyText"/>
        <w:spacing w:line="272" w:lineRule="exact"/>
        <w:ind w:left="521"/>
      </w:pPr>
      <w:r>
        <w:rPr/>
        <w:t>（</w:t>
      </w:r>
      <w:r>
        <w:rPr>
          <w:rFonts w:ascii="Times New Roman" w:eastAsia="Times New Roman"/>
        </w:rPr>
        <w:t>5</w:t>
      </w:r>
      <w:r>
        <w:rPr/>
        <w:t>）进食：自己从已准备好的碗或碟中取食物放入口中；</w:t>
      </w:r>
    </w:p>
    <w:p>
      <w:pPr>
        <w:pStyle w:val="BodyText"/>
        <w:spacing w:line="281" w:lineRule="exact"/>
        <w:ind w:left="521"/>
      </w:pPr>
      <w:r>
        <w:rPr/>
        <w:t>（</w:t>
      </w:r>
      <w:r>
        <w:rPr>
          <w:rFonts w:ascii="Times New Roman" w:eastAsia="Times New Roman"/>
        </w:rPr>
        <w:t>6</w:t>
      </w:r>
      <w:r>
        <w:rPr/>
        <w:t>）洗澡：自己进行淋浴或盆浴。</w:t>
      </w:r>
    </w:p>
    <w:p>
      <w:pPr>
        <w:pStyle w:val="BodyText"/>
        <w:spacing w:before="10"/>
        <w:rPr>
          <w:sz w:val="19"/>
        </w:rPr>
      </w:pPr>
    </w:p>
    <w:p>
      <w:pPr>
        <w:pStyle w:val="Heading2"/>
        <w:numPr>
          <w:ilvl w:val="1"/>
          <w:numId w:val="2"/>
        </w:numPr>
        <w:tabs>
          <w:tab w:pos="1203" w:val="left" w:leader="none"/>
          <w:tab w:pos="1204" w:val="left" w:leader="none"/>
        </w:tabs>
        <w:spacing w:line="281" w:lineRule="exact" w:before="0" w:after="0"/>
        <w:ind w:left="1203" w:right="0" w:hanging="681"/>
        <w:jc w:val="left"/>
      </w:pPr>
      <w:r>
        <w:rPr/>
        <w:t>永久不可逆</w:t>
      </w:r>
    </w:p>
    <w:p>
      <w:pPr>
        <w:pStyle w:val="BodyText"/>
        <w:spacing w:line="281" w:lineRule="exact"/>
        <w:ind w:left="521"/>
      </w:pPr>
      <w:r>
        <w:rPr/>
        <w:t>指自疾病确诊或意外伤害发生之日起，经过积极治疗</w:t>
      </w:r>
      <w:r>
        <w:rPr>
          <w:rFonts w:ascii="Times New Roman" w:eastAsia="Times New Roman"/>
        </w:rPr>
        <w:t>180</w:t>
      </w:r>
      <w:r>
        <w:rPr/>
        <w:t>天后，仍无法通过现有医疗手段恢复。</w:t>
      </w:r>
    </w:p>
    <w:p>
      <w:pPr>
        <w:pStyle w:val="BodyText"/>
        <w:rPr>
          <w:sz w:val="17"/>
        </w:rPr>
      </w:pPr>
    </w:p>
    <w:p>
      <w:pPr>
        <w:pStyle w:val="Heading2"/>
        <w:numPr>
          <w:ilvl w:val="1"/>
          <w:numId w:val="2"/>
        </w:numPr>
        <w:tabs>
          <w:tab w:pos="1203" w:val="left" w:leader="none"/>
          <w:tab w:pos="1204" w:val="left" w:leader="none"/>
        </w:tabs>
        <w:spacing w:line="282" w:lineRule="exact" w:before="0" w:after="0"/>
        <w:ind w:left="1203" w:right="0" w:hanging="681"/>
        <w:jc w:val="left"/>
      </w:pPr>
      <w:r>
        <w:rPr>
          <w:spacing w:val="-1"/>
        </w:rPr>
        <w:t>美国纽约心脏病学会心功能状态分级</w:t>
      </w:r>
      <w:r>
        <w:rPr>
          <w:rFonts w:ascii="Times New Roman" w:eastAsia="Times New Roman"/>
          <w:spacing w:val="-3"/>
        </w:rPr>
        <w:t>IV</w:t>
      </w:r>
      <w:r>
        <w:rPr/>
        <w:t>级</w:t>
      </w:r>
    </w:p>
    <w:p>
      <w:pPr>
        <w:pStyle w:val="BodyText"/>
        <w:spacing w:line="237" w:lineRule="auto"/>
        <w:ind w:left="102" w:right="210" w:firstLine="419"/>
      </w:pPr>
      <w:r>
        <w:rPr/>
        <w:t>心功能状态分级Ⅳ级是指被保险人不能无症状地进行任何体力活动，休息时也会出现心力衰竭或心绞痛的症状，任何体力活动都会加重病情。</w:t>
      </w:r>
    </w:p>
    <w:p>
      <w:pPr>
        <w:pStyle w:val="BodyText"/>
      </w:pPr>
    </w:p>
    <w:p>
      <w:pPr>
        <w:pStyle w:val="Heading1"/>
        <w:numPr>
          <w:ilvl w:val="0"/>
          <w:numId w:val="2"/>
        </w:numPr>
        <w:tabs>
          <w:tab w:pos="1184" w:val="left" w:leader="none"/>
          <w:tab w:pos="1185" w:val="left" w:leader="none"/>
        </w:tabs>
        <w:spacing w:line="324" w:lineRule="exact" w:before="0" w:after="0"/>
        <w:ind w:left="1184" w:right="0" w:hanging="600"/>
        <w:jc w:val="left"/>
      </w:pPr>
      <w:r>
        <w:rPr/>
        <w:t>特别说明</w:t>
      </w:r>
    </w:p>
    <w:p>
      <w:pPr>
        <w:pStyle w:val="BodyText"/>
        <w:spacing w:line="225" w:lineRule="auto" w:before="9"/>
        <w:ind w:left="102" w:right="143" w:firstLine="419"/>
      </w:pPr>
      <w:r>
        <w:rPr/>
        <w:t>（</w:t>
      </w:r>
      <w:r>
        <w:rPr>
          <w:rFonts w:ascii="Times New Roman" w:eastAsia="Times New Roman"/>
        </w:rPr>
        <w:t>1</w:t>
      </w:r>
      <w:r>
        <w:rPr/>
        <w:t>）本同第</w:t>
      </w:r>
      <w:r>
        <w:rPr>
          <w:rFonts w:ascii="Times New Roman" w:eastAsia="Times New Roman"/>
        </w:rPr>
        <w:t>11</w:t>
      </w:r>
      <w:r>
        <w:rPr/>
        <w:t>条</w:t>
      </w:r>
      <w:r>
        <w:rPr>
          <w:rFonts w:ascii="Times New Roman" w:eastAsia="Times New Roman"/>
        </w:rPr>
        <w:t>11.1</w:t>
      </w:r>
      <w:r>
        <w:rPr/>
        <w:t>至</w:t>
      </w:r>
      <w:r>
        <w:rPr>
          <w:rFonts w:ascii="Times New Roman" w:eastAsia="Times New Roman"/>
        </w:rPr>
        <w:t>11.25</w:t>
      </w:r>
      <w:r>
        <w:rPr/>
        <w:t>款（除特别声明）使用了中国保险行业协会《重大疾病保险的疾病定义使用规范》（中保协寿【</w:t>
      </w:r>
      <w:r>
        <w:rPr>
          <w:rFonts w:ascii="Times New Roman" w:eastAsia="Times New Roman"/>
        </w:rPr>
        <w:t>2007</w:t>
      </w:r>
      <w:r>
        <w:rPr/>
        <w:t>】</w:t>
      </w:r>
      <w:r>
        <w:rPr>
          <w:rFonts w:ascii="Times New Roman" w:eastAsia="Times New Roman"/>
        </w:rPr>
        <w:t>9</w:t>
      </w:r>
      <w:r>
        <w:rPr/>
        <w:t>号）的疾病名称和疾病定义。</w:t>
      </w:r>
    </w:p>
    <w:p>
      <w:pPr>
        <w:pStyle w:val="BodyText"/>
        <w:spacing w:line="225" w:lineRule="auto"/>
        <w:ind w:left="102" w:right="167" w:firstLine="419"/>
      </w:pPr>
      <w:r>
        <w:rPr/>
        <w:t>（</w:t>
      </w:r>
      <w:r>
        <w:rPr>
          <w:rFonts w:ascii="Times New Roman" w:eastAsia="Times New Roman"/>
        </w:rPr>
        <w:t>2</w:t>
      </w:r>
      <w:r>
        <w:rPr/>
        <w:t>）本合同第</w:t>
      </w:r>
      <w:r>
        <w:rPr>
          <w:rFonts w:ascii="Times New Roman" w:eastAsia="Times New Roman"/>
        </w:rPr>
        <w:t>12</w:t>
      </w:r>
      <w:r>
        <w:rPr/>
        <w:t>条</w:t>
      </w:r>
      <w:r>
        <w:rPr>
          <w:rFonts w:ascii="Times New Roman" w:eastAsia="Times New Roman"/>
        </w:rPr>
        <w:t>12.8</w:t>
      </w:r>
      <w:r>
        <w:rPr/>
        <w:t>、</w:t>
      </w:r>
      <w:r>
        <w:rPr>
          <w:rFonts w:ascii="Times New Roman" w:eastAsia="Times New Roman"/>
        </w:rPr>
        <w:t>12.17</w:t>
      </w:r>
      <w:r>
        <w:rPr/>
        <w:t>至</w:t>
      </w:r>
      <w:r>
        <w:rPr>
          <w:rFonts w:ascii="Times New Roman" w:eastAsia="Times New Roman"/>
        </w:rPr>
        <w:t>12.19</w:t>
      </w:r>
      <w:r>
        <w:rPr/>
        <w:t>款和</w:t>
      </w:r>
      <w:r>
        <w:rPr>
          <w:rFonts w:ascii="Times New Roman" w:eastAsia="Times New Roman"/>
        </w:rPr>
        <w:t>12.21</w:t>
      </w:r>
      <w:r>
        <w:rPr/>
        <w:t>至</w:t>
      </w:r>
      <w:r>
        <w:rPr>
          <w:rFonts w:ascii="Times New Roman" w:eastAsia="Times New Roman"/>
        </w:rPr>
        <w:t>12.24</w:t>
      </w:r>
      <w:r>
        <w:rPr/>
        <w:t>款使用了中国保险行业协会《重大疾病保险的疾病定义使用规范》（中保协寿【</w:t>
      </w:r>
      <w:r>
        <w:rPr>
          <w:rFonts w:ascii="Times New Roman" w:eastAsia="Times New Roman"/>
        </w:rPr>
        <w:t>2007</w:t>
      </w:r>
      <w:r>
        <w:rPr/>
        <w:t>】</w:t>
      </w:r>
      <w:r>
        <w:rPr>
          <w:rFonts w:ascii="Times New Roman" w:eastAsia="Times New Roman"/>
        </w:rPr>
        <w:t>9</w:t>
      </w:r>
      <w:r>
        <w:rPr/>
        <w:t>号）的术语释义。</w:t>
      </w:r>
    </w:p>
    <w:p>
      <w:pPr>
        <w:spacing w:after="0" w:line="225" w:lineRule="auto"/>
        <w:sectPr>
          <w:pgSz w:w="11910" w:h="16840"/>
          <w:pgMar w:header="0" w:footer="1239" w:top="1060" w:bottom="1420" w:left="1600" w:right="920"/>
        </w:sectPr>
      </w:pPr>
    </w:p>
    <w:p>
      <w:pPr>
        <w:spacing w:before="16" w:after="36"/>
        <w:ind w:left="226" w:right="0" w:firstLine="0"/>
        <w:jc w:val="left"/>
        <w:rPr>
          <w:sz w:val="22"/>
        </w:rPr>
      </w:pPr>
      <w:r>
        <w:rPr>
          <w:b/>
          <w:sz w:val="22"/>
        </w:rPr>
        <w:t>附表一：</w:t>
      </w:r>
      <w:r>
        <w:rPr>
          <w:sz w:val="22"/>
        </w:rPr>
        <w:t>轻症疾病及重大疾病对应表</w:t>
      </w: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61"/>
        <w:gridCol w:w="5060"/>
      </w:tblGrid>
      <w:tr>
        <w:trPr>
          <w:trHeight w:val="285" w:hRule="atLeast"/>
        </w:trPr>
        <w:tc>
          <w:tcPr>
            <w:tcW w:w="4561" w:type="dxa"/>
          </w:tcPr>
          <w:p>
            <w:pPr>
              <w:pStyle w:val="TableParagraph"/>
              <w:spacing w:line="252" w:lineRule="exact"/>
              <w:rPr>
                <w:b/>
                <w:sz w:val="22"/>
              </w:rPr>
            </w:pPr>
            <w:r>
              <w:rPr>
                <w:b/>
                <w:w w:val="95"/>
                <w:sz w:val="22"/>
              </w:rPr>
              <w:t>轻症疾病</w:t>
            </w:r>
          </w:p>
        </w:tc>
        <w:tc>
          <w:tcPr>
            <w:tcW w:w="5060" w:type="dxa"/>
          </w:tcPr>
          <w:p>
            <w:pPr>
              <w:pStyle w:val="TableParagraph"/>
              <w:spacing w:line="252" w:lineRule="exact"/>
              <w:rPr>
                <w:b/>
                <w:sz w:val="22"/>
              </w:rPr>
            </w:pPr>
            <w:r>
              <w:rPr>
                <w:b/>
                <w:w w:val="95"/>
                <w:sz w:val="22"/>
              </w:rPr>
              <w:t>重大疾病</w:t>
            </w:r>
          </w:p>
        </w:tc>
      </w:tr>
      <w:tr>
        <w:trPr>
          <w:trHeight w:val="273" w:hRule="atLeast"/>
        </w:trPr>
        <w:tc>
          <w:tcPr>
            <w:tcW w:w="4561" w:type="dxa"/>
          </w:tcPr>
          <w:p>
            <w:pPr>
              <w:pStyle w:val="TableParagraph"/>
              <w:spacing w:line="243" w:lineRule="exact"/>
              <w:rPr>
                <w:sz w:val="21"/>
              </w:rPr>
            </w:pPr>
            <w:r>
              <w:rPr>
                <w:sz w:val="21"/>
              </w:rPr>
              <w:t>极早期的恶性肿瘤或恶性病变</w:t>
            </w:r>
          </w:p>
        </w:tc>
        <w:tc>
          <w:tcPr>
            <w:tcW w:w="5060" w:type="dxa"/>
          </w:tcPr>
          <w:p>
            <w:pPr>
              <w:pStyle w:val="TableParagraph"/>
              <w:spacing w:line="243" w:lineRule="exact"/>
              <w:rPr>
                <w:sz w:val="21"/>
              </w:rPr>
            </w:pPr>
            <w:r>
              <w:rPr>
                <w:sz w:val="21"/>
              </w:rPr>
              <w:t>恶性肿瘤</w:t>
            </w:r>
          </w:p>
        </w:tc>
      </w:tr>
      <w:tr>
        <w:trPr>
          <w:trHeight w:val="273" w:hRule="atLeast"/>
        </w:trPr>
        <w:tc>
          <w:tcPr>
            <w:tcW w:w="4561" w:type="dxa"/>
          </w:tcPr>
          <w:p>
            <w:pPr>
              <w:pStyle w:val="TableParagraph"/>
              <w:spacing w:line="241" w:lineRule="exact"/>
              <w:rPr>
                <w:sz w:val="21"/>
              </w:rPr>
            </w:pPr>
            <w:r>
              <w:rPr>
                <w:sz w:val="21"/>
              </w:rPr>
              <w:t>不典型的急性心肌梗塞</w:t>
            </w:r>
          </w:p>
        </w:tc>
        <w:tc>
          <w:tcPr>
            <w:tcW w:w="5060" w:type="dxa"/>
          </w:tcPr>
          <w:p>
            <w:pPr>
              <w:pStyle w:val="TableParagraph"/>
              <w:spacing w:line="241" w:lineRule="exact"/>
              <w:rPr>
                <w:sz w:val="21"/>
              </w:rPr>
            </w:pPr>
            <w:r>
              <w:rPr>
                <w:sz w:val="21"/>
              </w:rPr>
              <w:t>急性心肌梗塞</w:t>
            </w:r>
          </w:p>
        </w:tc>
      </w:tr>
      <w:tr>
        <w:trPr>
          <w:trHeight w:val="270" w:hRule="atLeast"/>
        </w:trPr>
        <w:tc>
          <w:tcPr>
            <w:tcW w:w="4561" w:type="dxa"/>
          </w:tcPr>
          <w:p>
            <w:pPr>
              <w:pStyle w:val="TableParagraph"/>
              <w:spacing w:line="241" w:lineRule="exact"/>
              <w:rPr>
                <w:sz w:val="21"/>
              </w:rPr>
            </w:pPr>
            <w:r>
              <w:rPr>
                <w:sz w:val="21"/>
              </w:rPr>
              <w:t>微创冠状动脉手术（非开胸手术）</w:t>
            </w:r>
          </w:p>
        </w:tc>
        <w:tc>
          <w:tcPr>
            <w:tcW w:w="5060" w:type="dxa"/>
          </w:tcPr>
          <w:p>
            <w:pPr>
              <w:pStyle w:val="TableParagraph"/>
              <w:spacing w:line="241" w:lineRule="exact"/>
              <w:rPr>
                <w:sz w:val="21"/>
              </w:rPr>
            </w:pPr>
            <w:r>
              <w:rPr>
                <w:sz w:val="21"/>
              </w:rPr>
              <w:t>冠状动脉搭桥术（或称冠状动脉旁路移植术）</w:t>
            </w:r>
          </w:p>
        </w:tc>
      </w:tr>
      <w:tr>
        <w:trPr>
          <w:trHeight w:val="273" w:hRule="atLeast"/>
        </w:trPr>
        <w:tc>
          <w:tcPr>
            <w:tcW w:w="4561" w:type="dxa"/>
          </w:tcPr>
          <w:p>
            <w:pPr>
              <w:pStyle w:val="TableParagraph"/>
              <w:spacing w:line="243" w:lineRule="exact"/>
              <w:rPr>
                <w:sz w:val="21"/>
              </w:rPr>
            </w:pPr>
            <w:r>
              <w:rPr>
                <w:sz w:val="21"/>
              </w:rPr>
              <w:t>轻微脑中风后遗症</w:t>
            </w:r>
          </w:p>
        </w:tc>
        <w:tc>
          <w:tcPr>
            <w:tcW w:w="5060" w:type="dxa"/>
          </w:tcPr>
          <w:p>
            <w:pPr>
              <w:pStyle w:val="TableParagraph"/>
              <w:spacing w:line="243" w:lineRule="exact"/>
              <w:rPr>
                <w:sz w:val="21"/>
              </w:rPr>
            </w:pPr>
            <w:r>
              <w:rPr>
                <w:sz w:val="21"/>
              </w:rPr>
              <w:t>脑中风后遗症</w:t>
            </w:r>
          </w:p>
        </w:tc>
      </w:tr>
      <w:tr>
        <w:trPr>
          <w:trHeight w:val="273" w:hRule="atLeast"/>
        </w:trPr>
        <w:tc>
          <w:tcPr>
            <w:tcW w:w="4561" w:type="dxa"/>
          </w:tcPr>
          <w:p>
            <w:pPr>
              <w:pStyle w:val="TableParagraph"/>
              <w:spacing w:line="241" w:lineRule="exact"/>
              <w:rPr>
                <w:sz w:val="21"/>
              </w:rPr>
            </w:pPr>
            <w:r>
              <w:rPr>
                <w:sz w:val="21"/>
              </w:rPr>
              <w:t>微创心脏瓣膜介入手术（非开胸手术）</w:t>
            </w:r>
          </w:p>
        </w:tc>
        <w:tc>
          <w:tcPr>
            <w:tcW w:w="5060" w:type="dxa"/>
          </w:tcPr>
          <w:p>
            <w:pPr>
              <w:pStyle w:val="TableParagraph"/>
              <w:spacing w:line="241" w:lineRule="exact"/>
              <w:rPr>
                <w:sz w:val="21"/>
              </w:rPr>
            </w:pPr>
            <w:r>
              <w:rPr>
                <w:sz w:val="21"/>
              </w:rPr>
              <w:t>心脏瓣膜手术</w:t>
            </w:r>
          </w:p>
        </w:tc>
      </w:tr>
      <w:tr>
        <w:trPr>
          <w:trHeight w:val="270" w:hRule="atLeast"/>
        </w:trPr>
        <w:tc>
          <w:tcPr>
            <w:tcW w:w="4561" w:type="dxa"/>
          </w:tcPr>
          <w:p>
            <w:pPr>
              <w:pStyle w:val="TableParagraph"/>
              <w:spacing w:line="241" w:lineRule="exact"/>
              <w:rPr>
                <w:sz w:val="21"/>
              </w:rPr>
            </w:pPr>
            <w:r>
              <w:rPr>
                <w:sz w:val="21"/>
              </w:rPr>
              <w:t>视力严重受损</w:t>
            </w:r>
          </w:p>
        </w:tc>
        <w:tc>
          <w:tcPr>
            <w:tcW w:w="5060" w:type="dxa"/>
          </w:tcPr>
          <w:p>
            <w:pPr>
              <w:pStyle w:val="TableParagraph"/>
              <w:spacing w:line="241" w:lineRule="exact"/>
              <w:rPr>
                <w:sz w:val="21"/>
              </w:rPr>
            </w:pPr>
            <w:r>
              <w:rPr>
                <w:sz w:val="21"/>
              </w:rPr>
              <w:t>双目失明</w:t>
            </w:r>
          </w:p>
        </w:tc>
      </w:tr>
      <w:tr>
        <w:trPr>
          <w:trHeight w:val="273" w:hRule="atLeast"/>
        </w:trPr>
        <w:tc>
          <w:tcPr>
            <w:tcW w:w="4561" w:type="dxa"/>
          </w:tcPr>
          <w:p>
            <w:pPr>
              <w:pStyle w:val="TableParagraph"/>
              <w:spacing w:line="241" w:lineRule="exact"/>
              <w:rPr>
                <w:sz w:val="21"/>
              </w:rPr>
            </w:pPr>
            <w:r>
              <w:rPr>
                <w:sz w:val="21"/>
              </w:rPr>
              <w:t>主动脉内手术</w:t>
            </w:r>
          </w:p>
        </w:tc>
        <w:tc>
          <w:tcPr>
            <w:tcW w:w="5060" w:type="dxa"/>
          </w:tcPr>
          <w:p>
            <w:pPr>
              <w:pStyle w:val="TableParagraph"/>
              <w:spacing w:line="241" w:lineRule="exact"/>
              <w:rPr>
                <w:sz w:val="21"/>
              </w:rPr>
            </w:pPr>
            <w:r>
              <w:rPr>
                <w:sz w:val="21"/>
              </w:rPr>
              <w:t>主动脉手术</w:t>
            </w:r>
          </w:p>
        </w:tc>
      </w:tr>
      <w:tr>
        <w:trPr>
          <w:trHeight w:val="273" w:hRule="atLeast"/>
        </w:trPr>
        <w:tc>
          <w:tcPr>
            <w:tcW w:w="4561" w:type="dxa"/>
          </w:tcPr>
          <w:p>
            <w:pPr>
              <w:pStyle w:val="TableParagraph"/>
              <w:spacing w:line="241" w:lineRule="exact"/>
              <w:rPr>
                <w:sz w:val="21"/>
              </w:rPr>
            </w:pPr>
            <w:r>
              <w:rPr>
                <w:sz w:val="21"/>
              </w:rPr>
              <w:t>脑垂体瘤、脑囊肿、脑动脉瘤及脑血管瘤</w:t>
            </w:r>
          </w:p>
        </w:tc>
        <w:tc>
          <w:tcPr>
            <w:tcW w:w="5060" w:type="dxa"/>
          </w:tcPr>
          <w:p>
            <w:pPr>
              <w:pStyle w:val="TableParagraph"/>
              <w:spacing w:line="241" w:lineRule="exact"/>
              <w:rPr>
                <w:sz w:val="21"/>
              </w:rPr>
            </w:pPr>
            <w:r>
              <w:rPr>
                <w:sz w:val="21"/>
              </w:rPr>
              <w:t>良性脑肿瘤</w:t>
            </w:r>
          </w:p>
        </w:tc>
      </w:tr>
      <w:tr>
        <w:trPr>
          <w:trHeight w:val="270" w:hRule="atLeast"/>
        </w:trPr>
        <w:tc>
          <w:tcPr>
            <w:tcW w:w="4561" w:type="dxa"/>
          </w:tcPr>
          <w:p>
            <w:pPr>
              <w:pStyle w:val="TableParagraph"/>
              <w:spacing w:line="251" w:lineRule="exact"/>
              <w:rPr>
                <w:sz w:val="21"/>
              </w:rPr>
            </w:pPr>
            <w:r>
              <w:rPr>
                <w:sz w:val="21"/>
              </w:rPr>
              <w:t>较小面积 </w:t>
            </w:r>
            <w:r>
              <w:rPr>
                <w:rFonts w:ascii="Times New Roman" w:eastAsia="Times New Roman"/>
                <w:sz w:val="21"/>
              </w:rPr>
              <w:t>III </w:t>
            </w:r>
            <w:r>
              <w:rPr>
                <w:sz w:val="21"/>
              </w:rPr>
              <w:t>度烧伤</w:t>
            </w:r>
          </w:p>
        </w:tc>
        <w:tc>
          <w:tcPr>
            <w:tcW w:w="5060" w:type="dxa"/>
          </w:tcPr>
          <w:p>
            <w:pPr>
              <w:pStyle w:val="TableParagraph"/>
              <w:spacing w:line="241" w:lineRule="exact"/>
              <w:rPr>
                <w:sz w:val="21"/>
              </w:rPr>
            </w:pPr>
            <w:r>
              <w:rPr>
                <w:sz w:val="21"/>
              </w:rPr>
              <w:t>严重Ⅲ度烧伤</w:t>
            </w:r>
          </w:p>
        </w:tc>
      </w:tr>
      <w:tr>
        <w:trPr>
          <w:trHeight w:val="273" w:hRule="atLeast"/>
        </w:trPr>
        <w:tc>
          <w:tcPr>
            <w:tcW w:w="4561" w:type="dxa"/>
          </w:tcPr>
          <w:p>
            <w:pPr>
              <w:pStyle w:val="TableParagraph"/>
              <w:spacing w:line="241" w:lineRule="exact"/>
              <w:rPr>
                <w:sz w:val="21"/>
              </w:rPr>
            </w:pPr>
            <w:r>
              <w:rPr>
                <w:sz w:val="21"/>
              </w:rPr>
              <w:t>重症头部外伤</w:t>
            </w:r>
          </w:p>
        </w:tc>
        <w:tc>
          <w:tcPr>
            <w:tcW w:w="5060" w:type="dxa"/>
          </w:tcPr>
          <w:p>
            <w:pPr>
              <w:pStyle w:val="TableParagraph"/>
              <w:spacing w:line="241" w:lineRule="exact"/>
              <w:rPr>
                <w:sz w:val="21"/>
              </w:rPr>
            </w:pPr>
            <w:r>
              <w:rPr>
                <w:sz w:val="21"/>
              </w:rPr>
              <w:t>严重脑损伤</w:t>
            </w:r>
          </w:p>
        </w:tc>
      </w:tr>
    </w:tbl>
    <w:p>
      <w:pPr>
        <w:pStyle w:val="BodyText"/>
        <w:rPr>
          <w:sz w:val="22"/>
        </w:rPr>
      </w:pPr>
    </w:p>
    <w:p>
      <w:pPr>
        <w:pStyle w:val="BodyText"/>
        <w:rPr>
          <w:sz w:val="22"/>
        </w:rPr>
      </w:pPr>
    </w:p>
    <w:p>
      <w:pPr>
        <w:pStyle w:val="BodyText"/>
        <w:spacing w:before="3"/>
        <w:rPr>
          <w:sz w:val="16"/>
        </w:rPr>
      </w:pPr>
    </w:p>
    <w:p>
      <w:pPr>
        <w:pStyle w:val="BodyText"/>
        <w:spacing w:before="1"/>
        <w:ind w:left="4338" w:right="4862"/>
        <w:jc w:val="center"/>
      </w:pPr>
      <w:r>
        <w:rPr/>
        <w:t>（完）</w:t>
      </w:r>
    </w:p>
    <w:p>
      <w:pPr>
        <w:spacing w:after="0"/>
        <w:jc w:val="center"/>
        <w:sectPr>
          <w:pgSz w:w="11910" w:h="16840"/>
          <w:pgMar w:header="0" w:footer="1239" w:top="1060" w:bottom="1420" w:left="100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pStyle w:val="BodyText"/>
        <w:spacing w:before="1"/>
        <w:ind w:left="3910" w:right="3340"/>
        <w:jc w:val="center"/>
      </w:pPr>
      <w:r>
        <w:rPr/>
        <w:t>（此页空白）</w:t>
      </w:r>
    </w:p>
    <w:sectPr>
      <w:pgSz w:w="11910" w:h="16840"/>
      <w:pgMar w:header="0" w:footer="1239" w:top="1580" w:bottom="142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Symbol">
    <w:altName w:val="Symbol"/>
    <w:charset w:val="2"/>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4.890015pt;margin-top:768.976624pt;width:14.1pt;height:12pt;mso-position-horizontal-relative:page;mso-position-vertical-relative:page;z-index:-25696" type="#_x0000_t202" filled="false" stroked="false">
          <v:textbox inset="0,0,0,0">
            <w:txbxContent>
              <w:p>
                <w:pPr>
                  <w:spacing w:line="219" w:lineRule="exact" w:before="0"/>
                  <w:ind w:left="40" w:right="0" w:firstLine="0"/>
                  <w:jc w:val="left"/>
                  <w:rPr>
                    <w:sz w:val="20"/>
                  </w:rPr>
                </w:pPr>
                <w:r>
                  <w:rPr/>
                  <w:fldChar w:fldCharType="begin"/>
                </w:r>
                <w:r>
                  <w:rPr>
                    <w:sz w:val="20"/>
                  </w:rPr>
                  <w:instrText> PAGE </w:instrText>
                </w:r>
                <w:r>
                  <w:rPr/>
                  <w:fldChar w:fldCharType="separate"/>
                </w:r>
                <w:r>
                  <w:rPr/>
                  <w:t>11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450012pt;margin-top:768.976624pt;width:14.1pt;height:12pt;mso-position-horizontal-relative:page;mso-position-vertical-relative:page;z-index:-25672" type="#_x0000_t202" filled="false" stroked="false">
          <v:textbox inset="0,0,0,0">
            <w:txbxContent>
              <w:p>
                <w:pPr>
                  <w:spacing w:line="219" w:lineRule="exact" w:before="0"/>
                  <w:ind w:left="4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169" w:hanging="632"/>
        <w:jc w:val="left"/>
      </w:pPr>
      <w:rPr>
        <w:rFonts w:hint="default" w:ascii="宋体" w:hAnsi="宋体" w:eastAsia="宋体" w:cs="宋体"/>
        <w:w w:val="100"/>
        <w:sz w:val="21"/>
        <w:szCs w:val="21"/>
      </w:rPr>
    </w:lvl>
    <w:lvl w:ilvl="1">
      <w:start w:val="0"/>
      <w:numFmt w:val="bullet"/>
      <w:lvlText w:val="•"/>
      <w:lvlJc w:val="left"/>
      <w:pPr>
        <w:ind w:left="1984" w:hanging="632"/>
      </w:pPr>
      <w:rPr>
        <w:rFonts w:hint="default"/>
      </w:rPr>
    </w:lvl>
    <w:lvl w:ilvl="2">
      <w:start w:val="0"/>
      <w:numFmt w:val="bullet"/>
      <w:lvlText w:val="•"/>
      <w:lvlJc w:val="left"/>
      <w:pPr>
        <w:ind w:left="2809" w:hanging="632"/>
      </w:pPr>
      <w:rPr>
        <w:rFonts w:hint="default"/>
      </w:rPr>
    </w:lvl>
    <w:lvl w:ilvl="3">
      <w:start w:val="0"/>
      <w:numFmt w:val="bullet"/>
      <w:lvlText w:val="•"/>
      <w:lvlJc w:val="left"/>
      <w:pPr>
        <w:ind w:left="3633" w:hanging="632"/>
      </w:pPr>
      <w:rPr>
        <w:rFonts w:hint="default"/>
      </w:rPr>
    </w:lvl>
    <w:lvl w:ilvl="4">
      <w:start w:val="0"/>
      <w:numFmt w:val="bullet"/>
      <w:lvlText w:val="•"/>
      <w:lvlJc w:val="left"/>
      <w:pPr>
        <w:ind w:left="4458" w:hanging="632"/>
      </w:pPr>
      <w:rPr>
        <w:rFonts w:hint="default"/>
      </w:rPr>
    </w:lvl>
    <w:lvl w:ilvl="5">
      <w:start w:val="0"/>
      <w:numFmt w:val="bullet"/>
      <w:lvlText w:val="•"/>
      <w:lvlJc w:val="left"/>
      <w:pPr>
        <w:ind w:left="5283" w:hanging="632"/>
      </w:pPr>
      <w:rPr>
        <w:rFonts w:hint="default"/>
      </w:rPr>
    </w:lvl>
    <w:lvl w:ilvl="6">
      <w:start w:val="0"/>
      <w:numFmt w:val="bullet"/>
      <w:lvlText w:val="•"/>
      <w:lvlJc w:val="left"/>
      <w:pPr>
        <w:ind w:left="6107" w:hanging="632"/>
      </w:pPr>
      <w:rPr>
        <w:rFonts w:hint="default"/>
      </w:rPr>
    </w:lvl>
    <w:lvl w:ilvl="7">
      <w:start w:val="0"/>
      <w:numFmt w:val="bullet"/>
      <w:lvlText w:val="•"/>
      <w:lvlJc w:val="left"/>
      <w:pPr>
        <w:ind w:left="6932" w:hanging="632"/>
      </w:pPr>
      <w:rPr>
        <w:rFonts w:hint="default"/>
      </w:rPr>
    </w:lvl>
    <w:lvl w:ilvl="8">
      <w:start w:val="0"/>
      <w:numFmt w:val="bullet"/>
      <w:lvlText w:val="•"/>
      <w:lvlJc w:val="left"/>
      <w:pPr>
        <w:ind w:left="7757" w:hanging="632"/>
      </w:pPr>
      <w:rPr>
        <w:rFonts w:hint="default"/>
      </w:rPr>
    </w:lvl>
  </w:abstractNum>
  <w:abstractNum w:abstractNumId="5">
    <w:multiLevelType w:val="hybridMultilevel"/>
    <w:lvl w:ilvl="0">
      <w:start w:val="1"/>
      <w:numFmt w:val="decimal"/>
      <w:lvlText w:val="（%1）"/>
      <w:lvlJc w:val="left"/>
      <w:pPr>
        <w:ind w:left="1158" w:hanging="632"/>
        <w:jc w:val="left"/>
      </w:pPr>
      <w:rPr>
        <w:rFonts w:hint="default" w:ascii="宋体" w:hAnsi="宋体" w:eastAsia="宋体" w:cs="宋体"/>
        <w:w w:val="100"/>
        <w:sz w:val="21"/>
        <w:szCs w:val="21"/>
      </w:rPr>
    </w:lvl>
    <w:lvl w:ilvl="1">
      <w:start w:val="0"/>
      <w:numFmt w:val="bullet"/>
      <w:lvlText w:val="•"/>
      <w:lvlJc w:val="left"/>
      <w:pPr>
        <w:ind w:left="1978" w:hanging="632"/>
      </w:pPr>
      <w:rPr>
        <w:rFonts w:hint="default"/>
      </w:rPr>
    </w:lvl>
    <w:lvl w:ilvl="2">
      <w:start w:val="0"/>
      <w:numFmt w:val="bullet"/>
      <w:lvlText w:val="•"/>
      <w:lvlJc w:val="left"/>
      <w:pPr>
        <w:ind w:left="2797" w:hanging="632"/>
      </w:pPr>
      <w:rPr>
        <w:rFonts w:hint="default"/>
      </w:rPr>
    </w:lvl>
    <w:lvl w:ilvl="3">
      <w:start w:val="0"/>
      <w:numFmt w:val="bullet"/>
      <w:lvlText w:val="•"/>
      <w:lvlJc w:val="left"/>
      <w:pPr>
        <w:ind w:left="3615" w:hanging="632"/>
      </w:pPr>
      <w:rPr>
        <w:rFonts w:hint="default"/>
      </w:rPr>
    </w:lvl>
    <w:lvl w:ilvl="4">
      <w:start w:val="0"/>
      <w:numFmt w:val="bullet"/>
      <w:lvlText w:val="•"/>
      <w:lvlJc w:val="left"/>
      <w:pPr>
        <w:ind w:left="4434" w:hanging="632"/>
      </w:pPr>
      <w:rPr>
        <w:rFonts w:hint="default"/>
      </w:rPr>
    </w:lvl>
    <w:lvl w:ilvl="5">
      <w:start w:val="0"/>
      <w:numFmt w:val="bullet"/>
      <w:lvlText w:val="•"/>
      <w:lvlJc w:val="left"/>
      <w:pPr>
        <w:ind w:left="5253" w:hanging="632"/>
      </w:pPr>
      <w:rPr>
        <w:rFonts w:hint="default"/>
      </w:rPr>
    </w:lvl>
    <w:lvl w:ilvl="6">
      <w:start w:val="0"/>
      <w:numFmt w:val="bullet"/>
      <w:lvlText w:val="•"/>
      <w:lvlJc w:val="left"/>
      <w:pPr>
        <w:ind w:left="6071" w:hanging="632"/>
      </w:pPr>
      <w:rPr>
        <w:rFonts w:hint="default"/>
      </w:rPr>
    </w:lvl>
    <w:lvl w:ilvl="7">
      <w:start w:val="0"/>
      <w:numFmt w:val="bullet"/>
      <w:lvlText w:val="•"/>
      <w:lvlJc w:val="left"/>
      <w:pPr>
        <w:ind w:left="6890" w:hanging="632"/>
      </w:pPr>
      <w:rPr>
        <w:rFonts w:hint="default"/>
      </w:rPr>
    </w:lvl>
    <w:lvl w:ilvl="8">
      <w:start w:val="0"/>
      <w:numFmt w:val="bullet"/>
      <w:lvlText w:val="•"/>
      <w:lvlJc w:val="left"/>
      <w:pPr>
        <w:ind w:left="7709" w:hanging="632"/>
      </w:pPr>
      <w:rPr>
        <w:rFonts w:hint="default"/>
      </w:rPr>
    </w:lvl>
  </w:abstractNum>
  <w:abstractNum w:abstractNumId="4">
    <w:multiLevelType w:val="hybridMultilevel"/>
    <w:lvl w:ilvl="0">
      <w:start w:val="1"/>
      <w:numFmt w:val="decimal"/>
      <w:lvlText w:val="（%1）"/>
      <w:lvlJc w:val="left"/>
      <w:pPr>
        <w:ind w:left="953" w:hanging="574"/>
        <w:jc w:val="left"/>
      </w:pPr>
      <w:rPr>
        <w:rFonts w:hint="default" w:ascii="宋体" w:hAnsi="宋体" w:eastAsia="宋体" w:cs="宋体"/>
        <w:w w:val="100"/>
        <w:sz w:val="21"/>
        <w:szCs w:val="21"/>
      </w:rPr>
    </w:lvl>
    <w:lvl w:ilvl="1">
      <w:start w:val="0"/>
      <w:numFmt w:val="bullet"/>
      <w:lvlText w:val="•"/>
      <w:lvlJc w:val="left"/>
      <w:pPr>
        <w:ind w:left="1794" w:hanging="574"/>
      </w:pPr>
      <w:rPr>
        <w:rFonts w:hint="default"/>
      </w:rPr>
    </w:lvl>
    <w:lvl w:ilvl="2">
      <w:start w:val="0"/>
      <w:numFmt w:val="bullet"/>
      <w:lvlText w:val="•"/>
      <w:lvlJc w:val="left"/>
      <w:pPr>
        <w:ind w:left="2629" w:hanging="574"/>
      </w:pPr>
      <w:rPr>
        <w:rFonts w:hint="default"/>
      </w:rPr>
    </w:lvl>
    <w:lvl w:ilvl="3">
      <w:start w:val="0"/>
      <w:numFmt w:val="bullet"/>
      <w:lvlText w:val="•"/>
      <w:lvlJc w:val="left"/>
      <w:pPr>
        <w:ind w:left="3463" w:hanging="574"/>
      </w:pPr>
      <w:rPr>
        <w:rFonts w:hint="default"/>
      </w:rPr>
    </w:lvl>
    <w:lvl w:ilvl="4">
      <w:start w:val="0"/>
      <w:numFmt w:val="bullet"/>
      <w:lvlText w:val="•"/>
      <w:lvlJc w:val="left"/>
      <w:pPr>
        <w:ind w:left="4298" w:hanging="574"/>
      </w:pPr>
      <w:rPr>
        <w:rFonts w:hint="default"/>
      </w:rPr>
    </w:lvl>
    <w:lvl w:ilvl="5">
      <w:start w:val="0"/>
      <w:numFmt w:val="bullet"/>
      <w:lvlText w:val="•"/>
      <w:lvlJc w:val="left"/>
      <w:pPr>
        <w:ind w:left="5133" w:hanging="574"/>
      </w:pPr>
      <w:rPr>
        <w:rFonts w:hint="default"/>
      </w:rPr>
    </w:lvl>
    <w:lvl w:ilvl="6">
      <w:start w:val="0"/>
      <w:numFmt w:val="bullet"/>
      <w:lvlText w:val="•"/>
      <w:lvlJc w:val="left"/>
      <w:pPr>
        <w:ind w:left="5967" w:hanging="574"/>
      </w:pPr>
      <w:rPr>
        <w:rFonts w:hint="default"/>
      </w:rPr>
    </w:lvl>
    <w:lvl w:ilvl="7">
      <w:start w:val="0"/>
      <w:numFmt w:val="bullet"/>
      <w:lvlText w:val="•"/>
      <w:lvlJc w:val="left"/>
      <w:pPr>
        <w:ind w:left="6802" w:hanging="574"/>
      </w:pPr>
      <w:rPr>
        <w:rFonts w:hint="default"/>
      </w:rPr>
    </w:lvl>
    <w:lvl w:ilvl="8">
      <w:start w:val="0"/>
      <w:numFmt w:val="bullet"/>
      <w:lvlText w:val="•"/>
      <w:lvlJc w:val="left"/>
      <w:pPr>
        <w:ind w:left="7637" w:hanging="574"/>
      </w:pPr>
      <w:rPr>
        <w:rFonts w:hint="default"/>
      </w:rPr>
    </w:lvl>
  </w:abstractNum>
  <w:abstractNum w:abstractNumId="3">
    <w:multiLevelType w:val="hybridMultilevel"/>
    <w:lvl w:ilvl="0">
      <w:start w:val="1"/>
      <w:numFmt w:val="decimal"/>
      <w:lvlText w:val="（%1）"/>
      <w:lvlJc w:val="left"/>
      <w:pPr>
        <w:ind w:left="1106" w:hanging="574"/>
        <w:jc w:val="left"/>
      </w:pPr>
      <w:rPr>
        <w:rFonts w:hint="default" w:ascii="宋体" w:hAnsi="宋体" w:eastAsia="宋体" w:cs="宋体"/>
        <w:w w:val="100"/>
        <w:sz w:val="21"/>
        <w:szCs w:val="21"/>
      </w:rPr>
    </w:lvl>
    <w:lvl w:ilvl="1">
      <w:start w:val="0"/>
      <w:numFmt w:val="bullet"/>
      <w:lvlText w:val="•"/>
      <w:lvlJc w:val="left"/>
      <w:pPr>
        <w:ind w:left="1920" w:hanging="574"/>
      </w:pPr>
      <w:rPr>
        <w:rFonts w:hint="default"/>
      </w:rPr>
    </w:lvl>
    <w:lvl w:ilvl="2">
      <w:start w:val="0"/>
      <w:numFmt w:val="bullet"/>
      <w:lvlText w:val="•"/>
      <w:lvlJc w:val="left"/>
      <w:pPr>
        <w:ind w:left="2741" w:hanging="574"/>
      </w:pPr>
      <w:rPr>
        <w:rFonts w:hint="default"/>
      </w:rPr>
    </w:lvl>
    <w:lvl w:ilvl="3">
      <w:start w:val="0"/>
      <w:numFmt w:val="bullet"/>
      <w:lvlText w:val="•"/>
      <w:lvlJc w:val="left"/>
      <w:pPr>
        <w:ind w:left="3561" w:hanging="574"/>
      </w:pPr>
      <w:rPr>
        <w:rFonts w:hint="default"/>
      </w:rPr>
    </w:lvl>
    <w:lvl w:ilvl="4">
      <w:start w:val="0"/>
      <w:numFmt w:val="bullet"/>
      <w:lvlText w:val="•"/>
      <w:lvlJc w:val="left"/>
      <w:pPr>
        <w:ind w:left="4382" w:hanging="574"/>
      </w:pPr>
      <w:rPr>
        <w:rFonts w:hint="default"/>
      </w:rPr>
    </w:lvl>
    <w:lvl w:ilvl="5">
      <w:start w:val="0"/>
      <w:numFmt w:val="bullet"/>
      <w:lvlText w:val="•"/>
      <w:lvlJc w:val="left"/>
      <w:pPr>
        <w:ind w:left="5203" w:hanging="574"/>
      </w:pPr>
      <w:rPr>
        <w:rFonts w:hint="default"/>
      </w:rPr>
    </w:lvl>
    <w:lvl w:ilvl="6">
      <w:start w:val="0"/>
      <w:numFmt w:val="bullet"/>
      <w:lvlText w:val="•"/>
      <w:lvlJc w:val="left"/>
      <w:pPr>
        <w:ind w:left="6023" w:hanging="574"/>
      </w:pPr>
      <w:rPr>
        <w:rFonts w:hint="default"/>
      </w:rPr>
    </w:lvl>
    <w:lvl w:ilvl="7">
      <w:start w:val="0"/>
      <w:numFmt w:val="bullet"/>
      <w:lvlText w:val="•"/>
      <w:lvlJc w:val="left"/>
      <w:pPr>
        <w:ind w:left="6844" w:hanging="574"/>
      </w:pPr>
      <w:rPr>
        <w:rFonts w:hint="default"/>
      </w:rPr>
    </w:lvl>
    <w:lvl w:ilvl="8">
      <w:start w:val="0"/>
      <w:numFmt w:val="bullet"/>
      <w:lvlText w:val="•"/>
      <w:lvlJc w:val="left"/>
      <w:pPr>
        <w:ind w:left="7665" w:hanging="574"/>
      </w:pPr>
      <w:rPr>
        <w:rFonts w:hint="default"/>
      </w:rPr>
    </w:lvl>
  </w:abstractNum>
  <w:abstractNum w:abstractNumId="2">
    <w:multiLevelType w:val="hybridMultilevel"/>
    <w:lvl w:ilvl="0">
      <w:start w:val="1"/>
      <w:numFmt w:val="decimal"/>
      <w:lvlText w:val="（%1）"/>
      <w:lvlJc w:val="left"/>
      <w:pPr>
        <w:ind w:left="1095" w:hanging="567"/>
        <w:jc w:val="left"/>
      </w:pPr>
      <w:rPr>
        <w:rFonts w:hint="default" w:ascii="宋体" w:hAnsi="宋体" w:eastAsia="宋体" w:cs="宋体"/>
        <w:b/>
        <w:bCs/>
        <w:spacing w:val="-3"/>
        <w:w w:val="100"/>
        <w:sz w:val="21"/>
        <w:szCs w:val="21"/>
      </w:rPr>
    </w:lvl>
    <w:lvl w:ilvl="1">
      <w:start w:val="0"/>
      <w:numFmt w:val="bullet"/>
      <w:lvlText w:val="•"/>
      <w:lvlJc w:val="left"/>
      <w:pPr>
        <w:ind w:left="1928" w:hanging="567"/>
      </w:pPr>
      <w:rPr>
        <w:rFonts w:hint="default"/>
      </w:rPr>
    </w:lvl>
    <w:lvl w:ilvl="2">
      <w:start w:val="0"/>
      <w:numFmt w:val="bullet"/>
      <w:lvlText w:val="•"/>
      <w:lvlJc w:val="left"/>
      <w:pPr>
        <w:ind w:left="2757" w:hanging="567"/>
      </w:pPr>
      <w:rPr>
        <w:rFonts w:hint="default"/>
      </w:rPr>
    </w:lvl>
    <w:lvl w:ilvl="3">
      <w:start w:val="0"/>
      <w:numFmt w:val="bullet"/>
      <w:lvlText w:val="•"/>
      <w:lvlJc w:val="left"/>
      <w:pPr>
        <w:ind w:left="3585" w:hanging="567"/>
      </w:pPr>
      <w:rPr>
        <w:rFonts w:hint="default"/>
      </w:rPr>
    </w:lvl>
    <w:lvl w:ilvl="4">
      <w:start w:val="0"/>
      <w:numFmt w:val="bullet"/>
      <w:lvlText w:val="•"/>
      <w:lvlJc w:val="left"/>
      <w:pPr>
        <w:ind w:left="4414" w:hanging="567"/>
      </w:pPr>
      <w:rPr>
        <w:rFonts w:hint="default"/>
      </w:rPr>
    </w:lvl>
    <w:lvl w:ilvl="5">
      <w:start w:val="0"/>
      <w:numFmt w:val="bullet"/>
      <w:lvlText w:val="•"/>
      <w:lvlJc w:val="left"/>
      <w:pPr>
        <w:ind w:left="5243" w:hanging="567"/>
      </w:pPr>
      <w:rPr>
        <w:rFonts w:hint="default"/>
      </w:rPr>
    </w:lvl>
    <w:lvl w:ilvl="6">
      <w:start w:val="0"/>
      <w:numFmt w:val="bullet"/>
      <w:lvlText w:val="•"/>
      <w:lvlJc w:val="left"/>
      <w:pPr>
        <w:ind w:left="6071" w:hanging="567"/>
      </w:pPr>
      <w:rPr>
        <w:rFonts w:hint="default"/>
      </w:rPr>
    </w:lvl>
    <w:lvl w:ilvl="7">
      <w:start w:val="0"/>
      <w:numFmt w:val="bullet"/>
      <w:lvlText w:val="•"/>
      <w:lvlJc w:val="left"/>
      <w:pPr>
        <w:ind w:left="6900" w:hanging="567"/>
      </w:pPr>
      <w:rPr>
        <w:rFonts w:hint="default"/>
      </w:rPr>
    </w:lvl>
    <w:lvl w:ilvl="8">
      <w:start w:val="0"/>
      <w:numFmt w:val="bullet"/>
      <w:lvlText w:val="•"/>
      <w:lvlJc w:val="left"/>
      <w:pPr>
        <w:ind w:left="7729" w:hanging="567"/>
      </w:pPr>
      <w:rPr>
        <w:rFonts w:hint="default"/>
      </w:rPr>
    </w:lvl>
  </w:abstractNum>
  <w:abstractNum w:abstractNumId="1">
    <w:multiLevelType w:val="hybridMultilevel"/>
    <w:lvl w:ilvl="0">
      <w:start w:val="1"/>
      <w:numFmt w:val="decimal"/>
      <w:lvlText w:val="%1"/>
      <w:lvlJc w:val="left"/>
      <w:pPr>
        <w:ind w:left="1064" w:hanging="480"/>
        <w:jc w:val="left"/>
      </w:pPr>
      <w:rPr>
        <w:rFonts w:hint="default" w:ascii="Times New Roman" w:hAnsi="Times New Roman" w:eastAsia="Times New Roman" w:cs="Times New Roman"/>
        <w:b/>
        <w:bCs/>
        <w:w w:val="99"/>
        <w:sz w:val="24"/>
        <w:szCs w:val="24"/>
      </w:rPr>
    </w:lvl>
    <w:lvl w:ilvl="1">
      <w:start w:val="1"/>
      <w:numFmt w:val="decimal"/>
      <w:lvlText w:val="%1.%2"/>
      <w:lvlJc w:val="left"/>
      <w:pPr>
        <w:ind w:left="994" w:hanging="473"/>
        <w:jc w:val="left"/>
      </w:pPr>
      <w:rPr>
        <w:rFonts w:hint="default" w:ascii="Times New Roman" w:hAnsi="Times New Roman" w:eastAsia="Times New Roman" w:cs="Times New Roman"/>
        <w:w w:val="100"/>
        <w:sz w:val="21"/>
        <w:szCs w:val="21"/>
      </w:rPr>
    </w:lvl>
    <w:lvl w:ilvl="2">
      <w:start w:val="1"/>
      <w:numFmt w:val="decimal"/>
      <w:lvlText w:val="%1.%2.%3"/>
      <w:lvlJc w:val="left"/>
      <w:pPr>
        <w:ind w:left="1058" w:hanging="526"/>
        <w:jc w:val="left"/>
      </w:pPr>
      <w:rPr>
        <w:rFonts w:hint="default" w:ascii="Times New Roman" w:hAnsi="Times New Roman" w:eastAsia="Times New Roman" w:cs="Times New Roman"/>
        <w:w w:val="100"/>
        <w:sz w:val="21"/>
        <w:szCs w:val="21"/>
      </w:rPr>
    </w:lvl>
    <w:lvl w:ilvl="3">
      <w:start w:val="0"/>
      <w:numFmt w:val="bullet"/>
      <w:lvlText w:val="•"/>
      <w:lvlJc w:val="left"/>
      <w:pPr>
        <w:ind w:left="1100" w:hanging="526"/>
      </w:pPr>
      <w:rPr>
        <w:rFonts w:hint="default"/>
      </w:rPr>
    </w:lvl>
    <w:lvl w:ilvl="4">
      <w:start w:val="0"/>
      <w:numFmt w:val="bullet"/>
      <w:lvlText w:val="•"/>
      <w:lvlJc w:val="left"/>
      <w:pPr>
        <w:ind w:left="1140" w:hanging="526"/>
      </w:pPr>
      <w:rPr>
        <w:rFonts w:hint="default"/>
      </w:rPr>
    </w:lvl>
    <w:lvl w:ilvl="5">
      <w:start w:val="0"/>
      <w:numFmt w:val="bullet"/>
      <w:lvlText w:val="•"/>
      <w:lvlJc w:val="left"/>
      <w:pPr>
        <w:ind w:left="2404" w:hanging="526"/>
      </w:pPr>
      <w:rPr>
        <w:rFonts w:hint="default"/>
      </w:rPr>
    </w:lvl>
    <w:lvl w:ilvl="6">
      <w:start w:val="0"/>
      <w:numFmt w:val="bullet"/>
      <w:lvlText w:val="•"/>
      <w:lvlJc w:val="left"/>
      <w:pPr>
        <w:ind w:left="3668" w:hanging="526"/>
      </w:pPr>
      <w:rPr>
        <w:rFonts w:hint="default"/>
      </w:rPr>
    </w:lvl>
    <w:lvl w:ilvl="7">
      <w:start w:val="0"/>
      <w:numFmt w:val="bullet"/>
      <w:lvlText w:val="•"/>
      <w:lvlJc w:val="left"/>
      <w:pPr>
        <w:ind w:left="4933" w:hanging="526"/>
      </w:pPr>
      <w:rPr>
        <w:rFonts w:hint="default"/>
      </w:rPr>
    </w:lvl>
    <w:lvl w:ilvl="8">
      <w:start w:val="0"/>
      <w:numFmt w:val="bullet"/>
      <w:lvlText w:val="•"/>
      <w:lvlJc w:val="left"/>
      <w:pPr>
        <w:ind w:left="6197" w:hanging="526"/>
      </w:pPr>
      <w:rPr>
        <w:rFonts w:hint="default"/>
      </w:rPr>
    </w:lvl>
  </w:abstractNum>
  <w:abstractNum w:abstractNumId="0">
    <w:multiLevelType w:val="hybridMultilevel"/>
    <w:lvl w:ilvl="0">
      <w:start w:val="0"/>
      <w:numFmt w:val="bullet"/>
      <w:lvlText w:val=""/>
      <w:lvlJc w:val="left"/>
      <w:pPr>
        <w:ind w:left="1053" w:hanging="413"/>
      </w:pPr>
      <w:rPr>
        <w:rFonts w:hint="default" w:ascii="Wingdings" w:hAnsi="Wingdings" w:eastAsia="Wingdings" w:cs="Wingdings"/>
        <w:w w:val="100"/>
        <w:sz w:val="21"/>
        <w:szCs w:val="21"/>
      </w:rPr>
    </w:lvl>
    <w:lvl w:ilvl="1">
      <w:start w:val="0"/>
      <w:numFmt w:val="bullet"/>
      <w:lvlText w:val="•"/>
      <w:lvlJc w:val="left"/>
      <w:pPr>
        <w:ind w:left="1936" w:hanging="413"/>
      </w:pPr>
      <w:rPr>
        <w:rFonts w:hint="default"/>
      </w:rPr>
    </w:lvl>
    <w:lvl w:ilvl="2">
      <w:start w:val="0"/>
      <w:numFmt w:val="bullet"/>
      <w:lvlText w:val="•"/>
      <w:lvlJc w:val="left"/>
      <w:pPr>
        <w:ind w:left="2813" w:hanging="413"/>
      </w:pPr>
      <w:rPr>
        <w:rFonts w:hint="default"/>
      </w:rPr>
    </w:lvl>
    <w:lvl w:ilvl="3">
      <w:start w:val="0"/>
      <w:numFmt w:val="bullet"/>
      <w:lvlText w:val="•"/>
      <w:lvlJc w:val="left"/>
      <w:pPr>
        <w:ind w:left="3689" w:hanging="413"/>
      </w:pPr>
      <w:rPr>
        <w:rFonts w:hint="default"/>
      </w:rPr>
    </w:lvl>
    <w:lvl w:ilvl="4">
      <w:start w:val="0"/>
      <w:numFmt w:val="bullet"/>
      <w:lvlText w:val="•"/>
      <w:lvlJc w:val="left"/>
      <w:pPr>
        <w:ind w:left="4566" w:hanging="413"/>
      </w:pPr>
      <w:rPr>
        <w:rFonts w:hint="default"/>
      </w:rPr>
    </w:lvl>
    <w:lvl w:ilvl="5">
      <w:start w:val="0"/>
      <w:numFmt w:val="bullet"/>
      <w:lvlText w:val="•"/>
      <w:lvlJc w:val="left"/>
      <w:pPr>
        <w:ind w:left="5443" w:hanging="413"/>
      </w:pPr>
      <w:rPr>
        <w:rFonts w:hint="default"/>
      </w:rPr>
    </w:lvl>
    <w:lvl w:ilvl="6">
      <w:start w:val="0"/>
      <w:numFmt w:val="bullet"/>
      <w:lvlText w:val="•"/>
      <w:lvlJc w:val="left"/>
      <w:pPr>
        <w:ind w:left="6319" w:hanging="413"/>
      </w:pPr>
      <w:rPr>
        <w:rFonts w:hint="default"/>
      </w:rPr>
    </w:lvl>
    <w:lvl w:ilvl="7">
      <w:start w:val="0"/>
      <w:numFmt w:val="bullet"/>
      <w:lvlText w:val="•"/>
      <w:lvlJc w:val="left"/>
      <w:pPr>
        <w:ind w:left="7196" w:hanging="413"/>
      </w:pPr>
      <w:rPr>
        <w:rFonts w:hint="default"/>
      </w:rPr>
    </w:lvl>
    <w:lvl w:ilvl="8">
      <w:start w:val="0"/>
      <w:numFmt w:val="bullet"/>
      <w:lvlText w:val="•"/>
      <w:lvlJc w:val="left"/>
      <w:pPr>
        <w:ind w:left="8073" w:hanging="413"/>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325" w:lineRule="exact"/>
      <w:ind w:left="1064" w:hanging="480"/>
      <w:outlineLvl w:val="1"/>
    </w:pPr>
    <w:rPr>
      <w:rFonts w:ascii="宋体" w:hAnsi="宋体" w:eastAsia="宋体" w:cs="宋体"/>
      <w:b/>
      <w:bCs/>
      <w:sz w:val="24"/>
      <w:szCs w:val="24"/>
    </w:rPr>
  </w:style>
  <w:style w:styleId="Heading2" w:type="paragraph">
    <w:name w:val="Heading 2"/>
    <w:basedOn w:val="Normal"/>
    <w:uiPriority w:val="1"/>
    <w:qFormat/>
    <w:pPr>
      <w:spacing w:line="281" w:lineRule="exact"/>
      <w:ind w:left="994" w:hanging="705"/>
      <w:outlineLvl w:val="2"/>
    </w:pPr>
    <w:rPr>
      <w:rFonts w:ascii="宋体" w:hAnsi="宋体" w:eastAsia="宋体" w:cs="宋体"/>
      <w:b/>
      <w:bCs/>
      <w:sz w:val="21"/>
      <w:szCs w:val="21"/>
    </w:rPr>
  </w:style>
  <w:style w:styleId="ListParagraph" w:type="paragraph">
    <w:name w:val="List Paragraph"/>
    <w:basedOn w:val="Normal"/>
    <w:uiPriority w:val="1"/>
    <w:qFormat/>
    <w:pPr>
      <w:spacing w:line="281" w:lineRule="exact"/>
      <w:ind w:left="994" w:hanging="705"/>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5.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QATR099</dc:creator>
  <dcterms:created xsi:type="dcterms:W3CDTF">2018-10-19T21:54:13Z</dcterms:created>
  <dcterms:modified xsi:type="dcterms:W3CDTF">2018-10-19T21:54:13Z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2017-06-19T00:00:00Z</vt:filetime>
  </property>
  <property fmtid="{D5CDD505-2E9C-101B-9397-08002B2CF9AE}" pid="3" name="Creator">
    <vt:lpwstr>Microsoft® Office Word 2007</vt:lpwstr>
  </property>
  <property fmtid="{D5CDD505-2E9C-101B-9397-08002B2CF9AE}" pid="4" name="LastSaved">
    <vt:filetime>2018-10-19T00:00:00Z</vt:filetime>
  </property>
</Properties>
</file>