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2"/>
        <w:rPr>
          <w:rFonts w:ascii="Times New Roman"/>
          <w:sz w:val="28"/>
        </w:rPr>
      </w:pPr>
    </w:p>
    <w:p>
      <w:pPr>
        <w:pStyle w:val="BodyText"/>
        <w:tabs>
          <w:tab w:pos="1898" w:val="left" w:leader="none"/>
        </w:tabs>
        <w:spacing w:before="36"/>
        <w:ind w:right="133"/>
        <w:jc w:val="right"/>
        <w:rPr>
          <w:rFonts w:ascii="仿宋" w:eastAsia="仿宋" w:hint="eastAsia"/>
        </w:rPr>
      </w:pPr>
      <w:r>
        <w:rPr/>
        <w:drawing>
          <wp:anchor distT="0" distB="0" distL="0" distR="0" allowOverlap="1" layoutInCell="1" locked="0" behindDoc="0" simplePos="0" relativeHeight="0">
            <wp:simplePos x="0" y="0"/>
            <wp:positionH relativeFrom="page">
              <wp:posOffset>5591555</wp:posOffset>
            </wp:positionH>
            <wp:positionV relativeFrom="paragraph">
              <wp:posOffset>276148</wp:posOffset>
            </wp:positionV>
            <wp:extent cx="727722" cy="725424"/>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7722" cy="725424"/>
                    </a:xfrm>
                    <a:prstGeom prst="rect">
                      <a:avLst/>
                    </a:prstGeom>
                  </pic:spPr>
                </pic:pic>
              </a:graphicData>
            </a:graphic>
          </wp:anchor>
        </w:drawing>
      </w:r>
      <w:r>
        <w:rPr>
          <w:rFonts w:ascii="仿宋" w:eastAsia="仿宋" w:hint="eastAsia"/>
        </w:rPr>
        <w:t>前海</w:t>
      </w:r>
      <w:r>
        <w:rPr>
          <w:rFonts w:ascii="仿宋" w:eastAsia="仿宋" w:hint="eastAsia"/>
          <w:spacing w:val="12"/>
        </w:rPr>
        <w:t>人</w:t>
      </w:r>
      <w:r>
        <w:rPr>
          <w:rFonts w:ascii="仿宋" w:eastAsia="仿宋" w:hint="eastAsia"/>
        </w:rPr>
        <w:t>寿[2016]疾</w:t>
        <w:tab/>
        <w:t>保险</w:t>
      </w:r>
      <w:r>
        <w:rPr>
          <w:rFonts w:ascii="仿宋" w:eastAsia="仿宋" w:hint="eastAsia"/>
          <w:spacing w:val="-54"/>
        </w:rPr>
        <w:t> </w:t>
      </w:r>
      <w:r>
        <w:rPr>
          <w:rFonts w:ascii="仿宋" w:eastAsia="仿宋" w:hint="eastAsia"/>
        </w:rPr>
        <w:t>028</w:t>
      </w:r>
      <w:r>
        <w:rPr>
          <w:rFonts w:ascii="仿宋" w:eastAsia="仿宋" w:hint="eastAsia"/>
          <w:spacing w:val="-54"/>
        </w:rPr>
        <w:t> </w:t>
      </w:r>
      <w:r>
        <w:rPr>
          <w:rFonts w:ascii="仿宋" w:eastAsia="仿宋" w:hint="eastAsia"/>
        </w:rPr>
        <w:t>号</w:t>
      </w:r>
    </w:p>
    <w:p>
      <w:pPr>
        <w:pStyle w:val="BodyText"/>
        <w:spacing w:line="265" w:lineRule="exact"/>
        <w:ind w:right="659"/>
        <w:jc w:val="right"/>
        <w:rPr>
          <w:rFonts w:ascii="仿宋" w:eastAsia="仿宋" w:hint="eastAsia"/>
        </w:rPr>
      </w:pPr>
      <w:r>
        <w:rPr>
          <w:rFonts w:ascii="仿宋" w:eastAsia="仿宋" w:hint="eastAsia"/>
          <w:w w:val="95"/>
        </w:rPr>
        <w:t>请扫描以查询验证条款</w:t>
      </w:r>
    </w:p>
    <w:p>
      <w:pPr>
        <w:pStyle w:val="BodyText"/>
        <w:rPr>
          <w:rFonts w:ascii="仿宋"/>
          <w:sz w:val="20"/>
        </w:rPr>
      </w:pPr>
    </w:p>
    <w:p>
      <w:pPr>
        <w:pStyle w:val="BodyText"/>
        <w:rPr>
          <w:rFonts w:ascii="仿宋"/>
          <w:sz w:val="20"/>
        </w:rPr>
      </w:pPr>
    </w:p>
    <w:p>
      <w:pPr>
        <w:pStyle w:val="Heading1"/>
        <w:spacing w:before="106"/>
        <w:ind w:left="4116" w:right="4116"/>
        <w:jc w:val="center"/>
      </w:pPr>
      <w:r>
        <w:rPr/>
        <w:t>阅  读  指 引</w:t>
      </w:r>
    </w:p>
    <w:p>
      <w:pPr>
        <w:pStyle w:val="BodyText"/>
        <w:spacing w:before="103"/>
        <w:ind w:left="138"/>
        <w:rPr>
          <w:rFonts w:ascii="仿宋" w:hAnsi="仿宋" w:eastAsia="仿宋" w:hint="eastAsia"/>
        </w:rPr>
      </w:pPr>
      <w:r>
        <w:rPr>
          <w:rFonts w:ascii="仿宋" w:hAnsi="仿宋" w:eastAsia="仿宋" w:hint="eastAsia"/>
        </w:rPr>
        <w:t>本阅读指引有助于您理解条款，对“前海福瑞重大疾病保险合同”内容的解释以条款为准。</w:t>
      </w:r>
    </w:p>
    <w:p>
      <w:pPr>
        <w:pStyle w:val="BodyText"/>
        <w:rPr>
          <w:rFonts w:ascii="仿宋"/>
          <w:sz w:val="20"/>
        </w:rPr>
      </w:pPr>
    </w:p>
    <w:p>
      <w:pPr>
        <w:pStyle w:val="BodyText"/>
        <w:spacing w:before="12"/>
        <w:rPr>
          <w:rFonts w:ascii="仿宋"/>
          <w:sz w:val="26"/>
        </w:rPr>
      </w:pPr>
    </w:p>
    <w:p>
      <w:pPr>
        <w:pStyle w:val="Heading3"/>
        <w:spacing w:line="240" w:lineRule="auto" w:before="51"/>
        <w:ind w:left="138"/>
      </w:pPr>
      <w:r>
        <w:rPr>
          <w:rFonts w:ascii="Arial" w:hAnsi="Arial" w:eastAsia="Arial"/>
          <w:w w:val="105"/>
          <w:position w:val="-11"/>
          <w:sz w:val="52"/>
        </w:rPr>
        <w:t></w:t>
      </w:r>
      <w:r>
        <w:rPr>
          <w:w w:val="105"/>
        </w:rPr>
        <w:t>您拥有的重要权益</w:t>
      </w:r>
    </w:p>
    <w:p>
      <w:pPr>
        <w:pStyle w:val="ListParagraph"/>
        <w:numPr>
          <w:ilvl w:val="0"/>
          <w:numId w:val="1"/>
        </w:numPr>
        <w:tabs>
          <w:tab w:pos="1084" w:val="left" w:leader="none"/>
          <w:tab w:pos="1085" w:val="left" w:leader="none"/>
          <w:tab w:pos="9803" w:val="right" w:leader="dot"/>
        </w:tabs>
        <w:spacing w:line="240" w:lineRule="auto" w:before="22" w:after="0"/>
        <w:ind w:left="1084" w:right="0" w:hanging="420"/>
        <w:jc w:val="left"/>
        <w:rPr>
          <w:sz w:val="21"/>
        </w:rPr>
      </w:pPr>
      <w:r>
        <w:rPr>
          <w:rFonts w:ascii="仿宋" w:eastAsia="仿宋" w:hint="eastAsia"/>
          <w:sz w:val="21"/>
        </w:rPr>
        <w:t>被保险人可以享受本主</w:t>
      </w:r>
      <w:r>
        <w:rPr>
          <w:rFonts w:ascii="仿宋" w:eastAsia="仿宋" w:hint="eastAsia"/>
          <w:spacing w:val="-5"/>
          <w:sz w:val="21"/>
        </w:rPr>
        <w:t>险</w:t>
      </w:r>
      <w:r>
        <w:rPr>
          <w:rFonts w:ascii="仿宋" w:eastAsia="仿宋" w:hint="eastAsia"/>
          <w:sz w:val="21"/>
        </w:rPr>
        <w:t>合同提供</w:t>
      </w:r>
      <w:r>
        <w:rPr>
          <w:rFonts w:ascii="仿宋" w:eastAsia="仿宋" w:hint="eastAsia"/>
          <w:spacing w:val="6"/>
          <w:sz w:val="21"/>
        </w:rPr>
        <w:t>的</w:t>
      </w:r>
      <w:r>
        <w:rPr>
          <w:rFonts w:ascii="仿宋" w:eastAsia="仿宋" w:hint="eastAsia"/>
          <w:sz w:val="21"/>
        </w:rPr>
        <w:t>保障</w:t>
        <w:tab/>
      </w:r>
      <w:r>
        <w:rPr>
          <w:sz w:val="21"/>
        </w:rPr>
        <w:t>2.2</w:t>
      </w:r>
    </w:p>
    <w:p>
      <w:pPr>
        <w:pStyle w:val="ListParagraph"/>
        <w:numPr>
          <w:ilvl w:val="0"/>
          <w:numId w:val="1"/>
        </w:numPr>
        <w:tabs>
          <w:tab w:pos="1084" w:val="left" w:leader="none"/>
          <w:tab w:pos="1085" w:val="left" w:leader="none"/>
          <w:tab w:pos="9803" w:val="right" w:leader="dot"/>
        </w:tabs>
        <w:spacing w:line="240" w:lineRule="auto" w:before="21" w:after="0"/>
        <w:ind w:left="1084" w:right="0" w:hanging="420"/>
        <w:jc w:val="left"/>
        <w:rPr>
          <w:sz w:val="21"/>
        </w:rPr>
      </w:pPr>
      <w:r>
        <w:rPr>
          <w:rFonts w:ascii="仿宋" w:eastAsia="仿宋" w:hint="eastAsia"/>
          <w:sz w:val="21"/>
        </w:rPr>
        <w:t>您有退保的权利</w:t>
        <w:tab/>
      </w:r>
      <w:r>
        <w:rPr>
          <w:sz w:val="21"/>
        </w:rPr>
        <w:t>5.1</w:t>
      </w:r>
    </w:p>
    <w:p>
      <w:pPr>
        <w:pStyle w:val="Heading3"/>
        <w:spacing w:line="240" w:lineRule="auto" w:before="337"/>
        <w:ind w:left="138"/>
      </w:pPr>
      <w:r>
        <w:rPr>
          <w:rFonts w:ascii="Arial" w:hAnsi="Arial" w:eastAsia="Arial"/>
          <w:w w:val="105"/>
          <w:position w:val="-11"/>
          <w:sz w:val="52"/>
        </w:rPr>
        <w:t></w:t>
      </w:r>
      <w:r>
        <w:rPr>
          <w:w w:val="105"/>
        </w:rPr>
        <w:t>您应当特别注意的事项</w:t>
      </w:r>
    </w:p>
    <w:p>
      <w:pPr>
        <w:spacing w:after="0" w:line="240" w:lineRule="auto"/>
        <w:sectPr>
          <w:headerReference w:type="default" r:id="rId5"/>
          <w:footerReference w:type="default" r:id="rId6"/>
          <w:type w:val="continuous"/>
          <w:pgSz w:w="11910" w:h="16840"/>
          <w:pgMar w:header="595" w:footer="666" w:top="820" w:bottom="860" w:left="940" w:right="940"/>
          <w:pgNumType w:start="1"/>
        </w:sectPr>
      </w:pPr>
    </w:p>
    <w:p>
      <w:pPr>
        <w:pStyle w:val="ListParagraph"/>
        <w:numPr>
          <w:ilvl w:val="0"/>
          <w:numId w:val="1"/>
        </w:numPr>
        <w:tabs>
          <w:tab w:pos="1084" w:val="left" w:leader="none"/>
          <w:tab w:pos="1085" w:val="left" w:leader="none"/>
        </w:tabs>
        <w:spacing w:line="240" w:lineRule="auto" w:before="22" w:after="0"/>
        <w:ind w:left="1084" w:right="0" w:hanging="420"/>
        <w:jc w:val="left"/>
        <w:rPr>
          <w:rFonts w:ascii="仿宋" w:eastAsia="仿宋" w:hint="eastAsia"/>
          <w:sz w:val="21"/>
        </w:rPr>
      </w:pPr>
      <w:r>
        <w:rPr>
          <w:rFonts w:ascii="仿宋" w:eastAsia="仿宋" w:hint="eastAsia"/>
          <w:spacing w:val="-1"/>
          <w:sz w:val="21"/>
        </w:rPr>
        <w:t>您有及时向我们通知保险事故的责任</w:t>
      </w:r>
    </w:p>
    <w:p>
      <w:pPr>
        <w:pStyle w:val="BodyText"/>
        <w:spacing w:before="22"/>
        <w:ind w:left="179"/>
      </w:pPr>
      <w:r>
        <w:rPr/>
        <w:br w:type="column"/>
      </w:r>
      <w:r>
        <w:rPr/>
        <w:t>……………………………………………………………3.2</w:t>
      </w:r>
    </w:p>
    <w:p>
      <w:pPr>
        <w:spacing w:after="0"/>
        <w:sectPr>
          <w:type w:val="continuous"/>
          <w:pgSz w:w="11910" w:h="16840"/>
          <w:pgMar w:top="820" w:bottom="860" w:left="940" w:right="940"/>
          <w:cols w:num="2" w:equalWidth="0">
            <w:col w:w="4442" w:space="40"/>
            <w:col w:w="5548"/>
          </w:cols>
        </w:sectPr>
      </w:pPr>
    </w:p>
    <w:p>
      <w:pPr>
        <w:pStyle w:val="ListParagraph"/>
        <w:numPr>
          <w:ilvl w:val="0"/>
          <w:numId w:val="1"/>
        </w:numPr>
        <w:tabs>
          <w:tab w:pos="1084" w:val="left" w:leader="none"/>
          <w:tab w:pos="1085" w:val="left" w:leader="none"/>
          <w:tab w:pos="9803" w:val="right" w:leader="dot"/>
        </w:tabs>
        <w:spacing w:line="240" w:lineRule="auto" w:before="22" w:after="0"/>
        <w:ind w:left="1084" w:right="0" w:hanging="420"/>
        <w:jc w:val="left"/>
        <w:rPr>
          <w:sz w:val="21"/>
        </w:rPr>
      </w:pPr>
      <w:r>
        <w:rPr>
          <w:rFonts w:ascii="仿宋" w:eastAsia="仿宋" w:hint="eastAsia"/>
          <w:sz w:val="21"/>
        </w:rPr>
        <w:t>退保会给您造成一定的</w:t>
      </w:r>
      <w:r>
        <w:rPr>
          <w:rFonts w:ascii="仿宋" w:eastAsia="仿宋" w:hint="eastAsia"/>
          <w:spacing w:val="-5"/>
          <w:sz w:val="21"/>
        </w:rPr>
        <w:t>损</w:t>
      </w:r>
      <w:r>
        <w:rPr>
          <w:rFonts w:ascii="仿宋" w:eastAsia="仿宋" w:hint="eastAsia"/>
          <w:sz w:val="21"/>
        </w:rPr>
        <w:t>失，请您</w:t>
      </w:r>
      <w:r>
        <w:rPr>
          <w:rFonts w:ascii="仿宋" w:eastAsia="仿宋" w:hint="eastAsia"/>
          <w:spacing w:val="6"/>
          <w:sz w:val="21"/>
        </w:rPr>
        <w:t>慎</w:t>
      </w:r>
      <w:r>
        <w:rPr>
          <w:rFonts w:ascii="仿宋" w:eastAsia="仿宋" w:hint="eastAsia"/>
          <w:sz w:val="21"/>
        </w:rPr>
        <w:t>重决策</w:t>
        <w:tab/>
      </w:r>
      <w:r>
        <w:rPr>
          <w:sz w:val="21"/>
        </w:rPr>
        <w:t>5.1</w:t>
      </w:r>
    </w:p>
    <w:p>
      <w:pPr>
        <w:pStyle w:val="ListParagraph"/>
        <w:numPr>
          <w:ilvl w:val="0"/>
          <w:numId w:val="1"/>
        </w:numPr>
        <w:tabs>
          <w:tab w:pos="1084" w:val="left" w:leader="none"/>
          <w:tab w:pos="1085" w:val="left" w:leader="none"/>
          <w:tab w:pos="9803" w:val="right" w:leader="dot"/>
        </w:tabs>
        <w:spacing w:line="240" w:lineRule="auto" w:before="22" w:after="0"/>
        <w:ind w:left="1084" w:right="0" w:hanging="420"/>
        <w:jc w:val="left"/>
        <w:rPr>
          <w:sz w:val="21"/>
        </w:rPr>
      </w:pPr>
      <w:r>
        <w:rPr>
          <w:rFonts w:ascii="仿宋" w:eastAsia="仿宋" w:hint="eastAsia"/>
          <w:sz w:val="21"/>
        </w:rPr>
        <w:t>您有如实告知的义务</w:t>
        <w:tab/>
      </w:r>
      <w:r>
        <w:rPr>
          <w:sz w:val="21"/>
        </w:rPr>
        <w:t>6.1</w:t>
      </w:r>
    </w:p>
    <w:p>
      <w:pPr>
        <w:pStyle w:val="ListParagraph"/>
        <w:numPr>
          <w:ilvl w:val="0"/>
          <w:numId w:val="1"/>
        </w:numPr>
        <w:tabs>
          <w:tab w:pos="1084" w:val="left" w:leader="none"/>
          <w:tab w:pos="1085" w:val="left" w:leader="none"/>
          <w:tab w:pos="9487" w:val="left" w:leader="dot"/>
        </w:tabs>
        <w:spacing w:line="240" w:lineRule="auto" w:before="22" w:after="0"/>
        <w:ind w:left="1084" w:right="0" w:hanging="420"/>
        <w:jc w:val="left"/>
        <w:rPr>
          <w:sz w:val="21"/>
        </w:rPr>
      </w:pPr>
      <w:r>
        <w:rPr>
          <w:rFonts w:ascii="仿宋" w:eastAsia="仿宋" w:hint="eastAsia"/>
          <w:sz w:val="21"/>
        </w:rPr>
        <w:t>我们对一些重要术语进</w:t>
      </w:r>
      <w:r>
        <w:rPr>
          <w:rFonts w:ascii="仿宋" w:eastAsia="仿宋" w:hint="eastAsia"/>
          <w:spacing w:val="-5"/>
          <w:sz w:val="21"/>
        </w:rPr>
        <w:t>行</w:t>
      </w:r>
      <w:r>
        <w:rPr>
          <w:rFonts w:ascii="仿宋" w:eastAsia="仿宋" w:hint="eastAsia"/>
          <w:sz w:val="21"/>
        </w:rPr>
        <w:t>了解释，</w:t>
      </w:r>
      <w:r>
        <w:rPr>
          <w:rFonts w:ascii="仿宋" w:eastAsia="仿宋" w:hint="eastAsia"/>
          <w:spacing w:val="6"/>
          <w:sz w:val="21"/>
        </w:rPr>
        <w:t>并</w:t>
      </w:r>
      <w:r>
        <w:rPr>
          <w:rFonts w:ascii="仿宋" w:eastAsia="仿宋" w:hint="eastAsia"/>
          <w:sz w:val="21"/>
        </w:rPr>
        <w:t>作了显著</w:t>
      </w:r>
      <w:r>
        <w:rPr>
          <w:rFonts w:ascii="仿宋" w:eastAsia="仿宋" w:hint="eastAsia"/>
          <w:spacing w:val="-3"/>
          <w:sz w:val="21"/>
        </w:rPr>
        <w:t>标</w:t>
      </w:r>
      <w:r>
        <w:rPr>
          <w:rFonts w:ascii="仿宋" w:eastAsia="仿宋" w:hint="eastAsia"/>
          <w:sz w:val="21"/>
        </w:rPr>
        <w:t>识，请您</w:t>
      </w:r>
      <w:r>
        <w:rPr>
          <w:rFonts w:ascii="仿宋" w:eastAsia="仿宋" w:hint="eastAsia"/>
          <w:spacing w:val="-10"/>
          <w:sz w:val="21"/>
        </w:rPr>
        <w:t>注</w:t>
      </w:r>
      <w:r>
        <w:rPr>
          <w:rFonts w:ascii="仿宋" w:eastAsia="仿宋" w:hint="eastAsia"/>
          <w:sz w:val="21"/>
        </w:rPr>
        <w:t>意</w:t>
        <w:tab/>
      </w:r>
      <w:r>
        <w:rPr>
          <w:sz w:val="21"/>
        </w:rPr>
        <w:t>7</w:t>
      </w:r>
    </w:p>
    <w:p>
      <w:pPr>
        <w:pStyle w:val="ListParagraph"/>
        <w:numPr>
          <w:ilvl w:val="0"/>
          <w:numId w:val="1"/>
        </w:numPr>
        <w:tabs>
          <w:tab w:pos="1084" w:val="left" w:leader="none"/>
          <w:tab w:pos="1085" w:val="left" w:leader="none"/>
        </w:tabs>
        <w:spacing w:line="259" w:lineRule="auto" w:before="22" w:after="0"/>
        <w:ind w:left="1084" w:right="534" w:hanging="420"/>
        <w:jc w:val="left"/>
        <w:rPr>
          <w:rFonts w:ascii="仿宋" w:eastAsia="仿宋" w:hint="eastAsia"/>
          <w:sz w:val="21"/>
        </w:rPr>
      </w:pPr>
      <w:r>
        <w:rPr>
          <w:rFonts w:ascii="仿宋" w:eastAsia="仿宋" w:hint="eastAsia"/>
          <w:spacing w:val="-4"/>
          <w:sz w:val="21"/>
        </w:rPr>
        <w:t>我们对可能影响本主险合同保障的重要内容进行了显著标识，请您仔细阅读正文中背景突出显示的内容。</w:t>
      </w:r>
    </w:p>
    <w:p>
      <w:pPr>
        <w:pStyle w:val="BodyText"/>
        <w:spacing w:before="11"/>
        <w:rPr>
          <w:rFonts w:ascii="仿宋"/>
          <w:sz w:val="22"/>
        </w:rPr>
      </w:pPr>
    </w:p>
    <w:p>
      <w:pPr>
        <w:pStyle w:val="Heading3"/>
        <w:spacing w:line="240" w:lineRule="auto"/>
        <w:ind w:left="138"/>
      </w:pPr>
      <w:r>
        <w:rPr>
          <w:rFonts w:ascii="Arial" w:hAnsi="Arial" w:eastAsia="Arial"/>
          <w:position w:val="-11"/>
          <w:sz w:val="52"/>
        </w:rPr>
        <w:t></w:t>
      </w:r>
      <w:r>
        <w:rPr/>
        <w:t>条款是保险合同的重要内容，为充分保障您的权益，请您仔细阅读本条款。</w:t>
      </w:r>
    </w:p>
    <w:p>
      <w:pPr>
        <w:pStyle w:val="BodyText"/>
        <w:spacing w:before="1"/>
        <w:rPr>
          <w:b/>
          <w:sz w:val="22"/>
        </w:rPr>
      </w:pPr>
    </w:p>
    <w:p>
      <w:pPr>
        <w:spacing w:before="35"/>
        <w:ind w:left="0" w:right="134" w:firstLine="0"/>
        <w:jc w:val="right"/>
        <w:rPr>
          <w:b/>
          <w:sz w:val="21"/>
        </w:rPr>
      </w:pPr>
      <w:r>
        <w:rPr>
          <w:b/>
          <w:w w:val="95"/>
          <w:sz w:val="21"/>
        </w:rPr>
        <w:t>[本页内容结束]</w:t>
      </w:r>
    </w:p>
    <w:p>
      <w:pPr>
        <w:spacing w:after="0"/>
        <w:jc w:val="right"/>
        <w:rPr>
          <w:sz w:val="21"/>
        </w:rPr>
        <w:sectPr>
          <w:type w:val="continuous"/>
          <w:pgSz w:w="11910" w:h="16840"/>
          <w:pgMar w:top="820" w:bottom="860" w:left="940" w:right="940"/>
        </w:sectPr>
      </w:pPr>
    </w:p>
    <w:p>
      <w:pPr>
        <w:pStyle w:val="BodyText"/>
        <w:spacing w:before="6"/>
        <w:rPr>
          <w:b/>
          <w:sz w:val="3"/>
        </w:rPr>
      </w:pPr>
    </w:p>
    <w:p>
      <w:pPr>
        <w:pStyle w:val="BodyText"/>
        <w:spacing w:line="20" w:lineRule="exact"/>
        <w:ind w:left="103"/>
        <w:rPr>
          <w:sz w:val="2"/>
        </w:rPr>
      </w:pPr>
      <w:r>
        <w:rPr>
          <w:rFonts w:ascii="Times New Roman"/>
          <w:spacing w:val="5"/>
          <w:sz w:val="2"/>
        </w:rPr>
        <w:t> </w:t>
      </w:r>
      <w:r>
        <w:rPr>
          <w:spacing w:val="5"/>
          <w:sz w:val="2"/>
        </w:rPr>
        <w:pict>
          <v:group style="width:496.2pt;height:.75pt;mso-position-horizontal-relative:char;mso-position-vertical-relative:line" coordorigin="0,0" coordsize="9924,15">
            <v:line style="position:absolute" from="0,7" to="9924,7" stroked="true" strokeweight=".72003pt" strokecolor="#000000">
              <v:stroke dashstyle="solid"/>
            </v:line>
          </v:group>
        </w:pict>
      </w:r>
      <w:r>
        <w:rPr>
          <w:spacing w:val="5"/>
          <w:sz w:val="2"/>
        </w:rPr>
      </w:r>
    </w:p>
    <w:p>
      <w:pPr>
        <w:pStyle w:val="BodyText"/>
        <w:spacing w:before="11"/>
        <w:rPr>
          <w:b/>
          <w:sz w:val="20"/>
        </w:rPr>
      </w:pPr>
    </w:p>
    <w:p>
      <w:pPr>
        <w:spacing w:line="405" w:lineRule="exact" w:before="0"/>
        <w:ind w:left="4335" w:right="4335" w:firstLine="0"/>
        <w:jc w:val="center"/>
        <w:rPr>
          <w:rFonts w:ascii="微软雅黑" w:eastAsia="微软雅黑" w:hint="eastAsia"/>
          <w:b/>
          <w:sz w:val="24"/>
        </w:rPr>
      </w:pPr>
      <w:r>
        <w:rPr>
          <w:rFonts w:ascii="微软雅黑" w:eastAsia="微软雅黑" w:hint="eastAsia"/>
          <w:b/>
          <w:sz w:val="24"/>
        </w:rPr>
        <w:t>【条款目录】</w:t>
      </w:r>
    </w:p>
    <w:p>
      <w:pPr>
        <w:pStyle w:val="BodyText"/>
        <w:rPr>
          <w:rFonts w:ascii="微软雅黑"/>
          <w:b/>
          <w:sz w:val="20"/>
        </w:rPr>
      </w:pPr>
    </w:p>
    <w:p>
      <w:pPr>
        <w:pStyle w:val="BodyText"/>
        <w:spacing w:before="9"/>
        <w:rPr>
          <w:rFonts w:ascii="微软雅黑"/>
          <w:b/>
          <w:sz w:val="15"/>
        </w:rPr>
      </w:pPr>
    </w:p>
    <w:p>
      <w:pPr>
        <w:spacing w:after="0"/>
        <w:rPr>
          <w:rFonts w:ascii="微软雅黑"/>
          <w:sz w:val="15"/>
        </w:rPr>
        <w:sectPr>
          <w:headerReference w:type="default" r:id="rId8"/>
          <w:pgSz w:w="11910" w:h="16840"/>
          <w:pgMar w:header="574" w:footer="666" w:top="760" w:bottom="860" w:left="880" w:right="880"/>
        </w:sectPr>
      </w:pPr>
    </w:p>
    <w:p>
      <w:pPr>
        <w:pStyle w:val="Heading3"/>
        <w:spacing w:before="36"/>
        <w:rPr>
          <w:rFonts w:ascii="仿宋" w:eastAsia="仿宋" w:hint="eastAsia"/>
        </w:rPr>
      </w:pPr>
      <w:r>
        <w:rPr/>
        <w:pict>
          <v:group style="position:absolute;margin-left:121.260002pt;margin-top:-9.815979pt;width:362.2pt;height:391pt;mso-position-horizontal-relative:page;mso-position-vertical-relative:paragraph;z-index:-25072" coordorigin="2425,-196" coordsize="7244,7820">
            <v:line style="position:absolute" from="2440,-192" to="9668,-192" stroked="true" strokeweight=".47998pt" strokecolor="#000000">
              <v:stroke dashstyle="solid"/>
            </v:line>
            <v:shape style="position:absolute;left:2425;top:-187;width:7244;height:7810" coordorigin="2425,-187" coordsize="7244,7810" path="m2425,7618l6120,7618m6125,-187l6125,7623m6130,7618l9668,7618e" filled="false" stroked="true" strokeweight=".48001pt" strokecolor="#000000">
              <v:path arrowok="t"/>
              <v:stroke dashstyle="solid"/>
            </v:shape>
            <w10:wrap type="none"/>
          </v:group>
        </w:pict>
      </w:r>
      <w:r>
        <w:rPr>
          <w:w w:val="95"/>
        </w:rPr>
        <w:t>1.</w:t>
      </w:r>
      <w:r>
        <w:rPr>
          <w:rFonts w:ascii="仿宋" w:eastAsia="仿宋" w:hint="eastAsia"/>
          <w:w w:val="95"/>
        </w:rPr>
        <w:t>您与我们的合同</w:t>
      </w:r>
    </w:p>
    <w:p>
      <w:pPr>
        <w:pStyle w:val="ListParagraph"/>
        <w:numPr>
          <w:ilvl w:val="1"/>
          <w:numId w:val="2"/>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合同构成</w:t>
      </w:r>
    </w:p>
    <w:p>
      <w:pPr>
        <w:pStyle w:val="ListParagraph"/>
        <w:numPr>
          <w:ilvl w:val="1"/>
          <w:numId w:val="2"/>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pacing w:val="-1"/>
          <w:sz w:val="21"/>
        </w:rPr>
        <w:t>合同成立与生效</w:t>
      </w:r>
    </w:p>
    <w:p>
      <w:pPr>
        <w:pStyle w:val="ListParagraph"/>
        <w:numPr>
          <w:ilvl w:val="1"/>
          <w:numId w:val="2"/>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投保年龄</w:t>
      </w:r>
    </w:p>
    <w:p>
      <w:pPr>
        <w:pStyle w:val="ListParagraph"/>
        <w:numPr>
          <w:ilvl w:val="1"/>
          <w:numId w:val="2"/>
        </w:numPr>
        <w:tabs>
          <w:tab w:pos="2297" w:val="left" w:leader="none"/>
        </w:tabs>
        <w:spacing w:line="267" w:lineRule="exact" w:before="0" w:after="0"/>
        <w:ind w:left="2296" w:right="0" w:hanging="420"/>
        <w:jc w:val="left"/>
        <w:rPr>
          <w:rFonts w:ascii="仿宋" w:eastAsia="仿宋" w:hint="eastAsia"/>
          <w:sz w:val="21"/>
        </w:rPr>
      </w:pPr>
      <w:r>
        <w:rPr>
          <w:rFonts w:ascii="仿宋" w:eastAsia="仿宋" w:hint="eastAsia"/>
          <w:sz w:val="21"/>
        </w:rPr>
        <w:t>保险期间与续保</w:t>
      </w:r>
    </w:p>
    <w:p>
      <w:pPr>
        <w:pStyle w:val="BodyText"/>
        <w:spacing w:before="10"/>
        <w:rPr>
          <w:rFonts w:ascii="仿宋"/>
          <w:sz w:val="18"/>
        </w:rPr>
      </w:pPr>
    </w:p>
    <w:p>
      <w:pPr>
        <w:pStyle w:val="Heading3"/>
        <w:rPr>
          <w:rFonts w:ascii="仿宋" w:eastAsia="仿宋" w:hint="eastAsia"/>
        </w:rPr>
      </w:pPr>
      <w:r>
        <w:rPr>
          <w:w w:val="95"/>
        </w:rPr>
        <w:t>2.</w:t>
      </w:r>
      <w:r>
        <w:rPr>
          <w:rFonts w:ascii="仿宋" w:eastAsia="仿宋" w:hint="eastAsia"/>
          <w:w w:val="95"/>
        </w:rPr>
        <w:t>我们提供的保障</w:t>
      </w:r>
    </w:p>
    <w:p>
      <w:pPr>
        <w:pStyle w:val="ListParagraph"/>
        <w:numPr>
          <w:ilvl w:val="1"/>
          <w:numId w:val="3"/>
        </w:numPr>
        <w:tabs>
          <w:tab w:pos="2244" w:val="left" w:leader="none"/>
        </w:tabs>
        <w:spacing w:line="260" w:lineRule="exact" w:before="0" w:after="0"/>
        <w:ind w:left="2243" w:right="0" w:hanging="367"/>
        <w:jc w:val="left"/>
        <w:rPr>
          <w:rFonts w:ascii="仿宋" w:eastAsia="仿宋" w:hint="eastAsia"/>
          <w:sz w:val="21"/>
        </w:rPr>
      </w:pPr>
      <w:r>
        <w:rPr>
          <w:rFonts w:ascii="仿宋" w:eastAsia="仿宋" w:hint="eastAsia"/>
          <w:sz w:val="21"/>
        </w:rPr>
        <w:t>保险金额</w:t>
      </w:r>
    </w:p>
    <w:p>
      <w:pPr>
        <w:pStyle w:val="ListParagraph"/>
        <w:numPr>
          <w:ilvl w:val="1"/>
          <w:numId w:val="3"/>
        </w:numPr>
        <w:tabs>
          <w:tab w:pos="2244" w:val="left" w:leader="none"/>
        </w:tabs>
        <w:spacing w:line="260" w:lineRule="exact" w:before="0" w:after="0"/>
        <w:ind w:left="2243" w:right="0" w:hanging="367"/>
        <w:jc w:val="left"/>
        <w:rPr>
          <w:rFonts w:ascii="仿宋" w:eastAsia="仿宋" w:hint="eastAsia"/>
          <w:sz w:val="21"/>
        </w:rPr>
      </w:pPr>
      <w:r>
        <w:rPr>
          <w:rFonts w:ascii="仿宋" w:eastAsia="仿宋" w:hint="eastAsia"/>
          <w:sz w:val="21"/>
        </w:rPr>
        <w:t>保险责任</w:t>
      </w:r>
    </w:p>
    <w:p>
      <w:pPr>
        <w:pStyle w:val="ListParagraph"/>
        <w:numPr>
          <w:ilvl w:val="1"/>
          <w:numId w:val="3"/>
        </w:numPr>
        <w:tabs>
          <w:tab w:pos="2244" w:val="left" w:leader="none"/>
        </w:tabs>
        <w:spacing w:line="268" w:lineRule="exact" w:before="0" w:after="0"/>
        <w:ind w:left="2243" w:right="0" w:hanging="367"/>
        <w:jc w:val="left"/>
        <w:rPr>
          <w:rFonts w:ascii="仿宋" w:eastAsia="仿宋" w:hint="eastAsia"/>
          <w:sz w:val="21"/>
        </w:rPr>
      </w:pPr>
      <w:r>
        <w:rPr>
          <w:rFonts w:ascii="仿宋" w:eastAsia="仿宋" w:hint="eastAsia"/>
          <w:sz w:val="21"/>
        </w:rPr>
        <w:t>责任免除</w:t>
      </w:r>
    </w:p>
    <w:p>
      <w:pPr>
        <w:pStyle w:val="BodyText"/>
        <w:spacing w:before="9"/>
        <w:rPr>
          <w:rFonts w:ascii="仿宋"/>
          <w:sz w:val="18"/>
        </w:rPr>
      </w:pPr>
    </w:p>
    <w:p>
      <w:pPr>
        <w:pStyle w:val="Heading3"/>
        <w:spacing w:line="268" w:lineRule="exact"/>
        <w:rPr>
          <w:rFonts w:ascii="仿宋" w:eastAsia="仿宋" w:hint="eastAsia"/>
        </w:rPr>
      </w:pPr>
      <w:r>
        <w:rPr>
          <w:w w:val="95"/>
        </w:rPr>
        <w:t>3.</w:t>
      </w:r>
      <w:r>
        <w:rPr>
          <w:rFonts w:ascii="仿宋" w:eastAsia="仿宋" w:hint="eastAsia"/>
          <w:w w:val="95"/>
        </w:rPr>
        <w:t>如何申请领取保险金</w:t>
      </w:r>
    </w:p>
    <w:p>
      <w:pPr>
        <w:pStyle w:val="ListParagraph"/>
        <w:numPr>
          <w:ilvl w:val="1"/>
          <w:numId w:val="4"/>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z w:val="21"/>
        </w:rPr>
        <w:t>受益人</w:t>
      </w:r>
    </w:p>
    <w:p>
      <w:pPr>
        <w:pStyle w:val="ListParagraph"/>
        <w:numPr>
          <w:ilvl w:val="1"/>
          <w:numId w:val="4"/>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pacing w:val="-1"/>
          <w:sz w:val="21"/>
        </w:rPr>
        <w:t>保险事故通知</w:t>
      </w:r>
    </w:p>
    <w:p>
      <w:pPr>
        <w:pStyle w:val="ListParagraph"/>
        <w:numPr>
          <w:ilvl w:val="1"/>
          <w:numId w:val="4"/>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pacing w:val="-1"/>
          <w:sz w:val="21"/>
        </w:rPr>
        <w:t>保险金申请</w:t>
      </w:r>
    </w:p>
    <w:p>
      <w:pPr>
        <w:pStyle w:val="ListParagraph"/>
        <w:numPr>
          <w:ilvl w:val="1"/>
          <w:numId w:val="4"/>
        </w:numPr>
        <w:tabs>
          <w:tab w:pos="2297" w:val="left" w:leader="none"/>
        </w:tabs>
        <w:spacing w:line="260" w:lineRule="exact" w:before="0" w:after="0"/>
        <w:ind w:left="2296" w:right="0" w:hanging="420"/>
        <w:jc w:val="left"/>
        <w:rPr>
          <w:rFonts w:ascii="仿宋" w:eastAsia="仿宋" w:hint="eastAsia"/>
          <w:sz w:val="21"/>
        </w:rPr>
      </w:pPr>
      <w:r>
        <w:rPr>
          <w:rFonts w:ascii="仿宋" w:eastAsia="仿宋" w:hint="eastAsia"/>
          <w:spacing w:val="-1"/>
          <w:sz w:val="21"/>
        </w:rPr>
        <w:t>保险金的给付</w:t>
      </w:r>
    </w:p>
    <w:p>
      <w:pPr>
        <w:pStyle w:val="ListParagraph"/>
        <w:numPr>
          <w:ilvl w:val="1"/>
          <w:numId w:val="4"/>
        </w:numPr>
        <w:tabs>
          <w:tab w:pos="2297" w:val="left" w:leader="none"/>
        </w:tabs>
        <w:spacing w:line="267" w:lineRule="exact" w:before="0" w:after="0"/>
        <w:ind w:left="2296" w:right="0" w:hanging="420"/>
        <w:jc w:val="left"/>
        <w:rPr>
          <w:rFonts w:ascii="仿宋" w:eastAsia="仿宋" w:hint="eastAsia"/>
          <w:sz w:val="21"/>
        </w:rPr>
      </w:pPr>
      <w:r>
        <w:rPr>
          <w:rFonts w:ascii="仿宋" w:eastAsia="仿宋" w:hint="eastAsia"/>
          <w:sz w:val="21"/>
        </w:rPr>
        <w:t>诉讼时效</w:t>
      </w:r>
    </w:p>
    <w:p>
      <w:pPr>
        <w:pStyle w:val="BodyText"/>
        <w:spacing w:before="11"/>
        <w:rPr>
          <w:rFonts w:ascii="仿宋"/>
          <w:sz w:val="18"/>
        </w:rPr>
      </w:pPr>
    </w:p>
    <w:p>
      <w:pPr>
        <w:pStyle w:val="Heading3"/>
        <w:rPr>
          <w:rFonts w:ascii="仿宋" w:eastAsia="仿宋" w:hint="eastAsia"/>
        </w:rPr>
      </w:pPr>
      <w:r>
        <w:rPr>
          <w:rFonts w:ascii="仿宋" w:eastAsia="仿宋" w:hint="eastAsia"/>
        </w:rPr>
        <w:t>4.如何支付保险费</w:t>
      </w:r>
    </w:p>
    <w:p>
      <w:pPr>
        <w:pStyle w:val="BodyText"/>
        <w:spacing w:line="267" w:lineRule="exact"/>
        <w:ind w:left="1876"/>
        <w:rPr>
          <w:rFonts w:ascii="仿宋" w:eastAsia="仿宋" w:hint="eastAsia"/>
        </w:rPr>
      </w:pPr>
      <w:r>
        <w:rPr>
          <w:rFonts w:ascii="仿宋" w:eastAsia="仿宋" w:hint="eastAsia"/>
        </w:rPr>
        <w:t>4.1 保险费的支付</w:t>
      </w:r>
    </w:p>
    <w:p>
      <w:pPr>
        <w:pStyle w:val="BodyText"/>
        <w:spacing w:before="10"/>
        <w:rPr>
          <w:rFonts w:ascii="仿宋"/>
          <w:sz w:val="18"/>
        </w:rPr>
      </w:pPr>
    </w:p>
    <w:p>
      <w:pPr>
        <w:pStyle w:val="Heading3"/>
        <w:rPr>
          <w:rFonts w:ascii="仿宋" w:eastAsia="仿宋" w:hint="eastAsia"/>
        </w:rPr>
      </w:pPr>
      <w:r>
        <w:rPr>
          <w:rFonts w:ascii="仿宋" w:eastAsia="仿宋" w:hint="eastAsia"/>
        </w:rPr>
        <w:t>5.如何解除保险合同</w:t>
      </w:r>
    </w:p>
    <w:p>
      <w:pPr>
        <w:pStyle w:val="BodyText"/>
        <w:spacing w:line="267" w:lineRule="exact"/>
        <w:ind w:left="1876"/>
        <w:rPr>
          <w:rFonts w:ascii="仿宋" w:eastAsia="仿宋" w:hint="eastAsia"/>
        </w:rPr>
      </w:pPr>
      <w:r>
        <w:rPr>
          <w:rFonts w:ascii="仿宋" w:eastAsia="仿宋" w:hint="eastAsia"/>
        </w:rPr>
        <w:t>5.1 您解除合同的手续</w:t>
      </w:r>
    </w:p>
    <w:p>
      <w:pPr>
        <w:pStyle w:val="BodyText"/>
        <w:spacing w:before="11"/>
        <w:rPr>
          <w:rFonts w:ascii="仿宋"/>
          <w:sz w:val="18"/>
        </w:rPr>
      </w:pPr>
    </w:p>
    <w:p>
      <w:pPr>
        <w:pStyle w:val="Heading3"/>
        <w:rPr>
          <w:rFonts w:ascii="仿宋" w:eastAsia="仿宋" w:hint="eastAsia"/>
        </w:rPr>
      </w:pPr>
      <w:r>
        <w:rPr>
          <w:w w:val="95"/>
        </w:rPr>
        <w:t>6.</w:t>
      </w:r>
      <w:r>
        <w:rPr>
          <w:rFonts w:ascii="仿宋" w:eastAsia="仿宋" w:hint="eastAsia"/>
          <w:w w:val="95"/>
        </w:rPr>
        <w:t>其他需要关注的事项</w:t>
      </w:r>
    </w:p>
    <w:p>
      <w:pPr>
        <w:pStyle w:val="ListParagraph"/>
        <w:numPr>
          <w:ilvl w:val="1"/>
          <w:numId w:val="5"/>
        </w:numPr>
        <w:tabs>
          <w:tab w:pos="2297" w:val="left" w:leader="none"/>
        </w:tabs>
        <w:spacing w:line="267" w:lineRule="exact" w:before="0" w:after="0"/>
        <w:ind w:left="2296" w:right="0" w:hanging="420"/>
        <w:jc w:val="left"/>
        <w:rPr>
          <w:rFonts w:ascii="仿宋" w:eastAsia="仿宋" w:hint="eastAsia"/>
          <w:sz w:val="21"/>
        </w:rPr>
      </w:pPr>
      <w:r>
        <w:rPr>
          <w:rFonts w:ascii="仿宋" w:eastAsia="仿宋" w:hint="eastAsia"/>
          <w:sz w:val="21"/>
        </w:rPr>
        <w:t>明确说明与如实告知</w:t>
      </w:r>
    </w:p>
    <w:p>
      <w:pPr>
        <w:pStyle w:val="ListParagraph"/>
        <w:numPr>
          <w:ilvl w:val="1"/>
          <w:numId w:val="5"/>
        </w:numPr>
        <w:tabs>
          <w:tab w:pos="1756" w:val="left" w:leader="none"/>
        </w:tabs>
        <w:spacing w:line="267" w:lineRule="exact" w:before="36" w:after="0"/>
        <w:ind w:left="1755" w:right="0" w:hanging="420"/>
        <w:jc w:val="left"/>
        <w:rPr>
          <w:rFonts w:ascii="仿宋" w:eastAsia="仿宋" w:hint="eastAsia"/>
          <w:sz w:val="21"/>
        </w:rPr>
      </w:pPr>
      <w:r>
        <w:rPr>
          <w:rFonts w:ascii="仿宋" w:eastAsia="仿宋" w:hint="eastAsia"/>
          <w:sz w:val="21"/>
        </w:rPr>
        <w:br w:type="column"/>
        <w:t>本公司合同解除权的限制</w:t>
      </w:r>
    </w:p>
    <w:p>
      <w:pPr>
        <w:pStyle w:val="ListParagraph"/>
        <w:numPr>
          <w:ilvl w:val="1"/>
          <w:numId w:val="5"/>
        </w:numPr>
        <w:tabs>
          <w:tab w:pos="1756" w:val="left" w:leader="none"/>
        </w:tabs>
        <w:spacing w:line="260" w:lineRule="exact" w:before="0" w:after="0"/>
        <w:ind w:left="1755" w:right="0" w:hanging="420"/>
        <w:jc w:val="left"/>
        <w:rPr>
          <w:rFonts w:ascii="仿宋" w:eastAsia="仿宋" w:hint="eastAsia"/>
          <w:sz w:val="21"/>
        </w:rPr>
      </w:pPr>
      <w:r>
        <w:rPr>
          <w:rFonts w:ascii="仿宋" w:eastAsia="仿宋" w:hint="eastAsia"/>
          <w:sz w:val="21"/>
        </w:rPr>
        <w:t>年龄错误</w:t>
      </w:r>
    </w:p>
    <w:p>
      <w:pPr>
        <w:pStyle w:val="ListParagraph"/>
        <w:numPr>
          <w:ilvl w:val="1"/>
          <w:numId w:val="5"/>
        </w:numPr>
        <w:tabs>
          <w:tab w:pos="1756" w:val="left" w:leader="none"/>
        </w:tabs>
        <w:spacing w:line="260" w:lineRule="exact" w:before="0" w:after="0"/>
        <w:ind w:left="1755" w:right="0" w:hanging="420"/>
        <w:jc w:val="left"/>
        <w:rPr>
          <w:rFonts w:ascii="仿宋" w:eastAsia="仿宋" w:hint="eastAsia"/>
          <w:sz w:val="21"/>
        </w:rPr>
      </w:pPr>
      <w:r>
        <w:rPr>
          <w:rFonts w:ascii="仿宋" w:eastAsia="仿宋" w:hint="eastAsia"/>
          <w:sz w:val="21"/>
        </w:rPr>
        <w:t>合同内容变更</w:t>
      </w:r>
    </w:p>
    <w:p>
      <w:pPr>
        <w:pStyle w:val="ListParagraph"/>
        <w:numPr>
          <w:ilvl w:val="1"/>
          <w:numId w:val="5"/>
        </w:numPr>
        <w:tabs>
          <w:tab w:pos="1756" w:val="left" w:leader="none"/>
        </w:tabs>
        <w:spacing w:line="260" w:lineRule="exact" w:before="0" w:after="0"/>
        <w:ind w:left="1755" w:right="0" w:hanging="420"/>
        <w:jc w:val="left"/>
        <w:rPr>
          <w:rFonts w:ascii="仿宋" w:eastAsia="仿宋" w:hint="eastAsia"/>
          <w:sz w:val="21"/>
        </w:rPr>
      </w:pPr>
      <w:r>
        <w:rPr>
          <w:rFonts w:ascii="仿宋" w:eastAsia="仿宋" w:hint="eastAsia"/>
          <w:sz w:val="21"/>
        </w:rPr>
        <w:t>联系方式变更</w:t>
      </w:r>
    </w:p>
    <w:p>
      <w:pPr>
        <w:pStyle w:val="ListParagraph"/>
        <w:numPr>
          <w:ilvl w:val="1"/>
          <w:numId w:val="5"/>
        </w:numPr>
        <w:tabs>
          <w:tab w:pos="1756" w:val="left" w:leader="none"/>
        </w:tabs>
        <w:spacing w:line="267" w:lineRule="exact" w:before="0" w:after="0"/>
        <w:ind w:left="1755" w:right="0" w:hanging="420"/>
        <w:jc w:val="left"/>
        <w:rPr>
          <w:rFonts w:ascii="仿宋" w:eastAsia="仿宋" w:hint="eastAsia"/>
          <w:sz w:val="21"/>
        </w:rPr>
      </w:pPr>
      <w:r>
        <w:rPr>
          <w:rFonts w:ascii="仿宋" w:eastAsia="仿宋" w:hint="eastAsia"/>
          <w:sz w:val="21"/>
        </w:rPr>
        <w:t>争议处理</w:t>
      </w:r>
    </w:p>
    <w:p>
      <w:pPr>
        <w:pStyle w:val="BodyText"/>
        <w:spacing w:before="10"/>
        <w:rPr>
          <w:rFonts w:ascii="仿宋"/>
          <w:sz w:val="18"/>
        </w:rPr>
      </w:pPr>
    </w:p>
    <w:p>
      <w:pPr>
        <w:pStyle w:val="Heading3"/>
        <w:ind w:left="1125"/>
        <w:rPr>
          <w:rFonts w:ascii="仿宋" w:eastAsia="仿宋" w:hint="eastAsia"/>
        </w:rPr>
      </w:pPr>
      <w:r>
        <w:rPr>
          <w:w w:val="95"/>
        </w:rPr>
        <w:t>7.</w:t>
      </w:r>
      <w:r>
        <w:rPr>
          <w:rFonts w:ascii="仿宋" w:eastAsia="仿宋" w:hint="eastAsia"/>
          <w:w w:val="95"/>
        </w:rPr>
        <w:t>释义</w:t>
      </w:r>
    </w:p>
    <w:p>
      <w:pPr>
        <w:pStyle w:val="ListParagraph"/>
        <w:numPr>
          <w:ilvl w:val="1"/>
          <w:numId w:val="6"/>
        </w:numPr>
        <w:tabs>
          <w:tab w:pos="1755" w:val="left" w:leader="none"/>
        </w:tabs>
        <w:spacing w:line="260" w:lineRule="exact" w:before="0" w:after="0"/>
        <w:ind w:left="1830" w:right="0" w:hanging="495"/>
        <w:jc w:val="left"/>
        <w:rPr>
          <w:rFonts w:ascii="仿宋" w:eastAsia="仿宋" w:hint="eastAsia"/>
          <w:sz w:val="21"/>
        </w:rPr>
      </w:pPr>
      <w:r>
        <w:rPr>
          <w:rFonts w:ascii="仿宋" w:eastAsia="仿宋" w:hint="eastAsia"/>
          <w:sz w:val="21"/>
        </w:rPr>
        <w:t>周岁</w:t>
      </w:r>
    </w:p>
    <w:p>
      <w:pPr>
        <w:pStyle w:val="ListParagraph"/>
        <w:numPr>
          <w:ilvl w:val="1"/>
          <w:numId w:val="6"/>
        </w:numPr>
        <w:tabs>
          <w:tab w:pos="1756" w:val="left" w:leader="none"/>
        </w:tabs>
        <w:spacing w:line="260" w:lineRule="exact" w:before="0" w:after="0"/>
        <w:ind w:left="1755" w:right="0" w:hanging="420"/>
        <w:jc w:val="left"/>
        <w:rPr>
          <w:rFonts w:ascii="仿宋" w:eastAsia="仿宋" w:hint="eastAsia"/>
          <w:sz w:val="21"/>
        </w:rPr>
      </w:pPr>
      <w:r>
        <w:rPr>
          <w:rFonts w:ascii="仿宋" w:eastAsia="仿宋" w:hint="eastAsia"/>
          <w:sz w:val="21"/>
        </w:rPr>
        <w:t>连续投保</w:t>
      </w:r>
    </w:p>
    <w:p>
      <w:pPr>
        <w:pStyle w:val="ListParagraph"/>
        <w:numPr>
          <w:ilvl w:val="1"/>
          <w:numId w:val="6"/>
        </w:numPr>
        <w:tabs>
          <w:tab w:pos="1756" w:val="left" w:leader="none"/>
        </w:tabs>
        <w:spacing w:line="260" w:lineRule="exact" w:before="0" w:after="0"/>
        <w:ind w:left="1755" w:right="0" w:hanging="420"/>
        <w:jc w:val="left"/>
        <w:rPr>
          <w:rFonts w:ascii="仿宋" w:eastAsia="仿宋" w:hint="eastAsia"/>
          <w:sz w:val="21"/>
        </w:rPr>
      </w:pPr>
      <w:r>
        <w:rPr>
          <w:rFonts w:ascii="仿宋" w:eastAsia="仿宋" w:hint="eastAsia"/>
          <w:sz w:val="21"/>
        </w:rPr>
        <w:t>意外伤害</w:t>
      </w:r>
    </w:p>
    <w:p>
      <w:pPr>
        <w:pStyle w:val="ListParagraph"/>
        <w:numPr>
          <w:ilvl w:val="1"/>
          <w:numId w:val="6"/>
        </w:numPr>
        <w:tabs>
          <w:tab w:pos="1756" w:val="left" w:leader="none"/>
        </w:tabs>
        <w:spacing w:line="260" w:lineRule="exact" w:before="0" w:after="0"/>
        <w:ind w:left="1755" w:right="0" w:hanging="420"/>
        <w:jc w:val="left"/>
        <w:rPr>
          <w:rFonts w:ascii="仿宋" w:eastAsia="仿宋" w:hint="eastAsia"/>
          <w:sz w:val="21"/>
        </w:rPr>
      </w:pPr>
      <w:r>
        <w:rPr>
          <w:rFonts w:ascii="仿宋" w:eastAsia="仿宋" w:hint="eastAsia"/>
          <w:sz w:val="21"/>
        </w:rPr>
        <w:t>重大疾病</w:t>
      </w:r>
    </w:p>
    <w:p>
      <w:pPr>
        <w:pStyle w:val="ListParagraph"/>
        <w:numPr>
          <w:ilvl w:val="1"/>
          <w:numId w:val="6"/>
        </w:numPr>
        <w:tabs>
          <w:tab w:pos="1756" w:val="left" w:leader="none"/>
        </w:tabs>
        <w:spacing w:line="260" w:lineRule="exact" w:before="0" w:after="0"/>
        <w:ind w:left="1755" w:right="0" w:hanging="420"/>
        <w:jc w:val="left"/>
        <w:rPr>
          <w:rFonts w:ascii="仿宋" w:eastAsia="仿宋" w:hint="eastAsia"/>
          <w:sz w:val="21"/>
        </w:rPr>
      </w:pPr>
      <w:r>
        <w:rPr>
          <w:rFonts w:ascii="仿宋" w:eastAsia="仿宋" w:hint="eastAsia"/>
          <w:sz w:val="21"/>
        </w:rPr>
        <w:t>专科医生</w:t>
      </w:r>
    </w:p>
    <w:p>
      <w:pPr>
        <w:pStyle w:val="ListParagraph"/>
        <w:numPr>
          <w:ilvl w:val="1"/>
          <w:numId w:val="6"/>
        </w:numPr>
        <w:tabs>
          <w:tab w:pos="1756" w:val="left" w:leader="none"/>
        </w:tabs>
        <w:spacing w:line="260" w:lineRule="exact" w:before="0" w:after="0"/>
        <w:ind w:left="1755" w:right="0" w:hanging="420"/>
        <w:jc w:val="left"/>
        <w:rPr>
          <w:rFonts w:ascii="仿宋" w:eastAsia="仿宋" w:hint="eastAsia"/>
          <w:sz w:val="21"/>
        </w:rPr>
      </w:pPr>
      <w:r>
        <w:rPr>
          <w:rFonts w:ascii="仿宋" w:eastAsia="仿宋" w:hint="eastAsia"/>
          <w:sz w:val="21"/>
        </w:rPr>
        <w:t>肢体机能完全丧失</w:t>
      </w:r>
    </w:p>
    <w:p>
      <w:pPr>
        <w:pStyle w:val="ListParagraph"/>
        <w:numPr>
          <w:ilvl w:val="1"/>
          <w:numId w:val="6"/>
        </w:numPr>
        <w:tabs>
          <w:tab w:pos="1771" w:val="left" w:leader="none"/>
        </w:tabs>
        <w:spacing w:line="228" w:lineRule="auto" w:before="5" w:after="0"/>
        <w:ind w:left="1830" w:right="1448" w:hanging="495"/>
        <w:jc w:val="left"/>
        <w:rPr>
          <w:rFonts w:ascii="仿宋" w:eastAsia="仿宋" w:hint="eastAsia"/>
          <w:sz w:val="21"/>
        </w:rPr>
      </w:pPr>
      <w:r>
        <w:rPr>
          <w:rFonts w:ascii="仿宋" w:eastAsia="仿宋" w:hint="eastAsia"/>
          <w:spacing w:val="12"/>
          <w:sz w:val="21"/>
        </w:rPr>
        <w:t>语言能力或咀嚼吞咽能力完</w:t>
      </w:r>
      <w:r>
        <w:rPr>
          <w:rFonts w:ascii="仿宋" w:eastAsia="仿宋" w:hint="eastAsia"/>
          <w:sz w:val="21"/>
        </w:rPr>
        <w:t>全丧失</w:t>
      </w:r>
    </w:p>
    <w:p>
      <w:pPr>
        <w:pStyle w:val="ListParagraph"/>
        <w:numPr>
          <w:ilvl w:val="1"/>
          <w:numId w:val="6"/>
        </w:numPr>
        <w:tabs>
          <w:tab w:pos="1756" w:val="left" w:leader="none"/>
        </w:tabs>
        <w:spacing w:line="253" w:lineRule="exact" w:before="0" w:after="0"/>
        <w:ind w:left="1755" w:right="0" w:hanging="420"/>
        <w:jc w:val="left"/>
        <w:rPr>
          <w:rFonts w:ascii="仿宋" w:eastAsia="仿宋" w:hint="eastAsia"/>
          <w:sz w:val="21"/>
        </w:rPr>
      </w:pPr>
      <w:r>
        <w:rPr>
          <w:rFonts w:ascii="仿宋" w:eastAsia="仿宋" w:hint="eastAsia"/>
          <w:sz w:val="21"/>
        </w:rPr>
        <w:t>六项基本日常生活活动</w:t>
      </w:r>
    </w:p>
    <w:p>
      <w:pPr>
        <w:pStyle w:val="ListParagraph"/>
        <w:numPr>
          <w:ilvl w:val="1"/>
          <w:numId w:val="6"/>
        </w:numPr>
        <w:tabs>
          <w:tab w:pos="1756" w:val="left" w:leader="none"/>
        </w:tabs>
        <w:spacing w:line="260" w:lineRule="exact" w:before="0" w:after="0"/>
        <w:ind w:left="1755" w:right="0" w:hanging="420"/>
        <w:jc w:val="left"/>
        <w:rPr>
          <w:rFonts w:ascii="仿宋" w:eastAsia="仿宋" w:hint="eastAsia"/>
          <w:sz w:val="21"/>
        </w:rPr>
      </w:pPr>
      <w:r>
        <w:rPr>
          <w:rFonts w:ascii="仿宋" w:eastAsia="仿宋" w:hint="eastAsia"/>
          <w:sz w:val="21"/>
        </w:rPr>
        <w:t>永久不可逆</w:t>
      </w:r>
    </w:p>
    <w:p>
      <w:pPr>
        <w:pStyle w:val="ListParagraph"/>
        <w:numPr>
          <w:ilvl w:val="1"/>
          <w:numId w:val="6"/>
        </w:numPr>
        <w:tabs>
          <w:tab w:pos="1860" w:val="left" w:leader="none"/>
        </w:tabs>
        <w:spacing w:line="260" w:lineRule="exact" w:before="0" w:after="0"/>
        <w:ind w:left="1859" w:right="0" w:hanging="524"/>
        <w:jc w:val="left"/>
        <w:rPr>
          <w:rFonts w:ascii="仿宋" w:eastAsia="仿宋" w:hint="eastAsia"/>
          <w:sz w:val="21"/>
        </w:rPr>
      </w:pPr>
      <w:r>
        <w:rPr>
          <w:rFonts w:ascii="仿宋" w:eastAsia="仿宋" w:hint="eastAsia"/>
          <w:sz w:val="21"/>
        </w:rPr>
        <w:t>医院</w:t>
      </w:r>
    </w:p>
    <w:p>
      <w:pPr>
        <w:pStyle w:val="ListParagraph"/>
        <w:numPr>
          <w:ilvl w:val="1"/>
          <w:numId w:val="6"/>
        </w:numPr>
        <w:tabs>
          <w:tab w:pos="1860" w:val="left" w:leader="none"/>
        </w:tabs>
        <w:spacing w:line="260" w:lineRule="exact" w:before="0" w:after="0"/>
        <w:ind w:left="1859" w:right="0" w:hanging="524"/>
        <w:jc w:val="left"/>
        <w:rPr>
          <w:rFonts w:ascii="仿宋" w:eastAsia="仿宋" w:hint="eastAsia"/>
          <w:sz w:val="21"/>
        </w:rPr>
      </w:pPr>
      <w:r>
        <w:rPr>
          <w:rFonts w:ascii="仿宋" w:eastAsia="仿宋" w:hint="eastAsia"/>
          <w:sz w:val="21"/>
        </w:rPr>
        <w:t>毒品</w:t>
      </w:r>
    </w:p>
    <w:p>
      <w:pPr>
        <w:pStyle w:val="ListParagraph"/>
        <w:numPr>
          <w:ilvl w:val="1"/>
          <w:numId w:val="6"/>
        </w:numPr>
        <w:tabs>
          <w:tab w:pos="1860" w:val="left" w:leader="none"/>
        </w:tabs>
        <w:spacing w:line="260" w:lineRule="exact" w:before="0" w:after="0"/>
        <w:ind w:left="1859" w:right="0" w:hanging="524"/>
        <w:jc w:val="left"/>
        <w:rPr>
          <w:rFonts w:ascii="仿宋" w:eastAsia="仿宋" w:hint="eastAsia"/>
          <w:sz w:val="21"/>
        </w:rPr>
      </w:pPr>
      <w:r>
        <w:rPr>
          <w:rFonts w:ascii="仿宋" w:eastAsia="仿宋" w:hint="eastAsia"/>
          <w:spacing w:val="-1"/>
          <w:sz w:val="21"/>
        </w:rPr>
        <w:t>酒后驾驶</w:t>
      </w:r>
    </w:p>
    <w:p>
      <w:pPr>
        <w:pStyle w:val="ListParagraph"/>
        <w:numPr>
          <w:ilvl w:val="1"/>
          <w:numId w:val="6"/>
        </w:numPr>
        <w:tabs>
          <w:tab w:pos="1860" w:val="left" w:leader="none"/>
        </w:tabs>
        <w:spacing w:line="260" w:lineRule="exact" w:before="0" w:after="0"/>
        <w:ind w:left="1859" w:right="0" w:hanging="524"/>
        <w:jc w:val="left"/>
        <w:rPr>
          <w:rFonts w:ascii="仿宋" w:eastAsia="仿宋" w:hint="eastAsia"/>
          <w:sz w:val="21"/>
        </w:rPr>
      </w:pPr>
      <w:r>
        <w:rPr>
          <w:rFonts w:ascii="仿宋" w:eastAsia="仿宋" w:hint="eastAsia"/>
          <w:spacing w:val="-1"/>
          <w:sz w:val="21"/>
        </w:rPr>
        <w:t>无合法有效驾驶证驾驶</w:t>
      </w:r>
    </w:p>
    <w:p>
      <w:pPr>
        <w:pStyle w:val="ListParagraph"/>
        <w:numPr>
          <w:ilvl w:val="1"/>
          <w:numId w:val="6"/>
        </w:numPr>
        <w:tabs>
          <w:tab w:pos="1860" w:val="left" w:leader="none"/>
        </w:tabs>
        <w:spacing w:line="260" w:lineRule="exact" w:before="0" w:after="0"/>
        <w:ind w:left="1859" w:right="0" w:hanging="524"/>
        <w:jc w:val="left"/>
        <w:rPr>
          <w:rFonts w:ascii="仿宋" w:eastAsia="仿宋" w:hint="eastAsia"/>
          <w:sz w:val="21"/>
        </w:rPr>
      </w:pPr>
      <w:r>
        <w:rPr>
          <w:rFonts w:ascii="仿宋" w:eastAsia="仿宋" w:hint="eastAsia"/>
          <w:spacing w:val="-1"/>
          <w:sz w:val="21"/>
        </w:rPr>
        <w:t>无有效行驶证</w:t>
      </w:r>
    </w:p>
    <w:p>
      <w:pPr>
        <w:pStyle w:val="ListParagraph"/>
        <w:numPr>
          <w:ilvl w:val="1"/>
          <w:numId w:val="6"/>
        </w:numPr>
        <w:tabs>
          <w:tab w:pos="1860" w:val="left" w:leader="none"/>
        </w:tabs>
        <w:spacing w:line="260" w:lineRule="exact" w:before="0" w:after="0"/>
        <w:ind w:left="1859" w:right="0" w:hanging="524"/>
        <w:jc w:val="left"/>
        <w:rPr>
          <w:rFonts w:ascii="仿宋" w:eastAsia="仿宋" w:hint="eastAsia"/>
          <w:sz w:val="21"/>
        </w:rPr>
      </w:pPr>
      <w:r>
        <w:rPr>
          <w:rFonts w:ascii="仿宋" w:eastAsia="仿宋" w:hint="eastAsia"/>
          <w:spacing w:val="-1"/>
          <w:sz w:val="21"/>
        </w:rPr>
        <w:t>机动车</w:t>
      </w:r>
    </w:p>
    <w:p>
      <w:pPr>
        <w:pStyle w:val="ListParagraph"/>
        <w:numPr>
          <w:ilvl w:val="1"/>
          <w:numId w:val="6"/>
        </w:numPr>
        <w:tabs>
          <w:tab w:pos="1860" w:val="left" w:leader="none"/>
        </w:tabs>
        <w:spacing w:line="260" w:lineRule="exact" w:before="0" w:after="0"/>
        <w:ind w:left="1859" w:right="0" w:hanging="524"/>
        <w:jc w:val="left"/>
        <w:rPr>
          <w:rFonts w:ascii="仿宋" w:eastAsia="仿宋" w:hint="eastAsia"/>
          <w:sz w:val="21"/>
        </w:rPr>
      </w:pPr>
      <w:r>
        <w:rPr>
          <w:rFonts w:ascii="仿宋" w:eastAsia="仿宋" w:hint="eastAsia"/>
          <w:spacing w:val="-1"/>
          <w:sz w:val="21"/>
        </w:rPr>
        <w:t>感染艾滋病病毒或患艾滋病</w:t>
      </w:r>
    </w:p>
    <w:p>
      <w:pPr>
        <w:pStyle w:val="ListParagraph"/>
        <w:numPr>
          <w:ilvl w:val="1"/>
          <w:numId w:val="6"/>
        </w:numPr>
        <w:tabs>
          <w:tab w:pos="1860" w:val="left" w:leader="none"/>
        </w:tabs>
        <w:spacing w:line="260" w:lineRule="exact" w:before="0" w:after="0"/>
        <w:ind w:left="1859" w:right="0" w:hanging="524"/>
        <w:jc w:val="left"/>
        <w:rPr>
          <w:rFonts w:ascii="仿宋" w:eastAsia="仿宋" w:hint="eastAsia"/>
          <w:sz w:val="21"/>
        </w:rPr>
      </w:pPr>
      <w:r>
        <w:rPr>
          <w:rFonts w:ascii="仿宋" w:eastAsia="仿宋" w:hint="eastAsia"/>
          <w:spacing w:val="-1"/>
          <w:sz w:val="21"/>
        </w:rPr>
        <w:t>遗传性疾病</w:t>
      </w:r>
    </w:p>
    <w:p>
      <w:pPr>
        <w:pStyle w:val="ListParagraph"/>
        <w:numPr>
          <w:ilvl w:val="1"/>
          <w:numId w:val="6"/>
        </w:numPr>
        <w:tabs>
          <w:tab w:pos="1867" w:val="left" w:leader="none"/>
        </w:tabs>
        <w:spacing w:line="228" w:lineRule="auto" w:before="5" w:after="0"/>
        <w:ind w:left="1866" w:right="1457" w:hanging="531"/>
        <w:jc w:val="left"/>
        <w:rPr>
          <w:rFonts w:ascii="仿宋" w:eastAsia="仿宋" w:hint="eastAsia"/>
          <w:sz w:val="21"/>
        </w:rPr>
      </w:pPr>
      <w:r>
        <w:rPr>
          <w:rFonts w:ascii="仿宋" w:eastAsia="仿宋" w:hint="eastAsia"/>
          <w:spacing w:val="5"/>
          <w:sz w:val="21"/>
        </w:rPr>
        <w:t>先天性畸形、变形或染色体</w:t>
      </w:r>
      <w:r>
        <w:rPr>
          <w:rFonts w:ascii="仿宋" w:eastAsia="仿宋" w:hint="eastAsia"/>
          <w:sz w:val="21"/>
        </w:rPr>
        <w:t>异常</w:t>
      </w:r>
    </w:p>
    <w:p>
      <w:pPr>
        <w:pStyle w:val="ListParagraph"/>
        <w:numPr>
          <w:ilvl w:val="1"/>
          <w:numId w:val="6"/>
        </w:numPr>
        <w:tabs>
          <w:tab w:pos="1860" w:val="left" w:leader="none"/>
        </w:tabs>
        <w:spacing w:line="253" w:lineRule="exact" w:before="0" w:after="0"/>
        <w:ind w:left="1859" w:right="0" w:hanging="524"/>
        <w:jc w:val="left"/>
        <w:rPr>
          <w:rFonts w:ascii="仿宋" w:eastAsia="仿宋" w:hint="eastAsia"/>
          <w:sz w:val="21"/>
        </w:rPr>
      </w:pPr>
      <w:r>
        <w:rPr>
          <w:rFonts w:ascii="仿宋" w:eastAsia="仿宋" w:hint="eastAsia"/>
          <w:spacing w:val="-1"/>
          <w:sz w:val="21"/>
        </w:rPr>
        <w:t>净保险费</w:t>
      </w:r>
    </w:p>
    <w:p>
      <w:pPr>
        <w:pStyle w:val="ListParagraph"/>
        <w:numPr>
          <w:ilvl w:val="1"/>
          <w:numId w:val="6"/>
        </w:numPr>
        <w:tabs>
          <w:tab w:pos="1860" w:val="left" w:leader="none"/>
        </w:tabs>
        <w:spacing w:line="267" w:lineRule="exact" w:before="0" w:after="0"/>
        <w:ind w:left="1859" w:right="0" w:hanging="524"/>
        <w:jc w:val="left"/>
        <w:rPr>
          <w:rFonts w:ascii="仿宋" w:eastAsia="仿宋" w:hint="eastAsia"/>
          <w:sz w:val="21"/>
        </w:rPr>
      </w:pPr>
      <w:r>
        <w:rPr>
          <w:rFonts w:ascii="仿宋" w:eastAsia="仿宋" w:hint="eastAsia"/>
          <w:spacing w:val="-1"/>
          <w:sz w:val="21"/>
        </w:rPr>
        <w:t>有效身份证件</w:t>
      </w:r>
    </w:p>
    <w:p>
      <w:pPr>
        <w:spacing w:after="0" w:line="267" w:lineRule="exact"/>
        <w:jc w:val="left"/>
        <w:rPr>
          <w:rFonts w:ascii="仿宋" w:eastAsia="仿宋" w:hint="eastAsia"/>
          <w:sz w:val="21"/>
        </w:rPr>
        <w:sectPr>
          <w:type w:val="continuous"/>
          <w:pgSz w:w="11910" w:h="16840"/>
          <w:pgMar w:top="820" w:bottom="860" w:left="880" w:right="880"/>
          <w:cols w:num="2" w:equalWidth="0">
            <w:col w:w="4187" w:space="40"/>
            <w:col w:w="5923"/>
          </w:cols>
        </w:sectPr>
      </w:pPr>
    </w:p>
    <w:p>
      <w:pPr>
        <w:pStyle w:val="BodyText"/>
        <w:rPr>
          <w:rFonts w:ascii="仿宋"/>
          <w:sz w:val="20"/>
        </w:rPr>
      </w:pPr>
    </w:p>
    <w:p>
      <w:pPr>
        <w:pStyle w:val="BodyText"/>
        <w:spacing w:before="2"/>
        <w:rPr>
          <w:rFonts w:ascii="仿宋"/>
          <w:sz w:val="16"/>
        </w:rPr>
      </w:pPr>
    </w:p>
    <w:p>
      <w:pPr>
        <w:pStyle w:val="Heading3"/>
        <w:spacing w:line="240" w:lineRule="auto" w:before="35"/>
        <w:ind w:left="0" w:right="195"/>
        <w:jc w:val="right"/>
      </w:pPr>
      <w:r>
        <w:rPr>
          <w:w w:val="95"/>
        </w:rPr>
        <w:t>[本页内容结束]</w:t>
      </w:r>
    </w:p>
    <w:p>
      <w:pPr>
        <w:spacing w:after="0" w:line="240" w:lineRule="auto"/>
        <w:jc w:val="right"/>
        <w:sectPr>
          <w:type w:val="continuous"/>
          <w:pgSz w:w="11910" w:h="16840"/>
          <w:pgMar w:top="820" w:bottom="860" w:left="880" w:right="880"/>
        </w:sectPr>
      </w:pPr>
    </w:p>
    <w:p>
      <w:pPr>
        <w:pStyle w:val="BodyText"/>
        <w:rPr>
          <w:b/>
          <w:sz w:val="20"/>
        </w:rPr>
      </w:pPr>
    </w:p>
    <w:p>
      <w:pPr>
        <w:pStyle w:val="BodyText"/>
        <w:spacing w:before="2"/>
        <w:rPr>
          <w:b/>
          <w:sz w:val="26"/>
        </w:rPr>
      </w:pPr>
    </w:p>
    <w:p>
      <w:pPr>
        <w:pStyle w:val="Heading1"/>
        <w:spacing w:line="507" w:lineRule="exact"/>
      </w:pPr>
      <w:r>
        <w:rPr/>
        <w:t>前海福瑞重大疾病保险条款</w:t>
      </w:r>
    </w:p>
    <w:p>
      <w:pPr>
        <w:pStyle w:val="BodyText"/>
        <w:spacing w:before="1"/>
        <w:rPr>
          <w:rFonts w:ascii="微软雅黑"/>
          <w:b/>
          <w:sz w:val="42"/>
        </w:rPr>
      </w:pPr>
    </w:p>
    <w:p>
      <w:pPr>
        <w:pStyle w:val="BodyText"/>
        <w:ind w:left="220"/>
      </w:pPr>
      <w:r>
        <w:rPr>
          <w:spacing w:val="-23"/>
        </w:rPr>
        <w:t>在本条款中，“您”指投保人，“我们”、“本公司”均指前海人寿保险股份有限公司。</w:t>
      </w:r>
    </w:p>
    <w:p>
      <w:pPr>
        <w:pStyle w:val="BodyText"/>
        <w:rPr>
          <w:sz w:val="20"/>
        </w:rPr>
      </w:pPr>
    </w:p>
    <w:p>
      <w:pPr>
        <w:pStyle w:val="BodyText"/>
        <w:spacing w:before="9"/>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5"/>
        <w:gridCol w:w="2105"/>
        <w:gridCol w:w="7114"/>
      </w:tblGrid>
      <w:tr>
        <w:trPr>
          <w:trHeight w:val="491" w:hRule="atLeast"/>
        </w:trPr>
        <w:tc>
          <w:tcPr>
            <w:tcW w:w="745" w:type="dxa"/>
            <w:tcBorders>
              <w:bottom w:val="single" w:sz="8" w:space="0" w:color="000000"/>
            </w:tcBorders>
          </w:tcPr>
          <w:p>
            <w:pPr>
              <w:pStyle w:val="TableParagraph"/>
              <w:spacing w:line="360" w:lineRule="exact"/>
              <w:ind w:left="107"/>
              <w:rPr>
                <w:b/>
                <w:sz w:val="36"/>
              </w:rPr>
            </w:pPr>
            <w:r>
              <w:rPr>
                <w:b/>
                <w:w w:val="99"/>
                <w:sz w:val="36"/>
              </w:rPr>
              <w:t>1</w:t>
            </w:r>
          </w:p>
        </w:tc>
        <w:tc>
          <w:tcPr>
            <w:tcW w:w="2105" w:type="dxa"/>
            <w:tcBorders>
              <w:bottom w:val="single" w:sz="8" w:space="0" w:color="000000"/>
            </w:tcBorders>
          </w:tcPr>
          <w:p>
            <w:pPr>
              <w:pStyle w:val="TableParagraph"/>
              <w:spacing w:line="299" w:lineRule="exact"/>
              <w:ind w:left="319"/>
              <w:rPr>
                <w:b/>
                <w:sz w:val="24"/>
              </w:rPr>
            </w:pPr>
            <w:r>
              <w:rPr>
                <w:b/>
                <w:sz w:val="24"/>
              </w:rPr>
              <w:t>您与我们的合同</w:t>
            </w:r>
          </w:p>
        </w:tc>
        <w:tc>
          <w:tcPr>
            <w:tcW w:w="7114" w:type="dxa"/>
            <w:tcBorders>
              <w:bottom w:val="single" w:sz="8" w:space="0" w:color="000000"/>
            </w:tcBorders>
          </w:tcPr>
          <w:p>
            <w:pPr>
              <w:pStyle w:val="TableParagraph"/>
              <w:rPr>
                <w:rFonts w:ascii="Times New Roman"/>
                <w:sz w:val="20"/>
              </w:rPr>
            </w:pPr>
          </w:p>
        </w:tc>
      </w:tr>
      <w:tr>
        <w:trPr>
          <w:trHeight w:val="518" w:hRule="atLeast"/>
        </w:trPr>
        <w:tc>
          <w:tcPr>
            <w:tcW w:w="745" w:type="dxa"/>
            <w:tcBorders>
              <w:top w:val="single" w:sz="8" w:space="0" w:color="000000"/>
            </w:tcBorders>
          </w:tcPr>
          <w:p>
            <w:pPr>
              <w:pStyle w:val="TableParagraph"/>
              <w:spacing w:before="9"/>
              <w:rPr>
                <w:sz w:val="14"/>
              </w:rPr>
            </w:pPr>
          </w:p>
          <w:p>
            <w:pPr>
              <w:pStyle w:val="TableParagraph"/>
              <w:ind w:left="107"/>
              <w:rPr>
                <w:b/>
                <w:sz w:val="21"/>
              </w:rPr>
            </w:pPr>
            <w:r>
              <w:rPr>
                <w:b/>
                <w:sz w:val="21"/>
              </w:rPr>
              <w:t>1.1</w:t>
            </w:r>
          </w:p>
        </w:tc>
        <w:tc>
          <w:tcPr>
            <w:tcW w:w="2105" w:type="dxa"/>
            <w:tcBorders>
              <w:top w:val="single" w:sz="8" w:space="0" w:color="000000"/>
            </w:tcBorders>
          </w:tcPr>
          <w:p>
            <w:pPr>
              <w:pStyle w:val="TableParagraph"/>
              <w:spacing w:before="9"/>
              <w:rPr>
                <w:sz w:val="14"/>
              </w:rPr>
            </w:pPr>
          </w:p>
          <w:p>
            <w:pPr>
              <w:pStyle w:val="TableParagraph"/>
              <w:ind w:left="319"/>
              <w:rPr>
                <w:b/>
                <w:sz w:val="21"/>
              </w:rPr>
            </w:pPr>
            <w:r>
              <w:rPr>
                <w:b/>
                <w:sz w:val="21"/>
              </w:rPr>
              <w:t>合同构成</w:t>
            </w:r>
          </w:p>
        </w:tc>
        <w:tc>
          <w:tcPr>
            <w:tcW w:w="7114" w:type="dxa"/>
            <w:tcBorders>
              <w:top w:val="single" w:sz="8" w:space="0" w:color="000000"/>
            </w:tcBorders>
          </w:tcPr>
          <w:p>
            <w:pPr>
              <w:pStyle w:val="TableParagraph"/>
              <w:spacing w:before="9"/>
              <w:rPr>
                <w:sz w:val="14"/>
              </w:rPr>
            </w:pPr>
          </w:p>
          <w:p>
            <w:pPr>
              <w:pStyle w:val="TableParagraph"/>
              <w:ind w:left="97"/>
              <w:rPr>
                <w:sz w:val="21"/>
              </w:rPr>
            </w:pPr>
            <w:r>
              <w:rPr>
                <w:spacing w:val="-12"/>
                <w:sz w:val="21"/>
              </w:rPr>
              <w:t>本保险条款、保险单或其他保险凭证、投保书、与保险合同有关的投保文件、</w:t>
            </w:r>
          </w:p>
        </w:tc>
      </w:tr>
      <w:tr>
        <w:trPr>
          <w:trHeight w:val="311" w:hRule="atLeast"/>
        </w:trPr>
        <w:tc>
          <w:tcPr>
            <w:tcW w:w="745" w:type="dxa"/>
          </w:tcPr>
          <w:p>
            <w:pPr>
              <w:pStyle w:val="TableParagraph"/>
              <w:rPr>
                <w:rFonts w:ascii="Times New Roman"/>
                <w:sz w:val="20"/>
              </w:rPr>
            </w:pPr>
          </w:p>
        </w:tc>
        <w:tc>
          <w:tcPr>
            <w:tcW w:w="2105" w:type="dxa"/>
          </w:tcPr>
          <w:p>
            <w:pPr>
              <w:pStyle w:val="TableParagraph"/>
              <w:rPr>
                <w:rFonts w:ascii="Times New Roman"/>
                <w:sz w:val="20"/>
              </w:rPr>
            </w:pPr>
          </w:p>
        </w:tc>
        <w:tc>
          <w:tcPr>
            <w:tcW w:w="7114" w:type="dxa"/>
          </w:tcPr>
          <w:p>
            <w:pPr>
              <w:pStyle w:val="TableParagraph"/>
              <w:spacing w:line="261" w:lineRule="exact"/>
              <w:ind w:left="97"/>
              <w:rPr>
                <w:sz w:val="21"/>
              </w:rPr>
            </w:pPr>
            <w:r>
              <w:rPr>
                <w:sz w:val="21"/>
              </w:rPr>
              <w:t>合法有效的声明、批注、批单、附加险合同、其他书面协议都是您与我们之</w:t>
            </w:r>
          </w:p>
        </w:tc>
      </w:tr>
      <w:tr>
        <w:trPr>
          <w:trHeight w:val="311" w:hRule="atLeast"/>
        </w:trPr>
        <w:tc>
          <w:tcPr>
            <w:tcW w:w="745" w:type="dxa"/>
          </w:tcPr>
          <w:p>
            <w:pPr>
              <w:pStyle w:val="TableParagraph"/>
              <w:rPr>
                <w:rFonts w:ascii="Times New Roman"/>
                <w:sz w:val="20"/>
              </w:rPr>
            </w:pPr>
          </w:p>
        </w:tc>
        <w:tc>
          <w:tcPr>
            <w:tcW w:w="2105" w:type="dxa"/>
          </w:tcPr>
          <w:p>
            <w:pPr>
              <w:pStyle w:val="TableParagraph"/>
              <w:rPr>
                <w:rFonts w:ascii="Times New Roman"/>
                <w:sz w:val="20"/>
              </w:rPr>
            </w:pPr>
          </w:p>
        </w:tc>
        <w:tc>
          <w:tcPr>
            <w:tcW w:w="7114" w:type="dxa"/>
          </w:tcPr>
          <w:p>
            <w:pPr>
              <w:pStyle w:val="TableParagraph"/>
              <w:spacing w:line="261" w:lineRule="exact"/>
              <w:ind w:left="97"/>
              <w:rPr>
                <w:sz w:val="21"/>
              </w:rPr>
            </w:pPr>
            <w:r>
              <w:rPr>
                <w:sz w:val="21"/>
              </w:rPr>
              <w:t>间订立的保险合同的构成部分。</w:t>
            </w:r>
          </w:p>
        </w:tc>
      </w:tr>
      <w:tr>
        <w:trPr>
          <w:trHeight w:val="425" w:hRule="atLeast"/>
        </w:trPr>
        <w:tc>
          <w:tcPr>
            <w:tcW w:w="745" w:type="dxa"/>
          </w:tcPr>
          <w:p>
            <w:pPr>
              <w:pStyle w:val="TableParagraph"/>
              <w:rPr>
                <w:rFonts w:ascii="Times New Roman"/>
                <w:sz w:val="20"/>
              </w:rPr>
            </w:pPr>
          </w:p>
        </w:tc>
        <w:tc>
          <w:tcPr>
            <w:tcW w:w="2105" w:type="dxa"/>
          </w:tcPr>
          <w:p>
            <w:pPr>
              <w:pStyle w:val="TableParagraph"/>
              <w:rPr>
                <w:rFonts w:ascii="Times New Roman"/>
                <w:sz w:val="20"/>
              </w:rPr>
            </w:pPr>
          </w:p>
        </w:tc>
        <w:tc>
          <w:tcPr>
            <w:tcW w:w="7114" w:type="dxa"/>
          </w:tcPr>
          <w:p>
            <w:pPr>
              <w:pStyle w:val="TableParagraph"/>
              <w:spacing w:line="261" w:lineRule="exact"/>
              <w:ind w:left="97"/>
              <w:rPr>
                <w:sz w:val="21"/>
              </w:rPr>
            </w:pPr>
            <w:r>
              <w:rPr>
                <w:sz w:val="21"/>
              </w:rPr>
              <w:t>“前海福瑞重大疾病保险合同”以下简称为“本主险合同”。</w:t>
            </w:r>
          </w:p>
        </w:tc>
      </w:tr>
      <w:tr>
        <w:trPr>
          <w:trHeight w:val="425" w:hRule="atLeast"/>
        </w:trPr>
        <w:tc>
          <w:tcPr>
            <w:tcW w:w="745" w:type="dxa"/>
          </w:tcPr>
          <w:p>
            <w:pPr>
              <w:pStyle w:val="TableParagraph"/>
              <w:spacing w:before="100"/>
              <w:ind w:left="107"/>
              <w:rPr>
                <w:b/>
                <w:sz w:val="21"/>
              </w:rPr>
            </w:pPr>
            <w:r>
              <w:rPr>
                <w:b/>
                <w:sz w:val="21"/>
              </w:rPr>
              <w:t>1.2</w:t>
            </w:r>
          </w:p>
        </w:tc>
        <w:tc>
          <w:tcPr>
            <w:tcW w:w="2105" w:type="dxa"/>
          </w:tcPr>
          <w:p>
            <w:pPr>
              <w:pStyle w:val="TableParagraph"/>
              <w:spacing w:before="100"/>
              <w:ind w:left="319"/>
              <w:rPr>
                <w:b/>
                <w:sz w:val="21"/>
              </w:rPr>
            </w:pPr>
            <w:r>
              <w:rPr>
                <w:b/>
                <w:w w:val="95"/>
                <w:sz w:val="21"/>
              </w:rPr>
              <w:t>合同成立与生效</w:t>
            </w:r>
          </w:p>
        </w:tc>
        <w:tc>
          <w:tcPr>
            <w:tcW w:w="7114" w:type="dxa"/>
          </w:tcPr>
          <w:p>
            <w:pPr>
              <w:pStyle w:val="TableParagraph"/>
              <w:spacing w:before="100"/>
              <w:ind w:left="97"/>
              <w:rPr>
                <w:sz w:val="21"/>
              </w:rPr>
            </w:pPr>
            <w:r>
              <w:rPr>
                <w:sz w:val="21"/>
              </w:rPr>
              <w:t>您提出保险申请、我们同意承保，本主险合同成立。</w:t>
            </w:r>
          </w:p>
        </w:tc>
      </w:tr>
      <w:tr>
        <w:trPr>
          <w:trHeight w:val="311" w:hRule="atLeast"/>
        </w:trPr>
        <w:tc>
          <w:tcPr>
            <w:tcW w:w="745" w:type="dxa"/>
          </w:tcPr>
          <w:p>
            <w:pPr>
              <w:pStyle w:val="TableParagraph"/>
              <w:rPr>
                <w:rFonts w:ascii="Times New Roman"/>
                <w:sz w:val="20"/>
              </w:rPr>
            </w:pPr>
          </w:p>
        </w:tc>
        <w:tc>
          <w:tcPr>
            <w:tcW w:w="2105" w:type="dxa"/>
          </w:tcPr>
          <w:p>
            <w:pPr>
              <w:pStyle w:val="TableParagraph"/>
              <w:rPr>
                <w:rFonts w:ascii="Times New Roman"/>
                <w:sz w:val="20"/>
              </w:rPr>
            </w:pPr>
          </w:p>
        </w:tc>
        <w:tc>
          <w:tcPr>
            <w:tcW w:w="7114" w:type="dxa"/>
          </w:tcPr>
          <w:p>
            <w:pPr>
              <w:pStyle w:val="TableParagraph"/>
              <w:spacing w:line="261" w:lineRule="exact"/>
              <w:ind w:left="97"/>
              <w:rPr>
                <w:sz w:val="21"/>
              </w:rPr>
            </w:pPr>
            <w:r>
              <w:rPr>
                <w:sz w:val="21"/>
              </w:rPr>
              <w:t>我们收取您支付的保险费后向您及时签发保险单，本主险合同的生效日以保</w:t>
            </w:r>
          </w:p>
        </w:tc>
      </w:tr>
      <w:tr>
        <w:trPr>
          <w:trHeight w:val="425" w:hRule="atLeast"/>
        </w:trPr>
        <w:tc>
          <w:tcPr>
            <w:tcW w:w="745" w:type="dxa"/>
          </w:tcPr>
          <w:p>
            <w:pPr>
              <w:pStyle w:val="TableParagraph"/>
              <w:rPr>
                <w:rFonts w:ascii="Times New Roman"/>
                <w:sz w:val="20"/>
              </w:rPr>
            </w:pPr>
          </w:p>
        </w:tc>
        <w:tc>
          <w:tcPr>
            <w:tcW w:w="2105" w:type="dxa"/>
          </w:tcPr>
          <w:p>
            <w:pPr>
              <w:pStyle w:val="TableParagraph"/>
              <w:rPr>
                <w:rFonts w:ascii="Times New Roman"/>
                <w:sz w:val="20"/>
              </w:rPr>
            </w:pPr>
          </w:p>
        </w:tc>
        <w:tc>
          <w:tcPr>
            <w:tcW w:w="7114" w:type="dxa"/>
          </w:tcPr>
          <w:p>
            <w:pPr>
              <w:pStyle w:val="TableParagraph"/>
              <w:spacing w:line="261" w:lineRule="exact"/>
              <w:ind w:left="97"/>
              <w:rPr>
                <w:sz w:val="21"/>
              </w:rPr>
            </w:pPr>
            <w:r>
              <w:rPr>
                <w:sz w:val="21"/>
              </w:rPr>
              <w:t>险单所载的日期为准。</w:t>
            </w:r>
          </w:p>
        </w:tc>
      </w:tr>
      <w:tr>
        <w:trPr>
          <w:trHeight w:val="1180" w:hRule="atLeast"/>
        </w:trPr>
        <w:tc>
          <w:tcPr>
            <w:tcW w:w="745" w:type="dxa"/>
          </w:tcPr>
          <w:p>
            <w:pPr>
              <w:pStyle w:val="TableParagraph"/>
              <w:spacing w:before="99"/>
              <w:ind w:left="107"/>
              <w:rPr>
                <w:b/>
                <w:sz w:val="21"/>
              </w:rPr>
            </w:pPr>
            <w:r>
              <w:rPr>
                <w:b/>
                <w:sz w:val="21"/>
              </w:rPr>
              <w:t>1.3</w:t>
            </w:r>
          </w:p>
        </w:tc>
        <w:tc>
          <w:tcPr>
            <w:tcW w:w="2105" w:type="dxa"/>
          </w:tcPr>
          <w:p>
            <w:pPr>
              <w:pStyle w:val="TableParagraph"/>
              <w:spacing w:before="99"/>
              <w:ind w:left="319"/>
              <w:rPr>
                <w:b/>
                <w:sz w:val="21"/>
              </w:rPr>
            </w:pPr>
            <w:r>
              <w:rPr>
                <w:b/>
                <w:sz w:val="21"/>
              </w:rPr>
              <w:t>投保年龄</w:t>
            </w:r>
          </w:p>
        </w:tc>
        <w:tc>
          <w:tcPr>
            <w:tcW w:w="7114" w:type="dxa"/>
          </w:tcPr>
          <w:p>
            <w:pPr>
              <w:pStyle w:val="TableParagraph"/>
              <w:spacing w:line="261" w:lineRule="auto" w:before="109"/>
              <w:ind w:left="97" w:right="107"/>
              <w:rPr>
                <w:sz w:val="21"/>
              </w:rPr>
            </w:pPr>
            <w:r>
              <w:rPr>
                <w:sz w:val="21"/>
              </w:rPr>
              <w:t>指投保时被保险人的年龄，投保年龄以</w:t>
            </w:r>
            <w:r>
              <w:rPr>
                <w:rFonts w:ascii="黑体" w:eastAsia="黑体" w:hint="eastAsia"/>
                <w:b/>
                <w:sz w:val="21"/>
              </w:rPr>
              <w:t>周岁</w:t>
            </w:r>
            <w:r>
              <w:rPr>
                <w:sz w:val="21"/>
              </w:rPr>
              <w:t>（</w:t>
            </w:r>
            <w:r>
              <w:rPr>
                <w:spacing w:val="-15"/>
                <w:sz w:val="21"/>
              </w:rPr>
              <w:t>见 </w:t>
            </w:r>
            <w:r>
              <w:rPr>
                <w:sz w:val="21"/>
              </w:rPr>
              <w:t>7.1）计算。本主险合同接</w:t>
            </w:r>
            <w:r>
              <w:rPr>
                <w:spacing w:val="-5"/>
                <w:sz w:val="21"/>
              </w:rPr>
              <w:t>受的投保年龄为 </w:t>
            </w:r>
            <w:r>
              <w:rPr>
                <w:sz w:val="21"/>
              </w:rPr>
              <w:t>0</w:t>
            </w:r>
            <w:r>
              <w:rPr>
                <w:spacing w:val="-17"/>
                <w:sz w:val="21"/>
              </w:rPr>
              <w:t> 周岁至 </w:t>
            </w:r>
            <w:r>
              <w:rPr>
                <w:sz w:val="21"/>
              </w:rPr>
              <w:t>50</w:t>
            </w:r>
            <w:r>
              <w:rPr>
                <w:spacing w:val="-10"/>
                <w:sz w:val="21"/>
              </w:rPr>
              <w:t> 周岁，投保时被保险人为 </w:t>
            </w:r>
            <w:r>
              <w:rPr>
                <w:sz w:val="21"/>
              </w:rPr>
              <w:t>0</w:t>
            </w:r>
            <w:r>
              <w:rPr>
                <w:spacing w:val="-7"/>
                <w:sz w:val="21"/>
              </w:rPr>
              <w:t> 周岁的，应当为出</w:t>
            </w:r>
          </w:p>
          <w:p>
            <w:pPr>
              <w:pStyle w:val="TableParagraph"/>
              <w:spacing w:before="6"/>
              <w:ind w:left="97"/>
              <w:rPr>
                <w:sz w:val="21"/>
              </w:rPr>
            </w:pPr>
            <w:r>
              <w:rPr>
                <w:sz w:val="21"/>
              </w:rPr>
              <w:t>生满 28 日且健康的婴儿。</w:t>
            </w:r>
          </w:p>
        </w:tc>
      </w:tr>
      <w:tr>
        <w:trPr>
          <w:trHeight w:val="457" w:hRule="atLeast"/>
        </w:trPr>
        <w:tc>
          <w:tcPr>
            <w:tcW w:w="745" w:type="dxa"/>
          </w:tcPr>
          <w:p>
            <w:pPr>
              <w:pStyle w:val="TableParagraph"/>
              <w:spacing w:before="131"/>
              <w:ind w:left="107"/>
              <w:rPr>
                <w:b/>
                <w:sz w:val="21"/>
              </w:rPr>
            </w:pPr>
            <w:r>
              <w:rPr>
                <w:b/>
                <w:sz w:val="21"/>
              </w:rPr>
              <w:t>1.4</w:t>
            </w:r>
          </w:p>
        </w:tc>
        <w:tc>
          <w:tcPr>
            <w:tcW w:w="2105" w:type="dxa"/>
          </w:tcPr>
          <w:p>
            <w:pPr>
              <w:pStyle w:val="TableParagraph"/>
              <w:spacing w:before="131"/>
              <w:ind w:left="318"/>
              <w:rPr>
                <w:b/>
                <w:sz w:val="21"/>
              </w:rPr>
            </w:pPr>
            <w:r>
              <w:rPr>
                <w:b/>
                <w:w w:val="95"/>
                <w:sz w:val="21"/>
              </w:rPr>
              <w:t>保险期间与续保</w:t>
            </w:r>
          </w:p>
        </w:tc>
        <w:tc>
          <w:tcPr>
            <w:tcW w:w="7114" w:type="dxa"/>
          </w:tcPr>
          <w:p>
            <w:pPr>
              <w:pStyle w:val="TableParagraph"/>
              <w:spacing w:before="131"/>
              <w:ind w:left="97"/>
              <w:rPr>
                <w:sz w:val="21"/>
              </w:rPr>
            </w:pPr>
            <w:r>
              <w:rPr>
                <w:sz w:val="21"/>
              </w:rPr>
              <w:t>除另有约定外，本主险合同的保险期间为 1 年。</w:t>
            </w:r>
          </w:p>
        </w:tc>
      </w:tr>
      <w:tr>
        <w:trPr>
          <w:trHeight w:val="311" w:hRule="atLeast"/>
        </w:trPr>
        <w:tc>
          <w:tcPr>
            <w:tcW w:w="745" w:type="dxa"/>
          </w:tcPr>
          <w:p>
            <w:pPr>
              <w:pStyle w:val="TableParagraph"/>
              <w:rPr>
                <w:rFonts w:ascii="Times New Roman"/>
                <w:sz w:val="20"/>
              </w:rPr>
            </w:pPr>
          </w:p>
        </w:tc>
        <w:tc>
          <w:tcPr>
            <w:tcW w:w="2105" w:type="dxa"/>
          </w:tcPr>
          <w:p>
            <w:pPr>
              <w:pStyle w:val="TableParagraph"/>
              <w:rPr>
                <w:rFonts w:ascii="Times New Roman"/>
                <w:sz w:val="20"/>
              </w:rPr>
            </w:pPr>
          </w:p>
        </w:tc>
        <w:tc>
          <w:tcPr>
            <w:tcW w:w="7114" w:type="dxa"/>
          </w:tcPr>
          <w:p>
            <w:pPr>
              <w:pStyle w:val="TableParagraph"/>
              <w:spacing w:line="261" w:lineRule="exact"/>
              <w:ind w:left="97"/>
              <w:rPr>
                <w:sz w:val="21"/>
              </w:rPr>
            </w:pPr>
            <w:r>
              <w:rPr>
                <w:sz w:val="21"/>
              </w:rPr>
              <w:t>本主险合同保险期间届满时您可向本公司申请续保本保险，本公司审核同意</w:t>
            </w:r>
          </w:p>
        </w:tc>
      </w:tr>
      <w:tr>
        <w:trPr>
          <w:trHeight w:val="588" w:hRule="atLeast"/>
        </w:trPr>
        <w:tc>
          <w:tcPr>
            <w:tcW w:w="745" w:type="dxa"/>
          </w:tcPr>
          <w:p>
            <w:pPr>
              <w:pStyle w:val="TableParagraph"/>
              <w:rPr>
                <w:rFonts w:ascii="Times New Roman"/>
                <w:sz w:val="20"/>
              </w:rPr>
            </w:pPr>
          </w:p>
        </w:tc>
        <w:tc>
          <w:tcPr>
            <w:tcW w:w="2105" w:type="dxa"/>
          </w:tcPr>
          <w:p>
            <w:pPr>
              <w:pStyle w:val="TableParagraph"/>
              <w:rPr>
                <w:rFonts w:ascii="Times New Roman"/>
                <w:sz w:val="20"/>
              </w:rPr>
            </w:pPr>
          </w:p>
        </w:tc>
        <w:tc>
          <w:tcPr>
            <w:tcW w:w="7114" w:type="dxa"/>
          </w:tcPr>
          <w:p>
            <w:pPr>
              <w:pStyle w:val="TableParagraph"/>
              <w:spacing w:line="261" w:lineRule="exact"/>
              <w:ind w:left="97"/>
              <w:rPr>
                <w:sz w:val="21"/>
              </w:rPr>
            </w:pPr>
            <w:r>
              <w:rPr>
                <w:sz w:val="21"/>
              </w:rPr>
              <w:t>后为您办理续保手续，并按续保当时被保险人的风险性质重新厘定费率并收</w:t>
            </w:r>
          </w:p>
          <w:p>
            <w:pPr>
              <w:pStyle w:val="TableParagraph"/>
              <w:spacing w:line="294" w:lineRule="exact" w:before="13"/>
              <w:ind w:left="97"/>
              <w:rPr>
                <w:sz w:val="24"/>
              </w:rPr>
            </w:pPr>
            <w:r>
              <w:rPr>
                <w:sz w:val="21"/>
              </w:rPr>
              <w:t>取相应保险费</w:t>
            </w:r>
            <w:r>
              <w:rPr>
                <w:sz w:val="24"/>
              </w:rPr>
              <w:t>。</w:t>
            </w:r>
          </w:p>
        </w:tc>
      </w:tr>
    </w:tbl>
    <w:p>
      <w:pPr>
        <w:pStyle w:val="BodyText"/>
        <w:rPr>
          <w:sz w:val="20"/>
        </w:rPr>
      </w:pPr>
    </w:p>
    <w:p>
      <w:pPr>
        <w:pStyle w:val="BodyText"/>
        <w:spacing w:before="4"/>
        <w:rPr>
          <w:sz w:val="18"/>
        </w:rPr>
      </w:pPr>
    </w:p>
    <w:p>
      <w:pPr>
        <w:pStyle w:val="Heading2"/>
        <w:numPr>
          <w:ilvl w:val="0"/>
          <w:numId w:val="2"/>
        </w:numPr>
        <w:tabs>
          <w:tab w:pos="1176" w:val="left" w:leader="none"/>
          <w:tab w:pos="1177" w:val="left" w:leader="none"/>
        </w:tabs>
        <w:spacing w:line="503" w:lineRule="exact" w:before="0" w:after="0"/>
        <w:ind w:left="1176" w:right="0" w:hanging="956"/>
        <w:jc w:val="left"/>
        <w:rPr>
          <w:rFonts w:ascii="宋体" w:eastAsia="宋体" w:hint="eastAsia"/>
          <w:sz w:val="40"/>
        </w:rPr>
      </w:pPr>
      <w:r>
        <w:rPr/>
        <w:pict>
          <v:group style="position:absolute;margin-left:48.599998pt;margin-top:30.669519pt;width:498.15pt;height:1pt;mso-position-horizontal-relative:page;mso-position-vertical-relative:paragraph;z-index:1096;mso-wrap-distance-left:0;mso-wrap-distance-right:0" coordorigin="972,613" coordsize="9963,20">
            <v:line style="position:absolute" from="972,623" to="3830,623" stroked="true" strokeweight=".95999pt" strokecolor="#000000">
              <v:stroke dashstyle="solid"/>
            </v:line>
            <v:line style="position:absolute" from="3830,623" to="10934,623" stroked="true" strokeweight=".96pt" strokecolor="#000000">
              <v:stroke dashstyle="solid"/>
            </v:line>
            <w10:wrap type="topAndBottom"/>
          </v:group>
        </w:pict>
      </w:r>
      <w:r>
        <w:rPr>
          <w:rFonts w:ascii="宋体" w:eastAsia="宋体" w:hint="eastAsia"/>
        </w:rPr>
        <w:t>我们提供的保障</w:t>
      </w:r>
    </w:p>
    <w:p>
      <w:pPr>
        <w:pStyle w:val="BodyText"/>
        <w:spacing w:before="10"/>
        <w:rPr>
          <w:b/>
          <w:sz w:val="9"/>
        </w:rPr>
      </w:pPr>
    </w:p>
    <w:p>
      <w:pPr>
        <w:pStyle w:val="ListParagraph"/>
        <w:numPr>
          <w:ilvl w:val="1"/>
          <w:numId w:val="2"/>
        </w:numPr>
        <w:tabs>
          <w:tab w:pos="1177" w:val="left" w:leader="none"/>
        </w:tabs>
        <w:spacing w:line="273" w:lineRule="auto" w:before="35" w:after="0"/>
        <w:ind w:left="3059" w:right="211" w:hanging="2839"/>
        <w:jc w:val="both"/>
        <w:rPr>
          <w:sz w:val="21"/>
        </w:rPr>
      </w:pPr>
      <w:r>
        <w:rPr>
          <w:b/>
          <w:sz w:val="21"/>
        </w:rPr>
        <w:t>保险金额         </w:t>
      </w:r>
      <w:r>
        <w:rPr>
          <w:spacing w:val="5"/>
          <w:sz w:val="21"/>
        </w:rPr>
        <w:t>本主险合同的基本保险金额由您在投保时与我们约定并在保险单或其他保</w:t>
      </w:r>
      <w:r>
        <w:rPr>
          <w:spacing w:val="-3"/>
          <w:sz w:val="21"/>
        </w:rPr>
        <w:t>险凭证上载明。若上述基本保险金额发生变更，则以变更后的金额为基本保险金额。</w:t>
      </w:r>
    </w:p>
    <w:p>
      <w:pPr>
        <w:pStyle w:val="BodyText"/>
        <w:spacing w:before="11"/>
        <w:rPr>
          <w:sz w:val="17"/>
        </w:rPr>
      </w:pPr>
    </w:p>
    <w:p>
      <w:pPr>
        <w:pStyle w:val="ListParagraph"/>
        <w:numPr>
          <w:ilvl w:val="1"/>
          <w:numId w:val="2"/>
        </w:numPr>
        <w:tabs>
          <w:tab w:pos="1176" w:val="left" w:leader="none"/>
          <w:tab w:pos="1177" w:val="left" w:leader="none"/>
          <w:tab w:pos="3059" w:val="left" w:leader="none"/>
        </w:tabs>
        <w:spacing w:line="240" w:lineRule="auto" w:before="0" w:after="0"/>
        <w:ind w:left="3059" w:right="0" w:hanging="2839"/>
        <w:jc w:val="left"/>
        <w:rPr>
          <w:sz w:val="21"/>
        </w:rPr>
      </w:pPr>
      <w:r>
        <w:rPr>
          <w:b/>
          <w:sz w:val="21"/>
        </w:rPr>
        <w:t>保险责任</w:t>
        <w:tab/>
      </w:r>
      <w:r>
        <w:rPr>
          <w:sz w:val="21"/>
        </w:rPr>
        <w:t>在本主险合同有效期内，我们承担如下保险责任：</w:t>
      </w:r>
    </w:p>
    <w:p>
      <w:pPr>
        <w:pStyle w:val="BodyText"/>
        <w:tabs>
          <w:tab w:pos="3059" w:val="left" w:leader="none"/>
        </w:tabs>
        <w:spacing w:line="264" w:lineRule="auto" w:before="143"/>
        <w:ind w:left="3059" w:right="216" w:hanging="1883"/>
        <w:jc w:val="both"/>
      </w:pPr>
      <w:r>
        <w:rPr>
          <w:rFonts w:ascii="Microsoft JhengHei" w:hAnsi="Microsoft JhengHei" w:eastAsia="Microsoft JhengHei" w:hint="eastAsia"/>
          <w:b/>
          <w:position w:val="1"/>
          <w:sz w:val="24"/>
        </w:rPr>
        <w:t>等待期</w:t>
        <w:tab/>
      </w:r>
      <w:r>
        <w:rPr>
          <w:shd w:fill="D9D9D9" w:color="auto" w:val="clear"/>
        </w:rPr>
        <w:t>您为被保险人首次投保或非</w:t>
      </w:r>
      <w:r>
        <w:rPr>
          <w:rFonts w:ascii="黑体" w:hAnsi="黑体" w:eastAsia="黑体" w:hint="eastAsia"/>
          <w:b/>
          <w:shd w:fill="D9D9D9" w:color="auto" w:val="clear"/>
        </w:rPr>
        <w:t>连续投保</w:t>
      </w:r>
      <w:r>
        <w:rPr>
          <w:shd w:fill="D9D9D9" w:color="auto" w:val="clear"/>
        </w:rPr>
        <w:t>（见</w:t>
      </w:r>
      <w:r>
        <w:rPr>
          <w:spacing w:val="-44"/>
          <w:shd w:fill="D9D9D9" w:color="auto" w:val="clear"/>
        </w:rPr>
        <w:t> </w:t>
      </w:r>
      <w:r>
        <w:rPr>
          <w:shd w:fill="D9D9D9" w:color="auto" w:val="clear"/>
        </w:rPr>
        <w:t>7.2）本保险时，从本主险合同生效之日起</w:t>
      </w:r>
      <w:r>
        <w:rPr>
          <w:spacing w:val="-58"/>
          <w:shd w:fill="D9D9D9" w:color="auto" w:val="clear"/>
        </w:rPr>
        <w:t> </w:t>
      </w:r>
      <w:r>
        <w:rPr>
          <w:spacing w:val="-101"/>
          <w:shd w:fill="D9D9D9" w:color="auto" w:val="clear"/>
        </w:rPr>
        <w:t>90</w:t>
      </w:r>
      <w:r>
        <w:rPr>
          <w:spacing w:val="-98"/>
          <w:shd w:fill="D9D9D9" w:color="auto" w:val="clear"/>
        </w:rPr>
        <w:t> </w:t>
      </w:r>
      <w:r>
        <w:rPr>
          <w:shd w:fill="D9D9D9" w:color="auto" w:val="clear"/>
        </w:rPr>
        <w:t>日内为等待期</w:t>
      </w:r>
      <w:r>
        <w:rPr>
          <w:spacing w:val="-27"/>
          <w:shd w:fill="D9D9D9" w:color="auto" w:val="clear"/>
        </w:rPr>
        <w:t>，</w:t>
      </w:r>
      <w:r>
        <w:rPr>
          <w:shd w:fill="D9D9D9" w:color="auto" w:val="clear"/>
        </w:rPr>
        <w:t>等待期内被保险人非因</w:t>
      </w:r>
      <w:r>
        <w:rPr>
          <w:rFonts w:ascii="黑体" w:hAnsi="黑体" w:eastAsia="黑体" w:hint="eastAsia"/>
          <w:b/>
          <w:shd w:fill="D9D9D9" w:color="auto" w:val="clear"/>
        </w:rPr>
        <w:t>意外伤</w:t>
      </w:r>
      <w:r>
        <w:rPr>
          <w:rFonts w:ascii="黑体" w:hAnsi="黑体" w:eastAsia="黑体" w:hint="eastAsia"/>
          <w:b/>
          <w:spacing w:val="-25"/>
          <w:shd w:fill="D9D9D9" w:color="auto" w:val="clear"/>
        </w:rPr>
        <w:t>害</w:t>
      </w:r>
      <w:r>
        <w:rPr>
          <w:shd w:fill="D9D9D9" w:color="auto" w:val="clear"/>
        </w:rPr>
        <w:t>（见</w:t>
      </w:r>
      <w:r>
        <w:rPr>
          <w:spacing w:val="-59"/>
          <w:shd w:fill="D9D9D9" w:color="auto" w:val="clear"/>
        </w:rPr>
        <w:t> </w:t>
      </w:r>
      <w:r>
        <w:rPr>
          <w:spacing w:val="-8"/>
          <w:shd w:fill="D9D9D9" w:color="auto" w:val="clear"/>
        </w:rPr>
        <w:t>7.3）</w:t>
      </w:r>
      <w:r>
        <w:rPr>
          <w:shd w:fill="D9D9D9" w:color="auto" w:val="clear"/>
        </w:rPr>
        <w:t>导致发生本主险合同约定的“</w:t>
      </w:r>
      <w:r>
        <w:rPr>
          <w:rFonts w:ascii="黑体" w:hAnsi="黑体" w:eastAsia="黑体" w:hint="eastAsia"/>
          <w:b/>
          <w:shd w:fill="D9D9D9" w:color="auto" w:val="clear"/>
        </w:rPr>
        <w:t>重大疾病</w:t>
      </w:r>
      <w:r>
        <w:rPr>
          <w:shd w:fill="D9D9D9" w:color="auto" w:val="clear"/>
        </w:rPr>
        <w:t>”（见</w:t>
      </w:r>
      <w:r>
        <w:rPr>
          <w:spacing w:val="-40"/>
          <w:shd w:fill="D9D9D9" w:color="auto" w:val="clear"/>
        </w:rPr>
        <w:t> </w:t>
      </w:r>
      <w:r>
        <w:rPr>
          <w:shd w:fill="D9D9D9" w:color="auto" w:val="clear"/>
        </w:rPr>
        <w:t>7.4）的，我们按所交保险费给付重大疾病保险金</w:t>
      </w:r>
      <w:r>
        <w:rPr>
          <w:spacing w:val="-12"/>
          <w:shd w:fill="D9D9D9" w:color="auto" w:val="clear"/>
        </w:rPr>
        <w:t>，</w:t>
      </w:r>
      <w:r>
        <w:rPr>
          <w:shd w:fill="D9D9D9" w:color="auto" w:val="clear"/>
        </w:rPr>
        <w:t>本主险合同终止</w:t>
      </w:r>
      <w:r>
        <w:rPr>
          <w:spacing w:val="-12"/>
          <w:shd w:fill="D9D9D9" w:color="auto" w:val="clear"/>
        </w:rPr>
        <w:t>。</w:t>
      </w:r>
      <w:r>
        <w:rPr/>
        <w:t>您为被保险人连续投保本保险或被保险人因意外伤害导致发生本主险合同约定的“重大疾病”的，无等待期。</w:t>
      </w:r>
    </w:p>
    <w:p>
      <w:pPr>
        <w:pStyle w:val="BodyText"/>
        <w:rPr>
          <w:sz w:val="25"/>
        </w:rPr>
      </w:pPr>
    </w:p>
    <w:p>
      <w:pPr>
        <w:pStyle w:val="BodyText"/>
        <w:spacing w:before="1"/>
        <w:ind w:left="3059"/>
      </w:pPr>
      <w:r>
        <w:rPr/>
        <w:t>除等待期期间依前款约定外，我们按照下列方式承担保险责任：</w:t>
      </w:r>
    </w:p>
    <w:p>
      <w:pPr>
        <w:spacing w:after="0"/>
        <w:sectPr>
          <w:headerReference w:type="default" r:id="rId9"/>
          <w:pgSz w:w="11910" w:h="16840"/>
          <w:pgMar w:header="594" w:footer="666" w:top="820" w:bottom="860" w:left="860" w:right="860"/>
        </w:sectPr>
      </w:pPr>
    </w:p>
    <w:p>
      <w:pPr>
        <w:pStyle w:val="BodyText"/>
        <w:rPr>
          <w:sz w:val="20"/>
        </w:rPr>
      </w:pPr>
    </w:p>
    <w:p>
      <w:pPr>
        <w:pStyle w:val="BodyText"/>
      </w:pPr>
    </w:p>
    <w:p>
      <w:pPr>
        <w:spacing w:after="0"/>
        <w:sectPr>
          <w:pgSz w:w="11910" w:h="16840"/>
          <w:pgMar w:header="594" w:footer="666" w:top="820" w:bottom="860" w:left="860" w:right="820"/>
        </w:sectPr>
      </w:pPr>
    </w:p>
    <w:p>
      <w:pPr>
        <w:pStyle w:val="Heading2"/>
        <w:spacing w:line="182" w:lineRule="auto" w:before="36"/>
        <w:ind w:left="1176"/>
      </w:pPr>
      <w:r>
        <w:rPr/>
        <w:t>重大疾病保险金</w:t>
      </w:r>
    </w:p>
    <w:p>
      <w:pPr>
        <w:pStyle w:val="BodyText"/>
        <w:spacing w:line="273" w:lineRule="auto" w:before="53"/>
        <w:ind w:left="130" w:right="232"/>
      </w:pPr>
      <w:r>
        <w:rPr/>
        <w:br w:type="column"/>
      </w:r>
      <w:r>
        <w:rPr/>
        <w:t>被保险人经</w:t>
      </w:r>
      <w:r>
        <w:rPr>
          <w:rFonts w:ascii="黑体" w:hAnsi="黑体" w:eastAsia="黑体" w:hint="eastAsia"/>
          <w:b/>
        </w:rPr>
        <w:t>医院</w:t>
      </w:r>
      <w:r>
        <w:rPr/>
        <w:t>（见7.10）确诊初次发生本主险合同约定的“重大疾病”， 我们按基本保险金额给付“重大疾病保险金”，本主险合同终止。</w:t>
      </w:r>
    </w:p>
    <w:p>
      <w:pPr>
        <w:spacing w:after="0" w:line="273" w:lineRule="auto"/>
        <w:sectPr>
          <w:type w:val="continuous"/>
          <w:pgSz w:w="11910" w:h="16840"/>
          <w:pgMar w:top="820" w:bottom="860" w:left="860" w:right="820"/>
          <w:cols w:num="2" w:equalWidth="0">
            <w:col w:w="2889" w:space="40"/>
            <w:col w:w="7301"/>
          </w:cols>
        </w:sectPr>
      </w:pPr>
    </w:p>
    <w:p>
      <w:pPr>
        <w:pStyle w:val="BodyText"/>
        <w:spacing w:before="11"/>
        <w:rPr>
          <w:sz w:val="15"/>
        </w:rPr>
      </w:pPr>
    </w:p>
    <w:p>
      <w:pPr>
        <w:pStyle w:val="ListParagraph"/>
        <w:numPr>
          <w:ilvl w:val="1"/>
          <w:numId w:val="2"/>
        </w:numPr>
        <w:tabs>
          <w:tab w:pos="1176" w:val="left" w:leader="none"/>
          <w:tab w:pos="1177" w:val="left" w:leader="none"/>
          <w:tab w:pos="3059" w:val="left" w:leader="none"/>
        </w:tabs>
        <w:spacing w:line="273" w:lineRule="auto" w:before="35" w:after="0"/>
        <w:ind w:left="3059" w:right="257" w:hanging="2839"/>
        <w:jc w:val="left"/>
        <w:rPr>
          <w:sz w:val="21"/>
        </w:rPr>
      </w:pPr>
      <w:r>
        <w:rPr>
          <w:b/>
          <w:sz w:val="21"/>
        </w:rPr>
        <w:t>责任免除</w:t>
        <w:tab/>
      </w:r>
      <w:r>
        <w:rPr>
          <w:sz w:val="21"/>
        </w:rPr>
        <w:t>因下列情形之一</w:t>
      </w:r>
      <w:r>
        <w:rPr>
          <w:spacing w:val="-7"/>
          <w:sz w:val="21"/>
        </w:rPr>
        <w:t>，</w:t>
      </w:r>
      <w:r>
        <w:rPr>
          <w:sz w:val="21"/>
        </w:rPr>
        <w:t>导致被保险人发生本主险合同约定</w:t>
      </w:r>
      <w:r>
        <w:rPr>
          <w:spacing w:val="-7"/>
          <w:sz w:val="21"/>
        </w:rPr>
        <w:t>的</w:t>
      </w:r>
      <w:r>
        <w:rPr>
          <w:sz w:val="21"/>
        </w:rPr>
        <w:t>“重大疾病</w:t>
      </w:r>
      <w:r>
        <w:rPr>
          <w:spacing w:val="-7"/>
          <w:sz w:val="21"/>
        </w:rPr>
        <w:t>”</w:t>
      </w:r>
      <w:r>
        <w:rPr>
          <w:sz w:val="21"/>
        </w:rPr>
        <w:t>的</w:t>
      </w:r>
      <w:r>
        <w:rPr>
          <w:spacing w:val="-7"/>
          <w:sz w:val="21"/>
        </w:rPr>
        <w:t>，</w:t>
      </w:r>
      <w:r>
        <w:rPr>
          <w:sz w:val="21"/>
        </w:rPr>
        <w:t>我们不承担给付保险金的责任：</w:t>
      </w:r>
    </w:p>
    <w:p>
      <w:pPr>
        <w:pStyle w:val="BodyText"/>
        <w:spacing w:before="7"/>
        <w:ind w:left="3059"/>
      </w:pPr>
      <w:r>
        <w:rPr>
          <w:shd w:fill="D9D9D9" w:color="auto" w:val="clear"/>
        </w:rPr>
        <w:t>（1）投保人对被保险人的故意杀害、故意伤害；</w:t>
      </w:r>
    </w:p>
    <w:p>
      <w:pPr>
        <w:pStyle w:val="BodyText"/>
        <w:spacing w:before="37"/>
        <w:ind w:left="3059"/>
      </w:pPr>
      <w:r>
        <w:rPr>
          <w:shd w:fill="D9D9D9" w:color="auto" w:val="clear"/>
        </w:rPr>
        <w:t>（2）被保险人故意自伤、故意犯罪或者抗拒依法采取的刑事强制措施；</w:t>
      </w:r>
    </w:p>
    <w:p>
      <w:pPr>
        <w:pStyle w:val="BodyText"/>
        <w:spacing w:before="37"/>
        <w:ind w:left="3059"/>
      </w:pPr>
      <w:r>
        <w:rPr>
          <w:shd w:fill="D9D9D9" w:color="auto" w:val="clear"/>
        </w:rPr>
        <w:t>（3）</w:t>
      </w:r>
      <w:r>
        <w:rPr>
          <w:spacing w:val="-1"/>
          <w:shd w:fill="D9D9D9" w:color="auto" w:val="clear"/>
        </w:rPr>
        <w:t>被保险人主动吸食或注射</w:t>
      </w:r>
      <w:r>
        <w:rPr>
          <w:rFonts w:ascii="黑体" w:eastAsia="黑体" w:hint="eastAsia"/>
          <w:b/>
          <w:w w:val="99"/>
          <w:shd w:fill="D9D9D9" w:color="auto" w:val="clear"/>
        </w:rPr>
        <w:t>毒品</w:t>
      </w:r>
      <w:r>
        <w:rPr>
          <w:spacing w:val="-1"/>
          <w:shd w:fill="D9D9D9" w:color="auto" w:val="clear"/>
        </w:rPr>
        <w:t>（见</w:t>
      </w:r>
      <w:r>
        <w:rPr>
          <w:shd w:fill="D9D9D9" w:color="auto" w:val="clear"/>
        </w:rPr>
        <w:t>7</w:t>
      </w:r>
      <w:r>
        <w:rPr>
          <w:spacing w:val="-1"/>
          <w:shd w:fill="D9D9D9" w:color="auto" w:val="clear"/>
        </w:rPr>
        <w:t>.</w:t>
      </w:r>
      <w:r>
        <w:rPr>
          <w:shd w:fill="D9D9D9" w:color="auto" w:val="clear"/>
        </w:rPr>
        <w:t>1</w:t>
      </w:r>
      <w:r>
        <w:rPr>
          <w:spacing w:val="-1"/>
          <w:shd w:fill="D9D9D9" w:color="auto" w:val="clear"/>
        </w:rPr>
        <w:t>1</w:t>
      </w:r>
      <w:r>
        <w:rPr>
          <w:spacing w:val="-105"/>
          <w:shd w:fill="D9D9D9" w:color="auto" w:val="clear"/>
        </w:rPr>
        <w:t>）</w:t>
      </w:r>
      <w:r>
        <w:rPr>
          <w:shd w:fill="D9D9D9" w:color="auto" w:val="clear"/>
        </w:rPr>
        <w:t>；</w:t>
      </w:r>
    </w:p>
    <w:p>
      <w:pPr>
        <w:spacing w:line="273" w:lineRule="auto" w:before="37"/>
        <w:ind w:left="3584" w:right="254" w:hanging="526"/>
        <w:jc w:val="left"/>
        <w:rPr>
          <w:sz w:val="21"/>
        </w:rPr>
      </w:pPr>
      <w:r>
        <w:rPr>
          <w:spacing w:val="1"/>
          <w:sz w:val="21"/>
          <w:shd w:fill="D9D9D9" w:color="auto" w:val="clear"/>
        </w:rPr>
        <w:t>（4）</w:t>
      </w:r>
      <w:r>
        <w:rPr>
          <w:spacing w:val="0"/>
          <w:sz w:val="21"/>
          <w:shd w:fill="D9D9D9" w:color="auto" w:val="clear"/>
        </w:rPr>
        <w:t>被保险人</w:t>
      </w:r>
      <w:r>
        <w:rPr>
          <w:rFonts w:ascii="黑体" w:eastAsia="黑体" w:hint="eastAsia"/>
          <w:b/>
          <w:spacing w:val="1"/>
          <w:w w:val="99"/>
          <w:sz w:val="21"/>
          <w:shd w:fill="D9D9D9" w:color="auto" w:val="clear"/>
        </w:rPr>
        <w:t>酒后驾驶</w:t>
      </w:r>
      <w:r>
        <w:rPr>
          <w:spacing w:val="1"/>
          <w:sz w:val="21"/>
          <w:shd w:fill="D9D9D9" w:color="auto" w:val="clear"/>
        </w:rPr>
        <w:t>（见</w:t>
      </w:r>
      <w:r>
        <w:rPr>
          <w:sz w:val="21"/>
          <w:shd w:fill="D9D9D9" w:color="auto" w:val="clear"/>
        </w:rPr>
        <w:t>7</w:t>
      </w:r>
      <w:r>
        <w:rPr>
          <w:spacing w:val="-1"/>
          <w:sz w:val="21"/>
          <w:shd w:fill="D9D9D9" w:color="auto" w:val="clear"/>
        </w:rPr>
        <w:t>.</w:t>
      </w:r>
      <w:r>
        <w:rPr>
          <w:sz w:val="21"/>
          <w:shd w:fill="D9D9D9" w:color="auto" w:val="clear"/>
        </w:rPr>
        <w:t>1</w:t>
      </w:r>
      <w:r>
        <w:rPr>
          <w:spacing w:val="1"/>
          <w:sz w:val="21"/>
          <w:shd w:fill="D9D9D9" w:color="auto" w:val="clear"/>
        </w:rPr>
        <w:t>2</w:t>
      </w:r>
      <w:r>
        <w:rPr>
          <w:spacing w:val="-104"/>
          <w:sz w:val="21"/>
          <w:shd w:fill="D9D9D9" w:color="auto" w:val="clear"/>
        </w:rPr>
        <w:t>）</w:t>
      </w:r>
      <w:r>
        <w:rPr>
          <w:spacing w:val="0"/>
          <w:sz w:val="21"/>
          <w:shd w:fill="D9D9D9" w:color="auto" w:val="clear"/>
        </w:rPr>
        <w:t>、</w:t>
      </w:r>
      <w:r>
        <w:rPr>
          <w:rFonts w:ascii="黑体" w:eastAsia="黑体" w:hint="eastAsia"/>
          <w:b/>
          <w:w w:val="99"/>
          <w:sz w:val="21"/>
          <w:shd w:fill="D9D9D9" w:color="auto" w:val="clear"/>
        </w:rPr>
        <w:t>无合法有效驾驶证驾驶</w:t>
      </w:r>
      <w:r>
        <w:rPr>
          <w:spacing w:val="1"/>
          <w:sz w:val="21"/>
          <w:shd w:fill="D9D9D9" w:color="auto" w:val="clear"/>
        </w:rPr>
        <w:t>（见</w:t>
      </w:r>
      <w:r>
        <w:rPr>
          <w:sz w:val="21"/>
          <w:shd w:fill="D9D9D9" w:color="auto" w:val="clear"/>
        </w:rPr>
        <w:t>7</w:t>
      </w:r>
      <w:r>
        <w:rPr>
          <w:spacing w:val="-1"/>
          <w:sz w:val="21"/>
          <w:shd w:fill="D9D9D9" w:color="auto" w:val="clear"/>
        </w:rPr>
        <w:t>.</w:t>
      </w:r>
      <w:r>
        <w:rPr>
          <w:sz w:val="21"/>
          <w:shd w:fill="D9D9D9" w:color="auto" w:val="clear"/>
        </w:rPr>
        <w:t>1</w:t>
      </w:r>
      <w:r>
        <w:rPr>
          <w:spacing w:val="1"/>
          <w:sz w:val="21"/>
          <w:shd w:fill="D9D9D9" w:color="auto" w:val="clear"/>
        </w:rPr>
        <w:t>3</w:t>
      </w:r>
      <w:r>
        <w:rPr>
          <w:spacing w:val="-104"/>
          <w:sz w:val="21"/>
          <w:shd w:fill="D9D9D9" w:color="auto" w:val="clear"/>
        </w:rPr>
        <w:t>）</w:t>
      </w:r>
      <w:r>
        <w:rPr>
          <w:spacing w:val="0"/>
          <w:sz w:val="21"/>
          <w:shd w:fill="D9D9D9" w:color="auto" w:val="clear"/>
        </w:rPr>
        <w:t>，或</w:t>
      </w:r>
      <w:r>
        <w:rPr>
          <w:sz w:val="21"/>
          <w:shd w:fill="D9D9D9" w:color="auto" w:val="clear"/>
        </w:rPr>
        <w:t>驾驶</w:t>
      </w:r>
      <w:r>
        <w:rPr>
          <w:rFonts w:ascii="黑体" w:eastAsia="黑体" w:hint="eastAsia"/>
          <w:b/>
          <w:w w:val="99"/>
          <w:sz w:val="21"/>
          <w:shd w:fill="D9D9D9" w:color="auto" w:val="clear"/>
        </w:rPr>
        <w:t>无有效行驶证</w:t>
      </w:r>
      <w:r>
        <w:rPr>
          <w:sz w:val="21"/>
          <w:shd w:fill="D9D9D9" w:color="auto" w:val="clear"/>
        </w:rPr>
        <w:t>（见</w:t>
      </w:r>
      <w:r>
        <w:rPr>
          <w:spacing w:val="-1"/>
          <w:sz w:val="21"/>
          <w:shd w:fill="D9D9D9" w:color="auto" w:val="clear"/>
        </w:rPr>
        <w:t>7</w:t>
      </w:r>
      <w:r>
        <w:rPr>
          <w:sz w:val="21"/>
          <w:shd w:fill="D9D9D9" w:color="auto" w:val="clear"/>
        </w:rPr>
        <w:t>.</w:t>
      </w:r>
      <w:r>
        <w:rPr>
          <w:spacing w:val="-1"/>
          <w:sz w:val="21"/>
          <w:shd w:fill="D9D9D9" w:color="auto" w:val="clear"/>
        </w:rPr>
        <w:t>1</w:t>
      </w:r>
      <w:r>
        <w:rPr>
          <w:sz w:val="21"/>
          <w:shd w:fill="D9D9D9" w:color="auto" w:val="clear"/>
        </w:rPr>
        <w:t>4）</w:t>
      </w:r>
      <w:r>
        <w:rPr>
          <w:spacing w:val="-2"/>
          <w:sz w:val="21"/>
          <w:shd w:fill="D9D9D9" w:color="auto" w:val="clear"/>
        </w:rPr>
        <w:t>的</w:t>
      </w:r>
      <w:r>
        <w:rPr>
          <w:rFonts w:ascii="黑体" w:eastAsia="黑体" w:hint="eastAsia"/>
          <w:b/>
          <w:spacing w:val="0"/>
          <w:w w:val="99"/>
          <w:sz w:val="21"/>
          <w:shd w:fill="D9D9D9" w:color="auto" w:val="clear"/>
        </w:rPr>
        <w:t>机动车</w:t>
      </w:r>
      <w:r>
        <w:rPr>
          <w:sz w:val="21"/>
          <w:shd w:fill="D9D9D9" w:color="auto" w:val="clear"/>
        </w:rPr>
        <w:t>（</w:t>
      </w:r>
      <w:r>
        <w:rPr>
          <w:spacing w:val="-2"/>
          <w:sz w:val="21"/>
          <w:shd w:fill="D9D9D9" w:color="auto" w:val="clear"/>
        </w:rPr>
        <w:t>见</w:t>
      </w:r>
      <w:r>
        <w:rPr>
          <w:sz w:val="21"/>
          <w:shd w:fill="D9D9D9" w:color="auto" w:val="clear"/>
        </w:rPr>
        <w:t>7</w:t>
      </w:r>
      <w:r>
        <w:rPr>
          <w:spacing w:val="-1"/>
          <w:sz w:val="21"/>
          <w:shd w:fill="D9D9D9" w:color="auto" w:val="clear"/>
        </w:rPr>
        <w:t>.</w:t>
      </w:r>
      <w:r>
        <w:rPr>
          <w:sz w:val="21"/>
          <w:shd w:fill="D9D9D9" w:color="auto" w:val="clear"/>
        </w:rPr>
        <w:t>1</w:t>
      </w:r>
      <w:r>
        <w:rPr>
          <w:spacing w:val="-1"/>
          <w:sz w:val="21"/>
          <w:shd w:fill="D9D9D9" w:color="auto" w:val="clear"/>
        </w:rPr>
        <w:t>5</w:t>
      </w:r>
      <w:r>
        <w:rPr>
          <w:spacing w:val="-106"/>
          <w:sz w:val="21"/>
          <w:shd w:fill="D9D9D9" w:color="auto" w:val="clear"/>
        </w:rPr>
        <w:t>）</w:t>
      </w:r>
      <w:r>
        <w:rPr>
          <w:sz w:val="21"/>
          <w:shd w:fill="D9D9D9" w:color="auto" w:val="clear"/>
        </w:rPr>
        <w:t>；</w:t>
      </w:r>
    </w:p>
    <w:p>
      <w:pPr>
        <w:spacing w:before="7"/>
        <w:ind w:left="3059" w:right="0" w:firstLine="0"/>
        <w:jc w:val="left"/>
        <w:rPr>
          <w:sz w:val="21"/>
        </w:rPr>
      </w:pPr>
      <w:r>
        <w:rPr>
          <w:sz w:val="21"/>
          <w:shd w:fill="D9D9D9" w:color="auto" w:val="clear"/>
        </w:rPr>
        <w:t>（5）</w:t>
      </w:r>
      <w:r>
        <w:rPr>
          <w:spacing w:val="-1"/>
          <w:sz w:val="21"/>
          <w:shd w:fill="D9D9D9" w:color="auto" w:val="clear"/>
        </w:rPr>
        <w:t>被保险人</w:t>
      </w:r>
      <w:r>
        <w:rPr>
          <w:rFonts w:ascii="黑体" w:eastAsia="黑体" w:hint="eastAsia"/>
          <w:b/>
          <w:w w:val="99"/>
          <w:sz w:val="21"/>
          <w:shd w:fill="D9D9D9" w:color="auto" w:val="clear"/>
        </w:rPr>
        <w:t>感染艾滋病病毒或患艾滋病</w:t>
      </w:r>
      <w:r>
        <w:rPr>
          <w:sz w:val="21"/>
          <w:shd w:fill="D9D9D9" w:color="auto" w:val="clear"/>
        </w:rPr>
        <w:t>（见</w:t>
      </w:r>
      <w:r>
        <w:rPr>
          <w:spacing w:val="-1"/>
          <w:sz w:val="21"/>
          <w:shd w:fill="D9D9D9" w:color="auto" w:val="clear"/>
        </w:rPr>
        <w:t>7</w:t>
      </w:r>
      <w:r>
        <w:rPr>
          <w:sz w:val="21"/>
          <w:shd w:fill="D9D9D9" w:color="auto" w:val="clear"/>
        </w:rPr>
        <w:t>.</w:t>
      </w:r>
      <w:r>
        <w:rPr>
          <w:spacing w:val="-1"/>
          <w:sz w:val="21"/>
          <w:shd w:fill="D9D9D9" w:color="auto" w:val="clear"/>
        </w:rPr>
        <w:t>1</w:t>
      </w:r>
      <w:r>
        <w:rPr>
          <w:sz w:val="21"/>
          <w:shd w:fill="D9D9D9" w:color="auto" w:val="clear"/>
        </w:rPr>
        <w:t>6</w:t>
      </w:r>
      <w:r>
        <w:rPr>
          <w:spacing w:val="-105"/>
          <w:sz w:val="21"/>
          <w:shd w:fill="D9D9D9" w:color="auto" w:val="clear"/>
        </w:rPr>
        <w:t>）</w:t>
      </w:r>
      <w:r>
        <w:rPr>
          <w:sz w:val="21"/>
          <w:shd w:fill="D9D9D9" w:color="auto" w:val="clear"/>
        </w:rPr>
        <w:t>；</w:t>
      </w:r>
    </w:p>
    <w:p>
      <w:pPr>
        <w:pStyle w:val="BodyText"/>
        <w:spacing w:before="36"/>
        <w:ind w:left="3059"/>
      </w:pPr>
      <w:r>
        <w:rPr>
          <w:shd w:fill="D9D9D9" w:color="auto" w:val="clear"/>
        </w:rPr>
        <w:t>（6）战争、军事冲突、暴乱或武装叛乱；</w:t>
      </w:r>
    </w:p>
    <w:p>
      <w:pPr>
        <w:pStyle w:val="BodyText"/>
        <w:spacing w:before="36"/>
        <w:ind w:left="3059"/>
      </w:pPr>
      <w:r>
        <w:rPr>
          <w:shd w:fill="D9D9D9" w:color="auto" w:val="clear"/>
        </w:rPr>
        <w:t>（7）核爆炸、核辐射或核污染；</w:t>
      </w:r>
    </w:p>
    <w:p>
      <w:pPr>
        <w:spacing w:before="36"/>
        <w:ind w:left="3059" w:right="0" w:firstLine="0"/>
        <w:jc w:val="left"/>
        <w:rPr>
          <w:sz w:val="21"/>
        </w:rPr>
      </w:pPr>
      <w:r>
        <w:rPr>
          <w:sz w:val="21"/>
          <w:shd w:fill="D9D9D9" w:color="auto" w:val="clear"/>
        </w:rPr>
        <w:t>（8</w:t>
      </w:r>
      <w:r>
        <w:rPr>
          <w:spacing w:val="-2"/>
          <w:sz w:val="21"/>
          <w:shd w:fill="D9D9D9" w:color="auto" w:val="clear"/>
        </w:rPr>
        <w:t>）</w:t>
      </w:r>
      <w:r>
        <w:rPr>
          <w:rFonts w:ascii="黑体" w:eastAsia="黑体" w:hint="eastAsia"/>
          <w:b/>
          <w:spacing w:val="0"/>
          <w:w w:val="99"/>
          <w:sz w:val="21"/>
          <w:shd w:fill="D9D9D9" w:color="auto" w:val="clear"/>
        </w:rPr>
        <w:t>遗传性疾病</w:t>
      </w:r>
      <w:r>
        <w:rPr>
          <w:sz w:val="21"/>
          <w:shd w:fill="D9D9D9" w:color="auto" w:val="clear"/>
        </w:rPr>
        <w:t>（见</w:t>
      </w:r>
      <w:r>
        <w:rPr>
          <w:spacing w:val="-1"/>
          <w:sz w:val="21"/>
          <w:shd w:fill="D9D9D9" w:color="auto" w:val="clear"/>
        </w:rPr>
        <w:t>7</w:t>
      </w:r>
      <w:r>
        <w:rPr>
          <w:sz w:val="21"/>
          <w:shd w:fill="D9D9D9" w:color="auto" w:val="clear"/>
        </w:rPr>
        <w:t>.</w:t>
      </w:r>
      <w:r>
        <w:rPr>
          <w:spacing w:val="-1"/>
          <w:sz w:val="21"/>
          <w:shd w:fill="D9D9D9" w:color="auto" w:val="clear"/>
        </w:rPr>
        <w:t>1</w:t>
      </w:r>
      <w:r>
        <w:rPr>
          <w:sz w:val="21"/>
          <w:shd w:fill="D9D9D9" w:color="auto" w:val="clear"/>
        </w:rPr>
        <w:t>7</w:t>
      </w:r>
      <w:r>
        <w:rPr>
          <w:spacing w:val="-105"/>
          <w:sz w:val="21"/>
          <w:shd w:fill="D9D9D9" w:color="auto" w:val="clear"/>
        </w:rPr>
        <w:t>）</w:t>
      </w:r>
      <w:r>
        <w:rPr>
          <w:spacing w:val="-2"/>
          <w:sz w:val="21"/>
          <w:shd w:fill="D9D9D9" w:color="auto" w:val="clear"/>
        </w:rPr>
        <w:t>、</w:t>
      </w:r>
      <w:r>
        <w:rPr>
          <w:rFonts w:ascii="黑体" w:eastAsia="黑体" w:hint="eastAsia"/>
          <w:b/>
          <w:w w:val="99"/>
          <w:sz w:val="21"/>
          <w:shd w:fill="D9D9D9" w:color="auto" w:val="clear"/>
        </w:rPr>
        <w:t>先天性畸形、变形或染色体异常</w:t>
      </w:r>
      <w:r>
        <w:rPr>
          <w:sz w:val="21"/>
          <w:shd w:fill="D9D9D9" w:color="auto" w:val="clear"/>
        </w:rPr>
        <w:t>（</w:t>
      </w:r>
      <w:r>
        <w:rPr>
          <w:spacing w:val="-2"/>
          <w:sz w:val="21"/>
          <w:shd w:fill="D9D9D9" w:color="auto" w:val="clear"/>
        </w:rPr>
        <w:t>见</w:t>
      </w:r>
      <w:r>
        <w:rPr>
          <w:sz w:val="21"/>
          <w:shd w:fill="D9D9D9" w:color="auto" w:val="clear"/>
        </w:rPr>
        <w:t>7</w:t>
      </w:r>
      <w:r>
        <w:rPr>
          <w:spacing w:val="-1"/>
          <w:sz w:val="21"/>
          <w:shd w:fill="D9D9D9" w:color="auto" w:val="clear"/>
        </w:rPr>
        <w:t>.</w:t>
      </w:r>
      <w:r>
        <w:rPr>
          <w:sz w:val="21"/>
          <w:shd w:fill="D9D9D9" w:color="auto" w:val="clear"/>
        </w:rPr>
        <w:t>1</w:t>
      </w:r>
      <w:r>
        <w:rPr>
          <w:spacing w:val="-1"/>
          <w:sz w:val="21"/>
          <w:shd w:fill="D9D9D9" w:color="auto" w:val="clear"/>
        </w:rPr>
        <w:t>8</w:t>
      </w:r>
      <w:r>
        <w:rPr>
          <w:spacing w:val="-106"/>
          <w:sz w:val="21"/>
          <w:shd w:fill="D9D9D9" w:color="auto" w:val="clear"/>
        </w:rPr>
        <w:t>）</w:t>
      </w:r>
      <w:r>
        <w:rPr>
          <w:sz w:val="21"/>
          <w:shd w:fill="D9D9D9" w:color="auto" w:val="clear"/>
        </w:rPr>
        <w:t>。</w:t>
      </w:r>
    </w:p>
    <w:p>
      <w:pPr>
        <w:pStyle w:val="BodyText"/>
        <w:spacing w:before="12"/>
        <w:rPr>
          <w:sz w:val="23"/>
        </w:rPr>
      </w:pPr>
    </w:p>
    <w:p>
      <w:pPr>
        <w:pStyle w:val="BodyText"/>
        <w:spacing w:line="273" w:lineRule="auto" w:before="35"/>
        <w:ind w:left="3059" w:right="103"/>
      </w:pPr>
      <w:r>
        <w:rPr>
          <w:shd w:fill="D9D9D9" w:color="auto" w:val="clear"/>
        </w:rPr>
        <w:t>发生上述第（1）项情形导致被保险人发生本主险合同约定“重大疾病”的， 本主险合同终止，我们向被保险人退还本主险合同的未满期</w:t>
      </w:r>
      <w:r>
        <w:rPr>
          <w:rFonts w:ascii="黑体" w:hAnsi="黑体" w:eastAsia="黑体" w:hint="eastAsia"/>
          <w:b/>
          <w:shd w:fill="D9D9D9" w:color="auto" w:val="clear"/>
        </w:rPr>
        <w:t>净保险费</w:t>
      </w:r>
      <w:r>
        <w:rPr>
          <w:shd w:fill="D9D9D9" w:color="auto" w:val="clear"/>
        </w:rPr>
        <w:t>（见</w:t>
      </w:r>
    </w:p>
    <w:p>
      <w:pPr>
        <w:pStyle w:val="BodyText"/>
        <w:spacing w:before="7"/>
        <w:ind w:left="3059"/>
      </w:pPr>
      <w:r>
        <w:rPr>
          <w:shd w:fill="D9D9D9" w:color="auto" w:val="clear"/>
        </w:rPr>
        <w:t>7</w:t>
      </w:r>
      <w:r>
        <w:rPr>
          <w:spacing w:val="-1"/>
          <w:shd w:fill="D9D9D9" w:color="auto" w:val="clear"/>
        </w:rPr>
        <w:t>.</w:t>
      </w:r>
      <w:r>
        <w:rPr>
          <w:shd w:fill="D9D9D9" w:color="auto" w:val="clear"/>
        </w:rPr>
        <w:t>1</w:t>
      </w:r>
      <w:r>
        <w:rPr>
          <w:spacing w:val="-1"/>
          <w:shd w:fill="D9D9D9" w:color="auto" w:val="clear"/>
        </w:rPr>
        <w:t>9</w:t>
      </w:r>
      <w:r>
        <w:rPr>
          <w:spacing w:val="-105"/>
          <w:shd w:fill="D9D9D9" w:color="auto" w:val="clear"/>
        </w:rPr>
        <w:t>）</w:t>
      </w:r>
      <w:r>
        <w:rPr>
          <w:shd w:fill="D9D9D9" w:color="auto" w:val="clear"/>
        </w:rPr>
        <w:t>。</w:t>
      </w:r>
    </w:p>
    <w:p>
      <w:pPr>
        <w:pStyle w:val="BodyText"/>
        <w:spacing w:line="273" w:lineRule="auto" w:before="37"/>
        <w:ind w:left="3059" w:right="207"/>
      </w:pPr>
      <w:r>
        <w:rPr>
          <w:shd w:fill="D9D9D9" w:color="auto" w:val="clear"/>
        </w:rPr>
        <w:t>发生上述其他情形导致被保险人发生本主险合同约定“重大疾病”的，本主险合同终止，我们向您退还本主险合同的未满期净保险费。</w:t>
      </w:r>
    </w:p>
    <w:p>
      <w:pPr>
        <w:pStyle w:val="BodyText"/>
        <w:rPr>
          <w:sz w:val="20"/>
        </w:rPr>
      </w:pPr>
    </w:p>
    <w:p>
      <w:pPr>
        <w:pStyle w:val="BodyText"/>
        <w:spacing w:before="9"/>
        <w:rPr>
          <w:sz w:val="15"/>
        </w:rPr>
      </w:pPr>
    </w:p>
    <w:p>
      <w:pPr>
        <w:pStyle w:val="Heading2"/>
        <w:numPr>
          <w:ilvl w:val="0"/>
          <w:numId w:val="2"/>
        </w:numPr>
        <w:tabs>
          <w:tab w:pos="1176" w:val="left" w:leader="none"/>
          <w:tab w:pos="1177" w:val="left" w:leader="none"/>
        </w:tabs>
        <w:spacing w:line="240" w:lineRule="auto" w:before="0" w:after="0"/>
        <w:ind w:left="1176" w:right="0" w:hanging="956"/>
        <w:jc w:val="left"/>
        <w:rPr>
          <w:rFonts w:ascii="宋体" w:eastAsia="宋体" w:hint="eastAsia"/>
          <w:sz w:val="40"/>
        </w:rPr>
      </w:pPr>
      <w:r>
        <w:rPr/>
        <w:pict>
          <v:group style="position:absolute;margin-left:48.599998pt;margin-top:31.699656pt;width:498.15pt;height:1pt;mso-position-horizontal-relative:page;mso-position-vertical-relative:paragraph;z-index:1120;mso-wrap-distance-left:0;mso-wrap-distance-right:0" coordorigin="972,634" coordsize="9963,20">
            <v:line style="position:absolute" from="972,644" to="3830,644" stroked="true" strokeweight=".96002pt" strokecolor="#000000">
              <v:stroke dashstyle="solid"/>
            </v:line>
            <v:line style="position:absolute" from="3830,644" to="10934,644" stroked="true" strokeweight=".96pt" strokecolor="#000000">
              <v:stroke dashstyle="solid"/>
            </v:line>
            <w10:wrap type="topAndBottom"/>
          </v:group>
        </w:pict>
      </w:r>
      <w:r>
        <w:rPr>
          <w:rFonts w:ascii="宋体" w:eastAsia="宋体" w:hint="eastAsia"/>
        </w:rPr>
        <w:t>如何申请领取保险金</w:t>
      </w:r>
    </w:p>
    <w:p>
      <w:pPr>
        <w:pStyle w:val="BodyText"/>
        <w:spacing w:before="5"/>
        <w:rPr>
          <w:b/>
          <w:sz w:val="17"/>
        </w:r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7"/>
        <w:gridCol w:w="2117"/>
        <w:gridCol w:w="7147"/>
      </w:tblGrid>
      <w:tr>
        <w:trPr>
          <w:trHeight w:val="371" w:hRule="atLeast"/>
        </w:trPr>
        <w:tc>
          <w:tcPr>
            <w:tcW w:w="687" w:type="dxa"/>
          </w:tcPr>
          <w:p>
            <w:pPr>
              <w:pStyle w:val="TableParagraph"/>
              <w:spacing w:line="210" w:lineRule="exact"/>
              <w:ind w:left="50"/>
              <w:rPr>
                <w:b/>
                <w:sz w:val="21"/>
              </w:rPr>
            </w:pPr>
            <w:r>
              <w:rPr>
                <w:b/>
                <w:sz w:val="21"/>
              </w:rPr>
              <w:t>3.1</w:t>
            </w:r>
          </w:p>
        </w:tc>
        <w:tc>
          <w:tcPr>
            <w:tcW w:w="2117" w:type="dxa"/>
          </w:tcPr>
          <w:p>
            <w:pPr>
              <w:pStyle w:val="TableParagraph"/>
              <w:spacing w:line="210" w:lineRule="exact"/>
              <w:ind w:left="319"/>
              <w:rPr>
                <w:b/>
                <w:sz w:val="21"/>
              </w:rPr>
            </w:pPr>
            <w:r>
              <w:rPr>
                <w:b/>
                <w:w w:val="95"/>
                <w:sz w:val="21"/>
              </w:rPr>
              <w:t>受益人</w:t>
            </w:r>
          </w:p>
        </w:tc>
        <w:tc>
          <w:tcPr>
            <w:tcW w:w="7147" w:type="dxa"/>
          </w:tcPr>
          <w:p>
            <w:pPr>
              <w:pStyle w:val="TableParagraph"/>
              <w:spacing w:line="210" w:lineRule="exact"/>
              <w:ind w:left="85"/>
              <w:rPr>
                <w:sz w:val="21"/>
              </w:rPr>
            </w:pPr>
            <w:r>
              <w:rPr>
                <w:sz w:val="21"/>
              </w:rPr>
              <w:t>重大疾病保险金的受益人为被保险人本人。</w:t>
            </w:r>
          </w:p>
        </w:tc>
      </w:tr>
      <w:tr>
        <w:trPr>
          <w:trHeight w:val="436" w:hRule="atLeast"/>
        </w:trPr>
        <w:tc>
          <w:tcPr>
            <w:tcW w:w="687" w:type="dxa"/>
          </w:tcPr>
          <w:p>
            <w:pPr>
              <w:pStyle w:val="TableParagraph"/>
              <w:spacing w:before="103"/>
              <w:ind w:left="50"/>
              <w:rPr>
                <w:b/>
                <w:sz w:val="21"/>
              </w:rPr>
            </w:pPr>
            <w:r>
              <w:rPr>
                <w:b/>
                <w:sz w:val="21"/>
              </w:rPr>
              <w:t>3.2</w:t>
            </w:r>
          </w:p>
        </w:tc>
        <w:tc>
          <w:tcPr>
            <w:tcW w:w="2117" w:type="dxa"/>
          </w:tcPr>
          <w:p>
            <w:pPr>
              <w:pStyle w:val="TableParagraph"/>
              <w:spacing w:before="103"/>
              <w:ind w:left="319"/>
              <w:rPr>
                <w:b/>
                <w:sz w:val="21"/>
              </w:rPr>
            </w:pPr>
            <w:r>
              <w:rPr>
                <w:b/>
                <w:w w:val="95"/>
                <w:sz w:val="21"/>
              </w:rPr>
              <w:t>保险事故通知</w:t>
            </w:r>
          </w:p>
        </w:tc>
        <w:tc>
          <w:tcPr>
            <w:tcW w:w="7147" w:type="dxa"/>
          </w:tcPr>
          <w:p>
            <w:pPr>
              <w:pStyle w:val="TableParagraph"/>
              <w:spacing w:before="103"/>
              <w:ind w:left="85"/>
              <w:rPr>
                <w:sz w:val="21"/>
              </w:rPr>
            </w:pPr>
            <w:r>
              <w:rPr>
                <w:sz w:val="21"/>
              </w:rPr>
              <w:t>请您或受益人在知道保险事故发生后</w:t>
            </w:r>
            <w:r>
              <w:rPr>
                <w:rFonts w:ascii="Times New Roman" w:eastAsia="Times New Roman"/>
                <w:sz w:val="21"/>
              </w:rPr>
              <w:t>10</w:t>
            </w:r>
            <w:r>
              <w:rPr>
                <w:sz w:val="21"/>
              </w:rPr>
              <w:t>日内通知我们。</w:t>
            </w:r>
          </w:p>
        </w:tc>
      </w:tr>
      <w:tr>
        <w:trPr>
          <w:trHeight w:val="304" w:hRule="atLeast"/>
        </w:trPr>
        <w:tc>
          <w:tcPr>
            <w:tcW w:w="687" w:type="dxa"/>
          </w:tcPr>
          <w:p>
            <w:pPr>
              <w:pStyle w:val="TableParagraph"/>
              <w:rPr>
                <w:rFonts w:ascii="Times New Roman"/>
                <w:sz w:val="20"/>
              </w:rPr>
            </w:pPr>
          </w:p>
        </w:tc>
        <w:tc>
          <w:tcPr>
            <w:tcW w:w="2117" w:type="dxa"/>
          </w:tcPr>
          <w:p>
            <w:pPr>
              <w:pStyle w:val="TableParagraph"/>
              <w:rPr>
                <w:rFonts w:ascii="Times New Roman"/>
                <w:sz w:val="20"/>
              </w:rPr>
            </w:pPr>
          </w:p>
        </w:tc>
        <w:tc>
          <w:tcPr>
            <w:tcW w:w="7147" w:type="dxa"/>
          </w:tcPr>
          <w:p>
            <w:pPr>
              <w:pStyle w:val="TableParagraph"/>
              <w:spacing w:line="253" w:lineRule="exact"/>
              <w:ind w:left="85"/>
              <w:rPr>
                <w:sz w:val="21"/>
              </w:rPr>
            </w:pPr>
            <w:r>
              <w:rPr>
                <w:sz w:val="21"/>
                <w:shd w:fill="D9D9D9" w:color="auto" w:val="clear"/>
              </w:rPr>
              <w:t>如果您或受益人故意或者因重大过失未及时通知，致使保险事故的性质、原</w:t>
            </w:r>
          </w:p>
        </w:tc>
      </w:tr>
      <w:tr>
        <w:trPr>
          <w:trHeight w:val="311" w:hRule="atLeast"/>
        </w:trPr>
        <w:tc>
          <w:tcPr>
            <w:tcW w:w="687" w:type="dxa"/>
          </w:tcPr>
          <w:p>
            <w:pPr>
              <w:pStyle w:val="TableParagraph"/>
              <w:rPr>
                <w:rFonts w:ascii="Times New Roman"/>
                <w:sz w:val="20"/>
              </w:rPr>
            </w:pPr>
          </w:p>
        </w:tc>
        <w:tc>
          <w:tcPr>
            <w:tcW w:w="2117" w:type="dxa"/>
          </w:tcPr>
          <w:p>
            <w:pPr>
              <w:pStyle w:val="TableParagraph"/>
              <w:rPr>
                <w:rFonts w:ascii="Times New Roman"/>
                <w:sz w:val="20"/>
              </w:rPr>
            </w:pPr>
          </w:p>
        </w:tc>
        <w:tc>
          <w:tcPr>
            <w:tcW w:w="7147" w:type="dxa"/>
          </w:tcPr>
          <w:p>
            <w:pPr>
              <w:pStyle w:val="TableParagraph"/>
              <w:spacing w:line="261" w:lineRule="exact"/>
              <w:ind w:left="85"/>
              <w:rPr>
                <w:sz w:val="21"/>
              </w:rPr>
            </w:pPr>
            <w:r>
              <w:rPr>
                <w:sz w:val="21"/>
                <w:shd w:fill="D9D9D9" w:color="auto" w:val="clear"/>
              </w:rPr>
              <w:t>因、伤害程度等难以确定的，我们对无法确定的部分，不承担给付保险金的</w:t>
            </w:r>
          </w:p>
        </w:tc>
      </w:tr>
      <w:tr>
        <w:trPr>
          <w:trHeight w:val="311" w:hRule="atLeast"/>
        </w:trPr>
        <w:tc>
          <w:tcPr>
            <w:tcW w:w="687" w:type="dxa"/>
          </w:tcPr>
          <w:p>
            <w:pPr>
              <w:pStyle w:val="TableParagraph"/>
              <w:rPr>
                <w:rFonts w:ascii="Times New Roman"/>
                <w:sz w:val="20"/>
              </w:rPr>
            </w:pPr>
          </w:p>
        </w:tc>
        <w:tc>
          <w:tcPr>
            <w:tcW w:w="2117" w:type="dxa"/>
          </w:tcPr>
          <w:p>
            <w:pPr>
              <w:pStyle w:val="TableParagraph"/>
              <w:rPr>
                <w:rFonts w:ascii="Times New Roman"/>
                <w:sz w:val="20"/>
              </w:rPr>
            </w:pPr>
          </w:p>
        </w:tc>
        <w:tc>
          <w:tcPr>
            <w:tcW w:w="7147" w:type="dxa"/>
          </w:tcPr>
          <w:p>
            <w:pPr>
              <w:pStyle w:val="TableParagraph"/>
              <w:spacing w:line="261" w:lineRule="exact"/>
              <w:ind w:left="85"/>
              <w:rPr>
                <w:sz w:val="21"/>
              </w:rPr>
            </w:pPr>
            <w:r>
              <w:rPr>
                <w:sz w:val="21"/>
                <w:shd w:fill="D9D9D9" w:color="auto" w:val="clear"/>
              </w:rPr>
              <w:t>责任，</w:t>
            </w:r>
            <w:r>
              <w:rPr>
                <w:sz w:val="21"/>
              </w:rPr>
              <w:t>但我们通过其他途径已经及时知道或者应当及时知道保险事故发生或</w:t>
            </w:r>
          </w:p>
        </w:tc>
      </w:tr>
      <w:tr>
        <w:trPr>
          <w:trHeight w:val="425" w:hRule="atLeast"/>
        </w:trPr>
        <w:tc>
          <w:tcPr>
            <w:tcW w:w="687" w:type="dxa"/>
          </w:tcPr>
          <w:p>
            <w:pPr>
              <w:pStyle w:val="TableParagraph"/>
              <w:rPr>
                <w:rFonts w:ascii="Times New Roman"/>
                <w:sz w:val="20"/>
              </w:rPr>
            </w:pPr>
          </w:p>
        </w:tc>
        <w:tc>
          <w:tcPr>
            <w:tcW w:w="2117" w:type="dxa"/>
          </w:tcPr>
          <w:p>
            <w:pPr>
              <w:pStyle w:val="TableParagraph"/>
              <w:rPr>
                <w:rFonts w:ascii="Times New Roman"/>
                <w:sz w:val="20"/>
              </w:rPr>
            </w:pPr>
          </w:p>
        </w:tc>
        <w:tc>
          <w:tcPr>
            <w:tcW w:w="7147" w:type="dxa"/>
          </w:tcPr>
          <w:p>
            <w:pPr>
              <w:pStyle w:val="TableParagraph"/>
              <w:spacing w:line="261" w:lineRule="exact"/>
              <w:ind w:left="85"/>
              <w:rPr>
                <w:sz w:val="21"/>
              </w:rPr>
            </w:pPr>
            <w:r>
              <w:rPr>
                <w:spacing w:val="-6"/>
                <w:sz w:val="21"/>
              </w:rPr>
              <w:t>者虽未及时通知但不影响我们确定保险事故的性质、原因、伤害程度的除外。</w:t>
            </w:r>
          </w:p>
        </w:tc>
      </w:tr>
      <w:tr>
        <w:trPr>
          <w:trHeight w:val="530" w:hRule="atLeast"/>
        </w:trPr>
        <w:tc>
          <w:tcPr>
            <w:tcW w:w="687" w:type="dxa"/>
          </w:tcPr>
          <w:p>
            <w:pPr>
              <w:pStyle w:val="TableParagraph"/>
              <w:spacing w:before="99"/>
              <w:ind w:left="50"/>
              <w:rPr>
                <w:b/>
                <w:sz w:val="21"/>
              </w:rPr>
            </w:pPr>
            <w:r>
              <w:rPr>
                <w:b/>
                <w:sz w:val="21"/>
              </w:rPr>
              <w:t>3.3</w:t>
            </w:r>
          </w:p>
        </w:tc>
        <w:tc>
          <w:tcPr>
            <w:tcW w:w="2117" w:type="dxa"/>
          </w:tcPr>
          <w:p>
            <w:pPr>
              <w:pStyle w:val="TableParagraph"/>
              <w:spacing w:before="99"/>
              <w:ind w:left="319"/>
              <w:rPr>
                <w:b/>
                <w:sz w:val="21"/>
              </w:rPr>
            </w:pPr>
            <w:r>
              <w:rPr>
                <w:b/>
                <w:w w:val="95"/>
                <w:sz w:val="21"/>
              </w:rPr>
              <w:t>保险金申请</w:t>
            </w:r>
          </w:p>
        </w:tc>
        <w:tc>
          <w:tcPr>
            <w:tcW w:w="7147" w:type="dxa"/>
          </w:tcPr>
          <w:p>
            <w:pPr>
              <w:pStyle w:val="TableParagraph"/>
              <w:spacing w:before="99"/>
              <w:ind w:left="85"/>
              <w:rPr>
                <w:sz w:val="21"/>
              </w:rPr>
            </w:pPr>
            <w:r>
              <w:rPr>
                <w:sz w:val="21"/>
              </w:rPr>
              <w:t>在申请保险金时，请按照下列方式办理：</w:t>
            </w:r>
          </w:p>
        </w:tc>
      </w:tr>
      <w:tr>
        <w:trPr>
          <w:trHeight w:val="1058" w:hRule="atLeast"/>
        </w:trPr>
        <w:tc>
          <w:tcPr>
            <w:tcW w:w="687" w:type="dxa"/>
          </w:tcPr>
          <w:p>
            <w:pPr>
              <w:pStyle w:val="TableParagraph"/>
              <w:rPr>
                <w:rFonts w:ascii="Times New Roman"/>
                <w:sz w:val="20"/>
              </w:rPr>
            </w:pPr>
          </w:p>
        </w:tc>
        <w:tc>
          <w:tcPr>
            <w:tcW w:w="2117" w:type="dxa"/>
          </w:tcPr>
          <w:p>
            <w:pPr>
              <w:pStyle w:val="TableParagraph"/>
              <w:spacing w:line="182" w:lineRule="auto" w:before="91"/>
              <w:ind w:left="319" w:right="83"/>
              <w:rPr>
                <w:rFonts w:ascii="Microsoft JhengHei" w:eastAsia="Microsoft JhengHei" w:hint="eastAsia"/>
                <w:b/>
                <w:sz w:val="24"/>
              </w:rPr>
            </w:pPr>
            <w:r>
              <w:rPr>
                <w:rFonts w:ascii="Microsoft JhengHei" w:eastAsia="Microsoft JhengHei" w:hint="eastAsia"/>
                <w:b/>
                <w:sz w:val="24"/>
              </w:rPr>
              <w:t>重大疾病保险金的申请</w:t>
            </w:r>
          </w:p>
        </w:tc>
        <w:tc>
          <w:tcPr>
            <w:tcW w:w="7147" w:type="dxa"/>
          </w:tcPr>
          <w:p>
            <w:pPr>
              <w:pStyle w:val="TableParagraph"/>
              <w:spacing w:before="108"/>
              <w:ind w:left="85"/>
              <w:rPr>
                <w:sz w:val="21"/>
              </w:rPr>
            </w:pPr>
            <w:r>
              <w:rPr>
                <w:sz w:val="21"/>
              </w:rPr>
              <w:t>由受益人填写保险金给付申请书，并提供下列证明和资料：</w:t>
            </w:r>
          </w:p>
          <w:p>
            <w:pPr>
              <w:pStyle w:val="TableParagraph"/>
              <w:spacing w:before="37"/>
              <w:ind w:left="85"/>
              <w:rPr>
                <w:sz w:val="21"/>
              </w:rPr>
            </w:pPr>
            <w:r>
              <w:rPr>
                <w:sz w:val="21"/>
              </w:rPr>
              <w:t>（1）保险合同；</w:t>
            </w:r>
          </w:p>
          <w:p>
            <w:pPr>
              <w:pStyle w:val="TableParagraph"/>
              <w:spacing w:before="37"/>
              <w:ind w:left="85"/>
              <w:rPr>
                <w:sz w:val="21"/>
              </w:rPr>
            </w:pPr>
            <w:r>
              <w:rPr>
                <w:w w:val="95"/>
                <w:sz w:val="21"/>
              </w:rPr>
              <w:t>（2）受益人的</w:t>
            </w:r>
            <w:r>
              <w:rPr>
                <w:rFonts w:ascii="黑体" w:eastAsia="黑体" w:hint="eastAsia"/>
                <w:b/>
                <w:w w:val="95"/>
                <w:sz w:val="21"/>
              </w:rPr>
              <w:t>有效身份证件</w:t>
            </w:r>
            <w:r>
              <w:rPr>
                <w:w w:val="95"/>
                <w:sz w:val="21"/>
              </w:rPr>
              <w:t>（见7.20）；</w:t>
            </w:r>
          </w:p>
        </w:tc>
      </w:tr>
      <w:tr>
        <w:trPr>
          <w:trHeight w:val="260" w:hRule="atLeast"/>
        </w:trPr>
        <w:tc>
          <w:tcPr>
            <w:tcW w:w="687" w:type="dxa"/>
          </w:tcPr>
          <w:p>
            <w:pPr>
              <w:pStyle w:val="TableParagraph"/>
              <w:rPr>
                <w:rFonts w:ascii="Times New Roman"/>
                <w:sz w:val="18"/>
              </w:rPr>
            </w:pPr>
          </w:p>
        </w:tc>
        <w:tc>
          <w:tcPr>
            <w:tcW w:w="2117" w:type="dxa"/>
          </w:tcPr>
          <w:p>
            <w:pPr>
              <w:pStyle w:val="TableParagraph"/>
              <w:rPr>
                <w:rFonts w:ascii="Times New Roman"/>
                <w:sz w:val="18"/>
              </w:rPr>
            </w:pPr>
          </w:p>
        </w:tc>
        <w:tc>
          <w:tcPr>
            <w:tcW w:w="7147" w:type="dxa"/>
          </w:tcPr>
          <w:p>
            <w:pPr>
              <w:pStyle w:val="TableParagraph"/>
              <w:spacing w:line="241" w:lineRule="exact"/>
              <w:ind w:left="85"/>
              <w:rPr>
                <w:sz w:val="21"/>
              </w:rPr>
            </w:pPr>
            <w:r>
              <w:rPr>
                <w:sz w:val="21"/>
              </w:rPr>
              <w:t>（3）医院出具的诊断证明、病历及检查报告，或本公司认可的其他证明或</w:t>
            </w:r>
          </w:p>
        </w:tc>
      </w:tr>
    </w:tbl>
    <w:p>
      <w:pPr>
        <w:pStyle w:val="BodyText"/>
        <w:spacing w:before="37"/>
        <w:ind w:left="3584"/>
      </w:pPr>
      <w:r>
        <w:rPr/>
        <w:t>资料；</w:t>
      </w:r>
    </w:p>
    <w:p>
      <w:pPr>
        <w:pStyle w:val="BodyText"/>
        <w:spacing w:line="273" w:lineRule="auto" w:before="37"/>
        <w:ind w:left="3584" w:right="252" w:hanging="526"/>
      </w:pPr>
      <w:r>
        <w:rPr/>
        <w:t>（4）所能提供的与确认保险事故的性质、原因、伤害程度等有关的其他证明和资料。</w:t>
      </w:r>
    </w:p>
    <w:p>
      <w:pPr>
        <w:pStyle w:val="BodyText"/>
        <w:spacing w:before="12"/>
        <w:rPr>
          <w:sz w:val="17"/>
        </w:rPr>
      </w:pPr>
    </w:p>
    <w:p>
      <w:pPr>
        <w:pStyle w:val="BodyText"/>
        <w:spacing w:line="273" w:lineRule="auto"/>
        <w:ind w:left="3059" w:right="208"/>
      </w:pPr>
      <w:r>
        <w:rPr/>
        <w:t>以上证明和资料不完整的，我们将及时一次性通知受益人补充提供有关证明和资料。</w:t>
      </w:r>
    </w:p>
    <w:p>
      <w:pPr>
        <w:pStyle w:val="BodyText"/>
        <w:rPr>
          <w:sz w:val="18"/>
        </w:rPr>
      </w:pPr>
    </w:p>
    <w:p>
      <w:pPr>
        <w:pStyle w:val="ListParagraph"/>
        <w:numPr>
          <w:ilvl w:val="1"/>
          <w:numId w:val="7"/>
        </w:numPr>
        <w:tabs>
          <w:tab w:pos="1176" w:val="left" w:leader="none"/>
          <w:tab w:pos="1177" w:val="left" w:leader="none"/>
          <w:tab w:pos="3059" w:val="left" w:leader="none"/>
        </w:tabs>
        <w:spacing w:line="240" w:lineRule="auto" w:before="0" w:after="0"/>
        <w:ind w:left="3059" w:right="0" w:hanging="2839"/>
        <w:jc w:val="left"/>
        <w:rPr>
          <w:sz w:val="21"/>
        </w:rPr>
      </w:pPr>
      <w:r>
        <w:rPr>
          <w:b/>
          <w:sz w:val="21"/>
        </w:rPr>
        <w:t>保险金的给付</w:t>
        <w:tab/>
      </w:r>
      <w:r>
        <w:rPr>
          <w:sz w:val="21"/>
        </w:rPr>
        <w:t>我们在收到保险金给付申请书及上述有关证明和资料后，将在</w:t>
      </w:r>
      <w:r>
        <w:rPr>
          <w:rFonts w:ascii="Times New Roman" w:eastAsia="Times New Roman"/>
          <w:sz w:val="21"/>
        </w:rPr>
        <w:t>5</w:t>
      </w:r>
      <w:r>
        <w:rPr>
          <w:sz w:val="21"/>
        </w:rPr>
        <w:t>个工作日内</w:t>
      </w:r>
    </w:p>
    <w:p>
      <w:pPr>
        <w:spacing w:after="0" w:line="240" w:lineRule="auto"/>
        <w:jc w:val="left"/>
        <w:rPr>
          <w:sz w:val="21"/>
        </w:rPr>
        <w:sectPr>
          <w:type w:val="continuous"/>
          <w:pgSz w:w="11910" w:h="16840"/>
          <w:pgMar w:top="820" w:bottom="860" w:left="860" w:right="820"/>
        </w:sectPr>
      </w:pPr>
    </w:p>
    <w:p>
      <w:pPr>
        <w:pStyle w:val="BodyText"/>
        <w:rPr>
          <w:sz w:val="20"/>
        </w:rPr>
      </w:pPr>
    </w:p>
    <w:p>
      <w:pPr>
        <w:pStyle w:val="BodyText"/>
        <w:spacing w:before="11"/>
      </w:pPr>
    </w:p>
    <w:p>
      <w:pPr>
        <w:pStyle w:val="BodyText"/>
        <w:spacing w:before="42"/>
        <w:ind w:left="3059"/>
      </w:pPr>
      <w:r>
        <w:rPr/>
        <w:t>作出核定；情形复杂的，在</w:t>
      </w:r>
      <w:r>
        <w:rPr>
          <w:rFonts w:ascii="Times New Roman" w:eastAsia="Times New Roman"/>
        </w:rPr>
        <w:t>30</w:t>
      </w:r>
      <w:r>
        <w:rPr/>
        <w:t>日内作出核定。</w:t>
      </w:r>
    </w:p>
    <w:p>
      <w:pPr>
        <w:pStyle w:val="BodyText"/>
        <w:spacing w:line="268" w:lineRule="auto" w:before="21"/>
        <w:ind w:left="3059" w:right="215"/>
        <w:jc w:val="both"/>
      </w:pPr>
      <w:r>
        <w:rPr>
          <w:spacing w:val="-2"/>
        </w:rPr>
        <w:t>对属于保险责任的，我们在与受益人达成给付保险金的协议后</w:t>
      </w:r>
      <w:r>
        <w:rPr>
          <w:rFonts w:ascii="Times New Roman" w:eastAsia="Times New Roman"/>
        </w:rPr>
        <w:t>10</w:t>
      </w:r>
      <w:r>
        <w:rPr>
          <w:spacing w:val="-3"/>
        </w:rPr>
        <w:t>日内，履行</w:t>
      </w:r>
      <w:r>
        <w:rPr>
          <w:spacing w:val="-5"/>
        </w:rPr>
        <w:t>给付保险金义务；若我们在收齐相关证明和资料后</w:t>
      </w:r>
      <w:r>
        <w:rPr/>
        <w:t>30</w:t>
      </w:r>
      <w:r>
        <w:rPr>
          <w:spacing w:val="-2"/>
        </w:rPr>
        <w:t>日内仍未作出核定，除</w:t>
      </w:r>
      <w:r>
        <w:rPr>
          <w:spacing w:val="-5"/>
        </w:rPr>
        <w:t>支付保险金外，我们将从第</w:t>
      </w:r>
      <w:r>
        <w:rPr/>
        <w:t>31日起按超过天数赔偿受益人因此受到的利息损</w:t>
      </w:r>
      <w:r>
        <w:rPr>
          <w:spacing w:val="-4"/>
        </w:rPr>
        <w:t>失。利息按照我们公示的利率按单利计算，且保证该利率不低于中国人民银行公布的同期金融机构人民币活期存款基准利率。</w:t>
      </w:r>
    </w:p>
    <w:p>
      <w:pPr>
        <w:pStyle w:val="BodyText"/>
        <w:spacing w:line="256" w:lineRule="auto" w:before="12"/>
        <w:ind w:left="3059" w:right="212"/>
        <w:jc w:val="both"/>
      </w:pPr>
      <w:r>
        <w:rPr/>
        <w:t>对不属于保险责任的，我们自作出核定之日起</w:t>
      </w:r>
      <w:r>
        <w:rPr>
          <w:rFonts w:ascii="Times New Roman" w:eastAsia="Times New Roman"/>
        </w:rPr>
        <w:t>3</w:t>
      </w:r>
      <w:r>
        <w:rPr/>
        <w:t>日内向受益人发出拒绝给付保险金通知书并说明理由。</w:t>
      </w:r>
    </w:p>
    <w:p>
      <w:pPr>
        <w:pStyle w:val="BodyText"/>
        <w:rPr>
          <w:sz w:val="19"/>
        </w:rPr>
      </w:pPr>
    </w:p>
    <w:p>
      <w:pPr>
        <w:pStyle w:val="ListParagraph"/>
        <w:numPr>
          <w:ilvl w:val="1"/>
          <w:numId w:val="7"/>
        </w:numPr>
        <w:tabs>
          <w:tab w:pos="1176" w:val="left" w:leader="none"/>
          <w:tab w:pos="1177" w:val="left" w:leader="none"/>
          <w:tab w:pos="3059" w:val="left" w:leader="none"/>
        </w:tabs>
        <w:spacing w:line="256" w:lineRule="auto" w:before="0" w:after="0"/>
        <w:ind w:left="3059" w:right="212" w:hanging="2839"/>
        <w:jc w:val="left"/>
        <w:rPr>
          <w:sz w:val="21"/>
        </w:rPr>
      </w:pPr>
      <w:r>
        <w:rPr>
          <w:b/>
          <w:sz w:val="21"/>
        </w:rPr>
        <w:t>诉讼时效</w:t>
        <w:tab/>
      </w:r>
      <w:r>
        <w:rPr>
          <w:sz w:val="21"/>
        </w:rPr>
        <w:t>受益人向我们请求给付保险金的诉讼时效期间为</w:t>
      </w:r>
      <w:r>
        <w:rPr>
          <w:rFonts w:ascii="Times New Roman" w:eastAsia="Times New Roman"/>
          <w:sz w:val="21"/>
        </w:rPr>
        <w:t>2</w:t>
      </w:r>
      <w:r>
        <w:rPr>
          <w:sz w:val="21"/>
        </w:rPr>
        <w:t>年，自其知道或者应当知 道保险事故发生之日起计算。</w:t>
      </w:r>
    </w:p>
    <w:p>
      <w:pPr>
        <w:pStyle w:val="BodyText"/>
        <w:rPr>
          <w:sz w:val="20"/>
        </w:rPr>
      </w:pPr>
    </w:p>
    <w:p>
      <w:pPr>
        <w:pStyle w:val="BodyText"/>
        <w:spacing w:before="9"/>
        <w:rPr>
          <w:sz w:val="16"/>
        </w:rPr>
      </w:pPr>
    </w:p>
    <w:p>
      <w:pPr>
        <w:pStyle w:val="Heading2"/>
        <w:numPr>
          <w:ilvl w:val="0"/>
          <w:numId w:val="7"/>
        </w:numPr>
        <w:tabs>
          <w:tab w:pos="1176" w:val="left" w:leader="none"/>
          <w:tab w:pos="1177" w:val="left" w:leader="none"/>
        </w:tabs>
        <w:spacing w:line="240" w:lineRule="auto" w:before="0" w:after="0"/>
        <w:ind w:left="1176" w:right="0" w:hanging="956"/>
        <w:jc w:val="left"/>
        <w:rPr>
          <w:rFonts w:ascii="宋体" w:eastAsia="宋体" w:hint="eastAsia"/>
          <w:sz w:val="40"/>
        </w:rPr>
      </w:pPr>
      <w:r>
        <w:rPr/>
        <w:pict>
          <v:group style="position:absolute;margin-left:48.599998pt;margin-top:31.699778pt;width:498.15pt;height:1pt;mso-position-horizontal-relative:page;mso-position-vertical-relative:paragraph;z-index:1144;mso-wrap-distance-left:0;mso-wrap-distance-right:0" coordorigin="972,634" coordsize="9963,20">
            <v:line style="position:absolute" from="972,644" to="3830,644" stroked="true" strokeweight=".96002pt" strokecolor="#000000">
              <v:stroke dashstyle="solid"/>
            </v:line>
            <v:line style="position:absolute" from="3830,644" to="10934,644" stroked="true" strokeweight=".96pt" strokecolor="#000000">
              <v:stroke dashstyle="solid"/>
            </v:line>
            <w10:wrap type="topAndBottom"/>
          </v:group>
        </w:pict>
      </w:r>
      <w:r>
        <w:rPr>
          <w:rFonts w:ascii="宋体" w:eastAsia="宋体" w:hint="eastAsia"/>
        </w:rPr>
        <w:t>如何支付保险费</w:t>
      </w:r>
    </w:p>
    <w:p>
      <w:pPr>
        <w:pStyle w:val="BodyText"/>
        <w:spacing w:before="11"/>
        <w:rPr>
          <w:b/>
          <w:sz w:val="9"/>
        </w:rPr>
      </w:pPr>
    </w:p>
    <w:p>
      <w:pPr>
        <w:tabs>
          <w:tab w:pos="1176" w:val="left" w:leader="none"/>
          <w:tab w:pos="3059" w:val="left" w:leader="none"/>
        </w:tabs>
        <w:spacing w:before="35"/>
        <w:ind w:left="220" w:right="0" w:firstLine="0"/>
        <w:jc w:val="left"/>
        <w:rPr>
          <w:sz w:val="21"/>
        </w:rPr>
      </w:pPr>
      <w:r>
        <w:rPr>
          <w:b/>
          <w:sz w:val="21"/>
        </w:rPr>
        <w:t>4.1</w:t>
        <w:tab/>
        <w:t>保险费的支付</w:t>
        <w:tab/>
      </w:r>
      <w:r>
        <w:rPr>
          <w:sz w:val="21"/>
        </w:rPr>
        <w:t>除另有约定外，本主险合同的保险费需要您在投保时一次交清。</w:t>
      </w:r>
    </w:p>
    <w:p>
      <w:pPr>
        <w:pStyle w:val="BodyText"/>
        <w:rPr>
          <w:sz w:val="20"/>
        </w:rPr>
      </w:pPr>
    </w:p>
    <w:p>
      <w:pPr>
        <w:pStyle w:val="BodyText"/>
        <w:spacing w:before="10"/>
        <w:rPr>
          <w:sz w:val="17"/>
        </w:rPr>
      </w:pPr>
    </w:p>
    <w:p>
      <w:pPr>
        <w:pStyle w:val="Heading2"/>
        <w:numPr>
          <w:ilvl w:val="0"/>
          <w:numId w:val="7"/>
        </w:numPr>
        <w:tabs>
          <w:tab w:pos="1176" w:val="left" w:leader="none"/>
          <w:tab w:pos="1177" w:val="left" w:leader="none"/>
        </w:tabs>
        <w:spacing w:line="240" w:lineRule="auto" w:before="0" w:after="0"/>
        <w:ind w:left="1176" w:right="0" w:hanging="956"/>
        <w:jc w:val="left"/>
        <w:rPr>
          <w:rFonts w:ascii="宋体" w:eastAsia="宋体" w:hint="eastAsia"/>
          <w:sz w:val="40"/>
        </w:rPr>
      </w:pPr>
      <w:r>
        <w:rPr/>
        <w:pict>
          <v:group style="position:absolute;margin-left:48.599998pt;margin-top:31.69965pt;width:498.15pt;height:1pt;mso-position-horizontal-relative:page;mso-position-vertical-relative:paragraph;z-index:1168;mso-wrap-distance-left:0;mso-wrap-distance-right:0" coordorigin="972,634" coordsize="9963,20">
            <v:line style="position:absolute" from="972,644" to="3830,644" stroked="true" strokeweight=".96002pt" strokecolor="#000000">
              <v:stroke dashstyle="solid"/>
            </v:line>
            <v:line style="position:absolute" from="3830,644" to="10934,644" stroked="true" strokeweight=".96pt" strokecolor="#000000">
              <v:stroke dashstyle="solid"/>
            </v:line>
            <w10:wrap type="topAndBottom"/>
          </v:group>
        </w:pict>
      </w:r>
      <w:r>
        <w:rPr>
          <w:rFonts w:ascii="宋体" w:eastAsia="宋体" w:hint="eastAsia"/>
        </w:rPr>
        <w:t>如何解除保险合同</w:t>
      </w:r>
    </w:p>
    <w:p>
      <w:pPr>
        <w:pStyle w:val="BodyText"/>
        <w:spacing w:before="10"/>
        <w:rPr>
          <w:b/>
          <w:sz w:val="9"/>
        </w:rPr>
      </w:pPr>
    </w:p>
    <w:p>
      <w:pPr>
        <w:spacing w:after="0"/>
        <w:rPr>
          <w:sz w:val="9"/>
        </w:rPr>
        <w:sectPr>
          <w:pgSz w:w="11910" w:h="16840"/>
          <w:pgMar w:header="594" w:footer="666" w:top="820" w:bottom="860" w:left="860" w:right="860"/>
        </w:sectPr>
      </w:pPr>
    </w:p>
    <w:p>
      <w:pPr>
        <w:pStyle w:val="Heading3"/>
        <w:tabs>
          <w:tab w:pos="1176" w:val="left" w:leader="none"/>
        </w:tabs>
        <w:spacing w:line="273" w:lineRule="auto" w:before="35"/>
        <w:ind w:left="1176" w:hanging="957"/>
      </w:pPr>
      <w:r>
        <w:rPr/>
        <w:t>5.1</w:t>
        <w:tab/>
      </w:r>
      <w:r>
        <w:rPr>
          <w:spacing w:val="25"/>
        </w:rPr>
        <w:t>您解除合同的手续</w:t>
      </w:r>
    </w:p>
    <w:p>
      <w:pPr>
        <w:pStyle w:val="BodyText"/>
        <w:spacing w:line="273" w:lineRule="auto" w:before="35"/>
        <w:ind w:left="175" w:right="211"/>
      </w:pPr>
      <w:r>
        <w:rPr/>
        <w:br w:type="column"/>
      </w:r>
      <w:r>
        <w:rPr/>
        <w:t>您可以申请解除本主险合同，请填写解除合同申请书并向我们提供下列资料：</w:t>
      </w:r>
    </w:p>
    <w:p>
      <w:pPr>
        <w:pStyle w:val="BodyText"/>
        <w:spacing w:before="7"/>
        <w:ind w:left="175"/>
      </w:pPr>
      <w:r>
        <w:rPr/>
        <w:t>（1）保险合同；</w:t>
      </w:r>
    </w:p>
    <w:p>
      <w:pPr>
        <w:pStyle w:val="BodyText"/>
        <w:spacing w:before="37"/>
        <w:ind w:left="175"/>
      </w:pPr>
      <w:r>
        <w:rPr/>
        <w:t>（2）您的有效身份证件。</w:t>
      </w:r>
    </w:p>
    <w:p>
      <w:pPr>
        <w:pStyle w:val="BodyText"/>
        <w:spacing w:line="273" w:lineRule="auto" w:before="37"/>
        <w:ind w:left="175" w:right="168"/>
      </w:pPr>
      <w:r>
        <w:rPr>
          <w:shd w:fill="D9D9D9" w:color="auto" w:val="clear"/>
        </w:rPr>
        <w:t>自我们收到解除合同申请书时起，本主险合同终止。</w:t>
      </w:r>
      <w:r>
        <w:rPr/>
        <w:t>我们自收到解除合同申请书之日起30日内向您退还本主险合同的未满期净保险费。</w:t>
      </w:r>
    </w:p>
    <w:p>
      <w:pPr>
        <w:spacing w:after="0" w:line="273" w:lineRule="auto"/>
        <w:sectPr>
          <w:type w:val="continuous"/>
          <w:pgSz w:w="11910" w:h="16840"/>
          <w:pgMar w:top="820" w:bottom="860" w:left="860" w:right="860"/>
          <w:cols w:num="2" w:equalWidth="0">
            <w:col w:w="2844" w:space="40"/>
            <w:col w:w="7306"/>
          </w:cols>
        </w:sectPr>
      </w:pPr>
    </w:p>
    <w:p>
      <w:pPr>
        <w:pStyle w:val="BodyText"/>
        <w:rPr>
          <w:sz w:val="20"/>
        </w:rPr>
      </w:pPr>
    </w:p>
    <w:p>
      <w:pPr>
        <w:pStyle w:val="BodyText"/>
        <w:spacing w:before="3"/>
        <w:rPr>
          <w:sz w:val="17"/>
        </w:rPr>
      </w:pPr>
    </w:p>
    <w:p>
      <w:pPr>
        <w:pStyle w:val="Heading2"/>
        <w:numPr>
          <w:ilvl w:val="0"/>
          <w:numId w:val="7"/>
        </w:numPr>
        <w:tabs>
          <w:tab w:pos="1176" w:val="left" w:leader="none"/>
          <w:tab w:pos="1177" w:val="left" w:leader="none"/>
        </w:tabs>
        <w:spacing w:line="502" w:lineRule="exact" w:before="0" w:after="0"/>
        <w:ind w:left="1176" w:right="0" w:hanging="956"/>
        <w:jc w:val="left"/>
        <w:rPr>
          <w:rFonts w:ascii="宋体" w:eastAsia="宋体" w:hint="eastAsia"/>
          <w:sz w:val="40"/>
        </w:rPr>
      </w:pPr>
      <w:r>
        <w:rPr/>
        <w:pict>
          <v:group style="position:absolute;margin-left:48.599998pt;margin-top:30.642002pt;width:498.15pt;height:1pt;mso-position-horizontal-relative:page;mso-position-vertical-relative:paragraph;z-index:1192;mso-wrap-distance-left:0;mso-wrap-distance-right:0" coordorigin="972,613" coordsize="9963,20">
            <v:line style="position:absolute" from="972,622" to="3830,622" stroked="true" strokeweight=".95999pt" strokecolor="#000000">
              <v:stroke dashstyle="solid"/>
            </v:line>
            <v:line style="position:absolute" from="3830,622" to="10934,622" stroked="true" strokeweight=".96pt" strokecolor="#000000">
              <v:stroke dashstyle="solid"/>
            </v:line>
            <w10:wrap type="topAndBottom"/>
          </v:group>
        </w:pict>
      </w:r>
      <w:r>
        <w:rPr>
          <w:rFonts w:ascii="宋体" w:eastAsia="宋体" w:hint="eastAsia"/>
        </w:rPr>
        <w:t>其他需要关注的事项</w:t>
      </w:r>
    </w:p>
    <w:p>
      <w:pPr>
        <w:pStyle w:val="BodyText"/>
        <w:spacing w:before="11"/>
        <w:rPr>
          <w:b/>
          <w:sz w:val="9"/>
        </w:rPr>
      </w:pPr>
    </w:p>
    <w:p>
      <w:pPr>
        <w:spacing w:after="0"/>
        <w:rPr>
          <w:sz w:val="9"/>
        </w:rPr>
        <w:sectPr>
          <w:type w:val="continuous"/>
          <w:pgSz w:w="11910" w:h="16840"/>
          <w:pgMar w:top="820" w:bottom="860" w:left="860" w:right="860"/>
        </w:sectPr>
      </w:pPr>
    </w:p>
    <w:p>
      <w:pPr>
        <w:pStyle w:val="Heading3"/>
        <w:numPr>
          <w:ilvl w:val="1"/>
          <w:numId w:val="8"/>
        </w:numPr>
        <w:tabs>
          <w:tab w:pos="1176" w:val="left" w:leader="none"/>
          <w:tab w:pos="1177" w:val="left" w:leader="none"/>
        </w:tabs>
        <w:spacing w:line="273" w:lineRule="auto" w:before="35" w:after="0"/>
        <w:ind w:left="1176" w:right="0" w:hanging="956"/>
        <w:jc w:val="left"/>
      </w:pPr>
      <w:r>
        <w:rPr>
          <w:spacing w:val="25"/>
        </w:rPr>
        <w:t>明确说明与如实告知</w:t>
      </w:r>
    </w:p>
    <w:p>
      <w:pPr>
        <w:pStyle w:val="BodyText"/>
        <w:spacing w:line="273" w:lineRule="auto" w:before="35"/>
        <w:ind w:left="175" w:right="216"/>
        <w:jc w:val="both"/>
      </w:pPr>
      <w:r>
        <w:rPr/>
        <w:br w:type="column"/>
      </w:r>
      <w:r>
        <w:rPr>
          <w:spacing w:val="-3"/>
        </w:rPr>
        <w:t>订立本主险合同时，我们会向您说明本主险合同的内容。对本主险合同中免</w:t>
      </w:r>
      <w:r>
        <w:rPr>
          <w:spacing w:val="-5"/>
        </w:rPr>
        <w:t>除我们责任的条款，我们在订立合同时会在投保书、保险单或其他保险凭证</w:t>
      </w:r>
      <w:r>
        <w:rPr>
          <w:spacing w:val="-7"/>
        </w:rPr>
        <w:t>上作出足以引起您注意的提示，并对该条款的内容以书面或口头形式向您作出明确说明，未作提示或者明确说明的，该条款不产生效力。</w:t>
      </w:r>
    </w:p>
    <w:p>
      <w:pPr>
        <w:pStyle w:val="BodyText"/>
        <w:spacing w:before="4"/>
        <w:rPr>
          <w:sz w:val="24"/>
        </w:rPr>
      </w:pPr>
    </w:p>
    <w:p>
      <w:pPr>
        <w:pStyle w:val="BodyText"/>
        <w:spacing w:before="1"/>
        <w:ind w:left="175"/>
      </w:pPr>
      <w:r>
        <w:rPr/>
        <w:t>我们就您和被保险人的有关情况提出询问，您应当如实告知。</w:t>
      </w:r>
    </w:p>
    <w:p>
      <w:pPr>
        <w:pStyle w:val="BodyText"/>
        <w:spacing w:line="273" w:lineRule="auto" w:before="37"/>
        <w:ind w:left="175" w:right="216"/>
        <w:jc w:val="both"/>
      </w:pPr>
      <w:r>
        <w:rPr>
          <w:spacing w:val="-1"/>
          <w:shd w:fill="D9D9D9" w:color="auto" w:val="clear"/>
        </w:rPr>
        <w:t>如果您故意或者因重大过失未履行前款规定的如实告知义务，足以影响我们</w:t>
      </w:r>
      <w:r>
        <w:rPr>
          <w:spacing w:val="-210"/>
          <w:shd w:fill="D9D9D9" w:color="auto" w:val="clear"/>
        </w:rPr>
        <w:t>决</w:t>
      </w:r>
      <w:r>
        <w:rPr>
          <w:shd w:fill="D9D9D9" w:color="auto" w:val="clear"/>
        </w:rPr>
        <w:t>定是否同意承保或者提高保险费率的，我们有权解除本主险合同。</w:t>
      </w:r>
    </w:p>
    <w:p>
      <w:pPr>
        <w:pStyle w:val="BodyText"/>
        <w:spacing w:line="273" w:lineRule="auto" w:before="7"/>
        <w:ind w:left="175" w:right="193"/>
        <w:jc w:val="both"/>
      </w:pPr>
      <w:r>
        <w:rPr>
          <w:shd w:fill="D9D9D9" w:color="auto" w:val="clear"/>
        </w:rPr>
        <w:t>如果您故意不履行如实告知义务，对于本主险合同解除前发生的保险事故， 我们不承担给付保险金的责任，并不退还保险费。</w:t>
      </w:r>
    </w:p>
    <w:p>
      <w:pPr>
        <w:pStyle w:val="BodyText"/>
        <w:spacing w:line="273" w:lineRule="auto" w:before="7"/>
        <w:ind w:left="175" w:right="193"/>
        <w:jc w:val="both"/>
      </w:pPr>
      <w:r>
        <w:rPr>
          <w:shd w:fill="D9D9D9" w:color="auto" w:val="clear"/>
        </w:rPr>
        <w:t>如果您因重大过失未履行如实告知义务，对保险事故的发生有严重影响的， 对于本主险合同解除前发生的保险事故，我们不承担给付保险金的责任，但会退还保险费。</w:t>
      </w:r>
    </w:p>
    <w:p>
      <w:pPr>
        <w:pStyle w:val="BodyText"/>
        <w:spacing w:before="7"/>
        <w:ind w:left="175"/>
        <w:jc w:val="both"/>
      </w:pPr>
      <w:r>
        <w:rPr/>
        <w:t>我们在合同订立时已经知道您未如实告知的情况的，我们不得解除合同；发</w:t>
      </w:r>
    </w:p>
    <w:p>
      <w:pPr>
        <w:spacing w:after="0"/>
        <w:jc w:val="both"/>
        <w:sectPr>
          <w:type w:val="continuous"/>
          <w:pgSz w:w="11910" w:h="16840"/>
          <w:pgMar w:top="820" w:bottom="860" w:left="860" w:right="860"/>
          <w:cols w:num="2" w:equalWidth="0">
            <w:col w:w="2844" w:space="40"/>
            <w:col w:w="7306"/>
          </w:cols>
        </w:sectPr>
      </w:pPr>
    </w:p>
    <w:p>
      <w:pPr>
        <w:pStyle w:val="BodyText"/>
        <w:rPr>
          <w:sz w:val="20"/>
        </w:rPr>
      </w:pPr>
    </w:p>
    <w:p>
      <w:pPr>
        <w:pStyle w:val="BodyText"/>
        <w:spacing w:before="5"/>
        <w:rPr>
          <w:sz w:val="22"/>
        </w:rPr>
      </w:pPr>
    </w:p>
    <w:p>
      <w:pPr>
        <w:pStyle w:val="BodyText"/>
        <w:spacing w:before="35"/>
        <w:ind w:left="3059"/>
      </w:pPr>
      <w:r>
        <w:rPr/>
        <w:t>生保险事故的，我们承担给付保险金的责任。</w:t>
      </w:r>
    </w:p>
    <w:p>
      <w:pPr>
        <w:pStyle w:val="BodyText"/>
        <w:spacing w:before="6"/>
        <w:rPr>
          <w:sz w:val="17"/>
        </w:rPr>
      </w:pPr>
    </w:p>
    <w:p>
      <w:pPr>
        <w:spacing w:after="0"/>
        <w:rPr>
          <w:sz w:val="17"/>
        </w:rPr>
        <w:sectPr>
          <w:pgSz w:w="11910" w:h="16840"/>
          <w:pgMar w:header="594" w:footer="666" w:top="820" w:bottom="860" w:left="860" w:right="860"/>
        </w:sectPr>
      </w:pPr>
    </w:p>
    <w:p>
      <w:pPr>
        <w:pStyle w:val="Heading3"/>
        <w:numPr>
          <w:ilvl w:val="1"/>
          <w:numId w:val="8"/>
        </w:numPr>
        <w:tabs>
          <w:tab w:pos="1176" w:val="left" w:leader="none"/>
          <w:tab w:pos="1177" w:val="left" w:leader="none"/>
        </w:tabs>
        <w:spacing w:line="273" w:lineRule="auto" w:before="35" w:after="0"/>
        <w:ind w:left="1176" w:right="0" w:hanging="956"/>
        <w:jc w:val="left"/>
      </w:pPr>
      <w:r>
        <w:rPr>
          <w:spacing w:val="25"/>
        </w:rPr>
        <w:t>本公司合同解除权的限制</w:t>
      </w:r>
    </w:p>
    <w:p>
      <w:pPr>
        <w:pStyle w:val="BodyText"/>
        <w:spacing w:line="273" w:lineRule="auto" w:before="35"/>
        <w:ind w:left="175" w:right="167"/>
      </w:pPr>
      <w:r>
        <w:rPr/>
        <w:br w:type="column"/>
      </w:r>
      <w:r>
        <w:rPr/>
        <w:t>前条规定的合同解除权，自我们知道有解除事由之日起，超过 30 日不行使而消灭。</w:t>
      </w:r>
    </w:p>
    <w:p>
      <w:pPr>
        <w:spacing w:after="0" w:line="273" w:lineRule="auto"/>
        <w:sectPr>
          <w:type w:val="continuous"/>
          <w:pgSz w:w="11910" w:h="16840"/>
          <w:pgMar w:top="820" w:bottom="860" w:left="860" w:right="860"/>
          <w:cols w:num="2" w:equalWidth="0">
            <w:col w:w="2844" w:space="40"/>
            <w:col w:w="7306"/>
          </w:cols>
        </w:sectPr>
      </w:pPr>
    </w:p>
    <w:p>
      <w:pPr>
        <w:pStyle w:val="BodyText"/>
        <w:spacing w:before="9"/>
      </w:pPr>
    </w:p>
    <w:p>
      <w:pPr>
        <w:pStyle w:val="ListParagraph"/>
        <w:numPr>
          <w:ilvl w:val="1"/>
          <w:numId w:val="8"/>
        </w:numPr>
        <w:tabs>
          <w:tab w:pos="1177" w:val="left" w:leader="none"/>
        </w:tabs>
        <w:spacing w:line="273" w:lineRule="auto" w:before="35" w:after="0"/>
        <w:ind w:left="3059" w:right="216" w:hanging="2839"/>
        <w:jc w:val="both"/>
        <w:rPr>
          <w:sz w:val="21"/>
        </w:rPr>
      </w:pPr>
      <w:r>
        <w:rPr>
          <w:b/>
          <w:spacing w:val="6"/>
          <w:sz w:val="21"/>
        </w:rPr>
        <w:t>年龄错误        </w:t>
      </w:r>
      <w:r>
        <w:rPr>
          <w:spacing w:val="-3"/>
          <w:sz w:val="21"/>
        </w:rPr>
        <w:t>您在申请投保时，应将与有效身份证件相符的被保险人的出生日期在投保书上填明，如果发生错误按照下列方式办理：</w:t>
      </w:r>
    </w:p>
    <w:p>
      <w:pPr>
        <w:pStyle w:val="BodyText"/>
        <w:spacing w:line="273" w:lineRule="auto" w:before="7"/>
        <w:ind w:left="3563" w:right="211" w:hanging="504"/>
        <w:jc w:val="both"/>
      </w:pPr>
      <w:r>
        <w:rPr/>
        <w:t>（1）</w:t>
      </w:r>
      <w:r>
        <w:rPr>
          <w:shd w:fill="D9D9D9" w:color="auto" w:val="clear"/>
        </w:rPr>
        <w:t>您申报的被保险人年龄不真实，并且其真实年龄不符合本主险合同约定投保年龄限制的，我们有权解除合同，并向您退还本主险合同的未满期净保险费。</w:t>
      </w:r>
      <w:r>
        <w:rPr/>
        <w:t>我们行使合同解除权适用“6.2本公司合同解除权的限制”的规定。</w:t>
      </w:r>
    </w:p>
    <w:p>
      <w:pPr>
        <w:pStyle w:val="BodyText"/>
        <w:spacing w:line="273" w:lineRule="auto" w:before="7"/>
        <w:ind w:left="3563" w:right="111" w:hanging="504"/>
      </w:pPr>
      <w:r>
        <w:rPr/>
        <w:t>（2）您申报的被保险人年龄不真实，致使实交保险费少于应交保险费的， 我们有权更正并要求您补交保险费。若该被保险人已经发生保险事故， 在给付保险金时按实交保险费和应交保险费的比例给付。</w:t>
      </w:r>
    </w:p>
    <w:p>
      <w:pPr>
        <w:pStyle w:val="BodyText"/>
        <w:spacing w:line="273" w:lineRule="auto" w:before="7"/>
        <w:ind w:left="3563" w:right="212" w:hanging="504"/>
      </w:pPr>
      <w:r>
        <w:rPr/>
        <w:t>（3）您申报的被保险人年龄不真实，致使实交保险费多于应交保险费的， 我们会将多收的保险费无息退还给您。</w:t>
      </w:r>
    </w:p>
    <w:p>
      <w:pPr>
        <w:pStyle w:val="BodyText"/>
        <w:spacing w:before="12"/>
        <w:rPr>
          <w:sz w:val="17"/>
        </w:rPr>
      </w:pPr>
    </w:p>
    <w:p>
      <w:pPr>
        <w:pStyle w:val="ListParagraph"/>
        <w:numPr>
          <w:ilvl w:val="1"/>
          <w:numId w:val="8"/>
        </w:numPr>
        <w:tabs>
          <w:tab w:pos="1177" w:val="left" w:leader="none"/>
        </w:tabs>
        <w:spacing w:line="273" w:lineRule="auto" w:before="0" w:after="0"/>
        <w:ind w:left="3059" w:right="217" w:hanging="2839"/>
        <w:jc w:val="both"/>
        <w:rPr>
          <w:sz w:val="21"/>
        </w:rPr>
      </w:pPr>
      <w:r>
        <w:rPr>
          <w:b/>
          <w:spacing w:val="7"/>
          <w:sz w:val="21"/>
        </w:rPr>
        <w:t>合同内容变更    </w:t>
      </w:r>
      <w:r>
        <w:rPr>
          <w:spacing w:val="-3"/>
          <w:sz w:val="21"/>
        </w:rPr>
        <w:t>在本主险合同有效期内，经您与我们协商一致，可以变更本主险合同的有关</w:t>
      </w:r>
      <w:r>
        <w:rPr>
          <w:spacing w:val="-5"/>
          <w:sz w:val="21"/>
        </w:rPr>
        <w:t>内容。变更本主险合同的，应当由我们在保险单或者其他保险凭证上批注或者附贴批单，或者由您与我们订立书面的变更协议。</w:t>
      </w:r>
    </w:p>
    <w:p>
      <w:pPr>
        <w:pStyle w:val="BodyText"/>
        <w:spacing w:before="12"/>
        <w:rPr>
          <w:sz w:val="17"/>
        </w:rPr>
      </w:pPr>
    </w:p>
    <w:p>
      <w:pPr>
        <w:pStyle w:val="ListParagraph"/>
        <w:numPr>
          <w:ilvl w:val="1"/>
          <w:numId w:val="8"/>
        </w:numPr>
        <w:tabs>
          <w:tab w:pos="1177" w:val="left" w:leader="none"/>
        </w:tabs>
        <w:spacing w:line="273" w:lineRule="auto" w:before="0" w:after="0"/>
        <w:ind w:left="3059" w:right="214" w:hanging="2839"/>
        <w:jc w:val="both"/>
        <w:rPr>
          <w:sz w:val="21"/>
        </w:rPr>
      </w:pPr>
      <w:r>
        <w:rPr>
          <w:b/>
          <w:spacing w:val="7"/>
          <w:sz w:val="21"/>
        </w:rPr>
        <w:t>联系方式变更    </w:t>
      </w:r>
      <w:r>
        <w:rPr>
          <w:spacing w:val="-3"/>
          <w:sz w:val="21"/>
        </w:rPr>
        <w:t>为了保障您的合法权益，您的住所、通讯地址或电话等联系方式变更时，请</w:t>
      </w:r>
      <w:r>
        <w:rPr>
          <w:spacing w:val="-4"/>
          <w:sz w:val="21"/>
        </w:rPr>
        <w:t>及时以书面形式或双方认可的其他形式通知我们。若您未以书面形式或双方</w:t>
      </w:r>
      <w:r>
        <w:rPr>
          <w:spacing w:val="-6"/>
          <w:sz w:val="21"/>
        </w:rPr>
        <w:t>认可的其他形式通知我们，我们按本主险合同载明的最后住所或通讯地址所发送的有关通知，均视为已送达给您。</w:t>
      </w:r>
    </w:p>
    <w:p>
      <w:pPr>
        <w:pStyle w:val="BodyText"/>
        <w:rPr>
          <w:sz w:val="18"/>
        </w:rPr>
      </w:pPr>
    </w:p>
    <w:p>
      <w:pPr>
        <w:pStyle w:val="ListParagraph"/>
        <w:numPr>
          <w:ilvl w:val="1"/>
          <w:numId w:val="8"/>
        </w:numPr>
        <w:tabs>
          <w:tab w:pos="1177" w:val="left" w:leader="none"/>
        </w:tabs>
        <w:spacing w:line="273" w:lineRule="auto" w:before="0" w:after="0"/>
        <w:ind w:left="3059" w:right="217" w:hanging="2839"/>
        <w:jc w:val="both"/>
        <w:rPr>
          <w:sz w:val="21"/>
        </w:rPr>
      </w:pPr>
      <w:r>
        <w:rPr>
          <w:b/>
          <w:spacing w:val="6"/>
          <w:sz w:val="21"/>
        </w:rPr>
        <w:t>争议处理        </w:t>
      </w:r>
      <w:r>
        <w:rPr>
          <w:spacing w:val="-3"/>
          <w:sz w:val="21"/>
        </w:rPr>
        <w:t>本主险合同履行过程中，双方发生争议不能协商解决的，可以达成仲裁协议通过仲裁解决，也可依法直接向法院提起诉讼。</w:t>
      </w:r>
    </w:p>
    <w:p>
      <w:pPr>
        <w:pStyle w:val="BodyText"/>
        <w:rPr>
          <w:sz w:val="20"/>
        </w:rPr>
      </w:pPr>
    </w:p>
    <w:p>
      <w:pPr>
        <w:pStyle w:val="BodyText"/>
        <w:spacing w:before="8"/>
        <w:rPr>
          <w:sz w:val="15"/>
        </w:rPr>
      </w:pPr>
    </w:p>
    <w:p>
      <w:pPr>
        <w:pStyle w:val="Heading2"/>
        <w:numPr>
          <w:ilvl w:val="0"/>
          <w:numId w:val="8"/>
        </w:numPr>
        <w:tabs>
          <w:tab w:pos="1176" w:val="left" w:leader="none"/>
          <w:tab w:pos="1177" w:val="left" w:leader="none"/>
        </w:tabs>
        <w:spacing w:line="240" w:lineRule="auto" w:before="0" w:after="0"/>
        <w:ind w:left="1176" w:right="0" w:hanging="956"/>
        <w:jc w:val="left"/>
        <w:rPr>
          <w:rFonts w:ascii="宋体" w:eastAsia="宋体" w:hint="eastAsia"/>
          <w:sz w:val="40"/>
        </w:rPr>
      </w:pPr>
      <w:r>
        <w:rPr/>
        <w:pict>
          <v:group style="position:absolute;margin-left:48.599998pt;margin-top:31.699766pt;width:498.15pt;height:1pt;mso-position-horizontal-relative:page;mso-position-vertical-relative:paragraph;z-index:1216;mso-wrap-distance-left:0;mso-wrap-distance-right:0" coordorigin="972,634" coordsize="9963,20">
            <v:line style="position:absolute" from="972,644" to="3830,644" stroked="true" strokeweight=".96002pt" strokecolor="#000000">
              <v:stroke dashstyle="solid"/>
            </v:line>
            <v:line style="position:absolute" from="3830,644" to="10934,644" stroked="true" strokeweight=".96pt" strokecolor="#000000">
              <v:stroke dashstyle="solid"/>
            </v:line>
            <w10:wrap type="topAndBottom"/>
          </v:group>
        </w:pict>
      </w:r>
      <w:r>
        <w:rPr>
          <w:rFonts w:ascii="宋体" w:eastAsia="宋体" w:hint="eastAsia"/>
        </w:rPr>
        <w:t>释义</w:t>
      </w:r>
    </w:p>
    <w:p>
      <w:pPr>
        <w:pStyle w:val="BodyText"/>
        <w:spacing w:before="10"/>
        <w:rPr>
          <w:b/>
          <w:sz w:val="9"/>
        </w:rPr>
      </w:pPr>
    </w:p>
    <w:p>
      <w:pPr>
        <w:pStyle w:val="ListParagraph"/>
        <w:numPr>
          <w:ilvl w:val="1"/>
          <w:numId w:val="8"/>
        </w:numPr>
        <w:tabs>
          <w:tab w:pos="1176" w:val="left" w:leader="none"/>
          <w:tab w:pos="1177" w:val="left" w:leader="none"/>
          <w:tab w:pos="3059" w:val="left" w:leader="none"/>
        </w:tabs>
        <w:spacing w:line="273" w:lineRule="auto" w:before="35" w:after="0"/>
        <w:ind w:left="3059" w:right="193" w:hanging="2839"/>
        <w:jc w:val="left"/>
        <w:rPr>
          <w:sz w:val="21"/>
        </w:rPr>
      </w:pPr>
      <w:r>
        <w:rPr>
          <w:b/>
          <w:sz w:val="21"/>
        </w:rPr>
        <w:t>周岁</w:t>
        <w:tab/>
      </w:r>
      <w:r>
        <w:rPr>
          <w:sz w:val="21"/>
        </w:rPr>
        <w:t>指按有效身份证件中记载的出生日期计算的年龄，自出生之日起为零周岁，每经过一年增加一岁，不足一年的不计。</w:t>
      </w:r>
    </w:p>
    <w:p>
      <w:pPr>
        <w:pStyle w:val="BodyText"/>
        <w:spacing w:before="11"/>
        <w:rPr>
          <w:sz w:val="17"/>
        </w:rPr>
      </w:pPr>
    </w:p>
    <w:p>
      <w:pPr>
        <w:pStyle w:val="ListParagraph"/>
        <w:numPr>
          <w:ilvl w:val="1"/>
          <w:numId w:val="8"/>
        </w:numPr>
        <w:tabs>
          <w:tab w:pos="1176" w:val="left" w:leader="none"/>
          <w:tab w:pos="1177" w:val="left" w:leader="none"/>
          <w:tab w:pos="3059" w:val="left" w:leader="none"/>
        </w:tabs>
        <w:spacing w:line="273" w:lineRule="auto" w:before="0" w:after="0"/>
        <w:ind w:left="3059" w:right="216" w:hanging="2839"/>
        <w:jc w:val="left"/>
        <w:rPr>
          <w:sz w:val="21"/>
        </w:rPr>
      </w:pPr>
      <w:r>
        <w:rPr>
          <w:b/>
          <w:sz w:val="21"/>
        </w:rPr>
        <w:t>连续投保</w:t>
        <w:tab/>
      </w:r>
      <w:r>
        <w:rPr>
          <w:sz w:val="21"/>
        </w:rPr>
        <w:t>指投保人为被保险人在本公司续保同一险种</w:t>
      </w:r>
      <w:r>
        <w:rPr>
          <w:spacing w:val="-23"/>
          <w:sz w:val="21"/>
        </w:rPr>
        <w:t>，</w:t>
      </w:r>
      <w:r>
        <w:rPr>
          <w:sz w:val="21"/>
        </w:rPr>
        <w:t>且续保保单的生效日为原保单到期日的次日。</w:t>
      </w:r>
    </w:p>
    <w:p>
      <w:pPr>
        <w:pStyle w:val="BodyText"/>
        <w:spacing w:before="11"/>
        <w:rPr>
          <w:sz w:val="17"/>
        </w:rPr>
      </w:pPr>
    </w:p>
    <w:p>
      <w:pPr>
        <w:pStyle w:val="ListParagraph"/>
        <w:numPr>
          <w:ilvl w:val="1"/>
          <w:numId w:val="8"/>
        </w:numPr>
        <w:tabs>
          <w:tab w:pos="1176" w:val="left" w:leader="none"/>
          <w:tab w:pos="1177" w:val="left" w:leader="none"/>
          <w:tab w:pos="3059" w:val="left" w:leader="none"/>
        </w:tabs>
        <w:spacing w:line="240" w:lineRule="auto" w:before="0" w:after="0"/>
        <w:ind w:left="3059" w:right="0" w:hanging="2839"/>
        <w:jc w:val="left"/>
        <w:rPr>
          <w:sz w:val="21"/>
        </w:rPr>
      </w:pPr>
      <w:r>
        <w:rPr>
          <w:b/>
          <w:sz w:val="21"/>
        </w:rPr>
        <w:t>意外伤害</w:t>
        <w:tab/>
      </w:r>
      <w:r>
        <w:rPr>
          <w:sz w:val="21"/>
        </w:rPr>
        <w:t>指遭受外来的、突发的、非本意的、非疾病的使身体受到伤害的客观事件。</w:t>
      </w:r>
    </w:p>
    <w:p>
      <w:pPr>
        <w:pStyle w:val="BodyText"/>
        <w:spacing w:before="2"/>
        <w:rPr>
          <w:sz w:val="20"/>
        </w:rPr>
      </w:pPr>
    </w:p>
    <w:p>
      <w:pPr>
        <w:pStyle w:val="ListParagraph"/>
        <w:numPr>
          <w:ilvl w:val="1"/>
          <w:numId w:val="8"/>
        </w:numPr>
        <w:tabs>
          <w:tab w:pos="1176" w:val="left" w:leader="none"/>
          <w:tab w:pos="1177" w:val="left" w:leader="none"/>
          <w:tab w:pos="3059" w:val="left" w:leader="none"/>
        </w:tabs>
        <w:spacing w:line="240" w:lineRule="auto" w:before="1" w:after="0"/>
        <w:ind w:left="1176" w:right="0" w:hanging="956"/>
        <w:jc w:val="left"/>
        <w:rPr>
          <w:rFonts w:ascii="黑体" w:eastAsia="黑体" w:hint="eastAsia"/>
          <w:b/>
          <w:sz w:val="21"/>
        </w:rPr>
      </w:pPr>
      <w:r>
        <w:rPr>
          <w:b/>
          <w:sz w:val="21"/>
        </w:rPr>
        <w:t>重大疾病</w:t>
        <w:tab/>
      </w:r>
      <w:r>
        <w:rPr>
          <w:sz w:val="21"/>
        </w:rPr>
        <w:t>指符合下列定义的疾病</w:t>
      </w:r>
      <w:r>
        <w:rPr>
          <w:spacing w:val="-9"/>
          <w:sz w:val="21"/>
        </w:rPr>
        <w:t>、</w:t>
      </w:r>
      <w:r>
        <w:rPr>
          <w:sz w:val="21"/>
        </w:rPr>
        <w:t>损伤或手术</w:t>
      </w:r>
      <w:r>
        <w:rPr>
          <w:spacing w:val="-9"/>
          <w:sz w:val="21"/>
        </w:rPr>
        <w:t>。</w:t>
      </w:r>
      <w:r>
        <w:rPr>
          <w:sz w:val="21"/>
        </w:rPr>
        <w:t>该疾病</w:t>
      </w:r>
      <w:r>
        <w:rPr>
          <w:spacing w:val="-9"/>
          <w:sz w:val="21"/>
        </w:rPr>
        <w:t>、</w:t>
      </w:r>
      <w:r>
        <w:rPr>
          <w:sz w:val="21"/>
        </w:rPr>
        <w:t>损伤或手术应当由</w:t>
      </w:r>
      <w:r>
        <w:rPr>
          <w:rFonts w:ascii="黑体" w:eastAsia="黑体" w:hint="eastAsia"/>
          <w:b/>
          <w:sz w:val="21"/>
        </w:rPr>
        <w:t>专科医Th</w:t>
      </w:r>
    </w:p>
    <w:p>
      <w:pPr>
        <w:pStyle w:val="BodyText"/>
        <w:spacing w:before="37"/>
        <w:ind w:left="3059"/>
      </w:pPr>
      <w:r>
        <w:rPr/>
        <w:t>（见7.5）明确诊断。</w:t>
      </w:r>
    </w:p>
    <w:p>
      <w:pPr>
        <w:pStyle w:val="BodyText"/>
        <w:spacing w:before="2"/>
        <w:rPr>
          <w:sz w:val="20"/>
        </w:rPr>
      </w:pPr>
    </w:p>
    <w:p>
      <w:pPr>
        <w:pStyle w:val="BodyText"/>
        <w:ind w:left="1176" w:firstLine="1882"/>
      </w:pPr>
      <w:r>
        <w:rPr/>
        <w:t>以下重大疾病是中国保险行业协会与中国医师协会制定了规范定义的疾病。</w:t>
      </w:r>
    </w:p>
    <w:p>
      <w:pPr>
        <w:pStyle w:val="BodyText"/>
        <w:rPr>
          <w:sz w:val="16"/>
        </w:rPr>
      </w:pPr>
    </w:p>
    <w:p>
      <w:pPr>
        <w:pStyle w:val="BodyText"/>
        <w:tabs>
          <w:tab w:pos="3059" w:val="left" w:leader="none"/>
        </w:tabs>
        <w:spacing w:line="223" w:lineRule="auto"/>
        <w:ind w:left="3059" w:right="217" w:hanging="1883"/>
      </w:pPr>
      <w:r>
        <w:rPr>
          <w:rFonts w:ascii="Microsoft JhengHei" w:eastAsia="Microsoft JhengHei" w:hint="eastAsia"/>
          <w:b/>
          <w:position w:val="-2"/>
          <w:sz w:val="24"/>
        </w:rPr>
        <w:t>恶性肿瘤</w:t>
        <w:tab/>
      </w:r>
      <w:r>
        <w:rPr/>
        <w:t>指恶性细胞不受控制的进行性增长和扩散</w:t>
      </w:r>
      <w:r>
        <w:rPr>
          <w:spacing w:val="-12"/>
        </w:rPr>
        <w:t>，</w:t>
      </w:r>
      <w:r>
        <w:rPr/>
        <w:t>浸润和破坏周围正常组织</w:t>
      </w:r>
      <w:r>
        <w:rPr>
          <w:spacing w:val="-12"/>
        </w:rPr>
        <w:t>，</w:t>
      </w:r>
      <w:r>
        <w:rPr/>
        <w:t>可以经血管</w:t>
      </w:r>
      <w:r>
        <w:rPr>
          <w:spacing w:val="-12"/>
        </w:rPr>
        <w:t>、</w:t>
      </w:r>
      <w:r>
        <w:rPr/>
        <w:t>淋巴管和体腔扩散转移到身体其他部位的疾病</w:t>
      </w:r>
      <w:r>
        <w:rPr>
          <w:spacing w:val="-12"/>
        </w:rPr>
        <w:t>。</w:t>
      </w:r>
      <w:r>
        <w:rPr/>
        <w:t>经病理学检查结果</w:t>
      </w:r>
    </w:p>
    <w:p>
      <w:pPr>
        <w:spacing w:after="0" w:line="223" w:lineRule="auto"/>
        <w:sectPr>
          <w:type w:val="continuous"/>
          <w:pgSz w:w="11910" w:h="16840"/>
          <w:pgMar w:top="820" w:bottom="860" w:left="860" w:right="860"/>
        </w:sectPr>
      </w:pPr>
    </w:p>
    <w:p>
      <w:pPr>
        <w:pStyle w:val="BodyText"/>
        <w:rPr>
          <w:sz w:val="20"/>
        </w:rPr>
      </w:pPr>
    </w:p>
    <w:p>
      <w:pPr>
        <w:pStyle w:val="BodyText"/>
        <w:spacing w:before="5"/>
        <w:rPr>
          <w:sz w:val="22"/>
        </w:rPr>
      </w:pPr>
    </w:p>
    <w:p>
      <w:pPr>
        <w:pStyle w:val="BodyText"/>
        <w:spacing w:line="273" w:lineRule="auto" w:before="35"/>
        <w:ind w:left="2979" w:right="168"/>
      </w:pPr>
      <w:r>
        <w:rPr/>
        <w:t>明确诊断，临床诊断属于世界卫生组织《疾病和有关健康问题的国际统计分类（ICD-10）》的恶性肿瘤范畴。</w:t>
      </w:r>
    </w:p>
    <w:p>
      <w:pPr>
        <w:pStyle w:val="BodyText"/>
        <w:spacing w:before="7"/>
        <w:ind w:left="2979"/>
      </w:pPr>
      <w:r>
        <w:rPr>
          <w:shd w:fill="D9D9D9" w:color="auto" w:val="clear"/>
        </w:rPr>
        <w:t>下列疾病不在保障范围内：</w:t>
      </w:r>
    </w:p>
    <w:p>
      <w:pPr>
        <w:pStyle w:val="BodyText"/>
        <w:spacing w:before="36"/>
        <w:ind w:left="2979"/>
      </w:pPr>
      <w:r>
        <w:rPr>
          <w:shd w:fill="D9D9D9" w:color="auto" w:val="clear"/>
        </w:rPr>
        <w:t>（1）原位癌；</w:t>
      </w:r>
    </w:p>
    <w:p>
      <w:pPr>
        <w:pStyle w:val="BodyText"/>
        <w:spacing w:before="36"/>
        <w:ind w:left="2979"/>
      </w:pPr>
      <w:r>
        <w:rPr>
          <w:shd w:fill="D9D9D9" w:color="auto" w:val="clear"/>
        </w:rPr>
        <w:t>（2）相当于Binet分期方案A期程度的慢性淋巴细胞白血病；</w:t>
      </w:r>
    </w:p>
    <w:p>
      <w:pPr>
        <w:pStyle w:val="BodyText"/>
        <w:spacing w:before="36"/>
        <w:ind w:left="2979"/>
      </w:pPr>
      <w:r>
        <w:rPr>
          <w:shd w:fill="D9D9D9" w:color="auto" w:val="clear"/>
        </w:rPr>
        <w:t>（3）相当于Ann Arbor分期方案I期程度的何杰金氏病；</w:t>
      </w:r>
    </w:p>
    <w:p>
      <w:pPr>
        <w:pStyle w:val="BodyText"/>
        <w:spacing w:before="36"/>
        <w:ind w:left="2979"/>
      </w:pPr>
      <w:r>
        <w:rPr>
          <w:shd w:fill="D9D9D9" w:color="auto" w:val="clear"/>
        </w:rPr>
        <w:t>（4）皮肤癌（不包括恶性黑色素瘤及已发生转移的皮肤癌）；</w:t>
      </w:r>
    </w:p>
    <w:p>
      <w:pPr>
        <w:pStyle w:val="BodyText"/>
        <w:spacing w:before="36"/>
        <w:ind w:left="2979"/>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pStyle w:val="BodyText"/>
        <w:spacing w:before="37"/>
        <w:ind w:left="2979"/>
      </w:pPr>
      <w:r>
        <w:rPr>
          <w:shd w:fill="D9D9D9" w:color="auto" w:val="clear"/>
        </w:rPr>
        <w:t>（6）感染艾滋病病毒或患艾滋病期间所患恶性肿瘤。</w:t>
      </w:r>
    </w:p>
    <w:p>
      <w:pPr>
        <w:pStyle w:val="BodyText"/>
        <w:tabs>
          <w:tab w:pos="2979" w:val="left" w:leader="none"/>
        </w:tabs>
        <w:spacing w:line="249" w:lineRule="auto" w:before="172"/>
        <w:ind w:left="2979" w:right="216" w:hanging="1883"/>
      </w:pPr>
      <w:r>
        <w:rPr>
          <w:rFonts w:ascii="Microsoft JhengHei" w:eastAsia="Microsoft JhengHei" w:hint="eastAsia"/>
          <w:b/>
          <w:position w:val="1"/>
          <w:sz w:val="24"/>
        </w:rPr>
        <w:t>急性心ft梗塞</w:t>
        <w:tab/>
      </w:r>
      <w:r>
        <w:rPr/>
        <w:t>指因冠状动脉阻塞导致的相应区域供血不足造成部分心肌坏死</w:t>
      </w:r>
      <w:r>
        <w:rPr>
          <w:spacing w:val="-23"/>
        </w:rPr>
        <w:t>。</w:t>
      </w:r>
      <w:r>
        <w:rPr/>
        <w:t>须满足下列至少三项条件：</w:t>
      </w:r>
    </w:p>
    <w:p>
      <w:pPr>
        <w:pStyle w:val="BodyText"/>
        <w:spacing w:before="79"/>
        <w:ind w:left="2979"/>
      </w:pPr>
      <w:r>
        <w:rPr/>
        <w:t>（</w:t>
      </w:r>
      <w:r>
        <w:rPr>
          <w:rFonts w:ascii="Times New Roman" w:eastAsia="Times New Roman"/>
        </w:rPr>
        <w:t>1</w:t>
      </w:r>
      <w:r>
        <w:rPr/>
        <w:t>）典型临床表现，例如急性胸痛等；</w:t>
      </w:r>
    </w:p>
    <w:p>
      <w:pPr>
        <w:pStyle w:val="BodyText"/>
        <w:spacing w:before="70"/>
        <w:ind w:left="2979"/>
      </w:pPr>
      <w:r>
        <w:rPr/>
        <w:t>（</w:t>
      </w:r>
      <w:r>
        <w:rPr>
          <w:rFonts w:ascii="Times New Roman" w:eastAsia="Times New Roman"/>
        </w:rPr>
        <w:t>2</w:t>
      </w:r>
      <w:r>
        <w:rPr/>
        <w:t>）新近的心电图改变提示急性心肌梗塞；</w:t>
      </w:r>
    </w:p>
    <w:p>
      <w:pPr>
        <w:pStyle w:val="BodyText"/>
        <w:spacing w:line="259" w:lineRule="auto" w:before="71"/>
        <w:ind w:left="3504" w:right="212" w:hanging="526"/>
      </w:pPr>
      <w:r>
        <w:rPr/>
        <w:t>（</w:t>
      </w:r>
      <w:r>
        <w:rPr>
          <w:rFonts w:ascii="Times New Roman" w:eastAsia="Times New Roman"/>
        </w:rPr>
        <w:t>3</w:t>
      </w:r>
      <w:r>
        <w:rPr/>
        <w:t>）心肌酶或肌钙蛋白有诊断意义的升高，或呈符合急性心肌梗塞的动态性变化；</w:t>
      </w:r>
    </w:p>
    <w:p>
      <w:pPr>
        <w:pStyle w:val="BodyText"/>
        <w:spacing w:before="49"/>
        <w:ind w:left="2979"/>
      </w:pPr>
      <w:r>
        <w:rPr>
          <w:spacing w:val="-23"/>
        </w:rPr>
        <w:t>（</w:t>
      </w:r>
      <w:r>
        <w:rPr>
          <w:rFonts w:ascii="Times New Roman" w:eastAsia="Times New Roman"/>
          <w:spacing w:val="-23"/>
        </w:rPr>
        <w:t>4</w:t>
      </w:r>
      <w:r>
        <w:rPr>
          <w:spacing w:val="-23"/>
        </w:rPr>
        <w:t>）</w:t>
      </w:r>
      <w:r>
        <w:rPr>
          <w:spacing w:val="-1"/>
        </w:rPr>
        <w:t>发病</w:t>
      </w:r>
      <w:r>
        <w:rPr>
          <w:rFonts w:ascii="Times New Roman" w:eastAsia="Times New Roman"/>
        </w:rPr>
        <w:t>90</w:t>
      </w:r>
      <w:r>
        <w:rPr>
          <w:spacing w:val="-13"/>
        </w:rPr>
        <w:t>天后，经检查证实左心室功能降低，如左心室射血分数低于</w:t>
      </w:r>
      <w:r>
        <w:rPr>
          <w:rFonts w:ascii="Times New Roman" w:eastAsia="Times New Roman"/>
        </w:rPr>
        <w:t>50%</w:t>
      </w:r>
      <w:r>
        <w:rPr/>
        <w:t>。</w:t>
      </w:r>
    </w:p>
    <w:p>
      <w:pPr>
        <w:pStyle w:val="BodyText"/>
        <w:tabs>
          <w:tab w:pos="2979" w:val="left" w:leader="none"/>
        </w:tabs>
        <w:spacing w:line="230" w:lineRule="auto" w:before="172"/>
        <w:ind w:left="2979" w:right="214" w:hanging="1883"/>
      </w:pPr>
      <w:r>
        <w:rPr>
          <w:rFonts w:ascii="Microsoft JhengHei" w:eastAsia="Microsoft JhengHei" w:hint="eastAsia"/>
          <w:b/>
          <w:position w:val="-1"/>
          <w:sz w:val="24"/>
        </w:rPr>
        <w:t>脑中风后遗症</w:t>
        <w:tab/>
      </w:r>
      <w:r>
        <w:rPr/>
        <w:t>指因脑血管的突发病变引起脑血管出血</w:t>
      </w:r>
      <w:r>
        <w:rPr>
          <w:spacing w:val="-12"/>
        </w:rPr>
        <w:t>、</w:t>
      </w:r>
      <w:r>
        <w:rPr/>
        <w:t>栓塞或梗塞</w:t>
      </w:r>
      <w:r>
        <w:rPr>
          <w:spacing w:val="-12"/>
        </w:rPr>
        <w:t>，</w:t>
      </w:r>
      <w:r>
        <w:rPr/>
        <w:t>并导致神经系统永久性的功能障碍。神经系统永久性的功能障碍，指疾病确诊180天后，仍遗留</w:t>
      </w:r>
    </w:p>
    <w:p>
      <w:pPr>
        <w:pStyle w:val="BodyText"/>
        <w:spacing w:before="36"/>
        <w:ind w:left="2979"/>
      </w:pPr>
      <w:r>
        <w:rPr/>
        <w:t>下列一种或一种以上障碍：</w:t>
      </w:r>
    </w:p>
    <w:p>
      <w:pPr>
        <w:spacing w:before="36"/>
        <w:ind w:left="2979" w:right="0" w:firstLine="0"/>
        <w:jc w:val="left"/>
        <w:rPr>
          <w:sz w:val="21"/>
        </w:rPr>
      </w:pPr>
      <w:r>
        <w:rPr>
          <w:w w:val="95"/>
          <w:sz w:val="21"/>
        </w:rPr>
        <w:t>（1）一肢或一肢以上</w:t>
      </w:r>
      <w:r>
        <w:rPr>
          <w:rFonts w:ascii="黑体" w:eastAsia="黑体" w:hint="eastAsia"/>
          <w:b/>
          <w:w w:val="95"/>
          <w:sz w:val="21"/>
        </w:rPr>
        <w:t>肢体机能完全丧失</w:t>
      </w:r>
      <w:r>
        <w:rPr>
          <w:w w:val="95"/>
          <w:sz w:val="21"/>
        </w:rPr>
        <w:t>(见7.6)；</w:t>
      </w:r>
    </w:p>
    <w:p>
      <w:pPr>
        <w:spacing w:before="36"/>
        <w:ind w:left="2979" w:right="0" w:firstLine="0"/>
        <w:jc w:val="left"/>
        <w:rPr>
          <w:sz w:val="21"/>
        </w:rPr>
      </w:pPr>
      <w:r>
        <w:rPr>
          <w:w w:val="95"/>
          <w:sz w:val="21"/>
        </w:rPr>
        <w:t>（2）</w:t>
      </w:r>
      <w:r>
        <w:rPr>
          <w:rFonts w:ascii="黑体" w:eastAsia="黑体" w:hint="eastAsia"/>
          <w:b/>
          <w:w w:val="95"/>
          <w:sz w:val="21"/>
        </w:rPr>
        <w:t>语言能力或咀嚼吞咽能力完全丧失</w:t>
      </w:r>
      <w:r>
        <w:rPr>
          <w:w w:val="95"/>
          <w:sz w:val="21"/>
        </w:rPr>
        <w:t>（见7.7）；</w:t>
      </w:r>
    </w:p>
    <w:p>
      <w:pPr>
        <w:spacing w:line="273" w:lineRule="auto" w:before="36"/>
        <w:ind w:left="3504" w:right="111" w:hanging="526"/>
        <w:jc w:val="left"/>
        <w:rPr>
          <w:sz w:val="21"/>
        </w:rPr>
      </w:pPr>
      <w:r>
        <w:rPr>
          <w:spacing w:val="-16"/>
          <w:sz w:val="21"/>
        </w:rPr>
        <w:t>（3）</w:t>
      </w:r>
      <w:r>
        <w:rPr>
          <w:spacing w:val="-5"/>
          <w:sz w:val="21"/>
        </w:rPr>
        <w:t>自主生活能力完全丧失，无法独立完成</w:t>
      </w:r>
      <w:r>
        <w:rPr>
          <w:rFonts w:ascii="黑体" w:eastAsia="黑体" w:hint="eastAsia"/>
          <w:b/>
          <w:sz w:val="21"/>
        </w:rPr>
        <w:t>六项基本日常Th</w:t>
      </w:r>
      <w:r>
        <w:rPr>
          <w:rFonts w:ascii="黑体" w:eastAsia="黑体" w:hint="eastAsia"/>
          <w:b/>
          <w:spacing w:val="-15"/>
          <w:sz w:val="21"/>
        </w:rPr>
        <w:t>活活动</w:t>
      </w:r>
      <w:r>
        <w:rPr>
          <w:sz w:val="21"/>
        </w:rPr>
        <w:t>（见7.8） 中的三项或三项以上。</w:t>
      </w:r>
    </w:p>
    <w:p>
      <w:pPr>
        <w:pStyle w:val="BodyText"/>
        <w:spacing w:before="2"/>
        <w:rPr>
          <w:sz w:val="15"/>
        </w:rPr>
      </w:pPr>
    </w:p>
    <w:p>
      <w:pPr>
        <w:spacing w:after="0"/>
        <w:rPr>
          <w:sz w:val="15"/>
        </w:rPr>
        <w:sectPr>
          <w:pgSz w:w="11910" w:h="16840"/>
          <w:pgMar w:header="594" w:footer="666" w:top="820" w:bottom="860" w:left="940" w:right="860"/>
        </w:sectPr>
      </w:pPr>
    </w:p>
    <w:p>
      <w:pPr>
        <w:pStyle w:val="Heading2"/>
        <w:spacing w:line="182" w:lineRule="auto" w:before="48"/>
        <w:jc w:val="both"/>
      </w:pPr>
      <w:r>
        <w:rPr/>
        <w:t>重大器官移植术或造血干细胞移植术</w:t>
      </w:r>
    </w:p>
    <w:p>
      <w:pPr>
        <w:pStyle w:val="BodyText"/>
        <w:spacing w:line="273" w:lineRule="auto" w:before="36"/>
        <w:ind w:left="130" w:right="217"/>
        <w:jc w:val="both"/>
      </w:pPr>
      <w:r>
        <w:rPr/>
        <w:br w:type="column"/>
      </w:r>
      <w:r>
        <w:rPr>
          <w:spacing w:val="-4"/>
        </w:rPr>
        <w:t>重大器官移植术，指因相应器官功能衰竭，已经实施了肾脏、肝脏、心脏或肺脏的异体移植手术。</w:t>
      </w:r>
    </w:p>
    <w:p>
      <w:pPr>
        <w:pStyle w:val="BodyText"/>
        <w:spacing w:line="273" w:lineRule="auto" w:before="8"/>
        <w:ind w:left="130" w:right="214"/>
        <w:jc w:val="both"/>
      </w:pPr>
      <w:r>
        <w:rPr>
          <w:spacing w:val="-3"/>
        </w:rPr>
        <w:t>造血干细胞移植术，指因造血功能损害或造血系统恶性肿瘤，已经实施了造</w:t>
      </w:r>
      <w:r>
        <w:rPr>
          <w:spacing w:val="-5"/>
        </w:rPr>
        <w:t>血干细胞</w:t>
      </w:r>
      <w:r>
        <w:rPr/>
        <w:t>（</w:t>
      </w:r>
      <w:r>
        <w:rPr>
          <w:spacing w:val="-1"/>
        </w:rPr>
        <w:t>包括骨髓造血干细胞、外周血造血干细胞和脐血造血干细胞</w:t>
      </w:r>
      <w:r>
        <w:rPr>
          <w:spacing w:val="-8"/>
        </w:rPr>
        <w:t>）</w:t>
      </w:r>
      <w:r>
        <w:rPr/>
        <w:t>的异体移植手术。</w:t>
      </w:r>
    </w:p>
    <w:p>
      <w:pPr>
        <w:spacing w:after="0" w:line="273" w:lineRule="auto"/>
        <w:jc w:val="both"/>
        <w:sectPr>
          <w:type w:val="continuous"/>
          <w:pgSz w:w="11910" w:h="16840"/>
          <w:pgMar w:top="820" w:bottom="860" w:left="940" w:right="860"/>
          <w:cols w:num="2" w:equalWidth="0">
            <w:col w:w="2809" w:space="40"/>
            <w:col w:w="7261"/>
          </w:cols>
        </w:sectPr>
      </w:pPr>
    </w:p>
    <w:p>
      <w:pPr>
        <w:pStyle w:val="BodyText"/>
        <w:spacing w:before="4"/>
        <w:rPr>
          <w:sz w:val="15"/>
        </w:rPr>
      </w:pPr>
    </w:p>
    <w:p>
      <w:pPr>
        <w:spacing w:after="0"/>
        <w:rPr>
          <w:sz w:val="15"/>
        </w:rPr>
        <w:sectPr>
          <w:type w:val="continuous"/>
          <w:pgSz w:w="11910" w:h="16840"/>
          <w:pgMar w:top="820" w:bottom="860" w:left="940" w:right="860"/>
        </w:sectPr>
      </w:pPr>
    </w:p>
    <w:p>
      <w:pPr>
        <w:pStyle w:val="Heading2"/>
        <w:spacing w:line="182" w:lineRule="auto" w:before="48"/>
        <w:jc w:val="both"/>
      </w:pPr>
      <w:r>
        <w:rPr>
          <w:spacing w:val="36"/>
        </w:rPr>
        <w:t>冠状动脉搭桥</w:t>
      </w:r>
      <w:r>
        <w:rPr>
          <w:spacing w:val="-15"/>
        </w:rPr>
        <w:t>术</w:t>
      </w:r>
      <w:r>
        <w:rPr/>
        <w:t>（或称冠状动脉旁路移植术）</w:t>
      </w:r>
    </w:p>
    <w:p>
      <w:pPr>
        <w:pStyle w:val="BodyText"/>
        <w:spacing w:line="273" w:lineRule="auto" w:before="35"/>
        <w:ind w:left="130" w:right="168"/>
      </w:pPr>
      <w:r>
        <w:rPr/>
        <w:br w:type="column"/>
      </w:r>
      <w:r>
        <w:rPr/>
        <w:t>指为治疗严重的冠心病，实际实施了开胸进行的冠状动脉血管旁路移植的手术。</w:t>
      </w:r>
    </w:p>
    <w:p>
      <w:pPr>
        <w:pStyle w:val="BodyText"/>
        <w:spacing w:line="273" w:lineRule="auto" w:before="7"/>
        <w:ind w:left="130" w:right="168"/>
      </w:pPr>
      <w:r>
        <w:rPr>
          <w:shd w:fill="D9D9D9" w:color="auto" w:val="clear"/>
        </w:rPr>
        <w:t>冠状动脉支架植入术、心导管球囊扩张术、激光射频技术及其他非开胸的介入手术、腔镜手术不在保障范围内。</w:t>
      </w:r>
    </w:p>
    <w:p>
      <w:pPr>
        <w:spacing w:after="0" w:line="273" w:lineRule="auto"/>
        <w:sectPr>
          <w:type w:val="continuous"/>
          <w:pgSz w:w="11910" w:h="16840"/>
          <w:pgMar w:top="820" w:bottom="860" w:left="940" w:right="860"/>
          <w:cols w:num="2" w:equalWidth="0">
            <w:col w:w="2809" w:space="40"/>
            <w:col w:w="7261"/>
          </w:cols>
        </w:sectPr>
      </w:pPr>
    </w:p>
    <w:p>
      <w:pPr>
        <w:pStyle w:val="BodyText"/>
        <w:spacing w:before="2"/>
        <w:rPr>
          <w:sz w:val="15"/>
        </w:rPr>
      </w:pPr>
    </w:p>
    <w:p>
      <w:pPr>
        <w:spacing w:after="0"/>
        <w:rPr>
          <w:sz w:val="15"/>
        </w:rPr>
        <w:sectPr>
          <w:type w:val="continuous"/>
          <w:pgSz w:w="11910" w:h="16840"/>
          <w:pgMar w:top="820" w:bottom="860" w:left="940" w:right="860"/>
        </w:sectPr>
      </w:pPr>
    </w:p>
    <w:p>
      <w:pPr>
        <w:pStyle w:val="Heading2"/>
        <w:spacing w:line="182" w:lineRule="auto" w:before="49"/>
        <w:jc w:val="both"/>
      </w:pPr>
      <w:r>
        <w:rPr/>
        <w:t>终末期肾病（或称慢性肾功能衰竭尿毒症期）</w:t>
      </w:r>
    </w:p>
    <w:p>
      <w:pPr>
        <w:pStyle w:val="BodyText"/>
        <w:spacing w:line="273" w:lineRule="auto" w:before="36"/>
        <w:ind w:left="130" w:right="168"/>
      </w:pPr>
      <w:r>
        <w:rPr/>
        <w:br w:type="column"/>
      </w:r>
      <w:r>
        <w:rPr/>
        <w:t>指双肾功能慢性不可逆性衰竭，达到尿毒症期，经诊断后已经进行了至少90 天的规律性透析治疗或实施了肾脏移植手术。</w:t>
      </w:r>
    </w:p>
    <w:p>
      <w:pPr>
        <w:spacing w:after="0" w:line="273" w:lineRule="auto"/>
        <w:sectPr>
          <w:type w:val="continuous"/>
          <w:pgSz w:w="11910" w:h="16840"/>
          <w:pgMar w:top="820" w:bottom="860" w:left="940" w:right="860"/>
          <w:cols w:num="2" w:equalWidth="0">
            <w:col w:w="2809" w:space="40"/>
            <w:col w:w="7261"/>
          </w:cols>
        </w:sectPr>
      </w:pPr>
    </w:p>
    <w:p>
      <w:pPr>
        <w:pStyle w:val="BodyText"/>
        <w:spacing w:before="2"/>
        <w:rPr>
          <w:sz w:val="18"/>
        </w:rPr>
      </w:pPr>
    </w:p>
    <w:p>
      <w:pPr>
        <w:pStyle w:val="BodyText"/>
        <w:tabs>
          <w:tab w:pos="2979" w:val="left" w:leader="none"/>
        </w:tabs>
        <w:spacing w:line="360" w:lineRule="exact"/>
        <w:ind w:left="1096"/>
      </w:pPr>
      <w:r>
        <w:rPr>
          <w:rFonts w:ascii="Microsoft JhengHei" w:eastAsia="Microsoft JhengHei" w:hint="eastAsia"/>
          <w:b/>
          <w:position w:val="-2"/>
          <w:sz w:val="24"/>
        </w:rPr>
        <w:t>多个肢体缺失</w:t>
        <w:tab/>
      </w:r>
      <w:r>
        <w:rPr/>
        <w:t>指因疾病或意外伤害导致两个或两个以上肢体自腕关节或踝关节近</w:t>
      </w:r>
      <w:r>
        <w:rPr>
          <w:spacing w:val="-23"/>
        </w:rPr>
        <w:t>端</w:t>
      </w:r>
      <w:r>
        <w:rPr/>
        <w:t>（靠近</w:t>
      </w:r>
    </w:p>
    <w:p>
      <w:pPr>
        <w:pStyle w:val="BodyText"/>
        <w:spacing w:line="263" w:lineRule="exact"/>
        <w:ind w:left="2979"/>
      </w:pPr>
      <w:r>
        <w:rPr/>
        <w:t>躯干端）以上完全性断离。</w:t>
      </w:r>
    </w:p>
    <w:p>
      <w:pPr>
        <w:spacing w:after="0" w:line="263" w:lineRule="exact"/>
        <w:sectPr>
          <w:type w:val="continuous"/>
          <w:pgSz w:w="11910" w:h="16840"/>
          <w:pgMar w:top="820" w:bottom="860" w:left="940" w:right="860"/>
        </w:sectPr>
      </w:pPr>
    </w:p>
    <w:p>
      <w:pPr>
        <w:pStyle w:val="BodyText"/>
        <w:rPr>
          <w:sz w:val="20"/>
        </w:rPr>
      </w:pPr>
    </w:p>
    <w:p>
      <w:pPr>
        <w:pStyle w:val="BodyText"/>
      </w:pPr>
    </w:p>
    <w:p>
      <w:pPr>
        <w:spacing w:after="0"/>
        <w:sectPr>
          <w:pgSz w:w="11910" w:h="16840"/>
          <w:pgMar w:header="594" w:footer="666" w:top="820" w:bottom="860" w:left="940" w:right="860"/>
        </w:sectPr>
      </w:pPr>
    </w:p>
    <w:p>
      <w:pPr>
        <w:pStyle w:val="Heading2"/>
        <w:spacing w:line="182" w:lineRule="auto" w:before="36"/>
      </w:pPr>
      <w:r>
        <w:rPr/>
        <w:t>急性或亚急性重症肝炎</w:t>
      </w:r>
    </w:p>
    <w:p>
      <w:pPr>
        <w:pStyle w:val="BodyText"/>
        <w:spacing w:line="273" w:lineRule="auto" w:before="83"/>
        <w:ind w:left="130" w:right="168"/>
      </w:pPr>
      <w:r>
        <w:rPr/>
        <w:br w:type="column"/>
      </w:r>
      <w:r>
        <w:rPr/>
        <w:t>指因肝炎病毒感染引起肝脏组织弥漫性坏死，导致急性肝功能衰竭，且经血清学或病毒学检查证实，并须满足下列全部条件：</w:t>
      </w:r>
    </w:p>
    <w:p>
      <w:pPr>
        <w:pStyle w:val="BodyText"/>
        <w:spacing w:before="58"/>
        <w:ind w:left="130"/>
      </w:pPr>
      <w:r>
        <w:rPr/>
        <w:t>（1）重度黄疸或黄疸迅速加重；</w:t>
      </w:r>
    </w:p>
    <w:p>
      <w:pPr>
        <w:pStyle w:val="BodyText"/>
        <w:spacing w:before="86"/>
        <w:ind w:left="130"/>
      </w:pPr>
      <w:r>
        <w:rPr/>
        <w:t>（2）肝性脑病；</w:t>
      </w:r>
    </w:p>
    <w:p>
      <w:pPr>
        <w:pStyle w:val="BodyText"/>
        <w:spacing w:before="88"/>
        <w:ind w:left="130"/>
      </w:pPr>
      <w:r>
        <w:rPr/>
        <w:t>（3）B超或其他影像学检查显示肝脏体积急速萎缩；</w:t>
      </w:r>
    </w:p>
    <w:p>
      <w:pPr>
        <w:pStyle w:val="BodyText"/>
        <w:spacing w:before="65"/>
        <w:ind w:left="130"/>
      </w:pPr>
      <w:r>
        <w:rPr/>
        <w:t>（4）肝功能指标进行性恶化。</w:t>
      </w:r>
    </w:p>
    <w:p>
      <w:pPr>
        <w:spacing w:after="0"/>
        <w:sectPr>
          <w:type w:val="continuous"/>
          <w:pgSz w:w="11910" w:h="16840"/>
          <w:pgMar w:top="820" w:bottom="860" w:left="940" w:right="860"/>
          <w:cols w:num="2" w:equalWidth="0">
            <w:col w:w="2809" w:space="40"/>
            <w:col w:w="7261"/>
          </w:cols>
        </w:sectPr>
      </w:pPr>
    </w:p>
    <w:p>
      <w:pPr>
        <w:pStyle w:val="BodyText"/>
        <w:spacing w:before="6"/>
        <w:rPr>
          <w:sz w:val="18"/>
        </w:rPr>
      </w:pPr>
    </w:p>
    <w:p>
      <w:pPr>
        <w:pStyle w:val="BodyText"/>
        <w:tabs>
          <w:tab w:pos="2979" w:val="left" w:leader="none"/>
        </w:tabs>
        <w:spacing w:line="358" w:lineRule="exact"/>
        <w:ind w:left="1096"/>
      </w:pPr>
      <w:r>
        <w:rPr>
          <w:rFonts w:ascii="Microsoft JhengHei" w:eastAsia="Microsoft JhengHei" w:hint="eastAsia"/>
          <w:b/>
          <w:sz w:val="24"/>
        </w:rPr>
        <w:t>良性脑肿瘤</w:t>
        <w:tab/>
      </w:r>
      <w:r>
        <w:rPr/>
        <w:t>指脑的良性肿瘤</w:t>
      </w:r>
      <w:r>
        <w:rPr>
          <w:spacing w:val="-8"/>
        </w:rPr>
        <w:t>，</w:t>
      </w:r>
      <w:r>
        <w:rPr/>
        <w:t>已经引起颅内压增高</w:t>
      </w:r>
      <w:r>
        <w:rPr>
          <w:spacing w:val="-8"/>
        </w:rPr>
        <w:t>，</w:t>
      </w:r>
      <w:r>
        <w:rPr/>
        <w:t>临床表现为视神经乳头水肿</w:t>
      </w:r>
      <w:r>
        <w:rPr>
          <w:spacing w:val="-8"/>
        </w:rPr>
        <w:t>、</w:t>
      </w:r>
      <w:r>
        <w:rPr/>
        <w:t>精神</w:t>
      </w:r>
    </w:p>
    <w:p>
      <w:pPr>
        <w:pStyle w:val="BodyText"/>
        <w:spacing w:line="256" w:lineRule="auto" w:before="5"/>
        <w:ind w:left="2979" w:right="217"/>
        <w:jc w:val="both"/>
      </w:pPr>
      <w:r>
        <w:rPr>
          <w:spacing w:val="-7"/>
        </w:rPr>
        <w:t>症状、癫痫及运动感觉障碍等，并危及生命。须由头颅断层扫描</w:t>
      </w:r>
      <w:r>
        <w:rPr>
          <w:spacing w:val="-4"/>
        </w:rPr>
        <w:t>（</w:t>
      </w:r>
      <w:r>
        <w:rPr>
          <w:rFonts w:ascii="Times New Roman" w:eastAsia="Times New Roman"/>
          <w:spacing w:val="-4"/>
        </w:rPr>
        <w:t>CT</w:t>
      </w:r>
      <w:r>
        <w:rPr>
          <w:spacing w:val="-4"/>
        </w:rPr>
        <w:t>）</w:t>
      </w:r>
      <w:r>
        <w:rPr>
          <w:spacing w:val="-14"/>
        </w:rPr>
        <w:t>、核</w:t>
      </w:r>
      <w:r>
        <w:rPr/>
        <w:t>磁共振检查（</w:t>
      </w:r>
      <w:r>
        <w:rPr>
          <w:rFonts w:ascii="Times New Roman" w:eastAsia="Times New Roman"/>
        </w:rPr>
        <w:t>MRI</w:t>
      </w:r>
      <w:r>
        <w:rPr/>
        <w:t>）或正电子发射断层扫描（</w:t>
      </w:r>
      <w:r>
        <w:rPr>
          <w:rFonts w:ascii="Times New Roman" w:eastAsia="Times New Roman"/>
        </w:rPr>
        <w:t>PET</w:t>
      </w:r>
      <w:r>
        <w:rPr/>
        <w:t>）等影像学检查证实，并须满足下列至少一项条件：</w:t>
      </w:r>
    </w:p>
    <w:p>
      <w:pPr>
        <w:pStyle w:val="BodyText"/>
        <w:spacing w:before="72"/>
        <w:ind w:left="2979"/>
        <w:jc w:val="both"/>
      </w:pPr>
      <w:r>
        <w:rPr/>
        <w:t>（1）实际实施了开颅进行的脑肿瘤完全切除或部分切除的手术；</w:t>
      </w:r>
    </w:p>
    <w:p>
      <w:pPr>
        <w:pStyle w:val="BodyText"/>
        <w:spacing w:before="87"/>
        <w:ind w:left="2979"/>
        <w:jc w:val="both"/>
      </w:pPr>
      <w:r>
        <w:rPr/>
        <w:t>（2）实际实施了对脑肿瘤进行的放射治疗。</w:t>
      </w:r>
    </w:p>
    <w:p>
      <w:pPr>
        <w:pStyle w:val="BodyText"/>
        <w:spacing w:before="65"/>
        <w:ind w:left="2979"/>
        <w:jc w:val="both"/>
      </w:pPr>
      <w:r>
        <w:rPr>
          <w:shd w:fill="D9D9D9" w:color="auto" w:val="clear"/>
        </w:rPr>
        <w:t>脑垂体瘤、脑囊肿、脑血管性疾病不在保障范围内。</w:t>
      </w:r>
    </w:p>
    <w:p>
      <w:pPr>
        <w:pStyle w:val="BodyText"/>
        <w:spacing w:before="2"/>
        <w:rPr>
          <w:sz w:val="16"/>
        </w:rPr>
      </w:pPr>
    </w:p>
    <w:p>
      <w:pPr>
        <w:spacing w:after="0"/>
        <w:rPr>
          <w:sz w:val="16"/>
        </w:rPr>
        <w:sectPr>
          <w:type w:val="continuous"/>
          <w:pgSz w:w="11910" w:h="16840"/>
          <w:pgMar w:top="820" w:bottom="860" w:left="940" w:right="860"/>
        </w:sectPr>
      </w:pPr>
    </w:p>
    <w:p>
      <w:pPr>
        <w:pStyle w:val="Heading2"/>
        <w:spacing w:line="182" w:lineRule="auto" w:before="36"/>
      </w:pPr>
      <w:r>
        <w:rPr/>
        <w:t>慢性肝功能衰竭失代偿期</w:t>
      </w:r>
    </w:p>
    <w:p>
      <w:pPr>
        <w:pStyle w:val="BodyText"/>
        <w:spacing w:before="53"/>
        <w:ind w:left="130"/>
      </w:pPr>
      <w:r>
        <w:rPr/>
        <w:br w:type="column"/>
      </w:r>
      <w:r>
        <w:rPr/>
        <w:t>指因慢性肝脏疾病导致肝功能衰竭。须满足下列全部条件：</w:t>
      </w:r>
    </w:p>
    <w:p>
      <w:pPr>
        <w:pStyle w:val="BodyText"/>
        <w:spacing w:before="37"/>
        <w:ind w:left="130"/>
      </w:pPr>
      <w:r>
        <w:rPr/>
        <w:t>（1）持续性黄疸；</w:t>
      </w:r>
    </w:p>
    <w:p>
      <w:pPr>
        <w:pStyle w:val="BodyText"/>
        <w:spacing w:before="37"/>
        <w:ind w:left="130"/>
      </w:pPr>
      <w:r>
        <w:rPr/>
        <w:t>（2）腹水；</w:t>
      </w:r>
    </w:p>
    <w:p>
      <w:pPr>
        <w:pStyle w:val="BodyText"/>
        <w:spacing w:before="37"/>
        <w:ind w:left="130"/>
      </w:pPr>
      <w:r>
        <w:rPr/>
        <w:t>（3）肝性脑病；</w:t>
      </w:r>
    </w:p>
    <w:p>
      <w:pPr>
        <w:pStyle w:val="BodyText"/>
        <w:spacing w:line="273" w:lineRule="auto" w:before="37"/>
        <w:ind w:left="130" w:right="1978" w:hanging="1"/>
      </w:pPr>
      <w:r>
        <w:rPr/>
        <w:t>（4）充血性脾肿大伴脾功能亢进或食管胃底静脉曲张。</w:t>
      </w:r>
      <w:r>
        <w:rPr>
          <w:shd w:fill="D9D9D9" w:color="auto" w:val="clear"/>
        </w:rPr>
        <w:t>因酗酒或药物滥用导致的肝功能衰竭不在保障范围内。</w:t>
      </w:r>
    </w:p>
    <w:p>
      <w:pPr>
        <w:spacing w:after="0" w:line="273" w:lineRule="auto"/>
        <w:sectPr>
          <w:type w:val="continuous"/>
          <w:pgSz w:w="11910" w:h="16840"/>
          <w:pgMar w:top="820" w:bottom="860" w:left="940" w:right="860"/>
          <w:cols w:num="2" w:equalWidth="0">
            <w:col w:w="2809" w:space="40"/>
            <w:col w:w="7261"/>
          </w:cols>
        </w:sectPr>
      </w:pPr>
    </w:p>
    <w:p>
      <w:pPr>
        <w:pStyle w:val="BodyText"/>
        <w:spacing w:before="2"/>
        <w:rPr>
          <w:sz w:val="15"/>
        </w:rPr>
      </w:pPr>
    </w:p>
    <w:p>
      <w:pPr>
        <w:spacing w:after="0"/>
        <w:rPr>
          <w:sz w:val="15"/>
        </w:rPr>
        <w:sectPr>
          <w:type w:val="continuous"/>
          <w:pgSz w:w="11910" w:h="16840"/>
          <w:pgMar w:top="820" w:bottom="860" w:left="940" w:right="860"/>
        </w:sectPr>
      </w:pPr>
    </w:p>
    <w:p>
      <w:pPr>
        <w:pStyle w:val="Heading2"/>
        <w:spacing w:line="182" w:lineRule="auto" w:before="49"/>
      </w:pPr>
      <w:r>
        <w:rPr/>
        <w:t>脑炎后遗症或脑膜炎后遗症</w:t>
      </w:r>
    </w:p>
    <w:p>
      <w:pPr>
        <w:pStyle w:val="BodyText"/>
        <w:spacing w:line="273" w:lineRule="auto" w:before="36"/>
        <w:ind w:left="130" w:right="168"/>
      </w:pPr>
      <w:r>
        <w:rPr/>
        <w:br w:type="column"/>
      </w:r>
      <w:r>
        <w:rPr/>
        <w:t>指因患脑炎或脑膜炎导致的神经系统永久性的功能障碍。神经系统永久性的功能障碍，指疾病确诊180天后，仍遗留下列一种或一种以上障碍：</w:t>
      </w:r>
    </w:p>
    <w:p>
      <w:pPr>
        <w:pStyle w:val="BodyText"/>
        <w:spacing w:before="7"/>
        <w:ind w:left="130"/>
      </w:pPr>
      <w:r>
        <w:rPr/>
        <w:t>（1）一肢或一肢以上肢体机能完全丧失；</w:t>
      </w:r>
    </w:p>
    <w:p>
      <w:pPr>
        <w:pStyle w:val="BodyText"/>
        <w:spacing w:before="36"/>
        <w:ind w:left="130"/>
      </w:pPr>
      <w:r>
        <w:rPr/>
        <w:t>（2）语言能力或咀嚼吞咽能力完全丧失；</w:t>
      </w:r>
    </w:p>
    <w:p>
      <w:pPr>
        <w:pStyle w:val="BodyText"/>
        <w:spacing w:line="273" w:lineRule="auto" w:before="36"/>
        <w:ind w:left="130" w:right="212"/>
      </w:pPr>
      <w:r>
        <w:rPr/>
        <w:t>（3）自主生活能力完全丧失，无法独立完成六项基本日常生活活动中的三项或三项以上。</w:t>
      </w:r>
    </w:p>
    <w:p>
      <w:pPr>
        <w:spacing w:after="0" w:line="273" w:lineRule="auto"/>
        <w:sectPr>
          <w:type w:val="continuous"/>
          <w:pgSz w:w="11910" w:h="16840"/>
          <w:pgMar w:top="820" w:bottom="860" w:left="940" w:right="860"/>
          <w:cols w:num="2" w:equalWidth="0">
            <w:col w:w="2809" w:space="40"/>
            <w:col w:w="7261"/>
          </w:cols>
        </w:sectPr>
      </w:pPr>
    </w:p>
    <w:p>
      <w:pPr>
        <w:pStyle w:val="BodyText"/>
        <w:spacing w:before="11"/>
        <w:rPr>
          <w:sz w:val="13"/>
        </w:rPr>
      </w:pPr>
    </w:p>
    <w:p>
      <w:pPr>
        <w:pStyle w:val="BodyText"/>
        <w:tabs>
          <w:tab w:pos="2979" w:val="left" w:leader="none"/>
        </w:tabs>
        <w:spacing w:line="349" w:lineRule="exact"/>
        <w:ind w:left="1096"/>
      </w:pPr>
      <w:r>
        <w:rPr>
          <w:rFonts w:ascii="Microsoft JhengHei" w:eastAsia="Microsoft JhengHei" w:hint="eastAsia"/>
          <w:b/>
          <w:position w:val="1"/>
          <w:sz w:val="24"/>
        </w:rPr>
        <w:t>深度昏迷</w:t>
        <w:tab/>
      </w:r>
      <w:r>
        <w:rPr/>
        <w:t>指因疾病或意外伤害导致意识丧失</w:t>
      </w:r>
      <w:r>
        <w:rPr>
          <w:spacing w:val="-12"/>
        </w:rPr>
        <w:t>，</w:t>
      </w:r>
      <w:r>
        <w:rPr/>
        <w:t>对外界刺激和体内需求均无反应</w:t>
      </w:r>
      <w:r>
        <w:rPr>
          <w:spacing w:val="-12"/>
        </w:rPr>
        <w:t>，</w:t>
      </w:r>
      <w:r>
        <w:rPr/>
        <w:t>昏迷</w:t>
      </w:r>
    </w:p>
    <w:p>
      <w:pPr>
        <w:pStyle w:val="BodyText"/>
        <w:spacing w:line="273" w:lineRule="auto" w:before="15"/>
        <w:ind w:left="2979" w:right="194"/>
      </w:pPr>
      <w:r>
        <w:rPr/>
        <w:t>程度按照格拉斯哥昏迷分级（Glasgow coma scale）结果为5分或5分以下， 且已经持续使用呼吸机及其他生命维持系统96小时以上。</w:t>
      </w:r>
    </w:p>
    <w:p>
      <w:pPr>
        <w:pStyle w:val="BodyText"/>
        <w:spacing w:before="7"/>
        <w:ind w:left="2979"/>
      </w:pPr>
      <w:r>
        <w:rPr>
          <w:shd w:fill="D9D9D9" w:color="auto" w:val="clear"/>
        </w:rPr>
        <w:t>因酗酒或药物滥用导致的深度昏迷不在保障范围内。</w:t>
      </w:r>
    </w:p>
    <w:p>
      <w:pPr>
        <w:tabs>
          <w:tab w:pos="2979" w:val="left" w:leader="none"/>
        </w:tabs>
        <w:spacing w:before="142"/>
        <w:ind w:left="1096" w:right="0" w:firstLine="0"/>
        <w:jc w:val="left"/>
        <w:rPr>
          <w:sz w:val="21"/>
        </w:rPr>
      </w:pPr>
      <w:r>
        <w:rPr>
          <w:rFonts w:ascii="Microsoft JhengHei" w:eastAsia="Microsoft JhengHei" w:hint="eastAsia"/>
          <w:b/>
          <w:position w:val="1"/>
          <w:sz w:val="24"/>
        </w:rPr>
        <w:t>双耳失聪</w:t>
        <w:tab/>
      </w:r>
      <w:r>
        <w:rPr>
          <w:w w:val="95"/>
          <w:sz w:val="21"/>
        </w:rPr>
        <w:t>指因疾病或意外伤害导致双耳听力</w:t>
      </w:r>
      <w:r>
        <w:rPr>
          <w:rFonts w:ascii="黑体" w:eastAsia="黑体" w:hint="eastAsia"/>
          <w:b/>
          <w:w w:val="95"/>
          <w:sz w:val="21"/>
        </w:rPr>
        <w:t>永久不可</w:t>
      </w:r>
      <w:r>
        <w:rPr>
          <w:rFonts w:ascii="黑体" w:eastAsia="黑体" w:hint="eastAsia"/>
          <w:b/>
          <w:spacing w:val="-42"/>
          <w:w w:val="95"/>
          <w:sz w:val="21"/>
        </w:rPr>
        <w:t>逆</w:t>
      </w:r>
      <w:r>
        <w:rPr>
          <w:w w:val="95"/>
          <w:sz w:val="21"/>
        </w:rPr>
        <w:t>（见</w:t>
      </w:r>
      <w:r>
        <w:rPr>
          <w:spacing w:val="-12"/>
          <w:w w:val="95"/>
          <w:sz w:val="21"/>
        </w:rPr>
        <w:t>7.9）</w:t>
      </w:r>
      <w:r>
        <w:rPr>
          <w:w w:val="95"/>
          <w:sz w:val="21"/>
        </w:rPr>
        <w:t>性丧失</w:t>
      </w:r>
      <w:r>
        <w:rPr>
          <w:spacing w:val="-45"/>
          <w:w w:val="95"/>
          <w:sz w:val="21"/>
        </w:rPr>
        <w:t>，</w:t>
      </w:r>
      <w:r>
        <w:rPr>
          <w:w w:val="95"/>
          <w:sz w:val="21"/>
        </w:rPr>
        <w:t>在500赫兹、</w:t>
      </w:r>
    </w:p>
    <w:p>
      <w:pPr>
        <w:pStyle w:val="BodyText"/>
        <w:spacing w:line="273" w:lineRule="auto" w:before="15"/>
        <w:ind w:left="2979" w:right="111"/>
      </w:pPr>
      <w:r>
        <w:rPr/>
        <w:t>1000赫兹和2000</w:t>
      </w:r>
      <w:r>
        <w:rPr>
          <w:spacing w:val="-8"/>
        </w:rPr>
        <w:t>赫兹语音频率下，平均听阈大于</w:t>
      </w:r>
      <w:r>
        <w:rPr/>
        <w:t>90</w:t>
      </w:r>
      <w:r>
        <w:rPr>
          <w:spacing w:val="-9"/>
        </w:rPr>
        <w:t>分贝，且经纯音听力测试、声导抗检测或听觉诱发电位检测等证实。</w:t>
      </w:r>
    </w:p>
    <w:p>
      <w:pPr>
        <w:pStyle w:val="BodyText"/>
        <w:spacing w:before="7"/>
        <w:ind w:left="2979"/>
      </w:pPr>
      <w:r>
        <w:rPr>
          <w:shd w:fill="D9D9D9" w:color="auto" w:val="clear"/>
        </w:rPr>
        <w:t>在 0 至 3 周岁保单周年日期间，被保险人双耳失聪不在保障范围内。</w:t>
      </w:r>
    </w:p>
    <w:p>
      <w:pPr>
        <w:pStyle w:val="BodyText"/>
        <w:spacing w:before="12"/>
        <w:rPr>
          <w:sz w:val="15"/>
        </w:rPr>
      </w:pPr>
    </w:p>
    <w:p>
      <w:pPr>
        <w:pStyle w:val="BodyText"/>
        <w:tabs>
          <w:tab w:pos="2979" w:val="left" w:leader="none"/>
        </w:tabs>
        <w:spacing w:line="223" w:lineRule="auto" w:before="1"/>
        <w:ind w:left="2979" w:right="216" w:hanging="1883"/>
      </w:pPr>
      <w:r>
        <w:rPr>
          <w:rFonts w:ascii="Microsoft JhengHei" w:eastAsia="Microsoft JhengHei" w:hint="eastAsia"/>
          <w:b/>
          <w:position w:val="-2"/>
          <w:sz w:val="24"/>
        </w:rPr>
        <w:t>双目失明</w:t>
        <w:tab/>
      </w:r>
      <w:r>
        <w:rPr/>
        <w:t>指因疾病或意外伤害导致双眼视力永久不可逆性丧失</w:t>
      </w:r>
      <w:r>
        <w:rPr>
          <w:spacing w:val="-23"/>
        </w:rPr>
        <w:t>，</w:t>
      </w:r>
      <w:r>
        <w:rPr/>
        <w:t>双眼中较好眼须满足下列至少一项条件：</w:t>
      </w:r>
    </w:p>
    <w:p>
      <w:pPr>
        <w:pStyle w:val="BodyText"/>
        <w:spacing w:before="37"/>
        <w:ind w:left="2979"/>
      </w:pPr>
      <w:r>
        <w:rPr/>
        <w:t>（1）眼球缺失或摘除；</w:t>
      </w:r>
    </w:p>
    <w:p>
      <w:pPr>
        <w:pStyle w:val="BodyText"/>
        <w:spacing w:line="273" w:lineRule="auto" w:before="37"/>
        <w:ind w:left="3504" w:right="213" w:hanging="526"/>
      </w:pPr>
      <w:r>
        <w:rPr/>
        <w:t>（2）矫正视力低于0.02（采用国际标准视力表，如果使用其他视力表应进行换算）；</w:t>
      </w:r>
    </w:p>
    <w:p>
      <w:pPr>
        <w:pStyle w:val="BodyText"/>
        <w:spacing w:before="8"/>
        <w:ind w:left="2979"/>
      </w:pPr>
      <w:r>
        <w:rPr/>
        <w:t>（3）视野半径小于 5 度。</w:t>
      </w:r>
    </w:p>
    <w:p>
      <w:pPr>
        <w:spacing w:after="0"/>
        <w:sectPr>
          <w:type w:val="continuous"/>
          <w:pgSz w:w="11910" w:h="16840"/>
          <w:pgMar w:top="820" w:bottom="860" w:left="940" w:right="860"/>
        </w:sectPr>
      </w:pPr>
    </w:p>
    <w:p>
      <w:pPr>
        <w:pStyle w:val="BodyText"/>
        <w:rPr>
          <w:sz w:val="20"/>
        </w:rPr>
      </w:pPr>
    </w:p>
    <w:p>
      <w:pPr>
        <w:pStyle w:val="BodyText"/>
        <w:rPr>
          <w:sz w:val="20"/>
        </w:rPr>
      </w:pPr>
    </w:p>
    <w:p>
      <w:pPr>
        <w:pStyle w:val="BodyText"/>
        <w:spacing w:before="5"/>
        <w:rPr>
          <w:sz w:val="18"/>
        </w:rPr>
      </w:pPr>
    </w:p>
    <w:p>
      <w:pPr>
        <w:pStyle w:val="BodyText"/>
        <w:tabs>
          <w:tab w:pos="2979" w:val="left" w:leader="none"/>
        </w:tabs>
        <w:spacing w:line="349" w:lineRule="exact"/>
        <w:ind w:left="1096"/>
      </w:pPr>
      <w:r>
        <w:rPr>
          <w:rFonts w:ascii="Microsoft JhengHei" w:eastAsia="Microsoft JhengHei" w:hint="eastAsia"/>
          <w:b/>
          <w:position w:val="1"/>
          <w:sz w:val="24"/>
        </w:rPr>
        <w:t>瘫痪</w:t>
        <w:tab/>
      </w:r>
      <w:r>
        <w:rPr/>
        <w:t>指因疾病或意外伤害导致两肢或两肢以上肢体机能永久完全丧失</w:t>
      </w:r>
      <w:r>
        <w:rPr>
          <w:spacing w:val="-23"/>
        </w:rPr>
        <w:t>。</w:t>
      </w:r>
      <w:r>
        <w:rPr/>
        <w:t>肢体机能</w:t>
      </w:r>
    </w:p>
    <w:p>
      <w:pPr>
        <w:pStyle w:val="BodyText"/>
        <w:spacing w:line="273" w:lineRule="auto" w:before="15"/>
        <w:ind w:left="2979" w:right="217"/>
      </w:pPr>
      <w:r>
        <w:rPr>
          <w:spacing w:val="-6"/>
        </w:rPr>
        <w:t>永久完全丧失，指疾病确诊 </w:t>
      </w:r>
      <w:r>
        <w:rPr/>
        <w:t>180</w:t>
      </w:r>
      <w:r>
        <w:rPr>
          <w:spacing w:val="-13"/>
        </w:rPr>
        <w:t> 天后或意外伤害发生 </w:t>
      </w:r>
      <w:r>
        <w:rPr/>
        <w:t>180</w:t>
      </w:r>
      <w:r>
        <w:rPr>
          <w:spacing w:val="-9"/>
        </w:rPr>
        <w:t> 天后，每肢三大关节中的两大关节仍然完全僵硬，或不能随意识活动。</w:t>
      </w:r>
    </w:p>
    <w:p>
      <w:pPr>
        <w:pStyle w:val="BodyText"/>
        <w:tabs>
          <w:tab w:pos="2979" w:val="left" w:leader="none"/>
        </w:tabs>
        <w:spacing w:line="249" w:lineRule="auto" w:before="112"/>
        <w:ind w:left="2979" w:right="212" w:hanging="1883"/>
      </w:pPr>
      <w:r>
        <w:rPr>
          <w:rFonts w:ascii="Microsoft JhengHei" w:eastAsia="Microsoft JhengHei" w:hint="eastAsia"/>
          <w:b/>
          <w:position w:val="1"/>
          <w:sz w:val="24"/>
        </w:rPr>
        <w:t>心脏瓣膜手术</w:t>
        <w:tab/>
      </w:r>
      <w:r>
        <w:rPr>
          <w:spacing w:val="5"/>
        </w:rPr>
        <w:t>指为治疗心脏瓣膜疾病，实际实施了开胸进行的心脏瓣膜置换或修复的手 </w:t>
      </w:r>
      <w:r>
        <w:rPr/>
        <w:t>术。</w:t>
      </w:r>
    </w:p>
    <w:p>
      <w:pPr>
        <w:pStyle w:val="BodyText"/>
        <w:spacing w:before="6"/>
        <w:rPr>
          <w:sz w:val="15"/>
        </w:rPr>
      </w:pPr>
    </w:p>
    <w:p>
      <w:pPr>
        <w:spacing w:after="0"/>
        <w:rPr>
          <w:sz w:val="15"/>
        </w:rPr>
        <w:sectPr>
          <w:pgSz w:w="11910" w:h="16840"/>
          <w:pgMar w:header="594" w:footer="666" w:top="820" w:bottom="860" w:left="940" w:right="860"/>
        </w:sectPr>
      </w:pPr>
    </w:p>
    <w:p>
      <w:pPr>
        <w:pStyle w:val="Heading2"/>
        <w:spacing w:line="182" w:lineRule="auto" w:before="35"/>
      </w:pPr>
      <w:r>
        <w:rPr/>
        <w:t>严重阿尔茨海默病</w:t>
      </w:r>
    </w:p>
    <w:p>
      <w:pPr>
        <w:pStyle w:val="BodyText"/>
        <w:spacing w:line="273" w:lineRule="auto" w:before="52"/>
        <w:ind w:left="130" w:right="214"/>
        <w:jc w:val="both"/>
      </w:pPr>
      <w:r>
        <w:rPr/>
        <w:br w:type="column"/>
      </w:r>
      <w:r>
        <w:rPr>
          <w:spacing w:val="-3"/>
        </w:rPr>
        <w:t>指因大脑进行性、不可逆性改变导致智能严重衰退或丧失，临床表现为明显</w:t>
      </w:r>
      <w:r>
        <w:rPr>
          <w:spacing w:val="-6"/>
        </w:rPr>
        <w:t>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BodyText"/>
        <w:spacing w:before="7"/>
        <w:ind w:left="130"/>
        <w:jc w:val="both"/>
      </w:pPr>
      <w:r>
        <w:rPr>
          <w:shd w:fill="D9D9D9" w:color="auto" w:val="clear"/>
        </w:rPr>
        <w:t>神经官能症和精神疾病不在保障范围内。</w:t>
      </w:r>
    </w:p>
    <w:p>
      <w:pPr>
        <w:spacing w:after="0"/>
        <w:jc w:val="both"/>
        <w:sectPr>
          <w:type w:val="continuous"/>
          <w:pgSz w:w="11910" w:h="16840"/>
          <w:pgMar w:top="820" w:bottom="860" w:left="940" w:right="860"/>
          <w:cols w:num="2" w:equalWidth="0">
            <w:col w:w="2809" w:space="40"/>
            <w:col w:w="7261"/>
          </w:cols>
        </w:sectPr>
      </w:pPr>
    </w:p>
    <w:p>
      <w:pPr>
        <w:pStyle w:val="BodyText"/>
        <w:spacing w:before="7"/>
        <w:rPr>
          <w:sz w:val="17"/>
        </w:rPr>
      </w:pPr>
    </w:p>
    <w:p>
      <w:pPr>
        <w:pStyle w:val="BodyText"/>
        <w:tabs>
          <w:tab w:pos="2979" w:val="left" w:leader="none"/>
        </w:tabs>
        <w:spacing w:line="360" w:lineRule="exact"/>
        <w:ind w:left="1096"/>
      </w:pPr>
      <w:r>
        <w:rPr>
          <w:rFonts w:ascii="Microsoft JhengHei" w:eastAsia="Microsoft JhengHei" w:hint="eastAsia"/>
          <w:b/>
          <w:position w:val="-2"/>
          <w:sz w:val="24"/>
        </w:rPr>
        <w:t>严重脑损伤</w:t>
        <w:tab/>
      </w:r>
      <w:r>
        <w:rPr/>
        <w:t>指因头部遭受机械性外力</w:t>
      </w:r>
      <w:r>
        <w:rPr>
          <w:spacing w:val="-12"/>
        </w:rPr>
        <w:t>，</w:t>
      </w:r>
      <w:r>
        <w:rPr/>
        <w:t>引起脑重要部位损伤</w:t>
      </w:r>
      <w:r>
        <w:rPr>
          <w:spacing w:val="-12"/>
        </w:rPr>
        <w:t>，</w:t>
      </w:r>
      <w:r>
        <w:rPr/>
        <w:t>导致神经系统永久性的功</w:t>
      </w:r>
    </w:p>
    <w:p>
      <w:pPr>
        <w:pStyle w:val="BodyText"/>
        <w:spacing w:line="273" w:lineRule="auto"/>
        <w:ind w:left="2979" w:right="214"/>
      </w:pPr>
      <w:r>
        <w:rPr/>
        <w:t>能障碍。须由头颅断层扫描（CT）、核磁共振检查（MRI）或正电子发射断层扫描（PET）等影像学检查证实。神经系统永久性的功能障碍，指脑损伤</w:t>
      </w:r>
    </w:p>
    <w:p>
      <w:pPr>
        <w:pStyle w:val="BodyText"/>
        <w:spacing w:before="20"/>
        <w:ind w:left="2979"/>
      </w:pPr>
      <w:r>
        <w:rPr/>
        <w:t>180天后，仍遗留下列一种或一种以上障碍：</w:t>
      </w:r>
    </w:p>
    <w:p>
      <w:pPr>
        <w:pStyle w:val="BodyText"/>
        <w:spacing w:before="37"/>
        <w:ind w:left="2979"/>
      </w:pPr>
      <w:r>
        <w:rPr/>
        <w:t>（1）一肢或一肢以上肢体机能完全丧失；</w:t>
      </w:r>
    </w:p>
    <w:p>
      <w:pPr>
        <w:pStyle w:val="BodyText"/>
        <w:spacing w:before="37"/>
        <w:ind w:left="2979"/>
      </w:pPr>
      <w:r>
        <w:rPr/>
        <w:t>（2）语言能力或咀嚼吞咽能力完全丧失；</w:t>
      </w:r>
    </w:p>
    <w:p>
      <w:pPr>
        <w:pStyle w:val="BodyText"/>
        <w:spacing w:line="273" w:lineRule="auto" w:before="37"/>
        <w:ind w:left="2979" w:right="212"/>
      </w:pPr>
      <w:r>
        <w:rPr/>
        <w:t>（3）自主生活能力完全丧失，无法独立完成六项基本日常生活活动中的三项或三项以上。</w:t>
      </w:r>
    </w:p>
    <w:p>
      <w:pPr>
        <w:pStyle w:val="BodyText"/>
        <w:tabs>
          <w:tab w:pos="2979" w:val="left" w:leader="none"/>
        </w:tabs>
        <w:spacing w:line="249" w:lineRule="auto" w:before="113"/>
        <w:ind w:left="2979" w:right="214" w:hanging="1883"/>
      </w:pPr>
      <w:r>
        <w:rPr>
          <w:rFonts w:ascii="Microsoft JhengHei" w:eastAsia="Microsoft JhengHei" w:hint="eastAsia"/>
          <w:b/>
          <w:position w:val="1"/>
          <w:sz w:val="24"/>
        </w:rPr>
        <w:t>严重帕金森病</w:t>
        <w:tab/>
      </w:r>
      <w:r>
        <w:rPr/>
        <w:t>是一种中枢神经系统的退行性疾病</w:t>
      </w:r>
      <w:r>
        <w:rPr>
          <w:spacing w:val="-8"/>
        </w:rPr>
        <w:t>，</w:t>
      </w:r>
      <w:r>
        <w:rPr/>
        <w:t>临床表现为震颤麻痹</w:t>
      </w:r>
      <w:r>
        <w:rPr>
          <w:spacing w:val="-8"/>
        </w:rPr>
        <w:t>、</w:t>
      </w:r>
      <w:r>
        <w:rPr/>
        <w:t>共济失调等</w:t>
      </w:r>
      <w:r>
        <w:rPr>
          <w:spacing w:val="-8"/>
        </w:rPr>
        <w:t>。</w:t>
      </w:r>
      <w:r>
        <w:rPr/>
        <w:t>须满足下列全部条件：</w:t>
      </w:r>
    </w:p>
    <w:p>
      <w:pPr>
        <w:pStyle w:val="BodyText"/>
        <w:spacing w:before="29"/>
        <w:ind w:left="2979"/>
      </w:pPr>
      <w:r>
        <w:rPr/>
        <w:t>（1）药物治疗无法控制病情；</w:t>
      </w:r>
    </w:p>
    <w:p>
      <w:pPr>
        <w:pStyle w:val="BodyText"/>
        <w:spacing w:line="273" w:lineRule="auto" w:before="37"/>
        <w:ind w:left="3504" w:right="212" w:hanging="526"/>
      </w:pPr>
      <w:r>
        <w:rPr/>
        <w:t>（2）自主生活能力完全丧失，无法独立完成六项基本日常生活活动中的三项或三项以上。</w:t>
      </w:r>
    </w:p>
    <w:p>
      <w:pPr>
        <w:pStyle w:val="BodyText"/>
        <w:spacing w:before="7"/>
        <w:ind w:left="2979"/>
      </w:pPr>
      <w:r>
        <w:rPr>
          <w:shd w:fill="D9D9D9" w:color="auto" w:val="clear"/>
        </w:rPr>
        <w:t>继发性帕金森综合征不在保障范围内。</w:t>
      </w:r>
    </w:p>
    <w:p>
      <w:pPr>
        <w:pStyle w:val="BodyText"/>
        <w:tabs>
          <w:tab w:pos="2979" w:val="left" w:leader="none"/>
        </w:tabs>
        <w:spacing w:line="249" w:lineRule="auto" w:before="142"/>
        <w:ind w:left="2979" w:right="110" w:hanging="1883"/>
      </w:pPr>
      <w:r>
        <w:rPr>
          <w:rFonts w:ascii="Microsoft JhengHei" w:hAnsi="Microsoft JhengHei" w:eastAsia="Microsoft JhengHei" w:hint="eastAsia"/>
          <w:b/>
          <w:position w:val="1"/>
          <w:sz w:val="24"/>
        </w:rPr>
        <w:t>严重Ⅲ度烧伤</w:t>
        <w:tab/>
      </w:r>
      <w:r>
        <w:rPr/>
        <w:t>指烧伤程度为Ⅲ度</w:t>
      </w:r>
      <w:r>
        <w:rPr>
          <w:spacing w:val="-23"/>
        </w:rPr>
        <w:t>，</w:t>
      </w:r>
      <w:r>
        <w:rPr/>
        <w:t>且Ⅲ度烧伤的面积达到全身体表面积的</w:t>
      </w:r>
      <w:r>
        <w:rPr>
          <w:spacing w:val="-53"/>
        </w:rPr>
        <w:t> </w:t>
      </w:r>
      <w:r>
        <w:rPr/>
        <w:t>20%或</w:t>
      </w:r>
      <w:r>
        <w:rPr>
          <w:spacing w:val="-54"/>
        </w:rPr>
        <w:t> </w:t>
      </w:r>
      <w:r>
        <w:rPr/>
        <w:t>20%以上。体表面积根据《中国新九分法》计算。</w:t>
      </w:r>
    </w:p>
    <w:p>
      <w:pPr>
        <w:pStyle w:val="BodyText"/>
        <w:spacing w:before="10"/>
        <w:rPr>
          <w:sz w:val="16"/>
        </w:rPr>
      </w:pPr>
    </w:p>
    <w:p>
      <w:pPr>
        <w:spacing w:after="0"/>
        <w:rPr>
          <w:sz w:val="16"/>
        </w:rPr>
        <w:sectPr>
          <w:type w:val="continuous"/>
          <w:pgSz w:w="11910" w:h="16840"/>
          <w:pgMar w:top="820" w:bottom="860" w:left="940" w:right="860"/>
        </w:sectPr>
      </w:pPr>
    </w:p>
    <w:p>
      <w:pPr>
        <w:pStyle w:val="Heading2"/>
        <w:spacing w:line="182" w:lineRule="auto" w:before="49"/>
      </w:pPr>
      <w:r>
        <w:rPr/>
        <w:t>严重原发性肺动脉高压</w:t>
      </w:r>
    </w:p>
    <w:p>
      <w:pPr>
        <w:pStyle w:val="BodyText"/>
        <w:spacing w:line="273" w:lineRule="auto" w:before="36"/>
        <w:ind w:left="130" w:right="216"/>
        <w:jc w:val="both"/>
      </w:pPr>
      <w:r>
        <w:rPr/>
        <w:br w:type="column"/>
      </w:r>
      <w:r>
        <w:rPr>
          <w:spacing w:val="-2"/>
        </w:rPr>
        <w:t>指不明原因的肺动脉压力持续性增高，进行性发展而导致的慢性疾病，已经</w:t>
      </w:r>
      <w:r>
        <w:rPr>
          <w:spacing w:val="-4"/>
        </w:rPr>
        <w:t>造成永久不可逆性的体力活动能力受限，达到美国纽约心脏病学会心功能状</w:t>
      </w:r>
      <w:r>
        <w:rPr>
          <w:spacing w:val="-19"/>
        </w:rPr>
        <w:t>态分级 </w:t>
      </w:r>
      <w:r>
        <w:rPr/>
        <w:t>IV</w:t>
      </w:r>
      <w:r>
        <w:rPr>
          <w:spacing w:val="-11"/>
        </w:rPr>
        <w:t> 级，且静息状态下肺动脉平均压超过 </w:t>
      </w:r>
      <w:r>
        <w:rPr/>
        <w:t>30mmHg。</w:t>
      </w:r>
    </w:p>
    <w:p>
      <w:pPr>
        <w:spacing w:after="0" w:line="273" w:lineRule="auto"/>
        <w:jc w:val="both"/>
        <w:sectPr>
          <w:type w:val="continuous"/>
          <w:pgSz w:w="11910" w:h="16840"/>
          <w:pgMar w:top="820" w:bottom="860" w:left="940" w:right="860"/>
          <w:cols w:num="2" w:equalWidth="0">
            <w:col w:w="2809" w:space="40"/>
            <w:col w:w="7261"/>
          </w:cols>
        </w:sectPr>
      </w:pPr>
    </w:p>
    <w:p>
      <w:pPr>
        <w:pStyle w:val="BodyText"/>
        <w:spacing w:before="3"/>
        <w:rPr>
          <w:sz w:val="15"/>
        </w:rPr>
      </w:pPr>
    </w:p>
    <w:p>
      <w:pPr>
        <w:spacing w:after="0"/>
        <w:rPr>
          <w:sz w:val="15"/>
        </w:rPr>
        <w:sectPr>
          <w:type w:val="continuous"/>
          <w:pgSz w:w="11910" w:h="16840"/>
          <w:pgMar w:top="820" w:bottom="860" w:left="940" w:right="860"/>
        </w:sectPr>
      </w:pPr>
    </w:p>
    <w:p>
      <w:pPr>
        <w:pStyle w:val="Heading2"/>
        <w:spacing w:line="182" w:lineRule="auto" w:before="48"/>
      </w:pPr>
      <w:r>
        <w:rPr/>
        <w:t>严重运动神经元病</w:t>
      </w:r>
    </w:p>
    <w:p>
      <w:pPr>
        <w:pStyle w:val="BodyText"/>
        <w:spacing w:line="273" w:lineRule="auto" w:before="35"/>
        <w:ind w:left="130" w:right="211"/>
        <w:jc w:val="both"/>
      </w:pPr>
      <w:r>
        <w:rPr/>
        <w:br w:type="column"/>
      </w:r>
      <w:r>
        <w:rPr>
          <w:spacing w:val="5"/>
        </w:rPr>
        <w:t>是一组中枢神经系统运动神经元的进行性变性疾病，包括进行性脊肌萎缩</w:t>
      </w:r>
      <w:r>
        <w:rPr>
          <w:spacing w:val="-6"/>
        </w:rPr>
        <w:t>症、进行性延髓麻痹症、原发性侧索硬化症、肌萎缩性侧索硬化症。须满足</w:t>
      </w:r>
      <w:r>
        <w:rPr>
          <w:spacing w:val="-8"/>
        </w:rPr>
        <w:t>自主生活能力完全丧失，无法独立完成六项基本日常生活活动中的三项或三项以上的条件。</w:t>
      </w:r>
    </w:p>
    <w:p>
      <w:pPr>
        <w:spacing w:after="0" w:line="273" w:lineRule="auto"/>
        <w:jc w:val="both"/>
        <w:sectPr>
          <w:type w:val="continuous"/>
          <w:pgSz w:w="11910" w:h="16840"/>
          <w:pgMar w:top="820" w:bottom="860" w:left="940" w:right="860"/>
          <w:cols w:num="2" w:equalWidth="0">
            <w:col w:w="2809" w:space="40"/>
            <w:col w:w="7261"/>
          </w:cols>
        </w:sectPr>
      </w:pPr>
    </w:p>
    <w:p>
      <w:pPr>
        <w:pStyle w:val="BodyText"/>
        <w:spacing w:before="2"/>
        <w:rPr>
          <w:sz w:val="15"/>
        </w:rPr>
      </w:pPr>
    </w:p>
    <w:p>
      <w:pPr>
        <w:pStyle w:val="BodyText"/>
        <w:tabs>
          <w:tab w:pos="2979" w:val="left" w:leader="none"/>
        </w:tabs>
        <w:spacing w:line="360" w:lineRule="exact"/>
        <w:ind w:left="1096"/>
      </w:pPr>
      <w:r>
        <w:rPr>
          <w:rFonts w:ascii="Microsoft JhengHei" w:eastAsia="Microsoft JhengHei" w:hint="eastAsia"/>
          <w:b/>
          <w:position w:val="-2"/>
          <w:sz w:val="24"/>
        </w:rPr>
        <w:t>语言能力丧失</w:t>
        <w:tab/>
      </w:r>
      <w:r>
        <w:rPr>
          <w:spacing w:val="-1"/>
        </w:rPr>
        <w:t>指因</w:t>
      </w:r>
      <w:r>
        <w:rPr/>
        <w:t>疾病或意外伤害导致完全丧失语言能力</w:t>
      </w:r>
      <w:r>
        <w:rPr>
          <w:spacing w:val="-12"/>
        </w:rPr>
        <w:t>，</w:t>
      </w:r>
      <w:r>
        <w:rPr/>
        <w:t>经过积极治疗至少12个</w:t>
      </w:r>
      <w:r>
        <w:rPr>
          <w:spacing w:val="-12"/>
        </w:rPr>
        <w:t>月</w:t>
      </w:r>
      <w:r>
        <w:rPr/>
        <w:t>（声</w:t>
      </w:r>
    </w:p>
    <w:p>
      <w:pPr>
        <w:pStyle w:val="BodyText"/>
        <w:spacing w:line="273" w:lineRule="auto"/>
        <w:ind w:left="2979" w:right="1243"/>
      </w:pPr>
      <w:r>
        <w:rPr/>
        <w:t>带完全切除不受此时间限制），仍无法通过现有医疗手段恢复。</w:t>
      </w:r>
      <w:r>
        <w:rPr>
          <w:shd w:fill="D9D9D9" w:color="auto" w:val="clear"/>
        </w:rPr>
        <w:t>精神心理因素所致的语言能力丧失不在保障范围内。</w:t>
      </w:r>
    </w:p>
    <w:p>
      <w:pPr>
        <w:pStyle w:val="BodyText"/>
        <w:spacing w:before="20"/>
        <w:ind w:left="2979"/>
      </w:pPr>
      <w:r>
        <w:rPr>
          <w:shd w:fill="D9D9D9" w:color="auto" w:val="clear"/>
        </w:rPr>
        <w:t>在 0 至 3 周岁保单周年日期间，被保险人语言能力丧失不在保障范围内</w:t>
      </w:r>
      <w:r>
        <w:rPr/>
        <w:t>。</w:t>
      </w:r>
    </w:p>
    <w:p>
      <w:pPr>
        <w:spacing w:after="0"/>
        <w:sectPr>
          <w:type w:val="continuous"/>
          <w:pgSz w:w="11910" w:h="16840"/>
          <w:pgMar w:top="820" w:bottom="860" w:left="940" w:right="860"/>
        </w:sectPr>
      </w:pPr>
    </w:p>
    <w:p>
      <w:pPr>
        <w:pStyle w:val="BodyText"/>
        <w:rPr>
          <w:sz w:val="20"/>
        </w:rPr>
      </w:pPr>
    </w:p>
    <w:p>
      <w:pPr>
        <w:pStyle w:val="BodyText"/>
        <w:rPr>
          <w:sz w:val="20"/>
        </w:rPr>
      </w:pPr>
    </w:p>
    <w:p>
      <w:pPr>
        <w:pStyle w:val="BodyText"/>
        <w:spacing w:before="9"/>
        <w:rPr>
          <w:sz w:val="19"/>
        </w:rPr>
      </w:pPr>
    </w:p>
    <w:p>
      <w:pPr>
        <w:spacing w:after="0"/>
        <w:rPr>
          <w:sz w:val="19"/>
        </w:rPr>
        <w:sectPr>
          <w:pgSz w:w="11910" w:h="16840"/>
          <w:pgMar w:header="594" w:footer="666" w:top="820" w:bottom="860" w:left="920" w:right="820"/>
        </w:sectPr>
      </w:pPr>
    </w:p>
    <w:p>
      <w:pPr>
        <w:pStyle w:val="Heading2"/>
        <w:spacing w:line="182" w:lineRule="auto" w:before="48"/>
        <w:ind w:left="1116"/>
      </w:pPr>
      <w:r>
        <w:rPr/>
        <w:t>重型再生障碍性贫血</w:t>
      </w:r>
    </w:p>
    <w:p>
      <w:pPr>
        <w:pStyle w:val="BodyText"/>
        <w:spacing w:line="273" w:lineRule="auto" w:before="35"/>
        <w:ind w:left="130" w:right="208"/>
      </w:pPr>
      <w:r>
        <w:rPr/>
        <w:br w:type="column"/>
      </w:r>
      <w:r>
        <w:rPr/>
        <w:t>指因骨髓造血功能慢性持续性衰竭导致的贫血、中性粒细胞减少及血小板减少。须满足下列全部条件：</w:t>
      </w:r>
    </w:p>
    <w:p>
      <w:pPr>
        <w:pStyle w:val="BodyText"/>
        <w:spacing w:before="7"/>
        <w:ind w:left="130"/>
      </w:pPr>
      <w:r>
        <w:rPr/>
        <w:t>（1）骨髓穿刺检查或骨髓活检结果支持诊断；</w:t>
      </w:r>
    </w:p>
    <w:p>
      <w:pPr>
        <w:pStyle w:val="BodyText"/>
        <w:spacing w:before="37"/>
        <w:ind w:left="130"/>
      </w:pPr>
      <w:r>
        <w:rPr/>
        <w:t>（2）外周血象须具备以下三项条件：</w:t>
      </w:r>
    </w:p>
    <w:p>
      <w:pPr>
        <w:pStyle w:val="BodyText"/>
        <w:spacing w:before="37"/>
        <w:ind w:left="655"/>
      </w:pPr>
      <w:r>
        <w:rPr/>
        <w:t>①中性粒细胞绝对值≤0.5×10</w:t>
      </w:r>
      <w:r>
        <w:rPr>
          <w:position w:val="11"/>
          <w:sz w:val="11"/>
        </w:rPr>
        <w:t>9</w:t>
      </w:r>
      <w:r>
        <w:rPr/>
        <w:t>/L；</w:t>
      </w:r>
    </w:p>
    <w:p>
      <w:pPr>
        <w:pStyle w:val="BodyText"/>
        <w:spacing w:before="37"/>
        <w:ind w:left="655"/>
      </w:pPr>
      <w:r>
        <w:rPr/>
        <w:t>②网织红细胞＜1%；</w:t>
      </w:r>
    </w:p>
    <w:p>
      <w:pPr>
        <w:pStyle w:val="BodyText"/>
        <w:spacing w:before="37"/>
        <w:ind w:left="655"/>
      </w:pPr>
      <w:r>
        <w:rPr/>
        <w:t>③血小板绝对值≤20×10</w:t>
      </w:r>
      <w:r>
        <w:rPr>
          <w:position w:val="11"/>
          <w:sz w:val="11"/>
        </w:rPr>
        <w:t>9</w:t>
      </w:r>
      <w:r>
        <w:rPr/>
        <w:t>/L。</w:t>
      </w:r>
    </w:p>
    <w:p>
      <w:pPr>
        <w:spacing w:after="0"/>
        <w:sectPr>
          <w:type w:val="continuous"/>
          <w:pgSz w:w="11910" w:h="16840"/>
          <w:pgMar w:top="820" w:bottom="860" w:left="920" w:right="820"/>
          <w:cols w:num="2" w:equalWidth="0">
            <w:col w:w="2829" w:space="40"/>
            <w:col w:w="7301"/>
          </w:cols>
        </w:sectPr>
      </w:pPr>
    </w:p>
    <w:p>
      <w:pPr>
        <w:pStyle w:val="BodyText"/>
        <w:spacing w:before="6"/>
        <w:rPr>
          <w:sz w:val="17"/>
        </w:rPr>
      </w:pPr>
    </w:p>
    <w:p>
      <w:pPr>
        <w:pStyle w:val="BodyText"/>
        <w:tabs>
          <w:tab w:pos="2999" w:val="left" w:leader="none"/>
        </w:tabs>
        <w:spacing w:line="360" w:lineRule="exact"/>
        <w:ind w:left="1116"/>
      </w:pPr>
      <w:r>
        <w:rPr>
          <w:rFonts w:ascii="Microsoft JhengHei" w:eastAsia="Microsoft JhengHei" w:hint="eastAsia"/>
          <w:b/>
          <w:position w:val="-2"/>
          <w:sz w:val="24"/>
        </w:rPr>
        <w:t>主动脉手术</w:t>
        <w:tab/>
      </w:r>
      <w:r>
        <w:rPr>
          <w:spacing w:val="-1"/>
        </w:rPr>
        <w:t>指为</w:t>
      </w:r>
      <w:r>
        <w:rPr/>
        <w:t>治疗主动脉疾病</w:t>
      </w:r>
      <w:r>
        <w:rPr>
          <w:spacing w:val="-8"/>
        </w:rPr>
        <w:t>，</w:t>
      </w:r>
      <w:r>
        <w:rPr/>
        <w:t>实际实施了开胸或开腹进行的切除</w:t>
      </w:r>
      <w:r>
        <w:rPr>
          <w:spacing w:val="-8"/>
        </w:rPr>
        <w:t>、</w:t>
      </w:r>
      <w:r>
        <w:rPr/>
        <w:t>置换</w:t>
      </w:r>
      <w:r>
        <w:rPr>
          <w:spacing w:val="-8"/>
        </w:rPr>
        <w:t>、</w:t>
      </w:r>
      <w:r>
        <w:rPr/>
        <w:t>修补病损</w:t>
      </w:r>
    </w:p>
    <w:p>
      <w:pPr>
        <w:pStyle w:val="BodyText"/>
        <w:spacing w:line="273" w:lineRule="auto"/>
        <w:ind w:left="2999" w:right="208"/>
      </w:pPr>
      <w:r>
        <w:rPr/>
        <w:t>主动脉血管的手术。主动脉指胸主动脉和腹主动脉，不包括胸主动脉和腹主动脉的分支血管。</w:t>
      </w:r>
    </w:p>
    <w:p>
      <w:pPr>
        <w:pStyle w:val="BodyText"/>
        <w:spacing w:before="20"/>
        <w:ind w:left="2999"/>
      </w:pPr>
      <w:r>
        <w:rPr>
          <w:shd w:fill="D9D9D9" w:color="auto" w:val="clear"/>
        </w:rPr>
        <w:t>动脉内血管成形术不在保障范围内。</w:t>
      </w:r>
    </w:p>
    <w:p>
      <w:pPr>
        <w:pStyle w:val="BodyText"/>
        <w:spacing w:before="2"/>
        <w:rPr>
          <w:sz w:val="20"/>
        </w:rPr>
      </w:pPr>
    </w:p>
    <w:p>
      <w:pPr>
        <w:pStyle w:val="ListParagraph"/>
        <w:numPr>
          <w:ilvl w:val="1"/>
          <w:numId w:val="8"/>
        </w:numPr>
        <w:tabs>
          <w:tab w:pos="1116" w:val="left" w:leader="none"/>
          <w:tab w:pos="1117" w:val="left" w:leader="none"/>
          <w:tab w:pos="2999" w:val="left" w:leader="none"/>
        </w:tabs>
        <w:spacing w:line="240" w:lineRule="auto" w:before="0" w:after="0"/>
        <w:ind w:left="1116" w:right="0" w:hanging="956"/>
        <w:jc w:val="left"/>
        <w:rPr>
          <w:sz w:val="21"/>
        </w:rPr>
      </w:pPr>
      <w:r>
        <w:rPr>
          <w:b/>
          <w:sz w:val="21"/>
        </w:rPr>
        <w:t>专科医生</w:t>
        <w:tab/>
      </w:r>
      <w:r>
        <w:rPr>
          <w:sz w:val="21"/>
        </w:rPr>
        <w:t>专科医生应当同时满足以下四项资格条件：</w:t>
      </w:r>
    </w:p>
    <w:p>
      <w:pPr>
        <w:pStyle w:val="BodyText"/>
        <w:spacing w:before="37"/>
        <w:ind w:left="2999"/>
      </w:pPr>
      <w:r>
        <w:rPr/>
        <w:t>（1）具有有效的中华人民共和国《医师资格证书》；</w:t>
      </w:r>
    </w:p>
    <w:p>
      <w:pPr>
        <w:pStyle w:val="BodyText"/>
        <w:spacing w:line="273" w:lineRule="auto" w:before="37"/>
        <w:ind w:left="3524" w:right="252" w:hanging="526"/>
      </w:pPr>
      <w:r>
        <w:rPr/>
        <w:t>（2）具有有效的中华人民共和国《医师执业证书》，并按期到相关部门登记注册；</w:t>
      </w:r>
    </w:p>
    <w:p>
      <w:pPr>
        <w:pStyle w:val="BodyText"/>
        <w:spacing w:line="273" w:lineRule="auto" w:before="7"/>
        <w:ind w:left="3524" w:right="252" w:hanging="526"/>
      </w:pPr>
      <w:r>
        <w:rPr/>
        <w:t>（3）具有有效的中华人民共和国主治医师或主治医师以上职称的《医师职称证书》；</w:t>
      </w:r>
    </w:p>
    <w:p>
      <w:pPr>
        <w:pStyle w:val="BodyText"/>
        <w:spacing w:before="6"/>
        <w:rPr>
          <w:sz w:val="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1999"/>
        <w:gridCol w:w="7212"/>
      </w:tblGrid>
      <w:tr>
        <w:trPr>
          <w:trHeight w:val="375" w:hRule="atLeast"/>
        </w:trPr>
        <w:tc>
          <w:tcPr>
            <w:tcW w:w="2739" w:type="dxa"/>
            <w:gridSpan w:val="2"/>
          </w:tcPr>
          <w:p>
            <w:pPr>
              <w:pStyle w:val="TableParagraph"/>
              <w:rPr>
                <w:rFonts w:ascii="Times New Roman"/>
                <w:sz w:val="20"/>
              </w:rPr>
            </w:pPr>
          </w:p>
        </w:tc>
        <w:tc>
          <w:tcPr>
            <w:tcW w:w="7212" w:type="dxa"/>
          </w:tcPr>
          <w:p>
            <w:pPr>
              <w:pStyle w:val="TableParagraph"/>
              <w:spacing w:line="210" w:lineRule="exact"/>
              <w:ind w:left="150"/>
              <w:rPr>
                <w:sz w:val="21"/>
              </w:rPr>
            </w:pPr>
            <w:r>
              <w:rPr>
                <w:sz w:val="21"/>
              </w:rPr>
              <w:t>（4）在二级或二级以上医院的相应科室从事临床工作三年以上。</w:t>
            </w:r>
          </w:p>
        </w:tc>
      </w:tr>
      <w:tr>
        <w:trPr>
          <w:trHeight w:val="851" w:hRule="atLeast"/>
        </w:trPr>
        <w:tc>
          <w:tcPr>
            <w:tcW w:w="740" w:type="dxa"/>
          </w:tcPr>
          <w:p>
            <w:pPr>
              <w:pStyle w:val="TableParagraph"/>
              <w:spacing w:before="131"/>
              <w:ind w:left="50"/>
              <w:rPr>
                <w:b/>
                <w:sz w:val="21"/>
              </w:rPr>
            </w:pPr>
            <w:r>
              <w:rPr>
                <w:b/>
                <w:sz w:val="21"/>
              </w:rPr>
              <w:t>7.6</w:t>
            </w:r>
          </w:p>
        </w:tc>
        <w:tc>
          <w:tcPr>
            <w:tcW w:w="1999" w:type="dxa"/>
          </w:tcPr>
          <w:p>
            <w:pPr>
              <w:pStyle w:val="TableParagraph"/>
              <w:spacing w:before="110"/>
              <w:ind w:left="266" w:right="93"/>
              <w:rPr>
                <w:b/>
                <w:sz w:val="21"/>
              </w:rPr>
            </w:pPr>
            <w:r>
              <w:rPr>
                <w:b/>
                <w:sz w:val="21"/>
              </w:rPr>
              <w:t>肢体机能完全丧失</w:t>
            </w:r>
          </w:p>
        </w:tc>
        <w:tc>
          <w:tcPr>
            <w:tcW w:w="7212" w:type="dxa"/>
          </w:tcPr>
          <w:p>
            <w:pPr>
              <w:pStyle w:val="TableParagraph"/>
              <w:spacing w:line="273" w:lineRule="auto" w:before="100"/>
              <w:ind w:left="96" w:right="151"/>
              <w:rPr>
                <w:sz w:val="21"/>
              </w:rPr>
            </w:pPr>
            <w:r>
              <w:rPr>
                <w:sz w:val="21"/>
              </w:rPr>
              <w:t>肢体机能完全丧失是指肢体的三大关节中的两大关节僵硬，或不能随意识活动。肢体是指包括肩关节的整个上肢或包括髋关节的整个下肢。</w:t>
            </w:r>
          </w:p>
        </w:tc>
      </w:tr>
      <w:tr>
        <w:trPr>
          <w:trHeight w:val="737" w:hRule="atLeast"/>
        </w:trPr>
        <w:tc>
          <w:tcPr>
            <w:tcW w:w="740" w:type="dxa"/>
          </w:tcPr>
          <w:p>
            <w:pPr>
              <w:pStyle w:val="TableParagraph"/>
              <w:spacing w:before="130"/>
              <w:ind w:left="50"/>
              <w:rPr>
                <w:b/>
                <w:sz w:val="21"/>
              </w:rPr>
            </w:pPr>
            <w:r>
              <w:rPr>
                <w:b/>
                <w:sz w:val="21"/>
              </w:rPr>
              <w:t>7.7</w:t>
            </w:r>
          </w:p>
        </w:tc>
        <w:tc>
          <w:tcPr>
            <w:tcW w:w="1999" w:type="dxa"/>
          </w:tcPr>
          <w:p>
            <w:pPr>
              <w:pStyle w:val="TableParagraph"/>
              <w:spacing w:line="237" w:lineRule="auto" w:before="112"/>
              <w:ind w:left="266" w:right="93"/>
              <w:rPr>
                <w:b/>
                <w:sz w:val="21"/>
              </w:rPr>
            </w:pPr>
            <w:r>
              <w:rPr>
                <w:b/>
                <w:sz w:val="21"/>
              </w:rPr>
              <w:t>语言能力或咀嚼吞咽能力完全丧</w:t>
            </w:r>
          </w:p>
        </w:tc>
        <w:tc>
          <w:tcPr>
            <w:tcW w:w="7212" w:type="dxa"/>
          </w:tcPr>
          <w:p>
            <w:pPr>
              <w:pStyle w:val="TableParagraph"/>
              <w:spacing w:line="273" w:lineRule="auto" w:before="99"/>
              <w:ind w:left="96" w:right="151"/>
              <w:rPr>
                <w:sz w:val="21"/>
              </w:rPr>
            </w:pPr>
            <w:r>
              <w:rPr>
                <w:sz w:val="21"/>
              </w:rPr>
              <w:t>语言能力完全丧失是指无法发出四种语音（包括口唇音、齿舌音、口盖音和喉头音）中的任何三种、或声带全部切除，或因大脑语言中枢受伤害而患失</w:t>
            </w:r>
          </w:p>
        </w:tc>
      </w:tr>
      <w:tr>
        <w:trPr>
          <w:trHeight w:val="311" w:hRule="atLeast"/>
        </w:trPr>
        <w:tc>
          <w:tcPr>
            <w:tcW w:w="740" w:type="dxa"/>
          </w:tcPr>
          <w:p>
            <w:pPr>
              <w:pStyle w:val="TableParagraph"/>
              <w:rPr>
                <w:rFonts w:ascii="Times New Roman"/>
                <w:sz w:val="20"/>
              </w:rPr>
            </w:pPr>
          </w:p>
        </w:tc>
        <w:tc>
          <w:tcPr>
            <w:tcW w:w="1999" w:type="dxa"/>
          </w:tcPr>
          <w:p>
            <w:pPr>
              <w:pStyle w:val="TableParagraph"/>
              <w:spacing w:line="193" w:lineRule="exact"/>
              <w:ind w:left="266"/>
              <w:rPr>
                <w:b/>
                <w:sz w:val="21"/>
              </w:rPr>
            </w:pPr>
            <w:r>
              <w:rPr>
                <w:b/>
                <w:w w:val="99"/>
                <w:sz w:val="21"/>
              </w:rPr>
              <w:t>失</w:t>
            </w:r>
          </w:p>
        </w:tc>
        <w:tc>
          <w:tcPr>
            <w:tcW w:w="7212" w:type="dxa"/>
          </w:tcPr>
          <w:p>
            <w:pPr>
              <w:pStyle w:val="TableParagraph"/>
              <w:spacing w:line="261" w:lineRule="exact"/>
              <w:ind w:left="96"/>
              <w:rPr>
                <w:sz w:val="21"/>
              </w:rPr>
            </w:pPr>
            <w:r>
              <w:rPr>
                <w:sz w:val="21"/>
              </w:rPr>
              <w:t>语症。</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61" w:lineRule="exact"/>
              <w:ind w:left="96"/>
              <w:rPr>
                <w:sz w:val="21"/>
              </w:rPr>
            </w:pPr>
            <w:r>
              <w:rPr>
                <w:sz w:val="21"/>
              </w:rPr>
              <w:t>咀嚼吞咽能力完全丧失是指因牙齿以外的原因导致器质障碍或机能障碍，以</w:t>
            </w:r>
          </w:p>
        </w:tc>
      </w:tr>
      <w:tr>
        <w:trPr>
          <w:trHeight w:val="425"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61" w:lineRule="exact"/>
              <w:ind w:left="96"/>
              <w:rPr>
                <w:sz w:val="21"/>
              </w:rPr>
            </w:pPr>
            <w:r>
              <w:rPr>
                <w:sz w:val="21"/>
              </w:rPr>
              <w:t>致不能作咀嚼吞咽运动，除流质食物外不能摄取或吞咽的状态。</w:t>
            </w:r>
          </w:p>
        </w:tc>
      </w:tr>
      <w:tr>
        <w:trPr>
          <w:trHeight w:val="737" w:hRule="atLeast"/>
        </w:trPr>
        <w:tc>
          <w:tcPr>
            <w:tcW w:w="740" w:type="dxa"/>
          </w:tcPr>
          <w:p>
            <w:pPr>
              <w:pStyle w:val="TableParagraph"/>
              <w:spacing w:before="131"/>
              <w:ind w:left="50"/>
              <w:rPr>
                <w:b/>
                <w:sz w:val="21"/>
              </w:rPr>
            </w:pPr>
            <w:r>
              <w:rPr>
                <w:b/>
                <w:sz w:val="21"/>
              </w:rPr>
              <w:t>7.8</w:t>
            </w:r>
          </w:p>
        </w:tc>
        <w:tc>
          <w:tcPr>
            <w:tcW w:w="1999" w:type="dxa"/>
          </w:tcPr>
          <w:p>
            <w:pPr>
              <w:pStyle w:val="TableParagraph"/>
              <w:spacing w:before="109"/>
              <w:ind w:left="266" w:right="93"/>
              <w:rPr>
                <w:b/>
                <w:sz w:val="21"/>
              </w:rPr>
            </w:pPr>
            <w:r>
              <w:rPr>
                <w:b/>
                <w:sz w:val="21"/>
              </w:rPr>
              <w:t>六项基本日常生活活动</w:t>
            </w:r>
          </w:p>
        </w:tc>
        <w:tc>
          <w:tcPr>
            <w:tcW w:w="7212" w:type="dxa"/>
          </w:tcPr>
          <w:p>
            <w:pPr>
              <w:pStyle w:val="TableParagraph"/>
              <w:spacing w:before="99"/>
              <w:ind w:left="96"/>
              <w:rPr>
                <w:sz w:val="21"/>
              </w:rPr>
            </w:pPr>
            <w:r>
              <w:rPr>
                <w:sz w:val="21"/>
              </w:rPr>
              <w:t>六项基本日常生活活动是指：</w:t>
            </w:r>
          </w:p>
          <w:p>
            <w:pPr>
              <w:pStyle w:val="TableParagraph"/>
              <w:spacing w:before="36"/>
              <w:ind w:left="96"/>
              <w:rPr>
                <w:sz w:val="21"/>
              </w:rPr>
            </w:pPr>
            <w:r>
              <w:rPr>
                <w:sz w:val="21"/>
              </w:rPr>
              <w:t>（1）穿衣：自己能够穿衣及脱衣；</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61" w:lineRule="exact"/>
              <w:ind w:left="96"/>
              <w:rPr>
                <w:sz w:val="21"/>
              </w:rPr>
            </w:pPr>
            <w:r>
              <w:rPr>
                <w:sz w:val="21"/>
              </w:rPr>
              <w:t>（2）移动：自己从一个房间到另一个房间；</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61" w:lineRule="exact"/>
              <w:ind w:left="96"/>
              <w:rPr>
                <w:sz w:val="21"/>
              </w:rPr>
            </w:pPr>
            <w:r>
              <w:rPr>
                <w:sz w:val="21"/>
              </w:rPr>
              <w:t>（3）行动：自己上下床或上下轮椅；</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61" w:lineRule="exact"/>
              <w:ind w:left="96"/>
              <w:rPr>
                <w:sz w:val="21"/>
              </w:rPr>
            </w:pPr>
            <w:r>
              <w:rPr>
                <w:sz w:val="21"/>
              </w:rPr>
              <w:t>（4）如厕：自己控制进行大小便；</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61" w:lineRule="exact"/>
              <w:ind w:left="96"/>
              <w:rPr>
                <w:sz w:val="21"/>
              </w:rPr>
            </w:pPr>
            <w:r>
              <w:rPr>
                <w:sz w:val="21"/>
              </w:rPr>
              <w:t>（5）进食：自己从已准备好的碗或碟中取食物放入口中；</w:t>
            </w:r>
          </w:p>
        </w:tc>
      </w:tr>
      <w:tr>
        <w:trPr>
          <w:trHeight w:val="425"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61" w:lineRule="exact"/>
              <w:ind w:left="96"/>
              <w:rPr>
                <w:sz w:val="21"/>
              </w:rPr>
            </w:pPr>
            <w:r>
              <w:rPr>
                <w:sz w:val="21"/>
              </w:rPr>
              <w:t>（6）洗澡：自己进行淋浴或盆浴。</w:t>
            </w:r>
          </w:p>
        </w:tc>
      </w:tr>
      <w:tr>
        <w:trPr>
          <w:trHeight w:val="425" w:hRule="atLeast"/>
        </w:trPr>
        <w:tc>
          <w:tcPr>
            <w:tcW w:w="740" w:type="dxa"/>
          </w:tcPr>
          <w:p>
            <w:pPr>
              <w:pStyle w:val="TableParagraph"/>
              <w:spacing w:before="99"/>
              <w:ind w:left="50"/>
              <w:rPr>
                <w:b/>
                <w:sz w:val="21"/>
              </w:rPr>
            </w:pPr>
            <w:r>
              <w:rPr>
                <w:b/>
                <w:sz w:val="21"/>
              </w:rPr>
              <w:t>7.9</w:t>
            </w:r>
          </w:p>
        </w:tc>
        <w:tc>
          <w:tcPr>
            <w:tcW w:w="1999" w:type="dxa"/>
          </w:tcPr>
          <w:p>
            <w:pPr>
              <w:pStyle w:val="TableParagraph"/>
              <w:spacing w:before="99"/>
              <w:ind w:left="266"/>
              <w:rPr>
                <w:b/>
                <w:sz w:val="21"/>
              </w:rPr>
            </w:pPr>
            <w:r>
              <w:rPr>
                <w:b/>
                <w:w w:val="95"/>
                <w:sz w:val="21"/>
              </w:rPr>
              <w:t>永久不可逆</w:t>
            </w:r>
          </w:p>
        </w:tc>
        <w:tc>
          <w:tcPr>
            <w:tcW w:w="7212" w:type="dxa"/>
          </w:tcPr>
          <w:p>
            <w:pPr>
              <w:pStyle w:val="TableParagraph"/>
              <w:spacing w:before="99"/>
              <w:ind w:left="150"/>
              <w:rPr>
                <w:sz w:val="21"/>
              </w:rPr>
            </w:pPr>
            <w:r>
              <w:rPr>
                <w:spacing w:val="-8"/>
                <w:sz w:val="21"/>
              </w:rPr>
              <w:t>永久不可逆是指自疾病确诊或意外伤害发生之日起，经过积极治疗 </w:t>
            </w:r>
            <w:r>
              <w:rPr>
                <w:sz w:val="21"/>
              </w:rPr>
              <w:t>180</w:t>
            </w:r>
            <w:r>
              <w:rPr>
                <w:spacing w:val="-17"/>
                <w:sz w:val="21"/>
              </w:rPr>
              <w:t> 天后，</w:t>
            </w:r>
          </w:p>
        </w:tc>
      </w:tr>
      <w:tr>
        <w:trPr>
          <w:trHeight w:val="425"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61" w:lineRule="exact"/>
              <w:ind w:left="150"/>
              <w:rPr>
                <w:sz w:val="21"/>
              </w:rPr>
            </w:pPr>
            <w:r>
              <w:rPr>
                <w:sz w:val="21"/>
              </w:rPr>
              <w:t>仍无法通过现有医疗手段恢复。</w:t>
            </w:r>
          </w:p>
        </w:tc>
      </w:tr>
      <w:tr>
        <w:trPr>
          <w:trHeight w:val="425" w:hRule="atLeast"/>
        </w:trPr>
        <w:tc>
          <w:tcPr>
            <w:tcW w:w="740" w:type="dxa"/>
          </w:tcPr>
          <w:p>
            <w:pPr>
              <w:pStyle w:val="TableParagraph"/>
              <w:spacing w:before="99"/>
              <w:ind w:left="50"/>
              <w:rPr>
                <w:b/>
                <w:sz w:val="21"/>
              </w:rPr>
            </w:pPr>
            <w:r>
              <w:rPr>
                <w:b/>
                <w:sz w:val="21"/>
              </w:rPr>
              <w:t>7.10</w:t>
            </w:r>
          </w:p>
        </w:tc>
        <w:tc>
          <w:tcPr>
            <w:tcW w:w="1999" w:type="dxa"/>
          </w:tcPr>
          <w:p>
            <w:pPr>
              <w:pStyle w:val="TableParagraph"/>
              <w:spacing w:before="99"/>
              <w:ind w:left="266"/>
              <w:rPr>
                <w:b/>
                <w:sz w:val="21"/>
              </w:rPr>
            </w:pPr>
            <w:r>
              <w:rPr>
                <w:b/>
                <w:w w:val="95"/>
                <w:sz w:val="21"/>
              </w:rPr>
              <w:t>医院</w:t>
            </w:r>
          </w:p>
        </w:tc>
        <w:tc>
          <w:tcPr>
            <w:tcW w:w="7212" w:type="dxa"/>
          </w:tcPr>
          <w:p>
            <w:pPr>
              <w:pStyle w:val="TableParagraph"/>
              <w:spacing w:before="99"/>
              <w:ind w:left="150"/>
              <w:rPr>
                <w:sz w:val="21"/>
              </w:rPr>
            </w:pPr>
            <w:r>
              <w:rPr>
                <w:sz w:val="21"/>
              </w:rPr>
              <w:t>指经中华人民共和国卫生部门评审确定的二级或二级以上的医院，但不包括</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61" w:lineRule="exact"/>
              <w:ind w:left="150"/>
              <w:rPr>
                <w:sz w:val="21"/>
              </w:rPr>
            </w:pPr>
            <w:r>
              <w:rPr>
                <w:sz w:val="21"/>
              </w:rPr>
              <w:t>精神病院及专供康复、休养、戒毒、戒酒、护理、养老等非以直接诊治病人</w:t>
            </w:r>
          </w:p>
        </w:tc>
      </w:tr>
      <w:tr>
        <w:trPr>
          <w:trHeight w:val="311" w:hRule="atLeast"/>
        </w:trPr>
        <w:tc>
          <w:tcPr>
            <w:tcW w:w="740" w:type="dxa"/>
          </w:tcPr>
          <w:p>
            <w:pPr>
              <w:pStyle w:val="TableParagraph"/>
              <w:rPr>
                <w:rFonts w:ascii="Times New Roman"/>
                <w:sz w:val="20"/>
              </w:rPr>
            </w:pPr>
          </w:p>
        </w:tc>
        <w:tc>
          <w:tcPr>
            <w:tcW w:w="1999" w:type="dxa"/>
          </w:tcPr>
          <w:p>
            <w:pPr>
              <w:pStyle w:val="TableParagraph"/>
              <w:rPr>
                <w:rFonts w:ascii="Times New Roman"/>
                <w:sz w:val="20"/>
              </w:rPr>
            </w:pPr>
          </w:p>
        </w:tc>
        <w:tc>
          <w:tcPr>
            <w:tcW w:w="7212" w:type="dxa"/>
          </w:tcPr>
          <w:p>
            <w:pPr>
              <w:pStyle w:val="TableParagraph"/>
              <w:spacing w:line="261" w:lineRule="exact"/>
              <w:ind w:left="150"/>
              <w:rPr>
                <w:sz w:val="21"/>
              </w:rPr>
            </w:pPr>
            <w:r>
              <w:rPr>
                <w:sz w:val="21"/>
              </w:rPr>
              <w:t>为目的的医疗机构。该医院必须具有符合国家有关医院管理规则设置标准的</w:t>
            </w:r>
          </w:p>
        </w:tc>
      </w:tr>
      <w:tr>
        <w:trPr>
          <w:trHeight w:val="260" w:hRule="atLeast"/>
        </w:trPr>
        <w:tc>
          <w:tcPr>
            <w:tcW w:w="740" w:type="dxa"/>
          </w:tcPr>
          <w:p>
            <w:pPr>
              <w:pStyle w:val="TableParagraph"/>
              <w:rPr>
                <w:rFonts w:ascii="Times New Roman"/>
                <w:sz w:val="18"/>
              </w:rPr>
            </w:pPr>
          </w:p>
        </w:tc>
        <w:tc>
          <w:tcPr>
            <w:tcW w:w="1999" w:type="dxa"/>
          </w:tcPr>
          <w:p>
            <w:pPr>
              <w:pStyle w:val="TableParagraph"/>
              <w:rPr>
                <w:rFonts w:ascii="Times New Roman"/>
                <w:sz w:val="18"/>
              </w:rPr>
            </w:pPr>
          </w:p>
        </w:tc>
        <w:tc>
          <w:tcPr>
            <w:tcW w:w="7212" w:type="dxa"/>
          </w:tcPr>
          <w:p>
            <w:pPr>
              <w:pStyle w:val="TableParagraph"/>
              <w:spacing w:line="241" w:lineRule="exact"/>
              <w:ind w:left="150"/>
              <w:rPr>
                <w:sz w:val="21"/>
              </w:rPr>
            </w:pPr>
            <w:r>
              <w:rPr>
                <w:sz w:val="21"/>
              </w:rPr>
              <w:t>医疗设备，且全天二十四小时有合格医师及护士驻院提供医疗及护理服务。</w:t>
            </w:r>
          </w:p>
        </w:tc>
      </w:tr>
    </w:tbl>
    <w:p>
      <w:pPr>
        <w:spacing w:after="0" w:line="241" w:lineRule="exact"/>
        <w:rPr>
          <w:sz w:val="21"/>
        </w:rPr>
        <w:sectPr>
          <w:type w:val="continuous"/>
          <w:pgSz w:w="11910" w:h="16840"/>
          <w:pgMar w:top="820" w:bottom="860" w:left="920" w:right="820"/>
        </w:sectPr>
      </w:pPr>
    </w:p>
    <w:p>
      <w:pPr>
        <w:pStyle w:val="BodyText"/>
        <w:rPr>
          <w:sz w:val="20"/>
        </w:rPr>
      </w:pPr>
    </w:p>
    <w:p>
      <w:pPr>
        <w:pStyle w:val="BodyText"/>
        <w:rPr>
          <w:sz w:val="20"/>
        </w:rPr>
      </w:pPr>
    </w:p>
    <w:p>
      <w:pPr>
        <w:pStyle w:val="BodyText"/>
        <w:rPr>
          <w:sz w:val="10"/>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2041"/>
        <w:gridCol w:w="7170"/>
      </w:tblGrid>
      <w:tr>
        <w:trPr>
          <w:trHeight w:val="1310" w:hRule="atLeast"/>
        </w:trPr>
        <w:tc>
          <w:tcPr>
            <w:tcW w:w="740" w:type="dxa"/>
          </w:tcPr>
          <w:p>
            <w:pPr>
              <w:pStyle w:val="TableParagraph"/>
              <w:spacing w:line="210" w:lineRule="exact"/>
              <w:ind w:left="50"/>
              <w:rPr>
                <w:b/>
                <w:sz w:val="21"/>
              </w:rPr>
            </w:pPr>
            <w:r>
              <w:rPr>
                <w:b/>
                <w:sz w:val="21"/>
              </w:rPr>
              <w:t>7.11</w:t>
            </w:r>
          </w:p>
        </w:tc>
        <w:tc>
          <w:tcPr>
            <w:tcW w:w="2041" w:type="dxa"/>
          </w:tcPr>
          <w:p>
            <w:pPr>
              <w:pStyle w:val="TableParagraph"/>
              <w:spacing w:line="210" w:lineRule="exact"/>
              <w:ind w:left="266"/>
              <w:rPr>
                <w:b/>
                <w:sz w:val="21"/>
              </w:rPr>
            </w:pPr>
            <w:r>
              <w:rPr>
                <w:b/>
                <w:w w:val="95"/>
                <w:sz w:val="21"/>
              </w:rPr>
              <w:t>毒品</w:t>
            </w:r>
          </w:p>
        </w:tc>
        <w:tc>
          <w:tcPr>
            <w:tcW w:w="7170" w:type="dxa"/>
          </w:tcPr>
          <w:p>
            <w:pPr>
              <w:pStyle w:val="TableParagraph"/>
              <w:spacing w:line="210" w:lineRule="exact"/>
              <w:ind w:left="108"/>
              <w:rPr>
                <w:sz w:val="21"/>
              </w:rPr>
            </w:pPr>
            <w:r>
              <w:rPr>
                <w:sz w:val="21"/>
              </w:rPr>
              <w:t>指中华人民共和国刑法规定的鸦片、海洛因、甲基苯丙胺（冰毒</w:t>
            </w:r>
            <w:r>
              <w:rPr>
                <w:spacing w:val="-102"/>
                <w:sz w:val="21"/>
              </w:rPr>
              <w:t>）</w:t>
            </w:r>
            <w:r>
              <w:rPr>
                <w:sz w:val="21"/>
              </w:rPr>
              <w:t>、吗啡、</w:t>
            </w:r>
          </w:p>
          <w:p>
            <w:pPr>
              <w:pStyle w:val="TableParagraph"/>
              <w:spacing w:line="273" w:lineRule="auto" w:before="37"/>
              <w:ind w:left="108" w:right="152"/>
              <w:jc w:val="both"/>
              <w:rPr>
                <w:sz w:val="21"/>
              </w:rPr>
            </w:pPr>
            <w:r>
              <w:rPr>
                <w:spacing w:val="-5"/>
                <w:sz w:val="21"/>
              </w:rPr>
              <w:t>大麻、可卡因以及国家规定管制的其他能够使人形成瘾癖的麻醉药品和精神</w:t>
            </w:r>
            <w:r>
              <w:rPr>
                <w:spacing w:val="-6"/>
                <w:sz w:val="21"/>
              </w:rPr>
              <w:t>药品，但不包括由医生开具并遵医嘱使用的用于治疗疾病但含有毒品成分的处方药品。</w:t>
            </w:r>
          </w:p>
        </w:tc>
      </w:tr>
      <w:tr>
        <w:trPr>
          <w:trHeight w:val="1162" w:hRule="atLeast"/>
        </w:trPr>
        <w:tc>
          <w:tcPr>
            <w:tcW w:w="740" w:type="dxa"/>
          </w:tcPr>
          <w:p>
            <w:pPr>
              <w:pStyle w:val="TableParagraph"/>
              <w:spacing w:before="99"/>
              <w:ind w:left="50"/>
              <w:rPr>
                <w:b/>
                <w:sz w:val="21"/>
              </w:rPr>
            </w:pPr>
            <w:r>
              <w:rPr>
                <w:b/>
                <w:sz w:val="21"/>
              </w:rPr>
              <w:t>7.12</w:t>
            </w:r>
          </w:p>
        </w:tc>
        <w:tc>
          <w:tcPr>
            <w:tcW w:w="2041" w:type="dxa"/>
          </w:tcPr>
          <w:p>
            <w:pPr>
              <w:pStyle w:val="TableParagraph"/>
              <w:spacing w:before="99"/>
              <w:ind w:left="266"/>
              <w:rPr>
                <w:b/>
                <w:sz w:val="21"/>
              </w:rPr>
            </w:pPr>
            <w:r>
              <w:rPr>
                <w:b/>
                <w:sz w:val="21"/>
              </w:rPr>
              <w:t>酒后驾驶</w:t>
            </w:r>
          </w:p>
        </w:tc>
        <w:tc>
          <w:tcPr>
            <w:tcW w:w="7170" w:type="dxa"/>
          </w:tcPr>
          <w:p>
            <w:pPr>
              <w:pStyle w:val="TableParagraph"/>
              <w:spacing w:line="273" w:lineRule="auto" w:before="99"/>
              <w:ind w:left="108" w:right="151"/>
              <w:jc w:val="both"/>
              <w:rPr>
                <w:sz w:val="21"/>
              </w:rPr>
            </w:pPr>
            <w:r>
              <w:rPr>
                <w:spacing w:val="-3"/>
                <w:sz w:val="21"/>
              </w:rPr>
              <w:t>指经检测或鉴定，发生事故时车辆驾驶人员每百毫升血液中的酒精含量达到</w:t>
            </w:r>
            <w:r>
              <w:rPr>
                <w:spacing w:val="-6"/>
                <w:sz w:val="21"/>
              </w:rPr>
              <w:t>或超过一定的标准，公安机关交通管理部门依据《道路交通安全法》的规定认定为饮酒后驾驶或醉酒后驾驶。</w:t>
            </w:r>
          </w:p>
        </w:tc>
      </w:tr>
      <w:tr>
        <w:trPr>
          <w:trHeight w:val="2098" w:hRule="atLeast"/>
        </w:trPr>
        <w:tc>
          <w:tcPr>
            <w:tcW w:w="740" w:type="dxa"/>
          </w:tcPr>
          <w:p>
            <w:pPr>
              <w:pStyle w:val="TableParagraph"/>
              <w:spacing w:before="99"/>
              <w:ind w:left="50"/>
              <w:rPr>
                <w:b/>
                <w:sz w:val="21"/>
              </w:rPr>
            </w:pPr>
            <w:r>
              <w:rPr>
                <w:b/>
                <w:sz w:val="21"/>
              </w:rPr>
              <w:t>7.13</w:t>
            </w:r>
          </w:p>
        </w:tc>
        <w:tc>
          <w:tcPr>
            <w:tcW w:w="2041" w:type="dxa"/>
          </w:tcPr>
          <w:p>
            <w:pPr>
              <w:pStyle w:val="TableParagraph"/>
              <w:spacing w:line="273" w:lineRule="auto" w:before="99"/>
              <w:ind w:left="266" w:right="105"/>
              <w:rPr>
                <w:b/>
                <w:sz w:val="21"/>
              </w:rPr>
            </w:pPr>
            <w:r>
              <w:rPr>
                <w:b/>
                <w:sz w:val="21"/>
              </w:rPr>
              <w:t>无合法有效驾驶证驾驶</w:t>
            </w:r>
          </w:p>
        </w:tc>
        <w:tc>
          <w:tcPr>
            <w:tcW w:w="7170" w:type="dxa"/>
          </w:tcPr>
          <w:p>
            <w:pPr>
              <w:pStyle w:val="TableParagraph"/>
              <w:spacing w:before="99"/>
              <w:ind w:left="108"/>
              <w:rPr>
                <w:sz w:val="21"/>
              </w:rPr>
            </w:pPr>
            <w:r>
              <w:rPr>
                <w:sz w:val="21"/>
              </w:rPr>
              <w:t>指下列情形之一：</w:t>
            </w:r>
          </w:p>
          <w:p>
            <w:pPr>
              <w:pStyle w:val="TableParagraph"/>
              <w:spacing w:before="36"/>
              <w:ind w:left="108"/>
              <w:rPr>
                <w:sz w:val="21"/>
              </w:rPr>
            </w:pPr>
            <w:r>
              <w:rPr>
                <w:sz w:val="21"/>
              </w:rPr>
              <w:t>（1）没有取得驾驶资格；</w:t>
            </w:r>
          </w:p>
          <w:p>
            <w:pPr>
              <w:pStyle w:val="TableParagraph"/>
              <w:spacing w:before="36"/>
              <w:ind w:left="108"/>
              <w:rPr>
                <w:sz w:val="21"/>
              </w:rPr>
            </w:pPr>
            <w:r>
              <w:rPr>
                <w:sz w:val="21"/>
              </w:rPr>
              <w:t>（2）驾驶与驾驶证准驾车型不相符合的车辆；</w:t>
            </w:r>
          </w:p>
          <w:p>
            <w:pPr>
              <w:pStyle w:val="TableParagraph"/>
              <w:spacing w:before="36"/>
              <w:ind w:left="108"/>
              <w:rPr>
                <w:sz w:val="21"/>
              </w:rPr>
            </w:pPr>
            <w:r>
              <w:rPr>
                <w:sz w:val="21"/>
              </w:rPr>
              <w:t>（3）持审验不合格的驾驶证驾驶；</w:t>
            </w:r>
          </w:p>
          <w:p>
            <w:pPr>
              <w:pStyle w:val="TableParagraph"/>
              <w:spacing w:line="273" w:lineRule="auto" w:before="36"/>
              <w:ind w:left="633" w:right="149" w:hanging="526"/>
              <w:rPr>
                <w:sz w:val="21"/>
              </w:rPr>
            </w:pPr>
            <w:r>
              <w:rPr>
                <w:sz w:val="21"/>
              </w:rPr>
              <w:t>（4）持学习驾驶证学习驾车时，无教练员随车指导，或不按指定时间、路线学习驾车。</w:t>
            </w:r>
          </w:p>
        </w:tc>
      </w:tr>
      <w:tr>
        <w:trPr>
          <w:trHeight w:val="1475" w:hRule="atLeast"/>
        </w:trPr>
        <w:tc>
          <w:tcPr>
            <w:tcW w:w="740" w:type="dxa"/>
          </w:tcPr>
          <w:p>
            <w:pPr>
              <w:pStyle w:val="TableParagraph"/>
              <w:spacing w:before="99"/>
              <w:ind w:left="50"/>
              <w:rPr>
                <w:b/>
                <w:sz w:val="21"/>
              </w:rPr>
            </w:pPr>
            <w:r>
              <w:rPr>
                <w:b/>
                <w:sz w:val="21"/>
              </w:rPr>
              <w:t>7.14</w:t>
            </w:r>
          </w:p>
        </w:tc>
        <w:tc>
          <w:tcPr>
            <w:tcW w:w="2041" w:type="dxa"/>
          </w:tcPr>
          <w:p>
            <w:pPr>
              <w:pStyle w:val="TableParagraph"/>
              <w:spacing w:before="99"/>
              <w:ind w:left="266"/>
              <w:rPr>
                <w:b/>
                <w:sz w:val="21"/>
              </w:rPr>
            </w:pPr>
            <w:r>
              <w:rPr>
                <w:b/>
                <w:w w:val="95"/>
                <w:sz w:val="21"/>
              </w:rPr>
              <w:t>无有效行驶证</w:t>
            </w:r>
          </w:p>
        </w:tc>
        <w:tc>
          <w:tcPr>
            <w:tcW w:w="7170" w:type="dxa"/>
          </w:tcPr>
          <w:p>
            <w:pPr>
              <w:pStyle w:val="TableParagraph"/>
              <w:spacing w:before="99"/>
              <w:ind w:left="108"/>
              <w:rPr>
                <w:sz w:val="21"/>
              </w:rPr>
            </w:pPr>
            <w:r>
              <w:rPr>
                <w:sz w:val="21"/>
              </w:rPr>
              <w:t>指下列情形之一：</w:t>
            </w:r>
          </w:p>
          <w:p>
            <w:pPr>
              <w:pStyle w:val="TableParagraph"/>
              <w:spacing w:before="36"/>
              <w:ind w:left="108"/>
              <w:rPr>
                <w:sz w:val="21"/>
              </w:rPr>
            </w:pPr>
            <w:r>
              <w:rPr>
                <w:sz w:val="21"/>
              </w:rPr>
              <w:t>（1）未取得行驶证；</w:t>
            </w:r>
          </w:p>
          <w:p>
            <w:pPr>
              <w:pStyle w:val="TableParagraph"/>
              <w:spacing w:before="36"/>
              <w:ind w:left="108"/>
              <w:rPr>
                <w:sz w:val="21"/>
              </w:rPr>
            </w:pPr>
            <w:r>
              <w:rPr>
                <w:sz w:val="21"/>
              </w:rPr>
              <w:t>（2）机动车被依法注销登记的；</w:t>
            </w:r>
          </w:p>
          <w:p>
            <w:pPr>
              <w:pStyle w:val="TableParagraph"/>
              <w:spacing w:before="36"/>
              <w:ind w:left="108"/>
              <w:rPr>
                <w:sz w:val="21"/>
              </w:rPr>
            </w:pPr>
            <w:r>
              <w:rPr>
                <w:sz w:val="21"/>
              </w:rPr>
              <w:t>（3）未依法按时进行或通过机动车安全技术检验。</w:t>
            </w:r>
          </w:p>
        </w:tc>
      </w:tr>
      <w:tr>
        <w:trPr>
          <w:trHeight w:val="851" w:hRule="atLeast"/>
        </w:trPr>
        <w:tc>
          <w:tcPr>
            <w:tcW w:w="740" w:type="dxa"/>
          </w:tcPr>
          <w:p>
            <w:pPr>
              <w:pStyle w:val="TableParagraph"/>
              <w:spacing w:before="100"/>
              <w:ind w:left="50"/>
              <w:rPr>
                <w:b/>
                <w:sz w:val="21"/>
              </w:rPr>
            </w:pPr>
            <w:r>
              <w:rPr>
                <w:b/>
                <w:sz w:val="21"/>
              </w:rPr>
              <w:t>7.15</w:t>
            </w:r>
          </w:p>
        </w:tc>
        <w:tc>
          <w:tcPr>
            <w:tcW w:w="2041" w:type="dxa"/>
          </w:tcPr>
          <w:p>
            <w:pPr>
              <w:pStyle w:val="TableParagraph"/>
              <w:spacing w:before="100"/>
              <w:ind w:left="266"/>
              <w:rPr>
                <w:b/>
                <w:sz w:val="21"/>
              </w:rPr>
            </w:pPr>
            <w:r>
              <w:rPr>
                <w:b/>
                <w:w w:val="95"/>
                <w:sz w:val="21"/>
              </w:rPr>
              <w:t>机动车</w:t>
            </w:r>
          </w:p>
        </w:tc>
        <w:tc>
          <w:tcPr>
            <w:tcW w:w="7170" w:type="dxa"/>
          </w:tcPr>
          <w:p>
            <w:pPr>
              <w:pStyle w:val="TableParagraph"/>
              <w:spacing w:line="273" w:lineRule="auto" w:before="100"/>
              <w:ind w:left="108" w:right="101"/>
              <w:rPr>
                <w:sz w:val="21"/>
              </w:rPr>
            </w:pPr>
            <w:r>
              <w:rPr>
                <w:sz w:val="21"/>
              </w:rPr>
              <w:t>指以动力装置驱动或者牵引，上道路行驶的供人员乘用或者用于运送物品以及进行工程专项作业的轮式车辆。</w:t>
            </w:r>
          </w:p>
        </w:tc>
      </w:tr>
      <w:tr>
        <w:trPr>
          <w:trHeight w:val="1786" w:hRule="atLeast"/>
        </w:trPr>
        <w:tc>
          <w:tcPr>
            <w:tcW w:w="740" w:type="dxa"/>
          </w:tcPr>
          <w:p>
            <w:pPr>
              <w:pStyle w:val="TableParagraph"/>
              <w:spacing w:before="99"/>
              <w:ind w:left="50"/>
              <w:rPr>
                <w:b/>
                <w:sz w:val="21"/>
              </w:rPr>
            </w:pPr>
            <w:r>
              <w:rPr>
                <w:b/>
                <w:sz w:val="21"/>
              </w:rPr>
              <w:t>7.16</w:t>
            </w:r>
          </w:p>
        </w:tc>
        <w:tc>
          <w:tcPr>
            <w:tcW w:w="2041" w:type="dxa"/>
          </w:tcPr>
          <w:p>
            <w:pPr>
              <w:pStyle w:val="TableParagraph"/>
              <w:spacing w:line="273" w:lineRule="auto" w:before="99"/>
              <w:ind w:left="266" w:right="105"/>
              <w:rPr>
                <w:b/>
                <w:sz w:val="21"/>
              </w:rPr>
            </w:pPr>
            <w:r>
              <w:rPr>
                <w:b/>
                <w:sz w:val="21"/>
              </w:rPr>
              <w:t>感染艾滋病病毒</w:t>
            </w:r>
            <w:r>
              <w:rPr>
                <w:b/>
                <w:w w:val="95"/>
                <w:sz w:val="21"/>
              </w:rPr>
              <w:t>或患艾滋病</w:t>
            </w:r>
          </w:p>
        </w:tc>
        <w:tc>
          <w:tcPr>
            <w:tcW w:w="7170" w:type="dxa"/>
          </w:tcPr>
          <w:p>
            <w:pPr>
              <w:pStyle w:val="TableParagraph"/>
              <w:spacing w:line="273" w:lineRule="auto" w:before="99"/>
              <w:ind w:left="108" w:right="151"/>
              <w:rPr>
                <w:sz w:val="21"/>
              </w:rPr>
            </w:pPr>
            <w:r>
              <w:rPr>
                <w:sz w:val="21"/>
              </w:rPr>
              <w:t>艾滋病病毒指人类免疫缺陷病毒，英文缩写为HIV。艾滋病指人类免疫缺陷病毒引起的获得性免疫缺陷综合征，英文缩写为AIDS。</w:t>
            </w:r>
          </w:p>
          <w:p>
            <w:pPr>
              <w:pStyle w:val="TableParagraph"/>
              <w:spacing w:line="273" w:lineRule="auto" w:before="7"/>
              <w:ind w:left="108" w:right="46"/>
              <w:rPr>
                <w:sz w:val="21"/>
              </w:rPr>
            </w:pPr>
            <w:r>
              <w:rPr>
                <w:spacing w:val="-1"/>
                <w:sz w:val="21"/>
              </w:rPr>
              <w:t>在人体血液或其他样本中检测到艾滋病病毒或其抗体呈阳性，没有出现临床</w:t>
            </w:r>
            <w:r>
              <w:rPr>
                <w:spacing w:val="-12"/>
                <w:sz w:val="21"/>
              </w:rPr>
              <w:t>症状或体征的，为感染艾滋病病毒；如果同时出现了明显临床症状或体征的， 为患艾滋病。</w:t>
            </w:r>
          </w:p>
        </w:tc>
      </w:tr>
      <w:tr>
        <w:trPr>
          <w:trHeight w:val="850" w:hRule="atLeast"/>
        </w:trPr>
        <w:tc>
          <w:tcPr>
            <w:tcW w:w="740" w:type="dxa"/>
          </w:tcPr>
          <w:p>
            <w:pPr>
              <w:pStyle w:val="TableParagraph"/>
              <w:spacing w:before="99"/>
              <w:ind w:left="50"/>
              <w:rPr>
                <w:b/>
                <w:sz w:val="21"/>
              </w:rPr>
            </w:pPr>
            <w:r>
              <w:rPr>
                <w:b/>
                <w:sz w:val="21"/>
              </w:rPr>
              <w:t>7.17</w:t>
            </w:r>
          </w:p>
        </w:tc>
        <w:tc>
          <w:tcPr>
            <w:tcW w:w="2041" w:type="dxa"/>
          </w:tcPr>
          <w:p>
            <w:pPr>
              <w:pStyle w:val="TableParagraph"/>
              <w:spacing w:before="99"/>
              <w:ind w:left="266"/>
              <w:rPr>
                <w:b/>
                <w:sz w:val="21"/>
              </w:rPr>
            </w:pPr>
            <w:r>
              <w:rPr>
                <w:b/>
                <w:w w:val="95"/>
                <w:sz w:val="21"/>
              </w:rPr>
              <w:t>遗传性疾病</w:t>
            </w:r>
          </w:p>
        </w:tc>
        <w:tc>
          <w:tcPr>
            <w:tcW w:w="7170" w:type="dxa"/>
          </w:tcPr>
          <w:p>
            <w:pPr>
              <w:pStyle w:val="TableParagraph"/>
              <w:spacing w:line="273" w:lineRule="auto" w:before="99"/>
              <w:ind w:left="108" w:right="102"/>
              <w:rPr>
                <w:sz w:val="21"/>
              </w:rPr>
            </w:pPr>
            <w:r>
              <w:rPr>
                <w:sz w:val="21"/>
              </w:rPr>
              <w:t>指生殖细胞或受精卵的遗传物质（染色体和基因）发生突变（或畸变）所引起的疾病，通常具有由亲代传至后代的垂直传递的特征。</w:t>
            </w:r>
          </w:p>
        </w:tc>
      </w:tr>
      <w:tr>
        <w:trPr>
          <w:trHeight w:val="1156" w:hRule="atLeast"/>
        </w:trPr>
        <w:tc>
          <w:tcPr>
            <w:tcW w:w="740" w:type="dxa"/>
          </w:tcPr>
          <w:p>
            <w:pPr>
              <w:pStyle w:val="TableParagraph"/>
              <w:spacing w:before="99"/>
              <w:ind w:left="50"/>
              <w:rPr>
                <w:b/>
                <w:sz w:val="21"/>
              </w:rPr>
            </w:pPr>
            <w:r>
              <w:rPr>
                <w:b/>
                <w:sz w:val="21"/>
              </w:rPr>
              <w:t>7.18</w:t>
            </w:r>
          </w:p>
        </w:tc>
        <w:tc>
          <w:tcPr>
            <w:tcW w:w="2041" w:type="dxa"/>
          </w:tcPr>
          <w:p>
            <w:pPr>
              <w:pStyle w:val="TableParagraph"/>
              <w:spacing w:line="273" w:lineRule="auto" w:before="99"/>
              <w:ind w:left="266" w:right="56"/>
              <w:rPr>
                <w:b/>
                <w:sz w:val="21"/>
              </w:rPr>
            </w:pPr>
            <w:r>
              <w:rPr>
                <w:b/>
                <w:sz w:val="21"/>
              </w:rPr>
              <w:t>先天性畸形、变形</w:t>
            </w:r>
            <w:r>
              <w:rPr>
                <w:b/>
                <w:w w:val="95"/>
                <w:sz w:val="21"/>
              </w:rPr>
              <w:t>或染色体异常</w:t>
            </w:r>
          </w:p>
        </w:tc>
        <w:tc>
          <w:tcPr>
            <w:tcW w:w="7170" w:type="dxa"/>
          </w:tcPr>
          <w:p>
            <w:pPr>
              <w:pStyle w:val="TableParagraph"/>
              <w:spacing w:line="273" w:lineRule="auto" w:before="99"/>
              <w:ind w:left="108" w:right="95"/>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before="7"/>
              <w:ind w:left="108"/>
              <w:rPr>
                <w:sz w:val="21"/>
              </w:rPr>
            </w:pPr>
            <w:r>
              <w:rPr>
                <w:sz w:val="21"/>
              </w:rPr>
              <w:t>（ICD-10）确定。</w:t>
            </w:r>
          </w:p>
        </w:tc>
      </w:tr>
      <w:tr>
        <w:trPr>
          <w:trHeight w:val="561" w:hRule="atLeast"/>
        </w:trPr>
        <w:tc>
          <w:tcPr>
            <w:tcW w:w="740" w:type="dxa"/>
          </w:tcPr>
          <w:p>
            <w:pPr>
              <w:pStyle w:val="TableParagraph"/>
              <w:spacing w:before="106"/>
              <w:ind w:left="50"/>
              <w:rPr>
                <w:b/>
                <w:sz w:val="21"/>
              </w:rPr>
            </w:pPr>
            <w:r>
              <w:rPr>
                <w:b/>
                <w:sz w:val="21"/>
              </w:rPr>
              <w:t>7.19</w:t>
            </w:r>
          </w:p>
        </w:tc>
        <w:tc>
          <w:tcPr>
            <w:tcW w:w="2041" w:type="dxa"/>
          </w:tcPr>
          <w:p>
            <w:pPr>
              <w:pStyle w:val="TableParagraph"/>
              <w:spacing w:before="106"/>
              <w:ind w:left="266"/>
              <w:rPr>
                <w:b/>
                <w:sz w:val="21"/>
              </w:rPr>
            </w:pPr>
            <w:r>
              <w:rPr>
                <w:b/>
                <w:sz w:val="21"/>
              </w:rPr>
              <w:t>净保险费</w:t>
            </w:r>
          </w:p>
        </w:tc>
        <w:tc>
          <w:tcPr>
            <w:tcW w:w="7170" w:type="dxa"/>
          </w:tcPr>
          <w:p>
            <w:pPr>
              <w:pStyle w:val="TableParagraph"/>
              <w:spacing w:before="121"/>
              <w:ind w:left="108"/>
              <w:rPr>
                <w:sz w:val="21"/>
              </w:rPr>
            </w:pPr>
            <w:r>
              <w:rPr>
                <w:sz w:val="21"/>
              </w:rPr>
              <w:t>计算公式为“保险费</w:t>
            </w:r>
            <w:r>
              <w:rPr>
                <w:rFonts w:ascii="Cambria Math" w:hAnsi="Cambria Math" w:eastAsia="Cambria Math"/>
                <w:sz w:val="21"/>
              </w:rPr>
              <w:t>× </w:t>
            </w:r>
            <w:r>
              <w:rPr>
                <w:rFonts w:ascii="Cambria Math" w:hAnsi="Cambria Math" w:eastAsia="Cambria Math"/>
                <w:position w:val="1"/>
                <w:sz w:val="21"/>
              </w:rPr>
              <w:t>(</w:t>
            </w:r>
            <w:r>
              <w:rPr>
                <w:rFonts w:ascii="Cambria Math" w:hAnsi="Cambria Math" w:eastAsia="Cambria Math"/>
                <w:sz w:val="21"/>
              </w:rPr>
              <w:t>1 − 35%</w:t>
            </w:r>
            <w:r>
              <w:rPr>
                <w:rFonts w:ascii="Cambria Math" w:hAnsi="Cambria Math" w:eastAsia="Cambria Math"/>
                <w:position w:val="1"/>
                <w:sz w:val="21"/>
              </w:rPr>
              <w:t>)</w:t>
            </w:r>
            <w:r>
              <w:rPr>
                <w:sz w:val="21"/>
              </w:rPr>
              <w:t>”。</w:t>
            </w:r>
          </w:p>
        </w:tc>
      </w:tr>
      <w:tr>
        <w:trPr>
          <w:trHeight w:val="409" w:hRule="atLeast"/>
        </w:trPr>
        <w:tc>
          <w:tcPr>
            <w:tcW w:w="740" w:type="dxa"/>
          </w:tcPr>
          <w:p>
            <w:pPr>
              <w:pStyle w:val="TableParagraph"/>
              <w:spacing w:before="83"/>
              <w:ind w:left="50"/>
              <w:rPr>
                <w:b/>
                <w:sz w:val="21"/>
              </w:rPr>
            </w:pPr>
            <w:r>
              <w:rPr>
                <w:b/>
                <w:sz w:val="21"/>
              </w:rPr>
              <w:t>7.20</w:t>
            </w:r>
          </w:p>
        </w:tc>
        <w:tc>
          <w:tcPr>
            <w:tcW w:w="2041" w:type="dxa"/>
          </w:tcPr>
          <w:p>
            <w:pPr>
              <w:pStyle w:val="TableParagraph"/>
              <w:spacing w:before="83"/>
              <w:ind w:left="266"/>
              <w:rPr>
                <w:b/>
                <w:sz w:val="21"/>
              </w:rPr>
            </w:pPr>
            <w:r>
              <w:rPr>
                <w:b/>
                <w:w w:val="95"/>
                <w:sz w:val="21"/>
              </w:rPr>
              <w:t>有效身份证件</w:t>
            </w:r>
          </w:p>
        </w:tc>
        <w:tc>
          <w:tcPr>
            <w:tcW w:w="7170" w:type="dxa"/>
          </w:tcPr>
          <w:p>
            <w:pPr>
              <w:pStyle w:val="TableParagraph"/>
              <w:spacing w:before="83"/>
              <w:ind w:left="108"/>
              <w:rPr>
                <w:sz w:val="21"/>
              </w:rPr>
            </w:pPr>
            <w:r>
              <w:rPr>
                <w:sz w:val="21"/>
              </w:rPr>
              <w:t>指由政府主管部门规定的证明个人身份的证件，如：居民身份证、按规定可</w:t>
            </w:r>
          </w:p>
        </w:tc>
      </w:tr>
      <w:tr>
        <w:trPr>
          <w:trHeight w:val="260" w:hRule="atLeast"/>
        </w:trPr>
        <w:tc>
          <w:tcPr>
            <w:tcW w:w="740" w:type="dxa"/>
          </w:tcPr>
          <w:p>
            <w:pPr>
              <w:pStyle w:val="TableParagraph"/>
              <w:rPr>
                <w:rFonts w:ascii="Times New Roman"/>
                <w:sz w:val="18"/>
              </w:rPr>
            </w:pPr>
          </w:p>
        </w:tc>
        <w:tc>
          <w:tcPr>
            <w:tcW w:w="2041" w:type="dxa"/>
          </w:tcPr>
          <w:p>
            <w:pPr>
              <w:pStyle w:val="TableParagraph"/>
              <w:rPr>
                <w:rFonts w:ascii="Times New Roman"/>
                <w:sz w:val="18"/>
              </w:rPr>
            </w:pPr>
          </w:p>
        </w:tc>
        <w:tc>
          <w:tcPr>
            <w:tcW w:w="7170" w:type="dxa"/>
          </w:tcPr>
          <w:p>
            <w:pPr>
              <w:pStyle w:val="TableParagraph"/>
              <w:spacing w:line="241" w:lineRule="exact"/>
              <w:ind w:left="108"/>
              <w:rPr>
                <w:sz w:val="21"/>
              </w:rPr>
            </w:pPr>
            <w:r>
              <w:rPr>
                <w:sz w:val="21"/>
              </w:rPr>
              <w:t>使用的有效护照、军官证、警官证、士兵证等证件。</w:t>
            </w:r>
          </w:p>
        </w:tc>
      </w:tr>
    </w:tbl>
    <w:p>
      <w:pPr>
        <w:pStyle w:val="BodyText"/>
        <w:rPr>
          <w:sz w:val="20"/>
        </w:rPr>
      </w:pPr>
    </w:p>
    <w:p>
      <w:pPr>
        <w:pStyle w:val="BodyText"/>
        <w:spacing w:before="8"/>
        <w:rPr>
          <w:sz w:val="17"/>
        </w:rPr>
      </w:pPr>
    </w:p>
    <w:p>
      <w:pPr>
        <w:pStyle w:val="Heading3"/>
        <w:spacing w:line="240" w:lineRule="auto" w:before="36"/>
        <w:ind w:left="0" w:right="255"/>
        <w:jc w:val="right"/>
      </w:pPr>
      <w:r>
        <w:rPr>
          <w:w w:val="95"/>
        </w:rPr>
        <w:t>[本页内容结束]</w:t>
      </w:r>
    </w:p>
    <w:sectPr>
      <w:pgSz w:w="11910" w:h="16840"/>
      <w:pgMar w:header="594" w:footer="666" w:top="820" w:bottom="860" w:left="92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 w:name="黑体">
    <w:altName w:val="黑体"/>
    <w:charset w:val="86"/>
    <w:family w:val="modern"/>
    <w:pitch w:val="fixed"/>
  </w:font>
  <w:font w:name="Microsoft JhengHei">
    <w:altName w:val="Microsoft JhengHei"/>
    <w:charset w:val="0"/>
    <w:family w:val="swiss"/>
    <w:pitch w:val="variable"/>
  </w:font>
  <w:font w:name="微软雅黑">
    <w:altName w:val="微软雅黑"/>
    <w:charset w:val="86"/>
    <w:family w:val="swiss"/>
    <w:pitch w:val="variable"/>
  </w:font>
  <w:font w:name="宋体">
    <w:altName w:val="宋体"/>
    <w:charset w:val="86"/>
    <w:family w:val="auto"/>
    <w:pitch w:val="variable"/>
  </w:font>
  <w:font w:name="Wingdings">
    <w:altName w:val="Wingdings"/>
    <w:charset w:val="2"/>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160004pt;margin-top:797.61969pt;width:13pt;height:12.05pt;mso-position-horizontal-relative:page;mso-position-vertical-relative:page;z-index:-25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2.560001pt;margin-top:41.099998pt;width:490.4pt;height:.75pt;mso-position-horizontal-relative:page;mso-position-vertical-relative:page;z-index:-25120" coordorigin="1051,822" coordsize="9808,15">
          <v:rect style="position:absolute;left:1051;top:822;width:24;height:15" filled="true" fillcolor="#000000" stroked="false">
            <v:fill type="solid"/>
          </v:rect>
          <v:line style="position:absolute" from="1075,829" to="2150,829" stroked="true" strokeweight=".71997pt" strokecolor="#000000">
            <v:stroke dashstyle="solid"/>
          </v:line>
          <v:shape style="position:absolute;left:2150;top:829;width:4301;height:2" coordorigin="2150,829" coordsize="4301,0" path="m2150,829l3226,829m3226,829l4301,829m4301,829l5376,829m5376,829l6451,829e" filled="false" stroked="true" strokeweight=".71997pt" strokecolor="#000000">
            <v:path arrowok="t"/>
            <v:stroke dashstyle="solid"/>
          </v:shape>
          <v:line style="position:absolute" from="6451,829" to="7526,829" stroked="true" strokeweight=".72pt" strokecolor="#000000">
            <v:stroke dashstyle="solid"/>
          </v:line>
          <v:shape style="position:absolute;left:7526;top:829;width:3226;height:2" coordorigin="7526,829" coordsize="3226,0" path="m7526,829l8602,829m8602,829l9677,829m9677,829l10752,829e" filled="false" stroked="true" strokeweight=".71997pt" strokecolor="#000000">
            <v:path arrowok="t"/>
            <v:stroke dashstyle="solid"/>
          </v:shape>
          <v:rect style="position:absolute;left:10752;top:822;width:107;height:15" filled="true" fillcolor="#000000" stroked="false">
            <v:fill type="solid"/>
          </v:rect>
          <w10:wrap type="none"/>
        </v:group>
      </w:pict>
    </w:r>
    <w:r>
      <w:rPr/>
      <w:pict>
        <v:shapetype id="_x0000_t202" o:spt="202" coordsize="21600,21600" path="m,l,21600r21600,l21600,xe">
          <v:stroke joinstyle="miter"/>
          <v:path gradientshapeok="t" o:connecttype="rect"/>
        </v:shapetype>
        <v:shape style="position:absolute;margin-left:52.939999pt;margin-top:28.765326pt;width:110.15pt;height:11pt;mso-position-horizontal-relative:page;mso-position-vertical-relative:page;z-index:-2509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44.862549pt;margin-top:28.765326pt;width:91.8pt;height:11pt;mso-position-horizontal-relative:page;mso-position-vertical-relative:page;z-index:-2507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w w:val="95"/>
                    <w:sz w:val="18"/>
                  </w:rPr>
                  <w:t>前海福瑞重大疾病保险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060001pt;margin-top:28.705324pt;width:110pt;height:11pt;mso-position-horizontal-relative:page;mso-position-vertical-relative:page;z-index:-2502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41.559998pt;margin-top:28.705324pt;width:92pt;height:11pt;mso-position-horizontal-relative:page;mso-position-vertical-relative:page;z-index:-2500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前海福瑞重大疾病保险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4976" from="52.5pt,41.399986pt" to="542.820pt,41.399986pt" stroked="true" strokeweight=".72003pt" strokecolor="#000000">
          <v:stroke dashstyle="solid"/>
          <w10:wrap type="none"/>
        </v:line>
      </w:pict>
    </w:r>
    <w:r>
      <w:rPr/>
      <w:pict>
        <v:shape style="position:absolute;margin-left:53pt;margin-top:28.705324pt;width:110pt;height:11pt;mso-position-horizontal-relative:page;mso-position-vertical-relative:page;z-index:-2495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444.5pt;margin-top:28.705324pt;width:92pt;height:11pt;mso-position-horizontal-relative:page;mso-position-vertical-relative:page;z-index:-2492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前海福瑞重大疾病保险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6"/>
      <w:numFmt w:val="decimal"/>
      <w:lvlText w:val="%1"/>
      <w:lvlJc w:val="left"/>
      <w:pPr>
        <w:ind w:left="1176" w:hanging="957"/>
        <w:jc w:val="left"/>
      </w:pPr>
      <w:rPr>
        <w:rFonts w:hint="default"/>
      </w:rPr>
    </w:lvl>
    <w:lvl w:ilvl="1">
      <w:start w:val="1"/>
      <w:numFmt w:val="decimal"/>
      <w:lvlText w:val="%1.%2"/>
      <w:lvlJc w:val="left"/>
      <w:pPr>
        <w:ind w:left="1176" w:hanging="957"/>
        <w:jc w:val="left"/>
      </w:pPr>
      <w:rPr>
        <w:rFonts w:hint="default" w:ascii="宋体" w:hAnsi="宋体" w:eastAsia="宋体" w:cs="宋体"/>
        <w:b/>
        <w:bCs/>
        <w:w w:val="99"/>
        <w:sz w:val="21"/>
        <w:szCs w:val="21"/>
      </w:rPr>
    </w:lvl>
    <w:lvl w:ilvl="2">
      <w:start w:val="0"/>
      <w:numFmt w:val="bullet"/>
      <w:lvlText w:val="•"/>
      <w:lvlJc w:val="left"/>
      <w:pPr>
        <w:ind w:left="3500" w:hanging="957"/>
      </w:pPr>
      <w:rPr>
        <w:rFonts w:hint="default"/>
      </w:rPr>
    </w:lvl>
    <w:lvl w:ilvl="3">
      <w:start w:val="0"/>
      <w:numFmt w:val="bullet"/>
      <w:lvlText w:val="•"/>
      <w:lvlJc w:val="left"/>
      <w:pPr>
        <w:ind w:left="3407" w:hanging="957"/>
      </w:pPr>
      <w:rPr>
        <w:rFonts w:hint="default"/>
      </w:rPr>
    </w:lvl>
    <w:lvl w:ilvl="4">
      <w:start w:val="0"/>
      <w:numFmt w:val="bullet"/>
      <w:lvlText w:val="•"/>
      <w:lvlJc w:val="left"/>
      <w:pPr>
        <w:ind w:left="3315" w:hanging="957"/>
      </w:pPr>
      <w:rPr>
        <w:rFonts w:hint="default"/>
      </w:rPr>
    </w:lvl>
    <w:lvl w:ilvl="5">
      <w:start w:val="0"/>
      <w:numFmt w:val="bullet"/>
      <w:lvlText w:val="•"/>
      <w:lvlJc w:val="left"/>
      <w:pPr>
        <w:ind w:left="3223" w:hanging="957"/>
      </w:pPr>
      <w:rPr>
        <w:rFonts w:hint="default"/>
      </w:rPr>
    </w:lvl>
    <w:lvl w:ilvl="6">
      <w:start w:val="0"/>
      <w:numFmt w:val="bullet"/>
      <w:lvlText w:val="•"/>
      <w:lvlJc w:val="left"/>
      <w:pPr>
        <w:ind w:left="3131" w:hanging="957"/>
      </w:pPr>
      <w:rPr>
        <w:rFonts w:hint="default"/>
      </w:rPr>
    </w:lvl>
    <w:lvl w:ilvl="7">
      <w:start w:val="0"/>
      <w:numFmt w:val="bullet"/>
      <w:lvlText w:val="•"/>
      <w:lvlJc w:val="left"/>
      <w:pPr>
        <w:ind w:left="3039" w:hanging="957"/>
      </w:pPr>
      <w:rPr>
        <w:rFonts w:hint="default"/>
      </w:rPr>
    </w:lvl>
    <w:lvl w:ilvl="8">
      <w:start w:val="0"/>
      <w:numFmt w:val="bullet"/>
      <w:lvlText w:val="•"/>
      <w:lvlJc w:val="left"/>
      <w:pPr>
        <w:ind w:left="2947" w:hanging="957"/>
      </w:pPr>
      <w:rPr>
        <w:rFonts w:hint="default"/>
      </w:rPr>
    </w:lvl>
  </w:abstractNum>
  <w:abstractNum w:abstractNumId="6">
    <w:multiLevelType w:val="hybridMultilevel"/>
    <w:lvl w:ilvl="0">
      <w:start w:val="3"/>
      <w:numFmt w:val="decimal"/>
      <w:lvlText w:val="%1"/>
      <w:lvlJc w:val="left"/>
      <w:pPr>
        <w:ind w:left="3059" w:hanging="957"/>
        <w:jc w:val="left"/>
      </w:pPr>
      <w:rPr>
        <w:rFonts w:hint="default"/>
      </w:rPr>
    </w:lvl>
    <w:lvl w:ilvl="1">
      <w:start w:val="4"/>
      <w:numFmt w:val="decimal"/>
      <w:lvlText w:val="%1.%2"/>
      <w:lvlJc w:val="left"/>
      <w:pPr>
        <w:ind w:left="3059" w:hanging="957"/>
        <w:jc w:val="left"/>
      </w:pPr>
      <w:rPr>
        <w:rFonts w:hint="default" w:ascii="宋体" w:hAnsi="宋体" w:eastAsia="宋体" w:cs="宋体"/>
        <w:b/>
        <w:bCs/>
        <w:w w:val="99"/>
        <w:sz w:val="21"/>
        <w:szCs w:val="21"/>
      </w:rPr>
    </w:lvl>
    <w:lvl w:ilvl="2">
      <w:start w:val="0"/>
      <w:numFmt w:val="bullet"/>
      <w:lvlText w:val="•"/>
      <w:lvlJc w:val="left"/>
      <w:pPr>
        <w:ind w:left="4492" w:hanging="957"/>
      </w:pPr>
      <w:rPr>
        <w:rFonts w:hint="default"/>
      </w:rPr>
    </w:lvl>
    <w:lvl w:ilvl="3">
      <w:start w:val="0"/>
      <w:numFmt w:val="bullet"/>
      <w:lvlText w:val="•"/>
      <w:lvlJc w:val="left"/>
      <w:pPr>
        <w:ind w:left="5209" w:hanging="957"/>
      </w:pPr>
      <w:rPr>
        <w:rFonts w:hint="default"/>
      </w:rPr>
    </w:lvl>
    <w:lvl w:ilvl="4">
      <w:start w:val="0"/>
      <w:numFmt w:val="bullet"/>
      <w:lvlText w:val="•"/>
      <w:lvlJc w:val="left"/>
      <w:pPr>
        <w:ind w:left="5925" w:hanging="957"/>
      </w:pPr>
      <w:rPr>
        <w:rFonts w:hint="default"/>
      </w:rPr>
    </w:lvl>
    <w:lvl w:ilvl="5">
      <w:start w:val="0"/>
      <w:numFmt w:val="bullet"/>
      <w:lvlText w:val="•"/>
      <w:lvlJc w:val="left"/>
      <w:pPr>
        <w:ind w:left="6642" w:hanging="957"/>
      </w:pPr>
      <w:rPr>
        <w:rFonts w:hint="default"/>
      </w:rPr>
    </w:lvl>
    <w:lvl w:ilvl="6">
      <w:start w:val="0"/>
      <w:numFmt w:val="bullet"/>
      <w:lvlText w:val="•"/>
      <w:lvlJc w:val="left"/>
      <w:pPr>
        <w:ind w:left="7358" w:hanging="957"/>
      </w:pPr>
      <w:rPr>
        <w:rFonts w:hint="default"/>
      </w:rPr>
    </w:lvl>
    <w:lvl w:ilvl="7">
      <w:start w:val="0"/>
      <w:numFmt w:val="bullet"/>
      <w:lvlText w:val="•"/>
      <w:lvlJc w:val="left"/>
      <w:pPr>
        <w:ind w:left="8075" w:hanging="957"/>
      </w:pPr>
      <w:rPr>
        <w:rFonts w:hint="default"/>
      </w:rPr>
    </w:lvl>
    <w:lvl w:ilvl="8">
      <w:start w:val="0"/>
      <w:numFmt w:val="bullet"/>
      <w:lvlText w:val="•"/>
      <w:lvlJc w:val="left"/>
      <w:pPr>
        <w:ind w:left="8791" w:hanging="957"/>
      </w:pPr>
      <w:rPr>
        <w:rFonts w:hint="default"/>
      </w:rPr>
    </w:lvl>
  </w:abstractNum>
  <w:abstractNum w:abstractNumId="5">
    <w:multiLevelType w:val="hybridMultilevel"/>
    <w:lvl w:ilvl="0">
      <w:start w:val="7"/>
      <w:numFmt w:val="decimal"/>
      <w:lvlText w:val="%1"/>
      <w:lvlJc w:val="left"/>
      <w:pPr>
        <w:ind w:left="1754" w:hanging="420"/>
        <w:jc w:val="left"/>
      </w:pPr>
      <w:rPr>
        <w:rFonts w:hint="default"/>
      </w:rPr>
    </w:lvl>
    <w:lvl w:ilvl="1">
      <w:start w:val="1"/>
      <w:numFmt w:val="decimal"/>
      <w:lvlText w:val="%1.%2"/>
      <w:lvlJc w:val="left"/>
      <w:pPr>
        <w:ind w:left="1830" w:hanging="420"/>
        <w:jc w:val="left"/>
      </w:pPr>
      <w:rPr>
        <w:rFonts w:hint="default" w:ascii="仿宋" w:hAnsi="仿宋" w:eastAsia="仿宋" w:cs="仿宋"/>
        <w:spacing w:val="-1"/>
        <w:w w:val="100"/>
        <w:sz w:val="21"/>
        <w:szCs w:val="21"/>
      </w:rPr>
    </w:lvl>
    <w:lvl w:ilvl="2">
      <w:start w:val="0"/>
      <w:numFmt w:val="bullet"/>
      <w:lvlText w:val="•"/>
      <w:lvlJc w:val="left"/>
      <w:pPr>
        <w:ind w:left="2293" w:hanging="420"/>
      </w:pPr>
      <w:rPr>
        <w:rFonts w:hint="default"/>
      </w:rPr>
    </w:lvl>
    <w:lvl w:ilvl="3">
      <w:start w:val="0"/>
      <w:numFmt w:val="bullet"/>
      <w:lvlText w:val="•"/>
      <w:lvlJc w:val="left"/>
      <w:pPr>
        <w:ind w:left="2746" w:hanging="420"/>
      </w:pPr>
      <w:rPr>
        <w:rFonts w:hint="default"/>
      </w:rPr>
    </w:lvl>
    <w:lvl w:ilvl="4">
      <w:start w:val="0"/>
      <w:numFmt w:val="bullet"/>
      <w:lvlText w:val="•"/>
      <w:lvlJc w:val="left"/>
      <w:pPr>
        <w:ind w:left="3199" w:hanging="420"/>
      </w:pPr>
      <w:rPr>
        <w:rFonts w:hint="default"/>
      </w:rPr>
    </w:lvl>
    <w:lvl w:ilvl="5">
      <w:start w:val="0"/>
      <w:numFmt w:val="bullet"/>
      <w:lvlText w:val="•"/>
      <w:lvlJc w:val="left"/>
      <w:pPr>
        <w:ind w:left="3652" w:hanging="420"/>
      </w:pPr>
      <w:rPr>
        <w:rFonts w:hint="default"/>
      </w:rPr>
    </w:lvl>
    <w:lvl w:ilvl="6">
      <w:start w:val="0"/>
      <w:numFmt w:val="bullet"/>
      <w:lvlText w:val="•"/>
      <w:lvlJc w:val="left"/>
      <w:pPr>
        <w:ind w:left="4105" w:hanging="420"/>
      </w:pPr>
      <w:rPr>
        <w:rFonts w:hint="default"/>
      </w:rPr>
    </w:lvl>
    <w:lvl w:ilvl="7">
      <w:start w:val="0"/>
      <w:numFmt w:val="bullet"/>
      <w:lvlText w:val="•"/>
      <w:lvlJc w:val="left"/>
      <w:pPr>
        <w:ind w:left="4558" w:hanging="420"/>
      </w:pPr>
      <w:rPr>
        <w:rFonts w:hint="default"/>
      </w:rPr>
    </w:lvl>
    <w:lvl w:ilvl="8">
      <w:start w:val="0"/>
      <w:numFmt w:val="bullet"/>
      <w:lvlText w:val="•"/>
      <w:lvlJc w:val="left"/>
      <w:pPr>
        <w:ind w:left="5011" w:hanging="420"/>
      </w:pPr>
      <w:rPr>
        <w:rFonts w:hint="default"/>
      </w:rPr>
    </w:lvl>
  </w:abstractNum>
  <w:abstractNum w:abstractNumId="4">
    <w:multiLevelType w:val="hybridMultilevel"/>
    <w:lvl w:ilvl="0">
      <w:start w:val="6"/>
      <w:numFmt w:val="decimal"/>
      <w:lvlText w:val="%1"/>
      <w:lvlJc w:val="left"/>
      <w:pPr>
        <w:ind w:left="2296" w:hanging="420"/>
        <w:jc w:val="left"/>
      </w:pPr>
      <w:rPr>
        <w:rFonts w:hint="default"/>
      </w:rPr>
    </w:lvl>
    <w:lvl w:ilvl="1">
      <w:start w:val="1"/>
      <w:numFmt w:val="decimal"/>
      <w:lvlText w:val="%1.%2"/>
      <w:lvlJc w:val="left"/>
      <w:pPr>
        <w:ind w:left="2296" w:hanging="420"/>
        <w:jc w:val="right"/>
      </w:pPr>
      <w:rPr>
        <w:rFonts w:hint="default" w:ascii="仿宋" w:hAnsi="仿宋" w:eastAsia="仿宋" w:cs="仿宋"/>
        <w:w w:val="100"/>
        <w:sz w:val="21"/>
        <w:szCs w:val="21"/>
      </w:rPr>
    </w:lvl>
    <w:lvl w:ilvl="2">
      <w:start w:val="0"/>
      <w:numFmt w:val="bullet"/>
      <w:lvlText w:val="•"/>
      <w:lvlJc w:val="left"/>
      <w:pPr>
        <w:ind w:left="2677" w:hanging="420"/>
      </w:pPr>
      <w:rPr>
        <w:rFonts w:hint="default"/>
      </w:rPr>
    </w:lvl>
    <w:lvl w:ilvl="3">
      <w:start w:val="0"/>
      <w:numFmt w:val="bullet"/>
      <w:lvlText w:val="•"/>
      <w:lvlJc w:val="left"/>
      <w:pPr>
        <w:ind w:left="2865" w:hanging="420"/>
      </w:pPr>
      <w:rPr>
        <w:rFonts w:hint="default"/>
      </w:rPr>
    </w:lvl>
    <w:lvl w:ilvl="4">
      <w:start w:val="0"/>
      <w:numFmt w:val="bullet"/>
      <w:lvlText w:val="•"/>
      <w:lvlJc w:val="left"/>
      <w:pPr>
        <w:ind w:left="3054" w:hanging="420"/>
      </w:pPr>
      <w:rPr>
        <w:rFonts w:hint="default"/>
      </w:rPr>
    </w:lvl>
    <w:lvl w:ilvl="5">
      <w:start w:val="0"/>
      <w:numFmt w:val="bullet"/>
      <w:lvlText w:val="•"/>
      <w:lvlJc w:val="left"/>
      <w:pPr>
        <w:ind w:left="3243" w:hanging="420"/>
      </w:pPr>
      <w:rPr>
        <w:rFonts w:hint="default"/>
      </w:rPr>
    </w:lvl>
    <w:lvl w:ilvl="6">
      <w:start w:val="0"/>
      <w:numFmt w:val="bullet"/>
      <w:lvlText w:val="•"/>
      <w:lvlJc w:val="left"/>
      <w:pPr>
        <w:ind w:left="3431" w:hanging="420"/>
      </w:pPr>
      <w:rPr>
        <w:rFonts w:hint="default"/>
      </w:rPr>
    </w:lvl>
    <w:lvl w:ilvl="7">
      <w:start w:val="0"/>
      <w:numFmt w:val="bullet"/>
      <w:lvlText w:val="•"/>
      <w:lvlJc w:val="left"/>
      <w:pPr>
        <w:ind w:left="3620" w:hanging="420"/>
      </w:pPr>
      <w:rPr>
        <w:rFonts w:hint="default"/>
      </w:rPr>
    </w:lvl>
    <w:lvl w:ilvl="8">
      <w:start w:val="0"/>
      <w:numFmt w:val="bullet"/>
      <w:lvlText w:val="•"/>
      <w:lvlJc w:val="left"/>
      <w:pPr>
        <w:ind w:left="3809" w:hanging="420"/>
      </w:pPr>
      <w:rPr>
        <w:rFonts w:hint="default"/>
      </w:rPr>
    </w:lvl>
  </w:abstractNum>
  <w:abstractNum w:abstractNumId="3">
    <w:multiLevelType w:val="hybridMultilevel"/>
    <w:lvl w:ilvl="0">
      <w:start w:val="3"/>
      <w:numFmt w:val="decimal"/>
      <w:lvlText w:val="%1"/>
      <w:lvlJc w:val="left"/>
      <w:pPr>
        <w:ind w:left="2296" w:hanging="420"/>
        <w:jc w:val="left"/>
      </w:pPr>
      <w:rPr>
        <w:rFonts w:hint="default"/>
      </w:rPr>
    </w:lvl>
    <w:lvl w:ilvl="1">
      <w:start w:val="1"/>
      <w:numFmt w:val="decimal"/>
      <w:lvlText w:val="%1.%2"/>
      <w:lvlJc w:val="left"/>
      <w:pPr>
        <w:ind w:left="2296" w:hanging="420"/>
        <w:jc w:val="left"/>
      </w:pPr>
      <w:rPr>
        <w:rFonts w:hint="default" w:ascii="仿宋" w:hAnsi="仿宋" w:eastAsia="仿宋" w:cs="仿宋"/>
        <w:w w:val="100"/>
        <w:sz w:val="21"/>
        <w:szCs w:val="21"/>
      </w:rPr>
    </w:lvl>
    <w:lvl w:ilvl="2">
      <w:start w:val="0"/>
      <w:numFmt w:val="bullet"/>
      <w:lvlText w:val="•"/>
      <w:lvlJc w:val="left"/>
      <w:pPr>
        <w:ind w:left="2677" w:hanging="420"/>
      </w:pPr>
      <w:rPr>
        <w:rFonts w:hint="default"/>
      </w:rPr>
    </w:lvl>
    <w:lvl w:ilvl="3">
      <w:start w:val="0"/>
      <w:numFmt w:val="bullet"/>
      <w:lvlText w:val="•"/>
      <w:lvlJc w:val="left"/>
      <w:pPr>
        <w:ind w:left="2865" w:hanging="420"/>
      </w:pPr>
      <w:rPr>
        <w:rFonts w:hint="default"/>
      </w:rPr>
    </w:lvl>
    <w:lvl w:ilvl="4">
      <w:start w:val="0"/>
      <w:numFmt w:val="bullet"/>
      <w:lvlText w:val="•"/>
      <w:lvlJc w:val="left"/>
      <w:pPr>
        <w:ind w:left="3054" w:hanging="420"/>
      </w:pPr>
      <w:rPr>
        <w:rFonts w:hint="default"/>
      </w:rPr>
    </w:lvl>
    <w:lvl w:ilvl="5">
      <w:start w:val="0"/>
      <w:numFmt w:val="bullet"/>
      <w:lvlText w:val="•"/>
      <w:lvlJc w:val="left"/>
      <w:pPr>
        <w:ind w:left="3243" w:hanging="420"/>
      </w:pPr>
      <w:rPr>
        <w:rFonts w:hint="default"/>
      </w:rPr>
    </w:lvl>
    <w:lvl w:ilvl="6">
      <w:start w:val="0"/>
      <w:numFmt w:val="bullet"/>
      <w:lvlText w:val="•"/>
      <w:lvlJc w:val="left"/>
      <w:pPr>
        <w:ind w:left="3431" w:hanging="420"/>
      </w:pPr>
      <w:rPr>
        <w:rFonts w:hint="default"/>
      </w:rPr>
    </w:lvl>
    <w:lvl w:ilvl="7">
      <w:start w:val="0"/>
      <w:numFmt w:val="bullet"/>
      <w:lvlText w:val="•"/>
      <w:lvlJc w:val="left"/>
      <w:pPr>
        <w:ind w:left="3620" w:hanging="420"/>
      </w:pPr>
      <w:rPr>
        <w:rFonts w:hint="default"/>
      </w:rPr>
    </w:lvl>
    <w:lvl w:ilvl="8">
      <w:start w:val="0"/>
      <w:numFmt w:val="bullet"/>
      <w:lvlText w:val="•"/>
      <w:lvlJc w:val="left"/>
      <w:pPr>
        <w:ind w:left="3809" w:hanging="420"/>
      </w:pPr>
      <w:rPr>
        <w:rFonts w:hint="default"/>
      </w:rPr>
    </w:lvl>
  </w:abstractNum>
  <w:abstractNum w:abstractNumId="2">
    <w:multiLevelType w:val="hybridMultilevel"/>
    <w:lvl w:ilvl="0">
      <w:start w:val="2"/>
      <w:numFmt w:val="decimal"/>
      <w:lvlText w:val="%1"/>
      <w:lvlJc w:val="left"/>
      <w:pPr>
        <w:ind w:left="2243" w:hanging="368"/>
        <w:jc w:val="left"/>
      </w:pPr>
      <w:rPr>
        <w:rFonts w:hint="default"/>
      </w:rPr>
    </w:lvl>
    <w:lvl w:ilvl="1">
      <w:start w:val="1"/>
      <w:numFmt w:val="decimal"/>
      <w:lvlText w:val="%1.%2"/>
      <w:lvlJc w:val="left"/>
      <w:pPr>
        <w:ind w:left="2243" w:hanging="368"/>
        <w:jc w:val="left"/>
      </w:pPr>
      <w:rPr>
        <w:rFonts w:hint="default" w:ascii="仿宋" w:hAnsi="仿宋" w:eastAsia="仿宋" w:cs="仿宋"/>
        <w:w w:val="100"/>
        <w:sz w:val="21"/>
        <w:szCs w:val="21"/>
      </w:rPr>
    </w:lvl>
    <w:lvl w:ilvl="2">
      <w:start w:val="0"/>
      <w:numFmt w:val="bullet"/>
      <w:lvlText w:val="•"/>
      <w:lvlJc w:val="left"/>
      <w:pPr>
        <w:ind w:left="2629" w:hanging="368"/>
      </w:pPr>
      <w:rPr>
        <w:rFonts w:hint="default"/>
      </w:rPr>
    </w:lvl>
    <w:lvl w:ilvl="3">
      <w:start w:val="0"/>
      <w:numFmt w:val="bullet"/>
      <w:lvlText w:val="•"/>
      <w:lvlJc w:val="left"/>
      <w:pPr>
        <w:ind w:left="2823" w:hanging="368"/>
      </w:pPr>
      <w:rPr>
        <w:rFonts w:hint="default"/>
      </w:rPr>
    </w:lvl>
    <w:lvl w:ilvl="4">
      <w:start w:val="0"/>
      <w:numFmt w:val="bullet"/>
      <w:lvlText w:val="•"/>
      <w:lvlJc w:val="left"/>
      <w:pPr>
        <w:ind w:left="3018" w:hanging="368"/>
      </w:pPr>
      <w:rPr>
        <w:rFonts w:hint="default"/>
      </w:rPr>
    </w:lvl>
    <w:lvl w:ilvl="5">
      <w:start w:val="0"/>
      <w:numFmt w:val="bullet"/>
      <w:lvlText w:val="•"/>
      <w:lvlJc w:val="left"/>
      <w:pPr>
        <w:ind w:left="3213" w:hanging="368"/>
      </w:pPr>
      <w:rPr>
        <w:rFonts w:hint="default"/>
      </w:rPr>
    </w:lvl>
    <w:lvl w:ilvl="6">
      <w:start w:val="0"/>
      <w:numFmt w:val="bullet"/>
      <w:lvlText w:val="•"/>
      <w:lvlJc w:val="left"/>
      <w:pPr>
        <w:ind w:left="3407" w:hanging="368"/>
      </w:pPr>
      <w:rPr>
        <w:rFonts w:hint="default"/>
      </w:rPr>
    </w:lvl>
    <w:lvl w:ilvl="7">
      <w:start w:val="0"/>
      <w:numFmt w:val="bullet"/>
      <w:lvlText w:val="•"/>
      <w:lvlJc w:val="left"/>
      <w:pPr>
        <w:ind w:left="3602" w:hanging="368"/>
      </w:pPr>
      <w:rPr>
        <w:rFonts w:hint="default"/>
      </w:rPr>
    </w:lvl>
    <w:lvl w:ilvl="8">
      <w:start w:val="0"/>
      <w:numFmt w:val="bullet"/>
      <w:lvlText w:val="•"/>
      <w:lvlJc w:val="left"/>
      <w:pPr>
        <w:ind w:left="3797" w:hanging="368"/>
      </w:pPr>
      <w:rPr>
        <w:rFonts w:hint="default"/>
      </w:rPr>
    </w:lvl>
  </w:abstractNum>
  <w:abstractNum w:abstractNumId="1">
    <w:multiLevelType w:val="hybridMultilevel"/>
    <w:lvl w:ilvl="0">
      <w:start w:val="1"/>
      <w:numFmt w:val="decimal"/>
      <w:lvlText w:val="%1"/>
      <w:lvlJc w:val="left"/>
      <w:pPr>
        <w:ind w:left="2296" w:hanging="420"/>
        <w:jc w:val="right"/>
      </w:pPr>
      <w:rPr>
        <w:rFonts w:hint="default"/>
      </w:rPr>
    </w:lvl>
    <w:lvl w:ilvl="1">
      <w:start w:val="1"/>
      <w:numFmt w:val="decimal"/>
      <w:lvlText w:val="%1.%2"/>
      <w:lvlJc w:val="left"/>
      <w:pPr>
        <w:ind w:left="3059" w:hanging="957"/>
        <w:jc w:val="left"/>
      </w:pPr>
      <w:rPr>
        <w:rFonts w:hint="default"/>
        <w:b/>
        <w:bCs/>
        <w:spacing w:val="0"/>
        <w:w w:val="99"/>
      </w:rPr>
    </w:lvl>
    <w:lvl w:ilvl="2">
      <w:start w:val="0"/>
      <w:numFmt w:val="bullet"/>
      <w:lvlText w:val="•"/>
      <w:lvlJc w:val="left"/>
      <w:pPr>
        <w:ind w:left="3185" w:hanging="957"/>
      </w:pPr>
      <w:rPr>
        <w:rFonts w:hint="default"/>
      </w:rPr>
    </w:lvl>
    <w:lvl w:ilvl="3">
      <w:start w:val="0"/>
      <w:numFmt w:val="bullet"/>
      <w:lvlText w:val="•"/>
      <w:lvlJc w:val="left"/>
      <w:pPr>
        <w:ind w:left="3310" w:hanging="957"/>
      </w:pPr>
      <w:rPr>
        <w:rFonts w:hint="default"/>
      </w:rPr>
    </w:lvl>
    <w:lvl w:ilvl="4">
      <w:start w:val="0"/>
      <w:numFmt w:val="bullet"/>
      <w:lvlText w:val="•"/>
      <w:lvlJc w:val="left"/>
      <w:pPr>
        <w:ind w:left="3435" w:hanging="957"/>
      </w:pPr>
      <w:rPr>
        <w:rFonts w:hint="default"/>
      </w:rPr>
    </w:lvl>
    <w:lvl w:ilvl="5">
      <w:start w:val="0"/>
      <w:numFmt w:val="bullet"/>
      <w:lvlText w:val="•"/>
      <w:lvlJc w:val="left"/>
      <w:pPr>
        <w:ind w:left="3560" w:hanging="957"/>
      </w:pPr>
      <w:rPr>
        <w:rFonts w:hint="default"/>
      </w:rPr>
    </w:lvl>
    <w:lvl w:ilvl="6">
      <w:start w:val="0"/>
      <w:numFmt w:val="bullet"/>
      <w:lvlText w:val="•"/>
      <w:lvlJc w:val="left"/>
      <w:pPr>
        <w:ind w:left="3685" w:hanging="957"/>
      </w:pPr>
      <w:rPr>
        <w:rFonts w:hint="default"/>
      </w:rPr>
    </w:lvl>
    <w:lvl w:ilvl="7">
      <w:start w:val="0"/>
      <w:numFmt w:val="bullet"/>
      <w:lvlText w:val="•"/>
      <w:lvlJc w:val="left"/>
      <w:pPr>
        <w:ind w:left="3810" w:hanging="957"/>
      </w:pPr>
      <w:rPr>
        <w:rFonts w:hint="default"/>
      </w:rPr>
    </w:lvl>
    <w:lvl w:ilvl="8">
      <w:start w:val="0"/>
      <w:numFmt w:val="bullet"/>
      <w:lvlText w:val="•"/>
      <w:lvlJc w:val="left"/>
      <w:pPr>
        <w:ind w:left="3936" w:hanging="957"/>
      </w:pPr>
      <w:rPr>
        <w:rFonts w:hint="default"/>
      </w:rPr>
    </w:lvl>
  </w:abstractNum>
  <w:abstractNum w:abstractNumId="0">
    <w:multiLevelType w:val="hybridMultilevel"/>
    <w:lvl w:ilvl="0">
      <w:start w:val="0"/>
      <w:numFmt w:val="bullet"/>
      <w:lvlText w:val=""/>
      <w:lvlJc w:val="left"/>
      <w:pPr>
        <w:ind w:left="1084" w:hanging="420"/>
      </w:pPr>
      <w:rPr>
        <w:rFonts w:hint="default" w:ascii="Wingdings" w:hAnsi="Wingdings" w:eastAsia="Wingdings" w:cs="Wingdings"/>
        <w:w w:val="99"/>
        <w:sz w:val="21"/>
        <w:szCs w:val="21"/>
      </w:rPr>
    </w:lvl>
    <w:lvl w:ilvl="1">
      <w:start w:val="0"/>
      <w:numFmt w:val="bullet"/>
      <w:lvlText w:val="•"/>
      <w:lvlJc w:val="left"/>
      <w:pPr>
        <w:ind w:left="1974" w:hanging="420"/>
      </w:pPr>
      <w:rPr>
        <w:rFonts w:hint="default"/>
      </w:rPr>
    </w:lvl>
    <w:lvl w:ilvl="2">
      <w:start w:val="0"/>
      <w:numFmt w:val="bullet"/>
      <w:lvlText w:val="•"/>
      <w:lvlJc w:val="left"/>
      <w:pPr>
        <w:ind w:left="2868"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7" w:hanging="420"/>
      </w:pPr>
      <w:rPr>
        <w:rFonts w:hint="default"/>
      </w:rPr>
    </w:lvl>
    <w:lvl w:ilvl="5">
      <w:start w:val="0"/>
      <w:numFmt w:val="bullet"/>
      <w:lvlText w:val="•"/>
      <w:lvlJc w:val="left"/>
      <w:pPr>
        <w:ind w:left="5552" w:hanging="420"/>
      </w:pPr>
      <w:rPr>
        <w:rFonts w:hint="default"/>
      </w:rPr>
    </w:lvl>
    <w:lvl w:ilvl="6">
      <w:start w:val="0"/>
      <w:numFmt w:val="bullet"/>
      <w:lvlText w:val="•"/>
      <w:lvlJc w:val="left"/>
      <w:pPr>
        <w:ind w:left="6446" w:hanging="420"/>
      </w:pPr>
      <w:rPr>
        <w:rFonts w:hint="default"/>
      </w:rPr>
    </w:lvl>
    <w:lvl w:ilvl="7">
      <w:start w:val="0"/>
      <w:numFmt w:val="bullet"/>
      <w:lvlText w:val="•"/>
      <w:lvlJc w:val="left"/>
      <w:pPr>
        <w:ind w:left="7341" w:hanging="420"/>
      </w:pPr>
      <w:rPr>
        <w:rFonts w:hint="default"/>
      </w:rPr>
    </w:lvl>
    <w:lvl w:ilvl="8">
      <w:start w:val="0"/>
      <w:numFmt w:val="bullet"/>
      <w:lvlText w:val="•"/>
      <w:lvlJc w:val="left"/>
      <w:pPr>
        <w:ind w:left="8235"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3170"/>
      <w:outlineLvl w:val="1"/>
    </w:pPr>
    <w:rPr>
      <w:rFonts w:ascii="微软雅黑" w:hAnsi="微软雅黑" w:eastAsia="微软雅黑" w:cs="微软雅黑"/>
      <w:b/>
      <w:bCs/>
      <w:sz w:val="32"/>
      <w:szCs w:val="32"/>
    </w:rPr>
  </w:style>
  <w:style w:styleId="Heading2" w:type="paragraph">
    <w:name w:val="Heading 2"/>
    <w:basedOn w:val="Normal"/>
    <w:uiPriority w:val="1"/>
    <w:qFormat/>
    <w:pPr>
      <w:ind w:left="1096"/>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spacing w:line="267" w:lineRule="exact"/>
      <w:ind w:left="1666"/>
      <w:outlineLvl w:val="3"/>
    </w:pPr>
    <w:rPr>
      <w:rFonts w:ascii="宋体" w:hAnsi="宋体" w:eastAsia="宋体" w:cs="宋体"/>
      <w:b/>
      <w:bCs/>
      <w:sz w:val="21"/>
      <w:szCs w:val="21"/>
    </w:rPr>
  </w:style>
  <w:style w:styleId="ListParagraph" w:type="paragraph">
    <w:name w:val="List Paragraph"/>
    <w:basedOn w:val="Normal"/>
    <w:uiPriority w:val="1"/>
    <w:qFormat/>
    <w:pPr>
      <w:spacing w:line="260" w:lineRule="exact"/>
      <w:ind w:left="1755"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2018-10-19T23:37:58Z</dcterms:created>
  <dcterms:modified xsi:type="dcterms:W3CDTF">2018-10-19T23:37:58Z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2016-06-06T00:00:00Z</vt:filetime>
  </property>
  <property fmtid="{D5CDD505-2E9C-101B-9397-08002B2CF9AE}" pid="3" name="Creator">
    <vt:lpwstr>PScript5.dll Version 5.2.2</vt:lpwstr>
  </property>
  <property fmtid="{D5CDD505-2E9C-101B-9397-08002B2CF9AE}" pid="4" name="LastSaved">
    <vt:filetime>2018-10-19T00:00:00Z</vt:filetime>
  </property>
</Properties>
</file>