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ind w:left="0"/>
        <w:rPr>
          <w:rFonts w:ascii="Times New Roman"/>
          <w:sz w:val="25"/>
        </w:rPr>
      </w:pPr>
    </w:p>
    <w:p>
      <w:pPr>
        <w:tabs>
          <w:tab w:pos="6810" w:val="left" w:leader="none"/>
        </w:tabs>
        <w:spacing w:before="21"/>
        <w:ind w:left="115" w:right="0" w:firstLine="0"/>
        <w:jc w:val="left"/>
        <w:rPr>
          <w:sz w:val="18"/>
        </w:rPr>
      </w:pPr>
      <w:r>
        <w:rPr/>
        <w:drawing>
          <wp:anchor distT="0" distB="0" distL="0" distR="0" allowOverlap="1" layoutInCell="1" locked="0" behindDoc="1" simplePos="0" relativeHeight="268419287">
            <wp:simplePos x="0" y="0"/>
            <wp:positionH relativeFrom="page">
              <wp:posOffset>5467984</wp:posOffset>
            </wp:positionH>
            <wp:positionV relativeFrom="paragraph">
              <wp:posOffset>195040</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900" cy="723900"/>
                    </a:xfrm>
                    <a:prstGeom prst="rect">
                      <a:avLst/>
                    </a:prstGeom>
                  </pic:spPr>
                </pic:pic>
              </a:graphicData>
            </a:graphic>
          </wp:anchor>
        </w:drawing>
      </w:r>
      <w:r>
        <w:rPr>
          <w:b/>
          <w:color w:val="003E7D"/>
          <w:position w:val="-13"/>
          <w:sz w:val="32"/>
        </w:rPr>
        <w:t>中美联泰大都会人寿保险有限公司</w:t>
        <w:tab/>
      </w:r>
      <w:r>
        <w:rPr>
          <w:sz w:val="18"/>
        </w:rPr>
        <w:t>中美联泰大都会[2016]疾病保险</w:t>
      </w:r>
      <w:r>
        <w:rPr>
          <w:spacing w:val="-44"/>
          <w:sz w:val="18"/>
        </w:rPr>
        <w:t> </w:t>
      </w:r>
      <w:r>
        <w:rPr>
          <w:sz w:val="18"/>
        </w:rPr>
        <w:t>028</w:t>
      </w:r>
      <w:r>
        <w:rPr>
          <w:spacing w:val="-42"/>
          <w:sz w:val="18"/>
        </w:rPr>
        <w:t> </w:t>
      </w:r>
      <w:r>
        <w:rPr>
          <w:sz w:val="18"/>
        </w:rPr>
        <w:t>号</w:t>
      </w:r>
    </w:p>
    <w:p>
      <w:pPr>
        <w:pStyle w:val="BodyText"/>
        <w:spacing w:before="0"/>
        <w:ind w:left="0"/>
        <w:rPr>
          <w:sz w:val="20"/>
        </w:rPr>
      </w:pPr>
    </w:p>
    <w:p>
      <w:pPr>
        <w:pStyle w:val="BodyText"/>
        <w:spacing w:before="2"/>
        <w:ind w:left="0"/>
        <w:rPr>
          <w:sz w:val="24"/>
        </w:rPr>
      </w:pPr>
    </w:p>
    <w:p>
      <w:pPr>
        <w:spacing w:after="0"/>
        <w:rPr>
          <w:sz w:val="24"/>
        </w:rPr>
        <w:sectPr>
          <w:headerReference w:type="default" r:id="rId5"/>
          <w:footerReference w:type="default" r:id="rId6"/>
          <w:type w:val="continuous"/>
          <w:pgSz w:w="11910" w:h="16850"/>
          <w:pgMar w:header="826" w:footer="733" w:top="1020" w:bottom="920" w:left="840" w:right="740"/>
        </w:sectPr>
      </w:pPr>
    </w:p>
    <w:p>
      <w:pPr>
        <w:spacing w:before="7"/>
        <w:ind w:left="151" w:right="0" w:firstLine="0"/>
        <w:jc w:val="left"/>
        <w:rPr>
          <w:b/>
          <w:sz w:val="30"/>
        </w:rPr>
      </w:pPr>
      <w:r>
        <w:rPr>
          <w:b/>
          <w:sz w:val="30"/>
        </w:rPr>
        <w:t>都会宝少儿重大疾病保险条款</w:t>
      </w:r>
    </w:p>
    <w:p>
      <w:pPr>
        <w:spacing w:before="262"/>
        <w:ind w:left="151" w:right="0" w:firstLine="0"/>
        <w:jc w:val="left"/>
        <w:rPr>
          <w:sz w:val="16"/>
        </w:rPr>
      </w:pPr>
      <w:r>
        <w:rPr>
          <w:sz w:val="16"/>
        </w:rPr>
        <w:t>中美联泰大都会人寿保险有限公司（以下简称“我们”）</w:t>
      </w:r>
    </w:p>
    <w:p>
      <w:pPr>
        <w:pStyle w:val="BodyText"/>
        <w:spacing w:before="0"/>
        <w:ind w:left="0"/>
      </w:pPr>
      <w:r>
        <w:rPr/>
        <w:br w:type="column"/>
      </w:r>
      <w:r>
        <w:rPr/>
      </w:r>
    </w:p>
    <w:p>
      <w:pPr>
        <w:pStyle w:val="BodyText"/>
        <w:spacing w:before="7"/>
        <w:ind w:left="0"/>
        <w:rPr>
          <w:sz w:val="12"/>
        </w:rPr>
      </w:pPr>
    </w:p>
    <w:p>
      <w:pPr>
        <w:pStyle w:val="BodyText"/>
        <w:spacing w:before="0"/>
        <w:ind w:left="151"/>
      </w:pPr>
      <w:r>
        <w:rPr/>
        <w:t>请扫描以查询验证条款</w:t>
      </w:r>
    </w:p>
    <w:p>
      <w:pPr>
        <w:spacing w:after="0"/>
        <w:sectPr>
          <w:type w:val="continuous"/>
          <w:pgSz w:w="11910" w:h="16850"/>
          <w:pgMar w:top="1020" w:bottom="920" w:left="840" w:right="740"/>
          <w:cols w:num="2" w:equalWidth="0">
            <w:col w:w="4172" w:space="3121"/>
            <w:col w:w="3037"/>
          </w:cols>
        </w:sectPr>
      </w:pPr>
    </w:p>
    <w:p>
      <w:pPr>
        <w:pStyle w:val="BodyText"/>
        <w:spacing w:before="10"/>
        <w:ind w:left="0"/>
        <w:rPr>
          <w:sz w:val="9"/>
        </w:rPr>
      </w:pPr>
    </w:p>
    <w:p>
      <w:pPr>
        <w:spacing w:line="44" w:lineRule="exact"/>
        <w:ind w:left="129" w:right="0" w:firstLine="0"/>
        <w:rPr>
          <w:sz w:val="4"/>
        </w:rPr>
      </w:pPr>
      <w:r>
        <w:rPr>
          <w:rFonts w:ascii="Times New Roman"/>
          <w:spacing w:val="11"/>
          <w:sz w:val="4"/>
        </w:rPr>
        <w:t> </w:t>
      </w:r>
      <w:r>
        <w:rPr>
          <w:spacing w:val="11"/>
          <w:position w:val="0"/>
          <w:sz w:val="4"/>
        </w:rPr>
        <w:pict>
          <v:group style="width:503.4pt;height:2.2pt;mso-position-horizontal-relative:char;mso-position-vertical-relative:line" coordorigin="0,0" coordsize="10068,44">
            <v:line style="position:absolute" from="0,22" to="10068,22" stroked="true" strokeweight="2.16pt" strokecolor="#000080">
              <v:stroke dashstyle="solid"/>
            </v:line>
          </v:group>
        </w:pict>
      </w:r>
      <w:r>
        <w:rPr>
          <w:spacing w:val="11"/>
          <w:position w:val="0"/>
          <w:sz w:val="4"/>
        </w:rPr>
      </w:r>
    </w:p>
    <w:p>
      <w:pPr>
        <w:pStyle w:val="BodyText"/>
        <w:spacing w:before="12"/>
        <w:ind w:left="0"/>
        <w:rPr>
          <w:sz w:val="19"/>
        </w:rPr>
      </w:pPr>
    </w:p>
    <w:p>
      <w:pPr>
        <w:pStyle w:val="Heading1"/>
        <w:spacing w:before="14"/>
        <w:ind w:left="1762" w:right="1724"/>
      </w:pPr>
      <w:r>
        <w:rPr/>
        <w:t>阅 读 指 南</w:t>
      </w:r>
    </w:p>
    <w:p>
      <w:pPr>
        <w:pStyle w:val="Heading2"/>
        <w:spacing w:before="10"/>
        <w:ind w:left="1764" w:right="1724"/>
        <w:jc w:val="center"/>
      </w:pPr>
      <w:r>
        <w:rPr/>
        <w:t>本阅读指南为帮助您理解本条款而设，对保险合同内容的解释以条款为准您拥有的重要权利</w:t>
      </w:r>
    </w:p>
    <w:p>
      <w:pPr>
        <w:spacing w:before="135"/>
        <w:ind w:left="256" w:right="0" w:firstLine="0"/>
        <w:jc w:val="left"/>
        <w:rPr>
          <w:sz w:val="21"/>
        </w:rPr>
      </w:pPr>
      <w:r>
        <w:rPr>
          <w:sz w:val="21"/>
        </w:rPr>
        <w:t>您有权解除保险合同......................................................................第十条</w:t>
      </w:r>
    </w:p>
    <w:p>
      <w:pPr>
        <w:spacing w:line="357" w:lineRule="auto" w:before="136"/>
        <w:ind w:left="254" w:right="141" w:firstLine="0"/>
        <w:jc w:val="center"/>
        <w:rPr>
          <w:b/>
          <w:sz w:val="21"/>
        </w:rPr>
      </w:pPr>
      <w:r>
        <w:rPr>
          <w:sz w:val="21"/>
        </w:rPr>
        <w:t>您指定的受益人可以享受保险合同项下的保障利益..........................................第十九条</w:t>
      </w:r>
      <w:r>
        <w:rPr>
          <w:b/>
          <w:sz w:val="21"/>
        </w:rPr>
        <w:t>您应当特别注意的事项</w:t>
      </w:r>
    </w:p>
    <w:p>
      <w:pPr>
        <w:spacing w:line="357" w:lineRule="auto" w:before="33"/>
        <w:ind w:left="256" w:right="108" w:firstLine="0"/>
        <w:jc w:val="left"/>
        <w:rPr>
          <w:sz w:val="21"/>
        </w:rPr>
      </w:pPr>
      <w:r>
        <w:rPr>
          <w:sz w:val="21"/>
        </w:rPr>
        <w:t>在特定情况下我们不承担保险责任或承担部分保险责任，并作了显著标识，请注意条款正文粗体字部分。 </w:t>
      </w:r>
      <w:r>
        <w:rPr>
          <w:spacing w:val="-2"/>
          <w:sz w:val="21"/>
        </w:rPr>
        <w:t>解除合同会给您造成一定的损失，请您慎重抉择.. ............................................第十条您应当按时支付保险费....................................................................第八条</w:t>
      </w:r>
    </w:p>
    <w:p>
      <w:pPr>
        <w:spacing w:before="33"/>
        <w:ind w:left="256" w:right="0" w:firstLine="0"/>
        <w:jc w:val="left"/>
        <w:rPr>
          <w:sz w:val="21"/>
        </w:rPr>
      </w:pPr>
      <w:r>
        <w:rPr>
          <w:sz w:val="21"/>
        </w:rPr>
        <w:t>您有如实告知的义务....................................................................第十一条</w:t>
      </w:r>
    </w:p>
    <w:p>
      <w:pPr>
        <w:spacing w:before="135"/>
        <w:ind w:left="259" w:right="0" w:firstLine="0"/>
        <w:jc w:val="left"/>
        <w:rPr>
          <w:sz w:val="21"/>
        </w:rPr>
      </w:pPr>
      <w:r>
        <w:rPr>
          <w:sz w:val="21"/>
        </w:rPr>
        <w:t>您有及时向我们通知保险事故的义务........................................................第四条</w:t>
      </w:r>
    </w:p>
    <w:p>
      <w:pPr>
        <w:spacing w:before="135"/>
        <w:ind w:left="259" w:right="0" w:firstLine="0"/>
        <w:jc w:val="left"/>
        <w:rPr>
          <w:sz w:val="21"/>
        </w:rPr>
      </w:pPr>
      <w:r>
        <w:rPr>
          <w:sz w:val="21"/>
        </w:rPr>
        <w:t>我们对一些重要术语进行了解释，并作了显著标识，请您注意.......................第二十三、二十四条</w:t>
      </w:r>
    </w:p>
    <w:p>
      <w:pPr>
        <w:pStyle w:val="BodyText"/>
        <w:spacing w:before="0"/>
        <w:ind w:left="0"/>
        <w:rPr>
          <w:sz w:val="20"/>
        </w:rPr>
      </w:pPr>
    </w:p>
    <w:p>
      <w:pPr>
        <w:pStyle w:val="BodyText"/>
        <w:spacing w:before="8"/>
        <w:ind w:left="0"/>
        <w:rPr>
          <w:sz w:val="16"/>
        </w:rPr>
      </w:pPr>
    </w:p>
    <w:p>
      <w:pPr>
        <w:spacing w:after="0"/>
        <w:rPr>
          <w:sz w:val="16"/>
        </w:rPr>
        <w:sectPr>
          <w:type w:val="continuous"/>
          <w:pgSz w:w="11910" w:h="16850"/>
          <w:pgMar w:top="1020" w:bottom="920" w:left="840" w:right="740"/>
        </w:sectPr>
      </w:pPr>
    </w:p>
    <w:p>
      <w:pPr>
        <w:pStyle w:val="BodyText"/>
        <w:spacing w:before="0"/>
        <w:ind w:left="0"/>
        <w:rPr>
          <w:sz w:val="20"/>
        </w:rPr>
      </w:pPr>
    </w:p>
    <w:p>
      <w:pPr>
        <w:pStyle w:val="BodyText"/>
        <w:spacing w:before="0"/>
        <w:ind w:left="0"/>
        <w:rPr>
          <w:sz w:val="20"/>
        </w:rPr>
      </w:pPr>
    </w:p>
    <w:p>
      <w:pPr>
        <w:pStyle w:val="BodyText"/>
        <w:spacing w:before="12"/>
        <w:ind w:left="0"/>
        <w:rPr>
          <w:sz w:val="15"/>
        </w:rPr>
      </w:pPr>
    </w:p>
    <w:p>
      <w:pPr>
        <w:spacing w:before="0"/>
        <w:ind w:left="151" w:right="0" w:firstLine="0"/>
        <w:jc w:val="left"/>
        <w:rPr>
          <w:b/>
          <w:sz w:val="21"/>
        </w:rPr>
      </w:pPr>
      <w:hyperlink w:history="true" w:anchor="_bookmark0">
        <w:r>
          <w:rPr>
            <w:b/>
            <w:sz w:val="21"/>
          </w:rPr>
          <w:t>第一部分 共同条款</w:t>
        </w:r>
      </w:hyperlink>
    </w:p>
    <w:p>
      <w:pPr>
        <w:pStyle w:val="BodyText"/>
        <w:spacing w:before="6"/>
        <w:ind w:left="0"/>
        <w:rPr>
          <w:b/>
          <w:sz w:val="19"/>
        </w:rPr>
      </w:pPr>
    </w:p>
    <w:p>
      <w:pPr>
        <w:tabs>
          <w:tab w:pos="1428" w:val="left" w:leader="none"/>
        </w:tabs>
        <w:spacing w:before="0"/>
        <w:ind w:left="151" w:right="0" w:firstLine="0"/>
        <w:jc w:val="left"/>
        <w:rPr>
          <w:sz w:val="21"/>
        </w:rPr>
      </w:pPr>
      <w:hyperlink w:history="true" w:anchor="_bookmark1">
        <w:r>
          <w:rPr>
            <w:sz w:val="21"/>
          </w:rPr>
          <w:t>第一条</w:t>
          <w:tab/>
          <w:t>保险合同的构成</w:t>
        </w:r>
      </w:hyperlink>
    </w:p>
    <w:p>
      <w:pPr>
        <w:tabs>
          <w:tab w:pos="1428" w:val="left" w:leader="none"/>
        </w:tabs>
        <w:spacing w:before="135"/>
        <w:ind w:left="151" w:right="0" w:firstLine="0"/>
        <w:jc w:val="left"/>
        <w:rPr>
          <w:sz w:val="21"/>
        </w:rPr>
      </w:pPr>
      <w:hyperlink w:history="true" w:anchor="_bookmark2">
        <w:r>
          <w:rPr>
            <w:sz w:val="21"/>
          </w:rPr>
          <w:t>第二条</w:t>
          <w:tab/>
          <w:t>保险合同成立与生效</w:t>
        </w:r>
      </w:hyperlink>
    </w:p>
    <w:p>
      <w:pPr>
        <w:tabs>
          <w:tab w:pos="1428" w:val="left" w:leader="none"/>
        </w:tabs>
        <w:spacing w:before="135"/>
        <w:ind w:left="151" w:right="0" w:firstLine="0"/>
        <w:jc w:val="left"/>
        <w:rPr>
          <w:sz w:val="21"/>
        </w:rPr>
      </w:pPr>
      <w:hyperlink w:history="true" w:anchor="_bookmark3">
        <w:r>
          <w:rPr>
            <w:sz w:val="21"/>
          </w:rPr>
          <w:t>第三条</w:t>
          <w:tab/>
          <w:t>受益人</w:t>
        </w:r>
      </w:hyperlink>
    </w:p>
    <w:p>
      <w:pPr>
        <w:tabs>
          <w:tab w:pos="1428" w:val="left" w:leader="none"/>
        </w:tabs>
        <w:spacing w:before="135"/>
        <w:ind w:left="151" w:right="0" w:firstLine="0"/>
        <w:jc w:val="left"/>
        <w:rPr>
          <w:sz w:val="21"/>
        </w:rPr>
      </w:pPr>
      <w:hyperlink w:history="true" w:anchor="_bookmark4">
        <w:r>
          <w:rPr>
            <w:sz w:val="21"/>
          </w:rPr>
          <w:t>第四条</w:t>
          <w:tab/>
          <w:t>保险事故通知</w:t>
        </w:r>
      </w:hyperlink>
    </w:p>
    <w:p>
      <w:pPr>
        <w:spacing w:before="8"/>
        <w:ind w:left="151" w:right="0" w:firstLine="0"/>
        <w:jc w:val="left"/>
        <w:rPr>
          <w:b/>
          <w:sz w:val="30"/>
        </w:rPr>
      </w:pPr>
      <w:r>
        <w:rPr/>
        <w:br w:type="column"/>
      </w:r>
      <w:r>
        <w:rPr>
          <w:b/>
          <w:sz w:val="30"/>
        </w:rPr>
        <w:t>目录</w:t>
      </w:r>
    </w:p>
    <w:p>
      <w:pPr>
        <w:tabs>
          <w:tab w:pos="2093" w:val="left" w:leader="none"/>
        </w:tabs>
        <w:spacing w:before="211"/>
        <w:ind w:left="816" w:right="0" w:firstLine="0"/>
        <w:jc w:val="left"/>
        <w:rPr>
          <w:sz w:val="21"/>
        </w:rPr>
      </w:pPr>
      <w:hyperlink w:history="true" w:anchor="_bookmark14">
        <w:r>
          <w:rPr>
            <w:sz w:val="21"/>
          </w:rPr>
          <w:t>第十四条</w:t>
          <w:tab/>
          <w:t>职业变更</w:t>
        </w:r>
      </w:hyperlink>
    </w:p>
    <w:p>
      <w:pPr>
        <w:tabs>
          <w:tab w:pos="2093" w:val="left" w:leader="none"/>
        </w:tabs>
        <w:spacing w:line="357" w:lineRule="auto" w:before="135"/>
        <w:ind w:left="816" w:right="1601" w:firstLine="0"/>
        <w:jc w:val="left"/>
        <w:rPr>
          <w:sz w:val="21"/>
        </w:rPr>
      </w:pPr>
      <w:hyperlink w:history="true" w:anchor="_bookmark15">
        <w:r>
          <w:rPr>
            <w:sz w:val="21"/>
          </w:rPr>
          <w:t>第十五条</w:t>
          <w:tab/>
          <w:t>保险合同内容的变更 </w:t>
        </w:r>
      </w:hyperlink>
      <w:hyperlink w:history="true" w:anchor="_bookmark16">
        <w:r>
          <w:rPr>
            <w:sz w:val="21"/>
          </w:rPr>
          <w:t>第十六条</w:t>
          <w:tab/>
          <w:t>争议处理</w:t>
        </w:r>
      </w:hyperlink>
    </w:p>
    <w:p>
      <w:pPr>
        <w:tabs>
          <w:tab w:pos="2093" w:val="left" w:leader="none"/>
        </w:tabs>
        <w:spacing w:line="463" w:lineRule="auto" w:before="33"/>
        <w:ind w:left="816" w:right="2657" w:firstLine="0"/>
        <w:jc w:val="left"/>
        <w:rPr>
          <w:b/>
          <w:sz w:val="21"/>
        </w:rPr>
      </w:pPr>
      <w:hyperlink w:history="true" w:anchor="_bookmark17">
        <w:r>
          <w:rPr>
            <w:sz w:val="21"/>
          </w:rPr>
          <w:t>第十七条</w:t>
          <w:tab/>
          <w:t>法律适用 </w:t>
        </w:r>
      </w:hyperlink>
      <w:hyperlink w:history="true" w:anchor="_bookmark18">
        <w:r>
          <w:rPr>
            <w:b/>
            <w:sz w:val="21"/>
          </w:rPr>
          <w:t>第二部分</w:t>
        </w:r>
        <w:r>
          <w:rPr>
            <w:b/>
            <w:spacing w:val="17"/>
            <w:sz w:val="21"/>
          </w:rPr>
          <w:t> </w:t>
        </w:r>
        <w:r>
          <w:rPr>
            <w:b/>
            <w:sz w:val="21"/>
          </w:rPr>
          <w:t>特殊条款</w:t>
        </w:r>
      </w:hyperlink>
    </w:p>
    <w:p>
      <w:pPr>
        <w:spacing w:after="0" w:line="463" w:lineRule="auto"/>
        <w:jc w:val="left"/>
        <w:rPr>
          <w:sz w:val="21"/>
        </w:rPr>
        <w:sectPr>
          <w:type w:val="continuous"/>
          <w:pgSz w:w="11910" w:h="16850"/>
          <w:pgMar w:top="1020" w:bottom="920" w:left="840" w:right="740"/>
          <w:cols w:num="2" w:equalWidth="0">
            <w:col w:w="3330" w:space="1399"/>
            <w:col w:w="5601"/>
          </w:cols>
        </w:sectPr>
      </w:pPr>
    </w:p>
    <w:p>
      <w:pPr>
        <w:pStyle w:val="BodyText"/>
        <w:spacing w:before="6"/>
        <w:ind w:left="0"/>
        <w:rPr>
          <w:b/>
          <w:sz w:val="9"/>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5"/>
        <w:gridCol w:w="3013"/>
        <w:gridCol w:w="2591"/>
        <w:gridCol w:w="1428"/>
      </w:tblGrid>
      <w:tr>
        <w:trPr>
          <w:trHeight w:val="310" w:hRule="atLeast"/>
        </w:trPr>
        <w:tc>
          <w:tcPr>
            <w:tcW w:w="1005" w:type="dxa"/>
          </w:tcPr>
          <w:p>
            <w:pPr>
              <w:pStyle w:val="TableParagraph"/>
              <w:spacing w:line="211" w:lineRule="exact" w:before="0"/>
              <w:rPr>
                <w:sz w:val="21"/>
              </w:rPr>
            </w:pPr>
            <w:hyperlink w:history="true" w:anchor="_bookmark5">
              <w:r>
                <w:rPr>
                  <w:sz w:val="21"/>
                </w:rPr>
                <w:t>第五条</w:t>
              </w:r>
            </w:hyperlink>
          </w:p>
        </w:tc>
        <w:tc>
          <w:tcPr>
            <w:tcW w:w="3013" w:type="dxa"/>
          </w:tcPr>
          <w:p>
            <w:pPr>
              <w:pStyle w:val="TableParagraph"/>
              <w:spacing w:line="211" w:lineRule="exact" w:before="0"/>
              <w:ind w:left="322"/>
              <w:rPr>
                <w:sz w:val="21"/>
              </w:rPr>
            </w:pPr>
            <w:hyperlink w:history="true" w:anchor="_bookmark5">
              <w:r>
                <w:rPr>
                  <w:sz w:val="21"/>
                </w:rPr>
                <w:t>保险金申请</w:t>
              </w:r>
            </w:hyperlink>
          </w:p>
        </w:tc>
        <w:tc>
          <w:tcPr>
            <w:tcW w:w="2591" w:type="dxa"/>
          </w:tcPr>
          <w:p>
            <w:pPr>
              <w:pStyle w:val="TableParagraph"/>
              <w:spacing w:line="211" w:lineRule="exact" w:before="0"/>
              <w:ind w:left="1425"/>
              <w:rPr>
                <w:sz w:val="21"/>
              </w:rPr>
            </w:pPr>
            <w:hyperlink w:history="true" w:anchor="_bookmark19">
              <w:r>
                <w:rPr>
                  <w:sz w:val="21"/>
                </w:rPr>
                <w:t>第十八条</w:t>
              </w:r>
            </w:hyperlink>
          </w:p>
        </w:tc>
        <w:tc>
          <w:tcPr>
            <w:tcW w:w="1428" w:type="dxa"/>
          </w:tcPr>
          <w:p>
            <w:pPr>
              <w:pStyle w:val="TableParagraph"/>
              <w:spacing w:line="211" w:lineRule="exact" w:before="0"/>
              <w:ind w:left="112"/>
              <w:rPr>
                <w:sz w:val="21"/>
              </w:rPr>
            </w:pPr>
            <w:hyperlink w:history="true" w:anchor="_bookmark19">
              <w:r>
                <w:rPr>
                  <w:sz w:val="21"/>
                </w:rPr>
                <w:t>承保范围</w:t>
              </w:r>
            </w:hyperlink>
          </w:p>
        </w:tc>
      </w:tr>
      <w:tr>
        <w:trPr>
          <w:trHeight w:val="410" w:hRule="atLeast"/>
        </w:trPr>
        <w:tc>
          <w:tcPr>
            <w:tcW w:w="1005" w:type="dxa"/>
          </w:tcPr>
          <w:p>
            <w:pPr>
              <w:pStyle w:val="TableParagraph"/>
              <w:rPr>
                <w:sz w:val="21"/>
              </w:rPr>
            </w:pPr>
            <w:hyperlink w:history="true" w:anchor="_bookmark6">
              <w:r>
                <w:rPr>
                  <w:sz w:val="21"/>
                </w:rPr>
                <w:t>第六条</w:t>
              </w:r>
            </w:hyperlink>
          </w:p>
        </w:tc>
        <w:tc>
          <w:tcPr>
            <w:tcW w:w="3013" w:type="dxa"/>
          </w:tcPr>
          <w:p>
            <w:pPr>
              <w:pStyle w:val="TableParagraph"/>
              <w:ind w:left="322"/>
              <w:rPr>
                <w:sz w:val="21"/>
              </w:rPr>
            </w:pPr>
            <w:hyperlink w:history="true" w:anchor="_bookmark6">
              <w:r>
                <w:rPr>
                  <w:sz w:val="21"/>
                </w:rPr>
                <w:t>保险金给付</w:t>
              </w:r>
            </w:hyperlink>
          </w:p>
        </w:tc>
        <w:tc>
          <w:tcPr>
            <w:tcW w:w="2591" w:type="dxa"/>
          </w:tcPr>
          <w:p>
            <w:pPr>
              <w:pStyle w:val="TableParagraph"/>
              <w:ind w:left="1425"/>
              <w:rPr>
                <w:sz w:val="21"/>
              </w:rPr>
            </w:pPr>
            <w:hyperlink w:history="true" w:anchor="_bookmark20">
              <w:r>
                <w:rPr>
                  <w:sz w:val="21"/>
                </w:rPr>
                <w:t>第十九条</w:t>
              </w:r>
            </w:hyperlink>
          </w:p>
        </w:tc>
        <w:tc>
          <w:tcPr>
            <w:tcW w:w="1428" w:type="dxa"/>
          </w:tcPr>
          <w:p>
            <w:pPr>
              <w:pStyle w:val="TableParagraph"/>
              <w:ind w:left="112"/>
              <w:rPr>
                <w:sz w:val="21"/>
              </w:rPr>
            </w:pPr>
            <w:hyperlink w:history="true" w:anchor="_bookmark20">
              <w:r>
                <w:rPr>
                  <w:sz w:val="21"/>
                </w:rPr>
                <w:t>保险责任</w:t>
              </w:r>
            </w:hyperlink>
          </w:p>
        </w:tc>
      </w:tr>
      <w:tr>
        <w:trPr>
          <w:trHeight w:val="410" w:hRule="atLeast"/>
        </w:trPr>
        <w:tc>
          <w:tcPr>
            <w:tcW w:w="1005" w:type="dxa"/>
          </w:tcPr>
          <w:p>
            <w:pPr>
              <w:pStyle w:val="TableParagraph"/>
              <w:rPr>
                <w:sz w:val="21"/>
              </w:rPr>
            </w:pPr>
            <w:hyperlink w:history="true" w:anchor="_bookmark7">
              <w:r>
                <w:rPr>
                  <w:sz w:val="21"/>
                </w:rPr>
                <w:t>第七条</w:t>
              </w:r>
            </w:hyperlink>
          </w:p>
        </w:tc>
        <w:tc>
          <w:tcPr>
            <w:tcW w:w="3013" w:type="dxa"/>
          </w:tcPr>
          <w:p>
            <w:pPr>
              <w:pStyle w:val="TableParagraph"/>
              <w:ind w:left="322"/>
              <w:rPr>
                <w:sz w:val="21"/>
              </w:rPr>
            </w:pPr>
            <w:hyperlink w:history="true" w:anchor="_bookmark7">
              <w:r>
                <w:rPr>
                  <w:sz w:val="21"/>
                </w:rPr>
                <w:t>诉讼时效</w:t>
              </w:r>
            </w:hyperlink>
          </w:p>
        </w:tc>
        <w:tc>
          <w:tcPr>
            <w:tcW w:w="2591" w:type="dxa"/>
          </w:tcPr>
          <w:p>
            <w:pPr>
              <w:pStyle w:val="TableParagraph"/>
              <w:ind w:left="1425"/>
              <w:rPr>
                <w:sz w:val="21"/>
              </w:rPr>
            </w:pPr>
            <w:hyperlink w:history="true" w:anchor="_bookmark21">
              <w:r>
                <w:rPr>
                  <w:sz w:val="21"/>
                </w:rPr>
                <w:t>第二十条</w:t>
              </w:r>
            </w:hyperlink>
          </w:p>
        </w:tc>
        <w:tc>
          <w:tcPr>
            <w:tcW w:w="1428" w:type="dxa"/>
          </w:tcPr>
          <w:p>
            <w:pPr>
              <w:pStyle w:val="TableParagraph"/>
              <w:ind w:left="112"/>
              <w:rPr>
                <w:sz w:val="21"/>
              </w:rPr>
            </w:pPr>
            <w:hyperlink w:history="true" w:anchor="_bookmark21">
              <w:r>
                <w:rPr>
                  <w:sz w:val="21"/>
                </w:rPr>
                <w:t>责任免除</w:t>
              </w:r>
            </w:hyperlink>
          </w:p>
        </w:tc>
      </w:tr>
      <w:tr>
        <w:trPr>
          <w:trHeight w:val="410" w:hRule="atLeast"/>
        </w:trPr>
        <w:tc>
          <w:tcPr>
            <w:tcW w:w="1005" w:type="dxa"/>
          </w:tcPr>
          <w:p>
            <w:pPr>
              <w:pStyle w:val="TableParagraph"/>
              <w:rPr>
                <w:sz w:val="21"/>
              </w:rPr>
            </w:pPr>
            <w:hyperlink w:history="true" w:anchor="_bookmark8">
              <w:r>
                <w:rPr>
                  <w:sz w:val="21"/>
                </w:rPr>
                <w:t>第八条</w:t>
              </w:r>
            </w:hyperlink>
          </w:p>
        </w:tc>
        <w:tc>
          <w:tcPr>
            <w:tcW w:w="3013" w:type="dxa"/>
          </w:tcPr>
          <w:p>
            <w:pPr>
              <w:pStyle w:val="TableParagraph"/>
              <w:ind w:left="322"/>
              <w:rPr>
                <w:sz w:val="21"/>
              </w:rPr>
            </w:pPr>
            <w:hyperlink w:history="true" w:anchor="_bookmark8">
              <w:r>
                <w:rPr>
                  <w:sz w:val="21"/>
                </w:rPr>
                <w:t>保险费的支付</w:t>
              </w:r>
            </w:hyperlink>
          </w:p>
        </w:tc>
        <w:tc>
          <w:tcPr>
            <w:tcW w:w="2591" w:type="dxa"/>
          </w:tcPr>
          <w:p>
            <w:pPr>
              <w:pStyle w:val="TableParagraph"/>
              <w:ind w:left="1425"/>
              <w:rPr>
                <w:sz w:val="21"/>
              </w:rPr>
            </w:pPr>
            <w:hyperlink w:history="true" w:anchor="_bookmark22">
              <w:r>
                <w:rPr>
                  <w:sz w:val="21"/>
                </w:rPr>
                <w:t>第二十一条</w:t>
              </w:r>
            </w:hyperlink>
          </w:p>
        </w:tc>
        <w:tc>
          <w:tcPr>
            <w:tcW w:w="1428" w:type="dxa"/>
          </w:tcPr>
          <w:p>
            <w:pPr>
              <w:pStyle w:val="TableParagraph"/>
              <w:ind w:left="112"/>
              <w:rPr>
                <w:sz w:val="21"/>
              </w:rPr>
            </w:pPr>
            <w:hyperlink w:history="true" w:anchor="_bookmark22">
              <w:r>
                <w:rPr>
                  <w:sz w:val="21"/>
                </w:rPr>
                <w:t>保险期间</w:t>
              </w:r>
            </w:hyperlink>
          </w:p>
        </w:tc>
      </w:tr>
      <w:tr>
        <w:trPr>
          <w:trHeight w:val="310" w:hRule="atLeast"/>
        </w:trPr>
        <w:tc>
          <w:tcPr>
            <w:tcW w:w="1005" w:type="dxa"/>
          </w:tcPr>
          <w:p>
            <w:pPr>
              <w:pStyle w:val="TableParagraph"/>
              <w:spacing w:line="255" w:lineRule="exact"/>
              <w:rPr>
                <w:sz w:val="21"/>
              </w:rPr>
            </w:pPr>
            <w:hyperlink w:history="true" w:anchor="_bookmark9">
              <w:r>
                <w:rPr>
                  <w:sz w:val="21"/>
                </w:rPr>
                <w:t>第九条</w:t>
              </w:r>
            </w:hyperlink>
          </w:p>
        </w:tc>
        <w:tc>
          <w:tcPr>
            <w:tcW w:w="3013" w:type="dxa"/>
          </w:tcPr>
          <w:p>
            <w:pPr>
              <w:pStyle w:val="TableParagraph"/>
              <w:spacing w:line="255" w:lineRule="exact"/>
              <w:ind w:left="322"/>
              <w:rPr>
                <w:sz w:val="21"/>
              </w:rPr>
            </w:pPr>
            <w:hyperlink w:history="true" w:anchor="_bookmark9">
              <w:r>
                <w:rPr>
                  <w:sz w:val="21"/>
                </w:rPr>
                <w:t>合同终止</w:t>
              </w:r>
            </w:hyperlink>
          </w:p>
        </w:tc>
        <w:tc>
          <w:tcPr>
            <w:tcW w:w="2591" w:type="dxa"/>
          </w:tcPr>
          <w:p>
            <w:pPr>
              <w:pStyle w:val="TableParagraph"/>
              <w:spacing w:line="255" w:lineRule="exact"/>
              <w:ind w:left="1425"/>
              <w:rPr>
                <w:sz w:val="21"/>
              </w:rPr>
            </w:pPr>
            <w:hyperlink w:history="true" w:anchor="_bookmark23">
              <w:r>
                <w:rPr>
                  <w:sz w:val="21"/>
                </w:rPr>
                <w:t>第二十二条</w:t>
              </w:r>
            </w:hyperlink>
          </w:p>
        </w:tc>
        <w:tc>
          <w:tcPr>
            <w:tcW w:w="1428" w:type="dxa"/>
          </w:tcPr>
          <w:p>
            <w:pPr>
              <w:pStyle w:val="TableParagraph"/>
              <w:spacing w:line="255" w:lineRule="exact"/>
              <w:ind w:left="112"/>
              <w:rPr>
                <w:sz w:val="21"/>
              </w:rPr>
            </w:pPr>
            <w:hyperlink w:history="true" w:anchor="_bookmark23">
              <w:r>
                <w:rPr>
                  <w:sz w:val="21"/>
                </w:rPr>
                <w:t>基本保险金额</w:t>
              </w:r>
            </w:hyperlink>
          </w:p>
        </w:tc>
      </w:tr>
    </w:tbl>
    <w:p>
      <w:pPr>
        <w:pStyle w:val="BodyText"/>
        <w:spacing w:before="7"/>
        <w:ind w:left="0"/>
        <w:rPr>
          <w:b/>
          <w:sz w:val="7"/>
        </w:rPr>
      </w:pPr>
    </w:p>
    <w:p>
      <w:pPr>
        <w:spacing w:after="0"/>
        <w:rPr>
          <w:sz w:val="7"/>
        </w:rPr>
        <w:sectPr>
          <w:type w:val="continuous"/>
          <w:pgSz w:w="11910" w:h="16850"/>
          <w:pgMar w:top="1020" w:bottom="920" w:left="840" w:right="740"/>
        </w:sectPr>
      </w:pPr>
    </w:p>
    <w:p>
      <w:pPr>
        <w:tabs>
          <w:tab w:pos="1428" w:val="left" w:leader="none"/>
        </w:tabs>
        <w:spacing w:line="357" w:lineRule="auto" w:before="37"/>
        <w:ind w:left="151" w:right="0" w:firstLine="0"/>
        <w:jc w:val="left"/>
        <w:rPr>
          <w:sz w:val="21"/>
        </w:rPr>
      </w:pPr>
      <w:hyperlink w:history="true" w:anchor="_bookmark10">
        <w:r>
          <w:rPr>
            <w:sz w:val="21"/>
          </w:rPr>
          <w:t>第十条</w:t>
          <w:tab/>
          <w:t>您解除合同的手续及风险 </w:t>
        </w:r>
      </w:hyperlink>
      <w:hyperlink w:history="true" w:anchor="_bookmark11">
        <w:r>
          <w:rPr>
            <w:sz w:val="21"/>
          </w:rPr>
          <w:t>第十一条</w:t>
          <w:tab/>
          <w:t>明确说明与如实告知</w:t>
        </w:r>
      </w:hyperlink>
    </w:p>
    <w:p>
      <w:pPr>
        <w:tabs>
          <w:tab w:pos="1428" w:val="left" w:leader="none"/>
        </w:tabs>
        <w:spacing w:line="357" w:lineRule="auto" w:before="33"/>
        <w:ind w:left="151" w:right="842" w:firstLine="0"/>
        <w:jc w:val="left"/>
        <w:rPr>
          <w:sz w:val="21"/>
        </w:rPr>
      </w:pPr>
      <w:hyperlink w:history="true" w:anchor="_bookmark12">
        <w:r>
          <w:rPr>
            <w:sz w:val="21"/>
          </w:rPr>
          <w:t>第十二条</w:t>
          <w:tab/>
          <w:t>年龄及性别错误 </w:t>
        </w:r>
      </w:hyperlink>
      <w:hyperlink w:history="true" w:anchor="_bookmark13">
        <w:r>
          <w:rPr>
            <w:sz w:val="21"/>
          </w:rPr>
          <w:t>第十三条</w:t>
          <w:tab/>
          <w:t>地址变更</w:t>
        </w:r>
      </w:hyperlink>
    </w:p>
    <w:p>
      <w:pPr>
        <w:spacing w:before="157"/>
        <w:ind w:left="151" w:right="0" w:firstLine="0"/>
        <w:jc w:val="left"/>
        <w:rPr>
          <w:b/>
          <w:sz w:val="21"/>
        </w:rPr>
      </w:pPr>
      <w:r>
        <w:rPr/>
        <w:br w:type="column"/>
      </w:r>
      <w:hyperlink w:history="true" w:anchor="_bookmark24">
        <w:r>
          <w:rPr>
            <w:b/>
            <w:sz w:val="21"/>
          </w:rPr>
          <w:t>第三部分 释义条款</w:t>
        </w:r>
      </w:hyperlink>
    </w:p>
    <w:p>
      <w:pPr>
        <w:pStyle w:val="BodyText"/>
        <w:spacing w:before="7"/>
        <w:ind w:left="0"/>
        <w:rPr>
          <w:b/>
          <w:sz w:val="19"/>
        </w:rPr>
      </w:pPr>
    </w:p>
    <w:p>
      <w:pPr>
        <w:tabs>
          <w:tab w:pos="1428" w:val="left" w:leader="none"/>
        </w:tabs>
        <w:spacing w:line="357" w:lineRule="auto" w:before="0"/>
        <w:ind w:left="151" w:right="2023" w:firstLine="0"/>
        <w:jc w:val="left"/>
        <w:rPr>
          <w:sz w:val="21"/>
        </w:rPr>
      </w:pPr>
      <w:hyperlink w:history="true" w:anchor="_bookmark25">
        <w:r>
          <w:rPr>
            <w:sz w:val="21"/>
          </w:rPr>
          <w:t>第二十三条</w:t>
          <w:tab/>
          <w:t>重大疾病的释义 </w:t>
        </w:r>
      </w:hyperlink>
      <w:hyperlink w:history="true" w:anchor="_bookmark26">
        <w:r>
          <w:rPr>
            <w:sz w:val="21"/>
          </w:rPr>
          <w:t>第二十四条</w:t>
          <w:tab/>
          <w:t>释义</w:t>
        </w:r>
      </w:hyperlink>
    </w:p>
    <w:p>
      <w:pPr>
        <w:spacing w:after="0" w:line="357" w:lineRule="auto"/>
        <w:jc w:val="left"/>
        <w:rPr>
          <w:sz w:val="21"/>
        </w:rPr>
        <w:sectPr>
          <w:type w:val="continuous"/>
          <w:pgSz w:w="11910" w:h="16850"/>
          <w:pgMar w:top="1020" w:bottom="920" w:left="840" w:right="740"/>
          <w:cols w:num="2" w:equalWidth="0">
            <w:col w:w="3752" w:space="1642"/>
            <w:col w:w="4936"/>
          </w:cols>
        </w:sectPr>
      </w:pPr>
    </w:p>
    <w:p>
      <w:pPr>
        <w:pStyle w:val="BodyText"/>
        <w:spacing w:before="0"/>
        <w:ind w:left="0"/>
        <w:rPr>
          <w:sz w:val="20"/>
        </w:rPr>
      </w:pPr>
    </w:p>
    <w:p>
      <w:pPr>
        <w:pStyle w:val="BodyText"/>
        <w:spacing w:before="3"/>
        <w:ind w:left="0"/>
        <w:rPr>
          <w:sz w:val="20"/>
        </w:rPr>
      </w:pPr>
    </w:p>
    <w:p>
      <w:pPr>
        <w:spacing w:before="0"/>
        <w:ind w:left="111" w:right="0" w:firstLine="0"/>
        <w:jc w:val="left"/>
        <w:rPr>
          <w:b/>
          <w:sz w:val="21"/>
        </w:rPr>
      </w:pPr>
      <w:bookmarkStart w:name="_bookmark0" w:id="1"/>
      <w:bookmarkEnd w:id="1"/>
      <w:r>
        <w:rPr/>
      </w:r>
      <w:bookmarkStart w:name="_bookmark1" w:id="2"/>
      <w:bookmarkEnd w:id="2"/>
      <w:r>
        <w:rPr/>
      </w:r>
      <w:r>
        <w:rPr>
          <w:b/>
          <w:sz w:val="21"/>
        </w:rPr>
        <w:t>第一条 保险合同的构成</w:t>
      </w:r>
    </w:p>
    <w:p>
      <w:pPr>
        <w:spacing w:before="101"/>
        <w:ind w:left="111" w:right="0" w:firstLine="0"/>
        <w:jc w:val="left"/>
        <w:rPr>
          <w:b/>
          <w:sz w:val="28"/>
        </w:rPr>
      </w:pPr>
      <w:r>
        <w:rPr/>
        <w:br w:type="column"/>
      </w:r>
      <w:r>
        <w:rPr>
          <w:b/>
          <w:sz w:val="28"/>
        </w:rPr>
        <w:t>第一部分 共同条款</w:t>
      </w:r>
    </w:p>
    <w:p>
      <w:pPr>
        <w:spacing w:after="0"/>
        <w:jc w:val="left"/>
        <w:rPr>
          <w:sz w:val="28"/>
        </w:rPr>
        <w:sectPr>
          <w:pgSz w:w="11910" w:h="16850"/>
          <w:pgMar w:header="826" w:footer="733" w:top="1020" w:bottom="920" w:left="880" w:right="740"/>
          <w:cols w:num="2" w:equalWidth="0">
            <w:col w:w="2327" w:space="1502"/>
            <w:col w:w="6461"/>
          </w:cols>
        </w:sectPr>
      </w:pPr>
    </w:p>
    <w:p>
      <w:pPr>
        <w:pStyle w:val="BodyText"/>
        <w:spacing w:before="0"/>
        <w:ind w:left="0"/>
        <w:rPr>
          <w:b/>
          <w:sz w:val="10"/>
        </w:rPr>
      </w:pPr>
    </w:p>
    <w:p>
      <w:pPr>
        <w:pStyle w:val="BodyText"/>
        <w:tabs>
          <w:tab w:pos="790" w:val="left" w:leader="none"/>
        </w:tabs>
        <w:spacing w:line="338" w:lineRule="auto" w:before="53"/>
        <w:ind w:right="108" w:hanging="680"/>
      </w:pPr>
      <w:r>
        <w:rPr>
          <w:rFonts w:ascii="Arial" w:hAnsi="Arial" w:eastAsia="Arial"/>
          <w:w w:val="99"/>
        </w:rPr>
        <w:t>1</w:t>
      </w:r>
      <w:r>
        <w:rPr>
          <w:rFonts w:ascii="Arial" w:hAnsi="Arial" w:eastAsia="Arial"/>
          <w:w w:val="100"/>
        </w:rPr>
        <w:t>.1</w:t>
        <w:tab/>
      </w:r>
      <w:r>
        <w:rPr>
          <w:spacing w:val="-5"/>
          <w:w w:val="100"/>
        </w:rPr>
        <w:t>本《中美联泰大都会人寿保险有限公司都会宝少儿重大疾病保险》合同</w:t>
      </w:r>
      <w:r>
        <w:rPr>
          <w:w w:val="100"/>
        </w:rPr>
        <w:t>（</w:t>
      </w:r>
      <w:r>
        <w:rPr>
          <w:spacing w:val="-13"/>
          <w:w w:val="100"/>
        </w:rPr>
        <w:t>以下简称“本合同”</w:t>
      </w:r>
      <w:r>
        <w:rPr>
          <w:spacing w:val="-10"/>
          <w:w w:val="100"/>
        </w:rPr>
        <w:t>）</w:t>
      </w:r>
      <w:r>
        <w:rPr>
          <w:spacing w:val="-3"/>
          <w:w w:val="100"/>
        </w:rPr>
        <w:t>由保险单、保险条款、投</w:t>
      </w:r>
      <w:r>
        <w:rPr>
          <w:spacing w:val="-3"/>
        </w:rPr>
        <w:t>保单以及与本合同有关的其它投保文件、合法有效的声明、批注及其他书面协议构成。</w:t>
      </w:r>
    </w:p>
    <w:p>
      <w:pPr>
        <w:pStyle w:val="Heading2"/>
        <w:spacing w:before="87"/>
      </w:pPr>
      <w:bookmarkStart w:name="_bookmark2" w:id="3"/>
      <w:bookmarkEnd w:id="3"/>
      <w:r>
        <w:rPr>
          <w:b w:val="0"/>
        </w:rPr>
      </w:r>
      <w:r>
        <w:rPr/>
        <w:t>第二条 保险合同成立与生效</w:t>
      </w:r>
    </w:p>
    <w:p>
      <w:pPr>
        <w:pStyle w:val="BodyText"/>
        <w:spacing w:before="1"/>
        <w:ind w:left="0"/>
        <w:rPr>
          <w:b/>
          <w:sz w:val="14"/>
        </w:rPr>
      </w:pPr>
    </w:p>
    <w:p>
      <w:pPr>
        <w:pStyle w:val="ListParagraph"/>
        <w:numPr>
          <w:ilvl w:val="1"/>
          <w:numId w:val="1"/>
        </w:numPr>
        <w:tabs>
          <w:tab w:pos="790" w:val="left" w:leader="none"/>
          <w:tab w:pos="791" w:val="left" w:leader="none"/>
        </w:tabs>
        <w:spacing w:line="240" w:lineRule="auto" w:before="1" w:after="0"/>
        <w:ind w:left="790" w:right="0" w:hanging="679"/>
        <w:jc w:val="left"/>
        <w:rPr>
          <w:sz w:val="18"/>
        </w:rPr>
      </w:pPr>
      <w:r>
        <w:rPr>
          <w:w w:val="100"/>
          <w:sz w:val="18"/>
        </w:rPr>
        <w:t>投保人（</w:t>
      </w:r>
      <w:r>
        <w:rPr>
          <w:spacing w:val="-13"/>
          <w:w w:val="100"/>
          <w:sz w:val="18"/>
        </w:rPr>
        <w:t>以下简称“您”</w:t>
      </w:r>
      <w:r>
        <w:rPr>
          <w:spacing w:val="-1"/>
          <w:w w:val="100"/>
          <w:sz w:val="18"/>
        </w:rPr>
        <w:t>）</w:t>
      </w:r>
      <w:r>
        <w:rPr>
          <w:w w:val="100"/>
          <w:sz w:val="18"/>
        </w:rPr>
        <w:t>提出保险申请、我们同意承保，本合同成立。我们将签发保险单作为保险凭证。</w:t>
      </w:r>
    </w:p>
    <w:p>
      <w:pPr>
        <w:pStyle w:val="ListParagraph"/>
        <w:numPr>
          <w:ilvl w:val="1"/>
          <w:numId w:val="1"/>
        </w:numPr>
        <w:tabs>
          <w:tab w:pos="791" w:val="left" w:leader="none"/>
        </w:tabs>
        <w:spacing w:line="348" w:lineRule="auto" w:before="150" w:after="0"/>
        <w:ind w:left="790" w:right="108" w:hanging="679"/>
        <w:jc w:val="both"/>
        <w:rPr>
          <w:sz w:val="18"/>
        </w:rPr>
      </w:pPr>
      <w:r>
        <w:rPr>
          <w:spacing w:val="-3"/>
          <w:sz w:val="18"/>
        </w:rPr>
        <w:t>合同生效日期在保险单上载明。我们收到首期保险费后，自保险单上载明的</w:t>
      </w:r>
      <w:r>
        <w:rPr>
          <w:b/>
          <w:spacing w:val="-3"/>
          <w:sz w:val="18"/>
        </w:rPr>
        <w:t>保险单生效日</w:t>
      </w:r>
      <w:r>
        <w:rPr>
          <w:sz w:val="18"/>
        </w:rPr>
        <w:t>（见释义</w:t>
      </w:r>
      <w:r>
        <w:rPr>
          <w:spacing w:val="-20"/>
          <w:sz w:val="18"/>
        </w:rPr>
        <w:t>）</w:t>
      </w:r>
      <w:r>
        <w:rPr>
          <w:spacing w:val="-23"/>
          <w:sz w:val="18"/>
        </w:rPr>
        <w:t>的 </w:t>
      </w:r>
      <w:r>
        <w:rPr>
          <w:sz w:val="18"/>
        </w:rPr>
        <w:t>24</w:t>
      </w:r>
      <w:r>
        <w:rPr>
          <w:spacing w:val="-8"/>
          <w:sz w:val="18"/>
        </w:rPr>
        <w:t> 时起承担保险</w:t>
      </w:r>
      <w:r>
        <w:rPr>
          <w:spacing w:val="-11"/>
          <w:sz w:val="18"/>
        </w:rPr>
        <w:t>责任。</w:t>
      </w:r>
      <w:r>
        <w:rPr>
          <w:b/>
          <w:spacing w:val="-3"/>
          <w:sz w:val="18"/>
        </w:rPr>
        <w:t>保险单周年日</w:t>
      </w:r>
      <w:r>
        <w:rPr>
          <w:sz w:val="18"/>
        </w:rPr>
        <w:t>（见释义</w:t>
      </w:r>
      <w:r>
        <w:rPr>
          <w:spacing w:val="-89"/>
          <w:sz w:val="18"/>
        </w:rPr>
        <w:t>）</w:t>
      </w:r>
      <w:r>
        <w:rPr>
          <w:spacing w:val="-7"/>
          <w:sz w:val="18"/>
        </w:rPr>
        <w:t>、保险单年度、保险单月份和保险费约定支付日均以保险单生效日计算。如果当月无对应的同一日，则以该月最后一日为对应日。</w:t>
      </w:r>
    </w:p>
    <w:p>
      <w:pPr>
        <w:pStyle w:val="Heading2"/>
        <w:spacing w:before="80"/>
      </w:pPr>
      <w:bookmarkStart w:name="_bookmark3" w:id="4"/>
      <w:bookmarkEnd w:id="4"/>
      <w:r>
        <w:rPr>
          <w:b w:val="0"/>
        </w:rPr>
      </w:r>
      <w:r>
        <w:rPr/>
        <w:t>第三条 受益人</w:t>
      </w:r>
    </w:p>
    <w:p>
      <w:pPr>
        <w:pStyle w:val="BodyText"/>
        <w:spacing w:before="2"/>
        <w:ind w:left="0"/>
        <w:rPr>
          <w:b/>
          <w:sz w:val="14"/>
        </w:rPr>
      </w:pPr>
    </w:p>
    <w:p>
      <w:pPr>
        <w:pStyle w:val="ListParagraph"/>
        <w:numPr>
          <w:ilvl w:val="1"/>
          <w:numId w:val="2"/>
        </w:numPr>
        <w:tabs>
          <w:tab w:pos="790" w:val="left" w:leader="none"/>
          <w:tab w:pos="791" w:val="left" w:leader="none"/>
        </w:tabs>
        <w:spacing w:line="240" w:lineRule="auto" w:before="0" w:after="0"/>
        <w:ind w:left="790" w:right="0" w:hanging="679"/>
        <w:jc w:val="left"/>
        <w:rPr>
          <w:sz w:val="18"/>
        </w:rPr>
      </w:pPr>
      <w:r>
        <w:rPr>
          <w:spacing w:val="-1"/>
          <w:sz w:val="18"/>
        </w:rPr>
        <w:t>除本合同另有约定外，重大疾病保险金受益人为被保险人本人。</w:t>
      </w:r>
    </w:p>
    <w:p>
      <w:pPr>
        <w:pStyle w:val="ListParagraph"/>
        <w:numPr>
          <w:ilvl w:val="1"/>
          <w:numId w:val="2"/>
        </w:numPr>
        <w:tabs>
          <w:tab w:pos="790" w:val="left" w:leader="none"/>
          <w:tab w:pos="791" w:val="left" w:leader="none"/>
        </w:tabs>
        <w:spacing w:line="240" w:lineRule="auto" w:before="150" w:after="0"/>
        <w:ind w:left="790" w:right="0" w:hanging="679"/>
        <w:jc w:val="left"/>
        <w:rPr>
          <w:sz w:val="18"/>
        </w:rPr>
      </w:pPr>
      <w:r>
        <w:rPr>
          <w:sz w:val="18"/>
        </w:rPr>
        <w:t>受益人为多人时，可以确定受益顺序和受益份额；如果没有确定份额，各受益人按照相等份额享有受益权。</w:t>
      </w:r>
    </w:p>
    <w:p>
      <w:pPr>
        <w:pStyle w:val="ListParagraph"/>
        <w:numPr>
          <w:ilvl w:val="1"/>
          <w:numId w:val="2"/>
        </w:numPr>
        <w:tabs>
          <w:tab w:pos="790" w:val="left" w:leader="none"/>
          <w:tab w:pos="791" w:val="left" w:leader="none"/>
        </w:tabs>
        <w:spacing w:line="240" w:lineRule="auto" w:before="150" w:after="0"/>
        <w:ind w:left="790" w:right="0" w:hanging="679"/>
        <w:jc w:val="left"/>
        <w:rPr>
          <w:sz w:val="18"/>
        </w:rPr>
      </w:pPr>
      <w:r>
        <w:rPr>
          <w:sz w:val="18"/>
        </w:rPr>
        <w:t>被保险人为无民事行为能力人或限制民事行为能力人的，可以由其监护人指定受益人。</w:t>
      </w:r>
    </w:p>
    <w:p>
      <w:pPr>
        <w:pStyle w:val="ListParagraph"/>
        <w:numPr>
          <w:ilvl w:val="1"/>
          <w:numId w:val="2"/>
        </w:numPr>
        <w:tabs>
          <w:tab w:pos="790" w:val="left" w:leader="none"/>
          <w:tab w:pos="791" w:val="left" w:leader="none"/>
        </w:tabs>
        <w:spacing w:line="338" w:lineRule="auto" w:before="150" w:after="0"/>
        <w:ind w:left="790" w:right="107" w:hanging="679"/>
        <w:jc w:val="left"/>
        <w:rPr>
          <w:sz w:val="18"/>
        </w:rPr>
      </w:pPr>
      <w:r>
        <w:rPr>
          <w:sz w:val="18"/>
        </w:rPr>
        <w:t>您或者被保险人可以变更受益人并书面通知我们。我们收到变更受益人的书面通知后，在保险单或其他保险凭证上批注或附贴批单。</w:t>
      </w:r>
    </w:p>
    <w:p>
      <w:pPr>
        <w:pStyle w:val="ListParagraph"/>
        <w:numPr>
          <w:ilvl w:val="1"/>
          <w:numId w:val="2"/>
        </w:numPr>
        <w:tabs>
          <w:tab w:pos="790" w:val="left" w:leader="none"/>
          <w:tab w:pos="791" w:val="left" w:leader="none"/>
        </w:tabs>
        <w:spacing w:line="240" w:lineRule="auto" w:before="89" w:after="0"/>
        <w:ind w:left="790" w:right="0" w:hanging="679"/>
        <w:jc w:val="left"/>
        <w:rPr>
          <w:sz w:val="18"/>
        </w:rPr>
      </w:pPr>
      <w:r>
        <w:rPr>
          <w:sz w:val="18"/>
        </w:rPr>
        <w:t>您在指定和变更受益人时，必须经过被保险人同意。</w:t>
      </w:r>
    </w:p>
    <w:p>
      <w:pPr>
        <w:pStyle w:val="ListParagraph"/>
        <w:numPr>
          <w:ilvl w:val="1"/>
          <w:numId w:val="2"/>
        </w:numPr>
        <w:tabs>
          <w:tab w:pos="790" w:val="left" w:leader="none"/>
          <w:tab w:pos="791" w:val="left" w:leader="none"/>
        </w:tabs>
        <w:spacing w:line="338" w:lineRule="auto" w:before="150" w:after="0"/>
        <w:ind w:left="790" w:right="107" w:hanging="679"/>
        <w:jc w:val="left"/>
        <w:rPr>
          <w:sz w:val="18"/>
        </w:rPr>
      </w:pPr>
      <w:r>
        <w:rPr>
          <w:sz w:val="18"/>
        </w:rPr>
        <w:t>被保险人身故后，有下列情形之一的，保险金作为被保险人的遗产，由我们依照《中华人民共和国继承法》的规定履行给付保险金的义务：</w:t>
      </w:r>
    </w:p>
    <w:p>
      <w:pPr>
        <w:pStyle w:val="ListParagraph"/>
        <w:numPr>
          <w:ilvl w:val="2"/>
          <w:numId w:val="2"/>
        </w:numPr>
        <w:tabs>
          <w:tab w:pos="1247" w:val="left" w:leader="none"/>
        </w:tabs>
        <w:spacing w:line="240" w:lineRule="auto" w:before="89" w:after="0"/>
        <w:ind w:left="1246" w:right="0" w:hanging="420"/>
        <w:jc w:val="left"/>
        <w:rPr>
          <w:sz w:val="18"/>
        </w:rPr>
      </w:pPr>
      <w:r>
        <w:rPr>
          <w:w w:val="95"/>
          <w:sz w:val="18"/>
        </w:rPr>
        <w:t>没有指定受益人，或者受益人指定不明无法确定的；</w:t>
      </w:r>
    </w:p>
    <w:p>
      <w:pPr>
        <w:pStyle w:val="ListParagraph"/>
        <w:numPr>
          <w:ilvl w:val="2"/>
          <w:numId w:val="2"/>
        </w:numPr>
        <w:tabs>
          <w:tab w:pos="1247" w:val="left" w:leader="none"/>
        </w:tabs>
        <w:spacing w:line="240" w:lineRule="auto" w:before="150" w:after="0"/>
        <w:ind w:left="1246" w:right="0" w:hanging="420"/>
        <w:jc w:val="left"/>
        <w:rPr>
          <w:sz w:val="18"/>
        </w:rPr>
      </w:pPr>
      <w:r>
        <w:rPr>
          <w:w w:val="95"/>
          <w:sz w:val="18"/>
        </w:rPr>
        <w:t>受益人先于被保险人身故，没有其他受益人的；</w:t>
      </w:r>
    </w:p>
    <w:p>
      <w:pPr>
        <w:pStyle w:val="ListParagraph"/>
        <w:numPr>
          <w:ilvl w:val="2"/>
          <w:numId w:val="2"/>
        </w:numPr>
        <w:tabs>
          <w:tab w:pos="1247" w:val="left" w:leader="none"/>
        </w:tabs>
        <w:spacing w:line="240" w:lineRule="auto" w:before="150" w:after="0"/>
        <w:ind w:left="1246" w:right="0" w:hanging="420"/>
        <w:jc w:val="left"/>
        <w:rPr>
          <w:sz w:val="18"/>
        </w:rPr>
      </w:pPr>
      <w:r>
        <w:rPr>
          <w:w w:val="95"/>
          <w:sz w:val="18"/>
        </w:rPr>
        <w:t>受益人依法丧失受益权或者放弃受益权，没有其他受益人的。</w:t>
      </w:r>
    </w:p>
    <w:p>
      <w:pPr>
        <w:pStyle w:val="ListParagraph"/>
        <w:numPr>
          <w:ilvl w:val="1"/>
          <w:numId w:val="2"/>
        </w:numPr>
        <w:tabs>
          <w:tab w:pos="790" w:val="left" w:leader="none"/>
          <w:tab w:pos="791" w:val="left" w:leader="none"/>
        </w:tabs>
        <w:spacing w:line="240" w:lineRule="auto" w:before="149" w:after="0"/>
        <w:ind w:left="790" w:right="0" w:hanging="679"/>
        <w:jc w:val="left"/>
        <w:rPr>
          <w:sz w:val="18"/>
        </w:rPr>
      </w:pPr>
      <w:r>
        <w:rPr>
          <w:sz w:val="18"/>
        </w:rPr>
        <w:t>受益人与被保险人在同一事件中身故，且不能确定身故先后顺序的，推定受益人身故在先。</w:t>
      </w:r>
    </w:p>
    <w:p>
      <w:pPr>
        <w:pStyle w:val="ListParagraph"/>
        <w:numPr>
          <w:ilvl w:val="1"/>
          <w:numId w:val="2"/>
        </w:numPr>
        <w:tabs>
          <w:tab w:pos="790" w:val="left" w:leader="none"/>
          <w:tab w:pos="791" w:val="left" w:leader="none"/>
        </w:tabs>
        <w:spacing w:line="240" w:lineRule="auto" w:before="149" w:after="0"/>
        <w:ind w:left="790" w:right="0" w:hanging="679"/>
        <w:jc w:val="left"/>
        <w:rPr>
          <w:sz w:val="18"/>
        </w:rPr>
      </w:pPr>
      <w:r>
        <w:rPr>
          <w:sz w:val="18"/>
        </w:rPr>
        <w:t>受益人故意造成被保险人身故、伤残、疾病的，或者故意杀害被保险人未遂的，该受益人丧失受益权。</w:t>
      </w:r>
    </w:p>
    <w:p>
      <w:pPr>
        <w:pStyle w:val="Heading2"/>
      </w:pPr>
      <w:bookmarkStart w:name="_bookmark4" w:id="5"/>
      <w:bookmarkEnd w:id="5"/>
      <w:r>
        <w:rPr>
          <w:b w:val="0"/>
        </w:rPr>
      </w:r>
      <w:r>
        <w:rPr/>
        <w:t>第四条 保险事故通知</w:t>
      </w:r>
    </w:p>
    <w:p>
      <w:pPr>
        <w:pStyle w:val="BodyText"/>
        <w:spacing w:before="1"/>
        <w:ind w:left="0"/>
        <w:rPr>
          <w:b/>
          <w:sz w:val="14"/>
        </w:rPr>
      </w:pPr>
    </w:p>
    <w:p>
      <w:pPr>
        <w:pStyle w:val="ListParagraph"/>
        <w:numPr>
          <w:ilvl w:val="1"/>
          <w:numId w:val="3"/>
        </w:numPr>
        <w:tabs>
          <w:tab w:pos="790" w:val="left" w:leader="none"/>
          <w:tab w:pos="791" w:val="left" w:leader="none"/>
        </w:tabs>
        <w:spacing w:line="240" w:lineRule="auto" w:before="1" w:after="0"/>
        <w:ind w:left="790" w:right="0" w:hanging="679"/>
        <w:jc w:val="left"/>
        <w:rPr>
          <w:sz w:val="18"/>
        </w:rPr>
      </w:pPr>
      <w:r>
        <w:rPr>
          <w:sz w:val="18"/>
        </w:rPr>
        <w:t>您、被保险人或受益人知道</w:t>
      </w:r>
      <w:r>
        <w:rPr>
          <w:b/>
          <w:sz w:val="18"/>
        </w:rPr>
        <w:t>保险事故</w:t>
      </w:r>
      <w:r>
        <w:rPr>
          <w:sz w:val="18"/>
        </w:rPr>
        <w:t>（见释义）</w:t>
      </w:r>
      <w:r>
        <w:rPr>
          <w:spacing w:val="-9"/>
          <w:sz w:val="18"/>
        </w:rPr>
        <w:t>后应当在 </w:t>
      </w:r>
      <w:r>
        <w:rPr>
          <w:rFonts w:ascii="Arial" w:eastAsia="Arial"/>
          <w:sz w:val="18"/>
        </w:rPr>
        <w:t>10</w:t>
      </w:r>
      <w:r>
        <w:rPr>
          <w:rFonts w:ascii="Arial" w:eastAsia="Arial"/>
          <w:spacing w:val="-5"/>
          <w:sz w:val="18"/>
        </w:rPr>
        <w:t> </w:t>
      </w:r>
      <w:r>
        <w:rPr>
          <w:sz w:val="18"/>
        </w:rPr>
        <w:t>日内通知我们。</w:t>
      </w:r>
    </w:p>
    <w:p>
      <w:pPr>
        <w:pStyle w:val="ListParagraph"/>
        <w:numPr>
          <w:ilvl w:val="1"/>
          <w:numId w:val="3"/>
        </w:numPr>
        <w:tabs>
          <w:tab w:pos="791" w:val="left" w:leader="none"/>
        </w:tabs>
        <w:spacing w:line="348" w:lineRule="auto" w:before="150" w:after="0"/>
        <w:ind w:left="790" w:right="110" w:hanging="679"/>
        <w:jc w:val="both"/>
        <w:rPr>
          <w:sz w:val="18"/>
        </w:rPr>
      </w:pPr>
      <w:r>
        <w:rPr>
          <w:b/>
          <w:sz w:val="18"/>
        </w:rPr>
        <w:t>如果您、被保险人或受益人故意或者因重大过失未及时通知，致使保险事故的性质、原因、损失程度等难以确定的， </w:t>
      </w:r>
      <w:r>
        <w:rPr>
          <w:b/>
          <w:spacing w:val="-3"/>
          <w:sz w:val="18"/>
        </w:rPr>
        <w:t>我们对无法确定的部分，不承担给付保险金的责任，</w:t>
      </w:r>
      <w:r>
        <w:rPr>
          <w:sz w:val="18"/>
        </w:rPr>
        <w:t>但我们通过其他途径已经及时知道或者应当及时知道保险事故发生</w:t>
      </w:r>
      <w:r>
        <w:rPr>
          <w:spacing w:val="-1"/>
          <w:sz w:val="18"/>
        </w:rPr>
        <w:t>或者虽未及时通知但不影响我们确定保险事故的性质、原因、损失程度的除外。</w:t>
      </w:r>
    </w:p>
    <w:p>
      <w:pPr>
        <w:pStyle w:val="Heading2"/>
        <w:spacing w:before="81"/>
      </w:pPr>
      <w:bookmarkStart w:name="_bookmark5" w:id="6"/>
      <w:bookmarkEnd w:id="6"/>
      <w:r>
        <w:rPr>
          <w:b w:val="0"/>
        </w:rPr>
      </w:r>
      <w:r>
        <w:rPr/>
        <w:t>第五条 保险金申请</w:t>
      </w:r>
    </w:p>
    <w:p>
      <w:pPr>
        <w:pStyle w:val="BodyText"/>
        <w:spacing w:before="2"/>
        <w:ind w:left="0"/>
        <w:rPr>
          <w:b/>
          <w:sz w:val="14"/>
        </w:rPr>
      </w:pPr>
    </w:p>
    <w:p>
      <w:pPr>
        <w:pStyle w:val="ListParagraph"/>
        <w:numPr>
          <w:ilvl w:val="1"/>
          <w:numId w:val="4"/>
        </w:numPr>
        <w:tabs>
          <w:tab w:pos="790" w:val="left" w:leader="none"/>
          <w:tab w:pos="791" w:val="left" w:leader="none"/>
        </w:tabs>
        <w:spacing w:line="338" w:lineRule="auto" w:before="0" w:after="0"/>
        <w:ind w:left="790" w:right="108" w:hanging="679"/>
        <w:jc w:val="left"/>
        <w:rPr>
          <w:sz w:val="18"/>
        </w:rPr>
      </w:pPr>
      <w:r>
        <w:rPr>
          <w:b/>
          <w:spacing w:val="2"/>
          <w:sz w:val="18"/>
        </w:rPr>
        <w:t>重大疾病</w:t>
      </w:r>
      <w:r>
        <w:rPr>
          <w:rFonts w:ascii="Arial" w:eastAsia="Arial"/>
          <w:sz w:val="18"/>
        </w:rPr>
        <w:t>(</w:t>
      </w:r>
      <w:r>
        <w:rPr>
          <w:sz w:val="18"/>
        </w:rPr>
        <w:t>见释义</w:t>
      </w:r>
      <w:r>
        <w:rPr>
          <w:rFonts w:ascii="Arial" w:eastAsia="Arial"/>
          <w:sz w:val="18"/>
        </w:rPr>
        <w:t>)</w:t>
      </w:r>
      <w:r>
        <w:rPr>
          <w:sz w:val="18"/>
        </w:rPr>
        <w:t>保险金的申请人为重大疾病保险金受益人或其监护人，在申请重大疾病保险金时，申请人须填写保险</w:t>
      </w:r>
      <w:r>
        <w:rPr>
          <w:w w:val="95"/>
          <w:sz w:val="18"/>
        </w:rPr>
        <w:t>金给付申请书，并提供下列证明和资料：</w:t>
      </w:r>
    </w:p>
    <w:p>
      <w:pPr>
        <w:pStyle w:val="ListParagraph"/>
        <w:numPr>
          <w:ilvl w:val="2"/>
          <w:numId w:val="4"/>
        </w:numPr>
        <w:tabs>
          <w:tab w:pos="1247" w:val="left" w:leader="none"/>
        </w:tabs>
        <w:spacing w:line="240" w:lineRule="auto" w:before="89" w:after="0"/>
        <w:ind w:left="1246" w:right="0" w:hanging="420"/>
        <w:jc w:val="left"/>
        <w:rPr>
          <w:sz w:val="18"/>
        </w:rPr>
      </w:pPr>
      <w:r>
        <w:rPr>
          <w:w w:val="95"/>
          <w:sz w:val="18"/>
        </w:rPr>
        <w:t>保险合同；</w:t>
      </w:r>
    </w:p>
    <w:p>
      <w:pPr>
        <w:pStyle w:val="ListParagraph"/>
        <w:numPr>
          <w:ilvl w:val="2"/>
          <w:numId w:val="4"/>
        </w:numPr>
        <w:tabs>
          <w:tab w:pos="1247" w:val="left" w:leader="none"/>
        </w:tabs>
        <w:spacing w:line="240" w:lineRule="auto" w:before="150" w:after="0"/>
        <w:ind w:left="1246" w:right="0" w:hanging="420"/>
        <w:jc w:val="left"/>
        <w:rPr>
          <w:sz w:val="18"/>
        </w:rPr>
      </w:pPr>
      <w:r>
        <w:rPr>
          <w:sz w:val="18"/>
        </w:rPr>
        <w:t>申请人的</w:t>
      </w:r>
      <w:r>
        <w:rPr>
          <w:b/>
          <w:sz w:val="18"/>
        </w:rPr>
        <w:t>有效身份证件</w:t>
      </w:r>
      <w:r>
        <w:rPr>
          <w:sz w:val="18"/>
        </w:rPr>
        <w:t>（见释义）；</w:t>
      </w:r>
    </w:p>
    <w:p>
      <w:pPr>
        <w:pStyle w:val="ListParagraph"/>
        <w:numPr>
          <w:ilvl w:val="2"/>
          <w:numId w:val="4"/>
        </w:numPr>
        <w:tabs>
          <w:tab w:pos="1247" w:val="left" w:leader="none"/>
        </w:tabs>
        <w:spacing w:line="240" w:lineRule="auto" w:before="150" w:after="0"/>
        <w:ind w:left="1246" w:right="0" w:hanging="420"/>
        <w:jc w:val="left"/>
        <w:rPr>
          <w:sz w:val="18"/>
        </w:rPr>
      </w:pPr>
      <w:r>
        <w:rPr>
          <w:w w:val="95"/>
          <w:sz w:val="18"/>
        </w:rPr>
        <w:t>专科医生出具的被保险人病理组织学检查、血液检查、及其他科学方法检验报告的疾病诊断证明书；</w:t>
      </w:r>
    </w:p>
    <w:p>
      <w:pPr>
        <w:pStyle w:val="ListParagraph"/>
        <w:numPr>
          <w:ilvl w:val="2"/>
          <w:numId w:val="4"/>
        </w:numPr>
        <w:tabs>
          <w:tab w:pos="1247" w:val="left" w:leader="none"/>
        </w:tabs>
        <w:spacing w:line="240" w:lineRule="auto" w:before="150" w:after="0"/>
        <w:ind w:left="1246" w:right="0" w:hanging="420"/>
        <w:jc w:val="left"/>
        <w:rPr>
          <w:sz w:val="18"/>
        </w:rPr>
      </w:pPr>
      <w:r>
        <w:rPr>
          <w:w w:val="95"/>
          <w:sz w:val="18"/>
        </w:rPr>
        <w:t>所能提供的与确认保险事故的性质、原因、伤害程度等有关的其他证明和资料；</w:t>
      </w:r>
    </w:p>
    <w:p>
      <w:pPr>
        <w:pStyle w:val="ListParagraph"/>
        <w:numPr>
          <w:ilvl w:val="2"/>
          <w:numId w:val="4"/>
        </w:numPr>
        <w:tabs>
          <w:tab w:pos="1247" w:val="left" w:leader="none"/>
        </w:tabs>
        <w:spacing w:line="240" w:lineRule="auto" w:before="150" w:after="0"/>
        <w:ind w:left="1246" w:right="0" w:hanging="420"/>
        <w:jc w:val="left"/>
        <w:rPr>
          <w:sz w:val="18"/>
        </w:rPr>
      </w:pPr>
      <w:r>
        <w:rPr>
          <w:w w:val="95"/>
          <w:sz w:val="18"/>
        </w:rPr>
        <w:t>申请人与被保险人的相关关系证明（如有需要）。</w:t>
      </w:r>
    </w:p>
    <w:p>
      <w:pPr>
        <w:pStyle w:val="ListParagraph"/>
        <w:numPr>
          <w:ilvl w:val="1"/>
          <w:numId w:val="4"/>
        </w:numPr>
        <w:tabs>
          <w:tab w:pos="790" w:val="left" w:leader="none"/>
          <w:tab w:pos="791" w:val="left" w:leader="none"/>
        </w:tabs>
        <w:spacing w:line="240" w:lineRule="auto" w:before="150" w:after="0"/>
        <w:ind w:left="790" w:right="0" w:hanging="679"/>
        <w:jc w:val="left"/>
        <w:rPr>
          <w:sz w:val="18"/>
        </w:rPr>
      </w:pPr>
      <w:r>
        <w:rPr>
          <w:spacing w:val="-1"/>
          <w:sz w:val="18"/>
        </w:rPr>
        <w:t>上述相关证明和资料，除保险合同外，我们审核原件，审核完毕后留存复印件，原件返还给申请人或受托人。</w:t>
      </w:r>
    </w:p>
    <w:p>
      <w:pPr>
        <w:spacing w:after="0" w:line="240" w:lineRule="auto"/>
        <w:jc w:val="left"/>
        <w:rPr>
          <w:sz w:val="18"/>
        </w:rPr>
        <w:sectPr>
          <w:type w:val="continuous"/>
          <w:pgSz w:w="11910" w:h="16850"/>
          <w:pgMar w:top="1020" w:bottom="920" w:left="880" w:right="740"/>
        </w:sectPr>
      </w:pPr>
    </w:p>
    <w:p>
      <w:pPr>
        <w:pStyle w:val="ListParagraph"/>
        <w:numPr>
          <w:ilvl w:val="1"/>
          <w:numId w:val="4"/>
        </w:numPr>
        <w:tabs>
          <w:tab w:pos="790" w:val="left" w:leader="none"/>
          <w:tab w:pos="791" w:val="left" w:leader="none"/>
        </w:tabs>
        <w:spacing w:line="240" w:lineRule="auto" w:before="112" w:after="0"/>
        <w:ind w:left="790" w:right="0" w:hanging="679"/>
        <w:jc w:val="left"/>
        <w:rPr>
          <w:sz w:val="18"/>
        </w:rPr>
      </w:pPr>
      <w:r>
        <w:rPr>
          <w:sz w:val="18"/>
        </w:rPr>
        <w:t>保险金作为被保险人遗产时，必须提供可证明合法继承权的相关权利文件。</w:t>
      </w:r>
    </w:p>
    <w:p>
      <w:pPr>
        <w:pStyle w:val="ListParagraph"/>
        <w:numPr>
          <w:ilvl w:val="1"/>
          <w:numId w:val="4"/>
        </w:numPr>
        <w:tabs>
          <w:tab w:pos="790" w:val="left" w:leader="none"/>
          <w:tab w:pos="791" w:val="left" w:leader="none"/>
        </w:tabs>
        <w:spacing w:line="240" w:lineRule="auto" w:before="149" w:after="0"/>
        <w:ind w:left="790" w:right="0" w:hanging="679"/>
        <w:jc w:val="left"/>
        <w:rPr>
          <w:sz w:val="18"/>
        </w:rPr>
      </w:pPr>
      <w:r>
        <w:rPr>
          <w:sz w:val="18"/>
        </w:rPr>
        <w:t>以上证明和资料不完整的，我们将及时一次性通知申请人补充提供有关的证明和资料。</w:t>
      </w:r>
    </w:p>
    <w:p>
      <w:pPr>
        <w:pStyle w:val="ListParagraph"/>
        <w:numPr>
          <w:ilvl w:val="1"/>
          <w:numId w:val="4"/>
        </w:numPr>
        <w:tabs>
          <w:tab w:pos="790" w:val="left" w:leader="none"/>
          <w:tab w:pos="791" w:val="left" w:leader="none"/>
        </w:tabs>
        <w:spacing w:line="240" w:lineRule="auto" w:before="150" w:after="0"/>
        <w:ind w:left="790" w:right="0" w:hanging="679"/>
        <w:jc w:val="left"/>
        <w:rPr>
          <w:sz w:val="18"/>
        </w:rPr>
      </w:pPr>
      <w:r>
        <w:rPr>
          <w:sz w:val="18"/>
        </w:rPr>
        <w:t>除有关法律、行政法规不允许外，我们将保留进行医学鉴定或核实的权利。</w:t>
      </w:r>
    </w:p>
    <w:p>
      <w:pPr>
        <w:pStyle w:val="Heading2"/>
      </w:pPr>
      <w:bookmarkStart w:name="_bookmark6" w:id="7"/>
      <w:bookmarkEnd w:id="7"/>
      <w:r>
        <w:rPr>
          <w:b w:val="0"/>
        </w:rPr>
      </w:r>
      <w:r>
        <w:rPr/>
        <w:t>第六条 保险金给付</w:t>
      </w:r>
    </w:p>
    <w:p>
      <w:pPr>
        <w:pStyle w:val="BodyText"/>
        <w:spacing w:before="1"/>
        <w:ind w:left="0"/>
        <w:rPr>
          <w:b/>
          <w:sz w:val="14"/>
        </w:rPr>
      </w:pPr>
    </w:p>
    <w:p>
      <w:pPr>
        <w:pStyle w:val="ListParagraph"/>
        <w:numPr>
          <w:ilvl w:val="1"/>
          <w:numId w:val="5"/>
        </w:numPr>
        <w:tabs>
          <w:tab w:pos="790" w:val="left" w:leader="none"/>
          <w:tab w:pos="791" w:val="left" w:leader="none"/>
        </w:tabs>
        <w:spacing w:line="326" w:lineRule="auto" w:before="0" w:after="0"/>
        <w:ind w:left="790" w:right="188" w:hanging="679"/>
        <w:jc w:val="left"/>
        <w:rPr>
          <w:sz w:val="18"/>
        </w:rPr>
      </w:pPr>
      <w:r>
        <w:rPr>
          <w:spacing w:val="-5"/>
          <w:sz w:val="18"/>
        </w:rPr>
        <w:t>我们在收到保险金给付申请书及合同约定的证明和资料后，将及时作出核定；情形复杂的，在 </w:t>
      </w:r>
      <w:r>
        <w:rPr>
          <w:rFonts w:ascii="Arial" w:eastAsia="Arial"/>
          <w:sz w:val="18"/>
        </w:rPr>
        <w:t>30</w:t>
      </w:r>
      <w:r>
        <w:rPr>
          <w:rFonts w:ascii="Arial" w:eastAsia="Arial"/>
          <w:spacing w:val="-8"/>
          <w:sz w:val="18"/>
        </w:rPr>
        <w:t> </w:t>
      </w:r>
      <w:r>
        <w:rPr>
          <w:spacing w:val="-3"/>
          <w:sz w:val="18"/>
        </w:rPr>
        <w:t>日内作出核定，但双方另有约定的除外</w:t>
      </w:r>
      <w:r>
        <w:rPr>
          <w:i/>
          <w:spacing w:val="-3"/>
          <w:sz w:val="19"/>
        </w:rPr>
        <w:t>。</w:t>
      </w:r>
      <w:r>
        <w:rPr>
          <w:spacing w:val="-5"/>
          <w:sz w:val="18"/>
        </w:rPr>
        <w:t>对属于保险责任的，我们在与申请人达成给付保险金的协议后 </w:t>
      </w:r>
      <w:r>
        <w:rPr>
          <w:rFonts w:ascii="Arial" w:eastAsia="Arial"/>
          <w:sz w:val="18"/>
        </w:rPr>
        <w:t>10</w:t>
      </w:r>
      <w:r>
        <w:rPr>
          <w:rFonts w:ascii="Arial" w:eastAsia="Arial"/>
          <w:spacing w:val="-13"/>
          <w:sz w:val="18"/>
        </w:rPr>
        <w:t> </w:t>
      </w:r>
      <w:r>
        <w:rPr>
          <w:sz w:val="18"/>
        </w:rPr>
        <w:t>日内，履行给付保险金义务。</w:t>
      </w:r>
    </w:p>
    <w:p>
      <w:pPr>
        <w:pStyle w:val="ListParagraph"/>
        <w:numPr>
          <w:ilvl w:val="1"/>
          <w:numId w:val="5"/>
        </w:numPr>
        <w:tabs>
          <w:tab w:pos="790" w:val="left" w:leader="none"/>
          <w:tab w:pos="791" w:val="left" w:leader="none"/>
        </w:tabs>
        <w:spacing w:line="240" w:lineRule="auto" w:before="77" w:after="0"/>
        <w:ind w:left="790" w:right="0" w:hanging="679"/>
        <w:jc w:val="left"/>
        <w:rPr>
          <w:sz w:val="18"/>
        </w:rPr>
      </w:pPr>
      <w:r>
        <w:rPr>
          <w:sz w:val="18"/>
        </w:rPr>
        <w:t>我们未及时履行前款规定义务的，除支付保险金外，应当赔偿申请人因此受到的损失。</w:t>
      </w:r>
    </w:p>
    <w:p>
      <w:pPr>
        <w:pStyle w:val="ListParagraph"/>
        <w:numPr>
          <w:ilvl w:val="1"/>
          <w:numId w:val="5"/>
        </w:numPr>
        <w:tabs>
          <w:tab w:pos="790" w:val="left" w:leader="none"/>
          <w:tab w:pos="791" w:val="left" w:leader="none"/>
        </w:tabs>
        <w:spacing w:line="240" w:lineRule="auto" w:before="150" w:after="0"/>
        <w:ind w:left="790" w:right="0" w:hanging="679"/>
        <w:jc w:val="left"/>
        <w:rPr>
          <w:sz w:val="18"/>
        </w:rPr>
      </w:pPr>
      <w:r>
        <w:rPr>
          <w:spacing w:val="-3"/>
          <w:sz w:val="18"/>
        </w:rPr>
        <w:t>对不属于保险责任的，我们自作出核定之日起 </w:t>
      </w:r>
      <w:r>
        <w:rPr>
          <w:sz w:val="18"/>
        </w:rPr>
        <w:t>3</w:t>
      </w:r>
      <w:r>
        <w:rPr>
          <w:spacing w:val="-7"/>
          <w:sz w:val="18"/>
        </w:rPr>
        <w:t> 日内向申请人发出拒绝给付保险金通知书，并说明理由。</w:t>
      </w:r>
    </w:p>
    <w:p>
      <w:pPr>
        <w:pStyle w:val="ListParagraph"/>
        <w:numPr>
          <w:ilvl w:val="1"/>
          <w:numId w:val="5"/>
        </w:numPr>
        <w:tabs>
          <w:tab w:pos="790" w:val="left" w:leader="none"/>
          <w:tab w:pos="791" w:val="left" w:leader="none"/>
        </w:tabs>
        <w:spacing w:line="338" w:lineRule="auto" w:before="150" w:after="0"/>
        <w:ind w:left="790" w:right="190" w:hanging="679"/>
        <w:jc w:val="left"/>
        <w:rPr>
          <w:sz w:val="18"/>
        </w:rPr>
      </w:pPr>
      <w:r>
        <w:rPr>
          <w:spacing w:val="-2"/>
          <w:sz w:val="18"/>
        </w:rPr>
        <w:t>我们在收到保险金给付申请书及有关证明和资料之日起 </w:t>
      </w:r>
      <w:r>
        <w:rPr>
          <w:sz w:val="18"/>
        </w:rPr>
        <w:t>60</w:t>
      </w:r>
      <w:r>
        <w:rPr>
          <w:spacing w:val="-12"/>
          <w:sz w:val="18"/>
        </w:rPr>
        <w:t> 日内，对给付保险金的数额不能确定的，根据已有证明和资料</w:t>
      </w:r>
      <w:r>
        <w:rPr>
          <w:spacing w:val="-1"/>
          <w:sz w:val="18"/>
        </w:rPr>
        <w:t>可以确定的数额先予支付；我们最终确定给付保险金的数额后，将支付相应的差额。</w:t>
      </w:r>
    </w:p>
    <w:p>
      <w:pPr>
        <w:pStyle w:val="Heading2"/>
        <w:spacing w:before="87"/>
      </w:pPr>
      <w:bookmarkStart w:name="_bookmark7" w:id="8"/>
      <w:bookmarkEnd w:id="8"/>
      <w:r>
        <w:rPr>
          <w:b w:val="0"/>
        </w:rPr>
      </w:r>
      <w:r>
        <w:rPr/>
        <w:t>第七条 诉讼时效</w:t>
      </w:r>
    </w:p>
    <w:p>
      <w:pPr>
        <w:pStyle w:val="BodyText"/>
        <w:spacing w:before="1"/>
        <w:ind w:left="0"/>
        <w:rPr>
          <w:b/>
          <w:sz w:val="14"/>
        </w:rPr>
      </w:pPr>
    </w:p>
    <w:p>
      <w:pPr>
        <w:pStyle w:val="BodyText"/>
        <w:tabs>
          <w:tab w:pos="790" w:val="left" w:leader="none"/>
        </w:tabs>
        <w:spacing w:before="1"/>
        <w:ind w:left="111"/>
      </w:pPr>
      <w:r>
        <w:rPr>
          <w:rFonts w:ascii="Arial" w:eastAsia="Arial"/>
        </w:rPr>
        <w:t>7.1</w:t>
        <w:tab/>
      </w:r>
      <w:r>
        <w:rPr>
          <w:spacing w:val="-3"/>
        </w:rPr>
        <w:t>申请人向我们请求给付保险金的诉讼时效期间为 </w:t>
      </w:r>
      <w:r>
        <w:rPr/>
        <w:t>2</w:t>
      </w:r>
      <w:r>
        <w:rPr>
          <w:spacing w:val="-7"/>
        </w:rPr>
        <w:t> 年，自其知道或者应当知道保险事故发生之日起计算。</w:t>
      </w:r>
    </w:p>
    <w:p>
      <w:pPr>
        <w:pStyle w:val="Heading2"/>
      </w:pPr>
      <w:bookmarkStart w:name="_bookmark8" w:id="9"/>
      <w:bookmarkEnd w:id="9"/>
      <w:r>
        <w:rPr>
          <w:b w:val="0"/>
        </w:rPr>
      </w:r>
      <w:r>
        <w:rPr/>
        <w:t>第八条 保险费的支付</w:t>
      </w:r>
    </w:p>
    <w:p>
      <w:pPr>
        <w:pStyle w:val="BodyText"/>
        <w:spacing w:before="1"/>
        <w:ind w:left="0"/>
        <w:rPr>
          <w:b/>
          <w:sz w:val="14"/>
        </w:rPr>
      </w:pPr>
    </w:p>
    <w:p>
      <w:pPr>
        <w:pStyle w:val="ListParagraph"/>
        <w:numPr>
          <w:ilvl w:val="1"/>
          <w:numId w:val="6"/>
        </w:numPr>
        <w:tabs>
          <w:tab w:pos="790" w:val="left" w:leader="none"/>
          <w:tab w:pos="791" w:val="left" w:leader="none"/>
        </w:tabs>
        <w:spacing w:line="240" w:lineRule="auto" w:before="0" w:after="0"/>
        <w:ind w:left="790" w:right="0" w:hanging="679"/>
        <w:jc w:val="left"/>
        <w:rPr>
          <w:sz w:val="18"/>
        </w:rPr>
      </w:pPr>
      <w:r>
        <w:rPr>
          <w:sz w:val="18"/>
        </w:rPr>
        <w:t>您可选择适用于本合同的各种交费方式支付保险费，并在保险单上载明。</w:t>
      </w:r>
    </w:p>
    <w:p>
      <w:pPr>
        <w:pStyle w:val="ListParagraph"/>
        <w:numPr>
          <w:ilvl w:val="1"/>
          <w:numId w:val="6"/>
        </w:numPr>
        <w:tabs>
          <w:tab w:pos="790" w:val="left" w:leader="none"/>
          <w:tab w:pos="791" w:val="left" w:leader="none"/>
        </w:tabs>
        <w:spacing w:line="240" w:lineRule="auto" w:before="150" w:after="0"/>
        <w:ind w:left="790" w:right="0" w:hanging="679"/>
        <w:jc w:val="left"/>
        <w:rPr>
          <w:sz w:val="18"/>
        </w:rPr>
      </w:pPr>
      <w:r>
        <w:rPr>
          <w:spacing w:val="-1"/>
          <w:sz w:val="18"/>
        </w:rPr>
        <w:t>如果约定分期支付保险费，您支付首期保险费后，应当按照保险单所载明的交费方式和约定交费日期支付续期保险费。</w:t>
      </w:r>
    </w:p>
    <w:p>
      <w:pPr>
        <w:pStyle w:val="Heading2"/>
      </w:pPr>
      <w:bookmarkStart w:name="_bookmark9" w:id="10"/>
      <w:bookmarkEnd w:id="10"/>
      <w:r>
        <w:rPr>
          <w:b w:val="0"/>
        </w:rPr>
      </w:r>
      <w:r>
        <w:rPr/>
        <w:t>第九条 合同终止</w:t>
      </w:r>
    </w:p>
    <w:p>
      <w:pPr>
        <w:pStyle w:val="BodyText"/>
        <w:spacing w:before="1"/>
        <w:ind w:left="0"/>
        <w:rPr>
          <w:b/>
          <w:sz w:val="14"/>
        </w:rPr>
      </w:pPr>
    </w:p>
    <w:p>
      <w:pPr>
        <w:pStyle w:val="ListParagraph"/>
        <w:numPr>
          <w:ilvl w:val="1"/>
          <w:numId w:val="7"/>
        </w:numPr>
        <w:tabs>
          <w:tab w:pos="790" w:val="left" w:leader="none"/>
          <w:tab w:pos="791" w:val="left" w:leader="none"/>
        </w:tabs>
        <w:spacing w:line="240" w:lineRule="auto" w:before="0" w:after="0"/>
        <w:ind w:left="790" w:right="0" w:hanging="679"/>
        <w:jc w:val="left"/>
        <w:rPr>
          <w:sz w:val="18"/>
        </w:rPr>
      </w:pPr>
      <w:r>
        <w:rPr>
          <w:spacing w:val="-1"/>
          <w:sz w:val="18"/>
        </w:rPr>
        <w:t>发生下列情况之一，本合同即行终止：</w:t>
      </w:r>
    </w:p>
    <w:p>
      <w:pPr>
        <w:pStyle w:val="ListParagraph"/>
        <w:numPr>
          <w:ilvl w:val="2"/>
          <w:numId w:val="7"/>
        </w:numPr>
        <w:tabs>
          <w:tab w:pos="1247" w:val="left" w:leader="none"/>
        </w:tabs>
        <w:spacing w:line="240" w:lineRule="auto" w:before="150" w:after="0"/>
        <w:ind w:left="1246" w:right="0" w:hanging="420"/>
        <w:jc w:val="left"/>
        <w:rPr>
          <w:sz w:val="18"/>
        </w:rPr>
      </w:pPr>
      <w:r>
        <w:rPr>
          <w:w w:val="95"/>
          <w:sz w:val="18"/>
        </w:rPr>
        <w:t>您于本合同的保险期间内按约定申请解除本合同；</w:t>
      </w:r>
    </w:p>
    <w:p>
      <w:pPr>
        <w:pStyle w:val="ListParagraph"/>
        <w:numPr>
          <w:ilvl w:val="2"/>
          <w:numId w:val="7"/>
        </w:numPr>
        <w:tabs>
          <w:tab w:pos="1247" w:val="left" w:leader="none"/>
        </w:tabs>
        <w:spacing w:line="240" w:lineRule="auto" w:before="150" w:after="0"/>
        <w:ind w:left="1246" w:right="0" w:hanging="420"/>
        <w:jc w:val="left"/>
        <w:rPr>
          <w:sz w:val="18"/>
        </w:rPr>
      </w:pPr>
      <w:r>
        <w:rPr>
          <w:w w:val="95"/>
          <w:sz w:val="18"/>
        </w:rPr>
        <w:t>本合同保险期间届满；</w:t>
      </w:r>
    </w:p>
    <w:p>
      <w:pPr>
        <w:pStyle w:val="ListParagraph"/>
        <w:numPr>
          <w:ilvl w:val="2"/>
          <w:numId w:val="7"/>
        </w:numPr>
        <w:tabs>
          <w:tab w:pos="1247" w:val="left" w:leader="none"/>
        </w:tabs>
        <w:spacing w:line="240" w:lineRule="auto" w:before="150" w:after="0"/>
        <w:ind w:left="1246" w:right="0" w:hanging="420"/>
        <w:jc w:val="left"/>
        <w:rPr>
          <w:sz w:val="18"/>
        </w:rPr>
      </w:pPr>
      <w:r>
        <w:rPr>
          <w:w w:val="95"/>
          <w:sz w:val="18"/>
        </w:rPr>
        <w:t>本合同因法律规定或本合同约定的其他情况而终止。</w:t>
      </w:r>
    </w:p>
    <w:p>
      <w:pPr>
        <w:pStyle w:val="Heading2"/>
      </w:pPr>
      <w:bookmarkStart w:name="_bookmark10" w:id="11"/>
      <w:bookmarkEnd w:id="11"/>
      <w:r>
        <w:rPr>
          <w:b w:val="0"/>
        </w:rPr>
      </w:r>
      <w:r>
        <w:rPr/>
        <w:t>第十条 您解除合同的手续及风险</w:t>
      </w:r>
    </w:p>
    <w:p>
      <w:pPr>
        <w:pStyle w:val="BodyText"/>
        <w:spacing w:before="1"/>
        <w:ind w:left="0"/>
        <w:rPr>
          <w:b/>
          <w:sz w:val="14"/>
        </w:rPr>
      </w:pPr>
    </w:p>
    <w:p>
      <w:pPr>
        <w:pStyle w:val="ListParagraph"/>
        <w:numPr>
          <w:ilvl w:val="1"/>
          <w:numId w:val="8"/>
        </w:numPr>
        <w:tabs>
          <w:tab w:pos="790" w:val="left" w:leader="none"/>
          <w:tab w:pos="791" w:val="left" w:leader="none"/>
        </w:tabs>
        <w:spacing w:line="240" w:lineRule="auto" w:before="0" w:after="0"/>
        <w:ind w:left="790" w:right="0" w:hanging="679"/>
        <w:jc w:val="left"/>
        <w:rPr>
          <w:sz w:val="18"/>
        </w:rPr>
      </w:pPr>
      <w:r>
        <w:rPr>
          <w:sz w:val="18"/>
        </w:rPr>
        <w:t>如您申请解除本合同，请填写保险合同终止申请书并向我们提供下列资料：</w:t>
      </w:r>
    </w:p>
    <w:p>
      <w:pPr>
        <w:pStyle w:val="ListParagraph"/>
        <w:numPr>
          <w:ilvl w:val="2"/>
          <w:numId w:val="8"/>
        </w:numPr>
        <w:tabs>
          <w:tab w:pos="1372" w:val="left" w:leader="none"/>
        </w:tabs>
        <w:spacing w:line="240" w:lineRule="auto" w:before="149" w:after="0"/>
        <w:ind w:left="1371" w:right="0" w:hanging="420"/>
        <w:jc w:val="left"/>
        <w:rPr>
          <w:sz w:val="18"/>
        </w:rPr>
      </w:pPr>
      <w:r>
        <w:rPr>
          <w:w w:val="95"/>
          <w:sz w:val="18"/>
        </w:rPr>
        <w:t>保险合同；</w:t>
      </w:r>
    </w:p>
    <w:p>
      <w:pPr>
        <w:pStyle w:val="ListParagraph"/>
        <w:numPr>
          <w:ilvl w:val="2"/>
          <w:numId w:val="8"/>
        </w:numPr>
        <w:tabs>
          <w:tab w:pos="1372" w:val="left" w:leader="none"/>
        </w:tabs>
        <w:spacing w:line="240" w:lineRule="auto" w:before="149" w:after="0"/>
        <w:ind w:left="1371" w:right="0" w:hanging="420"/>
        <w:jc w:val="left"/>
        <w:rPr>
          <w:sz w:val="18"/>
        </w:rPr>
      </w:pPr>
      <w:r>
        <w:rPr>
          <w:w w:val="95"/>
          <w:sz w:val="18"/>
        </w:rPr>
        <w:t>您的有效身份证件。</w:t>
      </w:r>
    </w:p>
    <w:p>
      <w:pPr>
        <w:pStyle w:val="ListParagraph"/>
        <w:numPr>
          <w:ilvl w:val="1"/>
          <w:numId w:val="8"/>
        </w:numPr>
        <w:tabs>
          <w:tab w:pos="790" w:val="left" w:leader="none"/>
          <w:tab w:pos="791" w:val="left" w:leader="none"/>
        </w:tabs>
        <w:spacing w:line="240" w:lineRule="auto" w:before="149" w:after="0"/>
        <w:ind w:left="790" w:right="0" w:hanging="679"/>
        <w:jc w:val="left"/>
        <w:rPr>
          <w:sz w:val="18"/>
        </w:rPr>
      </w:pPr>
      <w:r>
        <w:rPr>
          <w:sz w:val="18"/>
        </w:rPr>
        <w:t>如您要求解除本合同，自我们收到保险合同终止申请书之日起，本合同终止，我们将退还本合同的</w:t>
      </w:r>
      <w:r>
        <w:rPr>
          <w:b/>
          <w:sz w:val="18"/>
        </w:rPr>
        <w:t>现金价值</w:t>
      </w:r>
      <w:r>
        <w:rPr>
          <w:sz w:val="18"/>
        </w:rPr>
        <w:t>（见释义）</w:t>
      </w:r>
    </w:p>
    <w:p>
      <w:pPr>
        <w:pStyle w:val="BodyText"/>
        <w:spacing w:before="101"/>
      </w:pPr>
      <w:r>
        <w:rPr/>
        <w:t>（现金价值为零</w:t>
      </w:r>
      <w:r>
        <w:rPr>
          <w:spacing w:val="-89"/>
        </w:rPr>
        <w:t>）</w:t>
      </w:r>
      <w:r>
        <w:rPr/>
        <w:t>。</w:t>
      </w:r>
    </w:p>
    <w:p>
      <w:pPr>
        <w:pStyle w:val="BodyText"/>
        <w:spacing w:before="5"/>
        <w:ind w:left="0"/>
        <w:rPr>
          <w:sz w:val="12"/>
        </w:rPr>
      </w:pPr>
    </w:p>
    <w:p>
      <w:pPr>
        <w:pStyle w:val="Heading3"/>
        <w:numPr>
          <w:ilvl w:val="1"/>
          <w:numId w:val="8"/>
        </w:numPr>
        <w:tabs>
          <w:tab w:pos="790" w:val="left" w:leader="none"/>
          <w:tab w:pos="791" w:val="left" w:leader="none"/>
        </w:tabs>
        <w:spacing w:line="240" w:lineRule="auto" w:before="0" w:after="0"/>
        <w:ind w:left="790" w:right="0" w:hanging="679"/>
        <w:jc w:val="left"/>
      </w:pPr>
      <w:r>
        <w:rPr/>
        <w:t>您解除合同会遭受一定损失。</w:t>
      </w:r>
    </w:p>
    <w:p>
      <w:pPr>
        <w:tabs>
          <w:tab w:pos="1301" w:val="left" w:leader="none"/>
        </w:tabs>
        <w:spacing w:before="148"/>
        <w:ind w:left="111" w:right="0" w:firstLine="0"/>
        <w:jc w:val="left"/>
        <w:rPr>
          <w:b/>
          <w:sz w:val="21"/>
        </w:rPr>
      </w:pPr>
      <w:bookmarkStart w:name="_bookmark11" w:id="12"/>
      <w:bookmarkEnd w:id="12"/>
      <w:r>
        <w:rPr/>
      </w:r>
      <w:r>
        <w:rPr>
          <w:b/>
          <w:sz w:val="21"/>
        </w:rPr>
        <w:t>第十一条</w:t>
        <w:tab/>
        <w:t>明确说明与如实告知</w:t>
      </w:r>
    </w:p>
    <w:p>
      <w:pPr>
        <w:pStyle w:val="BodyText"/>
        <w:spacing w:before="2"/>
        <w:ind w:left="0"/>
        <w:rPr>
          <w:b/>
          <w:sz w:val="14"/>
        </w:rPr>
      </w:pPr>
    </w:p>
    <w:p>
      <w:pPr>
        <w:pStyle w:val="ListParagraph"/>
        <w:numPr>
          <w:ilvl w:val="1"/>
          <w:numId w:val="9"/>
        </w:numPr>
        <w:tabs>
          <w:tab w:pos="790" w:val="left" w:leader="none"/>
          <w:tab w:pos="791" w:val="left" w:leader="none"/>
        </w:tabs>
        <w:spacing w:line="240" w:lineRule="auto" w:before="0" w:after="0"/>
        <w:ind w:left="790" w:right="0" w:hanging="679"/>
        <w:jc w:val="left"/>
        <w:rPr>
          <w:sz w:val="18"/>
        </w:rPr>
      </w:pPr>
      <w:r>
        <w:rPr>
          <w:sz w:val="18"/>
        </w:rPr>
        <w:t>订立本合同时，我们应向您说明本合同的内容。</w:t>
      </w:r>
    </w:p>
    <w:p>
      <w:pPr>
        <w:pStyle w:val="ListParagraph"/>
        <w:numPr>
          <w:ilvl w:val="1"/>
          <w:numId w:val="9"/>
        </w:numPr>
        <w:tabs>
          <w:tab w:pos="790" w:val="left" w:leader="none"/>
          <w:tab w:pos="791" w:val="left" w:leader="none"/>
        </w:tabs>
        <w:spacing w:line="338" w:lineRule="auto" w:before="150" w:after="0"/>
        <w:ind w:left="790" w:right="187" w:hanging="679"/>
        <w:jc w:val="left"/>
        <w:rPr>
          <w:sz w:val="18"/>
        </w:rPr>
      </w:pPr>
      <w:r>
        <w:rPr>
          <w:sz w:val="18"/>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ListParagraph"/>
        <w:numPr>
          <w:ilvl w:val="1"/>
          <w:numId w:val="9"/>
        </w:numPr>
        <w:tabs>
          <w:tab w:pos="790" w:val="left" w:leader="none"/>
          <w:tab w:pos="791" w:val="left" w:leader="none"/>
        </w:tabs>
        <w:spacing w:line="240" w:lineRule="auto" w:before="89" w:after="0"/>
        <w:ind w:left="790" w:right="0" w:hanging="679"/>
        <w:jc w:val="left"/>
        <w:rPr>
          <w:sz w:val="18"/>
        </w:rPr>
      </w:pPr>
      <w:r>
        <w:rPr>
          <w:sz w:val="18"/>
        </w:rPr>
        <w:t>我们就您和被保险人的有关情况提出询问，您应当如实告知。</w:t>
      </w:r>
    </w:p>
    <w:p>
      <w:pPr>
        <w:pStyle w:val="Heading3"/>
        <w:numPr>
          <w:ilvl w:val="1"/>
          <w:numId w:val="9"/>
        </w:numPr>
        <w:tabs>
          <w:tab w:pos="790" w:val="left" w:leader="none"/>
          <w:tab w:pos="791" w:val="left" w:leader="none"/>
        </w:tabs>
        <w:spacing w:line="338" w:lineRule="auto" w:before="150" w:after="0"/>
        <w:ind w:left="790" w:right="190" w:hanging="679"/>
        <w:jc w:val="left"/>
      </w:pPr>
      <w:r>
        <w:rPr/>
        <w:t>如果您故意或者因重大过失未履行前款规定的如实告知义务，足以影响我们决定是否同意承保或者提高保险费率的， 我们有权解除本合同。</w:t>
      </w:r>
    </w:p>
    <w:p>
      <w:pPr>
        <w:pStyle w:val="ListParagraph"/>
        <w:numPr>
          <w:ilvl w:val="1"/>
          <w:numId w:val="9"/>
        </w:numPr>
        <w:tabs>
          <w:tab w:pos="790" w:val="left" w:leader="none"/>
          <w:tab w:pos="791" w:val="left" w:leader="none"/>
        </w:tabs>
        <w:spacing w:line="338" w:lineRule="auto" w:before="89" w:after="0"/>
        <w:ind w:left="790" w:right="190" w:hanging="679"/>
        <w:jc w:val="left"/>
        <w:rPr>
          <w:b/>
          <w:sz w:val="18"/>
        </w:rPr>
      </w:pPr>
      <w:r>
        <w:rPr>
          <w:b/>
          <w:sz w:val="18"/>
        </w:rPr>
        <w:t>如果您故意不履行如实告知义务，对于本合同解除前发生的保险事故，我们不承担给付保险金的责任，并不退还保险费。</w:t>
      </w:r>
    </w:p>
    <w:p>
      <w:pPr>
        <w:spacing w:after="0" w:line="338" w:lineRule="auto"/>
        <w:jc w:val="left"/>
        <w:rPr>
          <w:sz w:val="18"/>
        </w:rPr>
        <w:sectPr>
          <w:pgSz w:w="11910" w:h="16850"/>
          <w:pgMar w:header="826" w:footer="733" w:top="1020" w:bottom="920" w:left="880" w:right="660"/>
        </w:sectPr>
      </w:pPr>
    </w:p>
    <w:p>
      <w:pPr>
        <w:spacing w:before="35"/>
        <w:ind w:left="7730" w:right="0" w:firstLine="0"/>
        <w:jc w:val="left"/>
        <w:rPr>
          <w:b/>
          <w:sz w:val="16"/>
        </w:rPr>
      </w:pPr>
      <w:r>
        <w:rPr>
          <w:b/>
          <w:sz w:val="16"/>
        </w:rPr>
        <w:t>中美联泰大都会人寿保险有限公司</w:t>
      </w:r>
    </w:p>
    <w:p>
      <w:pPr>
        <w:pStyle w:val="Heading3"/>
        <w:numPr>
          <w:ilvl w:val="1"/>
          <w:numId w:val="9"/>
        </w:numPr>
        <w:tabs>
          <w:tab w:pos="790" w:val="left" w:leader="none"/>
          <w:tab w:pos="791" w:val="left" w:leader="none"/>
        </w:tabs>
        <w:spacing w:line="338" w:lineRule="auto" w:before="112" w:after="0"/>
        <w:ind w:left="790" w:right="190" w:hanging="679"/>
        <w:jc w:val="left"/>
      </w:pPr>
      <w:r>
        <w:rPr/>
        <w:t>如果您因重大过失未履行如实告知义务，对保险事故的发生有严重影响的，对于本合同解除前发生的保险事故，我们不承担给付保险金的责任，但应当退还保险费。</w:t>
      </w:r>
    </w:p>
    <w:p>
      <w:pPr>
        <w:pStyle w:val="ListParagraph"/>
        <w:numPr>
          <w:ilvl w:val="1"/>
          <w:numId w:val="9"/>
        </w:numPr>
        <w:tabs>
          <w:tab w:pos="790" w:val="left" w:leader="none"/>
          <w:tab w:pos="791" w:val="left" w:leader="none"/>
        </w:tabs>
        <w:spacing w:line="240" w:lineRule="auto" w:before="89" w:after="0"/>
        <w:ind w:left="790" w:right="0" w:hanging="679"/>
        <w:jc w:val="left"/>
        <w:rPr>
          <w:sz w:val="18"/>
        </w:rPr>
      </w:pPr>
      <w:r>
        <w:rPr>
          <w:spacing w:val="-3"/>
          <w:sz w:val="18"/>
        </w:rPr>
        <w:t>我们在合同订立时已经知道您未如实告知的情况的，我们不得解除合同；发生保险事故的，我们承担给付保险金的责任。</w:t>
      </w:r>
    </w:p>
    <w:p>
      <w:pPr>
        <w:pStyle w:val="Heading3"/>
        <w:numPr>
          <w:ilvl w:val="1"/>
          <w:numId w:val="9"/>
        </w:numPr>
        <w:tabs>
          <w:tab w:pos="790" w:val="left" w:leader="none"/>
          <w:tab w:pos="791" w:val="left" w:leader="none"/>
        </w:tabs>
        <w:spacing w:line="338" w:lineRule="auto" w:before="150" w:after="0"/>
        <w:ind w:left="790" w:right="149" w:hanging="679"/>
        <w:jc w:val="left"/>
      </w:pPr>
      <w:r>
        <w:rPr>
          <w:spacing w:val="-2"/>
        </w:rPr>
        <w:t>本条规定的合同解除权，自我们知道有解除事由之日起，超过 </w:t>
      </w:r>
      <w:r>
        <w:rPr>
          <w:rFonts w:ascii="Arial" w:eastAsia="Arial"/>
        </w:rPr>
        <w:t>30</w:t>
      </w:r>
      <w:r>
        <w:rPr>
          <w:rFonts w:ascii="Arial" w:eastAsia="Arial"/>
          <w:spacing w:val="7"/>
        </w:rPr>
        <w:t> </w:t>
      </w:r>
      <w:r>
        <w:rPr>
          <w:spacing w:val="-2"/>
        </w:rPr>
        <w:t>日不行使而消灭。自本合同成立之日起超过 </w:t>
      </w:r>
      <w:r>
        <w:rPr>
          <w:rFonts w:ascii="Arial" w:eastAsia="Arial"/>
        </w:rPr>
        <w:t>2</w:t>
      </w:r>
      <w:r>
        <w:rPr>
          <w:rFonts w:ascii="Arial" w:eastAsia="Arial"/>
          <w:spacing w:val="7"/>
        </w:rPr>
        <w:t> </w:t>
      </w:r>
      <w:r>
        <w:rPr/>
        <w:t>年的， 我们不得解除合同；发生保险事故的，我们承担给付保险金的责任。</w:t>
      </w:r>
    </w:p>
    <w:p>
      <w:pPr>
        <w:tabs>
          <w:tab w:pos="1301" w:val="left" w:leader="none"/>
        </w:tabs>
        <w:spacing w:before="87"/>
        <w:ind w:left="111" w:right="0" w:firstLine="0"/>
        <w:jc w:val="left"/>
        <w:rPr>
          <w:b/>
          <w:sz w:val="21"/>
        </w:rPr>
      </w:pPr>
      <w:bookmarkStart w:name="_bookmark12" w:id="13"/>
      <w:bookmarkEnd w:id="13"/>
      <w:r>
        <w:rPr/>
      </w:r>
      <w:r>
        <w:rPr>
          <w:b/>
          <w:sz w:val="21"/>
        </w:rPr>
        <w:t>第十二条</w:t>
        <w:tab/>
        <w:t>年龄及性别错误</w:t>
      </w:r>
    </w:p>
    <w:p>
      <w:pPr>
        <w:pStyle w:val="BodyText"/>
        <w:spacing w:before="1"/>
        <w:ind w:left="0"/>
        <w:rPr>
          <w:b/>
          <w:sz w:val="14"/>
        </w:rPr>
      </w:pPr>
    </w:p>
    <w:p>
      <w:pPr>
        <w:pStyle w:val="BodyText"/>
        <w:tabs>
          <w:tab w:pos="790" w:val="left" w:leader="none"/>
        </w:tabs>
        <w:spacing w:line="338" w:lineRule="auto" w:before="0"/>
        <w:ind w:right="188" w:hanging="680"/>
      </w:pPr>
      <w:r>
        <w:rPr>
          <w:rFonts w:ascii="Arial" w:eastAsia="Arial"/>
        </w:rPr>
        <w:t>12.1</w:t>
        <w:tab/>
      </w:r>
      <w:r>
        <w:rPr/>
        <w:t>您在申请投保时，应将与有效身份证件相符的被保险人的出生日期及性别在投保单上填明，如果发生错误应按照下列方 式办理：</w:t>
      </w:r>
    </w:p>
    <w:p>
      <w:pPr>
        <w:spacing w:line="357" w:lineRule="auto" w:before="89"/>
        <w:ind w:left="819" w:right="188" w:firstLine="0"/>
        <w:jc w:val="both"/>
        <w:rPr>
          <w:sz w:val="18"/>
        </w:rPr>
      </w:pPr>
      <w:r>
        <w:rPr>
          <w:b/>
          <w:sz w:val="18"/>
        </w:rPr>
        <w:t>您申报的被保险人年龄或性别不真实，并且其真实年龄或性别不符合本合同约定投保年龄或性别限制的，我们有权解</w:t>
      </w:r>
      <w:r>
        <w:rPr>
          <w:b/>
          <w:spacing w:val="-1"/>
          <w:sz w:val="18"/>
        </w:rPr>
        <w:t>除合同。上述合同解除权，自我们知道有解除事由之日起，超过 </w:t>
      </w:r>
      <w:r>
        <w:rPr>
          <w:b/>
          <w:sz w:val="18"/>
        </w:rPr>
        <w:t>30</w:t>
      </w:r>
      <w:r>
        <w:rPr>
          <w:b/>
          <w:spacing w:val="-6"/>
          <w:sz w:val="18"/>
        </w:rPr>
        <w:t> 日不行使而消灭。</w:t>
      </w:r>
      <w:r>
        <w:rPr>
          <w:sz w:val="18"/>
        </w:rPr>
        <w:t>我们在合同订立时已经知道您未如实告知的情况的，我们不得解除合同；发生保险事故的，我们承担给付保险金的责任。</w:t>
      </w:r>
    </w:p>
    <w:p>
      <w:pPr>
        <w:pStyle w:val="BodyText"/>
        <w:spacing w:line="357" w:lineRule="auto" w:before="75"/>
        <w:ind w:left="819" w:right="188"/>
        <w:jc w:val="both"/>
      </w:pPr>
      <w:r>
        <w:rPr/>
        <w:t>您申报的被保险人年龄或性别不真实，致使您实付保险费少于应付保险费的，我们有权更正并要求您补交保险费。若已经发生保险事故，在给付保险金时按实付保险费与应付保险费的比例给付。</w:t>
      </w:r>
    </w:p>
    <w:p>
      <w:pPr>
        <w:pStyle w:val="BodyText"/>
        <w:spacing w:before="74"/>
        <w:ind w:left="819"/>
      </w:pPr>
      <w:r>
        <w:rPr/>
        <w:t>您申报的被保险人年龄或性别不真实，致使您实付的保险费多于应付保险费的，我们会将多收的保险费退还给您。</w:t>
      </w:r>
    </w:p>
    <w:p>
      <w:pPr>
        <w:pStyle w:val="Heading2"/>
        <w:tabs>
          <w:tab w:pos="1301" w:val="left" w:leader="none"/>
        </w:tabs>
        <w:spacing w:before="161"/>
      </w:pPr>
      <w:bookmarkStart w:name="_bookmark13" w:id="14"/>
      <w:bookmarkEnd w:id="14"/>
      <w:r>
        <w:rPr>
          <w:b w:val="0"/>
        </w:rPr>
      </w:r>
      <w:r>
        <w:rPr/>
        <w:t>第十三条</w:t>
        <w:tab/>
        <w:t>地址变更</w:t>
      </w:r>
    </w:p>
    <w:p>
      <w:pPr>
        <w:pStyle w:val="BodyText"/>
        <w:spacing w:before="1"/>
        <w:ind w:left="0"/>
        <w:rPr>
          <w:b/>
          <w:sz w:val="14"/>
        </w:rPr>
      </w:pPr>
    </w:p>
    <w:p>
      <w:pPr>
        <w:pStyle w:val="ListParagraph"/>
        <w:numPr>
          <w:ilvl w:val="1"/>
          <w:numId w:val="10"/>
        </w:numPr>
        <w:tabs>
          <w:tab w:pos="790" w:val="left" w:leader="none"/>
          <w:tab w:pos="791" w:val="left" w:leader="none"/>
        </w:tabs>
        <w:spacing w:line="240" w:lineRule="auto" w:before="0" w:after="0"/>
        <w:ind w:left="790" w:right="0" w:hanging="679"/>
        <w:jc w:val="left"/>
        <w:rPr>
          <w:sz w:val="18"/>
        </w:rPr>
      </w:pPr>
      <w:r>
        <w:rPr>
          <w:sz w:val="18"/>
        </w:rPr>
        <w:t>如您的住所或通讯地址变更，应及时通知我们。</w:t>
      </w:r>
    </w:p>
    <w:p>
      <w:pPr>
        <w:pStyle w:val="ListParagraph"/>
        <w:numPr>
          <w:ilvl w:val="1"/>
          <w:numId w:val="10"/>
        </w:numPr>
        <w:tabs>
          <w:tab w:pos="790" w:val="left" w:leader="none"/>
          <w:tab w:pos="791" w:val="left" w:leader="none"/>
        </w:tabs>
        <w:spacing w:line="240" w:lineRule="auto" w:before="149" w:after="0"/>
        <w:ind w:left="790" w:right="0" w:hanging="679"/>
        <w:jc w:val="left"/>
        <w:rPr>
          <w:sz w:val="18"/>
        </w:rPr>
      </w:pPr>
      <w:r>
        <w:rPr>
          <w:spacing w:val="-1"/>
          <w:sz w:val="18"/>
        </w:rPr>
        <w:t>如您未及时通知我们，我们将按本合同注明的您的最后住所或通讯地址发送有关通知，并视为已送达给您。</w:t>
      </w:r>
    </w:p>
    <w:p>
      <w:pPr>
        <w:pStyle w:val="Heading2"/>
        <w:tabs>
          <w:tab w:pos="1301" w:val="left" w:leader="none"/>
        </w:tabs>
      </w:pPr>
      <w:bookmarkStart w:name="_bookmark14" w:id="15"/>
      <w:bookmarkEnd w:id="15"/>
      <w:r>
        <w:rPr>
          <w:b w:val="0"/>
        </w:rPr>
      </w:r>
      <w:r>
        <w:rPr/>
        <w:t>第十四条</w:t>
        <w:tab/>
        <w:t>职业变更</w:t>
      </w:r>
    </w:p>
    <w:p>
      <w:pPr>
        <w:pStyle w:val="BodyText"/>
        <w:spacing w:before="1"/>
        <w:ind w:left="0"/>
        <w:rPr>
          <w:b/>
          <w:sz w:val="14"/>
        </w:rPr>
      </w:pPr>
    </w:p>
    <w:p>
      <w:pPr>
        <w:pStyle w:val="ListParagraph"/>
        <w:numPr>
          <w:ilvl w:val="1"/>
          <w:numId w:val="11"/>
        </w:numPr>
        <w:tabs>
          <w:tab w:pos="790" w:val="left" w:leader="none"/>
          <w:tab w:pos="791" w:val="left" w:leader="none"/>
        </w:tabs>
        <w:spacing w:line="240" w:lineRule="auto" w:before="0" w:after="0"/>
        <w:ind w:left="790" w:right="0" w:hanging="679"/>
        <w:jc w:val="left"/>
        <w:rPr>
          <w:sz w:val="18"/>
        </w:rPr>
      </w:pPr>
      <w:r>
        <w:rPr>
          <w:sz w:val="18"/>
        </w:rPr>
        <w:t>被保险人变更职业或职务时，您或被保险人应及时以书面形式通知我们。</w:t>
      </w:r>
    </w:p>
    <w:p>
      <w:pPr>
        <w:pStyle w:val="Heading3"/>
        <w:numPr>
          <w:ilvl w:val="1"/>
          <w:numId w:val="11"/>
        </w:numPr>
        <w:tabs>
          <w:tab w:pos="790" w:val="left" w:leader="none"/>
          <w:tab w:pos="791" w:val="left" w:leader="none"/>
        </w:tabs>
        <w:spacing w:line="338" w:lineRule="auto" w:before="149" w:after="0"/>
        <w:ind w:left="790" w:right="188" w:hanging="679"/>
        <w:jc w:val="left"/>
      </w:pPr>
      <w:r>
        <w:rPr/>
        <w:t>若被保险人变更后的职业或职务不属于我们的承保范围，本合同的保险责任自其职业或职务变更之日起终止，我们将不退还本合同已收保险费。</w:t>
      </w:r>
    </w:p>
    <w:p>
      <w:pPr>
        <w:pStyle w:val="ListParagraph"/>
        <w:numPr>
          <w:ilvl w:val="1"/>
          <w:numId w:val="11"/>
        </w:numPr>
        <w:tabs>
          <w:tab w:pos="790" w:val="left" w:leader="none"/>
          <w:tab w:pos="791" w:val="left" w:leader="none"/>
        </w:tabs>
        <w:spacing w:line="240" w:lineRule="auto" w:before="88" w:after="0"/>
        <w:ind w:left="790" w:right="0" w:hanging="679"/>
        <w:jc w:val="left"/>
        <w:rPr>
          <w:b/>
          <w:sz w:val="18"/>
        </w:rPr>
      </w:pPr>
      <w:r>
        <w:rPr>
          <w:b/>
          <w:sz w:val="18"/>
        </w:rPr>
        <w:t>若被保险人所变更的职业或职务属于我们的承保范围，我们将作如下处理：</w:t>
      </w:r>
    </w:p>
    <w:p>
      <w:pPr>
        <w:pStyle w:val="ListParagraph"/>
        <w:numPr>
          <w:ilvl w:val="2"/>
          <w:numId w:val="11"/>
        </w:numPr>
        <w:tabs>
          <w:tab w:pos="1247" w:val="left" w:leader="none"/>
        </w:tabs>
        <w:spacing w:line="357" w:lineRule="auto" w:before="106" w:after="0"/>
        <w:ind w:left="1246" w:right="184" w:hanging="398"/>
        <w:jc w:val="left"/>
        <w:rPr>
          <w:b/>
          <w:sz w:val="18"/>
        </w:rPr>
      </w:pPr>
      <w:r>
        <w:rPr>
          <w:b/>
          <w:sz w:val="18"/>
        </w:rPr>
        <w:t>若被保险人变更后的职业或职务，依照我们的职业分类其危险程度增加，我们有权更正并要求您补交从变更申请日起至保险期间结束的实交保险费与应交保险费之间的差额；</w:t>
      </w:r>
    </w:p>
    <w:p>
      <w:pPr>
        <w:pStyle w:val="ListParagraph"/>
        <w:numPr>
          <w:ilvl w:val="2"/>
          <w:numId w:val="11"/>
        </w:numPr>
        <w:tabs>
          <w:tab w:pos="1247" w:val="left" w:leader="none"/>
        </w:tabs>
        <w:spacing w:line="357" w:lineRule="auto" w:before="31" w:after="0"/>
        <w:ind w:left="1246" w:right="183" w:hanging="398"/>
        <w:jc w:val="left"/>
        <w:rPr>
          <w:b/>
          <w:sz w:val="18"/>
        </w:rPr>
      </w:pPr>
      <w:r>
        <w:rPr>
          <w:b/>
          <w:sz w:val="18"/>
        </w:rPr>
        <w:t>若被保险人变更后的职业或职务，依照我们的职业分类其危险程度降低，我们将无息退还从变更申请日起至保险期间结束的实交保险费与应交保险费之间的差额。</w:t>
      </w:r>
    </w:p>
    <w:p>
      <w:pPr>
        <w:pStyle w:val="ListParagraph"/>
        <w:numPr>
          <w:ilvl w:val="1"/>
          <w:numId w:val="11"/>
        </w:numPr>
        <w:tabs>
          <w:tab w:pos="790" w:val="left" w:leader="none"/>
          <w:tab w:pos="791" w:val="left" w:leader="none"/>
        </w:tabs>
        <w:spacing w:line="338" w:lineRule="auto" w:before="74" w:after="0"/>
        <w:ind w:left="790" w:right="188" w:hanging="679"/>
        <w:jc w:val="left"/>
        <w:rPr>
          <w:b/>
          <w:sz w:val="18"/>
        </w:rPr>
      </w:pPr>
      <w:r>
        <w:rPr>
          <w:b/>
          <w:spacing w:val="-1"/>
          <w:sz w:val="18"/>
        </w:rPr>
        <w:t>被保险人所变更的职业或职务，依照我们的职业分类其危险程度增加，但未依 </w:t>
      </w:r>
      <w:r>
        <w:rPr>
          <w:rFonts w:ascii="Arial" w:eastAsia="Arial"/>
          <w:b/>
          <w:sz w:val="18"/>
        </w:rPr>
        <w:t>14.1</w:t>
      </w:r>
      <w:r>
        <w:rPr>
          <w:rFonts w:ascii="Arial" w:eastAsia="Arial"/>
          <w:b/>
          <w:spacing w:val="21"/>
          <w:sz w:val="18"/>
        </w:rPr>
        <w:t> </w:t>
      </w:r>
      <w:r>
        <w:rPr>
          <w:b/>
          <w:sz w:val="18"/>
        </w:rPr>
        <w:t>规定通知我们而发生保险事故者， 我们按其实交保险费与应交保险费的比例计算给付保险金。</w:t>
      </w:r>
    </w:p>
    <w:p>
      <w:pPr>
        <w:tabs>
          <w:tab w:pos="1301" w:val="left" w:leader="none"/>
        </w:tabs>
        <w:spacing w:before="87"/>
        <w:ind w:left="111" w:right="0" w:firstLine="0"/>
        <w:jc w:val="left"/>
        <w:rPr>
          <w:b/>
          <w:sz w:val="21"/>
        </w:rPr>
      </w:pPr>
      <w:bookmarkStart w:name="_bookmark15" w:id="16"/>
      <w:bookmarkEnd w:id="16"/>
      <w:r>
        <w:rPr/>
      </w:r>
      <w:r>
        <w:rPr>
          <w:b/>
          <w:sz w:val="21"/>
        </w:rPr>
        <w:t>第十五条</w:t>
        <w:tab/>
        <w:t>保险合同内容的变更</w:t>
      </w:r>
    </w:p>
    <w:p>
      <w:pPr>
        <w:pStyle w:val="BodyText"/>
        <w:spacing w:before="2"/>
        <w:ind w:left="0"/>
        <w:rPr>
          <w:b/>
          <w:sz w:val="14"/>
        </w:rPr>
      </w:pPr>
    </w:p>
    <w:p>
      <w:pPr>
        <w:pStyle w:val="BodyText"/>
        <w:tabs>
          <w:tab w:pos="790" w:val="left" w:leader="none"/>
        </w:tabs>
        <w:spacing w:line="338" w:lineRule="auto" w:before="0"/>
        <w:ind w:right="187" w:hanging="680"/>
      </w:pPr>
      <w:r>
        <w:rPr>
          <w:rFonts w:ascii="Arial" w:eastAsia="Arial"/>
        </w:rPr>
        <w:t>15.1</w:t>
        <w:tab/>
      </w:r>
      <w:r>
        <w:rPr/>
        <w:t>在本合同保险期间内，除法律另有规定或本合同另行约定外，经您和我们协商同意，可以变更本合同的有关内容。变更 本合同的，应当由我们在原保险单或者其它保险凭证上批注或者附贴批单，或者由您和我们订立变更的书面协议。</w:t>
      </w:r>
    </w:p>
    <w:p>
      <w:pPr>
        <w:pStyle w:val="Heading2"/>
        <w:tabs>
          <w:tab w:pos="1301" w:val="left" w:leader="none"/>
        </w:tabs>
        <w:spacing w:before="87"/>
      </w:pPr>
      <w:bookmarkStart w:name="_bookmark16" w:id="17"/>
      <w:bookmarkEnd w:id="17"/>
      <w:r>
        <w:rPr>
          <w:b w:val="0"/>
        </w:rPr>
      </w:r>
      <w:r>
        <w:rPr/>
        <w:t>第十六条</w:t>
        <w:tab/>
        <w:t>争议处理</w:t>
      </w:r>
    </w:p>
    <w:p>
      <w:pPr>
        <w:pStyle w:val="BodyText"/>
        <w:spacing w:before="1"/>
        <w:ind w:left="0"/>
        <w:rPr>
          <w:b/>
          <w:sz w:val="14"/>
        </w:rPr>
      </w:pPr>
    </w:p>
    <w:p>
      <w:pPr>
        <w:pStyle w:val="ListParagraph"/>
        <w:numPr>
          <w:ilvl w:val="1"/>
          <w:numId w:val="12"/>
        </w:numPr>
        <w:tabs>
          <w:tab w:pos="790" w:val="left" w:leader="none"/>
          <w:tab w:pos="791" w:val="left" w:leader="none"/>
        </w:tabs>
        <w:spacing w:line="338" w:lineRule="auto" w:before="0" w:after="0"/>
        <w:ind w:left="790" w:right="187" w:hanging="679"/>
        <w:jc w:val="left"/>
        <w:rPr>
          <w:sz w:val="18"/>
        </w:rPr>
      </w:pPr>
      <w:r>
        <w:rPr>
          <w:sz w:val="18"/>
        </w:rPr>
        <w:t>如果在履行本合同过程中发生任何争议，当事人应首先通过协商解决，若双方协商不成，其解决方式由当事人根据合同约定从下列两种方式中选择一种：</w:t>
      </w:r>
    </w:p>
    <w:p>
      <w:pPr>
        <w:pStyle w:val="ListParagraph"/>
        <w:numPr>
          <w:ilvl w:val="2"/>
          <w:numId w:val="12"/>
        </w:numPr>
        <w:tabs>
          <w:tab w:pos="1246" w:val="left" w:leader="none"/>
          <w:tab w:pos="1247" w:val="left" w:leader="none"/>
        </w:tabs>
        <w:spacing w:line="240" w:lineRule="auto" w:before="88" w:after="0"/>
        <w:ind w:left="1246" w:right="0" w:hanging="427"/>
        <w:jc w:val="left"/>
        <w:rPr>
          <w:sz w:val="18"/>
        </w:rPr>
      </w:pPr>
      <w:r>
        <w:rPr>
          <w:sz w:val="18"/>
        </w:rPr>
        <w:t>因履行本合同发生的争议，由当事人协商解决，协商不成的，提交当事人约定的仲裁机构仲裁；</w:t>
      </w:r>
    </w:p>
    <w:p>
      <w:pPr>
        <w:pStyle w:val="ListParagraph"/>
        <w:numPr>
          <w:ilvl w:val="2"/>
          <w:numId w:val="12"/>
        </w:numPr>
        <w:tabs>
          <w:tab w:pos="1246" w:val="left" w:leader="none"/>
          <w:tab w:pos="1247" w:val="left" w:leader="none"/>
        </w:tabs>
        <w:spacing w:line="240" w:lineRule="auto" w:before="149" w:after="0"/>
        <w:ind w:left="1246" w:right="0" w:hanging="427"/>
        <w:jc w:val="left"/>
        <w:rPr>
          <w:sz w:val="18"/>
        </w:rPr>
      </w:pPr>
      <w:r>
        <w:rPr>
          <w:w w:val="95"/>
          <w:sz w:val="18"/>
        </w:rPr>
        <w:t>因履行本合同发生的争议，由当事人协商解决，协商不成的，依法向人民法院起诉。</w:t>
      </w:r>
    </w:p>
    <w:p>
      <w:pPr>
        <w:pStyle w:val="Heading2"/>
        <w:tabs>
          <w:tab w:pos="1301" w:val="left" w:leader="none"/>
        </w:tabs>
      </w:pPr>
      <w:bookmarkStart w:name="_bookmark17" w:id="18"/>
      <w:bookmarkEnd w:id="18"/>
      <w:r>
        <w:rPr>
          <w:b w:val="0"/>
        </w:rPr>
      </w:r>
      <w:r>
        <w:rPr/>
        <w:t>第十七条</w:t>
        <w:tab/>
        <w:t>法律适用</w:t>
      </w:r>
    </w:p>
    <w:p>
      <w:pPr>
        <w:spacing w:after="0"/>
        <w:sectPr>
          <w:headerReference w:type="default" r:id="rId8"/>
          <w:footerReference w:type="default" r:id="rId9"/>
          <w:pgSz w:w="11910" w:h="16850"/>
          <w:pgMar w:header="0" w:footer="733" w:top="780" w:bottom="920" w:left="880" w:right="660"/>
        </w:sectPr>
      </w:pPr>
    </w:p>
    <w:p>
      <w:pPr>
        <w:pStyle w:val="BodyText"/>
        <w:tabs>
          <w:tab w:pos="790" w:val="left" w:leader="none"/>
        </w:tabs>
        <w:spacing w:before="112"/>
        <w:ind w:left="111"/>
      </w:pPr>
      <w:r>
        <w:rPr>
          <w:rFonts w:ascii="Arial" w:eastAsia="Arial"/>
        </w:rPr>
        <w:t>17.1</w:t>
        <w:tab/>
      </w:r>
      <w:r>
        <w:rPr/>
        <w:t>本合同受中华人民共和国的法律管辖，任何与之冲突的部分都将作相应的修改。</w:t>
      </w:r>
    </w:p>
    <w:p>
      <w:pPr>
        <w:pStyle w:val="Heading1"/>
      </w:pPr>
      <w:bookmarkStart w:name="_bookmark18" w:id="19"/>
      <w:bookmarkEnd w:id="19"/>
      <w:r>
        <w:rPr>
          <w:b w:val="0"/>
        </w:rPr>
      </w:r>
      <w:r>
        <w:rPr/>
        <w:t>第二部分 特殊条款</w:t>
      </w:r>
    </w:p>
    <w:p>
      <w:pPr>
        <w:pStyle w:val="Heading2"/>
        <w:tabs>
          <w:tab w:pos="1301" w:val="left" w:leader="none"/>
        </w:tabs>
        <w:spacing w:before="243"/>
      </w:pPr>
      <w:bookmarkStart w:name="_bookmark19" w:id="20"/>
      <w:bookmarkEnd w:id="20"/>
      <w:r>
        <w:rPr>
          <w:b w:val="0"/>
        </w:rPr>
      </w:r>
      <w:r>
        <w:rPr/>
        <w:t>第十八条</w:t>
        <w:tab/>
        <w:t>承保范围</w:t>
      </w:r>
    </w:p>
    <w:p>
      <w:pPr>
        <w:pStyle w:val="BodyText"/>
        <w:spacing w:before="1"/>
        <w:ind w:left="0"/>
        <w:rPr>
          <w:b/>
          <w:sz w:val="14"/>
        </w:rPr>
      </w:pPr>
    </w:p>
    <w:p>
      <w:pPr>
        <w:pStyle w:val="BodyText"/>
        <w:tabs>
          <w:tab w:pos="790" w:val="left" w:leader="none"/>
        </w:tabs>
        <w:spacing w:before="1"/>
        <w:ind w:left="111"/>
      </w:pPr>
      <w:r>
        <w:rPr>
          <w:rFonts w:ascii="Arial" w:eastAsia="Arial"/>
        </w:rPr>
        <w:t>18.1</w:t>
        <w:tab/>
      </w:r>
      <w:r>
        <w:rPr/>
        <w:t>您可为与您具有保险利益的，且符合我们规定的投保条件的人士（被保险人）投保本合同。</w:t>
      </w:r>
    </w:p>
    <w:p>
      <w:pPr>
        <w:pStyle w:val="Heading2"/>
        <w:tabs>
          <w:tab w:pos="1301" w:val="left" w:leader="none"/>
        </w:tabs>
      </w:pPr>
      <w:bookmarkStart w:name="_bookmark20" w:id="21"/>
      <w:bookmarkEnd w:id="21"/>
      <w:r>
        <w:rPr>
          <w:b w:val="0"/>
        </w:rPr>
      </w:r>
      <w:r>
        <w:rPr/>
        <w:t>第十九条</w:t>
        <w:tab/>
        <w:t>保险责任</w:t>
      </w:r>
    </w:p>
    <w:p>
      <w:pPr>
        <w:pStyle w:val="BodyText"/>
        <w:spacing w:before="1"/>
        <w:ind w:left="0"/>
        <w:rPr>
          <w:b/>
          <w:sz w:val="14"/>
        </w:rPr>
      </w:pPr>
    </w:p>
    <w:p>
      <w:pPr>
        <w:pStyle w:val="ListParagraph"/>
        <w:numPr>
          <w:ilvl w:val="1"/>
          <w:numId w:val="13"/>
        </w:numPr>
        <w:tabs>
          <w:tab w:pos="790" w:val="left" w:leader="none"/>
          <w:tab w:pos="791" w:val="left" w:leader="none"/>
        </w:tabs>
        <w:spacing w:line="240" w:lineRule="auto" w:before="0" w:after="0"/>
        <w:ind w:left="790" w:right="0" w:hanging="679"/>
        <w:jc w:val="left"/>
        <w:rPr>
          <w:sz w:val="18"/>
        </w:rPr>
      </w:pPr>
      <w:r>
        <w:rPr>
          <w:spacing w:val="-1"/>
          <w:sz w:val="18"/>
        </w:rPr>
        <w:t>无息返还保险费：</w:t>
      </w:r>
    </w:p>
    <w:p>
      <w:pPr>
        <w:pStyle w:val="BodyText"/>
        <w:spacing w:line="357" w:lineRule="auto" w:before="102"/>
        <w:ind w:right="208"/>
      </w:pPr>
      <w:r>
        <w:rPr/>
        <w:t>在本合同保险期间内，若被保险人于</w:t>
      </w:r>
      <w:r>
        <w:rPr>
          <w:b/>
        </w:rPr>
        <w:t>等待期</w:t>
      </w:r>
      <w:r>
        <w:rPr/>
        <w:t>（见释义）内因疾病导致被保险人</w:t>
      </w:r>
      <w:r>
        <w:rPr>
          <w:b/>
        </w:rPr>
        <w:t>首次发病</w:t>
      </w:r>
      <w:r>
        <w:rPr/>
        <w:t>（见释义）或于等待期内经</w:t>
      </w:r>
      <w:r>
        <w:rPr>
          <w:b/>
        </w:rPr>
        <w:t>专科医生</w:t>
      </w:r>
      <w:r>
        <w:rPr/>
        <w:t>（见释义）首次确诊患有本合同约定的重大疾病一项或多项，我们将无息返还本合同的已交保险费，本合同终止。</w:t>
      </w:r>
    </w:p>
    <w:p>
      <w:pPr>
        <w:pStyle w:val="ListParagraph"/>
        <w:numPr>
          <w:ilvl w:val="1"/>
          <w:numId w:val="13"/>
        </w:numPr>
        <w:tabs>
          <w:tab w:pos="790" w:val="left" w:leader="none"/>
          <w:tab w:pos="791" w:val="left" w:leader="none"/>
        </w:tabs>
        <w:spacing w:line="240" w:lineRule="auto" w:before="75" w:after="0"/>
        <w:ind w:left="790" w:right="0" w:hanging="679"/>
        <w:jc w:val="left"/>
        <w:rPr>
          <w:sz w:val="18"/>
        </w:rPr>
      </w:pPr>
      <w:r>
        <w:rPr>
          <w:sz w:val="18"/>
        </w:rPr>
        <w:t>重大疾病保险金：</w:t>
      </w:r>
    </w:p>
    <w:p>
      <w:pPr>
        <w:pStyle w:val="BodyText"/>
        <w:spacing w:line="357" w:lineRule="auto" w:before="102"/>
        <w:ind w:right="58"/>
      </w:pPr>
      <w:r>
        <w:rPr/>
        <w:t>在本合同保险期间内，若被保险人因</w:t>
      </w:r>
      <w:r>
        <w:rPr>
          <w:b/>
        </w:rPr>
        <w:t>意外伤害事故</w:t>
      </w:r>
      <w:r>
        <w:rPr/>
        <w:t>（见释义）或于本合同等待期后因疾病导致被保险人首次发病并经专科医生首次确诊患有本合同约定的重大疾病中的一项或多项，我们将按本合同约定的基本保险金额给付重大疾病保险金， 本合同终止。</w:t>
      </w:r>
    </w:p>
    <w:p>
      <w:pPr>
        <w:pStyle w:val="Heading3"/>
        <w:numPr>
          <w:ilvl w:val="1"/>
          <w:numId w:val="13"/>
        </w:numPr>
        <w:tabs>
          <w:tab w:pos="790" w:val="left" w:leader="none"/>
          <w:tab w:pos="791" w:val="left" w:leader="none"/>
        </w:tabs>
        <w:spacing w:line="240" w:lineRule="auto" w:before="74" w:after="0"/>
        <w:ind w:left="790" w:right="0" w:hanging="679"/>
        <w:jc w:val="left"/>
      </w:pPr>
      <w:r>
        <w:rPr/>
        <w:t>本合同终止后，我们不承担保险责任。</w:t>
      </w:r>
    </w:p>
    <w:p>
      <w:pPr>
        <w:tabs>
          <w:tab w:pos="1301" w:val="left" w:leader="none"/>
        </w:tabs>
        <w:spacing w:before="148"/>
        <w:ind w:left="111" w:right="0" w:firstLine="0"/>
        <w:jc w:val="left"/>
        <w:rPr>
          <w:b/>
          <w:sz w:val="21"/>
        </w:rPr>
      </w:pPr>
      <w:bookmarkStart w:name="_bookmark21" w:id="22"/>
      <w:bookmarkEnd w:id="22"/>
      <w:r>
        <w:rPr/>
      </w:r>
      <w:r>
        <w:rPr>
          <w:b/>
          <w:sz w:val="21"/>
        </w:rPr>
        <w:t>第二十条</w:t>
        <w:tab/>
        <w:t>责任免除</w:t>
      </w:r>
    </w:p>
    <w:p>
      <w:pPr>
        <w:pStyle w:val="BodyText"/>
        <w:spacing w:before="1"/>
        <w:ind w:left="0"/>
        <w:rPr>
          <w:b/>
          <w:sz w:val="14"/>
        </w:rPr>
      </w:pPr>
    </w:p>
    <w:p>
      <w:pPr>
        <w:pStyle w:val="ListParagraph"/>
        <w:numPr>
          <w:ilvl w:val="1"/>
          <w:numId w:val="14"/>
        </w:numPr>
        <w:tabs>
          <w:tab w:pos="790" w:val="left" w:leader="none"/>
          <w:tab w:pos="791" w:val="left" w:leader="none"/>
        </w:tabs>
        <w:spacing w:line="240" w:lineRule="auto" w:before="0" w:after="0"/>
        <w:ind w:left="790" w:right="0" w:hanging="679"/>
        <w:jc w:val="left"/>
        <w:rPr>
          <w:b/>
          <w:sz w:val="18"/>
        </w:rPr>
      </w:pPr>
      <w:r>
        <w:rPr>
          <w:b/>
          <w:sz w:val="18"/>
        </w:rPr>
        <w:t>因下列情形之一，导致被保险人发生保险事故的，我们不承担保险责任：</w:t>
      </w:r>
    </w:p>
    <w:p>
      <w:pPr>
        <w:pStyle w:val="ListParagraph"/>
        <w:numPr>
          <w:ilvl w:val="2"/>
          <w:numId w:val="14"/>
        </w:numPr>
        <w:tabs>
          <w:tab w:pos="1414" w:val="left" w:leader="none"/>
          <w:tab w:pos="1415" w:val="left" w:leader="none"/>
        </w:tabs>
        <w:spacing w:line="240" w:lineRule="auto" w:before="149" w:after="0"/>
        <w:ind w:left="1414" w:right="0" w:hanging="736"/>
        <w:jc w:val="left"/>
        <w:rPr>
          <w:b/>
          <w:sz w:val="18"/>
        </w:rPr>
      </w:pPr>
      <w:r>
        <w:rPr>
          <w:b/>
          <w:sz w:val="18"/>
        </w:rPr>
        <w:t>您对被保险人的故意杀害、故意伤害；</w:t>
      </w:r>
    </w:p>
    <w:p>
      <w:pPr>
        <w:pStyle w:val="ListParagraph"/>
        <w:numPr>
          <w:ilvl w:val="2"/>
          <w:numId w:val="14"/>
        </w:numPr>
        <w:tabs>
          <w:tab w:pos="1414" w:val="left" w:leader="none"/>
          <w:tab w:pos="1415" w:val="left" w:leader="none"/>
        </w:tabs>
        <w:spacing w:line="240" w:lineRule="auto" w:before="149" w:after="0"/>
        <w:ind w:left="1414" w:right="0" w:hanging="736"/>
        <w:jc w:val="left"/>
        <w:rPr>
          <w:b/>
          <w:sz w:val="18"/>
        </w:rPr>
      </w:pPr>
      <w:r>
        <w:rPr>
          <w:b/>
          <w:sz w:val="18"/>
        </w:rPr>
        <w:t>被保险人故意犯罪或者抗拒依法采取的刑事强制措施；</w:t>
      </w:r>
    </w:p>
    <w:p>
      <w:pPr>
        <w:pStyle w:val="ListParagraph"/>
        <w:numPr>
          <w:ilvl w:val="2"/>
          <w:numId w:val="14"/>
        </w:numPr>
        <w:tabs>
          <w:tab w:pos="1414" w:val="left" w:leader="none"/>
          <w:tab w:pos="1415" w:val="left" w:leader="none"/>
        </w:tabs>
        <w:spacing w:line="240" w:lineRule="auto" w:before="106" w:after="0"/>
        <w:ind w:left="1414" w:right="0" w:hanging="736"/>
        <w:jc w:val="left"/>
        <w:rPr>
          <w:b/>
          <w:sz w:val="18"/>
        </w:rPr>
      </w:pPr>
      <w:r>
        <w:rPr>
          <w:b/>
          <w:spacing w:val="1"/>
          <w:w w:val="99"/>
          <w:sz w:val="18"/>
        </w:rPr>
        <w:t>被保险人主动吸食或注射毒品（见释义</w:t>
      </w:r>
      <w:r>
        <w:rPr>
          <w:b/>
          <w:spacing w:val="-89"/>
          <w:w w:val="99"/>
          <w:sz w:val="18"/>
        </w:rPr>
        <w:t>）</w:t>
      </w:r>
      <w:r>
        <w:rPr>
          <w:b/>
          <w:w w:val="99"/>
          <w:sz w:val="18"/>
        </w:rPr>
        <w:t>；</w:t>
      </w:r>
    </w:p>
    <w:p>
      <w:pPr>
        <w:pStyle w:val="ListParagraph"/>
        <w:numPr>
          <w:ilvl w:val="2"/>
          <w:numId w:val="14"/>
        </w:numPr>
        <w:tabs>
          <w:tab w:pos="1414" w:val="left" w:leader="none"/>
          <w:tab w:pos="1415" w:val="left" w:leader="none"/>
        </w:tabs>
        <w:spacing w:line="240" w:lineRule="auto" w:before="106" w:after="0"/>
        <w:ind w:left="1414" w:right="0" w:hanging="736"/>
        <w:jc w:val="left"/>
        <w:rPr>
          <w:b/>
          <w:sz w:val="18"/>
        </w:rPr>
      </w:pPr>
      <w:r>
        <w:rPr>
          <w:b/>
          <w:spacing w:val="1"/>
          <w:w w:val="99"/>
          <w:sz w:val="18"/>
        </w:rPr>
        <w:t>被保险人酒后驾驶（见释义</w:t>
      </w:r>
      <w:r>
        <w:rPr>
          <w:b/>
          <w:spacing w:val="-89"/>
          <w:w w:val="99"/>
          <w:sz w:val="18"/>
        </w:rPr>
        <w:t>）</w:t>
      </w:r>
      <w:r>
        <w:rPr>
          <w:b/>
          <w:spacing w:val="1"/>
          <w:w w:val="99"/>
          <w:sz w:val="18"/>
        </w:rPr>
        <w:t>，无合法有效驾驶证驾驶（见释义</w:t>
      </w:r>
      <w:r>
        <w:rPr>
          <w:b/>
          <w:spacing w:val="-89"/>
          <w:w w:val="99"/>
          <w:sz w:val="18"/>
        </w:rPr>
        <w:t>）</w:t>
      </w:r>
      <w:r>
        <w:rPr>
          <w:b/>
          <w:w w:val="99"/>
          <w:sz w:val="18"/>
        </w:rPr>
        <w:t>，或驾驶无有效行驶证</w:t>
      </w:r>
      <w:r>
        <w:rPr>
          <w:b/>
          <w:spacing w:val="1"/>
          <w:w w:val="99"/>
          <w:sz w:val="18"/>
        </w:rPr>
        <w:t>（见释义）的机动车；</w:t>
      </w:r>
    </w:p>
    <w:p>
      <w:pPr>
        <w:pStyle w:val="ListParagraph"/>
        <w:numPr>
          <w:ilvl w:val="2"/>
          <w:numId w:val="14"/>
        </w:numPr>
        <w:tabs>
          <w:tab w:pos="1414" w:val="left" w:leader="none"/>
          <w:tab w:pos="1415" w:val="left" w:leader="none"/>
        </w:tabs>
        <w:spacing w:line="240" w:lineRule="auto" w:before="106" w:after="0"/>
        <w:ind w:left="1414" w:right="0" w:hanging="736"/>
        <w:jc w:val="left"/>
        <w:rPr>
          <w:b/>
          <w:sz w:val="18"/>
        </w:rPr>
      </w:pPr>
      <w:r>
        <w:rPr>
          <w:b/>
          <w:sz w:val="18"/>
        </w:rPr>
        <w:t>战争（见释义</w:t>
      </w:r>
      <w:r>
        <w:rPr>
          <w:b/>
          <w:spacing w:val="-89"/>
          <w:sz w:val="18"/>
        </w:rPr>
        <w:t>）</w:t>
      </w:r>
      <w:r>
        <w:rPr>
          <w:b/>
          <w:sz w:val="18"/>
        </w:rPr>
        <w:t>、军事冲突、暴乱或武装叛乱；</w:t>
      </w:r>
    </w:p>
    <w:p>
      <w:pPr>
        <w:pStyle w:val="ListParagraph"/>
        <w:numPr>
          <w:ilvl w:val="2"/>
          <w:numId w:val="14"/>
        </w:numPr>
        <w:tabs>
          <w:tab w:pos="1414" w:val="left" w:leader="none"/>
          <w:tab w:pos="1415" w:val="left" w:leader="none"/>
        </w:tabs>
        <w:spacing w:line="240" w:lineRule="auto" w:before="106" w:after="0"/>
        <w:ind w:left="1414" w:right="0" w:hanging="736"/>
        <w:jc w:val="left"/>
        <w:rPr>
          <w:b/>
          <w:sz w:val="18"/>
        </w:rPr>
      </w:pPr>
      <w:r>
        <w:rPr>
          <w:b/>
          <w:sz w:val="18"/>
        </w:rPr>
        <w:t>核爆炸、核辐射或核污染；</w:t>
      </w:r>
    </w:p>
    <w:p>
      <w:pPr>
        <w:pStyle w:val="ListParagraph"/>
        <w:numPr>
          <w:ilvl w:val="2"/>
          <w:numId w:val="14"/>
        </w:numPr>
        <w:tabs>
          <w:tab w:pos="1385" w:val="left" w:leader="none"/>
          <w:tab w:pos="1386" w:val="left" w:leader="none"/>
        </w:tabs>
        <w:spacing w:line="240" w:lineRule="auto" w:before="106" w:after="0"/>
        <w:ind w:left="1386" w:right="0" w:hanging="708"/>
        <w:jc w:val="left"/>
        <w:rPr>
          <w:b/>
          <w:sz w:val="18"/>
        </w:rPr>
      </w:pPr>
      <w:r>
        <w:rPr>
          <w:b/>
          <w:spacing w:val="1"/>
          <w:w w:val="99"/>
          <w:sz w:val="18"/>
        </w:rPr>
        <w:t>被保险人感染艾滋病病毒或患艾滋病（见释义</w:t>
      </w:r>
      <w:r>
        <w:rPr>
          <w:b/>
          <w:spacing w:val="-89"/>
          <w:w w:val="99"/>
          <w:sz w:val="18"/>
        </w:rPr>
        <w:t>）</w:t>
      </w:r>
      <w:r>
        <w:rPr>
          <w:b/>
          <w:w w:val="99"/>
          <w:sz w:val="18"/>
        </w:rPr>
        <w:t>；</w:t>
      </w:r>
    </w:p>
    <w:p>
      <w:pPr>
        <w:pStyle w:val="ListParagraph"/>
        <w:numPr>
          <w:ilvl w:val="2"/>
          <w:numId w:val="14"/>
        </w:numPr>
        <w:tabs>
          <w:tab w:pos="1414" w:val="left" w:leader="none"/>
          <w:tab w:pos="1415" w:val="left" w:leader="none"/>
        </w:tabs>
        <w:spacing w:line="240" w:lineRule="auto" w:before="106" w:after="0"/>
        <w:ind w:left="1414" w:right="0" w:hanging="736"/>
        <w:jc w:val="left"/>
        <w:rPr>
          <w:b/>
          <w:sz w:val="18"/>
        </w:rPr>
      </w:pPr>
      <w:r>
        <w:rPr>
          <w:b/>
          <w:sz w:val="18"/>
        </w:rPr>
        <w:t>遗传性疾病（见释义</w:t>
      </w:r>
      <w:r>
        <w:rPr>
          <w:b/>
          <w:spacing w:val="-89"/>
          <w:sz w:val="18"/>
        </w:rPr>
        <w:t>）</w:t>
      </w:r>
      <w:r>
        <w:rPr>
          <w:b/>
          <w:sz w:val="18"/>
        </w:rPr>
        <w:t>、先天性畸形、变形或染色体异常（见释义</w:t>
      </w:r>
      <w:r>
        <w:rPr>
          <w:b/>
          <w:spacing w:val="-89"/>
          <w:sz w:val="18"/>
        </w:rPr>
        <w:t>）</w:t>
      </w:r>
      <w:r>
        <w:rPr>
          <w:b/>
          <w:sz w:val="18"/>
        </w:rPr>
        <w:t>。</w:t>
      </w:r>
    </w:p>
    <w:p>
      <w:pPr>
        <w:pStyle w:val="ListParagraph"/>
        <w:numPr>
          <w:ilvl w:val="1"/>
          <w:numId w:val="14"/>
        </w:numPr>
        <w:tabs>
          <w:tab w:pos="790" w:val="left" w:leader="none"/>
          <w:tab w:pos="791" w:val="left" w:leader="none"/>
        </w:tabs>
        <w:spacing w:line="338" w:lineRule="auto" w:before="149" w:after="0"/>
        <w:ind w:left="790" w:right="208" w:hanging="679"/>
        <w:jc w:val="left"/>
        <w:rPr>
          <w:b/>
          <w:sz w:val="18"/>
        </w:rPr>
      </w:pPr>
      <w:r>
        <w:rPr>
          <w:b/>
          <w:sz w:val="18"/>
        </w:rPr>
        <w:t>发生上述情形导致被保险人发生保险事故的，本合同终止，我们不承担给付保险金的责任。我们将退还本合同的现金价值（现金价值为零</w:t>
      </w:r>
      <w:r>
        <w:rPr>
          <w:b/>
          <w:spacing w:val="-89"/>
          <w:sz w:val="18"/>
        </w:rPr>
        <w:t>）</w:t>
      </w:r>
      <w:r>
        <w:rPr>
          <w:b/>
          <w:sz w:val="18"/>
        </w:rPr>
        <w:t>。</w:t>
      </w:r>
    </w:p>
    <w:p>
      <w:pPr>
        <w:spacing w:before="87"/>
        <w:ind w:left="111" w:right="0" w:firstLine="0"/>
        <w:jc w:val="left"/>
        <w:rPr>
          <w:b/>
          <w:sz w:val="21"/>
        </w:rPr>
      </w:pPr>
      <w:bookmarkStart w:name="_bookmark22" w:id="23"/>
      <w:bookmarkEnd w:id="23"/>
      <w:r>
        <w:rPr/>
      </w:r>
      <w:r>
        <w:rPr>
          <w:b/>
          <w:sz w:val="21"/>
        </w:rPr>
        <w:t>第二十一条 保险期间</w:t>
      </w:r>
    </w:p>
    <w:p>
      <w:pPr>
        <w:pStyle w:val="BodyText"/>
        <w:spacing w:before="1"/>
        <w:ind w:left="0"/>
        <w:rPr>
          <w:b/>
          <w:sz w:val="14"/>
        </w:rPr>
      </w:pPr>
    </w:p>
    <w:p>
      <w:pPr>
        <w:pStyle w:val="BodyText"/>
        <w:tabs>
          <w:tab w:pos="790" w:val="left" w:leader="none"/>
        </w:tabs>
        <w:spacing w:before="1"/>
        <w:ind w:left="111"/>
      </w:pPr>
      <w:r>
        <w:rPr>
          <w:rFonts w:ascii="Arial" w:eastAsia="Arial"/>
        </w:rPr>
        <w:t>21.1</w:t>
        <w:tab/>
      </w:r>
      <w:r>
        <w:rPr/>
        <w:t>本合同的保险期间由您在投保时与我们约定，并在保险单上载明。</w:t>
      </w:r>
    </w:p>
    <w:p>
      <w:pPr>
        <w:pStyle w:val="Heading2"/>
      </w:pPr>
      <w:bookmarkStart w:name="_bookmark23" w:id="24"/>
      <w:bookmarkEnd w:id="24"/>
      <w:r>
        <w:rPr>
          <w:b w:val="0"/>
        </w:rPr>
      </w:r>
      <w:r>
        <w:rPr/>
        <w:t>第二十二条 基本保险金额</w:t>
      </w:r>
    </w:p>
    <w:p>
      <w:pPr>
        <w:pStyle w:val="BodyText"/>
        <w:spacing w:before="1"/>
        <w:ind w:left="0"/>
        <w:rPr>
          <w:b/>
          <w:sz w:val="14"/>
        </w:rPr>
      </w:pPr>
    </w:p>
    <w:p>
      <w:pPr>
        <w:pStyle w:val="BodyText"/>
        <w:tabs>
          <w:tab w:pos="790" w:val="left" w:leader="none"/>
        </w:tabs>
        <w:spacing w:before="0"/>
        <w:ind w:left="111"/>
      </w:pPr>
      <w:r>
        <w:rPr>
          <w:rFonts w:ascii="Arial" w:eastAsia="Arial"/>
        </w:rPr>
        <w:t>22.1</w:t>
        <w:tab/>
      </w:r>
      <w:r>
        <w:rPr>
          <w:spacing w:val="-1"/>
        </w:rPr>
        <w:t>本合同的基本保险金额由您在投保时与我们约定，并在保险单上载明。</w:t>
      </w:r>
    </w:p>
    <w:p>
      <w:pPr>
        <w:pStyle w:val="Heading1"/>
      </w:pPr>
      <w:bookmarkStart w:name="_bookmark24" w:id="25"/>
      <w:bookmarkEnd w:id="25"/>
      <w:r>
        <w:rPr>
          <w:b w:val="0"/>
        </w:rPr>
      </w:r>
      <w:r>
        <w:rPr/>
        <w:t>第三部分 释义条款</w:t>
      </w:r>
    </w:p>
    <w:p>
      <w:pPr>
        <w:pStyle w:val="Heading2"/>
        <w:spacing w:before="243"/>
      </w:pPr>
      <w:bookmarkStart w:name="_bookmark25" w:id="26"/>
      <w:bookmarkEnd w:id="26"/>
      <w:r>
        <w:rPr>
          <w:b w:val="0"/>
        </w:rPr>
      </w:r>
      <w:r>
        <w:rPr/>
        <w:t>第二十三条 重大疾病的释义</w:t>
      </w:r>
    </w:p>
    <w:p>
      <w:pPr>
        <w:pStyle w:val="BodyText"/>
        <w:spacing w:before="1"/>
        <w:ind w:left="0"/>
        <w:rPr>
          <w:b/>
          <w:sz w:val="14"/>
        </w:rPr>
      </w:pPr>
    </w:p>
    <w:p>
      <w:pPr>
        <w:pStyle w:val="ListParagraph"/>
        <w:numPr>
          <w:ilvl w:val="1"/>
          <w:numId w:val="15"/>
        </w:numPr>
        <w:tabs>
          <w:tab w:pos="790" w:val="left" w:leader="none"/>
          <w:tab w:pos="791" w:val="left" w:leader="none"/>
        </w:tabs>
        <w:spacing w:line="240" w:lineRule="auto" w:before="0" w:after="0"/>
        <w:ind w:left="790" w:right="0" w:hanging="679"/>
        <w:jc w:val="left"/>
        <w:rPr>
          <w:sz w:val="18"/>
        </w:rPr>
      </w:pPr>
      <w:r>
        <w:rPr>
          <w:sz w:val="18"/>
        </w:rPr>
        <w:t>恶性肿瘤</w:t>
      </w:r>
    </w:p>
    <w:p>
      <w:pPr>
        <w:pStyle w:val="BodyText"/>
        <w:spacing w:line="348" w:lineRule="auto" w:before="101"/>
        <w:ind w:left="819" w:right="116"/>
      </w:pPr>
      <w:r>
        <w:rPr>
          <w:spacing w:val="-2"/>
        </w:rPr>
        <w:t>指恶性细胞不受控制的进行性增长和扩散，浸润和破坏周围正常组织，可以经血管、淋巴管和体腔扩散转移到身体其它</w:t>
      </w:r>
      <w:r>
        <w:rPr>
          <w:spacing w:val="-17"/>
        </w:rPr>
        <w:t>部位的疾病。经病理学检查结果明确诊断，临床诊断属于世界卫生组织《疾病和有关健康问题的国际统计分类》</w:t>
      </w:r>
      <w:r>
        <w:rPr/>
        <w:t>（</w:t>
      </w:r>
      <w:r>
        <w:rPr>
          <w:rFonts w:ascii="Arial" w:eastAsia="Arial"/>
        </w:rPr>
        <w:t>ICD-10</w:t>
      </w:r>
      <w:r>
        <w:rPr/>
        <w:t>） 的恶性肿瘤范畴。</w:t>
      </w:r>
    </w:p>
    <w:p>
      <w:pPr>
        <w:pStyle w:val="Heading3"/>
        <w:spacing w:before="33"/>
        <w:ind w:left="819" w:firstLine="0"/>
      </w:pPr>
      <w:r>
        <w:rPr/>
        <w:t>下列疾病不在保障范围内：</w:t>
      </w:r>
    </w:p>
    <w:p>
      <w:pPr>
        <w:spacing w:after="0"/>
        <w:sectPr>
          <w:headerReference w:type="default" r:id="rId10"/>
          <w:pgSz w:w="11910" w:h="16850"/>
          <w:pgMar w:header="826" w:footer="733" w:top="1020" w:bottom="920" w:left="880" w:right="640"/>
        </w:sectPr>
      </w:pPr>
    </w:p>
    <w:p>
      <w:pPr>
        <w:spacing w:before="112"/>
        <w:ind w:left="1002" w:right="0" w:firstLine="0"/>
        <w:jc w:val="left"/>
        <w:rPr>
          <w:b/>
          <w:sz w:val="18"/>
        </w:rPr>
      </w:pPr>
      <w:r>
        <w:rPr>
          <w:b/>
          <w:spacing w:val="1"/>
          <w:w w:val="99"/>
          <w:sz w:val="18"/>
        </w:rPr>
        <w:t>（</w:t>
      </w:r>
      <w:r>
        <w:rPr>
          <w:rFonts w:ascii="Arial" w:eastAsia="Arial"/>
          <w:b/>
          <w:w w:val="99"/>
          <w:sz w:val="18"/>
        </w:rPr>
        <w:t>1</w:t>
      </w:r>
      <w:r>
        <w:rPr>
          <w:b/>
          <w:spacing w:val="1"/>
          <w:w w:val="99"/>
          <w:sz w:val="18"/>
        </w:rPr>
        <w:t>）原位癌（见释义</w:t>
      </w:r>
      <w:r>
        <w:rPr>
          <w:b/>
          <w:spacing w:val="-89"/>
          <w:w w:val="99"/>
          <w:sz w:val="18"/>
        </w:rPr>
        <w:t>）</w:t>
      </w:r>
      <w:r>
        <w:rPr>
          <w:b/>
          <w:w w:val="99"/>
          <w:sz w:val="18"/>
        </w:rPr>
        <w:t>；</w:t>
      </w:r>
    </w:p>
    <w:p>
      <w:pPr>
        <w:spacing w:before="101"/>
        <w:ind w:left="1002" w:right="0" w:firstLine="0"/>
        <w:jc w:val="left"/>
        <w:rPr>
          <w:b/>
          <w:sz w:val="18"/>
        </w:rPr>
      </w:pPr>
      <w:r>
        <w:rPr>
          <w:b/>
          <w:sz w:val="18"/>
        </w:rPr>
        <w:t>（</w:t>
      </w:r>
      <w:r>
        <w:rPr>
          <w:rFonts w:ascii="Arial" w:eastAsia="Arial"/>
          <w:b/>
          <w:sz w:val="18"/>
        </w:rPr>
        <w:t>2</w:t>
      </w:r>
      <w:r>
        <w:rPr>
          <w:b/>
          <w:sz w:val="18"/>
        </w:rPr>
        <w:t>）相当于 </w:t>
      </w:r>
      <w:r>
        <w:rPr>
          <w:rFonts w:ascii="Arial" w:eastAsia="Arial"/>
          <w:b/>
          <w:sz w:val="18"/>
        </w:rPr>
        <w:t>Binet </w:t>
      </w:r>
      <w:r>
        <w:rPr>
          <w:b/>
          <w:sz w:val="18"/>
        </w:rPr>
        <w:t>分期方案 </w:t>
      </w:r>
      <w:r>
        <w:rPr>
          <w:rFonts w:ascii="Arial" w:eastAsia="Arial"/>
          <w:b/>
          <w:sz w:val="18"/>
        </w:rPr>
        <w:t>A </w:t>
      </w:r>
      <w:r>
        <w:rPr>
          <w:b/>
          <w:sz w:val="18"/>
        </w:rPr>
        <w:t>期程度的慢性淋巴细胞白血病；</w:t>
      </w:r>
    </w:p>
    <w:p>
      <w:pPr>
        <w:spacing w:before="102"/>
        <w:ind w:left="1002" w:right="0" w:firstLine="0"/>
        <w:jc w:val="left"/>
        <w:rPr>
          <w:b/>
          <w:sz w:val="18"/>
        </w:rPr>
      </w:pPr>
      <w:r>
        <w:rPr>
          <w:b/>
          <w:sz w:val="18"/>
        </w:rPr>
        <w:t>（</w:t>
      </w:r>
      <w:r>
        <w:rPr>
          <w:rFonts w:ascii="Arial" w:hAnsi="Arial" w:eastAsia="Arial"/>
          <w:b/>
          <w:sz w:val="18"/>
        </w:rPr>
        <w:t>3</w:t>
      </w:r>
      <w:r>
        <w:rPr>
          <w:b/>
          <w:sz w:val="18"/>
        </w:rPr>
        <w:t>）相当于 </w:t>
      </w:r>
      <w:r>
        <w:rPr>
          <w:rFonts w:ascii="Arial" w:hAnsi="Arial" w:eastAsia="Arial"/>
          <w:b/>
          <w:sz w:val="18"/>
        </w:rPr>
        <w:t>Ann Arbor </w:t>
      </w:r>
      <w:r>
        <w:rPr>
          <w:b/>
          <w:sz w:val="18"/>
        </w:rPr>
        <w:t>分期方案Ⅰ期程度的何杰金氏病；</w:t>
      </w:r>
    </w:p>
    <w:p>
      <w:pPr>
        <w:spacing w:before="102"/>
        <w:ind w:left="1002" w:right="0" w:firstLine="0"/>
        <w:jc w:val="left"/>
        <w:rPr>
          <w:b/>
          <w:sz w:val="18"/>
        </w:rPr>
      </w:pPr>
      <w:r>
        <w:rPr>
          <w:b/>
          <w:spacing w:val="1"/>
          <w:w w:val="99"/>
          <w:sz w:val="18"/>
        </w:rPr>
        <w:t>（</w:t>
      </w:r>
      <w:r>
        <w:rPr>
          <w:rFonts w:ascii="Arial" w:eastAsia="Arial"/>
          <w:b/>
          <w:w w:val="99"/>
          <w:sz w:val="18"/>
        </w:rPr>
        <w:t>4</w:t>
      </w:r>
      <w:r>
        <w:rPr>
          <w:b/>
          <w:spacing w:val="1"/>
          <w:w w:val="99"/>
          <w:sz w:val="18"/>
        </w:rPr>
        <w:t>）皮肤癌（不包括恶性黑色素瘤及已发生转移的皮肤癌</w:t>
      </w:r>
      <w:r>
        <w:rPr>
          <w:b/>
          <w:spacing w:val="-89"/>
          <w:w w:val="99"/>
          <w:sz w:val="18"/>
        </w:rPr>
        <w:t>）</w:t>
      </w:r>
      <w:r>
        <w:rPr>
          <w:b/>
          <w:w w:val="99"/>
          <w:sz w:val="18"/>
        </w:rPr>
        <w:t>；</w:t>
      </w:r>
    </w:p>
    <w:p>
      <w:pPr>
        <w:spacing w:before="101"/>
        <w:ind w:left="1002" w:right="0" w:firstLine="0"/>
        <w:jc w:val="left"/>
        <w:rPr>
          <w:b/>
          <w:sz w:val="18"/>
        </w:rPr>
      </w:pPr>
      <w:r>
        <w:rPr>
          <w:b/>
          <w:position w:val="2"/>
          <w:sz w:val="18"/>
        </w:rPr>
        <w:t>（</w:t>
      </w:r>
      <w:r>
        <w:rPr>
          <w:rFonts w:ascii="Arial" w:eastAsia="Arial"/>
          <w:b/>
          <w:position w:val="2"/>
          <w:sz w:val="18"/>
        </w:rPr>
        <w:t>5</w:t>
      </w:r>
      <w:r>
        <w:rPr>
          <w:b/>
          <w:position w:val="2"/>
          <w:sz w:val="18"/>
        </w:rPr>
        <w:t>）</w:t>
      </w:r>
      <w:r>
        <w:rPr>
          <w:rFonts w:ascii="Arial" w:eastAsia="Arial"/>
          <w:b/>
          <w:position w:val="2"/>
          <w:sz w:val="18"/>
        </w:rPr>
        <w:t>TNM </w:t>
      </w:r>
      <w:r>
        <w:rPr>
          <w:b/>
          <w:position w:val="2"/>
          <w:sz w:val="18"/>
        </w:rPr>
        <w:t>分期为 </w:t>
      </w:r>
      <w:r>
        <w:rPr>
          <w:rFonts w:ascii="Arial" w:eastAsia="Arial"/>
          <w:b/>
          <w:position w:val="2"/>
          <w:sz w:val="18"/>
        </w:rPr>
        <w:t>T</w:t>
      </w:r>
      <w:r>
        <w:rPr>
          <w:rFonts w:ascii="Arial" w:eastAsia="Arial"/>
          <w:b/>
          <w:position w:val="2"/>
          <w:sz w:val="18"/>
          <w:vertAlign w:val="subscript"/>
        </w:rPr>
        <w:t>1</w:t>
      </w:r>
      <w:r>
        <w:rPr>
          <w:rFonts w:ascii="Arial" w:eastAsia="Arial"/>
          <w:b/>
          <w:position w:val="2"/>
          <w:sz w:val="18"/>
          <w:vertAlign w:val="baseline"/>
        </w:rPr>
        <w:t>N</w:t>
      </w:r>
      <w:r>
        <w:rPr>
          <w:rFonts w:ascii="Arial" w:eastAsia="Arial"/>
          <w:b/>
          <w:position w:val="2"/>
          <w:sz w:val="18"/>
          <w:vertAlign w:val="subscript"/>
        </w:rPr>
        <w:t>0</w:t>
      </w:r>
      <w:r>
        <w:rPr>
          <w:rFonts w:ascii="Arial" w:eastAsia="Arial"/>
          <w:b/>
          <w:position w:val="2"/>
          <w:sz w:val="18"/>
          <w:vertAlign w:val="baseline"/>
        </w:rPr>
        <w:t>M</w:t>
      </w:r>
      <w:r>
        <w:rPr>
          <w:rFonts w:ascii="Arial" w:eastAsia="Arial"/>
          <w:b/>
          <w:position w:val="2"/>
          <w:sz w:val="18"/>
          <w:vertAlign w:val="subscript"/>
        </w:rPr>
        <w:t>0</w:t>
      </w:r>
      <w:r>
        <w:rPr>
          <w:rFonts w:ascii="Arial" w:eastAsia="Arial"/>
          <w:b/>
          <w:position w:val="2"/>
          <w:sz w:val="18"/>
          <w:vertAlign w:val="baseline"/>
        </w:rPr>
        <w:t> </w:t>
      </w:r>
      <w:r>
        <w:rPr>
          <w:b/>
          <w:position w:val="2"/>
          <w:sz w:val="18"/>
          <w:vertAlign w:val="baseline"/>
        </w:rPr>
        <w:t>期或更轻分期的前列腺癌；</w:t>
      </w:r>
    </w:p>
    <w:p>
      <w:pPr>
        <w:spacing w:before="82"/>
        <w:ind w:left="1002" w:right="0" w:firstLine="0"/>
        <w:jc w:val="left"/>
        <w:rPr>
          <w:b/>
          <w:sz w:val="18"/>
        </w:rPr>
      </w:pPr>
      <w:r>
        <w:rPr>
          <w:b/>
          <w:sz w:val="18"/>
        </w:rPr>
        <w:t>（</w:t>
      </w:r>
      <w:r>
        <w:rPr>
          <w:rFonts w:ascii="Arial" w:eastAsia="Arial"/>
          <w:b/>
          <w:sz w:val="18"/>
        </w:rPr>
        <w:t>6</w:t>
      </w:r>
      <w:r>
        <w:rPr>
          <w:b/>
          <w:sz w:val="18"/>
        </w:rPr>
        <w:t>）感染艾滋病病毒或患艾滋病期间所患恶性肿瘤。</w:t>
      </w:r>
    </w:p>
    <w:p>
      <w:pPr>
        <w:pStyle w:val="ListParagraph"/>
        <w:numPr>
          <w:ilvl w:val="1"/>
          <w:numId w:val="15"/>
        </w:numPr>
        <w:tabs>
          <w:tab w:pos="790" w:val="left" w:leader="none"/>
          <w:tab w:pos="791" w:val="left" w:leader="none"/>
        </w:tabs>
        <w:spacing w:line="240" w:lineRule="auto" w:before="149" w:after="0"/>
        <w:ind w:left="790" w:right="0" w:hanging="679"/>
        <w:jc w:val="left"/>
        <w:rPr>
          <w:sz w:val="18"/>
        </w:rPr>
      </w:pPr>
      <w:r>
        <w:rPr>
          <w:sz w:val="18"/>
        </w:rPr>
        <w:t>重大器官移植术或造血干细胞移植术</w:t>
      </w:r>
    </w:p>
    <w:p>
      <w:pPr>
        <w:pStyle w:val="BodyText"/>
      </w:pPr>
      <w:r>
        <w:rPr/>
        <w:t>重大器官移植术，指因相应器官功能衰竭，已经实施了肾脏、肝脏、心脏或肺脏的异体移植手术。</w:t>
      </w:r>
    </w:p>
    <w:p>
      <w:pPr>
        <w:pStyle w:val="BodyText"/>
        <w:spacing w:before="5"/>
        <w:ind w:left="0"/>
        <w:rPr>
          <w:sz w:val="12"/>
        </w:rPr>
      </w:pPr>
    </w:p>
    <w:p>
      <w:pPr>
        <w:pStyle w:val="BodyText"/>
        <w:spacing w:line="357" w:lineRule="auto" w:before="0"/>
        <w:ind w:right="207"/>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5"/>
        </w:numPr>
        <w:tabs>
          <w:tab w:pos="790" w:val="left" w:leader="none"/>
          <w:tab w:pos="791" w:val="left" w:leader="none"/>
        </w:tabs>
        <w:spacing w:line="240" w:lineRule="auto" w:before="74" w:after="0"/>
        <w:ind w:left="790" w:right="0" w:hanging="679"/>
        <w:jc w:val="left"/>
        <w:rPr>
          <w:sz w:val="18"/>
        </w:rPr>
      </w:pPr>
      <w:r>
        <w:rPr>
          <w:sz w:val="18"/>
        </w:rPr>
        <w:t>终末期肾病（或称慢性肾功能衰竭尿毒症期）</w:t>
      </w:r>
    </w:p>
    <w:p>
      <w:pPr>
        <w:pStyle w:val="BodyText"/>
        <w:spacing w:before="150"/>
      </w:pPr>
      <w:r>
        <w:rPr>
          <w:spacing w:val="-12"/>
        </w:rPr>
        <w:t>指双肾功能慢性不可逆性衰竭，达到尿毒症期，经诊断后已经进行了至少 </w:t>
      </w:r>
      <w:r>
        <w:rPr>
          <w:rFonts w:ascii="Times New Roman" w:eastAsia="Times New Roman"/>
        </w:rPr>
        <w:t>90 </w:t>
      </w:r>
      <w:r>
        <w:rPr/>
        <w:t>天的规律性透析治疗或实施了肾脏移植手术。</w:t>
      </w:r>
    </w:p>
    <w:p>
      <w:pPr>
        <w:pStyle w:val="ListParagraph"/>
        <w:numPr>
          <w:ilvl w:val="1"/>
          <w:numId w:val="15"/>
        </w:numPr>
        <w:tabs>
          <w:tab w:pos="790" w:val="left" w:leader="none"/>
          <w:tab w:pos="791" w:val="left" w:leader="none"/>
        </w:tabs>
        <w:spacing w:line="240" w:lineRule="auto" w:before="149" w:after="0"/>
        <w:ind w:left="790" w:right="0" w:hanging="679"/>
        <w:jc w:val="left"/>
        <w:rPr>
          <w:sz w:val="18"/>
        </w:rPr>
      </w:pPr>
      <w:r>
        <w:rPr>
          <w:sz w:val="18"/>
        </w:rPr>
        <w:t>多个肢体缺失</w:t>
      </w:r>
    </w:p>
    <w:p>
      <w:pPr>
        <w:pStyle w:val="BodyText"/>
        <w:spacing w:before="150"/>
      </w:pPr>
      <w:r>
        <w:rPr/>
        <w:t>指因疾病或意外伤害导致两个或两个以上肢体自腕关节或踝关节近端（靠近躯干端）以上完全性断离。</w:t>
      </w:r>
    </w:p>
    <w:p>
      <w:pPr>
        <w:pStyle w:val="BodyText"/>
        <w:spacing w:before="5"/>
        <w:ind w:left="0"/>
        <w:rPr>
          <w:sz w:val="12"/>
        </w:rPr>
      </w:pPr>
    </w:p>
    <w:p>
      <w:pPr>
        <w:pStyle w:val="ListParagraph"/>
        <w:numPr>
          <w:ilvl w:val="1"/>
          <w:numId w:val="15"/>
        </w:numPr>
        <w:tabs>
          <w:tab w:pos="790" w:val="left" w:leader="none"/>
          <w:tab w:pos="791" w:val="left" w:leader="none"/>
        </w:tabs>
        <w:spacing w:line="240" w:lineRule="auto" w:before="0" w:after="0"/>
        <w:ind w:left="790" w:right="0" w:hanging="679"/>
        <w:jc w:val="left"/>
        <w:rPr>
          <w:sz w:val="18"/>
        </w:rPr>
      </w:pPr>
      <w:r>
        <w:rPr>
          <w:sz w:val="18"/>
        </w:rPr>
        <w:t>急性或亚急性重症肝炎</w:t>
      </w:r>
    </w:p>
    <w:p>
      <w:pPr>
        <w:pStyle w:val="BodyText"/>
        <w:spacing w:line="357" w:lineRule="auto"/>
        <w:ind w:right="207"/>
      </w:pPr>
      <w:r>
        <w:rPr/>
        <w:t>指因肝炎病毒感染引起肝脏组织弥漫性坏死，导致急性肝功能衰竭，且经血清学或病毒学检查证实，并须满足下列全部条件：</w:t>
      </w:r>
    </w:p>
    <w:p>
      <w:pPr>
        <w:pStyle w:val="BodyText"/>
        <w:spacing w:before="74"/>
      </w:pPr>
      <w:r>
        <w:rPr/>
        <w:t>（</w:t>
      </w:r>
      <w:r>
        <w:rPr>
          <w:rFonts w:ascii="Times New Roman" w:eastAsia="Times New Roman"/>
        </w:rPr>
        <w:t>1</w:t>
      </w:r>
      <w:r>
        <w:rPr/>
        <w:t>）重度黄疸或黄疸迅速加重；</w:t>
      </w:r>
    </w:p>
    <w:p>
      <w:pPr>
        <w:pStyle w:val="BodyText"/>
      </w:pPr>
      <w:r>
        <w:rPr/>
        <w:t>（</w:t>
      </w:r>
      <w:r>
        <w:rPr>
          <w:rFonts w:ascii="Times New Roman" w:eastAsia="Times New Roman"/>
        </w:rPr>
        <w:t>2</w:t>
      </w:r>
      <w:r>
        <w:rPr/>
        <w:t>）肝性脑病；</w:t>
      </w:r>
    </w:p>
    <w:p>
      <w:pPr>
        <w:pStyle w:val="BodyText"/>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pPr>
      <w:r>
        <w:rPr/>
        <w:t>（</w:t>
      </w:r>
      <w:r>
        <w:rPr>
          <w:rFonts w:ascii="Times New Roman" w:eastAsia="Times New Roman"/>
        </w:rPr>
        <w:t>4</w:t>
      </w:r>
      <w:r>
        <w:rPr/>
        <w:t>）肝功能指标进行性恶化。</w:t>
      </w:r>
    </w:p>
    <w:p>
      <w:pPr>
        <w:pStyle w:val="ListParagraph"/>
        <w:numPr>
          <w:ilvl w:val="1"/>
          <w:numId w:val="15"/>
        </w:numPr>
        <w:tabs>
          <w:tab w:pos="790" w:val="left" w:leader="none"/>
          <w:tab w:pos="791" w:val="left" w:leader="none"/>
        </w:tabs>
        <w:spacing w:line="240" w:lineRule="auto" w:before="149" w:after="0"/>
        <w:ind w:left="790" w:right="0" w:hanging="679"/>
        <w:jc w:val="left"/>
        <w:rPr>
          <w:sz w:val="18"/>
        </w:rPr>
      </w:pPr>
      <w:r>
        <w:rPr>
          <w:sz w:val="18"/>
        </w:rPr>
        <w:t>良性脑肿瘤</w:t>
      </w:r>
    </w:p>
    <w:p>
      <w:pPr>
        <w:pStyle w:val="BodyText"/>
        <w:spacing w:line="348" w:lineRule="auto" w:before="150"/>
        <w:ind w:right="118"/>
      </w:pPr>
      <w:r>
        <w:rPr>
          <w:spacing w:val="-6"/>
        </w:rPr>
        <w:t>指脑的良性肿瘤，已经引起颅内压增高，临床表现为视神经乳头水肿、精神症状、癫痫及运动感觉障碍等，并危及生命。</w:t>
      </w:r>
      <w:r>
        <w:rPr>
          <w:spacing w:val="-5"/>
        </w:rPr>
        <w:t>须由头颅断层扫描</w:t>
      </w:r>
      <w:r>
        <w:rPr>
          <w:spacing w:val="-1"/>
        </w:rPr>
        <w:t>（</w:t>
      </w:r>
      <w:r>
        <w:rPr>
          <w:rFonts w:ascii="Times New Roman" w:eastAsia="Times New Roman"/>
          <w:spacing w:val="-1"/>
        </w:rPr>
        <w:t>C</w:t>
      </w:r>
      <w:r>
        <w:rPr>
          <w:rFonts w:ascii="Times New Roman" w:eastAsia="Times New Roman"/>
          <w:spacing w:val="-2"/>
        </w:rPr>
        <w:t>T</w:t>
      </w:r>
      <w:r>
        <w:rPr>
          <w:spacing w:val="-89"/>
        </w:rPr>
        <w:t>）</w:t>
      </w:r>
      <w:r>
        <w:rPr>
          <w:spacing w:val="-4"/>
        </w:rPr>
        <w:t>、核磁共振检查</w:t>
      </w:r>
      <w:r>
        <w:rPr/>
        <w:t>（</w:t>
      </w:r>
      <w:r>
        <w:rPr>
          <w:rFonts w:ascii="Times New Roman" w:eastAsia="Times New Roman"/>
          <w:w w:val="99"/>
        </w:rPr>
        <w:t>M</w:t>
      </w:r>
      <w:r>
        <w:rPr>
          <w:rFonts w:ascii="Times New Roman" w:eastAsia="Times New Roman"/>
          <w:w w:val="99"/>
        </w:rPr>
        <w:t>RI</w:t>
      </w:r>
      <w:r>
        <w:rPr>
          <w:spacing w:val="-8"/>
          <w:w w:val="99"/>
        </w:rPr>
        <w:t>）</w:t>
      </w:r>
      <w:r>
        <w:rPr>
          <w:spacing w:val="-1"/>
          <w:w w:val="99"/>
        </w:rPr>
        <w:t>或正电子发射断层扫描</w:t>
      </w:r>
      <w:r>
        <w:rPr>
          <w:w w:val="99"/>
        </w:rPr>
        <w:t>（</w:t>
      </w:r>
      <w:r>
        <w:rPr>
          <w:rFonts w:ascii="Times New Roman" w:eastAsia="Times New Roman"/>
          <w:spacing w:val="1"/>
          <w:w w:val="99"/>
        </w:rPr>
        <w:t>P</w:t>
      </w:r>
      <w:r>
        <w:rPr>
          <w:rFonts w:ascii="Times New Roman" w:eastAsia="Times New Roman"/>
        </w:rPr>
        <w:t>E</w:t>
      </w:r>
      <w:r>
        <w:rPr>
          <w:rFonts w:ascii="Times New Roman" w:eastAsia="Times New Roman"/>
          <w:spacing w:val="-2"/>
        </w:rPr>
        <w:t>T</w:t>
      </w:r>
      <w:r>
        <w:rPr>
          <w:spacing w:val="-8"/>
        </w:rPr>
        <w:t>）</w:t>
      </w:r>
      <w:r>
        <w:rPr>
          <w:spacing w:val="-1"/>
        </w:rPr>
        <w:t>等影像学检查证实，并须满足下列至少一项条件：</w:t>
      </w:r>
    </w:p>
    <w:p>
      <w:pPr>
        <w:pStyle w:val="BodyText"/>
        <w:spacing w:before="81"/>
      </w:pPr>
      <w:r>
        <w:rPr/>
        <w:t>（</w:t>
      </w:r>
      <w:r>
        <w:rPr>
          <w:rFonts w:ascii="Times New Roman" w:eastAsia="Times New Roman"/>
        </w:rPr>
        <w:t>1</w:t>
      </w:r>
      <w:r>
        <w:rPr/>
        <w:t>）实际实施了开颅进行的脑肿瘤完全切除或部分切除的手术；</w:t>
      </w:r>
    </w:p>
    <w:p>
      <w:pPr>
        <w:pStyle w:val="BodyText"/>
        <w:spacing w:before="148"/>
      </w:pPr>
      <w:r>
        <w:rPr/>
        <w:t>（</w:t>
      </w:r>
      <w:r>
        <w:rPr>
          <w:rFonts w:ascii="Times New Roman" w:eastAsia="Times New Roman"/>
        </w:rPr>
        <w:t>2</w:t>
      </w:r>
      <w:r>
        <w:rPr/>
        <w:t>）实际实施了对脑肿瘤进行的放射治疗。</w:t>
      </w:r>
    </w:p>
    <w:p>
      <w:pPr>
        <w:pStyle w:val="Heading3"/>
        <w:spacing w:before="148"/>
        <w:ind w:firstLine="0"/>
      </w:pPr>
      <w:r>
        <w:rPr/>
        <w:t>脑垂体瘤、脑囊肿、脑血管性疾病不在保障范围内。</w:t>
      </w:r>
    </w:p>
    <w:p>
      <w:pPr>
        <w:pStyle w:val="BodyText"/>
        <w:spacing w:before="5"/>
        <w:ind w:left="0"/>
        <w:rPr>
          <w:b/>
          <w:sz w:val="12"/>
        </w:rPr>
      </w:pPr>
    </w:p>
    <w:p>
      <w:pPr>
        <w:pStyle w:val="ListParagraph"/>
        <w:numPr>
          <w:ilvl w:val="1"/>
          <w:numId w:val="15"/>
        </w:numPr>
        <w:tabs>
          <w:tab w:pos="790" w:val="left" w:leader="none"/>
          <w:tab w:pos="791" w:val="left" w:leader="none"/>
        </w:tabs>
        <w:spacing w:line="240" w:lineRule="auto" w:before="0" w:after="0"/>
        <w:ind w:left="790" w:right="0" w:hanging="679"/>
        <w:jc w:val="left"/>
        <w:rPr>
          <w:sz w:val="18"/>
        </w:rPr>
      </w:pPr>
      <w:r>
        <w:rPr>
          <w:sz w:val="18"/>
        </w:rPr>
        <w:t>慢性肝功能衰竭失代偿期</w:t>
      </w:r>
    </w:p>
    <w:p>
      <w:pPr>
        <w:pStyle w:val="BodyText"/>
        <w:spacing w:before="150"/>
      </w:pPr>
      <w:r>
        <w:rPr/>
        <w:t>指因慢性肝脏疾病导致肝功能衰竭，须满足下列全部条件：</w:t>
      </w:r>
    </w:p>
    <w:p>
      <w:pPr>
        <w:pStyle w:val="BodyText"/>
        <w:spacing w:before="5"/>
        <w:ind w:left="0"/>
        <w:rPr>
          <w:sz w:val="12"/>
        </w:rPr>
      </w:pPr>
    </w:p>
    <w:p>
      <w:pPr>
        <w:pStyle w:val="BodyText"/>
        <w:spacing w:before="0"/>
      </w:pPr>
      <w:r>
        <w:rPr/>
        <w:t>（</w:t>
      </w:r>
      <w:r>
        <w:rPr>
          <w:rFonts w:ascii="Times New Roman" w:eastAsia="Times New Roman"/>
        </w:rPr>
        <w:t>1</w:t>
      </w:r>
      <w:r>
        <w:rPr/>
        <w:t>）持续性黄疸</w:t>
      </w:r>
    </w:p>
    <w:p>
      <w:pPr>
        <w:pStyle w:val="BodyText"/>
      </w:pPr>
      <w:r>
        <w:rPr/>
        <w:t>（</w:t>
      </w:r>
      <w:r>
        <w:rPr>
          <w:rFonts w:ascii="Times New Roman" w:eastAsia="Times New Roman"/>
        </w:rPr>
        <w:t>2</w:t>
      </w:r>
      <w:r>
        <w:rPr/>
        <w:t>）腹水</w:t>
      </w:r>
    </w:p>
    <w:p>
      <w:pPr>
        <w:pStyle w:val="BodyText"/>
      </w:pPr>
      <w:r>
        <w:rPr/>
        <w:t>（</w:t>
      </w:r>
      <w:r>
        <w:rPr>
          <w:rFonts w:ascii="Times New Roman" w:eastAsia="Times New Roman"/>
        </w:rPr>
        <w:t>3</w:t>
      </w:r>
      <w:r>
        <w:rPr/>
        <w:t>）肝性脑病</w:t>
      </w:r>
    </w:p>
    <w:p>
      <w:pPr>
        <w:spacing w:line="384" w:lineRule="auto" w:before="149"/>
        <w:ind w:left="790" w:right="5215" w:firstLine="0"/>
        <w:jc w:val="left"/>
        <w:rPr>
          <w:b/>
          <w:sz w:val="18"/>
        </w:rPr>
      </w:pPr>
      <w:r>
        <w:rPr>
          <w:sz w:val="18"/>
        </w:rPr>
        <w:t>（</w:t>
      </w:r>
      <w:r>
        <w:rPr>
          <w:rFonts w:ascii="Times New Roman" w:eastAsia="Times New Roman"/>
          <w:sz w:val="18"/>
        </w:rPr>
        <w:t>4</w:t>
      </w:r>
      <w:r>
        <w:rPr>
          <w:sz w:val="18"/>
        </w:rPr>
        <w:t>）充血性脾肿大伴脾功能亢进或食管胃底静脉曲张</w:t>
      </w:r>
      <w:r>
        <w:rPr>
          <w:b/>
          <w:sz w:val="18"/>
        </w:rPr>
        <w:t>因酗酒或药物滥用导致的肝功能衰竭不在保障范围内。</w:t>
      </w:r>
    </w:p>
    <w:p>
      <w:pPr>
        <w:pStyle w:val="ListParagraph"/>
        <w:numPr>
          <w:ilvl w:val="1"/>
          <w:numId w:val="15"/>
        </w:numPr>
        <w:tabs>
          <w:tab w:pos="790" w:val="left" w:leader="none"/>
          <w:tab w:pos="791" w:val="left" w:leader="none"/>
        </w:tabs>
        <w:spacing w:line="240" w:lineRule="auto" w:before="54" w:after="0"/>
        <w:ind w:left="790" w:right="0" w:hanging="679"/>
        <w:jc w:val="left"/>
        <w:rPr>
          <w:sz w:val="18"/>
        </w:rPr>
      </w:pPr>
      <w:r>
        <w:rPr>
          <w:spacing w:val="-1"/>
          <w:sz w:val="18"/>
        </w:rPr>
        <w:t>脑炎后遗症或脑膜炎后遗症</w:t>
      </w:r>
    </w:p>
    <w:p>
      <w:pPr>
        <w:pStyle w:val="BodyText"/>
        <w:spacing w:line="338" w:lineRule="auto"/>
        <w:ind w:right="160"/>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after="0" w:line="338" w:lineRule="auto"/>
        <w:sectPr>
          <w:pgSz w:w="11910" w:h="16850"/>
          <w:pgMar w:header="826" w:footer="733" w:top="1020" w:bottom="920" w:left="880" w:right="640"/>
        </w:sectPr>
      </w:pPr>
    </w:p>
    <w:p>
      <w:pPr>
        <w:spacing w:before="112"/>
        <w:ind w:left="790" w:right="0" w:firstLine="0"/>
        <w:jc w:val="both"/>
        <w:rPr>
          <w:sz w:val="18"/>
        </w:rPr>
      </w:pPr>
      <w:r>
        <w:rPr>
          <w:sz w:val="18"/>
        </w:rPr>
        <w:t>（</w:t>
      </w:r>
      <w:r>
        <w:rPr>
          <w:rFonts w:ascii="Times New Roman" w:eastAsia="Times New Roman"/>
          <w:spacing w:val="0"/>
          <w:sz w:val="18"/>
        </w:rPr>
        <w:t>1</w:t>
      </w:r>
      <w:r>
        <w:rPr>
          <w:sz w:val="18"/>
        </w:rPr>
        <w:t>）</w:t>
      </w:r>
      <w:r>
        <w:rPr>
          <w:spacing w:val="-1"/>
          <w:sz w:val="18"/>
        </w:rPr>
        <w:t>一肢或一肢以上</w:t>
      </w:r>
      <w:r>
        <w:rPr>
          <w:b/>
          <w:spacing w:val="1"/>
          <w:w w:val="99"/>
          <w:sz w:val="18"/>
        </w:rPr>
        <w:t>肢体机能完全丧失</w:t>
      </w:r>
      <w:r>
        <w:rPr>
          <w:sz w:val="18"/>
        </w:rPr>
        <w:t>（见释义</w:t>
      </w:r>
      <w:r>
        <w:rPr>
          <w:spacing w:val="-89"/>
          <w:sz w:val="18"/>
        </w:rPr>
        <w:t>）</w:t>
      </w:r>
      <w:r>
        <w:rPr>
          <w:sz w:val="18"/>
        </w:rPr>
        <w:t>；</w:t>
      </w:r>
    </w:p>
    <w:p>
      <w:pPr>
        <w:pStyle w:val="BodyText"/>
        <w:spacing w:before="148"/>
        <w:jc w:val="both"/>
      </w:pPr>
      <w:r>
        <w:rPr/>
        <w:t>（</w:t>
      </w:r>
      <w:r>
        <w:rPr>
          <w:rFonts w:ascii="Times New Roman" w:eastAsia="Times New Roman"/>
        </w:rPr>
        <w:t>2</w:t>
      </w:r>
      <w:r>
        <w:rPr/>
        <w:t>）语言能力或咀嚼吞咽能力完全丧失；</w:t>
      </w:r>
    </w:p>
    <w:p>
      <w:pPr>
        <w:spacing w:before="149"/>
        <w:ind w:left="790" w:right="0" w:firstLine="0"/>
        <w:jc w:val="both"/>
        <w:rPr>
          <w:sz w:val="18"/>
        </w:rPr>
      </w:pPr>
      <w:r>
        <w:rPr>
          <w:sz w:val="18"/>
        </w:rPr>
        <w:t>（</w:t>
      </w:r>
      <w:r>
        <w:rPr>
          <w:rFonts w:ascii="Times New Roman" w:eastAsia="Times New Roman"/>
          <w:sz w:val="18"/>
        </w:rPr>
        <w:t>3</w:t>
      </w:r>
      <w:r>
        <w:rPr>
          <w:sz w:val="18"/>
        </w:rPr>
        <w:t>）自主生活能力完全丧失，无法独立完成</w:t>
      </w:r>
      <w:r>
        <w:rPr>
          <w:b/>
          <w:sz w:val="18"/>
        </w:rPr>
        <w:t>六项基本日常生活活动</w:t>
      </w:r>
      <w:r>
        <w:rPr>
          <w:sz w:val="18"/>
        </w:rPr>
        <w:t>（见释义）中的三项或三项以上。</w:t>
      </w:r>
    </w:p>
    <w:p>
      <w:pPr>
        <w:pStyle w:val="ListParagraph"/>
        <w:numPr>
          <w:ilvl w:val="1"/>
          <w:numId w:val="15"/>
        </w:numPr>
        <w:tabs>
          <w:tab w:pos="790" w:val="left" w:leader="none"/>
          <w:tab w:pos="791" w:val="left" w:leader="none"/>
        </w:tabs>
        <w:spacing w:line="240" w:lineRule="auto" w:before="149" w:after="0"/>
        <w:ind w:left="790" w:right="0" w:hanging="679"/>
        <w:jc w:val="left"/>
        <w:rPr>
          <w:sz w:val="18"/>
        </w:rPr>
      </w:pPr>
      <w:r>
        <w:rPr>
          <w:sz w:val="18"/>
        </w:rPr>
        <w:t>深度昏迷</w:t>
      </w:r>
    </w:p>
    <w:p>
      <w:pPr>
        <w:pStyle w:val="BodyText"/>
        <w:spacing w:line="338" w:lineRule="auto" w:before="150"/>
        <w:ind w:right="187"/>
      </w:pP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 coma scale</w:t>
      </w:r>
      <w:r>
        <w:rPr/>
        <w:t>）结果为 </w:t>
      </w:r>
      <w:r>
        <w:rPr>
          <w:rFonts w:ascii="Times New Roman" w:eastAsia="Times New Roman"/>
        </w:rPr>
        <w:t>5 </w:t>
      </w:r>
      <w:r>
        <w:rPr/>
        <w:t>分或 </w:t>
      </w:r>
      <w:r>
        <w:rPr>
          <w:rFonts w:ascii="Times New Roman" w:eastAsia="Times New Roman"/>
        </w:rPr>
        <w:t>5 </w:t>
      </w:r>
      <w:r>
        <w:rPr/>
        <w:t>分以下，且已经持续使用呼吸机及其它生命维持系统 </w:t>
      </w:r>
      <w:r>
        <w:rPr>
          <w:rFonts w:ascii="Times New Roman" w:eastAsia="Times New Roman"/>
        </w:rPr>
        <w:t>96 </w:t>
      </w:r>
      <w:r>
        <w:rPr/>
        <w:t>小时以上。</w:t>
      </w:r>
    </w:p>
    <w:p>
      <w:pPr>
        <w:pStyle w:val="Heading3"/>
        <w:spacing w:before="67"/>
        <w:ind w:firstLine="0"/>
        <w:jc w:val="both"/>
      </w:pPr>
      <w:r>
        <w:rPr/>
        <w:t>因酗酒或药物滥用导致的深度昏迷不在保障范围内。</w:t>
      </w:r>
    </w:p>
    <w:p>
      <w:pPr>
        <w:pStyle w:val="BodyText"/>
        <w:spacing w:before="5"/>
        <w:ind w:left="0"/>
        <w:rPr>
          <w:b/>
          <w:sz w:val="12"/>
        </w:rPr>
      </w:pPr>
    </w:p>
    <w:p>
      <w:pPr>
        <w:pStyle w:val="ListParagraph"/>
        <w:numPr>
          <w:ilvl w:val="1"/>
          <w:numId w:val="15"/>
        </w:numPr>
        <w:tabs>
          <w:tab w:pos="790" w:val="left" w:leader="none"/>
          <w:tab w:pos="791" w:val="left" w:leader="none"/>
        </w:tabs>
        <w:spacing w:line="240" w:lineRule="auto" w:before="0" w:after="0"/>
        <w:ind w:left="790" w:right="0" w:hanging="679"/>
        <w:jc w:val="left"/>
        <w:rPr>
          <w:sz w:val="18"/>
        </w:rPr>
      </w:pPr>
      <w:r>
        <w:rPr>
          <w:sz w:val="18"/>
        </w:rPr>
        <w:t>双耳失聪</w:t>
      </w:r>
    </w:p>
    <w:p>
      <w:pPr>
        <w:pStyle w:val="BodyText"/>
        <w:jc w:val="both"/>
      </w:pPr>
      <w:r>
        <w:rPr/>
        <w:t>指因疾病或意外伤害导致双耳听力</w:t>
      </w:r>
      <w:r>
        <w:rPr>
          <w:b/>
        </w:rPr>
        <w:t>永久不可逆性</w:t>
      </w:r>
      <w:r>
        <w:rPr/>
        <w:t>（见释义）丧失，在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赫兹语音频率下，平</w:t>
      </w:r>
    </w:p>
    <w:p>
      <w:pPr>
        <w:pStyle w:val="BodyText"/>
        <w:spacing w:before="100"/>
        <w:jc w:val="both"/>
      </w:pPr>
      <w:r>
        <w:rPr/>
        <w:t>均听阈大于 </w:t>
      </w:r>
      <w:r>
        <w:rPr>
          <w:rFonts w:ascii="Times New Roman" w:eastAsia="Times New Roman"/>
        </w:rPr>
        <w:t>90 </w:t>
      </w:r>
      <w:r>
        <w:rPr/>
        <w:t>分贝，且经纯音听力测试、声导抗检测或听觉诱发电位检测等证实。</w:t>
      </w:r>
    </w:p>
    <w:p>
      <w:pPr>
        <w:pStyle w:val="ListParagraph"/>
        <w:numPr>
          <w:ilvl w:val="1"/>
          <w:numId w:val="15"/>
        </w:numPr>
        <w:tabs>
          <w:tab w:pos="790" w:val="left" w:leader="none"/>
          <w:tab w:pos="791" w:val="left" w:leader="none"/>
        </w:tabs>
        <w:spacing w:line="240" w:lineRule="auto" w:before="148" w:after="0"/>
        <w:ind w:left="790" w:right="0" w:hanging="679"/>
        <w:jc w:val="left"/>
        <w:rPr>
          <w:sz w:val="18"/>
        </w:rPr>
      </w:pPr>
      <w:r>
        <w:rPr>
          <w:sz w:val="18"/>
        </w:rPr>
        <w:t>双目失明</w:t>
      </w:r>
    </w:p>
    <w:p>
      <w:pPr>
        <w:pStyle w:val="BodyText"/>
        <w:spacing w:before="150"/>
        <w:jc w:val="both"/>
      </w:pPr>
      <w:r>
        <w:rPr/>
        <w:t>指因疾病或意外伤害导致双眼视力永久不可逆性丧失，双眼中较好眼须满足下列至少一项条件：</w:t>
      </w:r>
    </w:p>
    <w:p>
      <w:pPr>
        <w:pStyle w:val="BodyText"/>
        <w:spacing w:before="5"/>
        <w:ind w:left="0"/>
        <w:rPr>
          <w:sz w:val="12"/>
        </w:rPr>
      </w:pPr>
    </w:p>
    <w:p>
      <w:pPr>
        <w:pStyle w:val="BodyText"/>
        <w:spacing w:before="1"/>
        <w:jc w:val="both"/>
      </w:pPr>
      <w:r>
        <w:rPr/>
        <w:t>（</w:t>
      </w:r>
      <w:r>
        <w:rPr>
          <w:rFonts w:ascii="Times New Roman" w:eastAsia="Times New Roman"/>
        </w:rPr>
        <w:t>1</w:t>
      </w:r>
      <w:r>
        <w:rPr/>
        <w:t>）眼球缺失或摘除；</w:t>
      </w:r>
    </w:p>
    <w:p>
      <w:pPr>
        <w:pStyle w:val="BodyText"/>
        <w:jc w:val="both"/>
      </w:pPr>
      <w:r>
        <w:rPr/>
        <w:t>（</w:t>
      </w:r>
      <w:r>
        <w:rPr>
          <w:rFonts w:ascii="Times New Roman" w:eastAsia="Times New Roman"/>
          <w:spacing w:val="0"/>
        </w:rPr>
        <w:t>2</w:t>
      </w:r>
      <w:r>
        <w:rPr/>
        <w:t>）</w:t>
      </w:r>
      <w:r>
        <w:rPr>
          <w:spacing w:val="-7"/>
        </w:rPr>
        <w:t>矫正视力低于 </w:t>
      </w:r>
      <w:r>
        <w:rPr>
          <w:rFonts w:ascii="Times New Roman" w:eastAsia="Times New Roman"/>
          <w:spacing w:val="0"/>
        </w:rPr>
        <w:t>0</w:t>
      </w:r>
      <w:r>
        <w:rPr>
          <w:rFonts w:ascii="Times New Roman" w:eastAsia="Times New Roman"/>
        </w:rPr>
        <w:t>.</w:t>
      </w:r>
      <w:r>
        <w:rPr>
          <w:rFonts w:ascii="Times New Roman" w:eastAsia="Times New Roman"/>
          <w:spacing w:val="0"/>
        </w:rPr>
        <w:t>02</w:t>
      </w:r>
      <w:r>
        <w:rPr/>
        <w:t>（采用国际标准视力表，如果使用其它视力表应进行换算</w:t>
      </w:r>
      <w:r>
        <w:rPr>
          <w:spacing w:val="-89"/>
        </w:rPr>
        <w:t>）</w:t>
      </w:r>
      <w:r>
        <w:rPr/>
        <w:t>；</w:t>
      </w:r>
    </w:p>
    <w:p>
      <w:pPr>
        <w:pStyle w:val="BodyText"/>
        <w:jc w:val="both"/>
      </w:pPr>
      <w:r>
        <w:rPr/>
        <w:t>（</w:t>
      </w:r>
      <w:r>
        <w:rPr>
          <w:rFonts w:ascii="Times New Roman" w:eastAsia="Times New Roman"/>
        </w:rPr>
        <w:t>3</w:t>
      </w:r>
      <w:r>
        <w:rPr/>
        <w:t>）视野半径小于 </w:t>
      </w:r>
      <w:r>
        <w:rPr>
          <w:rFonts w:ascii="Times New Roman" w:eastAsia="Times New Roman"/>
        </w:rPr>
        <w:t>5 </w:t>
      </w:r>
      <w:r>
        <w:rPr/>
        <w:t>度。</w:t>
      </w:r>
    </w:p>
    <w:p>
      <w:pPr>
        <w:pStyle w:val="ListParagraph"/>
        <w:numPr>
          <w:ilvl w:val="1"/>
          <w:numId w:val="15"/>
        </w:numPr>
        <w:tabs>
          <w:tab w:pos="790" w:val="left" w:leader="none"/>
          <w:tab w:pos="791" w:val="left" w:leader="none"/>
        </w:tabs>
        <w:spacing w:line="240" w:lineRule="auto" w:before="149" w:after="0"/>
        <w:ind w:left="790" w:right="0" w:hanging="679"/>
        <w:jc w:val="left"/>
        <w:rPr>
          <w:sz w:val="18"/>
        </w:rPr>
      </w:pPr>
      <w:r>
        <w:rPr>
          <w:sz w:val="18"/>
        </w:rPr>
        <w:t>瘫痪</w:t>
      </w:r>
    </w:p>
    <w:p>
      <w:pPr>
        <w:pStyle w:val="BodyText"/>
        <w:jc w:val="both"/>
      </w:pPr>
      <w:r>
        <w:rPr/>
        <w:t>指因疾病或意外伤害导致两肢或两肢以上肢体机能永久完全丧失。肢体机能永久完全丧失，指疾病确诊 </w:t>
      </w:r>
      <w:r>
        <w:rPr>
          <w:rFonts w:ascii="Times New Roman" w:eastAsia="Times New Roman"/>
        </w:rPr>
        <w:t>180 </w:t>
      </w:r>
      <w:r>
        <w:rPr/>
        <w:t>天后或意外</w:t>
      </w:r>
    </w:p>
    <w:p>
      <w:pPr>
        <w:pStyle w:val="BodyText"/>
        <w:spacing w:before="100"/>
        <w:jc w:val="both"/>
      </w:pPr>
      <w:r>
        <w:rPr/>
        <w:t>伤害发生 </w:t>
      </w:r>
      <w:r>
        <w:rPr>
          <w:rFonts w:ascii="Times New Roman" w:eastAsia="Times New Roman"/>
        </w:rPr>
        <w:t>180 </w:t>
      </w:r>
      <w:r>
        <w:rPr/>
        <w:t>天后，每肢三大关节中的两大关节仍然完全僵硬，或不能随意识活动。</w:t>
      </w:r>
    </w:p>
    <w:p>
      <w:pPr>
        <w:pStyle w:val="ListParagraph"/>
        <w:numPr>
          <w:ilvl w:val="1"/>
          <w:numId w:val="15"/>
        </w:numPr>
        <w:tabs>
          <w:tab w:pos="790" w:val="left" w:leader="none"/>
          <w:tab w:pos="791" w:val="left" w:leader="none"/>
        </w:tabs>
        <w:spacing w:line="240" w:lineRule="auto" w:before="148" w:after="0"/>
        <w:ind w:left="790" w:right="0" w:hanging="679"/>
        <w:jc w:val="left"/>
        <w:rPr>
          <w:sz w:val="18"/>
        </w:rPr>
      </w:pPr>
      <w:r>
        <w:rPr>
          <w:sz w:val="18"/>
        </w:rPr>
        <w:t>心脏瓣膜手术</w:t>
      </w:r>
    </w:p>
    <w:p>
      <w:pPr>
        <w:pStyle w:val="BodyText"/>
        <w:jc w:val="both"/>
      </w:pPr>
      <w:r>
        <w:rPr/>
        <w:t>指为治疗心脏瓣膜疾病，实际实施了开胸进行的心脏瓣膜置换或修复的手术。</w:t>
      </w:r>
    </w:p>
    <w:p>
      <w:pPr>
        <w:pStyle w:val="BodyText"/>
        <w:spacing w:before="5"/>
        <w:ind w:left="0"/>
        <w:rPr>
          <w:sz w:val="12"/>
        </w:rPr>
      </w:pPr>
    </w:p>
    <w:p>
      <w:pPr>
        <w:pStyle w:val="ListParagraph"/>
        <w:numPr>
          <w:ilvl w:val="1"/>
          <w:numId w:val="15"/>
        </w:numPr>
        <w:tabs>
          <w:tab w:pos="790" w:val="left" w:leader="none"/>
          <w:tab w:pos="791" w:val="left" w:leader="none"/>
        </w:tabs>
        <w:spacing w:line="240" w:lineRule="auto" w:before="1" w:after="0"/>
        <w:ind w:left="790" w:right="0" w:hanging="679"/>
        <w:jc w:val="left"/>
        <w:rPr>
          <w:sz w:val="18"/>
        </w:rPr>
      </w:pPr>
      <w:r>
        <w:rPr>
          <w:sz w:val="18"/>
        </w:rPr>
        <w:t>严重脑损伤</w:t>
      </w:r>
    </w:p>
    <w:p>
      <w:pPr>
        <w:pStyle w:val="BodyText"/>
        <w:spacing w:line="338" w:lineRule="auto" w:before="150"/>
        <w:ind w:right="187"/>
        <w:jc w:val="both"/>
      </w:pPr>
      <w:r>
        <w:rPr/>
        <w:t>指因头部遭受机械性外力，引起脑重要部位损伤，导致神经系统永久性的功能障碍。须由头颅断层扫描（</w:t>
      </w:r>
      <w:r>
        <w:rPr>
          <w:rFonts w:ascii="Times New Roman" w:eastAsia="Times New Roman"/>
          <w:spacing w:val="-1"/>
        </w:rPr>
        <w:t>C</w:t>
      </w:r>
      <w:r>
        <w:rPr>
          <w:rFonts w:ascii="Times New Roman" w:eastAsia="Times New Roman"/>
          <w:spacing w:val="-2"/>
        </w:rPr>
        <w:t>T</w:t>
      </w:r>
      <w:r>
        <w:rPr>
          <w:spacing w:val="-89"/>
        </w:rPr>
        <w:t>）</w:t>
      </w:r>
      <w:r>
        <w:rPr/>
        <w:t>、核磁共振检查（</w:t>
      </w:r>
      <w:r>
        <w:rPr>
          <w:rFonts w:ascii="Times New Roman" w:eastAsia="Times New Roman"/>
        </w:rPr>
        <w:t>MRI</w:t>
      </w:r>
      <w:r>
        <w:rPr/>
        <w:t>）或正电子发射断层扫描（</w:t>
      </w:r>
      <w:r>
        <w:rPr>
          <w:rFonts w:ascii="Times New Roman" w:eastAsia="Times New Roman"/>
        </w:rPr>
        <w:t>PET</w:t>
      </w:r>
      <w:r>
        <w:rPr/>
        <w:t>）</w:t>
      </w:r>
      <w:r>
        <w:rPr>
          <w:spacing w:val="-1"/>
        </w:rPr>
        <w:t>等影像学检查证实。神经系统永久性的功能障碍，指脑损伤 </w:t>
      </w:r>
      <w:r>
        <w:rPr>
          <w:rFonts w:ascii="Times New Roman" w:eastAsia="Times New Roman"/>
        </w:rPr>
        <w:t>180 </w:t>
      </w:r>
      <w:r>
        <w:rPr/>
        <w:t>天后， 仍遗留下列一种或一种以上障碍：</w:t>
      </w:r>
    </w:p>
    <w:p>
      <w:pPr>
        <w:pStyle w:val="BodyText"/>
        <w:spacing w:before="89"/>
        <w:jc w:val="both"/>
      </w:pPr>
      <w:r>
        <w:rPr/>
        <w:t>（</w:t>
      </w:r>
      <w:r>
        <w:rPr>
          <w:rFonts w:ascii="Times New Roman" w:eastAsia="Times New Roman"/>
        </w:rPr>
        <w:t>1</w:t>
      </w:r>
      <w:r>
        <w:rPr/>
        <w:t>）一肢或一肢以上肢体机能完全丧失；</w:t>
      </w:r>
    </w:p>
    <w:p>
      <w:pPr>
        <w:spacing w:before="149"/>
        <w:ind w:left="790" w:right="0" w:firstLine="0"/>
        <w:jc w:val="both"/>
        <w:rPr>
          <w:sz w:val="18"/>
        </w:rPr>
      </w:pPr>
      <w:r>
        <w:rPr>
          <w:sz w:val="18"/>
        </w:rPr>
        <w:t>（</w:t>
      </w:r>
      <w:r>
        <w:rPr>
          <w:rFonts w:ascii="Times New Roman" w:eastAsia="Times New Roman"/>
          <w:spacing w:val="0"/>
          <w:sz w:val="18"/>
        </w:rPr>
        <w:t>2</w:t>
      </w:r>
      <w:r>
        <w:rPr>
          <w:spacing w:val="-1"/>
          <w:sz w:val="18"/>
        </w:rPr>
        <w:t>）</w:t>
      </w:r>
      <w:r>
        <w:rPr>
          <w:b/>
          <w:spacing w:val="1"/>
          <w:w w:val="99"/>
          <w:sz w:val="18"/>
        </w:rPr>
        <w:t>语言能力或咀嚼吞咽能力完全丧失</w:t>
      </w:r>
      <w:r>
        <w:rPr>
          <w:sz w:val="18"/>
        </w:rPr>
        <w:t>（见释义</w:t>
      </w:r>
      <w:r>
        <w:rPr>
          <w:spacing w:val="-89"/>
          <w:sz w:val="18"/>
        </w:rPr>
        <w:t>）</w:t>
      </w:r>
      <w:r>
        <w:rPr>
          <w:sz w:val="18"/>
        </w:rPr>
        <w:t>；</w:t>
      </w:r>
    </w:p>
    <w:p>
      <w:pPr>
        <w:pStyle w:val="BodyText"/>
        <w:jc w:val="both"/>
      </w:pPr>
      <w:r>
        <w:rPr/>
        <w:t>（</w:t>
      </w:r>
      <w:r>
        <w:rPr>
          <w:rFonts w:ascii="Times New Roman" w:eastAsia="Times New Roman"/>
        </w:rPr>
        <w:t>3</w:t>
      </w:r>
      <w:r>
        <w:rPr/>
        <w:t>）自主生活能力完全丧失，无法独立完成六项基本日常生活活动中的三项或三项以上。</w:t>
      </w:r>
    </w:p>
    <w:p>
      <w:pPr>
        <w:pStyle w:val="ListParagraph"/>
        <w:numPr>
          <w:ilvl w:val="1"/>
          <w:numId w:val="15"/>
        </w:numPr>
        <w:tabs>
          <w:tab w:pos="790" w:val="left" w:leader="none"/>
          <w:tab w:pos="791" w:val="left" w:leader="none"/>
        </w:tabs>
        <w:spacing w:line="240" w:lineRule="auto" w:before="149" w:after="0"/>
        <w:ind w:left="790" w:right="0" w:hanging="679"/>
        <w:jc w:val="left"/>
        <w:rPr>
          <w:sz w:val="18"/>
        </w:rPr>
      </w:pPr>
      <w:r>
        <w:rPr>
          <w:sz w:val="18"/>
        </w:rPr>
        <w:t>严重Ⅲ度烧伤</w:t>
      </w:r>
    </w:p>
    <w:p>
      <w:pPr>
        <w:pStyle w:val="BodyText"/>
        <w:jc w:val="both"/>
      </w:pPr>
      <w:r>
        <w:rPr/>
        <w:t>指烧伤程度为Ⅲ度，且Ⅲ度烧伤的面积达到全身体表面积的 </w:t>
      </w:r>
      <w:r>
        <w:rPr>
          <w:rFonts w:ascii="Times New Roman" w:hAnsi="Times New Roman" w:eastAsia="Times New Roman"/>
        </w:rPr>
        <w:t>20</w:t>
      </w:r>
      <w:r>
        <w:rPr/>
        <w:t>％或 </w:t>
      </w:r>
      <w:r>
        <w:rPr>
          <w:rFonts w:ascii="Times New Roman" w:hAnsi="Times New Roman" w:eastAsia="Times New Roman"/>
        </w:rPr>
        <w:t>20</w:t>
      </w:r>
      <w:r>
        <w:rPr/>
        <w:t>％以上。体表面积根据 《中国新九分法》计算。</w:t>
      </w:r>
    </w:p>
    <w:p>
      <w:pPr>
        <w:pStyle w:val="ListParagraph"/>
        <w:numPr>
          <w:ilvl w:val="1"/>
          <w:numId w:val="15"/>
        </w:numPr>
        <w:tabs>
          <w:tab w:pos="790" w:val="left" w:leader="none"/>
          <w:tab w:pos="791" w:val="left" w:leader="none"/>
        </w:tabs>
        <w:spacing w:line="240" w:lineRule="auto" w:before="149" w:after="0"/>
        <w:ind w:left="790" w:right="0" w:hanging="679"/>
        <w:jc w:val="left"/>
        <w:rPr>
          <w:sz w:val="18"/>
        </w:rPr>
      </w:pPr>
      <w:r>
        <w:rPr>
          <w:sz w:val="18"/>
        </w:rPr>
        <w:t>严重原发性肺动脉高压</w:t>
      </w:r>
    </w:p>
    <w:p>
      <w:pPr>
        <w:pStyle w:val="BodyText"/>
        <w:spacing w:line="357" w:lineRule="auto" w:before="150"/>
        <w:ind w:right="187"/>
      </w:pP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pStyle w:val="ListParagraph"/>
        <w:numPr>
          <w:ilvl w:val="1"/>
          <w:numId w:val="15"/>
        </w:numPr>
        <w:tabs>
          <w:tab w:pos="790" w:val="left" w:leader="none"/>
          <w:tab w:pos="791" w:val="left" w:leader="none"/>
        </w:tabs>
        <w:spacing w:line="240" w:lineRule="auto" w:before="51" w:after="0"/>
        <w:ind w:left="790" w:right="0" w:hanging="679"/>
        <w:jc w:val="left"/>
        <w:rPr>
          <w:sz w:val="18"/>
        </w:rPr>
      </w:pPr>
      <w:r>
        <w:rPr>
          <w:sz w:val="18"/>
        </w:rPr>
        <w:t>严重运动神经元病</w:t>
      </w:r>
    </w:p>
    <w:p>
      <w:pPr>
        <w:pStyle w:val="BodyText"/>
        <w:spacing w:line="357" w:lineRule="auto"/>
        <w:ind w:right="98"/>
      </w:pPr>
      <w:r>
        <w:rPr/>
        <w:t>是一组中枢神经系统运动神经元的进行性变性疾病，包括进行性脊肌萎缩症、进行性延髓麻痹症、原发性侧索硬化症、</w:t>
      </w:r>
      <w:r>
        <w:rPr>
          <w:spacing w:val="-6"/>
        </w:rPr>
        <w:t>肌萎缩性侧索硬化症。须满足自主生活能力完全丧失，无法独立完成六项基本日常生活活动中的三项或三项以上的条件。</w:t>
      </w:r>
    </w:p>
    <w:p>
      <w:pPr>
        <w:pStyle w:val="ListParagraph"/>
        <w:numPr>
          <w:ilvl w:val="1"/>
          <w:numId w:val="15"/>
        </w:numPr>
        <w:tabs>
          <w:tab w:pos="790" w:val="left" w:leader="none"/>
          <w:tab w:pos="791" w:val="left" w:leader="none"/>
        </w:tabs>
        <w:spacing w:line="240" w:lineRule="auto" w:before="74" w:after="0"/>
        <w:ind w:left="790" w:right="0" w:hanging="679"/>
        <w:jc w:val="left"/>
        <w:rPr>
          <w:sz w:val="18"/>
        </w:rPr>
      </w:pPr>
      <w:r>
        <w:rPr>
          <w:sz w:val="18"/>
        </w:rPr>
        <w:t>语言能力丧失</w:t>
      </w:r>
    </w:p>
    <w:p>
      <w:pPr>
        <w:pStyle w:val="BodyText"/>
        <w:spacing w:before="150"/>
        <w:jc w:val="both"/>
      </w:pPr>
      <w:r>
        <w:rPr>
          <w:spacing w:val="-2"/>
        </w:rPr>
        <w:t>指因疾病或意外伤害导致完全丧失语言能力，经过积极治疗至少 </w:t>
      </w:r>
      <w:r>
        <w:rPr>
          <w:rFonts w:ascii="Times New Roman" w:eastAsia="Times New Roman"/>
          <w:spacing w:val="0"/>
        </w:rPr>
        <w:t>1</w:t>
      </w:r>
      <w:r>
        <w:rPr>
          <w:rFonts w:ascii="Times New Roman" w:eastAsia="Times New Roman"/>
        </w:rPr>
        <w:t>2</w:t>
      </w:r>
      <w:r>
        <w:rPr>
          <w:rFonts w:ascii="Times New Roman" w:eastAsia="Times New Roman"/>
          <w:spacing w:val="10"/>
        </w:rPr>
        <w:t> </w:t>
      </w:r>
      <w:r>
        <w:rPr/>
        <w:t>个月（声带完全切除不受此时间限制</w:t>
      </w:r>
      <w:r>
        <w:rPr>
          <w:spacing w:val="-89"/>
        </w:rPr>
        <w:t>）</w:t>
      </w:r>
      <w:r>
        <w:rPr/>
        <w:t>，仍无法通过</w:t>
      </w:r>
    </w:p>
    <w:p>
      <w:pPr>
        <w:spacing w:after="0"/>
        <w:jc w:val="both"/>
        <w:sectPr>
          <w:pgSz w:w="11910" w:h="16850"/>
          <w:pgMar w:header="826" w:footer="733" w:top="1020" w:bottom="920" w:left="880" w:right="660"/>
        </w:sectPr>
      </w:pPr>
    </w:p>
    <w:p>
      <w:pPr>
        <w:pStyle w:val="BodyText"/>
        <w:spacing w:before="112"/>
      </w:pPr>
      <w:r>
        <w:rPr/>
        <w:t>现有医疗手段恢复。</w:t>
      </w:r>
    </w:p>
    <w:p>
      <w:pPr>
        <w:pStyle w:val="BodyText"/>
        <w:spacing w:before="5"/>
        <w:ind w:left="0"/>
        <w:rPr>
          <w:sz w:val="12"/>
        </w:rPr>
      </w:pPr>
    </w:p>
    <w:p>
      <w:pPr>
        <w:pStyle w:val="ListParagraph"/>
        <w:numPr>
          <w:ilvl w:val="1"/>
          <w:numId w:val="15"/>
        </w:numPr>
        <w:tabs>
          <w:tab w:pos="790" w:val="left" w:leader="none"/>
          <w:tab w:pos="791" w:val="left" w:leader="none"/>
        </w:tabs>
        <w:spacing w:line="240" w:lineRule="auto" w:before="0" w:after="0"/>
        <w:ind w:left="790" w:right="0" w:hanging="679"/>
        <w:jc w:val="left"/>
        <w:rPr>
          <w:sz w:val="18"/>
        </w:rPr>
      </w:pPr>
      <w:r>
        <w:rPr>
          <w:sz w:val="18"/>
        </w:rPr>
        <w:t>重型再生障碍性贫血</w:t>
      </w:r>
    </w:p>
    <w:p>
      <w:pPr>
        <w:pStyle w:val="BodyText"/>
        <w:spacing w:before="150"/>
      </w:pPr>
      <w:r>
        <w:rPr/>
        <w:t>指因骨髓造血功能慢性持续性衰竭导致的贫血、中性粒细胞减少及血小板减少，须满足下列全部条件：</w:t>
      </w:r>
    </w:p>
    <w:p>
      <w:pPr>
        <w:pStyle w:val="BodyText"/>
        <w:spacing w:before="5"/>
        <w:ind w:left="0"/>
        <w:rPr>
          <w:sz w:val="12"/>
        </w:rPr>
      </w:pPr>
    </w:p>
    <w:p>
      <w:pPr>
        <w:pStyle w:val="BodyText"/>
        <w:spacing w:before="0"/>
      </w:pPr>
      <w:r>
        <w:rPr/>
        <w:t>（</w:t>
      </w:r>
      <w:r>
        <w:rPr>
          <w:rFonts w:ascii="Times New Roman" w:eastAsia="Times New Roman"/>
        </w:rPr>
        <w:t>1</w:t>
      </w:r>
      <w:r>
        <w:rPr/>
        <w:t>）骨髓穿刺检查或骨髓活检结果支持诊断；</w:t>
      </w:r>
    </w:p>
    <w:p>
      <w:pPr>
        <w:pStyle w:val="BodyText"/>
        <w:spacing w:before="148"/>
      </w:pPr>
      <w:r>
        <w:rPr/>
        <w:t>（</w:t>
      </w:r>
      <w:r>
        <w:rPr>
          <w:rFonts w:ascii="Times New Roman" w:eastAsia="Times New Roman"/>
        </w:rPr>
        <w:t>2</w:t>
      </w:r>
      <w:r>
        <w:rPr/>
        <w:t>）外周血象须具备以下三项条件：</w:t>
      </w:r>
    </w:p>
    <w:p>
      <w:pPr>
        <w:pStyle w:val="BodyText"/>
        <w:spacing w:before="148"/>
        <w:ind w:left="1210"/>
      </w:pPr>
      <w:r>
        <w:rPr/>
        <w:t>① 中性粒细胞绝对值≤</w:t>
      </w:r>
      <w:r>
        <w:rPr>
          <w:rFonts w:ascii="Times New Roman" w:hAnsi="Times New Roman" w:eastAsia="Times New Roman"/>
        </w:rPr>
        <w:t>0.5</w:t>
      </w:r>
      <w:r>
        <w:rPr/>
        <w:t>×</w:t>
      </w:r>
      <w:r>
        <w:rPr>
          <w:rFonts w:ascii="Times New Roman" w:hAnsi="Times New Roman" w:eastAsia="Times New Roman"/>
        </w:rPr>
        <w:t>109/L </w:t>
      </w:r>
      <w:r>
        <w:rPr/>
        <w:t>；</w:t>
      </w:r>
    </w:p>
    <w:p>
      <w:pPr>
        <w:pStyle w:val="BodyText"/>
        <w:spacing w:before="148"/>
        <w:ind w:left="1210"/>
      </w:pPr>
      <w:r>
        <w:rPr/>
        <w:t>② 网织红细胞＜</w:t>
      </w:r>
      <w:r>
        <w:rPr>
          <w:rFonts w:ascii="Times New Roman" w:hAnsi="Times New Roman" w:eastAsia="Times New Roman"/>
        </w:rPr>
        <w:t>1%</w:t>
      </w:r>
      <w:r>
        <w:rPr/>
        <w:t>；</w:t>
      </w:r>
    </w:p>
    <w:p>
      <w:pPr>
        <w:pStyle w:val="BodyText"/>
        <w:spacing w:before="148"/>
        <w:ind w:left="1195" w:right="6654"/>
        <w:jc w:val="center"/>
      </w:pPr>
      <w:r>
        <w:rPr/>
        <w:t>③ 血小板绝对值≤</w:t>
      </w:r>
      <w:r>
        <w:rPr>
          <w:rFonts w:ascii="Times New Roman" w:hAnsi="Times New Roman" w:eastAsia="Times New Roman"/>
        </w:rPr>
        <w:t>20</w:t>
      </w:r>
      <w:r>
        <w:rPr/>
        <w:t>×</w:t>
      </w:r>
      <w:r>
        <w:rPr>
          <w:rFonts w:ascii="Times New Roman" w:hAnsi="Times New Roman" w:eastAsia="Times New Roman"/>
        </w:rPr>
        <w:t>109/L</w:t>
      </w:r>
      <w:r>
        <w:rPr/>
        <w:t>。</w:t>
      </w:r>
    </w:p>
    <w:p>
      <w:pPr>
        <w:pStyle w:val="ListParagraph"/>
        <w:numPr>
          <w:ilvl w:val="1"/>
          <w:numId w:val="15"/>
        </w:numPr>
        <w:tabs>
          <w:tab w:pos="790" w:val="left" w:leader="none"/>
          <w:tab w:pos="791" w:val="left" w:leader="none"/>
        </w:tabs>
        <w:spacing w:line="240" w:lineRule="auto" w:before="148" w:after="0"/>
        <w:ind w:left="790" w:right="0" w:hanging="679"/>
        <w:jc w:val="left"/>
        <w:rPr>
          <w:sz w:val="18"/>
        </w:rPr>
      </w:pPr>
      <w:r>
        <w:rPr>
          <w:sz w:val="18"/>
        </w:rPr>
        <w:t>主动脉手术</w:t>
      </w:r>
    </w:p>
    <w:p>
      <w:pPr>
        <w:spacing w:line="357" w:lineRule="auto" w:before="149"/>
        <w:ind w:left="790" w:right="208" w:firstLine="0"/>
        <w:jc w:val="left"/>
        <w:rPr>
          <w:b/>
          <w:sz w:val="18"/>
        </w:rPr>
      </w:pPr>
      <w:r>
        <w:rPr>
          <w:sz w:val="18"/>
        </w:rPr>
        <w:t>指为治疗主动脉疾病，实际实施了开胸或开腹进行的切除，置换，修补病损主动脉血管的手术。</w:t>
      </w:r>
      <w:r>
        <w:rPr>
          <w:b/>
          <w:sz w:val="18"/>
        </w:rPr>
        <w:t>主动脉指胸主动脉和腹主动脉，不包括胸主动脉和腹主动脉的分支血管。动脉内血管成形术不在保障范围内。</w:t>
      </w:r>
    </w:p>
    <w:p>
      <w:pPr>
        <w:pStyle w:val="ListParagraph"/>
        <w:numPr>
          <w:ilvl w:val="1"/>
          <w:numId w:val="15"/>
        </w:numPr>
        <w:tabs>
          <w:tab w:pos="790" w:val="left" w:leader="none"/>
          <w:tab w:pos="791" w:val="left" w:leader="none"/>
        </w:tabs>
        <w:spacing w:line="240" w:lineRule="auto" w:before="75" w:after="0"/>
        <w:ind w:left="790" w:right="0" w:hanging="679"/>
        <w:jc w:val="left"/>
        <w:rPr>
          <w:sz w:val="18"/>
        </w:rPr>
      </w:pPr>
      <w:r>
        <w:rPr>
          <w:sz w:val="18"/>
        </w:rPr>
        <w:t>脊髓灰质炎（小儿麻痹症）</w:t>
      </w:r>
    </w:p>
    <w:p>
      <w:pPr>
        <w:spacing w:line="343" w:lineRule="auto" w:before="150"/>
        <w:ind w:left="790" w:right="133" w:firstLine="0"/>
        <w:jc w:val="left"/>
        <w:rPr>
          <w:b/>
          <w:sz w:val="18"/>
        </w:rPr>
      </w:pPr>
      <w:r>
        <w:rPr>
          <w:sz w:val="18"/>
        </w:rPr>
        <w:t>是指由于脊髓灰质炎病毒感染致脊髓运动神经元损害所导致的瘫痪性疾病，至少导致两个或以上的肢体瘫痪程度达到肌</w:t>
      </w:r>
      <w:r>
        <w:rPr>
          <w:spacing w:val="-16"/>
          <w:sz w:val="18"/>
        </w:rPr>
        <w:t>力在 </w:t>
      </w:r>
      <w:r>
        <w:rPr>
          <w:rFonts w:ascii="Times New Roman" w:eastAsia="Times New Roman"/>
          <w:sz w:val="18"/>
        </w:rPr>
        <w:t>0-III </w:t>
      </w:r>
      <w:r>
        <w:rPr>
          <w:spacing w:val="-12"/>
          <w:sz w:val="18"/>
        </w:rPr>
        <w:t>级，经 </w:t>
      </w:r>
      <w:r>
        <w:rPr>
          <w:rFonts w:ascii="Times New Roman" w:eastAsia="Times New Roman"/>
          <w:sz w:val="18"/>
        </w:rPr>
        <w:t>180 </w:t>
      </w:r>
      <w:r>
        <w:rPr>
          <w:spacing w:val="-3"/>
          <w:sz w:val="18"/>
        </w:rPr>
        <w:t>天治疗后肢体肌力仍然不能恢复到 </w:t>
      </w:r>
      <w:r>
        <w:rPr>
          <w:rFonts w:ascii="Times New Roman" w:eastAsia="Times New Roman"/>
          <w:sz w:val="18"/>
        </w:rPr>
        <w:t>IV </w:t>
      </w:r>
      <w:r>
        <w:rPr>
          <w:spacing w:val="-23"/>
          <w:sz w:val="18"/>
        </w:rPr>
        <w:t>或 </w:t>
      </w:r>
      <w:r>
        <w:rPr>
          <w:rFonts w:ascii="Times New Roman" w:eastAsia="Times New Roman"/>
          <w:sz w:val="18"/>
        </w:rPr>
        <w:t>V </w:t>
      </w:r>
      <w:r>
        <w:rPr>
          <w:sz w:val="18"/>
        </w:rPr>
        <w:t>级。诊断需提供脊髓灰质炎病毒检查的证据（如粪便或脑脊液检查，血液中的抗体检查</w:t>
      </w:r>
      <w:r>
        <w:rPr>
          <w:spacing w:val="-89"/>
          <w:sz w:val="18"/>
        </w:rPr>
        <w:t>）</w:t>
      </w:r>
      <w:r>
        <w:rPr>
          <w:sz w:val="18"/>
        </w:rPr>
        <w:t>。肢体的定义为整个上肢或是整个下肢。</w:t>
      </w:r>
      <w:r>
        <w:rPr>
          <w:b/>
          <w:sz w:val="18"/>
        </w:rPr>
        <w:t>未导致肢体瘫痪（</w:t>
      </w:r>
      <w:r>
        <w:rPr>
          <w:b/>
          <w:spacing w:val="-6"/>
          <w:sz w:val="18"/>
        </w:rPr>
        <w:t>肢体肌力达到 </w:t>
      </w:r>
      <w:r>
        <w:rPr>
          <w:rFonts w:ascii="Times New Roman" w:eastAsia="Times New Roman"/>
          <w:b/>
          <w:sz w:val="18"/>
        </w:rPr>
        <w:t>IV </w:t>
      </w:r>
      <w:r>
        <w:rPr>
          <w:b/>
          <w:spacing w:val="-20"/>
          <w:sz w:val="18"/>
        </w:rPr>
        <w:t>或 </w:t>
      </w:r>
      <w:r>
        <w:rPr>
          <w:rFonts w:ascii="Times New Roman" w:eastAsia="Times New Roman"/>
          <w:b/>
          <w:sz w:val="18"/>
        </w:rPr>
        <w:t>V </w:t>
      </w:r>
      <w:r>
        <w:rPr>
          <w:b/>
          <w:sz w:val="18"/>
        </w:rPr>
        <w:t>级） 者及其他原因导致的瘫痪不在保障范围内。</w:t>
      </w:r>
    </w:p>
    <w:p>
      <w:pPr>
        <w:pStyle w:val="ListParagraph"/>
        <w:numPr>
          <w:ilvl w:val="1"/>
          <w:numId w:val="15"/>
        </w:numPr>
        <w:tabs>
          <w:tab w:pos="790" w:val="left" w:leader="none"/>
          <w:tab w:pos="791" w:val="left" w:leader="none"/>
        </w:tabs>
        <w:spacing w:line="240" w:lineRule="auto" w:before="85" w:after="0"/>
        <w:ind w:left="790" w:right="0" w:hanging="679"/>
        <w:jc w:val="left"/>
        <w:rPr>
          <w:sz w:val="18"/>
        </w:rPr>
      </w:pPr>
      <w:r>
        <w:rPr>
          <w:sz w:val="18"/>
        </w:rPr>
        <w:t>Ⅰ型糖尿病</w:t>
      </w:r>
    </w:p>
    <w:p>
      <w:pPr>
        <w:spacing w:line="338" w:lineRule="auto" w:before="149"/>
        <w:ind w:left="790" w:right="208" w:firstLine="0"/>
        <w:jc w:val="left"/>
        <w:rPr>
          <w:b/>
          <w:sz w:val="18"/>
        </w:rPr>
      </w:pPr>
      <w:r>
        <w:rPr>
          <w:spacing w:val="-16"/>
          <w:sz w:val="18"/>
        </w:rPr>
        <w:t>是指 </w:t>
      </w:r>
      <w:r>
        <w:rPr>
          <w:rFonts w:ascii="Times New Roman" w:eastAsia="Times New Roman"/>
          <w:sz w:val="18"/>
        </w:rPr>
        <w:t>18 </w:t>
      </w:r>
      <w:r>
        <w:rPr>
          <w:spacing w:val="-7"/>
          <w:sz w:val="18"/>
        </w:rPr>
        <w:t>岁以前，由于胰岛素分泌不足引起的慢性糖、脂肪、蛋白质代谢异常，须由本公司认可的内分泌专科医生作出诊</w:t>
      </w:r>
      <w:r>
        <w:rPr>
          <w:spacing w:val="-10"/>
          <w:sz w:val="18"/>
        </w:rPr>
        <w:t>断，并需持续性地依赖外源性胰岛素治疗６个月以上。</w:t>
      </w:r>
      <w:r>
        <w:rPr>
          <w:b/>
          <w:spacing w:val="-2"/>
          <w:sz w:val="18"/>
        </w:rPr>
        <w:t>能以胰岛素注射治疗以外的其它方法治疗的糖尿病及 </w:t>
      </w:r>
      <w:r>
        <w:rPr>
          <w:rFonts w:ascii="Times New Roman" w:eastAsia="Times New Roman"/>
          <w:b/>
          <w:sz w:val="18"/>
        </w:rPr>
        <w:t>II </w:t>
      </w:r>
      <w:r>
        <w:rPr>
          <w:b/>
          <w:sz w:val="18"/>
        </w:rPr>
        <w:t>型糖尿病</w:t>
      </w:r>
    </w:p>
    <w:p>
      <w:pPr>
        <w:pStyle w:val="Heading3"/>
        <w:spacing w:before="19"/>
        <w:ind w:firstLine="0"/>
      </w:pPr>
      <w:r>
        <w:rPr/>
        <w:t>（</w:t>
      </w:r>
      <w:r>
        <w:rPr>
          <w:rFonts w:ascii="Times New Roman" w:eastAsia="Times New Roman"/>
        </w:rPr>
        <w:t>NIDDM</w:t>
      </w:r>
      <w:r>
        <w:rPr/>
        <w:t>）或继发性糖尿病不在本保障范围之内。</w:t>
      </w:r>
    </w:p>
    <w:p>
      <w:pPr>
        <w:pStyle w:val="ListParagraph"/>
        <w:numPr>
          <w:ilvl w:val="1"/>
          <w:numId w:val="15"/>
        </w:numPr>
        <w:tabs>
          <w:tab w:pos="790" w:val="left" w:leader="none"/>
          <w:tab w:pos="791" w:val="left" w:leader="none"/>
        </w:tabs>
        <w:spacing w:line="240" w:lineRule="auto" w:before="149" w:after="0"/>
        <w:ind w:left="790" w:right="0" w:hanging="679"/>
        <w:jc w:val="left"/>
        <w:rPr>
          <w:sz w:val="18"/>
        </w:rPr>
      </w:pPr>
      <w:r>
        <w:rPr>
          <w:spacing w:val="-1"/>
          <w:sz w:val="18"/>
        </w:rPr>
        <w:t>川崎病伴心脏损害</w:t>
      </w:r>
    </w:p>
    <w:p>
      <w:pPr>
        <w:pStyle w:val="BodyText"/>
        <w:spacing w:line="357" w:lineRule="auto"/>
        <w:ind w:right="207"/>
        <w:jc w:val="both"/>
        <w:rPr>
          <w:b/>
        </w:rPr>
      </w:pPr>
      <w:r>
        <w:rPr/>
        <w:t>是指一种以损伤冠状动脉血管为主，可同时合并其他大血管损害的系统性血管炎。本病必须由本公司认可的儿科专科医生确诊，且保障仅限于伴有冠状动脉瘤的川崎病。作为心脏受累的证据，被保险人必须因严重心脏并发症确已接受开胸</w:t>
      </w:r>
      <w:r>
        <w:rPr>
          <w:spacing w:val="-4"/>
        </w:rPr>
        <w:t>手术以矫正冠状动脉狭窄或阻塞；或确已接受心脏瓣膜置换手术</w:t>
      </w:r>
      <w:r>
        <w:rPr/>
        <w:t>（瓣膜包括生物瓣膜和机械瓣膜</w:t>
      </w:r>
      <w:r>
        <w:rPr>
          <w:spacing w:val="-59"/>
        </w:rPr>
        <w:t>），</w:t>
      </w:r>
      <w:r>
        <w:rPr>
          <w:b/>
        </w:rPr>
        <w:t>但瓣膜或其他修复手术除外。</w:t>
      </w:r>
    </w:p>
    <w:p>
      <w:pPr>
        <w:pStyle w:val="ListParagraph"/>
        <w:numPr>
          <w:ilvl w:val="1"/>
          <w:numId w:val="15"/>
        </w:numPr>
        <w:tabs>
          <w:tab w:pos="790" w:val="left" w:leader="none"/>
          <w:tab w:pos="791" w:val="left" w:leader="none"/>
        </w:tabs>
        <w:spacing w:line="240" w:lineRule="auto" w:before="74" w:after="0"/>
        <w:ind w:left="790" w:right="0" w:hanging="679"/>
        <w:jc w:val="left"/>
        <w:rPr>
          <w:sz w:val="18"/>
        </w:rPr>
      </w:pPr>
      <w:r>
        <w:rPr>
          <w:sz w:val="18"/>
        </w:rPr>
        <w:t>全身型幼年类风湿性关节炎</w:t>
      </w:r>
    </w:p>
    <w:p>
      <w:pPr>
        <w:pStyle w:val="BodyText"/>
        <w:spacing w:line="357" w:lineRule="auto"/>
        <w:ind w:right="117"/>
      </w:pPr>
      <w:r>
        <w:rPr/>
        <w:t>是指小儿及青少年时期的一种全身结缔组织病。可表现为驰张热、皮疹、关节炎、脾肿大、淋巴结肿大、浆膜炎、体重</w:t>
      </w:r>
      <w:r>
        <w:rPr>
          <w:spacing w:val="-8"/>
        </w:rPr>
        <w:t>减轻、中性粒细胞增多等，全身症状可以先于关节炎出现。本病须经本公司认可的儿科类风湿病专家出具医学诊断证明， </w:t>
      </w:r>
      <w:r>
        <w:rPr>
          <w:spacing w:val="-12"/>
        </w:rPr>
        <w:t>保障仅限于症状持续 </w:t>
      </w:r>
      <w:r>
        <w:rPr>
          <w:rFonts w:ascii="Times New Roman" w:eastAsia="Times New Roman"/>
        </w:rPr>
        <w:t>6 </w:t>
      </w:r>
      <w:r>
        <w:rPr/>
        <w:t>个月以上，并因病情严重在医生的建议下已接受以治疗为目的的膝或髋关节的置换手术。</w:t>
      </w:r>
    </w:p>
    <w:p>
      <w:pPr>
        <w:pStyle w:val="Heading3"/>
        <w:spacing w:before="51"/>
        <w:ind w:firstLine="0"/>
      </w:pPr>
      <w:r>
        <w:rPr/>
        <w:t>其他类型的儿童类风湿性关节炎除外。</w:t>
      </w:r>
    </w:p>
    <w:p>
      <w:pPr>
        <w:pStyle w:val="BodyText"/>
        <w:spacing w:before="6"/>
        <w:ind w:left="0"/>
        <w:rPr>
          <w:b/>
          <w:sz w:val="12"/>
        </w:rPr>
      </w:pPr>
    </w:p>
    <w:p>
      <w:pPr>
        <w:pStyle w:val="ListParagraph"/>
        <w:numPr>
          <w:ilvl w:val="1"/>
          <w:numId w:val="15"/>
        </w:numPr>
        <w:tabs>
          <w:tab w:pos="790" w:val="left" w:leader="none"/>
          <w:tab w:pos="791" w:val="left" w:leader="none"/>
        </w:tabs>
        <w:spacing w:line="240" w:lineRule="auto" w:before="0" w:after="0"/>
        <w:ind w:left="790" w:right="0" w:hanging="679"/>
        <w:jc w:val="left"/>
        <w:rPr>
          <w:sz w:val="18"/>
        </w:rPr>
      </w:pPr>
      <w:r>
        <w:rPr>
          <w:sz w:val="18"/>
        </w:rPr>
        <w:t>严重哮喘</w:t>
      </w:r>
    </w:p>
    <w:p>
      <w:pPr>
        <w:pStyle w:val="BodyText"/>
      </w:pPr>
      <w:r>
        <w:rPr/>
        <w:t>是指一种可逆性，反复发作的支气管阻塞性疾病。须满足下列至少三项条件：</w:t>
      </w:r>
    </w:p>
    <w:p>
      <w:pPr>
        <w:pStyle w:val="BodyText"/>
        <w:spacing w:before="5"/>
        <w:ind w:left="0"/>
        <w:rPr>
          <w:sz w:val="12"/>
        </w:rPr>
      </w:pPr>
    </w:p>
    <w:p>
      <w:pPr>
        <w:pStyle w:val="BodyText"/>
        <w:spacing w:before="0"/>
      </w:pPr>
      <w:r>
        <w:rPr/>
        <w:t>（</w:t>
      </w:r>
      <w:r>
        <w:rPr>
          <w:rFonts w:ascii="Times New Roman" w:eastAsia="Times New Roman"/>
        </w:rPr>
        <w:t>1</w:t>
      </w:r>
      <w:r>
        <w:rPr/>
        <w:t>）过去 </w:t>
      </w:r>
      <w:r>
        <w:rPr>
          <w:rFonts w:ascii="Times New Roman" w:eastAsia="Times New Roman"/>
        </w:rPr>
        <w:t>2 </w:t>
      </w:r>
      <w:r>
        <w:rPr/>
        <w:t>年中有哮喘持续状态病史</w:t>
      </w:r>
    </w:p>
    <w:p>
      <w:pPr>
        <w:pStyle w:val="BodyText"/>
      </w:pPr>
      <w:r>
        <w:rPr/>
        <w:t>（</w:t>
      </w:r>
      <w:r>
        <w:rPr>
          <w:rFonts w:ascii="Times New Roman" w:eastAsia="Times New Roman"/>
        </w:rPr>
        <w:t>2</w:t>
      </w:r>
      <w:r>
        <w:rPr/>
        <w:t>）身体活动耐受能力显著且持续下降</w:t>
      </w:r>
    </w:p>
    <w:p>
      <w:pPr>
        <w:pStyle w:val="BodyText"/>
      </w:pPr>
      <w:r>
        <w:rPr/>
        <w:t>（</w:t>
      </w:r>
      <w:r>
        <w:rPr>
          <w:rFonts w:ascii="Times New Roman" w:eastAsia="Times New Roman"/>
        </w:rPr>
        <w:t>3</w:t>
      </w:r>
      <w:r>
        <w:rPr/>
        <w:t>）肺部慢性过度膨胀充气导致的胸廓畸形</w:t>
      </w:r>
    </w:p>
    <w:p>
      <w:pPr>
        <w:pStyle w:val="BodyText"/>
      </w:pPr>
      <w:r>
        <w:rPr/>
        <w:t>（</w:t>
      </w:r>
      <w:r>
        <w:rPr>
          <w:rFonts w:ascii="Times New Roman" w:eastAsia="Times New Roman"/>
        </w:rPr>
        <w:t>4</w:t>
      </w:r>
      <w:r>
        <w:rPr/>
        <w:t>）在家中需要医生处方的氧气治疗法</w:t>
      </w:r>
    </w:p>
    <w:p>
      <w:pPr>
        <w:pStyle w:val="BodyText"/>
      </w:pPr>
      <w:r>
        <w:rPr/>
        <w:t>（</w:t>
      </w:r>
      <w:r>
        <w:rPr>
          <w:rFonts w:ascii="Times New Roman" w:eastAsia="Times New Roman"/>
        </w:rPr>
        <w:t>5</w:t>
      </w:r>
      <w:r>
        <w:rPr/>
        <w:t>）持续日常服用口服可的松类固醇激素（至少持续服用 </w:t>
      </w:r>
      <w:r>
        <w:rPr>
          <w:rFonts w:ascii="Times New Roman" w:eastAsia="Times New Roman"/>
        </w:rPr>
        <w:t>6 </w:t>
      </w:r>
      <w:r>
        <w:rPr/>
        <w:t>个月以上）</w:t>
      </w:r>
    </w:p>
    <w:p>
      <w:pPr>
        <w:pStyle w:val="ListParagraph"/>
        <w:numPr>
          <w:ilvl w:val="1"/>
          <w:numId w:val="15"/>
        </w:numPr>
        <w:tabs>
          <w:tab w:pos="790" w:val="left" w:leader="none"/>
          <w:tab w:pos="791" w:val="left" w:leader="none"/>
        </w:tabs>
        <w:spacing w:line="240" w:lineRule="auto" w:before="149" w:after="0"/>
        <w:ind w:left="790" w:right="0" w:hanging="679"/>
        <w:jc w:val="left"/>
        <w:rPr>
          <w:sz w:val="18"/>
        </w:rPr>
      </w:pPr>
      <w:r>
        <w:rPr>
          <w:sz w:val="18"/>
        </w:rPr>
        <w:t>重症手足口病</w:t>
      </w:r>
    </w:p>
    <w:p>
      <w:pPr>
        <w:spacing w:after="0" w:line="240" w:lineRule="auto"/>
        <w:jc w:val="left"/>
        <w:rPr>
          <w:sz w:val="18"/>
        </w:rPr>
        <w:sectPr>
          <w:pgSz w:w="11910" w:h="16850"/>
          <w:pgMar w:header="826" w:footer="733" w:top="1020" w:bottom="920" w:left="880" w:right="640"/>
        </w:sectPr>
      </w:pPr>
    </w:p>
    <w:p>
      <w:pPr>
        <w:pStyle w:val="BodyText"/>
        <w:spacing w:before="112"/>
        <w:jc w:val="both"/>
      </w:pPr>
      <w:r>
        <w:rPr/>
        <w:t>经我们认可的医疗机构的儿科专科医生确诊为患有手足口病，并伴有下列三项中任意一项并发症：</w:t>
      </w:r>
    </w:p>
    <w:p>
      <w:pPr>
        <w:pStyle w:val="BodyText"/>
        <w:spacing w:before="5"/>
        <w:ind w:left="0"/>
        <w:rPr>
          <w:sz w:val="12"/>
        </w:rPr>
      </w:pPr>
    </w:p>
    <w:p>
      <w:pPr>
        <w:pStyle w:val="BodyText"/>
        <w:spacing w:before="0"/>
        <w:jc w:val="both"/>
      </w:pPr>
      <w:r>
        <w:rPr/>
        <w:t>（</w:t>
      </w:r>
      <w:r>
        <w:rPr>
          <w:rFonts w:ascii="Times New Roman" w:eastAsia="Times New Roman"/>
        </w:rPr>
        <w:t>1</w:t>
      </w:r>
      <w:r>
        <w:rPr/>
        <w:t>）有脑膜炎或脑炎并发症，且导致意识障碍或瘫痪的临床表现及实验室检查证据；</w:t>
      </w:r>
    </w:p>
    <w:p>
      <w:pPr>
        <w:pStyle w:val="BodyText"/>
        <w:jc w:val="both"/>
      </w:pPr>
      <w:r>
        <w:rPr/>
        <w:t>（</w:t>
      </w:r>
      <w:r>
        <w:rPr>
          <w:rFonts w:ascii="Times New Roman" w:eastAsia="Times New Roman"/>
        </w:rPr>
        <w:t>2</w:t>
      </w:r>
      <w:r>
        <w:rPr/>
        <w:t>）有肺炎或肺水肿并发症，且导致呼吸衰竭的临床表现及实验室检查证据；</w:t>
      </w:r>
    </w:p>
    <w:p>
      <w:pPr>
        <w:pStyle w:val="BodyText"/>
        <w:spacing w:before="148"/>
        <w:jc w:val="both"/>
      </w:pPr>
      <w:r>
        <w:rPr/>
        <w:t>（</w:t>
      </w:r>
      <w:r>
        <w:rPr>
          <w:rFonts w:ascii="Times New Roman" w:eastAsia="Times New Roman"/>
        </w:rPr>
        <w:t>3</w:t>
      </w:r>
      <w:r>
        <w:rPr/>
        <w:t>）有心肌炎并发症，且导致心脏扩大或心力衰竭的临床表现及实验室检查证据。</w:t>
      </w:r>
    </w:p>
    <w:p>
      <w:pPr>
        <w:pStyle w:val="ListParagraph"/>
        <w:numPr>
          <w:ilvl w:val="1"/>
          <w:numId w:val="15"/>
        </w:numPr>
        <w:tabs>
          <w:tab w:pos="790" w:val="left" w:leader="none"/>
          <w:tab w:pos="791" w:val="left" w:leader="none"/>
        </w:tabs>
        <w:spacing w:line="240" w:lineRule="auto" w:before="148" w:after="0"/>
        <w:ind w:left="790" w:right="0" w:hanging="679"/>
        <w:jc w:val="left"/>
        <w:rPr>
          <w:sz w:val="18"/>
        </w:rPr>
      </w:pPr>
      <w:r>
        <w:rPr>
          <w:sz w:val="18"/>
        </w:rPr>
        <w:t>严重心肌炎</w:t>
      </w:r>
    </w:p>
    <w:p>
      <w:pPr>
        <w:pStyle w:val="BodyText"/>
        <w:jc w:val="both"/>
      </w:pPr>
      <w:r>
        <w:rPr/>
        <w:t>是指被保险人因严重心肌炎性病变导致心功能损害造成持续的永久不可逆性的心功能衰竭。必须满足所有以下条件：</w:t>
      </w:r>
    </w:p>
    <w:p>
      <w:pPr>
        <w:pStyle w:val="BodyText"/>
        <w:spacing w:before="5"/>
        <w:ind w:left="0"/>
        <w:rPr>
          <w:sz w:val="12"/>
        </w:rPr>
      </w:pPr>
    </w:p>
    <w:p>
      <w:pPr>
        <w:pStyle w:val="BodyText"/>
        <w:spacing w:line="338" w:lineRule="auto" w:before="0"/>
        <w:ind w:right="116"/>
      </w:pPr>
      <w:r>
        <w:rPr/>
        <w:t>（</w:t>
      </w:r>
      <w:r>
        <w:rPr>
          <w:rFonts w:ascii="Times New Roman" w:eastAsia="Times New Roman"/>
          <w:spacing w:val="0"/>
        </w:rPr>
        <w:t>1</w:t>
      </w:r>
      <w:r>
        <w:rPr>
          <w:spacing w:val="-92"/>
        </w:rPr>
        <w:t>）</w:t>
      </w:r>
      <w:r>
        <w:rPr>
          <w:spacing w:val="-2"/>
        </w:rPr>
        <w:t>心功能衰竭程度达到纽约心脏病学会的心功能分级标准之心功能 </w:t>
      </w:r>
      <w:r>
        <w:rPr>
          <w:rFonts w:ascii="Times New Roman" w:eastAsia="Times New Roman"/>
          <w:w w:val="99"/>
        </w:rPr>
        <w:t>IV</w:t>
      </w:r>
      <w:r>
        <w:rPr>
          <w:rFonts w:ascii="Times New Roman" w:eastAsia="Times New Roman"/>
        </w:rPr>
        <w:t> </w:t>
      </w:r>
      <w:r>
        <w:rPr>
          <w:spacing w:val="-12"/>
        </w:rPr>
        <w:t>级，或左室腔扩大至少达到正常值上限的 </w:t>
      </w:r>
      <w:r>
        <w:rPr>
          <w:rFonts w:ascii="Times New Roman" w:eastAsia="Times New Roman"/>
          <w:spacing w:val="0"/>
        </w:rPr>
        <w:t>120</w:t>
      </w:r>
      <w:r>
        <w:rPr>
          <w:rFonts w:ascii="Times New Roman" w:eastAsia="Times New Roman"/>
          <w:spacing w:val="-2"/>
        </w:rPr>
        <w:t>%</w:t>
      </w:r>
      <w:r>
        <w:rPr/>
        <w:t>，</w:t>
      </w:r>
      <w:r>
        <w:rPr>
          <w:spacing w:val="-5"/>
        </w:rPr>
        <w:t>且左室射血分数低于 </w:t>
      </w:r>
      <w:r>
        <w:rPr>
          <w:rFonts w:ascii="Times New Roman" w:eastAsia="Times New Roman"/>
        </w:rPr>
        <w:t>30%</w:t>
      </w:r>
      <w:r>
        <w:rPr/>
        <w:t>；</w:t>
      </w:r>
    </w:p>
    <w:p>
      <w:pPr>
        <w:pStyle w:val="BodyText"/>
        <w:spacing w:before="67"/>
      </w:pPr>
      <w:r>
        <w:rPr/>
        <w:t>（</w:t>
      </w:r>
      <w:r>
        <w:rPr>
          <w:rFonts w:ascii="Times New Roman" w:eastAsia="Times New Roman"/>
        </w:rPr>
        <w:t>2</w:t>
      </w:r>
      <w:r>
        <w:rPr/>
        <w:t>）持续不间断 </w:t>
      </w:r>
      <w:r>
        <w:rPr>
          <w:rFonts w:ascii="Times New Roman" w:eastAsia="Times New Roman"/>
        </w:rPr>
        <w:t>180 </w:t>
      </w:r>
      <w:r>
        <w:rPr/>
        <w:t>天以上；</w:t>
      </w:r>
    </w:p>
    <w:p>
      <w:pPr>
        <w:pStyle w:val="BodyText"/>
      </w:pPr>
      <w:r>
        <w:rPr/>
        <w:t>（</w:t>
      </w:r>
      <w:r>
        <w:rPr>
          <w:rFonts w:ascii="Times New Roman" w:eastAsia="Times New Roman"/>
        </w:rPr>
        <w:t>3</w:t>
      </w:r>
      <w:r>
        <w:rPr/>
        <w:t>）被保险人永久不可逆性的体力活动能力受限，不能从事任何体力活动。</w:t>
      </w:r>
    </w:p>
    <w:p>
      <w:pPr>
        <w:pStyle w:val="ListParagraph"/>
        <w:numPr>
          <w:ilvl w:val="1"/>
          <w:numId w:val="15"/>
        </w:numPr>
        <w:tabs>
          <w:tab w:pos="790" w:val="left" w:leader="none"/>
          <w:tab w:pos="791" w:val="left" w:leader="none"/>
        </w:tabs>
        <w:spacing w:line="240" w:lineRule="auto" w:before="149" w:after="0"/>
        <w:ind w:left="790" w:right="0" w:hanging="679"/>
        <w:jc w:val="left"/>
        <w:rPr>
          <w:sz w:val="18"/>
        </w:rPr>
      </w:pPr>
      <w:r>
        <w:rPr>
          <w:sz w:val="18"/>
        </w:rPr>
        <w:t>植物人状态</w:t>
      </w:r>
    </w:p>
    <w:p>
      <w:pPr>
        <w:spacing w:line="357" w:lineRule="auto" w:before="150"/>
        <w:ind w:left="790" w:right="207" w:firstLine="0"/>
        <w:jc w:val="both"/>
        <w:rPr>
          <w:b/>
          <w:sz w:val="18"/>
        </w:rPr>
      </w:pPr>
      <w:r>
        <w:rPr>
          <w:sz w:val="18"/>
        </w:rPr>
        <w:t>一种丧失生理、意识和交流功能后的临床依赖状态。可以是由脑外伤、缺氧持续状态、严重的脑炎或者某种神经毒素造成。患者无法从事主动或者有目的的活动，而只能对疼痛刺激产生反应。被保险人需要在医院使用辅助机器维持生命。</w:t>
      </w:r>
      <w:r>
        <w:rPr>
          <w:b/>
          <w:sz w:val="18"/>
        </w:rPr>
        <w:t>只有在因植物人状态住院六个月以后并且必须有神经科专科医生的医学诊断证明的情况下才能得到理赔。</w:t>
      </w:r>
    </w:p>
    <w:p>
      <w:pPr>
        <w:pStyle w:val="ListParagraph"/>
        <w:numPr>
          <w:ilvl w:val="1"/>
          <w:numId w:val="15"/>
        </w:numPr>
        <w:tabs>
          <w:tab w:pos="790" w:val="left" w:leader="none"/>
          <w:tab w:pos="791" w:val="left" w:leader="none"/>
        </w:tabs>
        <w:spacing w:line="240" w:lineRule="auto" w:before="74" w:after="0"/>
        <w:ind w:left="790" w:right="0" w:hanging="679"/>
        <w:jc w:val="left"/>
        <w:rPr>
          <w:sz w:val="18"/>
        </w:rPr>
      </w:pPr>
      <w:r>
        <w:rPr>
          <w:sz w:val="18"/>
        </w:rPr>
        <w:t>婴儿进行性脊肌萎缩症</w:t>
      </w:r>
    </w:p>
    <w:p>
      <w:pPr>
        <w:pStyle w:val="BodyText"/>
        <w:spacing w:before="150"/>
      </w:pPr>
      <w:r>
        <w:rPr/>
        <w:t>该病是累及脊髓前角细胞及延髓运动核的神经元退行性变性病，通常在六个月内发病。</w:t>
      </w:r>
    </w:p>
    <w:p>
      <w:pPr>
        <w:pStyle w:val="BodyText"/>
        <w:spacing w:before="5"/>
        <w:ind w:left="0"/>
        <w:rPr>
          <w:sz w:val="12"/>
        </w:rPr>
      </w:pPr>
    </w:p>
    <w:p>
      <w:pPr>
        <w:spacing w:line="338" w:lineRule="auto" w:before="1"/>
        <w:ind w:left="790" w:right="208" w:firstLine="0"/>
        <w:jc w:val="left"/>
        <w:rPr>
          <w:b/>
          <w:sz w:val="18"/>
        </w:rPr>
      </w:pPr>
      <w:r>
        <w:rPr>
          <w:sz w:val="18"/>
        </w:rPr>
        <w:t>理赔时必须提供肌肉活检的病理报告或肌电图报告。</w:t>
      </w:r>
      <w:r>
        <w:rPr>
          <w:b/>
          <w:sz w:val="18"/>
        </w:rPr>
        <w:t>其它类型的脊肌萎缩症如 </w:t>
      </w:r>
      <w:r>
        <w:rPr>
          <w:rFonts w:ascii="Times New Roman" w:eastAsia="Times New Roman"/>
          <w:b/>
          <w:sz w:val="18"/>
        </w:rPr>
        <w:t>II </w:t>
      </w:r>
      <w:r>
        <w:rPr>
          <w:b/>
          <w:sz w:val="18"/>
        </w:rPr>
        <w:t>型中间型进行性脊肌萎缩症、</w:t>
      </w:r>
      <w:r>
        <w:rPr>
          <w:rFonts w:ascii="Times New Roman" w:eastAsia="Times New Roman"/>
          <w:b/>
          <w:sz w:val="18"/>
        </w:rPr>
        <w:t>III </w:t>
      </w:r>
      <w:r>
        <w:rPr>
          <w:b/>
          <w:sz w:val="18"/>
        </w:rPr>
        <w:t>型少年性脊肌萎缩症（</w:t>
      </w:r>
      <w:r>
        <w:rPr>
          <w:rFonts w:ascii="Times New Roman" w:eastAsia="Times New Roman"/>
          <w:b/>
          <w:sz w:val="18"/>
        </w:rPr>
        <w:t>Kugelberg-Welander </w:t>
      </w:r>
      <w:r>
        <w:rPr>
          <w:b/>
          <w:sz w:val="18"/>
        </w:rPr>
        <w:t>氏病）不在保障范围内。</w:t>
      </w:r>
    </w:p>
    <w:p>
      <w:pPr>
        <w:pStyle w:val="ListParagraph"/>
        <w:numPr>
          <w:ilvl w:val="1"/>
          <w:numId w:val="15"/>
        </w:numPr>
        <w:tabs>
          <w:tab w:pos="790" w:val="left" w:leader="none"/>
          <w:tab w:pos="791" w:val="left" w:leader="none"/>
        </w:tabs>
        <w:spacing w:line="240" w:lineRule="auto" w:before="67" w:after="0"/>
        <w:ind w:left="790" w:right="0" w:hanging="679"/>
        <w:jc w:val="left"/>
        <w:rPr>
          <w:sz w:val="18"/>
        </w:rPr>
      </w:pPr>
      <w:r>
        <w:rPr>
          <w:sz w:val="18"/>
        </w:rPr>
        <w:t>系统性红斑狼疮</w:t>
      </w:r>
    </w:p>
    <w:p>
      <w:pPr>
        <w:pStyle w:val="BodyText"/>
        <w:spacing w:line="357" w:lineRule="auto"/>
        <w:ind w:right="207"/>
      </w:pPr>
      <w:r>
        <w:rPr/>
        <w:t>系统性红斑狼疮是由多种因素引起，累及多系统的自身免疫性疾病。其特点是生成自身抗体对抗多种自身抗原。多见于女性。</w:t>
      </w:r>
    </w:p>
    <w:p>
      <w:pPr>
        <w:spacing w:line="338" w:lineRule="auto" w:before="74"/>
        <w:ind w:left="790" w:right="208" w:firstLine="0"/>
        <w:jc w:val="both"/>
        <w:rPr>
          <w:b/>
          <w:sz w:val="18"/>
        </w:rPr>
      </w:pPr>
      <w:r>
        <w:rPr>
          <w:spacing w:val="-1"/>
          <w:sz w:val="18"/>
        </w:rPr>
        <w:t>本合同所指系统性红斑狼疮仅限于累及肾脏</w:t>
      </w:r>
      <w:r>
        <w:rPr>
          <w:sz w:val="18"/>
        </w:rPr>
        <w:t>（</w:t>
      </w:r>
      <w:r>
        <w:rPr>
          <w:spacing w:val="-3"/>
          <w:sz w:val="18"/>
        </w:rPr>
        <w:t>经肾脏活检确认的，符合世界卫生组织（</w:t>
      </w:r>
      <w:r>
        <w:rPr>
          <w:rFonts w:ascii="Times New Roman" w:eastAsia="Times New Roman"/>
          <w:spacing w:val="-3"/>
          <w:sz w:val="18"/>
        </w:rPr>
        <w:t>WHO</w:t>
      </w:r>
      <w:r>
        <w:rPr>
          <w:spacing w:val="-3"/>
          <w:sz w:val="18"/>
        </w:rPr>
        <w:t>）</w:t>
      </w:r>
      <w:r>
        <w:rPr>
          <w:sz w:val="18"/>
        </w:rPr>
        <w:t>对狼疮性肾炎的分类标准</w:t>
      </w:r>
      <w:r>
        <w:rPr>
          <w:spacing w:val="-9"/>
          <w:sz w:val="18"/>
        </w:rPr>
        <w:t>定义 </w:t>
      </w:r>
      <w:r>
        <w:rPr>
          <w:rFonts w:ascii="Times New Roman" w:eastAsia="Times New Roman"/>
          <w:sz w:val="18"/>
        </w:rPr>
        <w:t>III </w:t>
      </w:r>
      <w:r>
        <w:rPr>
          <w:spacing w:val="-9"/>
          <w:sz w:val="18"/>
        </w:rPr>
        <w:t>型或 </w:t>
      </w:r>
      <w:r>
        <w:rPr>
          <w:rFonts w:ascii="Times New Roman" w:eastAsia="Times New Roman"/>
          <w:sz w:val="18"/>
        </w:rPr>
        <w:t>III </w:t>
      </w:r>
      <w:r>
        <w:rPr>
          <w:sz w:val="18"/>
        </w:rPr>
        <w:t>型以上狼疮性肾炎）的系统性红斑狼疮，并伴有持续性蛋白尿（尿蛋白</w:t>
      </w:r>
      <w:r>
        <w:rPr>
          <w:rFonts w:ascii="Times New Roman" w:eastAsia="Times New Roman"/>
          <w:sz w:val="18"/>
        </w:rPr>
        <w:t>++</w:t>
      </w:r>
      <w:r>
        <w:rPr>
          <w:sz w:val="18"/>
        </w:rPr>
        <w:t>以上</w:t>
      </w:r>
      <w:r>
        <w:rPr>
          <w:spacing w:val="-89"/>
          <w:sz w:val="18"/>
        </w:rPr>
        <w:t>）</w:t>
      </w:r>
      <w:r>
        <w:rPr>
          <w:sz w:val="18"/>
        </w:rPr>
        <w:t>。</w:t>
      </w:r>
      <w:r>
        <w:rPr>
          <w:b/>
          <w:sz w:val="18"/>
        </w:rPr>
        <w:t>其他类型的红斑性狼疮，如盘状狼疮、仅累及血液及关节的狼疮不在本保单保障范围內。</w:t>
      </w:r>
    </w:p>
    <w:p>
      <w:pPr>
        <w:pStyle w:val="BodyText"/>
        <w:spacing w:before="89"/>
        <w:jc w:val="both"/>
      </w:pPr>
      <w:r>
        <w:rPr>
          <w:w w:val="95"/>
        </w:rPr>
        <w:t>世界卫生组织（</w:t>
      </w:r>
      <w:r>
        <w:rPr>
          <w:rFonts w:ascii="Times New Roman" w:eastAsia="Times New Roman"/>
          <w:w w:val="95"/>
        </w:rPr>
        <w:t>WHO</w:t>
      </w:r>
      <w:r>
        <w:rPr>
          <w:w w:val="95"/>
        </w:rPr>
        <w:t>）对狼疮性肾炎的分类标准：</w:t>
      </w:r>
    </w:p>
    <w:p>
      <w:pPr>
        <w:pStyle w:val="ListParagraph"/>
        <w:numPr>
          <w:ilvl w:val="0"/>
          <w:numId w:val="16"/>
        </w:numPr>
        <w:tabs>
          <w:tab w:pos="895" w:val="left" w:leader="none"/>
        </w:tabs>
        <w:spacing w:line="240" w:lineRule="auto" w:before="149" w:after="0"/>
        <w:ind w:left="894" w:right="0" w:hanging="104"/>
        <w:jc w:val="both"/>
        <w:rPr>
          <w:sz w:val="18"/>
        </w:rPr>
      </w:pPr>
      <w:r>
        <w:rPr>
          <w:w w:val="95"/>
          <w:sz w:val="18"/>
        </w:rPr>
        <w:t>型：微小病变型</w:t>
      </w:r>
    </w:p>
    <w:p>
      <w:pPr>
        <w:pStyle w:val="ListParagraph"/>
        <w:numPr>
          <w:ilvl w:val="0"/>
          <w:numId w:val="16"/>
        </w:numPr>
        <w:tabs>
          <w:tab w:pos="955" w:val="left" w:leader="none"/>
        </w:tabs>
        <w:spacing w:line="240" w:lineRule="auto" w:before="149" w:after="0"/>
        <w:ind w:left="954" w:right="0" w:hanging="164"/>
        <w:jc w:val="both"/>
        <w:rPr>
          <w:sz w:val="18"/>
        </w:rPr>
      </w:pPr>
      <w:r>
        <w:rPr>
          <w:w w:val="95"/>
          <w:sz w:val="18"/>
        </w:rPr>
        <w:t>型：系膜病变型</w:t>
      </w:r>
    </w:p>
    <w:p>
      <w:pPr>
        <w:pStyle w:val="ListParagraph"/>
        <w:numPr>
          <w:ilvl w:val="0"/>
          <w:numId w:val="16"/>
        </w:numPr>
        <w:tabs>
          <w:tab w:pos="1015" w:val="left" w:leader="none"/>
        </w:tabs>
        <w:spacing w:line="240" w:lineRule="auto" w:before="149" w:after="0"/>
        <w:ind w:left="1014" w:right="0" w:hanging="224"/>
        <w:jc w:val="both"/>
        <w:rPr>
          <w:sz w:val="18"/>
        </w:rPr>
      </w:pPr>
      <w:r>
        <w:rPr>
          <w:w w:val="95"/>
          <w:sz w:val="18"/>
        </w:rPr>
        <w:t>型：局灶及节段增生型</w:t>
      </w:r>
    </w:p>
    <w:p>
      <w:pPr>
        <w:pStyle w:val="ListParagraph"/>
        <w:numPr>
          <w:ilvl w:val="0"/>
          <w:numId w:val="16"/>
        </w:numPr>
        <w:tabs>
          <w:tab w:pos="1027" w:val="left" w:leader="none"/>
        </w:tabs>
        <w:spacing w:line="240" w:lineRule="auto" w:before="149" w:after="0"/>
        <w:ind w:left="1026" w:right="0" w:hanging="236"/>
        <w:jc w:val="both"/>
        <w:rPr>
          <w:sz w:val="18"/>
        </w:rPr>
      </w:pPr>
      <w:r>
        <w:rPr>
          <w:sz w:val="18"/>
        </w:rPr>
        <w:t>型：弥漫增生型</w:t>
      </w:r>
    </w:p>
    <w:p>
      <w:pPr>
        <w:pStyle w:val="ListParagraph"/>
        <w:numPr>
          <w:ilvl w:val="0"/>
          <w:numId w:val="16"/>
        </w:numPr>
        <w:tabs>
          <w:tab w:pos="967" w:val="left" w:leader="none"/>
        </w:tabs>
        <w:spacing w:line="240" w:lineRule="auto" w:before="150" w:after="0"/>
        <w:ind w:left="966" w:right="0" w:hanging="176"/>
        <w:jc w:val="both"/>
        <w:rPr>
          <w:sz w:val="18"/>
        </w:rPr>
      </w:pPr>
      <w:r>
        <w:rPr>
          <w:sz w:val="18"/>
        </w:rPr>
        <w:t>型：膜型</w:t>
      </w:r>
    </w:p>
    <w:p>
      <w:pPr>
        <w:pStyle w:val="ListParagraph"/>
        <w:numPr>
          <w:ilvl w:val="0"/>
          <w:numId w:val="16"/>
        </w:numPr>
        <w:tabs>
          <w:tab w:pos="1027" w:val="left" w:leader="none"/>
        </w:tabs>
        <w:spacing w:line="240" w:lineRule="auto" w:before="149" w:after="0"/>
        <w:ind w:left="1026" w:right="0" w:hanging="236"/>
        <w:jc w:val="both"/>
        <w:rPr>
          <w:sz w:val="18"/>
        </w:rPr>
      </w:pPr>
      <w:r>
        <w:rPr>
          <w:sz w:val="18"/>
        </w:rPr>
        <w:t>型：肾小球硬化型</w:t>
      </w:r>
    </w:p>
    <w:p>
      <w:pPr>
        <w:pStyle w:val="Heading2"/>
        <w:spacing w:before="147"/>
      </w:pPr>
      <w:bookmarkStart w:name="_bookmark26" w:id="27"/>
      <w:bookmarkEnd w:id="27"/>
      <w:r>
        <w:rPr>
          <w:b w:val="0"/>
        </w:rPr>
      </w:r>
      <w:r>
        <w:rPr/>
        <w:t>第二十四条 释义</w:t>
      </w:r>
    </w:p>
    <w:p>
      <w:pPr>
        <w:pStyle w:val="BodyText"/>
        <w:spacing w:before="1"/>
        <w:ind w:left="0"/>
        <w:rPr>
          <w:b/>
          <w:sz w:val="14"/>
        </w:rPr>
      </w:pPr>
    </w:p>
    <w:p>
      <w:pPr>
        <w:pStyle w:val="ListParagraph"/>
        <w:numPr>
          <w:ilvl w:val="1"/>
          <w:numId w:val="17"/>
        </w:numPr>
        <w:tabs>
          <w:tab w:pos="790" w:val="left" w:leader="none"/>
          <w:tab w:pos="791" w:val="left" w:leader="none"/>
        </w:tabs>
        <w:spacing w:line="240" w:lineRule="auto" w:before="0" w:after="0"/>
        <w:ind w:left="790" w:right="0" w:hanging="679"/>
        <w:jc w:val="left"/>
        <w:rPr>
          <w:sz w:val="18"/>
        </w:rPr>
      </w:pPr>
      <w:r>
        <w:rPr>
          <w:spacing w:val="-2"/>
          <w:sz w:val="18"/>
        </w:rPr>
        <w:t>保险单生效日：是指保险单上载明的合同生效日，除非本合同另行约定，本保险单自保险单生效日的 </w:t>
      </w:r>
      <w:r>
        <w:rPr>
          <w:rFonts w:ascii="Arial" w:eastAsia="Arial"/>
          <w:sz w:val="18"/>
        </w:rPr>
        <w:t>24</w:t>
      </w:r>
      <w:r>
        <w:rPr>
          <w:rFonts w:ascii="Arial" w:eastAsia="Arial"/>
          <w:spacing w:val="-8"/>
          <w:sz w:val="18"/>
        </w:rPr>
        <w:t> </w:t>
      </w:r>
      <w:r>
        <w:rPr>
          <w:sz w:val="18"/>
        </w:rPr>
        <w:t>时开始生效。</w:t>
      </w:r>
    </w:p>
    <w:p>
      <w:pPr>
        <w:pStyle w:val="ListParagraph"/>
        <w:numPr>
          <w:ilvl w:val="1"/>
          <w:numId w:val="17"/>
        </w:numPr>
        <w:tabs>
          <w:tab w:pos="790" w:val="left" w:leader="none"/>
          <w:tab w:pos="791" w:val="left" w:leader="none"/>
        </w:tabs>
        <w:spacing w:line="240" w:lineRule="auto" w:before="149" w:after="0"/>
        <w:ind w:left="790" w:right="0" w:hanging="679"/>
        <w:jc w:val="left"/>
        <w:rPr>
          <w:sz w:val="18"/>
        </w:rPr>
      </w:pPr>
      <w:r>
        <w:rPr>
          <w:spacing w:val="-1"/>
          <w:sz w:val="18"/>
        </w:rPr>
        <w:t>保险单周年日：是指保险单生效日所对应的每个周年日。</w:t>
      </w:r>
    </w:p>
    <w:p>
      <w:pPr>
        <w:pStyle w:val="ListParagraph"/>
        <w:numPr>
          <w:ilvl w:val="1"/>
          <w:numId w:val="17"/>
        </w:numPr>
        <w:tabs>
          <w:tab w:pos="790" w:val="left" w:leader="none"/>
          <w:tab w:pos="791" w:val="left" w:leader="none"/>
        </w:tabs>
        <w:spacing w:line="240" w:lineRule="auto" w:before="149" w:after="0"/>
        <w:ind w:left="790" w:right="0" w:hanging="679"/>
        <w:jc w:val="left"/>
        <w:rPr>
          <w:sz w:val="18"/>
        </w:rPr>
      </w:pPr>
      <w:r>
        <w:rPr>
          <w:spacing w:val="-1"/>
          <w:sz w:val="18"/>
        </w:rPr>
        <w:t>保险事故：是指本合同约定的保险责任范围内的事故。</w:t>
      </w:r>
    </w:p>
    <w:p>
      <w:pPr>
        <w:pStyle w:val="ListParagraph"/>
        <w:numPr>
          <w:ilvl w:val="1"/>
          <w:numId w:val="17"/>
        </w:numPr>
        <w:tabs>
          <w:tab w:pos="790" w:val="left" w:leader="none"/>
          <w:tab w:pos="791" w:val="left" w:leader="none"/>
        </w:tabs>
        <w:spacing w:line="338" w:lineRule="auto" w:before="149" w:after="0"/>
        <w:ind w:left="790" w:right="117" w:hanging="679"/>
        <w:jc w:val="left"/>
        <w:rPr>
          <w:sz w:val="18"/>
        </w:rPr>
      </w:pPr>
      <w:r>
        <w:rPr>
          <w:spacing w:val="-8"/>
          <w:sz w:val="18"/>
        </w:rPr>
        <w:t>有效身份证件：是指依据法律规定，由有权机构制作颁发的证明身份的证件、文件等，如：居民身份证、户口簿、护照、军人证等。</w:t>
      </w:r>
    </w:p>
    <w:p>
      <w:pPr>
        <w:spacing w:after="0" w:line="338" w:lineRule="auto"/>
        <w:jc w:val="left"/>
        <w:rPr>
          <w:sz w:val="18"/>
        </w:rPr>
        <w:sectPr>
          <w:pgSz w:w="11910" w:h="16850"/>
          <w:pgMar w:header="826" w:footer="733" w:top="1020" w:bottom="920" w:left="880" w:right="640"/>
        </w:sectPr>
      </w:pPr>
    </w:p>
    <w:p>
      <w:pPr>
        <w:pStyle w:val="ListParagraph"/>
        <w:numPr>
          <w:ilvl w:val="1"/>
          <w:numId w:val="17"/>
        </w:numPr>
        <w:tabs>
          <w:tab w:pos="791" w:val="left" w:leader="none"/>
        </w:tabs>
        <w:spacing w:line="338" w:lineRule="auto" w:before="112" w:after="0"/>
        <w:ind w:left="790" w:right="108" w:hanging="679"/>
        <w:jc w:val="both"/>
        <w:rPr>
          <w:b/>
          <w:sz w:val="18"/>
        </w:rPr>
      </w:pPr>
      <w:r>
        <w:rPr>
          <w:sz w:val="18"/>
        </w:rPr>
        <w:t>现金价值：指保险单所具有的价值，通常体现为解除合同时，根据精算原理计算的，由我们退还的那部分金额。</w:t>
      </w:r>
      <w:r>
        <w:rPr>
          <w:b/>
          <w:sz w:val="18"/>
        </w:rPr>
        <w:t>本合同现金价值为零。</w:t>
      </w:r>
    </w:p>
    <w:p>
      <w:pPr>
        <w:pStyle w:val="ListParagraph"/>
        <w:numPr>
          <w:ilvl w:val="1"/>
          <w:numId w:val="17"/>
        </w:numPr>
        <w:tabs>
          <w:tab w:pos="790" w:val="left" w:leader="none"/>
          <w:tab w:pos="791" w:val="left" w:leader="none"/>
        </w:tabs>
        <w:spacing w:line="240" w:lineRule="auto" w:before="88" w:after="0"/>
        <w:ind w:left="790" w:right="0" w:hanging="679"/>
        <w:jc w:val="left"/>
        <w:rPr>
          <w:sz w:val="18"/>
        </w:rPr>
      </w:pPr>
      <w:r>
        <w:rPr>
          <w:spacing w:val="-3"/>
          <w:sz w:val="18"/>
        </w:rPr>
        <w:t>等待期：本合同生效日起或每一次复效日起 </w:t>
      </w:r>
      <w:r>
        <w:rPr>
          <w:rFonts w:ascii="Arial" w:eastAsia="Arial"/>
          <w:sz w:val="18"/>
        </w:rPr>
        <w:t>60</w:t>
      </w:r>
      <w:r>
        <w:rPr>
          <w:rFonts w:ascii="Arial" w:eastAsia="Arial"/>
          <w:spacing w:val="-8"/>
          <w:sz w:val="18"/>
        </w:rPr>
        <w:t> </w:t>
      </w:r>
      <w:r>
        <w:rPr>
          <w:sz w:val="18"/>
        </w:rPr>
        <w:t>日内（</w:t>
      </w:r>
      <w:r>
        <w:rPr>
          <w:spacing w:val="-16"/>
          <w:sz w:val="18"/>
        </w:rPr>
        <w:t>含第 </w:t>
      </w:r>
      <w:r>
        <w:rPr>
          <w:rFonts w:ascii="Arial" w:eastAsia="Arial"/>
          <w:sz w:val="18"/>
        </w:rPr>
        <w:t>60</w:t>
      </w:r>
      <w:r>
        <w:rPr>
          <w:rFonts w:ascii="Arial" w:eastAsia="Arial"/>
          <w:spacing w:val="-8"/>
          <w:sz w:val="18"/>
        </w:rPr>
        <w:t> </w:t>
      </w:r>
      <w:r>
        <w:rPr>
          <w:sz w:val="18"/>
        </w:rPr>
        <w:t>日）为等待期。</w:t>
      </w:r>
    </w:p>
    <w:p>
      <w:pPr>
        <w:pStyle w:val="ListParagraph"/>
        <w:numPr>
          <w:ilvl w:val="1"/>
          <w:numId w:val="17"/>
        </w:numPr>
        <w:tabs>
          <w:tab w:pos="791" w:val="left" w:leader="none"/>
        </w:tabs>
        <w:spacing w:line="338" w:lineRule="auto" w:before="149" w:after="0"/>
        <w:ind w:left="790" w:right="107" w:hanging="679"/>
        <w:jc w:val="both"/>
        <w:rPr>
          <w:sz w:val="18"/>
        </w:rPr>
      </w:pPr>
      <w:r>
        <w:rPr>
          <w:sz w:val="18"/>
        </w:rPr>
        <w:t>首次发病：指被保险人自出生之日起第一次出现疾病的前兆，或异常的身体状况，或异常的检查结果，或已经显现足以促使一般普通谨慎人士引起注意并寻求诊断、治疗或护理的病症。</w:t>
      </w:r>
    </w:p>
    <w:p>
      <w:pPr>
        <w:pStyle w:val="ListParagraph"/>
        <w:numPr>
          <w:ilvl w:val="1"/>
          <w:numId w:val="17"/>
        </w:numPr>
        <w:tabs>
          <w:tab w:pos="790" w:val="left" w:leader="none"/>
          <w:tab w:pos="791" w:val="left" w:leader="none"/>
        </w:tabs>
        <w:spacing w:line="240" w:lineRule="auto" w:before="88" w:after="0"/>
        <w:ind w:left="790" w:right="0" w:hanging="679"/>
        <w:jc w:val="left"/>
        <w:rPr>
          <w:sz w:val="18"/>
        </w:rPr>
      </w:pPr>
      <w:r>
        <w:rPr>
          <w:spacing w:val="-1"/>
          <w:sz w:val="18"/>
        </w:rPr>
        <w:t>专科医生：专科医生应当同时满足以下四项资格条件：</w:t>
      </w:r>
    </w:p>
    <w:p>
      <w:pPr>
        <w:pStyle w:val="ListParagraph"/>
        <w:numPr>
          <w:ilvl w:val="2"/>
          <w:numId w:val="17"/>
        </w:numPr>
        <w:tabs>
          <w:tab w:pos="1311" w:val="left" w:leader="none"/>
          <w:tab w:pos="1312" w:val="left" w:leader="none"/>
        </w:tabs>
        <w:spacing w:line="240" w:lineRule="auto" w:before="106" w:after="0"/>
        <w:ind w:left="1311" w:right="0" w:hanging="530"/>
        <w:jc w:val="left"/>
        <w:rPr>
          <w:sz w:val="18"/>
        </w:rPr>
      </w:pPr>
      <w:r>
        <w:rPr>
          <w:spacing w:val="-5"/>
          <w:w w:val="95"/>
          <w:sz w:val="18"/>
        </w:rPr>
        <w:t>具有有效的中华人民共和国《医师资格证书》；</w:t>
      </w:r>
    </w:p>
    <w:p>
      <w:pPr>
        <w:pStyle w:val="ListParagraph"/>
        <w:numPr>
          <w:ilvl w:val="2"/>
          <w:numId w:val="17"/>
        </w:numPr>
        <w:tabs>
          <w:tab w:pos="1311" w:val="left" w:leader="none"/>
          <w:tab w:pos="1312" w:val="left" w:leader="none"/>
        </w:tabs>
        <w:spacing w:line="240" w:lineRule="auto" w:before="106" w:after="0"/>
        <w:ind w:left="1311" w:right="0" w:hanging="530"/>
        <w:jc w:val="left"/>
        <w:rPr>
          <w:sz w:val="18"/>
        </w:rPr>
      </w:pPr>
      <w:r>
        <w:rPr>
          <w:spacing w:val="-5"/>
          <w:w w:val="95"/>
          <w:sz w:val="18"/>
        </w:rPr>
        <w:t>具有有效的中华人民共和国《医师执业证书》，并按期到相关部门登记注册；</w:t>
      </w:r>
    </w:p>
    <w:p>
      <w:pPr>
        <w:pStyle w:val="ListParagraph"/>
        <w:numPr>
          <w:ilvl w:val="2"/>
          <w:numId w:val="17"/>
        </w:numPr>
        <w:tabs>
          <w:tab w:pos="1311" w:val="left" w:leader="none"/>
          <w:tab w:pos="1312" w:val="left" w:leader="none"/>
        </w:tabs>
        <w:spacing w:line="240" w:lineRule="auto" w:before="106" w:after="0"/>
        <w:ind w:left="1311" w:right="0" w:hanging="530"/>
        <w:jc w:val="left"/>
        <w:rPr>
          <w:sz w:val="18"/>
        </w:rPr>
      </w:pPr>
      <w:r>
        <w:rPr>
          <w:spacing w:val="-3"/>
          <w:w w:val="95"/>
          <w:sz w:val="18"/>
        </w:rPr>
        <w:t>具有有效的中华人民共和国主治医师或主治医师以上职称的《医师职称证书》；</w:t>
      </w:r>
    </w:p>
    <w:p>
      <w:pPr>
        <w:pStyle w:val="ListParagraph"/>
        <w:numPr>
          <w:ilvl w:val="2"/>
          <w:numId w:val="17"/>
        </w:numPr>
        <w:tabs>
          <w:tab w:pos="1311" w:val="left" w:leader="none"/>
          <w:tab w:pos="1312" w:val="left" w:leader="none"/>
        </w:tabs>
        <w:spacing w:line="240" w:lineRule="auto" w:before="106" w:after="0"/>
        <w:ind w:left="1311" w:right="0" w:hanging="530"/>
        <w:jc w:val="left"/>
        <w:rPr>
          <w:sz w:val="18"/>
        </w:rPr>
      </w:pPr>
      <w:r>
        <w:rPr>
          <w:w w:val="95"/>
          <w:sz w:val="18"/>
        </w:rPr>
        <w:t>在二级或二级以上医院的相应科室从事临床工作三年以上。</w:t>
      </w:r>
    </w:p>
    <w:p>
      <w:pPr>
        <w:pStyle w:val="ListParagraph"/>
        <w:numPr>
          <w:ilvl w:val="1"/>
          <w:numId w:val="17"/>
        </w:numPr>
        <w:tabs>
          <w:tab w:pos="791" w:val="left" w:leader="none"/>
        </w:tabs>
        <w:spacing w:line="348" w:lineRule="auto" w:before="149" w:after="0"/>
        <w:ind w:left="790" w:right="108" w:hanging="679"/>
        <w:jc w:val="both"/>
        <w:rPr>
          <w:b/>
          <w:sz w:val="18"/>
        </w:rPr>
      </w:pPr>
      <w:r>
        <w:rPr>
          <w:sz w:val="18"/>
        </w:rPr>
        <w:t>意外伤害事故：指遭受外来的、突发的、非本意的、非疾病的使被保险人身体受到伤害的客观事件。</w:t>
      </w:r>
      <w:r>
        <w:rPr>
          <w:b/>
          <w:sz w:val="18"/>
        </w:rPr>
        <w:t>此类意外伤害事故</w:t>
      </w:r>
      <w:r>
        <w:rPr>
          <w:b/>
          <w:spacing w:val="2"/>
          <w:sz w:val="18"/>
        </w:rPr>
        <w:t>不包括无明确外来意外伤害原因导致的后果，如过敏（见释义</w:t>
      </w:r>
      <w:r>
        <w:rPr>
          <w:b/>
          <w:spacing w:val="-87"/>
          <w:sz w:val="18"/>
        </w:rPr>
        <w:t>）</w:t>
      </w:r>
      <w:r>
        <w:rPr>
          <w:b/>
          <w:spacing w:val="2"/>
          <w:sz w:val="18"/>
        </w:rPr>
        <w:t>、原发性感染</w:t>
      </w:r>
      <w:r>
        <w:rPr>
          <w:b/>
          <w:sz w:val="18"/>
        </w:rPr>
        <w:t>（见释义</w:t>
      </w:r>
      <w:r>
        <w:rPr>
          <w:b/>
          <w:spacing w:val="-89"/>
          <w:sz w:val="18"/>
        </w:rPr>
        <w:t>）</w:t>
      </w:r>
      <w:r>
        <w:rPr>
          <w:b/>
          <w:sz w:val="18"/>
        </w:rPr>
        <w:t>、细菌性食物中毒、猝死（见释义）等。</w:t>
      </w:r>
    </w:p>
    <w:p>
      <w:pPr>
        <w:pStyle w:val="ListParagraph"/>
        <w:numPr>
          <w:ilvl w:val="1"/>
          <w:numId w:val="17"/>
        </w:numPr>
        <w:tabs>
          <w:tab w:pos="791" w:val="left" w:leader="none"/>
        </w:tabs>
        <w:spacing w:line="338" w:lineRule="auto" w:before="81" w:after="0"/>
        <w:ind w:left="790" w:right="109" w:hanging="679"/>
        <w:jc w:val="both"/>
        <w:rPr>
          <w:sz w:val="18"/>
        </w:rPr>
      </w:pPr>
      <w:r>
        <w:rPr>
          <w:spacing w:val="-6"/>
          <w:sz w:val="18"/>
        </w:rPr>
        <w:t>毒品：是指中华人民共和国刑法规定的鸦片、海洛因、甲基苯丙胺</w:t>
      </w:r>
      <w:r>
        <w:rPr>
          <w:sz w:val="18"/>
        </w:rPr>
        <w:t>（冰毒</w:t>
      </w:r>
      <w:r>
        <w:rPr>
          <w:spacing w:val="-89"/>
          <w:sz w:val="18"/>
        </w:rPr>
        <w:t>）</w:t>
      </w:r>
      <w:r>
        <w:rPr>
          <w:spacing w:val="-6"/>
          <w:sz w:val="18"/>
        </w:rPr>
        <w:t>、吗啡、大麻、可卡因以及国家规定管制的其他能够使人形成瘾癖的麻醉药品和精神药品，但不包括由医生开具用于治疗疾病的含有毒品成分的处方药品。</w:t>
      </w:r>
    </w:p>
    <w:p>
      <w:pPr>
        <w:pStyle w:val="ListParagraph"/>
        <w:numPr>
          <w:ilvl w:val="1"/>
          <w:numId w:val="17"/>
        </w:numPr>
        <w:tabs>
          <w:tab w:pos="791" w:val="left" w:leader="none"/>
        </w:tabs>
        <w:spacing w:line="338" w:lineRule="auto" w:before="88" w:after="0"/>
        <w:ind w:left="790" w:right="107" w:hanging="679"/>
        <w:jc w:val="both"/>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17"/>
        </w:numPr>
        <w:tabs>
          <w:tab w:pos="791" w:val="left" w:leader="none"/>
        </w:tabs>
        <w:spacing w:line="240" w:lineRule="auto" w:before="88" w:after="0"/>
        <w:ind w:left="790" w:right="0" w:hanging="679"/>
        <w:jc w:val="left"/>
        <w:rPr>
          <w:sz w:val="18"/>
        </w:rPr>
      </w:pPr>
      <w:r>
        <w:rPr>
          <w:sz w:val="18"/>
        </w:rPr>
        <w:t>无合法有效驾驶证驾驶：是指下列情形之一：</w:t>
      </w:r>
    </w:p>
    <w:p>
      <w:pPr>
        <w:pStyle w:val="ListParagraph"/>
        <w:numPr>
          <w:ilvl w:val="2"/>
          <w:numId w:val="17"/>
        </w:numPr>
        <w:tabs>
          <w:tab w:pos="1312" w:val="left" w:leader="none"/>
        </w:tabs>
        <w:spacing w:line="240" w:lineRule="auto" w:before="149" w:after="0"/>
        <w:ind w:left="1311" w:right="0" w:hanging="420"/>
        <w:jc w:val="left"/>
        <w:rPr>
          <w:sz w:val="18"/>
        </w:rPr>
      </w:pPr>
      <w:r>
        <w:rPr>
          <w:w w:val="95"/>
          <w:sz w:val="18"/>
        </w:rPr>
        <w:t>没有取得驾驶资格；</w:t>
      </w:r>
    </w:p>
    <w:p>
      <w:pPr>
        <w:pStyle w:val="ListParagraph"/>
        <w:numPr>
          <w:ilvl w:val="2"/>
          <w:numId w:val="17"/>
        </w:numPr>
        <w:tabs>
          <w:tab w:pos="1312" w:val="left" w:leader="none"/>
        </w:tabs>
        <w:spacing w:line="240" w:lineRule="auto" w:before="149" w:after="0"/>
        <w:ind w:left="1311" w:right="0" w:hanging="420"/>
        <w:jc w:val="left"/>
        <w:rPr>
          <w:sz w:val="18"/>
        </w:rPr>
      </w:pPr>
      <w:r>
        <w:rPr>
          <w:w w:val="95"/>
          <w:sz w:val="18"/>
        </w:rPr>
        <w:t>驾驶与驾驶证准驾车型不相符合的车辆；</w:t>
      </w:r>
    </w:p>
    <w:p>
      <w:pPr>
        <w:pStyle w:val="ListParagraph"/>
        <w:numPr>
          <w:ilvl w:val="2"/>
          <w:numId w:val="17"/>
        </w:numPr>
        <w:tabs>
          <w:tab w:pos="1312" w:val="left" w:leader="none"/>
        </w:tabs>
        <w:spacing w:line="240" w:lineRule="auto" w:before="149" w:after="0"/>
        <w:ind w:left="1311" w:right="0" w:hanging="420"/>
        <w:jc w:val="left"/>
        <w:rPr>
          <w:sz w:val="18"/>
        </w:rPr>
      </w:pPr>
      <w:r>
        <w:rPr>
          <w:w w:val="95"/>
          <w:sz w:val="18"/>
        </w:rPr>
        <w:t>持审验不合格的驾驶证驾驶；</w:t>
      </w:r>
    </w:p>
    <w:p>
      <w:pPr>
        <w:pStyle w:val="ListParagraph"/>
        <w:numPr>
          <w:ilvl w:val="2"/>
          <w:numId w:val="17"/>
        </w:numPr>
        <w:tabs>
          <w:tab w:pos="1312" w:val="left" w:leader="none"/>
        </w:tabs>
        <w:spacing w:line="240" w:lineRule="auto" w:before="150" w:after="0"/>
        <w:ind w:left="1311" w:right="0" w:hanging="420"/>
        <w:jc w:val="left"/>
        <w:rPr>
          <w:sz w:val="18"/>
        </w:rPr>
      </w:pPr>
      <w:r>
        <w:rPr>
          <w:w w:val="95"/>
          <w:sz w:val="18"/>
        </w:rPr>
        <w:t>持学习驾驶证学习驾车时，无教练员随车指导，或不按指定时间、路线学习驾车；</w:t>
      </w:r>
    </w:p>
    <w:p>
      <w:pPr>
        <w:pStyle w:val="ListParagraph"/>
        <w:numPr>
          <w:ilvl w:val="2"/>
          <w:numId w:val="17"/>
        </w:numPr>
        <w:tabs>
          <w:tab w:pos="1312" w:val="left" w:leader="none"/>
        </w:tabs>
        <w:spacing w:line="240" w:lineRule="auto" w:before="150" w:after="0"/>
        <w:ind w:left="1311" w:right="0" w:hanging="420"/>
        <w:jc w:val="left"/>
        <w:rPr>
          <w:sz w:val="18"/>
        </w:rPr>
      </w:pPr>
      <w:r>
        <w:rPr>
          <w:w w:val="95"/>
          <w:sz w:val="18"/>
        </w:rPr>
        <w:t>公安交通管理部门规定的其他无有效驾驶证驾驶的情况。</w:t>
      </w:r>
    </w:p>
    <w:p>
      <w:pPr>
        <w:pStyle w:val="ListParagraph"/>
        <w:numPr>
          <w:ilvl w:val="1"/>
          <w:numId w:val="17"/>
        </w:numPr>
        <w:tabs>
          <w:tab w:pos="791" w:val="left" w:leader="none"/>
        </w:tabs>
        <w:spacing w:line="240" w:lineRule="auto" w:before="150" w:after="0"/>
        <w:ind w:left="790" w:right="0" w:hanging="679"/>
        <w:jc w:val="left"/>
        <w:rPr>
          <w:sz w:val="18"/>
        </w:rPr>
      </w:pPr>
      <w:r>
        <w:rPr>
          <w:sz w:val="18"/>
        </w:rPr>
        <w:t>无有效行驶证：是指下列情形之一：</w:t>
      </w:r>
    </w:p>
    <w:p>
      <w:pPr>
        <w:pStyle w:val="ListParagraph"/>
        <w:numPr>
          <w:ilvl w:val="2"/>
          <w:numId w:val="17"/>
        </w:numPr>
        <w:tabs>
          <w:tab w:pos="1312" w:val="left" w:leader="none"/>
        </w:tabs>
        <w:spacing w:line="240" w:lineRule="auto" w:before="150" w:after="0"/>
        <w:ind w:left="1311" w:right="0" w:hanging="420"/>
        <w:jc w:val="left"/>
        <w:rPr>
          <w:sz w:val="18"/>
        </w:rPr>
      </w:pPr>
      <w:r>
        <w:rPr>
          <w:w w:val="95"/>
          <w:sz w:val="18"/>
        </w:rPr>
        <w:t>没有机动车行驶证或已被依法注销登记；</w:t>
      </w:r>
    </w:p>
    <w:p>
      <w:pPr>
        <w:pStyle w:val="ListParagraph"/>
        <w:numPr>
          <w:ilvl w:val="2"/>
          <w:numId w:val="17"/>
        </w:numPr>
        <w:tabs>
          <w:tab w:pos="1312" w:val="left" w:leader="none"/>
        </w:tabs>
        <w:spacing w:line="240" w:lineRule="auto" w:before="150" w:after="0"/>
        <w:ind w:left="1311" w:right="0" w:hanging="420"/>
        <w:jc w:val="left"/>
        <w:rPr>
          <w:sz w:val="18"/>
        </w:rPr>
      </w:pPr>
      <w:r>
        <w:rPr>
          <w:w w:val="95"/>
          <w:sz w:val="18"/>
        </w:rPr>
        <w:t>未依法按时进行或通过机动车安全技术检验；</w:t>
      </w:r>
    </w:p>
    <w:p>
      <w:pPr>
        <w:pStyle w:val="ListParagraph"/>
        <w:numPr>
          <w:ilvl w:val="2"/>
          <w:numId w:val="17"/>
        </w:numPr>
        <w:tabs>
          <w:tab w:pos="1312" w:val="left" w:leader="none"/>
        </w:tabs>
        <w:spacing w:line="240" w:lineRule="auto" w:before="150" w:after="0"/>
        <w:ind w:left="1311" w:right="0" w:hanging="420"/>
        <w:jc w:val="left"/>
        <w:rPr>
          <w:sz w:val="18"/>
        </w:rPr>
      </w:pPr>
      <w:r>
        <w:rPr>
          <w:w w:val="95"/>
          <w:sz w:val="18"/>
        </w:rPr>
        <w:t>未办理行驶证或者行驶证在申办过程中。</w:t>
      </w:r>
    </w:p>
    <w:p>
      <w:pPr>
        <w:pStyle w:val="ListParagraph"/>
        <w:numPr>
          <w:ilvl w:val="1"/>
          <w:numId w:val="17"/>
        </w:numPr>
        <w:tabs>
          <w:tab w:pos="791" w:val="left" w:leader="none"/>
        </w:tabs>
        <w:spacing w:line="338" w:lineRule="auto" w:before="150" w:after="0"/>
        <w:ind w:left="790" w:right="107" w:hanging="679"/>
        <w:jc w:val="both"/>
        <w:rPr>
          <w:sz w:val="18"/>
        </w:rPr>
      </w:pPr>
      <w:r>
        <w:rPr>
          <w:sz w:val="18"/>
        </w:rPr>
        <w:t>战争：是指不管宣战与否，主权国家为达到其经济，疆域的扩张，民族主义，种族，宗教或其他目的而进行的任何战争或军事行动。</w:t>
      </w:r>
    </w:p>
    <w:p>
      <w:pPr>
        <w:pStyle w:val="ListParagraph"/>
        <w:numPr>
          <w:ilvl w:val="1"/>
          <w:numId w:val="17"/>
        </w:numPr>
        <w:tabs>
          <w:tab w:pos="791" w:val="left" w:leader="none"/>
        </w:tabs>
        <w:spacing w:line="338" w:lineRule="auto" w:before="89" w:after="0"/>
        <w:ind w:left="790" w:right="108" w:hanging="679"/>
        <w:jc w:val="both"/>
        <w:rPr>
          <w:sz w:val="18"/>
        </w:rPr>
      </w:pPr>
      <w:r>
        <w:rPr>
          <w:spacing w:val="-1"/>
          <w:sz w:val="18"/>
        </w:rPr>
        <w:t>感染艾滋病病毒或患艾滋病：艾滋病病毒指人类免疫缺陷病毒，英文缩写为 </w:t>
      </w:r>
      <w:r>
        <w:rPr>
          <w:rFonts w:ascii="Arial" w:eastAsia="Arial"/>
          <w:sz w:val="18"/>
        </w:rPr>
        <w:t>HIV</w:t>
      </w:r>
      <w:r>
        <w:rPr>
          <w:sz w:val="18"/>
        </w:rPr>
        <w:t>。艾滋病指人类免疫缺陷病毒引起的获</w:t>
      </w:r>
      <w:r>
        <w:rPr>
          <w:spacing w:val="-6"/>
          <w:sz w:val="18"/>
        </w:rPr>
        <w:t>得性免疫缺陷综合征，英文缩写为 </w:t>
      </w:r>
      <w:r>
        <w:rPr>
          <w:rFonts w:ascii="Arial" w:eastAsia="Arial"/>
          <w:sz w:val="18"/>
        </w:rPr>
        <w:t>AIDS</w:t>
      </w:r>
      <w:r>
        <w:rPr>
          <w:spacing w:val="-7"/>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17"/>
        </w:numPr>
        <w:tabs>
          <w:tab w:pos="791" w:val="left" w:leader="none"/>
        </w:tabs>
        <w:spacing w:line="338" w:lineRule="auto" w:before="89" w:after="0"/>
        <w:ind w:left="790" w:right="107" w:hanging="679"/>
        <w:jc w:val="both"/>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17"/>
        </w:numPr>
        <w:tabs>
          <w:tab w:pos="791" w:val="left" w:leader="none"/>
        </w:tabs>
        <w:spacing w:line="338" w:lineRule="auto" w:before="89" w:after="0"/>
        <w:ind w:left="790" w:right="107" w:hanging="679"/>
        <w:jc w:val="both"/>
        <w:rPr>
          <w:sz w:val="18"/>
        </w:rPr>
      </w:pPr>
      <w:r>
        <w:rPr>
          <w:sz w:val="18"/>
        </w:rPr>
        <w:t>先天性畸形、变形或染色体异常：指被保险人出生时就具有的畸形、变形或染色体异常。先天性畸形、变形和染色体异</w:t>
      </w:r>
      <w:r>
        <w:rPr>
          <w:spacing w:val="-4"/>
          <w:w w:val="95"/>
          <w:sz w:val="18"/>
        </w:rPr>
        <w:t>常依照世界卫生组织《疾病和有关健康问题的国际统计分类》</w:t>
      </w:r>
      <w:r>
        <w:rPr>
          <w:w w:val="95"/>
          <w:sz w:val="18"/>
        </w:rPr>
        <w:t>（</w:t>
      </w:r>
      <w:r>
        <w:rPr>
          <w:rFonts w:ascii="Arial" w:eastAsia="Arial"/>
          <w:w w:val="95"/>
          <w:sz w:val="18"/>
        </w:rPr>
        <w:t>ICD-10</w:t>
      </w:r>
      <w:r>
        <w:rPr>
          <w:w w:val="95"/>
          <w:sz w:val="18"/>
        </w:rPr>
        <w:t>）确定。</w:t>
      </w:r>
    </w:p>
    <w:p>
      <w:pPr>
        <w:pStyle w:val="ListParagraph"/>
        <w:numPr>
          <w:ilvl w:val="1"/>
          <w:numId w:val="17"/>
        </w:numPr>
        <w:tabs>
          <w:tab w:pos="791" w:val="left" w:leader="none"/>
        </w:tabs>
        <w:spacing w:line="338" w:lineRule="auto" w:before="67" w:after="0"/>
        <w:ind w:left="790" w:right="108" w:hanging="679"/>
        <w:jc w:val="both"/>
        <w:rPr>
          <w:sz w:val="18"/>
        </w:rPr>
      </w:pPr>
      <w:r>
        <w:rPr>
          <w:sz w:val="18"/>
        </w:rPr>
        <w:t>原位癌：指恶性细胞局限于上皮内尚未穿破基底膜浸润周围正常组织的癌细胞新生物。原位癌必须经对固定活组织的组织病理学检查明确诊断。被保险人必须己经接受了针对原位癌病灶的积极治疗。</w:t>
      </w:r>
    </w:p>
    <w:p>
      <w:pPr>
        <w:spacing w:after="0" w:line="338" w:lineRule="auto"/>
        <w:jc w:val="both"/>
        <w:rPr>
          <w:sz w:val="18"/>
        </w:rPr>
        <w:sectPr>
          <w:pgSz w:w="11910" w:h="16850"/>
          <w:pgMar w:header="826" w:footer="733" w:top="1020" w:bottom="920" w:left="880" w:right="740"/>
        </w:sectPr>
      </w:pPr>
    </w:p>
    <w:p>
      <w:pPr>
        <w:spacing w:before="35"/>
        <w:ind w:left="7750" w:right="0" w:firstLine="0"/>
        <w:jc w:val="left"/>
        <w:rPr>
          <w:b/>
          <w:sz w:val="16"/>
        </w:rPr>
      </w:pPr>
      <w:r>
        <w:rPr>
          <w:b/>
          <w:sz w:val="16"/>
        </w:rPr>
        <w:t>中美联泰大都会人寿保险有限公司</w:t>
      </w:r>
    </w:p>
    <w:p>
      <w:pPr>
        <w:pStyle w:val="ListParagraph"/>
        <w:numPr>
          <w:ilvl w:val="1"/>
          <w:numId w:val="17"/>
        </w:numPr>
        <w:tabs>
          <w:tab w:pos="811" w:val="left" w:leader="none"/>
        </w:tabs>
        <w:spacing w:line="338" w:lineRule="auto" w:before="112" w:after="0"/>
        <w:ind w:left="810" w:right="547" w:hanging="679"/>
        <w:jc w:val="left"/>
        <w:rPr>
          <w:sz w:val="18"/>
        </w:rPr>
      </w:pPr>
      <w:r>
        <w:rPr>
          <w:sz w:val="18"/>
        </w:rPr>
        <w:t>肢体机能完全丧失：指肢体的三大关节中的两大关节僵硬，或不能随意识活动。肢体是指包括肩关节的整个上肢或包括</w:t>
      </w:r>
      <w:r>
        <w:rPr>
          <w:spacing w:val="-1"/>
          <w:sz w:val="18"/>
        </w:rPr>
        <w:t>髋关节的肢体整个下肢。</w:t>
      </w:r>
    </w:p>
    <w:p>
      <w:pPr>
        <w:pStyle w:val="ListParagraph"/>
        <w:numPr>
          <w:ilvl w:val="1"/>
          <w:numId w:val="17"/>
        </w:numPr>
        <w:tabs>
          <w:tab w:pos="811" w:val="left" w:leader="none"/>
        </w:tabs>
        <w:spacing w:line="240" w:lineRule="auto" w:before="89" w:after="0"/>
        <w:ind w:left="810" w:right="0" w:hanging="679"/>
        <w:jc w:val="left"/>
        <w:rPr>
          <w:sz w:val="18"/>
        </w:rPr>
      </w:pPr>
      <w:r>
        <w:rPr>
          <w:sz w:val="18"/>
        </w:rPr>
        <w:t>六项基本日常生活活动指：</w:t>
      </w:r>
    </w:p>
    <w:p>
      <w:pPr>
        <w:pStyle w:val="BodyText"/>
        <w:spacing w:before="106"/>
        <w:ind w:left="844"/>
      </w:pPr>
      <w:r>
        <w:rPr/>
        <w:t>（1）穿衣：自己能够穿衣及脱衣；</w:t>
      </w:r>
    </w:p>
    <w:p>
      <w:pPr>
        <w:pStyle w:val="BodyText"/>
        <w:spacing w:before="119"/>
        <w:ind w:left="844"/>
      </w:pPr>
      <w:r>
        <w:rPr/>
        <w:t>（2）移动：自己从一个房间到另一个房间；</w:t>
      </w:r>
    </w:p>
    <w:p>
      <w:pPr>
        <w:pStyle w:val="BodyText"/>
        <w:spacing w:before="119"/>
        <w:ind w:left="844"/>
      </w:pPr>
      <w:r>
        <w:rPr/>
        <w:t>（3）行动：自己上下床或上下轮椅；</w:t>
      </w:r>
    </w:p>
    <w:p>
      <w:pPr>
        <w:pStyle w:val="BodyText"/>
        <w:spacing w:before="119"/>
        <w:ind w:left="844"/>
      </w:pPr>
      <w:r>
        <w:rPr/>
        <w:t>（4）如厕：自己控制进行大小便；</w:t>
      </w:r>
    </w:p>
    <w:p>
      <w:pPr>
        <w:pStyle w:val="BodyText"/>
        <w:spacing w:before="119"/>
        <w:ind w:left="844"/>
      </w:pPr>
      <w:r>
        <w:rPr/>
        <w:t>（5）进食：自己从已准备好的碗或碟中取食物放入口中；</w:t>
      </w:r>
    </w:p>
    <w:p>
      <w:pPr>
        <w:pStyle w:val="BodyText"/>
        <w:spacing w:before="119"/>
        <w:ind w:left="844"/>
      </w:pPr>
      <w:r>
        <w:rPr/>
        <w:t>（6）洗澡：自己进行淋浴或盆浴。</w:t>
      </w:r>
    </w:p>
    <w:p>
      <w:pPr>
        <w:pStyle w:val="BodyText"/>
        <w:spacing w:before="5"/>
        <w:ind w:left="0"/>
        <w:rPr>
          <w:sz w:val="12"/>
        </w:rPr>
      </w:pPr>
    </w:p>
    <w:p>
      <w:pPr>
        <w:pStyle w:val="ListParagraph"/>
        <w:numPr>
          <w:ilvl w:val="1"/>
          <w:numId w:val="17"/>
        </w:numPr>
        <w:tabs>
          <w:tab w:pos="811" w:val="left" w:leader="none"/>
        </w:tabs>
        <w:spacing w:line="240" w:lineRule="auto" w:before="1" w:after="0"/>
        <w:ind w:left="810" w:right="0" w:hanging="679"/>
        <w:jc w:val="left"/>
        <w:rPr>
          <w:sz w:val="18"/>
        </w:rPr>
      </w:pPr>
      <w:r>
        <w:rPr>
          <w:spacing w:val="-2"/>
          <w:sz w:val="18"/>
        </w:rPr>
        <w:t>永久不可逆：指自疾病确诊或意外伤害发生之日起，经过积极治疗 </w:t>
      </w:r>
      <w:r>
        <w:rPr>
          <w:rFonts w:ascii="Arial" w:eastAsia="Arial"/>
          <w:sz w:val="18"/>
        </w:rPr>
        <w:t>180</w:t>
      </w:r>
      <w:r>
        <w:rPr>
          <w:rFonts w:ascii="Arial" w:eastAsia="Arial"/>
          <w:spacing w:val="-8"/>
          <w:sz w:val="18"/>
        </w:rPr>
        <w:t> </w:t>
      </w:r>
      <w:r>
        <w:rPr>
          <w:sz w:val="18"/>
        </w:rPr>
        <w:t>日后，仍无法通过现有医疗手段恢复。</w:t>
      </w:r>
    </w:p>
    <w:p>
      <w:pPr>
        <w:pStyle w:val="ListParagraph"/>
        <w:numPr>
          <w:ilvl w:val="1"/>
          <w:numId w:val="17"/>
        </w:numPr>
        <w:tabs>
          <w:tab w:pos="811" w:val="left" w:leader="none"/>
        </w:tabs>
        <w:spacing w:line="348" w:lineRule="auto" w:before="150" w:after="0"/>
        <w:ind w:left="810" w:right="458" w:hanging="679"/>
        <w:jc w:val="left"/>
        <w:rPr>
          <w:sz w:val="18"/>
        </w:rPr>
      </w:pPr>
      <w:r>
        <w:rPr>
          <w:spacing w:val="-3"/>
          <w:sz w:val="18"/>
        </w:rPr>
        <w:t>语言能力或咀嚼吞咽能力完全丧失：语言能力完全丧失，指无法发出四种语音</w:t>
      </w:r>
      <w:r>
        <w:rPr>
          <w:sz w:val="18"/>
        </w:rPr>
        <w:t>（</w:t>
      </w:r>
      <w:r>
        <w:rPr>
          <w:spacing w:val="-4"/>
          <w:sz w:val="18"/>
        </w:rPr>
        <w:t>包括口唇音、齿舌音、口盖音和喉头音</w:t>
      </w:r>
      <w:r>
        <w:rPr>
          <w:sz w:val="18"/>
        </w:rPr>
        <w:t>） 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1"/>
          <w:numId w:val="17"/>
        </w:numPr>
        <w:tabs>
          <w:tab w:pos="811" w:val="left" w:leader="none"/>
        </w:tabs>
        <w:spacing w:line="240" w:lineRule="auto" w:before="81" w:after="0"/>
        <w:ind w:left="810" w:right="0" w:hanging="679"/>
        <w:jc w:val="left"/>
        <w:rPr>
          <w:sz w:val="18"/>
        </w:rPr>
      </w:pPr>
      <w:r>
        <w:rPr>
          <w:spacing w:val="-1"/>
          <w:sz w:val="18"/>
        </w:rPr>
        <w:t>过敏：指过敏原如食物、药物、花粉、粉尘等导致人体异常的免疫反应，以医院诊断为准。</w:t>
      </w:r>
    </w:p>
    <w:p>
      <w:pPr>
        <w:pStyle w:val="ListParagraph"/>
        <w:numPr>
          <w:ilvl w:val="1"/>
          <w:numId w:val="17"/>
        </w:numPr>
        <w:tabs>
          <w:tab w:pos="811" w:val="left" w:leader="none"/>
        </w:tabs>
        <w:spacing w:line="240" w:lineRule="auto" w:before="149" w:after="0"/>
        <w:ind w:left="810" w:right="0" w:hanging="679"/>
        <w:jc w:val="left"/>
        <w:rPr>
          <w:sz w:val="18"/>
        </w:rPr>
      </w:pPr>
      <w:r>
        <w:rPr>
          <w:spacing w:val="-1"/>
          <w:sz w:val="18"/>
        </w:rPr>
        <w:t>原发性感染：指不继发于其他意外伤害事故的，由细菌、病毒或者其他致病原导致的感染。</w:t>
      </w:r>
    </w:p>
    <w:p>
      <w:pPr>
        <w:pStyle w:val="ListParagraph"/>
        <w:numPr>
          <w:ilvl w:val="1"/>
          <w:numId w:val="17"/>
        </w:numPr>
        <w:tabs>
          <w:tab w:pos="811" w:val="left" w:leader="none"/>
        </w:tabs>
        <w:spacing w:line="240" w:lineRule="auto" w:before="149" w:after="0"/>
        <w:ind w:left="810" w:right="0" w:hanging="679"/>
        <w:jc w:val="left"/>
        <w:rPr>
          <w:rFonts w:ascii="Times New Roman" w:eastAsia="Times New Roman"/>
          <w:sz w:val="18"/>
        </w:rPr>
      </w:pPr>
      <w:r>
        <w:rPr>
          <w:sz w:val="18"/>
        </w:rPr>
        <w:t>猝死：是指外表看似健康的人因突发的急性疾病，并直接且完全由于此</w:t>
      </w:r>
      <w:r>
        <w:rPr>
          <w:b/>
          <w:spacing w:val="2"/>
          <w:sz w:val="18"/>
        </w:rPr>
        <w:t>急性疾病</w:t>
      </w:r>
      <w:r>
        <w:rPr>
          <w:sz w:val="18"/>
        </w:rPr>
        <w:t>（见释义）</w:t>
      </w:r>
      <w:r>
        <w:rPr>
          <w:spacing w:val="6"/>
          <w:sz w:val="18"/>
        </w:rPr>
        <w:t>导致在急性疾病发生后 </w:t>
      </w:r>
      <w:r>
        <w:rPr>
          <w:rFonts w:ascii="Times New Roman" w:eastAsia="Times New Roman"/>
          <w:sz w:val="18"/>
        </w:rPr>
        <w:t>24</w:t>
      </w:r>
    </w:p>
    <w:p>
      <w:pPr>
        <w:pStyle w:val="BodyText"/>
        <w:spacing w:before="100"/>
        <w:ind w:left="810"/>
      </w:pPr>
      <w:r>
        <w:rPr/>
        <w:t>小时内突然死亡。猝死的认定以本公司认可的医院的诊断或公安部门的认定为准。</w:t>
      </w:r>
    </w:p>
    <w:p>
      <w:pPr>
        <w:pStyle w:val="BodyText"/>
        <w:spacing w:before="5"/>
        <w:ind w:left="0"/>
        <w:rPr>
          <w:sz w:val="12"/>
        </w:rPr>
      </w:pPr>
    </w:p>
    <w:p>
      <w:pPr>
        <w:pStyle w:val="ListParagraph"/>
        <w:numPr>
          <w:ilvl w:val="1"/>
          <w:numId w:val="17"/>
        </w:numPr>
        <w:tabs>
          <w:tab w:pos="811" w:val="left" w:leader="none"/>
        </w:tabs>
        <w:spacing w:line="240" w:lineRule="auto" w:before="0" w:after="0"/>
        <w:ind w:left="810" w:right="0" w:hanging="679"/>
        <w:jc w:val="left"/>
        <w:rPr>
          <w:sz w:val="18"/>
        </w:rPr>
      </w:pPr>
      <w:r>
        <w:rPr>
          <w:spacing w:val="-7"/>
          <w:sz w:val="18"/>
        </w:rPr>
        <w:t>急性疾病：是指被保险人在本合同生效之前未曾接受任何形式的诊断或治疗，且在本合同的有效期间内突然发生的疾病。</w:t>
      </w:r>
    </w:p>
    <w:p>
      <w:pPr>
        <w:pStyle w:val="BodyText"/>
        <w:spacing w:before="0"/>
        <w:ind w:left="0"/>
        <w:rPr>
          <w:sz w:val="20"/>
        </w:rPr>
      </w:pPr>
    </w:p>
    <w:p>
      <w:pPr>
        <w:pStyle w:val="BodyText"/>
        <w:spacing w:before="0"/>
        <w:ind w:left="0"/>
        <w:rPr>
          <w:sz w:val="19"/>
        </w:rPr>
      </w:pPr>
      <w:r>
        <w:rPr/>
        <w:pict>
          <v:line style="position:absolute;mso-position-horizontal-relative:page;mso-position-vertical-relative:paragraph;z-index:1072;mso-wrap-distance-left:0;mso-wrap-distance-right:0" from="48.119999pt,14.631709pt" to="575.139999pt,14.631709pt" stroked="true" strokeweight=".48pt" strokecolor="#000000">
            <v:stroke dashstyle="shortdot"/>
            <w10:wrap type="topAndBottom"/>
          </v:line>
        </w:pict>
      </w:r>
    </w:p>
    <w:p>
      <w:pPr>
        <w:spacing w:line="262" w:lineRule="exact" w:before="0"/>
        <w:ind w:left="4934" w:right="4935" w:firstLine="0"/>
        <w:jc w:val="center"/>
        <w:rPr>
          <w:sz w:val="21"/>
        </w:rPr>
      </w:pPr>
      <w:r>
        <w:rPr>
          <w:sz w:val="21"/>
        </w:rPr>
        <w:t>以下空白</w:t>
      </w:r>
    </w:p>
    <w:sectPr>
      <w:headerReference w:type="default" r:id="rId11"/>
      <w:footerReference w:type="default" r:id="rId12"/>
      <w:pgSz w:w="11910" w:h="16850"/>
      <w:pgMar w:header="0" w:footer="733" w:top="780" w:bottom="92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8.560001pt;margin-top:794.372498pt;width:34.1pt;height:12.1pt;mso-position-horizontal-relative:page;mso-position-vertical-relative:page;z-index:-16168" type="#_x0000_t202" filled="false" stroked="false">
          <v:textbox inset="0,0,0,0">
            <w:txbxContent>
              <w:p>
                <w:pPr>
                  <w:pStyle w:val="BodyText"/>
                  <w:spacing w:before="14"/>
                  <w:ind w:left="20"/>
                  <w:rPr>
                    <w:rFonts w:ascii="Arial"/>
                  </w:rPr>
                </w:pPr>
                <w:r>
                  <w:rPr>
                    <w:rFonts w:ascii="Arial"/>
                  </w:rPr>
                  <w:t>DD12-A</w:t>
                </w:r>
              </w:p>
            </w:txbxContent>
          </v:textbox>
          <w10:wrap type="none"/>
        </v:shape>
      </w:pict>
    </w:r>
    <w:r>
      <w:rPr/>
      <w:pict>
        <v:shape style="position:absolute;margin-left:413.190002pt;margin-top:794.785583pt;width:135.25pt;height:11pt;mso-position-horizontal-relative:page;mso-position-vertical-relative:page;z-index:-16144" type="#_x0000_t202" filled="false" stroked="false">
          <v:textbox inset="0,0,0,0">
            <w:txbxContent>
              <w:p>
                <w:pPr>
                  <w:pStyle w:val="BodyText"/>
                  <w:spacing w:line="200" w:lineRule="exact" w:before="0"/>
                  <w:ind w:left="20"/>
                </w:pPr>
                <w:r>
                  <w:rPr/>
                  <w:t>中美联泰大都会人寿[2016]252</w:t>
                </w:r>
                <w:r>
                  <w:rPr>
                    <w:spacing w:val="-20"/>
                  </w:rPr>
                  <w:t> 号</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8.560001pt;margin-top:794.372498pt;width:34.1pt;height:12.1pt;mso-position-horizontal-relative:page;mso-position-vertical-relative:page;z-index:-16120" type="#_x0000_t202" filled="false" stroked="false">
          <v:textbox inset="0,0,0,0">
            <w:txbxContent>
              <w:p>
                <w:pPr>
                  <w:pStyle w:val="BodyText"/>
                  <w:spacing w:before="14"/>
                  <w:ind w:left="20"/>
                  <w:rPr>
                    <w:rFonts w:ascii="Arial"/>
                  </w:rPr>
                </w:pPr>
                <w:r>
                  <w:rPr>
                    <w:rFonts w:ascii="Arial"/>
                  </w:rPr>
                  <w:t>DD12-A</w:t>
                </w:r>
              </w:p>
            </w:txbxContent>
          </v:textbox>
          <w10:wrap type="none"/>
        </v:shape>
      </w:pict>
    </w:r>
    <w:r>
      <w:rPr/>
      <w:pict>
        <v:shape style="position:absolute;margin-left:413.190002pt;margin-top:794.785583pt;width:135.25pt;height:11pt;mso-position-horizontal-relative:page;mso-position-vertical-relative:page;z-index:-16096" type="#_x0000_t202" filled="false" stroked="false">
          <v:textbox inset="0,0,0,0">
            <w:txbxContent>
              <w:p>
                <w:pPr>
                  <w:pStyle w:val="BodyText"/>
                  <w:spacing w:line="200" w:lineRule="exact" w:before="0"/>
                  <w:ind w:left="20"/>
                </w:pPr>
                <w:r>
                  <w:rPr/>
                  <w:t>中美联泰大都会人寿[2016]252</w:t>
                </w:r>
                <w:r>
                  <w:rPr>
                    <w:spacing w:val="-20"/>
                  </w:rPr>
                  <w:t> 号</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8.560001pt;margin-top:794.372498pt;width:34.1pt;height:12.1pt;mso-position-horizontal-relative:page;mso-position-vertical-relative:page;z-index:-16048" type="#_x0000_t202" filled="false" stroked="false">
          <v:textbox inset="0,0,0,0">
            <w:txbxContent>
              <w:p>
                <w:pPr>
                  <w:pStyle w:val="BodyText"/>
                  <w:spacing w:before="14"/>
                  <w:ind w:left="20"/>
                  <w:rPr>
                    <w:rFonts w:ascii="Arial"/>
                  </w:rPr>
                </w:pPr>
                <w:r>
                  <w:rPr>
                    <w:rFonts w:ascii="Arial"/>
                  </w:rPr>
                  <w:t>DD12-A</w:t>
                </w:r>
              </w:p>
            </w:txbxContent>
          </v:textbox>
          <w10:wrap type="none"/>
        </v:shape>
      </w:pict>
    </w:r>
    <w:r>
      <w:rPr/>
      <w:pict>
        <v:shape style="position:absolute;margin-left:413.190002pt;margin-top:794.785583pt;width:135.25pt;height:11pt;mso-position-horizontal-relative:page;mso-position-vertical-relative:page;z-index:-16024" type="#_x0000_t202" filled="false" stroked="false">
          <v:textbox inset="0,0,0,0">
            <w:txbxContent>
              <w:p>
                <w:pPr>
                  <w:pStyle w:val="BodyText"/>
                  <w:spacing w:line="200" w:lineRule="exact" w:before="0"/>
                  <w:ind w:left="20"/>
                </w:pPr>
                <w:r>
                  <w:rPr/>
                  <w:t>中美联泰大都会人寿[2016]252</w:t>
                </w:r>
                <w:r>
                  <w:rPr>
                    <w:spacing w:val="-20"/>
                  </w:rPr>
                  <w:t> 号</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29.51001pt;margin-top:42.250603pt;width:124.4pt;height:10.050pt;mso-position-horizontal-relative:page;mso-position-vertical-relative:page;z-index:-16192"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29.51001pt;margin-top:42.250603pt;width:124.4pt;height:10.050pt;mso-position-horizontal-relative:page;mso-position-vertical-relative:page;z-index:-16072"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24"/>
      <w:numFmt w:val="decimal"/>
      <w:lvlText w:val="%1"/>
      <w:lvlJc w:val="left"/>
      <w:pPr>
        <w:ind w:left="790" w:hanging="680"/>
        <w:jc w:val="left"/>
      </w:pPr>
      <w:rPr>
        <w:rFonts w:hint="default"/>
      </w:rPr>
    </w:lvl>
    <w:lvl w:ilvl="1">
      <w:start w:val="1"/>
      <w:numFmt w:val="decimal"/>
      <w:lvlText w:val="%1.%2."/>
      <w:lvlJc w:val="left"/>
      <w:pPr>
        <w:ind w:left="790" w:hanging="680"/>
        <w:jc w:val="left"/>
      </w:pPr>
      <w:rPr>
        <w:rFonts w:hint="default" w:ascii="Arial" w:hAnsi="Arial" w:eastAsia="Arial" w:cs="Arial"/>
        <w:w w:val="99"/>
        <w:sz w:val="18"/>
        <w:szCs w:val="18"/>
      </w:rPr>
    </w:lvl>
    <w:lvl w:ilvl="2">
      <w:start w:val="1"/>
      <w:numFmt w:val="decimal"/>
      <w:lvlText w:val="(%3)"/>
      <w:lvlJc w:val="left"/>
      <w:pPr>
        <w:ind w:left="1311" w:hanging="531"/>
        <w:jc w:val="left"/>
      </w:pPr>
      <w:rPr>
        <w:rFonts w:hint="default" w:ascii="Arial" w:hAnsi="Arial" w:eastAsia="Arial" w:cs="Arial"/>
        <w:spacing w:val="-89"/>
        <w:w w:val="99"/>
        <w:sz w:val="18"/>
        <w:szCs w:val="18"/>
      </w:rPr>
    </w:lvl>
    <w:lvl w:ilvl="3">
      <w:start w:val="0"/>
      <w:numFmt w:val="bullet"/>
      <w:lvlText w:val="•"/>
      <w:lvlJc w:val="left"/>
      <w:pPr>
        <w:ind w:left="3312" w:hanging="531"/>
      </w:pPr>
      <w:rPr>
        <w:rFonts w:hint="default"/>
      </w:rPr>
    </w:lvl>
    <w:lvl w:ilvl="4">
      <w:start w:val="0"/>
      <w:numFmt w:val="bullet"/>
      <w:lvlText w:val="•"/>
      <w:lvlJc w:val="left"/>
      <w:pPr>
        <w:ind w:left="4308" w:hanging="531"/>
      </w:pPr>
      <w:rPr>
        <w:rFonts w:hint="default"/>
      </w:rPr>
    </w:lvl>
    <w:lvl w:ilvl="5">
      <w:start w:val="0"/>
      <w:numFmt w:val="bullet"/>
      <w:lvlText w:val="•"/>
      <w:lvlJc w:val="left"/>
      <w:pPr>
        <w:ind w:left="5305" w:hanging="531"/>
      </w:pPr>
      <w:rPr>
        <w:rFonts w:hint="default"/>
      </w:rPr>
    </w:lvl>
    <w:lvl w:ilvl="6">
      <w:start w:val="0"/>
      <w:numFmt w:val="bullet"/>
      <w:lvlText w:val="•"/>
      <w:lvlJc w:val="left"/>
      <w:pPr>
        <w:ind w:left="6301" w:hanging="531"/>
      </w:pPr>
      <w:rPr>
        <w:rFonts w:hint="default"/>
      </w:rPr>
    </w:lvl>
    <w:lvl w:ilvl="7">
      <w:start w:val="0"/>
      <w:numFmt w:val="bullet"/>
      <w:lvlText w:val="•"/>
      <w:lvlJc w:val="left"/>
      <w:pPr>
        <w:ind w:left="7297" w:hanging="531"/>
      </w:pPr>
      <w:rPr>
        <w:rFonts w:hint="default"/>
      </w:rPr>
    </w:lvl>
    <w:lvl w:ilvl="8">
      <w:start w:val="0"/>
      <w:numFmt w:val="bullet"/>
      <w:lvlText w:val="•"/>
      <w:lvlJc w:val="left"/>
      <w:pPr>
        <w:ind w:left="8293" w:hanging="531"/>
      </w:pPr>
      <w:rPr>
        <w:rFonts w:hint="default"/>
      </w:rPr>
    </w:lvl>
  </w:abstractNum>
  <w:abstractNum w:abstractNumId="15">
    <w:multiLevelType w:val="hybridMultilevel"/>
    <w:lvl w:ilvl="0">
      <w:start w:val="1"/>
      <w:numFmt w:val="upperRoman"/>
      <w:lvlText w:val="%1"/>
      <w:lvlJc w:val="left"/>
      <w:pPr>
        <w:ind w:left="894" w:hanging="104"/>
        <w:jc w:val="left"/>
      </w:pPr>
      <w:rPr>
        <w:rFonts w:hint="default" w:ascii="Times New Roman" w:hAnsi="Times New Roman" w:eastAsia="Times New Roman" w:cs="Times New Roman"/>
        <w:w w:val="99"/>
        <w:sz w:val="18"/>
        <w:szCs w:val="18"/>
      </w:rPr>
    </w:lvl>
    <w:lvl w:ilvl="1">
      <w:start w:val="0"/>
      <w:numFmt w:val="bullet"/>
      <w:lvlText w:val="•"/>
      <w:lvlJc w:val="left"/>
      <w:pPr>
        <w:ind w:left="1848" w:hanging="104"/>
      </w:pPr>
      <w:rPr>
        <w:rFonts w:hint="default"/>
      </w:rPr>
    </w:lvl>
    <w:lvl w:ilvl="2">
      <w:start w:val="0"/>
      <w:numFmt w:val="bullet"/>
      <w:lvlText w:val="•"/>
      <w:lvlJc w:val="left"/>
      <w:pPr>
        <w:ind w:left="2797" w:hanging="104"/>
      </w:pPr>
      <w:rPr>
        <w:rFonts w:hint="default"/>
      </w:rPr>
    </w:lvl>
    <w:lvl w:ilvl="3">
      <w:start w:val="0"/>
      <w:numFmt w:val="bullet"/>
      <w:lvlText w:val="•"/>
      <w:lvlJc w:val="left"/>
      <w:pPr>
        <w:ind w:left="3745" w:hanging="104"/>
      </w:pPr>
      <w:rPr>
        <w:rFonts w:hint="default"/>
      </w:rPr>
    </w:lvl>
    <w:lvl w:ilvl="4">
      <w:start w:val="0"/>
      <w:numFmt w:val="bullet"/>
      <w:lvlText w:val="•"/>
      <w:lvlJc w:val="left"/>
      <w:pPr>
        <w:ind w:left="4694" w:hanging="104"/>
      </w:pPr>
      <w:rPr>
        <w:rFonts w:hint="default"/>
      </w:rPr>
    </w:lvl>
    <w:lvl w:ilvl="5">
      <w:start w:val="0"/>
      <w:numFmt w:val="bullet"/>
      <w:lvlText w:val="•"/>
      <w:lvlJc w:val="left"/>
      <w:pPr>
        <w:ind w:left="5643" w:hanging="104"/>
      </w:pPr>
      <w:rPr>
        <w:rFonts w:hint="default"/>
      </w:rPr>
    </w:lvl>
    <w:lvl w:ilvl="6">
      <w:start w:val="0"/>
      <w:numFmt w:val="bullet"/>
      <w:lvlText w:val="•"/>
      <w:lvlJc w:val="left"/>
      <w:pPr>
        <w:ind w:left="6591" w:hanging="104"/>
      </w:pPr>
      <w:rPr>
        <w:rFonts w:hint="default"/>
      </w:rPr>
    </w:lvl>
    <w:lvl w:ilvl="7">
      <w:start w:val="0"/>
      <w:numFmt w:val="bullet"/>
      <w:lvlText w:val="•"/>
      <w:lvlJc w:val="left"/>
      <w:pPr>
        <w:ind w:left="7540" w:hanging="104"/>
      </w:pPr>
      <w:rPr>
        <w:rFonts w:hint="default"/>
      </w:rPr>
    </w:lvl>
    <w:lvl w:ilvl="8">
      <w:start w:val="0"/>
      <w:numFmt w:val="bullet"/>
      <w:lvlText w:val="•"/>
      <w:lvlJc w:val="left"/>
      <w:pPr>
        <w:ind w:left="8489" w:hanging="104"/>
      </w:pPr>
      <w:rPr>
        <w:rFonts w:hint="default"/>
      </w:rPr>
    </w:lvl>
  </w:abstractNum>
  <w:abstractNum w:abstractNumId="14">
    <w:multiLevelType w:val="hybridMultilevel"/>
    <w:lvl w:ilvl="0">
      <w:start w:val="23"/>
      <w:numFmt w:val="decimal"/>
      <w:lvlText w:val="%1"/>
      <w:lvlJc w:val="left"/>
      <w:pPr>
        <w:ind w:left="790" w:hanging="680"/>
        <w:jc w:val="left"/>
      </w:pPr>
      <w:rPr>
        <w:rFonts w:hint="default"/>
      </w:rPr>
    </w:lvl>
    <w:lvl w:ilvl="1">
      <w:start w:val="1"/>
      <w:numFmt w:val="decimal"/>
      <w:lvlText w:val="%1.%2"/>
      <w:lvlJc w:val="left"/>
      <w:pPr>
        <w:ind w:left="790" w:hanging="680"/>
        <w:jc w:val="left"/>
      </w:pPr>
      <w:rPr>
        <w:rFonts w:hint="default" w:ascii="Arial" w:hAnsi="Arial" w:eastAsia="Arial" w:cs="Arial"/>
        <w:w w:val="99"/>
        <w:sz w:val="18"/>
        <w:szCs w:val="18"/>
      </w:rPr>
    </w:lvl>
    <w:lvl w:ilvl="2">
      <w:start w:val="0"/>
      <w:numFmt w:val="bullet"/>
      <w:lvlText w:val="•"/>
      <w:lvlJc w:val="left"/>
      <w:pPr>
        <w:ind w:left="2451" w:hanging="680"/>
      </w:pPr>
      <w:rPr>
        <w:rFonts w:hint="default"/>
      </w:rPr>
    </w:lvl>
    <w:lvl w:ilvl="3">
      <w:start w:val="0"/>
      <w:numFmt w:val="bullet"/>
      <w:lvlText w:val="•"/>
      <w:lvlJc w:val="left"/>
      <w:pPr>
        <w:ind w:left="3443" w:hanging="680"/>
      </w:pPr>
      <w:rPr>
        <w:rFonts w:hint="default"/>
      </w:rPr>
    </w:lvl>
    <w:lvl w:ilvl="4">
      <w:start w:val="0"/>
      <w:numFmt w:val="bullet"/>
      <w:lvlText w:val="•"/>
      <w:lvlJc w:val="left"/>
      <w:pPr>
        <w:ind w:left="4435" w:hanging="680"/>
      </w:pPr>
      <w:rPr>
        <w:rFonts w:hint="default"/>
      </w:rPr>
    </w:lvl>
    <w:lvl w:ilvl="5">
      <w:start w:val="0"/>
      <w:numFmt w:val="bullet"/>
      <w:lvlText w:val="•"/>
      <w:lvlJc w:val="left"/>
      <w:pPr>
        <w:ind w:left="5427" w:hanging="680"/>
      </w:pPr>
      <w:rPr>
        <w:rFonts w:hint="default"/>
      </w:rPr>
    </w:lvl>
    <w:lvl w:ilvl="6">
      <w:start w:val="0"/>
      <w:numFmt w:val="bullet"/>
      <w:lvlText w:val="•"/>
      <w:lvlJc w:val="left"/>
      <w:pPr>
        <w:ind w:left="6419" w:hanging="680"/>
      </w:pPr>
      <w:rPr>
        <w:rFonts w:hint="default"/>
      </w:rPr>
    </w:lvl>
    <w:lvl w:ilvl="7">
      <w:start w:val="0"/>
      <w:numFmt w:val="bullet"/>
      <w:lvlText w:val="•"/>
      <w:lvlJc w:val="left"/>
      <w:pPr>
        <w:ind w:left="7410" w:hanging="680"/>
      </w:pPr>
      <w:rPr>
        <w:rFonts w:hint="default"/>
      </w:rPr>
    </w:lvl>
    <w:lvl w:ilvl="8">
      <w:start w:val="0"/>
      <w:numFmt w:val="bullet"/>
      <w:lvlText w:val="•"/>
      <w:lvlJc w:val="left"/>
      <w:pPr>
        <w:ind w:left="8402" w:hanging="680"/>
      </w:pPr>
      <w:rPr>
        <w:rFonts w:hint="default"/>
      </w:rPr>
    </w:lvl>
  </w:abstractNum>
  <w:abstractNum w:abstractNumId="13">
    <w:multiLevelType w:val="hybridMultilevel"/>
    <w:lvl w:ilvl="0">
      <w:start w:val="20"/>
      <w:numFmt w:val="decimal"/>
      <w:lvlText w:val="%1"/>
      <w:lvlJc w:val="left"/>
      <w:pPr>
        <w:ind w:left="790" w:hanging="680"/>
        <w:jc w:val="left"/>
      </w:pPr>
      <w:rPr>
        <w:rFonts w:hint="default"/>
      </w:rPr>
    </w:lvl>
    <w:lvl w:ilvl="1">
      <w:start w:val="1"/>
      <w:numFmt w:val="decimal"/>
      <w:lvlText w:val="%1.%2"/>
      <w:lvlJc w:val="left"/>
      <w:pPr>
        <w:ind w:left="790" w:hanging="680"/>
        <w:jc w:val="left"/>
      </w:pPr>
      <w:rPr>
        <w:rFonts w:hint="default" w:ascii="Arial" w:hAnsi="Arial" w:eastAsia="Arial" w:cs="Arial"/>
        <w:w w:val="99"/>
        <w:sz w:val="18"/>
        <w:szCs w:val="18"/>
      </w:rPr>
    </w:lvl>
    <w:lvl w:ilvl="2">
      <w:start w:val="1"/>
      <w:numFmt w:val="decimal"/>
      <w:lvlText w:val="%1.%2.%3"/>
      <w:lvlJc w:val="left"/>
      <w:pPr>
        <w:ind w:left="1414" w:hanging="737"/>
        <w:jc w:val="left"/>
      </w:pPr>
      <w:rPr>
        <w:rFonts w:hint="default" w:ascii="Arial" w:hAnsi="Arial" w:eastAsia="Arial" w:cs="Arial"/>
        <w:w w:val="99"/>
        <w:sz w:val="18"/>
        <w:szCs w:val="18"/>
      </w:rPr>
    </w:lvl>
    <w:lvl w:ilvl="3">
      <w:start w:val="0"/>
      <w:numFmt w:val="bullet"/>
      <w:lvlText w:val="•"/>
      <w:lvlJc w:val="left"/>
      <w:pPr>
        <w:ind w:left="3412" w:hanging="737"/>
      </w:pPr>
      <w:rPr>
        <w:rFonts w:hint="default"/>
      </w:rPr>
    </w:lvl>
    <w:lvl w:ilvl="4">
      <w:start w:val="0"/>
      <w:numFmt w:val="bullet"/>
      <w:lvlText w:val="•"/>
      <w:lvlJc w:val="left"/>
      <w:pPr>
        <w:ind w:left="4408" w:hanging="737"/>
      </w:pPr>
      <w:rPr>
        <w:rFonts w:hint="default"/>
      </w:rPr>
    </w:lvl>
    <w:lvl w:ilvl="5">
      <w:start w:val="0"/>
      <w:numFmt w:val="bullet"/>
      <w:lvlText w:val="•"/>
      <w:lvlJc w:val="left"/>
      <w:pPr>
        <w:ind w:left="5405" w:hanging="737"/>
      </w:pPr>
      <w:rPr>
        <w:rFonts w:hint="default"/>
      </w:rPr>
    </w:lvl>
    <w:lvl w:ilvl="6">
      <w:start w:val="0"/>
      <w:numFmt w:val="bullet"/>
      <w:lvlText w:val="•"/>
      <w:lvlJc w:val="left"/>
      <w:pPr>
        <w:ind w:left="6401" w:hanging="737"/>
      </w:pPr>
      <w:rPr>
        <w:rFonts w:hint="default"/>
      </w:rPr>
    </w:lvl>
    <w:lvl w:ilvl="7">
      <w:start w:val="0"/>
      <w:numFmt w:val="bullet"/>
      <w:lvlText w:val="•"/>
      <w:lvlJc w:val="left"/>
      <w:pPr>
        <w:ind w:left="7397" w:hanging="737"/>
      </w:pPr>
      <w:rPr>
        <w:rFonts w:hint="default"/>
      </w:rPr>
    </w:lvl>
    <w:lvl w:ilvl="8">
      <w:start w:val="0"/>
      <w:numFmt w:val="bullet"/>
      <w:lvlText w:val="•"/>
      <w:lvlJc w:val="left"/>
      <w:pPr>
        <w:ind w:left="8393" w:hanging="737"/>
      </w:pPr>
      <w:rPr>
        <w:rFonts w:hint="default"/>
      </w:rPr>
    </w:lvl>
  </w:abstractNum>
  <w:abstractNum w:abstractNumId="12">
    <w:multiLevelType w:val="hybridMultilevel"/>
    <w:lvl w:ilvl="0">
      <w:start w:val="19"/>
      <w:numFmt w:val="decimal"/>
      <w:lvlText w:val="%1"/>
      <w:lvlJc w:val="left"/>
      <w:pPr>
        <w:ind w:left="790" w:hanging="680"/>
        <w:jc w:val="left"/>
      </w:pPr>
      <w:rPr>
        <w:rFonts w:hint="default"/>
      </w:rPr>
    </w:lvl>
    <w:lvl w:ilvl="1">
      <w:start w:val="1"/>
      <w:numFmt w:val="decimal"/>
      <w:lvlText w:val="%1.%2"/>
      <w:lvlJc w:val="left"/>
      <w:pPr>
        <w:ind w:left="790" w:hanging="680"/>
        <w:jc w:val="left"/>
      </w:pPr>
      <w:rPr>
        <w:rFonts w:hint="default" w:ascii="Arial" w:hAnsi="Arial" w:eastAsia="Arial" w:cs="Arial"/>
        <w:spacing w:val="-1"/>
        <w:w w:val="99"/>
        <w:sz w:val="18"/>
        <w:szCs w:val="18"/>
      </w:rPr>
    </w:lvl>
    <w:lvl w:ilvl="2">
      <w:start w:val="0"/>
      <w:numFmt w:val="bullet"/>
      <w:lvlText w:val="•"/>
      <w:lvlJc w:val="left"/>
      <w:pPr>
        <w:ind w:left="2717" w:hanging="680"/>
      </w:pPr>
      <w:rPr>
        <w:rFonts w:hint="default"/>
      </w:rPr>
    </w:lvl>
    <w:lvl w:ilvl="3">
      <w:start w:val="0"/>
      <w:numFmt w:val="bullet"/>
      <w:lvlText w:val="•"/>
      <w:lvlJc w:val="left"/>
      <w:pPr>
        <w:ind w:left="3675" w:hanging="680"/>
      </w:pPr>
      <w:rPr>
        <w:rFonts w:hint="default"/>
      </w:rPr>
    </w:lvl>
    <w:lvl w:ilvl="4">
      <w:start w:val="0"/>
      <w:numFmt w:val="bullet"/>
      <w:lvlText w:val="•"/>
      <w:lvlJc w:val="left"/>
      <w:pPr>
        <w:ind w:left="4634" w:hanging="680"/>
      </w:pPr>
      <w:rPr>
        <w:rFonts w:hint="default"/>
      </w:rPr>
    </w:lvl>
    <w:lvl w:ilvl="5">
      <w:start w:val="0"/>
      <w:numFmt w:val="bullet"/>
      <w:lvlText w:val="•"/>
      <w:lvlJc w:val="left"/>
      <w:pPr>
        <w:ind w:left="5593" w:hanging="680"/>
      </w:pPr>
      <w:rPr>
        <w:rFonts w:hint="default"/>
      </w:rPr>
    </w:lvl>
    <w:lvl w:ilvl="6">
      <w:start w:val="0"/>
      <w:numFmt w:val="bullet"/>
      <w:lvlText w:val="•"/>
      <w:lvlJc w:val="left"/>
      <w:pPr>
        <w:ind w:left="6551" w:hanging="680"/>
      </w:pPr>
      <w:rPr>
        <w:rFonts w:hint="default"/>
      </w:rPr>
    </w:lvl>
    <w:lvl w:ilvl="7">
      <w:start w:val="0"/>
      <w:numFmt w:val="bullet"/>
      <w:lvlText w:val="•"/>
      <w:lvlJc w:val="left"/>
      <w:pPr>
        <w:ind w:left="7510" w:hanging="680"/>
      </w:pPr>
      <w:rPr>
        <w:rFonts w:hint="default"/>
      </w:rPr>
    </w:lvl>
    <w:lvl w:ilvl="8">
      <w:start w:val="0"/>
      <w:numFmt w:val="bullet"/>
      <w:lvlText w:val="•"/>
      <w:lvlJc w:val="left"/>
      <w:pPr>
        <w:ind w:left="8469" w:hanging="680"/>
      </w:pPr>
      <w:rPr>
        <w:rFonts w:hint="default"/>
      </w:rPr>
    </w:lvl>
  </w:abstractNum>
  <w:abstractNum w:abstractNumId="11">
    <w:multiLevelType w:val="hybridMultilevel"/>
    <w:lvl w:ilvl="0">
      <w:start w:val="16"/>
      <w:numFmt w:val="decimal"/>
      <w:lvlText w:val="%1"/>
      <w:lvlJc w:val="left"/>
      <w:pPr>
        <w:ind w:left="790" w:hanging="680"/>
        <w:jc w:val="left"/>
      </w:pPr>
      <w:rPr>
        <w:rFonts w:hint="default"/>
      </w:rPr>
    </w:lvl>
    <w:lvl w:ilvl="1">
      <w:start w:val="1"/>
      <w:numFmt w:val="decimal"/>
      <w:lvlText w:val="%1.%2"/>
      <w:lvlJc w:val="left"/>
      <w:pPr>
        <w:ind w:left="790" w:hanging="680"/>
        <w:jc w:val="left"/>
      </w:pPr>
      <w:rPr>
        <w:rFonts w:hint="default" w:ascii="Arial" w:hAnsi="Arial" w:eastAsia="Arial" w:cs="Arial"/>
        <w:w w:val="99"/>
        <w:sz w:val="18"/>
        <w:szCs w:val="18"/>
      </w:rPr>
    </w:lvl>
    <w:lvl w:ilvl="2">
      <w:start w:val="1"/>
      <w:numFmt w:val="decimal"/>
      <w:lvlText w:val="(%3)"/>
      <w:lvlJc w:val="left"/>
      <w:pPr>
        <w:ind w:left="1246" w:hanging="428"/>
        <w:jc w:val="left"/>
      </w:pPr>
      <w:rPr>
        <w:rFonts w:hint="default" w:ascii="Arial" w:hAnsi="Arial" w:eastAsia="Arial" w:cs="Arial"/>
        <w:w w:val="99"/>
        <w:sz w:val="18"/>
        <w:szCs w:val="18"/>
      </w:rPr>
    </w:lvl>
    <w:lvl w:ilvl="3">
      <w:start w:val="0"/>
      <w:numFmt w:val="bullet"/>
      <w:lvlText w:val="•"/>
      <w:lvlJc w:val="left"/>
      <w:pPr>
        <w:ind w:left="3268" w:hanging="428"/>
      </w:pPr>
      <w:rPr>
        <w:rFonts w:hint="default"/>
      </w:rPr>
    </w:lvl>
    <w:lvl w:ilvl="4">
      <w:start w:val="0"/>
      <w:numFmt w:val="bullet"/>
      <w:lvlText w:val="•"/>
      <w:lvlJc w:val="left"/>
      <w:pPr>
        <w:ind w:left="4282" w:hanging="428"/>
      </w:pPr>
      <w:rPr>
        <w:rFonts w:hint="default"/>
      </w:rPr>
    </w:lvl>
    <w:lvl w:ilvl="5">
      <w:start w:val="0"/>
      <w:numFmt w:val="bullet"/>
      <w:lvlText w:val="•"/>
      <w:lvlJc w:val="left"/>
      <w:pPr>
        <w:ind w:left="5296" w:hanging="428"/>
      </w:pPr>
      <w:rPr>
        <w:rFonts w:hint="default"/>
      </w:rPr>
    </w:lvl>
    <w:lvl w:ilvl="6">
      <w:start w:val="0"/>
      <w:numFmt w:val="bullet"/>
      <w:lvlText w:val="•"/>
      <w:lvlJc w:val="left"/>
      <w:pPr>
        <w:ind w:left="6310" w:hanging="428"/>
      </w:pPr>
      <w:rPr>
        <w:rFonts w:hint="default"/>
      </w:rPr>
    </w:lvl>
    <w:lvl w:ilvl="7">
      <w:start w:val="0"/>
      <w:numFmt w:val="bullet"/>
      <w:lvlText w:val="•"/>
      <w:lvlJc w:val="left"/>
      <w:pPr>
        <w:ind w:left="7324" w:hanging="428"/>
      </w:pPr>
      <w:rPr>
        <w:rFonts w:hint="default"/>
      </w:rPr>
    </w:lvl>
    <w:lvl w:ilvl="8">
      <w:start w:val="0"/>
      <w:numFmt w:val="bullet"/>
      <w:lvlText w:val="•"/>
      <w:lvlJc w:val="left"/>
      <w:pPr>
        <w:ind w:left="8338" w:hanging="428"/>
      </w:pPr>
      <w:rPr>
        <w:rFonts w:hint="default"/>
      </w:rPr>
    </w:lvl>
  </w:abstractNum>
  <w:abstractNum w:abstractNumId="10">
    <w:multiLevelType w:val="hybridMultilevel"/>
    <w:lvl w:ilvl="0">
      <w:start w:val="14"/>
      <w:numFmt w:val="decimal"/>
      <w:lvlText w:val="%1"/>
      <w:lvlJc w:val="left"/>
      <w:pPr>
        <w:ind w:left="790" w:hanging="680"/>
        <w:jc w:val="left"/>
      </w:pPr>
      <w:rPr>
        <w:rFonts w:hint="default"/>
      </w:rPr>
    </w:lvl>
    <w:lvl w:ilvl="1">
      <w:start w:val="1"/>
      <w:numFmt w:val="decimal"/>
      <w:lvlText w:val="%1.%2"/>
      <w:lvlJc w:val="left"/>
      <w:pPr>
        <w:ind w:left="790" w:hanging="680"/>
        <w:jc w:val="left"/>
      </w:pPr>
      <w:rPr>
        <w:rFonts w:hint="default" w:ascii="Arial" w:hAnsi="Arial" w:eastAsia="Arial" w:cs="Arial"/>
        <w:w w:val="99"/>
        <w:sz w:val="18"/>
        <w:szCs w:val="18"/>
      </w:rPr>
    </w:lvl>
    <w:lvl w:ilvl="2">
      <w:start w:val="1"/>
      <w:numFmt w:val="decimal"/>
      <w:lvlText w:val="(%3)"/>
      <w:lvlJc w:val="left"/>
      <w:pPr>
        <w:ind w:left="1246" w:hanging="399"/>
        <w:jc w:val="left"/>
      </w:pPr>
      <w:rPr>
        <w:rFonts w:hint="default" w:ascii="宋体" w:hAnsi="宋体" w:eastAsia="宋体" w:cs="宋体"/>
        <w:b/>
        <w:bCs/>
        <w:spacing w:val="0"/>
        <w:w w:val="99"/>
        <w:sz w:val="18"/>
        <w:szCs w:val="18"/>
      </w:rPr>
    </w:lvl>
    <w:lvl w:ilvl="3">
      <w:start w:val="0"/>
      <w:numFmt w:val="bullet"/>
      <w:lvlText w:val="•"/>
      <w:lvlJc w:val="left"/>
      <w:pPr>
        <w:ind w:left="3268" w:hanging="399"/>
      </w:pPr>
      <w:rPr>
        <w:rFonts w:hint="default"/>
      </w:rPr>
    </w:lvl>
    <w:lvl w:ilvl="4">
      <w:start w:val="0"/>
      <w:numFmt w:val="bullet"/>
      <w:lvlText w:val="•"/>
      <w:lvlJc w:val="left"/>
      <w:pPr>
        <w:ind w:left="4282" w:hanging="399"/>
      </w:pPr>
      <w:rPr>
        <w:rFonts w:hint="default"/>
      </w:rPr>
    </w:lvl>
    <w:lvl w:ilvl="5">
      <w:start w:val="0"/>
      <w:numFmt w:val="bullet"/>
      <w:lvlText w:val="•"/>
      <w:lvlJc w:val="left"/>
      <w:pPr>
        <w:ind w:left="5296" w:hanging="399"/>
      </w:pPr>
      <w:rPr>
        <w:rFonts w:hint="default"/>
      </w:rPr>
    </w:lvl>
    <w:lvl w:ilvl="6">
      <w:start w:val="0"/>
      <w:numFmt w:val="bullet"/>
      <w:lvlText w:val="•"/>
      <w:lvlJc w:val="left"/>
      <w:pPr>
        <w:ind w:left="6310" w:hanging="399"/>
      </w:pPr>
      <w:rPr>
        <w:rFonts w:hint="default"/>
      </w:rPr>
    </w:lvl>
    <w:lvl w:ilvl="7">
      <w:start w:val="0"/>
      <w:numFmt w:val="bullet"/>
      <w:lvlText w:val="•"/>
      <w:lvlJc w:val="left"/>
      <w:pPr>
        <w:ind w:left="7324" w:hanging="399"/>
      </w:pPr>
      <w:rPr>
        <w:rFonts w:hint="default"/>
      </w:rPr>
    </w:lvl>
    <w:lvl w:ilvl="8">
      <w:start w:val="0"/>
      <w:numFmt w:val="bullet"/>
      <w:lvlText w:val="•"/>
      <w:lvlJc w:val="left"/>
      <w:pPr>
        <w:ind w:left="8338" w:hanging="399"/>
      </w:pPr>
      <w:rPr>
        <w:rFonts w:hint="default"/>
      </w:rPr>
    </w:lvl>
  </w:abstractNum>
  <w:abstractNum w:abstractNumId="9">
    <w:multiLevelType w:val="hybridMultilevel"/>
    <w:lvl w:ilvl="0">
      <w:start w:val="13"/>
      <w:numFmt w:val="decimal"/>
      <w:lvlText w:val="%1"/>
      <w:lvlJc w:val="left"/>
      <w:pPr>
        <w:ind w:left="790" w:hanging="680"/>
        <w:jc w:val="left"/>
      </w:pPr>
      <w:rPr>
        <w:rFonts w:hint="default"/>
      </w:rPr>
    </w:lvl>
    <w:lvl w:ilvl="1">
      <w:start w:val="1"/>
      <w:numFmt w:val="decimal"/>
      <w:lvlText w:val="%1.%2"/>
      <w:lvlJc w:val="left"/>
      <w:pPr>
        <w:ind w:left="790" w:hanging="680"/>
        <w:jc w:val="left"/>
      </w:pPr>
      <w:rPr>
        <w:rFonts w:hint="default" w:ascii="Arial" w:hAnsi="Arial" w:eastAsia="Arial" w:cs="Arial"/>
        <w:w w:val="99"/>
        <w:sz w:val="18"/>
        <w:szCs w:val="18"/>
      </w:rPr>
    </w:lvl>
    <w:lvl w:ilvl="2">
      <w:start w:val="0"/>
      <w:numFmt w:val="bullet"/>
      <w:lvlText w:val="•"/>
      <w:lvlJc w:val="left"/>
      <w:pPr>
        <w:ind w:left="2713" w:hanging="680"/>
      </w:pPr>
      <w:rPr>
        <w:rFonts w:hint="default"/>
      </w:rPr>
    </w:lvl>
    <w:lvl w:ilvl="3">
      <w:start w:val="0"/>
      <w:numFmt w:val="bullet"/>
      <w:lvlText w:val="•"/>
      <w:lvlJc w:val="left"/>
      <w:pPr>
        <w:ind w:left="3669" w:hanging="680"/>
      </w:pPr>
      <w:rPr>
        <w:rFonts w:hint="default"/>
      </w:rPr>
    </w:lvl>
    <w:lvl w:ilvl="4">
      <w:start w:val="0"/>
      <w:numFmt w:val="bullet"/>
      <w:lvlText w:val="•"/>
      <w:lvlJc w:val="left"/>
      <w:pPr>
        <w:ind w:left="4626" w:hanging="680"/>
      </w:pPr>
      <w:rPr>
        <w:rFonts w:hint="default"/>
      </w:rPr>
    </w:lvl>
    <w:lvl w:ilvl="5">
      <w:start w:val="0"/>
      <w:numFmt w:val="bullet"/>
      <w:lvlText w:val="•"/>
      <w:lvlJc w:val="left"/>
      <w:pPr>
        <w:ind w:left="5583" w:hanging="680"/>
      </w:pPr>
      <w:rPr>
        <w:rFonts w:hint="default"/>
      </w:rPr>
    </w:lvl>
    <w:lvl w:ilvl="6">
      <w:start w:val="0"/>
      <w:numFmt w:val="bullet"/>
      <w:lvlText w:val="•"/>
      <w:lvlJc w:val="left"/>
      <w:pPr>
        <w:ind w:left="6539" w:hanging="680"/>
      </w:pPr>
      <w:rPr>
        <w:rFonts w:hint="default"/>
      </w:rPr>
    </w:lvl>
    <w:lvl w:ilvl="7">
      <w:start w:val="0"/>
      <w:numFmt w:val="bullet"/>
      <w:lvlText w:val="•"/>
      <w:lvlJc w:val="left"/>
      <w:pPr>
        <w:ind w:left="7496" w:hanging="680"/>
      </w:pPr>
      <w:rPr>
        <w:rFonts w:hint="default"/>
      </w:rPr>
    </w:lvl>
    <w:lvl w:ilvl="8">
      <w:start w:val="0"/>
      <w:numFmt w:val="bullet"/>
      <w:lvlText w:val="•"/>
      <w:lvlJc w:val="left"/>
      <w:pPr>
        <w:ind w:left="8453" w:hanging="680"/>
      </w:pPr>
      <w:rPr>
        <w:rFonts w:hint="default"/>
      </w:rPr>
    </w:lvl>
  </w:abstractNum>
  <w:abstractNum w:abstractNumId="8">
    <w:multiLevelType w:val="hybridMultilevel"/>
    <w:lvl w:ilvl="0">
      <w:start w:val="11"/>
      <w:numFmt w:val="decimal"/>
      <w:lvlText w:val="%1"/>
      <w:lvlJc w:val="left"/>
      <w:pPr>
        <w:ind w:left="790" w:hanging="680"/>
        <w:jc w:val="left"/>
      </w:pPr>
      <w:rPr>
        <w:rFonts w:hint="default"/>
      </w:rPr>
    </w:lvl>
    <w:lvl w:ilvl="1">
      <w:start w:val="1"/>
      <w:numFmt w:val="decimal"/>
      <w:lvlText w:val="%1.%2"/>
      <w:lvlJc w:val="left"/>
      <w:pPr>
        <w:ind w:left="790" w:hanging="680"/>
        <w:jc w:val="left"/>
      </w:pPr>
      <w:rPr>
        <w:rFonts w:hint="default" w:ascii="Arial" w:hAnsi="Arial" w:eastAsia="Arial" w:cs="Arial"/>
        <w:w w:val="99"/>
        <w:sz w:val="18"/>
        <w:szCs w:val="18"/>
      </w:rPr>
    </w:lvl>
    <w:lvl w:ilvl="2">
      <w:start w:val="0"/>
      <w:numFmt w:val="bullet"/>
      <w:lvlText w:val="•"/>
      <w:lvlJc w:val="left"/>
      <w:pPr>
        <w:ind w:left="2713" w:hanging="680"/>
      </w:pPr>
      <w:rPr>
        <w:rFonts w:hint="default"/>
      </w:rPr>
    </w:lvl>
    <w:lvl w:ilvl="3">
      <w:start w:val="0"/>
      <w:numFmt w:val="bullet"/>
      <w:lvlText w:val="•"/>
      <w:lvlJc w:val="left"/>
      <w:pPr>
        <w:ind w:left="3669" w:hanging="680"/>
      </w:pPr>
      <w:rPr>
        <w:rFonts w:hint="default"/>
      </w:rPr>
    </w:lvl>
    <w:lvl w:ilvl="4">
      <w:start w:val="0"/>
      <w:numFmt w:val="bullet"/>
      <w:lvlText w:val="•"/>
      <w:lvlJc w:val="left"/>
      <w:pPr>
        <w:ind w:left="4626" w:hanging="680"/>
      </w:pPr>
      <w:rPr>
        <w:rFonts w:hint="default"/>
      </w:rPr>
    </w:lvl>
    <w:lvl w:ilvl="5">
      <w:start w:val="0"/>
      <w:numFmt w:val="bullet"/>
      <w:lvlText w:val="•"/>
      <w:lvlJc w:val="left"/>
      <w:pPr>
        <w:ind w:left="5583" w:hanging="680"/>
      </w:pPr>
      <w:rPr>
        <w:rFonts w:hint="default"/>
      </w:rPr>
    </w:lvl>
    <w:lvl w:ilvl="6">
      <w:start w:val="0"/>
      <w:numFmt w:val="bullet"/>
      <w:lvlText w:val="•"/>
      <w:lvlJc w:val="left"/>
      <w:pPr>
        <w:ind w:left="6539" w:hanging="680"/>
      </w:pPr>
      <w:rPr>
        <w:rFonts w:hint="default"/>
      </w:rPr>
    </w:lvl>
    <w:lvl w:ilvl="7">
      <w:start w:val="0"/>
      <w:numFmt w:val="bullet"/>
      <w:lvlText w:val="•"/>
      <w:lvlJc w:val="left"/>
      <w:pPr>
        <w:ind w:left="7496" w:hanging="680"/>
      </w:pPr>
      <w:rPr>
        <w:rFonts w:hint="default"/>
      </w:rPr>
    </w:lvl>
    <w:lvl w:ilvl="8">
      <w:start w:val="0"/>
      <w:numFmt w:val="bullet"/>
      <w:lvlText w:val="•"/>
      <w:lvlJc w:val="left"/>
      <w:pPr>
        <w:ind w:left="8453" w:hanging="680"/>
      </w:pPr>
      <w:rPr>
        <w:rFonts w:hint="default"/>
      </w:rPr>
    </w:lvl>
  </w:abstractNum>
  <w:abstractNum w:abstractNumId="7">
    <w:multiLevelType w:val="hybridMultilevel"/>
    <w:lvl w:ilvl="0">
      <w:start w:val="10"/>
      <w:numFmt w:val="decimal"/>
      <w:lvlText w:val="%1"/>
      <w:lvlJc w:val="left"/>
      <w:pPr>
        <w:ind w:left="790" w:hanging="680"/>
        <w:jc w:val="left"/>
      </w:pPr>
      <w:rPr>
        <w:rFonts w:hint="default"/>
      </w:rPr>
    </w:lvl>
    <w:lvl w:ilvl="1">
      <w:start w:val="1"/>
      <w:numFmt w:val="decimal"/>
      <w:lvlText w:val="%1.%2"/>
      <w:lvlJc w:val="left"/>
      <w:pPr>
        <w:ind w:left="790" w:hanging="680"/>
        <w:jc w:val="left"/>
      </w:pPr>
      <w:rPr>
        <w:rFonts w:hint="default" w:ascii="Arial" w:hAnsi="Arial" w:eastAsia="Arial" w:cs="Arial"/>
        <w:w w:val="99"/>
        <w:sz w:val="18"/>
        <w:szCs w:val="18"/>
      </w:rPr>
    </w:lvl>
    <w:lvl w:ilvl="2">
      <w:start w:val="1"/>
      <w:numFmt w:val="decimal"/>
      <w:lvlText w:val="(%3)"/>
      <w:lvlJc w:val="left"/>
      <w:pPr>
        <w:ind w:left="1371" w:hanging="420"/>
        <w:jc w:val="left"/>
      </w:pPr>
      <w:rPr>
        <w:rFonts w:hint="default" w:ascii="Arial" w:hAnsi="Arial" w:eastAsia="Arial" w:cs="Arial"/>
        <w:spacing w:val="-1"/>
        <w:w w:val="99"/>
        <w:sz w:val="18"/>
        <w:szCs w:val="18"/>
      </w:rPr>
    </w:lvl>
    <w:lvl w:ilvl="3">
      <w:start w:val="0"/>
      <w:numFmt w:val="bullet"/>
      <w:lvlText w:val="•"/>
      <w:lvlJc w:val="left"/>
      <w:pPr>
        <w:ind w:left="3376" w:hanging="420"/>
      </w:pPr>
      <w:rPr>
        <w:rFonts w:hint="default"/>
      </w:rPr>
    </w:lvl>
    <w:lvl w:ilvl="4">
      <w:start w:val="0"/>
      <w:numFmt w:val="bullet"/>
      <w:lvlText w:val="•"/>
      <w:lvlJc w:val="left"/>
      <w:pPr>
        <w:ind w:left="4375" w:hanging="420"/>
      </w:pPr>
      <w:rPr>
        <w:rFonts w:hint="default"/>
      </w:rPr>
    </w:lvl>
    <w:lvl w:ilvl="5">
      <w:start w:val="0"/>
      <w:numFmt w:val="bullet"/>
      <w:lvlText w:val="•"/>
      <w:lvlJc w:val="left"/>
      <w:pPr>
        <w:ind w:left="5373" w:hanging="420"/>
      </w:pPr>
      <w:rPr>
        <w:rFonts w:hint="default"/>
      </w:rPr>
    </w:lvl>
    <w:lvl w:ilvl="6">
      <w:start w:val="0"/>
      <w:numFmt w:val="bullet"/>
      <w:lvlText w:val="•"/>
      <w:lvlJc w:val="left"/>
      <w:pPr>
        <w:ind w:left="6372" w:hanging="420"/>
      </w:pPr>
      <w:rPr>
        <w:rFonts w:hint="default"/>
      </w:rPr>
    </w:lvl>
    <w:lvl w:ilvl="7">
      <w:start w:val="0"/>
      <w:numFmt w:val="bullet"/>
      <w:lvlText w:val="•"/>
      <w:lvlJc w:val="left"/>
      <w:pPr>
        <w:ind w:left="7370" w:hanging="420"/>
      </w:pPr>
      <w:rPr>
        <w:rFonts w:hint="default"/>
      </w:rPr>
    </w:lvl>
    <w:lvl w:ilvl="8">
      <w:start w:val="0"/>
      <w:numFmt w:val="bullet"/>
      <w:lvlText w:val="•"/>
      <w:lvlJc w:val="left"/>
      <w:pPr>
        <w:ind w:left="8369" w:hanging="420"/>
      </w:pPr>
      <w:rPr>
        <w:rFonts w:hint="default"/>
      </w:rPr>
    </w:lvl>
  </w:abstractNum>
  <w:abstractNum w:abstractNumId="6">
    <w:multiLevelType w:val="hybridMultilevel"/>
    <w:lvl w:ilvl="0">
      <w:start w:val="9"/>
      <w:numFmt w:val="decimal"/>
      <w:lvlText w:val="%1"/>
      <w:lvlJc w:val="left"/>
      <w:pPr>
        <w:ind w:left="790" w:hanging="680"/>
        <w:jc w:val="left"/>
      </w:pPr>
      <w:rPr>
        <w:rFonts w:hint="default"/>
      </w:rPr>
    </w:lvl>
    <w:lvl w:ilvl="1">
      <w:start w:val="1"/>
      <w:numFmt w:val="decimal"/>
      <w:lvlText w:val="%1.%2"/>
      <w:lvlJc w:val="left"/>
      <w:pPr>
        <w:ind w:left="790" w:hanging="680"/>
        <w:jc w:val="left"/>
      </w:pPr>
      <w:rPr>
        <w:rFonts w:hint="default" w:ascii="Arial" w:hAnsi="Arial" w:eastAsia="Arial" w:cs="Arial"/>
        <w:spacing w:val="-1"/>
        <w:w w:val="99"/>
        <w:sz w:val="18"/>
        <w:szCs w:val="18"/>
      </w:rPr>
    </w:lvl>
    <w:lvl w:ilvl="2">
      <w:start w:val="1"/>
      <w:numFmt w:val="decimal"/>
      <w:lvlText w:val="(%3)"/>
      <w:lvlJc w:val="left"/>
      <w:pPr>
        <w:ind w:left="1246" w:hanging="420"/>
        <w:jc w:val="left"/>
      </w:pPr>
      <w:rPr>
        <w:rFonts w:hint="default" w:ascii="Arial" w:hAnsi="Arial" w:eastAsia="Arial" w:cs="Arial"/>
        <w:spacing w:val="-1"/>
        <w:w w:val="99"/>
        <w:sz w:val="18"/>
        <w:szCs w:val="18"/>
      </w:rPr>
    </w:lvl>
    <w:lvl w:ilvl="3">
      <w:start w:val="0"/>
      <w:numFmt w:val="bullet"/>
      <w:lvlText w:val="•"/>
      <w:lvlJc w:val="left"/>
      <w:pPr>
        <w:ind w:left="3268" w:hanging="420"/>
      </w:pPr>
      <w:rPr>
        <w:rFonts w:hint="default"/>
      </w:rPr>
    </w:lvl>
    <w:lvl w:ilvl="4">
      <w:start w:val="0"/>
      <w:numFmt w:val="bullet"/>
      <w:lvlText w:val="•"/>
      <w:lvlJc w:val="left"/>
      <w:pPr>
        <w:ind w:left="4282" w:hanging="420"/>
      </w:pPr>
      <w:rPr>
        <w:rFonts w:hint="default"/>
      </w:rPr>
    </w:lvl>
    <w:lvl w:ilvl="5">
      <w:start w:val="0"/>
      <w:numFmt w:val="bullet"/>
      <w:lvlText w:val="•"/>
      <w:lvlJc w:val="left"/>
      <w:pPr>
        <w:ind w:left="5296" w:hanging="420"/>
      </w:pPr>
      <w:rPr>
        <w:rFonts w:hint="default"/>
      </w:rPr>
    </w:lvl>
    <w:lvl w:ilvl="6">
      <w:start w:val="0"/>
      <w:numFmt w:val="bullet"/>
      <w:lvlText w:val="•"/>
      <w:lvlJc w:val="left"/>
      <w:pPr>
        <w:ind w:left="6310" w:hanging="420"/>
      </w:pPr>
      <w:rPr>
        <w:rFonts w:hint="default"/>
      </w:rPr>
    </w:lvl>
    <w:lvl w:ilvl="7">
      <w:start w:val="0"/>
      <w:numFmt w:val="bullet"/>
      <w:lvlText w:val="•"/>
      <w:lvlJc w:val="left"/>
      <w:pPr>
        <w:ind w:left="7324" w:hanging="420"/>
      </w:pPr>
      <w:rPr>
        <w:rFonts w:hint="default"/>
      </w:rPr>
    </w:lvl>
    <w:lvl w:ilvl="8">
      <w:start w:val="0"/>
      <w:numFmt w:val="bullet"/>
      <w:lvlText w:val="•"/>
      <w:lvlJc w:val="left"/>
      <w:pPr>
        <w:ind w:left="8338" w:hanging="420"/>
      </w:pPr>
      <w:rPr>
        <w:rFonts w:hint="default"/>
      </w:rPr>
    </w:lvl>
  </w:abstractNum>
  <w:abstractNum w:abstractNumId="5">
    <w:multiLevelType w:val="hybridMultilevel"/>
    <w:lvl w:ilvl="0">
      <w:start w:val="8"/>
      <w:numFmt w:val="decimal"/>
      <w:lvlText w:val="%1"/>
      <w:lvlJc w:val="left"/>
      <w:pPr>
        <w:ind w:left="790" w:hanging="680"/>
        <w:jc w:val="left"/>
      </w:pPr>
      <w:rPr>
        <w:rFonts w:hint="default"/>
      </w:rPr>
    </w:lvl>
    <w:lvl w:ilvl="1">
      <w:start w:val="1"/>
      <w:numFmt w:val="decimal"/>
      <w:lvlText w:val="%1.%2"/>
      <w:lvlJc w:val="left"/>
      <w:pPr>
        <w:ind w:left="790" w:hanging="680"/>
        <w:jc w:val="left"/>
      </w:pPr>
      <w:rPr>
        <w:rFonts w:hint="default" w:ascii="Arial" w:hAnsi="Arial" w:eastAsia="Arial" w:cs="Arial"/>
        <w:w w:val="99"/>
        <w:sz w:val="18"/>
        <w:szCs w:val="18"/>
      </w:rPr>
    </w:lvl>
    <w:lvl w:ilvl="2">
      <w:start w:val="0"/>
      <w:numFmt w:val="bullet"/>
      <w:lvlText w:val="•"/>
      <w:lvlJc w:val="left"/>
      <w:pPr>
        <w:ind w:left="2713" w:hanging="680"/>
      </w:pPr>
      <w:rPr>
        <w:rFonts w:hint="default"/>
      </w:rPr>
    </w:lvl>
    <w:lvl w:ilvl="3">
      <w:start w:val="0"/>
      <w:numFmt w:val="bullet"/>
      <w:lvlText w:val="•"/>
      <w:lvlJc w:val="left"/>
      <w:pPr>
        <w:ind w:left="3669" w:hanging="680"/>
      </w:pPr>
      <w:rPr>
        <w:rFonts w:hint="default"/>
      </w:rPr>
    </w:lvl>
    <w:lvl w:ilvl="4">
      <w:start w:val="0"/>
      <w:numFmt w:val="bullet"/>
      <w:lvlText w:val="•"/>
      <w:lvlJc w:val="left"/>
      <w:pPr>
        <w:ind w:left="4626" w:hanging="680"/>
      </w:pPr>
      <w:rPr>
        <w:rFonts w:hint="default"/>
      </w:rPr>
    </w:lvl>
    <w:lvl w:ilvl="5">
      <w:start w:val="0"/>
      <w:numFmt w:val="bullet"/>
      <w:lvlText w:val="•"/>
      <w:lvlJc w:val="left"/>
      <w:pPr>
        <w:ind w:left="5583" w:hanging="680"/>
      </w:pPr>
      <w:rPr>
        <w:rFonts w:hint="default"/>
      </w:rPr>
    </w:lvl>
    <w:lvl w:ilvl="6">
      <w:start w:val="0"/>
      <w:numFmt w:val="bullet"/>
      <w:lvlText w:val="•"/>
      <w:lvlJc w:val="left"/>
      <w:pPr>
        <w:ind w:left="6539" w:hanging="680"/>
      </w:pPr>
      <w:rPr>
        <w:rFonts w:hint="default"/>
      </w:rPr>
    </w:lvl>
    <w:lvl w:ilvl="7">
      <w:start w:val="0"/>
      <w:numFmt w:val="bullet"/>
      <w:lvlText w:val="•"/>
      <w:lvlJc w:val="left"/>
      <w:pPr>
        <w:ind w:left="7496" w:hanging="680"/>
      </w:pPr>
      <w:rPr>
        <w:rFonts w:hint="default"/>
      </w:rPr>
    </w:lvl>
    <w:lvl w:ilvl="8">
      <w:start w:val="0"/>
      <w:numFmt w:val="bullet"/>
      <w:lvlText w:val="•"/>
      <w:lvlJc w:val="left"/>
      <w:pPr>
        <w:ind w:left="8453" w:hanging="680"/>
      </w:pPr>
      <w:rPr>
        <w:rFonts w:hint="default"/>
      </w:rPr>
    </w:lvl>
  </w:abstractNum>
  <w:abstractNum w:abstractNumId="4">
    <w:multiLevelType w:val="hybridMultilevel"/>
    <w:lvl w:ilvl="0">
      <w:start w:val="6"/>
      <w:numFmt w:val="decimal"/>
      <w:lvlText w:val="%1"/>
      <w:lvlJc w:val="left"/>
      <w:pPr>
        <w:ind w:left="790" w:hanging="680"/>
        <w:jc w:val="left"/>
      </w:pPr>
      <w:rPr>
        <w:rFonts w:hint="default"/>
      </w:rPr>
    </w:lvl>
    <w:lvl w:ilvl="1">
      <w:start w:val="1"/>
      <w:numFmt w:val="decimal"/>
      <w:lvlText w:val="%1.%2"/>
      <w:lvlJc w:val="left"/>
      <w:pPr>
        <w:ind w:left="790" w:hanging="680"/>
        <w:jc w:val="left"/>
      </w:pPr>
      <w:rPr>
        <w:rFonts w:hint="default" w:ascii="Arial" w:hAnsi="Arial" w:eastAsia="Arial" w:cs="Arial"/>
        <w:spacing w:val="-46"/>
        <w:w w:val="94"/>
        <w:sz w:val="18"/>
        <w:szCs w:val="18"/>
      </w:rPr>
    </w:lvl>
    <w:lvl w:ilvl="2">
      <w:start w:val="0"/>
      <w:numFmt w:val="bullet"/>
      <w:lvlText w:val="•"/>
      <w:lvlJc w:val="left"/>
      <w:pPr>
        <w:ind w:left="2713" w:hanging="680"/>
      </w:pPr>
      <w:rPr>
        <w:rFonts w:hint="default"/>
      </w:rPr>
    </w:lvl>
    <w:lvl w:ilvl="3">
      <w:start w:val="0"/>
      <w:numFmt w:val="bullet"/>
      <w:lvlText w:val="•"/>
      <w:lvlJc w:val="left"/>
      <w:pPr>
        <w:ind w:left="3669" w:hanging="680"/>
      </w:pPr>
      <w:rPr>
        <w:rFonts w:hint="default"/>
      </w:rPr>
    </w:lvl>
    <w:lvl w:ilvl="4">
      <w:start w:val="0"/>
      <w:numFmt w:val="bullet"/>
      <w:lvlText w:val="•"/>
      <w:lvlJc w:val="left"/>
      <w:pPr>
        <w:ind w:left="4626" w:hanging="680"/>
      </w:pPr>
      <w:rPr>
        <w:rFonts w:hint="default"/>
      </w:rPr>
    </w:lvl>
    <w:lvl w:ilvl="5">
      <w:start w:val="0"/>
      <w:numFmt w:val="bullet"/>
      <w:lvlText w:val="•"/>
      <w:lvlJc w:val="left"/>
      <w:pPr>
        <w:ind w:left="5583" w:hanging="680"/>
      </w:pPr>
      <w:rPr>
        <w:rFonts w:hint="default"/>
      </w:rPr>
    </w:lvl>
    <w:lvl w:ilvl="6">
      <w:start w:val="0"/>
      <w:numFmt w:val="bullet"/>
      <w:lvlText w:val="•"/>
      <w:lvlJc w:val="left"/>
      <w:pPr>
        <w:ind w:left="6539" w:hanging="680"/>
      </w:pPr>
      <w:rPr>
        <w:rFonts w:hint="default"/>
      </w:rPr>
    </w:lvl>
    <w:lvl w:ilvl="7">
      <w:start w:val="0"/>
      <w:numFmt w:val="bullet"/>
      <w:lvlText w:val="•"/>
      <w:lvlJc w:val="left"/>
      <w:pPr>
        <w:ind w:left="7496" w:hanging="680"/>
      </w:pPr>
      <w:rPr>
        <w:rFonts w:hint="default"/>
      </w:rPr>
    </w:lvl>
    <w:lvl w:ilvl="8">
      <w:start w:val="0"/>
      <w:numFmt w:val="bullet"/>
      <w:lvlText w:val="•"/>
      <w:lvlJc w:val="left"/>
      <w:pPr>
        <w:ind w:left="8453" w:hanging="680"/>
      </w:pPr>
      <w:rPr>
        <w:rFonts w:hint="default"/>
      </w:rPr>
    </w:lvl>
  </w:abstractNum>
  <w:abstractNum w:abstractNumId="3">
    <w:multiLevelType w:val="hybridMultilevel"/>
    <w:lvl w:ilvl="0">
      <w:start w:val="5"/>
      <w:numFmt w:val="decimal"/>
      <w:lvlText w:val="%1"/>
      <w:lvlJc w:val="left"/>
      <w:pPr>
        <w:ind w:left="790" w:hanging="680"/>
        <w:jc w:val="left"/>
      </w:pPr>
      <w:rPr>
        <w:rFonts w:hint="default"/>
      </w:rPr>
    </w:lvl>
    <w:lvl w:ilvl="1">
      <w:start w:val="1"/>
      <w:numFmt w:val="decimal"/>
      <w:lvlText w:val="%1.%2"/>
      <w:lvlJc w:val="left"/>
      <w:pPr>
        <w:ind w:left="790" w:hanging="680"/>
        <w:jc w:val="left"/>
      </w:pPr>
      <w:rPr>
        <w:rFonts w:hint="default" w:ascii="Arial" w:hAnsi="Arial" w:eastAsia="Arial" w:cs="Arial"/>
        <w:w w:val="99"/>
        <w:sz w:val="18"/>
        <w:szCs w:val="18"/>
      </w:rPr>
    </w:lvl>
    <w:lvl w:ilvl="2">
      <w:start w:val="1"/>
      <w:numFmt w:val="decimal"/>
      <w:lvlText w:val="(%3)"/>
      <w:lvlJc w:val="left"/>
      <w:pPr>
        <w:ind w:left="1246" w:hanging="420"/>
        <w:jc w:val="left"/>
      </w:pPr>
      <w:rPr>
        <w:rFonts w:hint="default" w:ascii="Arial" w:hAnsi="Arial" w:eastAsia="Arial" w:cs="Arial"/>
        <w:spacing w:val="-1"/>
        <w:w w:val="99"/>
        <w:sz w:val="18"/>
        <w:szCs w:val="18"/>
      </w:rPr>
    </w:lvl>
    <w:lvl w:ilvl="3">
      <w:start w:val="0"/>
      <w:numFmt w:val="bullet"/>
      <w:lvlText w:val="•"/>
      <w:lvlJc w:val="left"/>
      <w:pPr>
        <w:ind w:left="3250" w:hanging="420"/>
      </w:pPr>
      <w:rPr>
        <w:rFonts w:hint="default"/>
      </w:rPr>
    </w:lvl>
    <w:lvl w:ilvl="4">
      <w:start w:val="0"/>
      <w:numFmt w:val="bullet"/>
      <w:lvlText w:val="•"/>
      <w:lvlJc w:val="left"/>
      <w:pPr>
        <w:ind w:left="4255" w:hanging="420"/>
      </w:pPr>
      <w:rPr>
        <w:rFonts w:hint="default"/>
      </w:rPr>
    </w:lvl>
    <w:lvl w:ilvl="5">
      <w:start w:val="0"/>
      <w:numFmt w:val="bullet"/>
      <w:lvlText w:val="•"/>
      <w:lvlJc w:val="left"/>
      <w:pPr>
        <w:ind w:left="5260" w:hanging="420"/>
      </w:pPr>
      <w:rPr>
        <w:rFonts w:hint="default"/>
      </w:rPr>
    </w:lvl>
    <w:lvl w:ilvl="6">
      <w:start w:val="0"/>
      <w:numFmt w:val="bullet"/>
      <w:lvlText w:val="•"/>
      <w:lvlJc w:val="left"/>
      <w:pPr>
        <w:ind w:left="6265" w:hanging="420"/>
      </w:pPr>
      <w:rPr>
        <w:rFonts w:hint="default"/>
      </w:rPr>
    </w:lvl>
    <w:lvl w:ilvl="7">
      <w:start w:val="0"/>
      <w:numFmt w:val="bullet"/>
      <w:lvlText w:val="•"/>
      <w:lvlJc w:val="left"/>
      <w:pPr>
        <w:ind w:left="7270" w:hanging="420"/>
      </w:pPr>
      <w:rPr>
        <w:rFonts w:hint="default"/>
      </w:rPr>
    </w:lvl>
    <w:lvl w:ilvl="8">
      <w:start w:val="0"/>
      <w:numFmt w:val="bullet"/>
      <w:lvlText w:val="•"/>
      <w:lvlJc w:val="left"/>
      <w:pPr>
        <w:ind w:left="8276" w:hanging="420"/>
      </w:pPr>
      <w:rPr>
        <w:rFonts w:hint="default"/>
      </w:rPr>
    </w:lvl>
  </w:abstractNum>
  <w:abstractNum w:abstractNumId="2">
    <w:multiLevelType w:val="hybridMultilevel"/>
    <w:lvl w:ilvl="0">
      <w:start w:val="4"/>
      <w:numFmt w:val="decimal"/>
      <w:lvlText w:val="%1"/>
      <w:lvlJc w:val="left"/>
      <w:pPr>
        <w:ind w:left="790" w:hanging="680"/>
        <w:jc w:val="left"/>
      </w:pPr>
      <w:rPr>
        <w:rFonts w:hint="default"/>
      </w:rPr>
    </w:lvl>
    <w:lvl w:ilvl="1">
      <w:start w:val="1"/>
      <w:numFmt w:val="decimal"/>
      <w:lvlText w:val="%1.%2"/>
      <w:lvlJc w:val="left"/>
      <w:pPr>
        <w:ind w:left="790" w:hanging="680"/>
        <w:jc w:val="left"/>
      </w:pPr>
      <w:rPr>
        <w:rFonts w:hint="default" w:ascii="Arial" w:hAnsi="Arial" w:eastAsia="Arial" w:cs="Arial"/>
        <w:spacing w:val="-47"/>
        <w:w w:val="99"/>
        <w:sz w:val="18"/>
        <w:szCs w:val="18"/>
      </w:rPr>
    </w:lvl>
    <w:lvl w:ilvl="2">
      <w:start w:val="0"/>
      <w:numFmt w:val="bullet"/>
      <w:lvlText w:val="•"/>
      <w:lvlJc w:val="left"/>
      <w:pPr>
        <w:ind w:left="2697" w:hanging="680"/>
      </w:pPr>
      <w:rPr>
        <w:rFonts w:hint="default"/>
      </w:rPr>
    </w:lvl>
    <w:lvl w:ilvl="3">
      <w:start w:val="0"/>
      <w:numFmt w:val="bullet"/>
      <w:lvlText w:val="•"/>
      <w:lvlJc w:val="left"/>
      <w:pPr>
        <w:ind w:left="3645" w:hanging="680"/>
      </w:pPr>
      <w:rPr>
        <w:rFonts w:hint="default"/>
      </w:rPr>
    </w:lvl>
    <w:lvl w:ilvl="4">
      <w:start w:val="0"/>
      <w:numFmt w:val="bullet"/>
      <w:lvlText w:val="•"/>
      <w:lvlJc w:val="left"/>
      <w:pPr>
        <w:ind w:left="4594" w:hanging="680"/>
      </w:pPr>
      <w:rPr>
        <w:rFonts w:hint="default"/>
      </w:rPr>
    </w:lvl>
    <w:lvl w:ilvl="5">
      <w:start w:val="0"/>
      <w:numFmt w:val="bullet"/>
      <w:lvlText w:val="•"/>
      <w:lvlJc w:val="left"/>
      <w:pPr>
        <w:ind w:left="5543" w:hanging="680"/>
      </w:pPr>
      <w:rPr>
        <w:rFonts w:hint="default"/>
      </w:rPr>
    </w:lvl>
    <w:lvl w:ilvl="6">
      <w:start w:val="0"/>
      <w:numFmt w:val="bullet"/>
      <w:lvlText w:val="•"/>
      <w:lvlJc w:val="left"/>
      <w:pPr>
        <w:ind w:left="6491" w:hanging="680"/>
      </w:pPr>
      <w:rPr>
        <w:rFonts w:hint="default"/>
      </w:rPr>
    </w:lvl>
    <w:lvl w:ilvl="7">
      <w:start w:val="0"/>
      <w:numFmt w:val="bullet"/>
      <w:lvlText w:val="•"/>
      <w:lvlJc w:val="left"/>
      <w:pPr>
        <w:ind w:left="7440" w:hanging="680"/>
      </w:pPr>
      <w:rPr>
        <w:rFonts w:hint="default"/>
      </w:rPr>
    </w:lvl>
    <w:lvl w:ilvl="8">
      <w:start w:val="0"/>
      <w:numFmt w:val="bullet"/>
      <w:lvlText w:val="•"/>
      <w:lvlJc w:val="left"/>
      <w:pPr>
        <w:ind w:left="8389" w:hanging="680"/>
      </w:pPr>
      <w:rPr>
        <w:rFonts w:hint="default"/>
      </w:rPr>
    </w:lvl>
  </w:abstractNum>
  <w:abstractNum w:abstractNumId="1">
    <w:multiLevelType w:val="hybridMultilevel"/>
    <w:lvl w:ilvl="0">
      <w:start w:val="3"/>
      <w:numFmt w:val="decimal"/>
      <w:lvlText w:val="%1"/>
      <w:lvlJc w:val="left"/>
      <w:pPr>
        <w:ind w:left="790" w:hanging="680"/>
        <w:jc w:val="left"/>
      </w:pPr>
      <w:rPr>
        <w:rFonts w:hint="default"/>
      </w:rPr>
    </w:lvl>
    <w:lvl w:ilvl="1">
      <w:start w:val="1"/>
      <w:numFmt w:val="decimal"/>
      <w:lvlText w:val="%1.%2"/>
      <w:lvlJc w:val="left"/>
      <w:pPr>
        <w:ind w:left="790" w:hanging="680"/>
        <w:jc w:val="left"/>
      </w:pPr>
      <w:rPr>
        <w:rFonts w:hint="default" w:ascii="Arial" w:hAnsi="Arial" w:eastAsia="Arial" w:cs="Arial"/>
        <w:spacing w:val="-1"/>
        <w:w w:val="99"/>
        <w:sz w:val="18"/>
        <w:szCs w:val="18"/>
      </w:rPr>
    </w:lvl>
    <w:lvl w:ilvl="2">
      <w:start w:val="1"/>
      <w:numFmt w:val="decimal"/>
      <w:lvlText w:val="(%3)"/>
      <w:lvlJc w:val="left"/>
      <w:pPr>
        <w:ind w:left="1246" w:hanging="420"/>
        <w:jc w:val="left"/>
      </w:pPr>
      <w:rPr>
        <w:rFonts w:hint="default" w:ascii="Arial" w:hAnsi="Arial" w:eastAsia="Arial" w:cs="Arial"/>
        <w:spacing w:val="-1"/>
        <w:w w:val="99"/>
        <w:sz w:val="18"/>
        <w:szCs w:val="18"/>
      </w:rPr>
    </w:lvl>
    <w:lvl w:ilvl="3">
      <w:start w:val="0"/>
      <w:numFmt w:val="bullet"/>
      <w:lvlText w:val="•"/>
      <w:lvlJc w:val="left"/>
      <w:pPr>
        <w:ind w:left="3250" w:hanging="420"/>
      </w:pPr>
      <w:rPr>
        <w:rFonts w:hint="default"/>
      </w:rPr>
    </w:lvl>
    <w:lvl w:ilvl="4">
      <w:start w:val="0"/>
      <w:numFmt w:val="bullet"/>
      <w:lvlText w:val="•"/>
      <w:lvlJc w:val="left"/>
      <w:pPr>
        <w:ind w:left="4255" w:hanging="420"/>
      </w:pPr>
      <w:rPr>
        <w:rFonts w:hint="default"/>
      </w:rPr>
    </w:lvl>
    <w:lvl w:ilvl="5">
      <w:start w:val="0"/>
      <w:numFmt w:val="bullet"/>
      <w:lvlText w:val="•"/>
      <w:lvlJc w:val="left"/>
      <w:pPr>
        <w:ind w:left="5260" w:hanging="420"/>
      </w:pPr>
      <w:rPr>
        <w:rFonts w:hint="default"/>
      </w:rPr>
    </w:lvl>
    <w:lvl w:ilvl="6">
      <w:start w:val="0"/>
      <w:numFmt w:val="bullet"/>
      <w:lvlText w:val="•"/>
      <w:lvlJc w:val="left"/>
      <w:pPr>
        <w:ind w:left="6265" w:hanging="420"/>
      </w:pPr>
      <w:rPr>
        <w:rFonts w:hint="default"/>
      </w:rPr>
    </w:lvl>
    <w:lvl w:ilvl="7">
      <w:start w:val="0"/>
      <w:numFmt w:val="bullet"/>
      <w:lvlText w:val="•"/>
      <w:lvlJc w:val="left"/>
      <w:pPr>
        <w:ind w:left="7270" w:hanging="420"/>
      </w:pPr>
      <w:rPr>
        <w:rFonts w:hint="default"/>
      </w:rPr>
    </w:lvl>
    <w:lvl w:ilvl="8">
      <w:start w:val="0"/>
      <w:numFmt w:val="bullet"/>
      <w:lvlText w:val="•"/>
      <w:lvlJc w:val="left"/>
      <w:pPr>
        <w:ind w:left="8276" w:hanging="420"/>
      </w:pPr>
      <w:rPr>
        <w:rFonts w:hint="default"/>
      </w:rPr>
    </w:lvl>
  </w:abstractNum>
  <w:abstractNum w:abstractNumId="0">
    <w:multiLevelType w:val="hybridMultilevel"/>
    <w:lvl w:ilvl="0">
      <w:start w:val="2"/>
      <w:numFmt w:val="decimal"/>
      <w:lvlText w:val="%1"/>
      <w:lvlJc w:val="left"/>
      <w:pPr>
        <w:ind w:left="790" w:hanging="680"/>
        <w:jc w:val="left"/>
      </w:pPr>
      <w:rPr>
        <w:rFonts w:hint="default"/>
      </w:rPr>
    </w:lvl>
    <w:lvl w:ilvl="1">
      <w:start w:val="1"/>
      <w:numFmt w:val="decimal"/>
      <w:lvlText w:val="%1.%2"/>
      <w:lvlJc w:val="left"/>
      <w:pPr>
        <w:ind w:left="790" w:hanging="680"/>
        <w:jc w:val="left"/>
      </w:pPr>
      <w:rPr>
        <w:rFonts w:hint="default" w:ascii="Arial" w:hAnsi="Arial" w:eastAsia="Arial" w:cs="Arial"/>
        <w:spacing w:val="-89"/>
        <w:w w:val="99"/>
        <w:sz w:val="18"/>
        <w:szCs w:val="18"/>
      </w:rPr>
    </w:lvl>
    <w:lvl w:ilvl="2">
      <w:start w:val="0"/>
      <w:numFmt w:val="bullet"/>
      <w:lvlText w:val="•"/>
      <w:lvlJc w:val="left"/>
      <w:pPr>
        <w:ind w:left="2697" w:hanging="680"/>
      </w:pPr>
      <w:rPr>
        <w:rFonts w:hint="default"/>
      </w:rPr>
    </w:lvl>
    <w:lvl w:ilvl="3">
      <w:start w:val="0"/>
      <w:numFmt w:val="bullet"/>
      <w:lvlText w:val="•"/>
      <w:lvlJc w:val="left"/>
      <w:pPr>
        <w:ind w:left="3645" w:hanging="680"/>
      </w:pPr>
      <w:rPr>
        <w:rFonts w:hint="default"/>
      </w:rPr>
    </w:lvl>
    <w:lvl w:ilvl="4">
      <w:start w:val="0"/>
      <w:numFmt w:val="bullet"/>
      <w:lvlText w:val="•"/>
      <w:lvlJc w:val="left"/>
      <w:pPr>
        <w:ind w:left="4594" w:hanging="680"/>
      </w:pPr>
      <w:rPr>
        <w:rFonts w:hint="default"/>
      </w:rPr>
    </w:lvl>
    <w:lvl w:ilvl="5">
      <w:start w:val="0"/>
      <w:numFmt w:val="bullet"/>
      <w:lvlText w:val="•"/>
      <w:lvlJc w:val="left"/>
      <w:pPr>
        <w:ind w:left="5543" w:hanging="680"/>
      </w:pPr>
      <w:rPr>
        <w:rFonts w:hint="default"/>
      </w:rPr>
    </w:lvl>
    <w:lvl w:ilvl="6">
      <w:start w:val="0"/>
      <w:numFmt w:val="bullet"/>
      <w:lvlText w:val="•"/>
      <w:lvlJc w:val="left"/>
      <w:pPr>
        <w:ind w:left="6491" w:hanging="680"/>
      </w:pPr>
      <w:rPr>
        <w:rFonts w:hint="default"/>
      </w:rPr>
    </w:lvl>
    <w:lvl w:ilvl="7">
      <w:start w:val="0"/>
      <w:numFmt w:val="bullet"/>
      <w:lvlText w:val="•"/>
      <w:lvlJc w:val="left"/>
      <w:pPr>
        <w:ind w:left="7440" w:hanging="680"/>
      </w:pPr>
      <w:rPr>
        <w:rFonts w:hint="default"/>
      </w:rPr>
    </w:lvl>
    <w:lvl w:ilvl="8">
      <w:start w:val="0"/>
      <w:numFmt w:val="bullet"/>
      <w:lvlText w:val="•"/>
      <w:lvlJc w:val="left"/>
      <w:pPr>
        <w:ind w:left="8389" w:hanging="68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49"/>
      <w:ind w:left="790"/>
    </w:pPr>
    <w:rPr>
      <w:rFonts w:ascii="宋体" w:hAnsi="宋体" w:eastAsia="宋体" w:cs="宋体"/>
      <w:sz w:val="18"/>
      <w:szCs w:val="18"/>
    </w:rPr>
  </w:style>
  <w:style w:styleId="Heading1" w:type="paragraph">
    <w:name w:val="Heading 1"/>
    <w:basedOn w:val="Normal"/>
    <w:uiPriority w:val="1"/>
    <w:qFormat/>
    <w:pPr>
      <w:spacing w:before="138"/>
      <w:ind w:left="1195" w:right="1291"/>
      <w:jc w:val="center"/>
      <w:outlineLvl w:val="1"/>
    </w:pPr>
    <w:rPr>
      <w:rFonts w:ascii="宋体" w:hAnsi="宋体" w:eastAsia="宋体" w:cs="宋体"/>
      <w:b/>
      <w:bCs/>
      <w:sz w:val="28"/>
      <w:szCs w:val="28"/>
    </w:rPr>
  </w:style>
  <w:style w:styleId="Heading2" w:type="paragraph">
    <w:name w:val="Heading 2"/>
    <w:basedOn w:val="Normal"/>
    <w:uiPriority w:val="1"/>
    <w:qFormat/>
    <w:pPr>
      <w:spacing w:before="148"/>
      <w:ind w:left="111"/>
      <w:outlineLvl w:val="2"/>
    </w:pPr>
    <w:rPr>
      <w:rFonts w:ascii="宋体" w:hAnsi="宋体" w:eastAsia="宋体" w:cs="宋体"/>
      <w:b/>
      <w:bCs/>
      <w:sz w:val="21"/>
      <w:szCs w:val="21"/>
    </w:rPr>
  </w:style>
  <w:style w:styleId="Heading3" w:type="paragraph">
    <w:name w:val="Heading 3"/>
    <w:basedOn w:val="Normal"/>
    <w:uiPriority w:val="1"/>
    <w:qFormat/>
    <w:pPr>
      <w:spacing w:before="106"/>
      <w:ind w:left="790" w:hanging="679"/>
      <w:outlineLvl w:val="3"/>
    </w:pPr>
    <w:rPr>
      <w:rFonts w:ascii="宋体" w:hAnsi="宋体" w:eastAsia="宋体" w:cs="宋体"/>
      <w:b/>
      <w:bCs/>
      <w:sz w:val="18"/>
      <w:szCs w:val="18"/>
    </w:rPr>
  </w:style>
  <w:style w:styleId="ListParagraph" w:type="paragraph">
    <w:name w:val="List Paragraph"/>
    <w:basedOn w:val="Normal"/>
    <w:uiPriority w:val="1"/>
    <w:qFormat/>
    <w:pPr>
      <w:spacing w:before="149"/>
      <w:ind w:left="790" w:hanging="679"/>
    </w:pPr>
    <w:rPr>
      <w:rFonts w:ascii="宋体" w:hAnsi="宋体" w:eastAsia="宋体" w:cs="宋体"/>
    </w:rPr>
  </w:style>
  <w:style w:styleId="TableParagraph" w:type="paragraph">
    <w:name w:val="Table Paragraph"/>
    <w:basedOn w:val="Normal"/>
    <w:uiPriority w:val="1"/>
    <w:qFormat/>
    <w:pPr>
      <w:spacing w:before="36"/>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cuichuanbo</dc:creator>
  <dc:title>product files</dc:title>
  <dcterms:created xsi:type="dcterms:W3CDTF">2018-10-20T00:50:14Z</dcterms:created>
  <dcterms:modified xsi:type="dcterms:W3CDTF">2018-10-20T00:50:14Z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2016-08-19T00:00:00Z</vt:filetime>
  </property>
  <property fmtid="{D5CDD505-2E9C-101B-9397-08002B2CF9AE}" pid="3" name="Creator">
    <vt:lpwstr>Microsoft® Word 2010</vt:lpwstr>
  </property>
  <property fmtid="{D5CDD505-2E9C-101B-9397-08002B2CF9AE}" pid="4" name="LastSaved">
    <vt:filetime>2018-10-19T00:00:00Z</vt:filetime>
  </property>
</Properties>
</file>