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after="28"/>
        <w:ind w:left="0" w:right="166" w:firstLine="0"/>
        <w:jc w:val="right"/>
        <w:rPr>
          <w:rFonts w:ascii="仿宋" w:eastAsia="仿宋" w:hint="eastAsia"/>
          <w:sz w:val="18"/>
        </w:rPr>
      </w:pPr>
      <w:r>
        <w:rPr>
          <w:rFonts w:ascii="仿宋" w:eastAsia="仿宋" w:hint="eastAsia"/>
          <w:sz w:val="18"/>
        </w:rPr>
        <w:t>光大永明人寿[2017]疾病保险 42 号</w:t>
      </w:r>
    </w:p>
    <w:p>
      <w:pPr>
        <w:pStyle w:val="BodyText"/>
        <w:ind w:left="8052"/>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after="0"/>
        <w:rPr>
          <w:rFonts w:ascii="仿宋"/>
          <w:sz w:val="20"/>
        </w:rPr>
        <w:sectPr>
          <w:type w:val="continuous"/>
          <w:pgSz w:w="11910" w:h="16840"/>
          <w:pgMar w:top="840" w:bottom="280" w:left="820" w:right="820"/>
        </w:sectPr>
      </w:pPr>
    </w:p>
    <w:p>
      <w:pPr>
        <w:spacing w:before="112"/>
        <w:ind w:left="2869" w:right="0" w:firstLine="0"/>
        <w:jc w:val="left"/>
        <w:rPr>
          <w:b/>
          <w:sz w:val="36"/>
        </w:rPr>
      </w:pPr>
      <w:r>
        <w:rPr>
          <w:b/>
          <w:w w:val="95"/>
          <w:sz w:val="36"/>
        </w:rPr>
        <w:t>光大永明人寿保险有限公司</w:t>
      </w:r>
    </w:p>
    <w:p>
      <w:pPr>
        <w:spacing w:line="205" w:lineRule="exact" w:before="0"/>
        <w:ind w:left="476" w:right="0" w:firstLine="0"/>
        <w:jc w:val="left"/>
        <w:rPr>
          <w:rFonts w:ascii="仿宋" w:eastAsia="仿宋" w:hint="eastAsia"/>
          <w:sz w:val="18"/>
        </w:rPr>
      </w:pPr>
      <w:r>
        <w:rPr/>
        <w:br w:type="column"/>
      </w:r>
      <w:r>
        <w:rPr>
          <w:rFonts w:ascii="仿宋" w:eastAsia="仿宋" w:hint="eastAsia"/>
          <w:sz w:val="18"/>
        </w:rPr>
        <w:t>请扫描以查询验证条款</w:t>
      </w:r>
    </w:p>
    <w:p>
      <w:pPr>
        <w:spacing w:after="0" w:line="205" w:lineRule="exact"/>
        <w:jc w:val="left"/>
        <w:rPr>
          <w:rFonts w:ascii="仿宋" w:eastAsia="仿宋" w:hint="eastAsia"/>
          <w:sz w:val="18"/>
        </w:rPr>
        <w:sectPr>
          <w:type w:val="continuous"/>
          <w:pgSz w:w="11910" w:h="16840"/>
          <w:pgMar w:top="840" w:bottom="280" w:left="820" w:right="820"/>
          <w:cols w:num="2" w:equalWidth="0">
            <w:col w:w="7208" w:space="40"/>
            <w:col w:w="3022"/>
          </w:cols>
        </w:sectPr>
      </w:pPr>
    </w:p>
    <w:p>
      <w:pPr>
        <w:pStyle w:val="BodyText"/>
        <w:ind w:left="0"/>
        <w:rPr>
          <w:rFonts w:ascii="仿宋"/>
          <w:sz w:val="20"/>
        </w:rPr>
      </w:pPr>
    </w:p>
    <w:p>
      <w:pPr>
        <w:pStyle w:val="BodyText"/>
        <w:spacing w:before="4"/>
        <w:ind w:left="0"/>
        <w:rPr>
          <w:rFonts w:ascii="仿宋"/>
          <w:sz w:val="16"/>
        </w:rPr>
      </w:pPr>
    </w:p>
    <w:p>
      <w:pPr>
        <w:spacing w:line="461" w:lineRule="exact" w:before="0"/>
        <w:ind w:left="1964" w:right="0" w:firstLine="0"/>
        <w:jc w:val="left"/>
        <w:rPr>
          <w:b/>
          <w:sz w:val="36"/>
        </w:rPr>
      </w:pPr>
      <w:r>
        <w:rPr>
          <w:b/>
          <w:sz w:val="36"/>
        </w:rPr>
        <w:t>光大永明附加吉瑞宝重大疾病保险条款</w:t>
      </w:r>
    </w:p>
    <w:p>
      <w:pPr>
        <w:pStyle w:val="BodyText"/>
        <w:ind w:left="0"/>
        <w:rPr>
          <w:b/>
          <w:sz w:val="36"/>
        </w:rPr>
      </w:pPr>
    </w:p>
    <w:p>
      <w:pPr>
        <w:spacing w:line="314" w:lineRule="auto" w:before="296"/>
        <w:ind w:left="313" w:right="501" w:firstLine="0"/>
        <w:jc w:val="left"/>
        <w:rPr>
          <w:b/>
          <w:sz w:val="21"/>
        </w:rPr>
      </w:pPr>
      <w:r>
        <w:rPr>
          <w:b/>
          <w:spacing w:val="-5"/>
          <w:sz w:val="21"/>
        </w:rPr>
        <w:t>感谢您选择了光大永明人寿。为了帮助您更好地理解本条款，在阅读本条款前，请您注意阅读提示和说明。</w:t>
      </w:r>
    </w:p>
    <w:p>
      <w:pPr>
        <w:pStyle w:val="BodyText"/>
        <w:spacing w:before="2"/>
        <w:ind w:left="0"/>
        <w:rPr>
          <w:b/>
          <w:sz w:val="25"/>
        </w:rPr>
      </w:pPr>
    </w:p>
    <w:p>
      <w:pPr>
        <w:spacing w:before="1"/>
        <w:ind w:left="4600" w:right="4785" w:firstLine="0"/>
        <w:jc w:val="center"/>
        <w:rPr>
          <w:b/>
          <w:sz w:val="21"/>
        </w:rPr>
      </w:pPr>
      <w:r>
        <w:rPr>
          <w:b/>
          <w:sz w:val="21"/>
        </w:rPr>
        <w:t>阅读提示</w:t>
      </w:r>
    </w:p>
    <w:p>
      <w:pPr>
        <w:pStyle w:val="BodyText"/>
        <w:ind w:left="0"/>
        <w:rPr>
          <w:b/>
          <w:sz w:val="20"/>
        </w:rPr>
      </w:pPr>
    </w:p>
    <w:p>
      <w:pPr>
        <w:pStyle w:val="BodyText"/>
        <w:spacing w:before="8"/>
        <w:ind w:left="0"/>
        <w:rPr>
          <w:b/>
          <w:sz w:val="1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8"/>
        <w:gridCol w:w="1726"/>
      </w:tblGrid>
      <w:tr>
        <w:trPr>
          <w:trHeight w:val="342" w:hRule="atLeast"/>
        </w:trPr>
        <w:tc>
          <w:tcPr>
            <w:tcW w:w="8318" w:type="dxa"/>
          </w:tcPr>
          <w:p>
            <w:pPr>
              <w:pStyle w:val="TableParagraph"/>
              <w:spacing w:line="211" w:lineRule="exact"/>
              <w:ind w:left="4069"/>
              <w:rPr>
                <w:b/>
                <w:sz w:val="21"/>
              </w:rPr>
            </w:pPr>
            <w:r>
              <w:rPr>
                <w:b/>
                <w:sz w:val="21"/>
              </w:rPr>
              <w:t>您所享有的重要权益</w:t>
            </w:r>
          </w:p>
        </w:tc>
        <w:tc>
          <w:tcPr>
            <w:tcW w:w="1726" w:type="dxa"/>
          </w:tcPr>
          <w:p>
            <w:pPr>
              <w:pStyle w:val="TableParagraph"/>
              <w:ind w:left="0"/>
              <w:rPr>
                <w:rFonts w:ascii="Times New Roman"/>
                <w:sz w:val="20"/>
              </w:rPr>
            </w:pPr>
          </w:p>
        </w:tc>
      </w:tr>
      <w:tr>
        <w:trPr>
          <w:trHeight w:val="472" w:hRule="atLeast"/>
        </w:trPr>
        <w:tc>
          <w:tcPr>
            <w:tcW w:w="8318" w:type="dxa"/>
          </w:tcPr>
          <w:p>
            <w:pPr>
              <w:pStyle w:val="TableParagraph"/>
              <w:spacing w:before="67"/>
              <w:ind w:left="0" w:right="60"/>
              <w:jc w:val="right"/>
              <w:rPr>
                <w:sz w:val="21"/>
              </w:rPr>
            </w:pPr>
            <w:r>
              <w:rPr>
                <w:sz w:val="21"/>
              </w:rPr>
              <w:t>本附加合同所提供的保障 ......................................................</w:t>
            </w:r>
          </w:p>
        </w:tc>
        <w:tc>
          <w:tcPr>
            <w:tcW w:w="1726" w:type="dxa"/>
          </w:tcPr>
          <w:p>
            <w:pPr>
              <w:pStyle w:val="TableParagraph"/>
              <w:tabs>
                <w:tab w:pos="689" w:val="left" w:leader="none"/>
                <w:tab w:pos="1315" w:val="left" w:leader="none"/>
              </w:tabs>
              <w:spacing w:before="67"/>
              <w:ind w:left="62"/>
              <w:rPr>
                <w:b/>
                <w:sz w:val="21"/>
              </w:rPr>
            </w:pPr>
            <w:hyperlink w:history="true" w:anchor="_bookmark10">
              <w:r>
                <w:rPr>
                  <w:b/>
                  <w:sz w:val="21"/>
                </w:rPr>
                <w:t>第</w:t>
                <w:tab/>
                <w:t>九</w:t>
                <w:tab/>
                <w:t>条</w:t>
              </w:r>
            </w:hyperlink>
          </w:p>
        </w:tc>
      </w:tr>
      <w:tr>
        <w:trPr>
          <w:trHeight w:val="472" w:hRule="atLeast"/>
        </w:trPr>
        <w:tc>
          <w:tcPr>
            <w:tcW w:w="8318" w:type="dxa"/>
          </w:tcPr>
          <w:p>
            <w:pPr>
              <w:pStyle w:val="TableParagraph"/>
              <w:spacing w:before="67"/>
              <w:ind w:left="0" w:right="60"/>
              <w:jc w:val="right"/>
              <w:rPr>
                <w:sz w:val="21"/>
              </w:rPr>
            </w:pPr>
            <w:r>
              <w:rPr>
                <w:sz w:val="21"/>
              </w:rPr>
              <w:t>您在犹豫期享有的权利. .......................................................</w:t>
            </w:r>
          </w:p>
        </w:tc>
        <w:tc>
          <w:tcPr>
            <w:tcW w:w="1726" w:type="dxa"/>
          </w:tcPr>
          <w:p>
            <w:pPr>
              <w:pStyle w:val="TableParagraph"/>
              <w:tabs>
                <w:tab w:pos="480" w:val="left" w:leader="none"/>
                <w:tab w:pos="897" w:val="left" w:leader="none"/>
                <w:tab w:pos="1315" w:val="left" w:leader="none"/>
              </w:tabs>
              <w:spacing w:before="67"/>
              <w:ind w:left="62"/>
              <w:rPr>
                <w:b/>
                <w:sz w:val="21"/>
              </w:rPr>
            </w:pPr>
            <w:hyperlink w:history="true" w:anchor="_bookmark20">
              <w:r>
                <w:rPr>
                  <w:b/>
                  <w:sz w:val="21"/>
                </w:rPr>
                <w:t>第</w:t>
                <w:tab/>
                <w:t>十</w:t>
                <w:tab/>
                <w:t>七</w:t>
                <w:tab/>
                <w:t>条</w:t>
              </w:r>
            </w:hyperlink>
          </w:p>
        </w:tc>
      </w:tr>
      <w:tr>
        <w:trPr>
          <w:trHeight w:val="472" w:hRule="atLeast"/>
        </w:trPr>
        <w:tc>
          <w:tcPr>
            <w:tcW w:w="8318" w:type="dxa"/>
          </w:tcPr>
          <w:p>
            <w:pPr>
              <w:pStyle w:val="TableParagraph"/>
              <w:spacing w:before="67"/>
              <w:ind w:left="3966"/>
              <w:rPr>
                <w:b/>
                <w:sz w:val="21"/>
              </w:rPr>
            </w:pPr>
            <w:r>
              <w:rPr>
                <w:b/>
                <w:sz w:val="21"/>
              </w:rPr>
              <w:t>您应当特别注意的事项</w:t>
            </w:r>
          </w:p>
        </w:tc>
        <w:tc>
          <w:tcPr>
            <w:tcW w:w="1726" w:type="dxa"/>
          </w:tcPr>
          <w:p>
            <w:pPr>
              <w:pStyle w:val="TableParagraph"/>
              <w:ind w:left="0"/>
              <w:rPr>
                <w:rFonts w:ascii="Times New Roman"/>
                <w:sz w:val="20"/>
              </w:rPr>
            </w:pPr>
          </w:p>
        </w:tc>
      </w:tr>
      <w:tr>
        <w:trPr>
          <w:trHeight w:val="472" w:hRule="atLeast"/>
        </w:trPr>
        <w:tc>
          <w:tcPr>
            <w:tcW w:w="8318" w:type="dxa"/>
          </w:tcPr>
          <w:p>
            <w:pPr>
              <w:pStyle w:val="TableParagraph"/>
              <w:spacing w:before="67"/>
              <w:ind w:left="0" w:right="60"/>
              <w:jc w:val="right"/>
              <w:rPr>
                <w:sz w:val="21"/>
              </w:rPr>
            </w:pPr>
            <w:r>
              <w:rPr>
                <w:sz w:val="21"/>
              </w:rPr>
              <w:t>在某些情况下，我们不承担保险责任 ............................................</w:t>
            </w:r>
          </w:p>
        </w:tc>
        <w:tc>
          <w:tcPr>
            <w:tcW w:w="1726" w:type="dxa"/>
          </w:tcPr>
          <w:p>
            <w:pPr>
              <w:pStyle w:val="TableParagraph"/>
              <w:tabs>
                <w:tab w:pos="689" w:val="left" w:leader="none"/>
                <w:tab w:pos="1315" w:val="left" w:leader="none"/>
              </w:tabs>
              <w:spacing w:before="67"/>
              <w:ind w:left="62"/>
              <w:rPr>
                <w:b/>
                <w:sz w:val="21"/>
              </w:rPr>
            </w:pPr>
            <w:hyperlink w:history="true" w:anchor="_bookmark11">
              <w:r>
                <w:rPr>
                  <w:b/>
                  <w:sz w:val="21"/>
                </w:rPr>
                <w:t>第</w:t>
                <w:tab/>
                <w:t>十</w:t>
                <w:tab/>
                <w:t>条</w:t>
              </w:r>
            </w:hyperlink>
          </w:p>
        </w:tc>
      </w:tr>
      <w:tr>
        <w:trPr>
          <w:trHeight w:val="472" w:hRule="atLeast"/>
        </w:trPr>
        <w:tc>
          <w:tcPr>
            <w:tcW w:w="8318" w:type="dxa"/>
          </w:tcPr>
          <w:p>
            <w:pPr>
              <w:pStyle w:val="TableParagraph"/>
              <w:spacing w:before="67"/>
              <w:ind w:left="0" w:right="60"/>
              <w:jc w:val="right"/>
              <w:rPr>
                <w:sz w:val="21"/>
              </w:rPr>
            </w:pPr>
            <w:r>
              <w:rPr>
                <w:sz w:val="21"/>
              </w:rPr>
              <w:t>发生保险事故后，您应该及时通知我们 ..........................................</w:t>
            </w:r>
          </w:p>
        </w:tc>
        <w:tc>
          <w:tcPr>
            <w:tcW w:w="1726" w:type="dxa"/>
          </w:tcPr>
          <w:p>
            <w:pPr>
              <w:pStyle w:val="TableParagraph"/>
              <w:tabs>
                <w:tab w:pos="480" w:val="left" w:leader="none"/>
                <w:tab w:pos="897" w:val="left" w:leader="none"/>
                <w:tab w:pos="1315" w:val="left" w:leader="none"/>
              </w:tabs>
              <w:spacing w:before="67"/>
              <w:ind w:left="62"/>
              <w:rPr>
                <w:b/>
                <w:sz w:val="21"/>
              </w:rPr>
            </w:pPr>
            <w:hyperlink w:history="true" w:anchor="_bookmark13">
              <w:r>
                <w:rPr>
                  <w:b/>
                  <w:sz w:val="21"/>
                </w:rPr>
                <w:t>第</w:t>
                <w:tab/>
                <w:t>十</w:t>
                <w:tab/>
                <w:t>一</w:t>
                <w:tab/>
                <w:t>条</w:t>
              </w:r>
            </w:hyperlink>
          </w:p>
        </w:tc>
      </w:tr>
      <w:tr>
        <w:trPr>
          <w:trHeight w:val="472" w:hRule="atLeast"/>
        </w:trPr>
        <w:tc>
          <w:tcPr>
            <w:tcW w:w="8318" w:type="dxa"/>
          </w:tcPr>
          <w:p>
            <w:pPr>
              <w:pStyle w:val="TableParagraph"/>
              <w:spacing w:before="67"/>
              <w:ind w:left="0" w:right="60"/>
              <w:jc w:val="right"/>
              <w:rPr>
                <w:sz w:val="21"/>
              </w:rPr>
            </w:pPr>
            <w:r>
              <w:rPr>
                <w:sz w:val="21"/>
              </w:rPr>
              <w:t>如何申请给付保险金..........................................................</w:t>
            </w:r>
          </w:p>
        </w:tc>
        <w:tc>
          <w:tcPr>
            <w:tcW w:w="1726" w:type="dxa"/>
          </w:tcPr>
          <w:p>
            <w:pPr>
              <w:pStyle w:val="TableParagraph"/>
              <w:tabs>
                <w:tab w:pos="480" w:val="left" w:leader="none"/>
                <w:tab w:pos="897" w:val="left" w:leader="none"/>
                <w:tab w:pos="1315" w:val="left" w:leader="none"/>
              </w:tabs>
              <w:spacing w:before="67"/>
              <w:ind w:left="62"/>
              <w:rPr>
                <w:b/>
                <w:sz w:val="21"/>
              </w:rPr>
            </w:pPr>
            <w:hyperlink w:history="true" w:anchor="_bookmark14">
              <w:r>
                <w:rPr>
                  <w:b/>
                  <w:sz w:val="21"/>
                </w:rPr>
                <w:t>第</w:t>
                <w:tab/>
                <w:t>十</w:t>
                <w:tab/>
                <w:t>二</w:t>
                <w:tab/>
                <w:t>条</w:t>
              </w:r>
            </w:hyperlink>
          </w:p>
        </w:tc>
      </w:tr>
      <w:tr>
        <w:trPr>
          <w:trHeight w:val="472" w:hRule="atLeast"/>
        </w:trPr>
        <w:tc>
          <w:tcPr>
            <w:tcW w:w="8318" w:type="dxa"/>
          </w:tcPr>
          <w:p>
            <w:pPr>
              <w:pStyle w:val="TableParagraph"/>
              <w:spacing w:before="67"/>
              <w:ind w:left="0" w:right="60"/>
              <w:jc w:val="right"/>
              <w:rPr>
                <w:sz w:val="21"/>
              </w:rPr>
            </w:pPr>
            <w:r>
              <w:rPr>
                <w:sz w:val="21"/>
              </w:rPr>
              <w:t>您有解除合同的权利，请您慎重决定 ............................................</w:t>
            </w:r>
          </w:p>
        </w:tc>
        <w:tc>
          <w:tcPr>
            <w:tcW w:w="1726" w:type="dxa"/>
          </w:tcPr>
          <w:p>
            <w:pPr>
              <w:pStyle w:val="TableParagraph"/>
              <w:tabs>
                <w:tab w:pos="480" w:val="left" w:leader="none"/>
                <w:tab w:pos="897" w:val="left" w:leader="none"/>
                <w:tab w:pos="1315" w:val="left" w:leader="none"/>
              </w:tabs>
              <w:spacing w:before="67"/>
              <w:ind w:left="62"/>
              <w:rPr>
                <w:b/>
                <w:sz w:val="21"/>
              </w:rPr>
            </w:pPr>
            <w:hyperlink w:history="true" w:anchor="_bookmark20">
              <w:r>
                <w:rPr>
                  <w:b/>
                  <w:sz w:val="21"/>
                </w:rPr>
                <w:t>第</w:t>
                <w:tab/>
                <w:t>十</w:t>
                <w:tab/>
                <w:t>七</w:t>
                <w:tab/>
                <w:t>条</w:t>
              </w:r>
            </w:hyperlink>
          </w:p>
        </w:tc>
      </w:tr>
      <w:tr>
        <w:trPr>
          <w:trHeight w:val="341" w:hRule="atLeast"/>
        </w:trPr>
        <w:tc>
          <w:tcPr>
            <w:tcW w:w="8318" w:type="dxa"/>
          </w:tcPr>
          <w:p>
            <w:pPr>
              <w:pStyle w:val="TableParagraph"/>
              <w:spacing w:line="255" w:lineRule="exact" w:before="67"/>
              <w:ind w:left="0" w:right="60"/>
              <w:jc w:val="right"/>
              <w:rPr>
                <w:sz w:val="21"/>
              </w:rPr>
            </w:pPr>
            <w:r>
              <w:rPr>
                <w:sz w:val="21"/>
              </w:rPr>
              <w:t>名词释义....................................................................</w:t>
            </w:r>
          </w:p>
        </w:tc>
        <w:tc>
          <w:tcPr>
            <w:tcW w:w="1726" w:type="dxa"/>
          </w:tcPr>
          <w:p>
            <w:pPr>
              <w:pStyle w:val="TableParagraph"/>
              <w:tabs>
                <w:tab w:pos="480" w:val="left" w:leader="none"/>
                <w:tab w:pos="897" w:val="left" w:leader="none"/>
                <w:tab w:pos="1315" w:val="left" w:leader="none"/>
              </w:tabs>
              <w:spacing w:line="255" w:lineRule="exact" w:before="67"/>
              <w:ind w:left="62"/>
              <w:rPr>
                <w:b/>
                <w:sz w:val="21"/>
              </w:rPr>
            </w:pPr>
            <w:hyperlink w:history="true" w:anchor="_bookmark30">
              <w:r>
                <w:rPr>
                  <w:b/>
                  <w:sz w:val="21"/>
                </w:rPr>
                <w:t>第</w:t>
                <w:tab/>
                <w:t>六</w:t>
                <w:tab/>
                <w:t>部</w:t>
                <w:tab/>
                <w:t>分</w:t>
              </w:r>
            </w:hyperlink>
          </w:p>
        </w:tc>
      </w:tr>
    </w:tbl>
    <w:p>
      <w:pPr>
        <w:pStyle w:val="BodyText"/>
        <w:ind w:left="0"/>
        <w:rPr>
          <w:b/>
          <w:sz w:val="20"/>
        </w:rPr>
      </w:pPr>
    </w:p>
    <w:p>
      <w:pPr>
        <w:pStyle w:val="BodyText"/>
        <w:spacing w:before="7"/>
        <w:ind w:left="0"/>
        <w:rPr>
          <w:b/>
          <w:sz w:val="14"/>
        </w:rPr>
      </w:pPr>
    </w:p>
    <w:p>
      <w:pPr>
        <w:spacing w:before="0"/>
        <w:ind w:left="4600" w:right="4784" w:firstLine="0"/>
        <w:jc w:val="center"/>
        <w:rPr>
          <w:b/>
          <w:sz w:val="21"/>
        </w:rPr>
      </w:pPr>
      <w:r>
        <w:rPr>
          <w:b/>
          <w:sz w:val="21"/>
        </w:rPr>
        <w:t>说明</w:t>
      </w:r>
    </w:p>
    <w:p>
      <w:pPr>
        <w:pStyle w:val="BodyText"/>
        <w:ind w:left="0"/>
        <w:rPr>
          <w:b/>
          <w:sz w:val="20"/>
        </w:rPr>
      </w:pPr>
    </w:p>
    <w:p>
      <w:pPr>
        <w:pStyle w:val="BodyText"/>
        <w:ind w:left="0"/>
        <w:rPr>
          <w:b/>
          <w:sz w:val="1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895"/>
        <w:gridCol w:w="3261"/>
      </w:tblGrid>
      <w:tr>
        <w:trPr>
          <w:trHeight w:val="285" w:hRule="atLeast"/>
        </w:trPr>
        <w:tc>
          <w:tcPr>
            <w:tcW w:w="1620" w:type="dxa"/>
          </w:tcPr>
          <w:p>
            <w:pPr>
              <w:pStyle w:val="TableParagraph"/>
              <w:spacing w:line="211" w:lineRule="exact"/>
              <w:ind w:left="200"/>
              <w:rPr>
                <w:b/>
                <w:sz w:val="21"/>
              </w:rPr>
            </w:pPr>
            <w:r>
              <w:rPr>
                <w:b/>
                <w:sz w:val="21"/>
              </w:rPr>
              <w:t>我们</w:t>
            </w:r>
          </w:p>
        </w:tc>
        <w:tc>
          <w:tcPr>
            <w:tcW w:w="895" w:type="dxa"/>
          </w:tcPr>
          <w:p>
            <w:pPr>
              <w:pStyle w:val="TableParagraph"/>
              <w:spacing w:line="211" w:lineRule="exact"/>
              <w:ind w:left="0" w:right="107"/>
              <w:jc w:val="right"/>
              <w:rPr>
                <w:b/>
                <w:sz w:val="21"/>
              </w:rPr>
            </w:pPr>
            <w:r>
              <w:rPr>
                <w:b/>
                <w:w w:val="100"/>
                <w:sz w:val="21"/>
              </w:rPr>
              <w:t>：</w:t>
            </w:r>
          </w:p>
        </w:tc>
        <w:tc>
          <w:tcPr>
            <w:tcW w:w="3261" w:type="dxa"/>
          </w:tcPr>
          <w:p>
            <w:pPr>
              <w:pStyle w:val="TableParagraph"/>
              <w:spacing w:line="211" w:lineRule="exact"/>
              <w:ind w:left="107"/>
              <w:rPr>
                <w:b/>
                <w:sz w:val="21"/>
              </w:rPr>
            </w:pPr>
            <w:r>
              <w:rPr>
                <w:b/>
                <w:sz w:val="21"/>
              </w:rPr>
              <w:t>指光大永明人寿保险有限公司。</w:t>
            </w:r>
          </w:p>
        </w:tc>
      </w:tr>
      <w:tr>
        <w:trPr>
          <w:trHeight w:val="359" w:hRule="atLeast"/>
        </w:trPr>
        <w:tc>
          <w:tcPr>
            <w:tcW w:w="1620" w:type="dxa"/>
          </w:tcPr>
          <w:p>
            <w:pPr>
              <w:pStyle w:val="TableParagraph"/>
              <w:spacing w:before="10"/>
              <w:ind w:left="200"/>
              <w:rPr>
                <w:b/>
                <w:sz w:val="21"/>
              </w:rPr>
            </w:pPr>
            <w:r>
              <w:rPr>
                <w:b/>
                <w:w w:val="100"/>
                <w:sz w:val="21"/>
              </w:rPr>
              <w:t>您</w:t>
            </w:r>
          </w:p>
        </w:tc>
        <w:tc>
          <w:tcPr>
            <w:tcW w:w="895" w:type="dxa"/>
          </w:tcPr>
          <w:p>
            <w:pPr>
              <w:pStyle w:val="TableParagraph"/>
              <w:spacing w:before="10"/>
              <w:ind w:left="0" w:right="107"/>
              <w:jc w:val="right"/>
              <w:rPr>
                <w:b/>
                <w:sz w:val="21"/>
              </w:rPr>
            </w:pPr>
            <w:r>
              <w:rPr>
                <w:b/>
                <w:w w:val="100"/>
                <w:sz w:val="21"/>
              </w:rPr>
              <w:t>：</w:t>
            </w:r>
          </w:p>
        </w:tc>
        <w:tc>
          <w:tcPr>
            <w:tcW w:w="3261" w:type="dxa"/>
          </w:tcPr>
          <w:p>
            <w:pPr>
              <w:pStyle w:val="TableParagraph"/>
              <w:spacing w:before="10"/>
              <w:ind w:left="107"/>
              <w:rPr>
                <w:b/>
                <w:sz w:val="21"/>
              </w:rPr>
            </w:pPr>
            <w:r>
              <w:rPr>
                <w:b/>
                <w:sz w:val="21"/>
              </w:rPr>
              <w:t>指投保人。</w:t>
            </w:r>
          </w:p>
        </w:tc>
      </w:tr>
      <w:tr>
        <w:trPr>
          <w:trHeight w:val="284" w:hRule="atLeast"/>
        </w:trPr>
        <w:tc>
          <w:tcPr>
            <w:tcW w:w="1620" w:type="dxa"/>
          </w:tcPr>
          <w:p>
            <w:pPr>
              <w:pStyle w:val="TableParagraph"/>
              <w:spacing w:line="255" w:lineRule="exact" w:before="9"/>
              <w:ind w:left="200"/>
              <w:rPr>
                <w:b/>
                <w:sz w:val="21"/>
              </w:rPr>
            </w:pPr>
            <w:r>
              <w:rPr>
                <w:b/>
                <w:sz w:val="21"/>
              </w:rPr>
              <w:t>保险条款</w:t>
            </w:r>
          </w:p>
        </w:tc>
        <w:tc>
          <w:tcPr>
            <w:tcW w:w="895" w:type="dxa"/>
          </w:tcPr>
          <w:p>
            <w:pPr>
              <w:pStyle w:val="TableParagraph"/>
              <w:spacing w:line="255" w:lineRule="exact" w:before="9"/>
              <w:ind w:left="0" w:right="107"/>
              <w:jc w:val="right"/>
              <w:rPr>
                <w:b/>
                <w:sz w:val="21"/>
              </w:rPr>
            </w:pPr>
            <w:r>
              <w:rPr>
                <w:b/>
                <w:w w:val="100"/>
                <w:sz w:val="21"/>
              </w:rPr>
              <w:t>：</w:t>
            </w:r>
          </w:p>
        </w:tc>
        <w:tc>
          <w:tcPr>
            <w:tcW w:w="3261" w:type="dxa"/>
          </w:tcPr>
          <w:p>
            <w:pPr>
              <w:pStyle w:val="TableParagraph"/>
              <w:spacing w:line="255" w:lineRule="exact" w:before="9"/>
              <w:ind w:left="107"/>
              <w:rPr>
                <w:b/>
                <w:sz w:val="21"/>
              </w:rPr>
            </w:pPr>
            <w:r>
              <w:rPr>
                <w:b/>
                <w:sz w:val="21"/>
              </w:rPr>
              <w:t>指本条款。</w:t>
            </w:r>
          </w:p>
        </w:tc>
      </w:tr>
    </w:tbl>
    <w:p>
      <w:pPr>
        <w:spacing w:after="0" w:line="255" w:lineRule="exact"/>
        <w:rPr>
          <w:sz w:val="21"/>
        </w:rPr>
        <w:sectPr>
          <w:type w:val="continuous"/>
          <w:pgSz w:w="11910" w:h="16840"/>
          <w:pgMar w:top="840" w:bottom="280" w:left="820" w:right="820"/>
        </w:sectPr>
      </w:pPr>
    </w:p>
    <w:p>
      <w:pPr>
        <w:spacing w:before="26"/>
        <w:ind w:left="4399" w:right="4007" w:firstLine="0"/>
        <w:jc w:val="center"/>
        <w:rPr>
          <w:b/>
          <w:sz w:val="21"/>
        </w:rPr>
      </w:pPr>
      <w:r>
        <w:rPr>
          <w:b/>
          <w:sz w:val="21"/>
        </w:rPr>
        <w:t>条款目录</w:t>
      </w:r>
    </w:p>
    <w:sdt>
      <w:sdtPr>
        <w:docPartObj>
          <w:docPartGallery w:val="Table of Contents"/>
          <w:docPartUnique/>
        </w:docPartObj>
      </w:sdtPr>
      <w:sdtEndPr/>
      <w:sdtContent>
        <w:p>
          <w:pPr>
            <w:pStyle w:val="TOC1"/>
            <w:tabs>
              <w:tab w:pos="1164" w:val="left" w:leader="none"/>
              <w:tab w:pos="9177" w:val="right" w:leader="dot"/>
            </w:tabs>
            <w:spacing w:before="186"/>
            <w:rPr>
              <w:rFonts w:ascii="Calibri" w:eastAsia="Calibri"/>
            </w:rPr>
          </w:pPr>
          <w:r>
            <w:fldChar w:fldCharType="begin"/>
          </w:r>
          <w:r>
            <w:instrText>TOC \o "1-2" \h \z \u </w:instrText>
          </w:r>
          <w:r>
            <w:fldChar w:fldCharType="separate"/>
          </w:r>
          <w:hyperlink w:history="true" w:anchor="_bookmark0">
            <w:r>
              <w:rPr/>
              <w:t>第一部分</w:t>
              <w:tab/>
              <w:t>您与我们的合同</w:t>
              <w:tab/>
            </w:r>
            <w:r>
              <w:rPr>
                <w:rFonts w:ascii="Calibri" w:eastAsia="Calibri"/>
              </w:rPr>
              <w:t>3</w:t>
            </w:r>
          </w:hyperlink>
        </w:p>
        <w:p>
          <w:pPr>
            <w:pStyle w:val="TOC2"/>
            <w:tabs>
              <w:tab w:pos="9177" w:val="right" w:leader="dot"/>
            </w:tabs>
            <w:spacing w:before="144"/>
            <w:rPr>
              <w:rFonts w:ascii="Calibri" w:eastAsia="Calibri"/>
            </w:rPr>
          </w:pPr>
          <w:hyperlink w:history="true" w:anchor="_bookmark1">
            <w:r>
              <w:rPr/>
              <w:t>第一条</w:t>
            </w:r>
            <w:r>
              <w:rPr>
                <w:spacing w:val="-20"/>
              </w:rPr>
              <w:t> </w:t>
            </w:r>
            <w:r>
              <w:rPr/>
              <w:t>附加保险合同的构成</w:t>
              <w:tab/>
            </w:r>
            <w:r>
              <w:rPr>
                <w:rFonts w:ascii="Calibri" w:eastAsia="Calibri"/>
              </w:rPr>
              <w:t>3</w:t>
            </w:r>
          </w:hyperlink>
        </w:p>
        <w:p>
          <w:pPr>
            <w:pStyle w:val="TOC2"/>
            <w:tabs>
              <w:tab w:pos="9177" w:val="right" w:leader="dot"/>
            </w:tabs>
            <w:rPr>
              <w:rFonts w:ascii="Calibri" w:eastAsia="Calibri"/>
            </w:rPr>
          </w:pPr>
          <w:hyperlink w:history="true" w:anchor="_bookmark2">
            <w:r>
              <w:rPr/>
              <w:t>第二条</w:t>
            </w:r>
            <w:r>
              <w:rPr>
                <w:spacing w:val="-20"/>
              </w:rPr>
              <w:t> </w:t>
            </w:r>
            <w:r>
              <w:rPr/>
              <w:t>投保年龄</w:t>
              <w:tab/>
            </w:r>
            <w:r>
              <w:rPr>
                <w:rFonts w:ascii="Calibri" w:eastAsia="Calibri"/>
              </w:rPr>
              <w:t>3</w:t>
            </w:r>
          </w:hyperlink>
        </w:p>
        <w:p>
          <w:pPr>
            <w:pStyle w:val="TOC2"/>
            <w:tabs>
              <w:tab w:pos="9177" w:val="right" w:leader="dot"/>
            </w:tabs>
            <w:rPr>
              <w:rFonts w:ascii="Calibri" w:eastAsia="Calibri"/>
            </w:rPr>
          </w:pPr>
          <w:hyperlink w:history="true" w:anchor="_bookmark3">
            <w:r>
              <w:rPr/>
              <w:t>第三条</w:t>
            </w:r>
            <w:r>
              <w:rPr>
                <w:spacing w:val="-20"/>
              </w:rPr>
              <w:t> </w:t>
            </w:r>
            <w:r>
              <w:rPr/>
              <w:t>保险合同的成立与生效</w:t>
              <w:tab/>
            </w:r>
            <w:r>
              <w:rPr>
                <w:rFonts w:ascii="Calibri" w:eastAsia="Calibri"/>
              </w:rPr>
              <w:t>3</w:t>
            </w:r>
          </w:hyperlink>
        </w:p>
        <w:p>
          <w:pPr>
            <w:pStyle w:val="TOC2"/>
            <w:tabs>
              <w:tab w:pos="9177" w:val="right" w:leader="dot"/>
            </w:tabs>
            <w:rPr>
              <w:rFonts w:ascii="Calibri" w:eastAsia="Calibri"/>
            </w:rPr>
          </w:pPr>
          <w:hyperlink w:history="true" w:anchor="_bookmark4">
            <w:r>
              <w:rPr/>
              <w:t>第四条</w:t>
            </w:r>
            <w:r>
              <w:rPr>
                <w:spacing w:val="-20"/>
              </w:rPr>
              <w:t> </w:t>
            </w:r>
            <w:r>
              <w:rPr/>
              <w:t>保险期间</w:t>
              <w:tab/>
            </w:r>
            <w:r>
              <w:rPr>
                <w:rFonts w:ascii="Calibri" w:eastAsia="Calibri"/>
              </w:rPr>
              <w:t>3</w:t>
            </w:r>
          </w:hyperlink>
        </w:p>
        <w:p>
          <w:pPr>
            <w:pStyle w:val="TOC2"/>
            <w:tabs>
              <w:tab w:pos="9177" w:val="right" w:leader="dot"/>
            </w:tabs>
            <w:rPr>
              <w:rFonts w:ascii="Calibri" w:eastAsia="Calibri"/>
            </w:rPr>
          </w:pPr>
          <w:hyperlink w:history="true" w:anchor="_bookmark5">
            <w:r>
              <w:rPr/>
              <w:t>第五条</w:t>
            </w:r>
            <w:r>
              <w:rPr>
                <w:spacing w:val="-20"/>
              </w:rPr>
              <w:t> </w:t>
            </w:r>
            <w:r>
              <w:rPr/>
              <w:t>保险费的支付</w:t>
              <w:tab/>
            </w:r>
            <w:r>
              <w:rPr>
                <w:rFonts w:ascii="Calibri" w:eastAsia="Calibri"/>
              </w:rPr>
              <w:t>3</w:t>
            </w:r>
          </w:hyperlink>
        </w:p>
        <w:p>
          <w:pPr>
            <w:pStyle w:val="TOC2"/>
            <w:tabs>
              <w:tab w:pos="9177" w:val="right" w:leader="dot"/>
            </w:tabs>
            <w:rPr>
              <w:rFonts w:ascii="Calibri" w:eastAsia="Calibri"/>
            </w:rPr>
          </w:pPr>
          <w:hyperlink w:history="true" w:anchor="_bookmark6">
            <w:r>
              <w:rPr/>
              <w:t>第六条</w:t>
            </w:r>
            <w:r>
              <w:rPr>
                <w:spacing w:val="-20"/>
              </w:rPr>
              <w:t> </w:t>
            </w:r>
            <w:r>
              <w:rPr/>
              <w:t>基本保险金额</w:t>
              <w:tab/>
            </w:r>
            <w:r>
              <w:rPr>
                <w:rFonts w:ascii="Calibri" w:eastAsia="Calibri"/>
              </w:rPr>
              <w:t>3</w:t>
            </w:r>
          </w:hyperlink>
        </w:p>
        <w:p>
          <w:pPr>
            <w:pStyle w:val="TOC2"/>
            <w:tabs>
              <w:tab w:pos="9177" w:val="right" w:leader="dot"/>
            </w:tabs>
            <w:rPr>
              <w:rFonts w:ascii="Calibri" w:eastAsia="Calibri"/>
            </w:rPr>
          </w:pPr>
          <w:hyperlink w:history="true" w:anchor="_bookmark7">
            <w:r>
              <w:rPr/>
              <w:t>第七条</w:t>
            </w:r>
            <w:r>
              <w:rPr>
                <w:spacing w:val="-20"/>
              </w:rPr>
              <w:t> </w:t>
            </w:r>
            <w:r>
              <w:rPr/>
              <w:t>保险合同的中止</w:t>
              <w:tab/>
            </w:r>
            <w:r>
              <w:rPr>
                <w:rFonts w:ascii="Calibri" w:eastAsia="Calibri"/>
              </w:rPr>
              <w:t>3</w:t>
            </w:r>
          </w:hyperlink>
        </w:p>
        <w:p>
          <w:pPr>
            <w:pStyle w:val="TOC2"/>
            <w:tabs>
              <w:tab w:pos="9177" w:val="right" w:leader="dot"/>
            </w:tabs>
            <w:rPr>
              <w:rFonts w:ascii="Calibri" w:eastAsia="Calibri"/>
            </w:rPr>
          </w:pPr>
          <w:hyperlink w:history="true" w:anchor="_bookmark8">
            <w:r>
              <w:rPr/>
              <w:t>第八条</w:t>
            </w:r>
            <w:r>
              <w:rPr>
                <w:spacing w:val="-20"/>
              </w:rPr>
              <w:t> </w:t>
            </w:r>
            <w:r>
              <w:rPr/>
              <w:t>保险合同的终止</w:t>
              <w:tab/>
            </w:r>
            <w:r>
              <w:rPr>
                <w:rFonts w:ascii="Calibri" w:eastAsia="Calibri"/>
              </w:rPr>
              <w:t>4</w:t>
            </w:r>
          </w:hyperlink>
        </w:p>
        <w:p>
          <w:pPr>
            <w:pStyle w:val="TOC1"/>
            <w:tabs>
              <w:tab w:pos="1164" w:val="left" w:leader="none"/>
              <w:tab w:pos="9177" w:val="right" w:leader="dot"/>
            </w:tabs>
            <w:rPr>
              <w:rFonts w:ascii="Calibri" w:eastAsia="Calibri"/>
            </w:rPr>
          </w:pPr>
          <w:hyperlink w:history="true" w:anchor="_bookmark9">
            <w:r>
              <w:rPr/>
              <w:t>第二部分</w:t>
              <w:tab/>
              <w:t>我们提供的保障</w:t>
              <w:tab/>
            </w:r>
            <w:r>
              <w:rPr>
                <w:rFonts w:ascii="Calibri" w:eastAsia="Calibri"/>
              </w:rPr>
              <w:t>4</w:t>
            </w:r>
          </w:hyperlink>
        </w:p>
        <w:p>
          <w:pPr>
            <w:pStyle w:val="TOC2"/>
            <w:tabs>
              <w:tab w:pos="9177" w:val="right" w:leader="dot"/>
            </w:tabs>
            <w:spacing w:before="144"/>
            <w:rPr>
              <w:rFonts w:ascii="Calibri" w:eastAsia="Calibri"/>
            </w:rPr>
          </w:pPr>
          <w:hyperlink w:history="true" w:anchor="_bookmark10">
            <w:r>
              <w:rPr/>
              <w:t>第九条</w:t>
            </w:r>
            <w:r>
              <w:rPr>
                <w:spacing w:val="-20"/>
              </w:rPr>
              <w:t> </w:t>
            </w:r>
            <w:r>
              <w:rPr/>
              <w:t>保险责任</w:t>
              <w:tab/>
            </w:r>
            <w:r>
              <w:rPr>
                <w:rFonts w:ascii="Calibri" w:eastAsia="Calibri"/>
              </w:rPr>
              <w:t>4</w:t>
            </w:r>
          </w:hyperlink>
        </w:p>
        <w:p>
          <w:pPr>
            <w:pStyle w:val="TOC2"/>
            <w:tabs>
              <w:tab w:pos="9177" w:val="right" w:leader="dot"/>
            </w:tabs>
            <w:rPr>
              <w:rFonts w:ascii="Calibri" w:eastAsia="Calibri"/>
            </w:rPr>
          </w:pPr>
          <w:hyperlink w:history="true" w:anchor="_bookmark11">
            <w:r>
              <w:rPr/>
              <w:t>第十条</w:t>
            </w:r>
            <w:r>
              <w:rPr>
                <w:spacing w:val="-20"/>
              </w:rPr>
              <w:t> </w:t>
            </w:r>
            <w:r>
              <w:rPr/>
              <w:t>责任免除</w:t>
              <w:tab/>
            </w:r>
            <w:r>
              <w:rPr>
                <w:rFonts w:ascii="Calibri" w:eastAsia="Calibri"/>
              </w:rPr>
              <w:t>6</w:t>
            </w:r>
          </w:hyperlink>
        </w:p>
        <w:p>
          <w:pPr>
            <w:pStyle w:val="TOC1"/>
            <w:tabs>
              <w:tab w:pos="1164" w:val="left" w:leader="none"/>
              <w:tab w:pos="9177" w:val="right" w:leader="dot"/>
            </w:tabs>
            <w:rPr>
              <w:rFonts w:ascii="Calibri" w:eastAsia="Calibri"/>
            </w:rPr>
          </w:pPr>
          <w:hyperlink w:history="true" w:anchor="_bookmark12">
            <w:r>
              <w:rPr/>
              <w:t>第三部分</w:t>
              <w:tab/>
              <w:t>如何申请领取保险金</w:t>
              <w:tab/>
            </w:r>
            <w:r>
              <w:rPr>
                <w:rFonts w:ascii="Calibri" w:eastAsia="Calibri"/>
              </w:rPr>
              <w:t>7</w:t>
            </w:r>
          </w:hyperlink>
        </w:p>
        <w:p>
          <w:pPr>
            <w:pStyle w:val="TOC2"/>
            <w:tabs>
              <w:tab w:pos="9177" w:val="right" w:leader="dot"/>
            </w:tabs>
            <w:spacing w:before="144"/>
            <w:rPr>
              <w:rFonts w:ascii="Calibri" w:eastAsia="Calibri"/>
            </w:rPr>
          </w:pPr>
          <w:hyperlink w:history="true" w:anchor="_bookmark13">
            <w:r>
              <w:rPr/>
              <w:t>第十一条</w:t>
            </w:r>
            <w:r>
              <w:rPr>
                <w:spacing w:val="-20"/>
              </w:rPr>
              <w:t> </w:t>
            </w:r>
            <w:r>
              <w:rPr/>
              <w:t>保险事故通知</w:t>
              <w:tab/>
            </w:r>
            <w:r>
              <w:rPr>
                <w:rFonts w:ascii="Calibri" w:eastAsia="Calibri"/>
              </w:rPr>
              <w:t>7</w:t>
            </w:r>
          </w:hyperlink>
        </w:p>
        <w:p>
          <w:pPr>
            <w:pStyle w:val="TOC2"/>
            <w:tabs>
              <w:tab w:pos="9177" w:val="right" w:leader="dot"/>
            </w:tabs>
            <w:rPr>
              <w:rFonts w:ascii="Calibri" w:eastAsia="Calibri"/>
            </w:rPr>
          </w:pPr>
          <w:hyperlink w:history="true" w:anchor="_bookmark14">
            <w:r>
              <w:rPr/>
              <w:t>第十二条</w:t>
            </w:r>
            <w:r>
              <w:rPr>
                <w:spacing w:val="-20"/>
              </w:rPr>
              <w:t> </w:t>
            </w:r>
            <w:r>
              <w:rPr/>
              <w:t>保险金的申领</w:t>
              <w:tab/>
            </w:r>
            <w:r>
              <w:rPr>
                <w:rFonts w:ascii="Calibri" w:eastAsia="Calibri"/>
              </w:rPr>
              <w:t>7</w:t>
            </w:r>
          </w:hyperlink>
        </w:p>
        <w:p>
          <w:pPr>
            <w:pStyle w:val="TOC2"/>
            <w:tabs>
              <w:tab w:pos="9177" w:val="right" w:leader="dot"/>
            </w:tabs>
            <w:rPr>
              <w:rFonts w:ascii="Calibri" w:eastAsia="Calibri"/>
            </w:rPr>
          </w:pPr>
          <w:hyperlink w:history="true" w:anchor="_bookmark15">
            <w:r>
              <w:rPr/>
              <w:t>第十三条</w:t>
            </w:r>
            <w:r>
              <w:rPr>
                <w:spacing w:val="-20"/>
              </w:rPr>
              <w:t> </w:t>
            </w:r>
            <w:r>
              <w:rPr/>
              <w:t>欠款的扣除</w:t>
              <w:tab/>
            </w:r>
            <w:r>
              <w:rPr>
                <w:rFonts w:ascii="Calibri" w:eastAsia="Calibri"/>
              </w:rPr>
              <w:t>7</w:t>
            </w:r>
          </w:hyperlink>
        </w:p>
        <w:p>
          <w:pPr>
            <w:pStyle w:val="TOC1"/>
            <w:tabs>
              <w:tab w:pos="1164" w:val="left" w:leader="none"/>
              <w:tab w:pos="9177" w:val="right" w:leader="dot"/>
            </w:tabs>
            <w:rPr>
              <w:rFonts w:ascii="Calibri" w:eastAsia="Calibri"/>
            </w:rPr>
          </w:pPr>
          <w:hyperlink w:history="true" w:anchor="_bookmark16">
            <w:r>
              <w:rPr/>
              <w:t>第四部分</w:t>
              <w:tab/>
              <w:t>您所拥有的重要权益</w:t>
              <w:tab/>
            </w:r>
            <w:r>
              <w:rPr>
                <w:rFonts w:ascii="Calibri" w:eastAsia="Calibri"/>
              </w:rPr>
              <w:t>7</w:t>
            </w:r>
          </w:hyperlink>
        </w:p>
        <w:p>
          <w:pPr>
            <w:pStyle w:val="TOC2"/>
            <w:tabs>
              <w:tab w:pos="9177" w:val="right" w:leader="dot"/>
            </w:tabs>
            <w:spacing w:before="144"/>
            <w:rPr>
              <w:rFonts w:ascii="Calibri" w:eastAsia="Calibri"/>
            </w:rPr>
          </w:pPr>
          <w:hyperlink w:history="true" w:anchor="_bookmark17">
            <w:r>
              <w:rPr/>
              <w:t>第十四条</w:t>
            </w:r>
            <w:r>
              <w:rPr>
                <w:spacing w:val="-20"/>
              </w:rPr>
              <w:t> </w:t>
            </w:r>
            <w:r>
              <w:rPr/>
              <w:t>保险单借款</w:t>
              <w:tab/>
            </w:r>
            <w:r>
              <w:rPr>
                <w:rFonts w:ascii="Calibri" w:eastAsia="Calibri"/>
              </w:rPr>
              <w:t>7</w:t>
            </w:r>
          </w:hyperlink>
        </w:p>
        <w:p>
          <w:pPr>
            <w:pStyle w:val="TOC2"/>
            <w:tabs>
              <w:tab w:pos="9177" w:val="right" w:leader="dot"/>
            </w:tabs>
            <w:rPr>
              <w:rFonts w:ascii="Calibri" w:eastAsia="Calibri"/>
            </w:rPr>
          </w:pPr>
          <w:hyperlink w:history="true" w:anchor="_bookmark18">
            <w:r>
              <w:rPr/>
              <w:t>第十五条</w:t>
            </w:r>
            <w:r>
              <w:rPr>
                <w:spacing w:val="-20"/>
              </w:rPr>
              <w:t> </w:t>
            </w:r>
            <w:r>
              <w:rPr/>
              <w:t>合同效力的恢复</w:t>
              <w:tab/>
            </w:r>
            <w:r>
              <w:rPr>
                <w:rFonts w:ascii="Calibri" w:eastAsia="Calibri"/>
              </w:rPr>
              <w:t>7</w:t>
            </w:r>
          </w:hyperlink>
        </w:p>
        <w:p>
          <w:pPr>
            <w:pStyle w:val="TOC2"/>
            <w:tabs>
              <w:tab w:pos="9177" w:val="right" w:leader="dot"/>
            </w:tabs>
            <w:rPr>
              <w:rFonts w:ascii="Calibri" w:eastAsia="Calibri"/>
            </w:rPr>
          </w:pPr>
          <w:hyperlink w:history="true" w:anchor="_bookmark19">
            <w:r>
              <w:rPr/>
              <w:t>第十六条</w:t>
            </w:r>
            <w:r>
              <w:rPr>
                <w:spacing w:val="-20"/>
              </w:rPr>
              <w:t> </w:t>
            </w:r>
            <w:r>
              <w:rPr/>
              <w:t>合同内容变更权</w:t>
              <w:tab/>
            </w:r>
            <w:r>
              <w:rPr>
                <w:rFonts w:ascii="Calibri" w:eastAsia="Calibri"/>
              </w:rPr>
              <w:t>8</w:t>
            </w:r>
          </w:hyperlink>
        </w:p>
        <w:p>
          <w:pPr>
            <w:pStyle w:val="TOC2"/>
            <w:tabs>
              <w:tab w:pos="9177" w:val="right" w:leader="dot"/>
            </w:tabs>
            <w:spacing w:before="25"/>
            <w:rPr>
              <w:rFonts w:ascii="Calibri" w:eastAsia="Calibri"/>
            </w:rPr>
          </w:pPr>
          <w:hyperlink w:history="true" w:anchor="_bookmark20">
            <w:r>
              <w:rPr/>
              <w:t>第十七条</w:t>
            </w:r>
            <w:r>
              <w:rPr>
                <w:spacing w:val="-20"/>
              </w:rPr>
              <w:t> </w:t>
            </w:r>
            <w:r>
              <w:rPr/>
              <w:t>犹豫期及合同解除权</w:t>
              <w:tab/>
            </w:r>
            <w:r>
              <w:rPr>
                <w:rFonts w:ascii="Calibri" w:eastAsia="Calibri"/>
              </w:rPr>
              <w:t>8</w:t>
            </w:r>
          </w:hyperlink>
        </w:p>
        <w:p>
          <w:pPr>
            <w:pStyle w:val="TOC1"/>
            <w:tabs>
              <w:tab w:pos="1164" w:val="left" w:leader="none"/>
              <w:tab w:pos="9177" w:val="right" w:leader="dot"/>
            </w:tabs>
            <w:rPr>
              <w:rFonts w:ascii="Calibri" w:eastAsia="Calibri"/>
            </w:rPr>
          </w:pPr>
          <w:hyperlink w:history="true" w:anchor="_bookmark21">
            <w:r>
              <w:rPr/>
              <w:t>第五部分</w:t>
              <w:tab/>
              <w:t>您必须了解的事项</w:t>
              <w:tab/>
            </w:r>
            <w:r>
              <w:rPr>
                <w:rFonts w:ascii="Calibri" w:eastAsia="Calibri"/>
              </w:rPr>
              <w:t>8</w:t>
            </w:r>
          </w:hyperlink>
        </w:p>
        <w:p>
          <w:pPr>
            <w:pStyle w:val="TOC2"/>
            <w:tabs>
              <w:tab w:pos="9177" w:val="right" w:leader="dot"/>
            </w:tabs>
            <w:spacing w:before="144"/>
            <w:rPr>
              <w:rFonts w:ascii="Calibri" w:eastAsia="Calibri"/>
            </w:rPr>
          </w:pPr>
          <w:hyperlink w:history="true" w:anchor="_bookmark22">
            <w:r>
              <w:rPr/>
              <w:t>第十八条</w:t>
            </w:r>
            <w:r>
              <w:rPr>
                <w:spacing w:val="-20"/>
              </w:rPr>
              <w:t> </w:t>
            </w:r>
            <w:r>
              <w:rPr/>
              <w:t>明确说明和如实告知义务</w:t>
              <w:tab/>
            </w:r>
            <w:r>
              <w:rPr>
                <w:rFonts w:ascii="Calibri" w:eastAsia="Calibri"/>
              </w:rPr>
              <w:t>8</w:t>
            </w:r>
          </w:hyperlink>
        </w:p>
        <w:p>
          <w:pPr>
            <w:pStyle w:val="TOC2"/>
            <w:tabs>
              <w:tab w:pos="9177" w:val="right" w:leader="dot"/>
            </w:tabs>
            <w:rPr>
              <w:rFonts w:ascii="Calibri" w:eastAsia="Calibri"/>
            </w:rPr>
          </w:pPr>
          <w:hyperlink w:history="true" w:anchor="_bookmark23">
            <w:r>
              <w:rPr/>
              <w:t>第十九条</w:t>
            </w:r>
            <w:r>
              <w:rPr>
                <w:spacing w:val="-20"/>
              </w:rPr>
              <w:t> </w:t>
            </w:r>
            <w:r>
              <w:rPr/>
              <w:t>受益人的指定与变更</w:t>
              <w:tab/>
            </w:r>
            <w:r>
              <w:rPr>
                <w:rFonts w:ascii="Calibri" w:eastAsia="Calibri"/>
              </w:rPr>
              <w:t>9</w:t>
            </w:r>
          </w:hyperlink>
        </w:p>
        <w:p>
          <w:pPr>
            <w:pStyle w:val="TOC2"/>
            <w:tabs>
              <w:tab w:pos="9177" w:val="right" w:leader="dot"/>
            </w:tabs>
            <w:rPr>
              <w:rFonts w:ascii="Calibri" w:eastAsia="Calibri"/>
            </w:rPr>
          </w:pPr>
          <w:hyperlink w:history="true" w:anchor="_bookmark24">
            <w:r>
              <w:rPr/>
              <w:t>第二十条</w:t>
            </w:r>
            <w:r>
              <w:rPr>
                <w:spacing w:val="-20"/>
              </w:rPr>
              <w:t> </w:t>
            </w:r>
            <w:r>
              <w:rPr/>
              <w:t>宽限期</w:t>
              <w:tab/>
            </w:r>
            <w:r>
              <w:rPr>
                <w:rFonts w:ascii="Calibri" w:eastAsia="Calibri"/>
              </w:rPr>
              <w:t>9</w:t>
            </w:r>
          </w:hyperlink>
        </w:p>
        <w:p>
          <w:pPr>
            <w:pStyle w:val="TOC2"/>
            <w:tabs>
              <w:tab w:pos="9177" w:val="right" w:leader="dot"/>
            </w:tabs>
            <w:rPr>
              <w:rFonts w:ascii="Calibri" w:eastAsia="Calibri"/>
            </w:rPr>
          </w:pPr>
          <w:hyperlink w:history="true" w:anchor="_bookmark25">
            <w:r>
              <w:rPr/>
              <w:t>第二十一条</w:t>
            </w:r>
            <w:r>
              <w:rPr>
                <w:spacing w:val="-20"/>
              </w:rPr>
              <w:t> </w:t>
            </w:r>
            <w:r>
              <w:rPr/>
              <w:t>年龄计算及错误处理</w:t>
              <w:tab/>
            </w:r>
            <w:r>
              <w:rPr>
                <w:rFonts w:ascii="Calibri" w:eastAsia="Calibri"/>
              </w:rPr>
              <w:t>9</w:t>
            </w:r>
          </w:hyperlink>
        </w:p>
        <w:p>
          <w:pPr>
            <w:pStyle w:val="TOC2"/>
            <w:tabs>
              <w:tab w:pos="9177" w:val="right" w:leader="dot"/>
            </w:tabs>
            <w:rPr>
              <w:rFonts w:ascii="Calibri" w:eastAsia="Calibri"/>
            </w:rPr>
          </w:pPr>
          <w:hyperlink w:history="true" w:anchor="_bookmark26">
            <w:r>
              <w:rPr/>
              <w:t>第二十二条</w:t>
            </w:r>
            <w:r>
              <w:rPr>
                <w:spacing w:val="-20"/>
              </w:rPr>
              <w:t> </w:t>
            </w:r>
            <w:r>
              <w:rPr/>
              <w:t>司法鉴定</w:t>
              <w:tab/>
            </w:r>
            <w:r>
              <w:rPr>
                <w:rFonts w:ascii="Calibri" w:eastAsia="Calibri"/>
              </w:rPr>
              <w:t>9</w:t>
            </w:r>
          </w:hyperlink>
        </w:p>
        <w:p>
          <w:pPr>
            <w:pStyle w:val="TOC2"/>
            <w:tabs>
              <w:tab w:pos="9177" w:val="right" w:leader="dot"/>
            </w:tabs>
            <w:rPr>
              <w:rFonts w:ascii="Calibri" w:eastAsia="Calibri"/>
            </w:rPr>
          </w:pPr>
          <w:hyperlink w:history="true" w:anchor="_bookmark27">
            <w:r>
              <w:rPr/>
              <w:t>第二十三条</w:t>
            </w:r>
            <w:r>
              <w:rPr>
                <w:spacing w:val="-20"/>
              </w:rPr>
              <w:t> </w:t>
            </w:r>
            <w:r>
              <w:rPr/>
              <w:t>争议处理与法律适用</w:t>
              <w:tab/>
            </w:r>
            <w:r>
              <w:rPr>
                <w:rFonts w:ascii="Calibri" w:eastAsia="Calibri"/>
              </w:rPr>
              <w:t>9</w:t>
            </w:r>
          </w:hyperlink>
        </w:p>
        <w:p>
          <w:pPr>
            <w:pStyle w:val="TOC2"/>
            <w:tabs>
              <w:tab w:pos="9177" w:val="right" w:leader="dot"/>
            </w:tabs>
            <w:rPr>
              <w:rFonts w:ascii="Calibri" w:eastAsia="Calibri"/>
            </w:rPr>
          </w:pPr>
          <w:hyperlink w:history="true" w:anchor="_bookmark28">
            <w:r>
              <w:rPr/>
              <w:t>第二十四条</w:t>
            </w:r>
            <w:r>
              <w:rPr>
                <w:spacing w:val="-20"/>
              </w:rPr>
              <w:t> </w:t>
            </w:r>
            <w:r>
              <w:rPr/>
              <w:t>诉讼时效</w:t>
              <w:tab/>
            </w:r>
            <w:r>
              <w:rPr>
                <w:rFonts w:ascii="Calibri" w:eastAsia="Calibri"/>
              </w:rPr>
              <w:t>9</w:t>
            </w:r>
          </w:hyperlink>
        </w:p>
        <w:p>
          <w:pPr>
            <w:pStyle w:val="TOC2"/>
            <w:tabs>
              <w:tab w:pos="9177" w:val="right" w:leader="dot"/>
            </w:tabs>
            <w:rPr>
              <w:rFonts w:ascii="Calibri" w:eastAsia="Calibri"/>
            </w:rPr>
          </w:pPr>
          <w:hyperlink w:history="true" w:anchor="_bookmark29">
            <w:r>
              <w:rPr/>
              <w:t>第二十五条</w:t>
            </w:r>
            <w:r>
              <w:rPr>
                <w:spacing w:val="-20"/>
              </w:rPr>
              <w:t> </w:t>
            </w:r>
            <w:r>
              <w:rPr/>
              <w:t>联系方式变更</w:t>
              <w:tab/>
            </w:r>
            <w:r>
              <w:rPr>
                <w:rFonts w:ascii="Calibri" w:eastAsia="Calibri"/>
              </w:rPr>
              <w:t>9</w:t>
            </w:r>
          </w:hyperlink>
        </w:p>
        <w:p>
          <w:pPr>
            <w:pStyle w:val="TOC1"/>
            <w:tabs>
              <w:tab w:pos="1164" w:val="left" w:leader="none"/>
              <w:tab w:pos="9177" w:val="right" w:leader="dot"/>
            </w:tabs>
            <w:rPr>
              <w:rFonts w:ascii="Calibri" w:eastAsia="Calibri"/>
            </w:rPr>
          </w:pPr>
          <w:hyperlink w:history="true" w:anchor="_bookmark30">
            <w:r>
              <w:rPr/>
              <w:t>第六部分</w:t>
              <w:tab/>
              <w:t>名词释义</w:t>
              <w:tab/>
            </w:r>
            <w:r>
              <w:rPr>
                <w:rFonts w:ascii="Calibri" w:eastAsia="Calibri"/>
              </w:rPr>
              <w:t>10</w:t>
            </w:r>
          </w:hyperlink>
        </w:p>
        <w:p>
          <w:pPr/>
          <w:r>
            <w:fldChar w:fldCharType="end"/>
          </w:r>
        </w:p>
      </w:sdtContent>
    </w:sdt>
    <w:p>
      <w:pPr>
        <w:spacing w:after="0"/>
        <w:sectPr>
          <w:pgSz w:w="11910" w:h="16840"/>
          <w:pgMar w:top="1100" w:bottom="280" w:left="1020" w:right="1600"/>
        </w:sectPr>
      </w:pPr>
    </w:p>
    <w:p>
      <w:pPr>
        <w:pStyle w:val="Heading1"/>
        <w:spacing w:line="359" w:lineRule="exact"/>
        <w:ind w:left="3224"/>
      </w:pPr>
      <w:bookmarkStart w:name="_bookmark0" w:id="1"/>
      <w:bookmarkEnd w:id="1"/>
      <w:r>
        <w:rPr>
          <w:b w:val="0"/>
        </w:rPr>
      </w:r>
      <w:r>
        <w:rPr/>
        <w:t>第一部分 您与我们的合同</w:t>
      </w:r>
    </w:p>
    <w:p>
      <w:pPr>
        <w:pStyle w:val="BodyText"/>
        <w:spacing w:before="11"/>
        <w:ind w:left="0"/>
        <w:rPr>
          <w:b/>
          <w:sz w:val="37"/>
        </w:rPr>
      </w:pPr>
    </w:p>
    <w:p>
      <w:pPr>
        <w:pStyle w:val="Heading2"/>
        <w:rPr>
          <w:rFonts w:ascii="宋体" w:eastAsia="宋体" w:hint="eastAsia"/>
        </w:rPr>
      </w:pPr>
      <w:bookmarkStart w:name="_bookmark1" w:id="2"/>
      <w:bookmarkEnd w:id="2"/>
      <w:r>
        <w:rPr>
          <w:b w:val="0"/>
        </w:rPr>
      </w:r>
      <w:r>
        <w:rPr>
          <w:rFonts w:ascii="宋体" w:eastAsia="宋体" w:hint="eastAsia"/>
        </w:rPr>
        <w:t>第一条 附加保险合同的构成</w:t>
      </w:r>
    </w:p>
    <w:p>
      <w:pPr>
        <w:pStyle w:val="BodyText"/>
        <w:spacing w:line="312" w:lineRule="auto" w:before="68"/>
        <w:ind w:right="218" w:firstLine="420"/>
      </w:pPr>
      <w:r>
        <w:rPr>
          <w:spacing w:val="-5"/>
          <w:w w:val="100"/>
        </w:rPr>
        <w:t>本附加保险合同</w:t>
      </w:r>
      <w:r>
        <w:rPr>
          <w:spacing w:val="-3"/>
          <w:w w:val="100"/>
        </w:rPr>
        <w:t>（</w:t>
      </w:r>
      <w:r>
        <w:rPr>
          <w:spacing w:val="-16"/>
          <w:w w:val="100"/>
        </w:rPr>
        <w:t>以下简称“本附加合同”</w:t>
      </w:r>
      <w:r>
        <w:rPr>
          <w:spacing w:val="-17"/>
          <w:w w:val="100"/>
        </w:rPr>
        <w:t>）</w:t>
      </w:r>
      <w:r>
        <w:rPr>
          <w:spacing w:val="-9"/>
          <w:w w:val="100"/>
        </w:rPr>
        <w:t>由保险单、保险条款、投保单、投保提示以及与本附加</w:t>
      </w:r>
      <w:r>
        <w:rPr>
          <w:spacing w:val="-3"/>
        </w:rPr>
        <w:t>合同有关的投保文件、合法有效的声明、批注和其他书面协议共同构成。</w:t>
      </w:r>
    </w:p>
    <w:p>
      <w:pPr>
        <w:pStyle w:val="BodyText"/>
        <w:spacing w:line="314" w:lineRule="auto" w:before="22"/>
        <w:ind w:right="213" w:firstLine="420"/>
        <w:jc w:val="both"/>
      </w:pPr>
      <w:r>
        <w:rPr/>
        <w:t>本附加合同附加于主合同《光大永明吉瑞宝两全保险》上。主合同所包含的条款、投保书、投保提示及与本附加合同有关的其他投保文件、合法有效的声明、批注和其他书面协议，凡与本附加合同相关者，均为本附加合同的构成部分。</w:t>
      </w:r>
    </w:p>
    <w:p>
      <w:pPr>
        <w:pStyle w:val="BodyText"/>
        <w:spacing w:line="314" w:lineRule="auto" w:before="17"/>
        <w:ind w:right="213" w:firstLine="420"/>
      </w:pPr>
      <w:r>
        <w:rPr/>
        <w:t>除本附加合同另有约定外，主合同条款适用于本附加合同。若主合同的条款与本附加合同冲突时， 以本附加合同为准。</w:t>
      </w:r>
    </w:p>
    <w:p>
      <w:pPr>
        <w:pStyle w:val="BodyText"/>
        <w:spacing w:before="6"/>
        <w:ind w:left="0"/>
        <w:rPr>
          <w:sz w:val="26"/>
        </w:rPr>
      </w:pPr>
    </w:p>
    <w:p>
      <w:pPr>
        <w:pStyle w:val="Heading2"/>
        <w:rPr>
          <w:rFonts w:ascii="宋体" w:eastAsia="宋体" w:hint="eastAsia"/>
        </w:rPr>
      </w:pPr>
      <w:bookmarkStart w:name="_bookmark2" w:id="3"/>
      <w:bookmarkEnd w:id="3"/>
      <w:r>
        <w:rPr>
          <w:b w:val="0"/>
        </w:rPr>
      </w:r>
      <w:r>
        <w:rPr>
          <w:rFonts w:ascii="宋体" w:eastAsia="宋体" w:hint="eastAsia"/>
        </w:rPr>
        <w:t>第二条 投保年龄</w:t>
      </w:r>
    </w:p>
    <w:p>
      <w:pPr>
        <w:pStyle w:val="BodyText"/>
        <w:spacing w:line="312" w:lineRule="auto" w:before="68"/>
        <w:ind w:right="107" w:firstLine="420"/>
      </w:pPr>
      <w:r>
        <w:rPr>
          <w:spacing w:val="-7"/>
        </w:rPr>
        <w:t>投保年龄指投保时被保险人的年龄，投保年龄以</w:t>
      </w:r>
      <w:r>
        <w:rPr>
          <w:b/>
        </w:rPr>
        <w:t>周岁</w:t>
      </w:r>
      <w:r>
        <w:rPr>
          <w:spacing w:val="-8"/>
        </w:rPr>
        <w:t>计算。本附加合同的投保年龄由您和我们约定， </w:t>
      </w:r>
      <w:r>
        <w:rPr>
          <w:spacing w:val="-5"/>
        </w:rPr>
        <w:t>并在保险合同中载明。</w:t>
      </w:r>
    </w:p>
    <w:p>
      <w:pPr>
        <w:pStyle w:val="BodyText"/>
        <w:spacing w:before="10"/>
        <w:ind w:left="0"/>
        <w:rPr>
          <w:sz w:val="26"/>
        </w:rPr>
      </w:pPr>
    </w:p>
    <w:p>
      <w:pPr>
        <w:pStyle w:val="Heading2"/>
        <w:rPr>
          <w:rFonts w:ascii="宋体" w:eastAsia="宋体" w:hint="eastAsia"/>
        </w:rPr>
      </w:pPr>
      <w:bookmarkStart w:name="_bookmark3" w:id="4"/>
      <w:bookmarkEnd w:id="4"/>
      <w:r>
        <w:rPr>
          <w:b w:val="0"/>
        </w:rPr>
      </w:r>
      <w:r>
        <w:rPr>
          <w:rFonts w:ascii="宋体" w:eastAsia="宋体" w:hint="eastAsia"/>
        </w:rPr>
        <w:t>第三条 保险合同的成立与生效</w:t>
      </w:r>
    </w:p>
    <w:p>
      <w:pPr>
        <w:pStyle w:val="BodyText"/>
        <w:spacing w:before="65"/>
        <w:ind w:left="533"/>
      </w:pPr>
      <w:r>
        <w:rPr/>
        <w:t>您向我们提出投保申请且我们同意承保，本附加合同成立。</w:t>
      </w:r>
    </w:p>
    <w:p>
      <w:pPr>
        <w:pStyle w:val="BodyText"/>
        <w:spacing w:line="312" w:lineRule="auto" w:before="84"/>
        <w:ind w:right="213" w:firstLine="420"/>
      </w:pPr>
      <w:r>
        <w:rPr/>
        <w:t>自本附加合同成立且我们收取保险费并签发保险单后，本附加合同生效。本附加合同的生效时间以保险单载明的日期为准，我们自本附加合同生效日的零时起开始承担保险责任。</w:t>
      </w:r>
    </w:p>
    <w:p>
      <w:pPr>
        <w:spacing w:line="312" w:lineRule="auto" w:before="21"/>
        <w:ind w:left="113" w:right="175" w:firstLine="420"/>
        <w:jc w:val="left"/>
        <w:rPr>
          <w:sz w:val="21"/>
        </w:rPr>
      </w:pPr>
      <w:r>
        <w:rPr>
          <w:sz w:val="21"/>
        </w:rPr>
        <w:t>本附加合同的</w:t>
      </w:r>
      <w:r>
        <w:rPr>
          <w:b/>
          <w:sz w:val="21"/>
        </w:rPr>
        <w:t>保险单周年日</w:t>
      </w:r>
      <w:r>
        <w:rPr>
          <w:sz w:val="21"/>
        </w:rPr>
        <w:t>、</w:t>
      </w:r>
      <w:r>
        <w:rPr>
          <w:b/>
          <w:sz w:val="21"/>
        </w:rPr>
        <w:t>保险单年度</w:t>
      </w:r>
      <w:r>
        <w:rPr>
          <w:sz w:val="21"/>
        </w:rPr>
        <w:t>、保险单月份、</w:t>
      </w:r>
      <w:r>
        <w:rPr>
          <w:b/>
          <w:sz w:val="21"/>
        </w:rPr>
        <w:t>保险费到期日</w:t>
      </w:r>
      <w:r>
        <w:rPr>
          <w:sz w:val="21"/>
        </w:rPr>
        <w:t>和保险单满期日均以本附加合同生效日为基础计算。</w:t>
      </w:r>
    </w:p>
    <w:p>
      <w:pPr>
        <w:pStyle w:val="BodyText"/>
        <w:spacing w:before="10"/>
        <w:ind w:left="0"/>
        <w:rPr>
          <w:sz w:val="26"/>
        </w:rPr>
      </w:pPr>
    </w:p>
    <w:p>
      <w:pPr>
        <w:pStyle w:val="Heading2"/>
        <w:rPr>
          <w:rFonts w:ascii="宋体" w:eastAsia="宋体" w:hint="eastAsia"/>
        </w:rPr>
      </w:pPr>
      <w:bookmarkStart w:name="_bookmark4" w:id="5"/>
      <w:bookmarkEnd w:id="5"/>
      <w:r>
        <w:rPr>
          <w:b w:val="0"/>
        </w:rPr>
      </w:r>
      <w:r>
        <w:rPr>
          <w:rFonts w:ascii="宋体" w:eastAsia="宋体" w:hint="eastAsia"/>
        </w:rPr>
        <w:t>第四条 保险期间</w:t>
      </w:r>
    </w:p>
    <w:p>
      <w:pPr>
        <w:pStyle w:val="BodyText"/>
        <w:spacing w:before="65"/>
        <w:ind w:left="533"/>
      </w:pPr>
      <w:r>
        <w:rPr/>
        <w:t>本附加合同的保险期间为终身，自本附加合同生效日零时起计算。</w:t>
      </w:r>
    </w:p>
    <w:p>
      <w:pPr>
        <w:pStyle w:val="BodyText"/>
        <w:ind w:left="0"/>
        <w:rPr>
          <w:sz w:val="20"/>
        </w:rPr>
      </w:pPr>
    </w:p>
    <w:p>
      <w:pPr>
        <w:pStyle w:val="Heading2"/>
        <w:spacing w:before="151"/>
        <w:rPr>
          <w:rFonts w:ascii="宋体" w:eastAsia="宋体" w:hint="eastAsia"/>
        </w:rPr>
      </w:pPr>
      <w:bookmarkStart w:name="_bookmark5" w:id="6"/>
      <w:bookmarkEnd w:id="6"/>
      <w:r>
        <w:rPr>
          <w:b w:val="0"/>
        </w:rPr>
      </w:r>
      <w:r>
        <w:rPr>
          <w:rFonts w:ascii="宋体" w:eastAsia="宋体" w:hint="eastAsia"/>
        </w:rPr>
        <w:t>第五条 保险费的支付</w:t>
      </w:r>
    </w:p>
    <w:p>
      <w:pPr>
        <w:pStyle w:val="BodyText"/>
        <w:spacing w:line="300" w:lineRule="auto" w:before="82"/>
        <w:ind w:left="533" w:right="1473"/>
      </w:pPr>
      <w:r>
        <w:rPr/>
        <w:t>本附加合同的交费方式和交费期间与主合同一致，且必须与主合同保险费一同支付。您在支付首期保险费以后，应当在每个保险费到期日足额支付以后各期的保险费。</w:t>
      </w:r>
    </w:p>
    <w:p>
      <w:pPr>
        <w:pStyle w:val="BodyText"/>
        <w:spacing w:before="5"/>
        <w:ind w:left="0"/>
        <w:rPr>
          <w:sz w:val="27"/>
        </w:rPr>
      </w:pPr>
    </w:p>
    <w:p>
      <w:pPr>
        <w:pStyle w:val="Heading2"/>
        <w:rPr>
          <w:rFonts w:ascii="宋体" w:eastAsia="宋体" w:hint="eastAsia"/>
        </w:rPr>
      </w:pPr>
      <w:bookmarkStart w:name="_bookmark6" w:id="7"/>
      <w:bookmarkEnd w:id="7"/>
      <w:r>
        <w:rPr>
          <w:b w:val="0"/>
        </w:rPr>
      </w:r>
      <w:r>
        <w:rPr>
          <w:rFonts w:ascii="宋体" w:eastAsia="宋体" w:hint="eastAsia"/>
        </w:rPr>
        <w:t>第六条 基本保险金额</w:t>
      </w:r>
    </w:p>
    <w:p>
      <w:pPr>
        <w:pStyle w:val="BodyText"/>
        <w:spacing w:line="312" w:lineRule="auto" w:before="68"/>
        <w:ind w:right="213" w:firstLine="420"/>
      </w:pPr>
      <w:r>
        <w:rPr/>
        <w:t>本附加合同的基本保险金额由您在投保时与我们约定并在保险单上载明。若该金额发生变更，则以变更后的金额为基本保险金额。</w:t>
      </w:r>
    </w:p>
    <w:p>
      <w:pPr>
        <w:pStyle w:val="BodyText"/>
        <w:spacing w:before="10"/>
        <w:ind w:left="0"/>
        <w:rPr>
          <w:sz w:val="26"/>
        </w:rPr>
      </w:pPr>
    </w:p>
    <w:p>
      <w:pPr>
        <w:pStyle w:val="Heading2"/>
        <w:rPr>
          <w:rFonts w:ascii="宋体" w:eastAsia="宋体" w:hint="eastAsia"/>
        </w:rPr>
      </w:pPr>
      <w:bookmarkStart w:name="_bookmark7" w:id="8"/>
      <w:bookmarkEnd w:id="8"/>
      <w:r>
        <w:rPr>
          <w:b w:val="0"/>
        </w:rPr>
      </w:r>
      <w:r>
        <w:rPr>
          <w:rFonts w:ascii="宋体" w:eastAsia="宋体" w:hint="eastAsia"/>
        </w:rPr>
        <w:t>第七条 保险合同的中止</w:t>
      </w:r>
    </w:p>
    <w:p>
      <w:pPr>
        <w:pStyle w:val="BodyText"/>
        <w:spacing w:line="328" w:lineRule="auto" w:before="65"/>
        <w:ind w:left="533" w:right="5465"/>
      </w:pPr>
      <w:r>
        <w:rPr/>
        <w:t>发生下列情况之一时，本附加合同中止： 一、 主合同中止；</w:t>
      </w:r>
    </w:p>
    <w:p>
      <w:pPr>
        <w:pStyle w:val="BodyText"/>
        <w:spacing w:line="314" w:lineRule="auto" w:before="4"/>
        <w:ind w:left="533" w:right="1997"/>
      </w:pPr>
      <w:r>
        <w:rPr/>
        <w:t>二、 若您选择分期支付保险费，且在宽限期结束时，您仍未付清当期保险费； 三、 当出现本附加合同有关条款约定的其他中止情形。</w:t>
      </w:r>
    </w:p>
    <w:p>
      <w:pPr>
        <w:spacing w:before="17"/>
        <w:ind w:left="533" w:right="0" w:firstLine="0"/>
        <w:jc w:val="left"/>
        <w:rPr>
          <w:rFonts w:ascii="黑体" w:eastAsia="黑体" w:hint="eastAsia"/>
          <w:b/>
          <w:sz w:val="21"/>
        </w:rPr>
      </w:pPr>
      <w:r>
        <w:rPr>
          <w:rFonts w:ascii="黑体" w:eastAsia="黑体" w:hint="eastAsia"/>
          <w:b/>
          <w:sz w:val="21"/>
        </w:rPr>
        <w:t>特别提示和说明：在本附加合同效力中止期间，我们不承担保险责任。</w:t>
      </w:r>
    </w:p>
    <w:p>
      <w:pPr>
        <w:spacing w:after="0"/>
        <w:jc w:val="left"/>
        <w:rPr>
          <w:rFonts w:ascii="黑体" w:eastAsia="黑体" w:hint="eastAsia"/>
          <w:sz w:val="21"/>
        </w:rPr>
        <w:sectPr>
          <w:footerReference w:type="default" r:id="rId6"/>
          <w:pgSz w:w="11910" w:h="16840"/>
          <w:pgMar w:footer="593" w:header="0" w:top="1520" w:bottom="780" w:left="1020" w:right="1100"/>
          <w:pgNumType w:start="3"/>
        </w:sectPr>
      </w:pPr>
    </w:p>
    <w:p>
      <w:pPr>
        <w:pStyle w:val="Heading2"/>
        <w:spacing w:before="26"/>
        <w:rPr>
          <w:rFonts w:ascii="宋体" w:eastAsia="宋体" w:hint="eastAsia"/>
        </w:rPr>
      </w:pPr>
      <w:bookmarkStart w:name="_bookmark8" w:id="9"/>
      <w:bookmarkEnd w:id="9"/>
      <w:r>
        <w:rPr>
          <w:b w:val="0"/>
        </w:rPr>
      </w:r>
      <w:r>
        <w:rPr>
          <w:rFonts w:ascii="宋体" w:eastAsia="宋体" w:hint="eastAsia"/>
        </w:rPr>
        <w:t>第八条 保险合同的终止</w:t>
      </w:r>
    </w:p>
    <w:p>
      <w:pPr>
        <w:pStyle w:val="BodyText"/>
        <w:spacing w:line="312" w:lineRule="auto" w:before="85"/>
        <w:ind w:left="533" w:right="5465"/>
      </w:pPr>
      <w:r>
        <w:rPr/>
        <w:t>发生下列情形之一时，本附加合同终止： 一、 您申请解除本附加合同；</w:t>
      </w:r>
    </w:p>
    <w:p>
      <w:pPr>
        <w:pStyle w:val="BodyText"/>
        <w:spacing w:line="312" w:lineRule="auto" w:before="22"/>
        <w:ind w:left="533" w:right="2628"/>
      </w:pPr>
      <w:r>
        <w:rPr/>
        <w:t>二、 被保险人患有本附加合同所列的重大疾病或达到疾病终末期阶段； 三、 本附加合同的主合同《光大永明吉瑞宝两全保险》终止；</w:t>
      </w:r>
    </w:p>
    <w:p>
      <w:pPr>
        <w:pStyle w:val="BodyText"/>
        <w:spacing w:line="295" w:lineRule="auto" w:before="22"/>
        <w:ind w:right="213" w:firstLine="420"/>
      </w:pPr>
      <w:r>
        <w:rPr>
          <w:spacing w:val="-7"/>
        </w:rPr>
        <w:t>四、 因本附加合同其他条款所列情形而效力中止，且在 </w:t>
      </w:r>
      <w:r>
        <w:rPr>
          <w:rFonts w:ascii="Times New Roman" w:eastAsia="Times New Roman"/>
        </w:rPr>
        <w:t>2 </w:t>
      </w:r>
      <w:r>
        <w:rPr>
          <w:spacing w:val="-11"/>
        </w:rPr>
        <w:t>年内未按【合同效力的恢复】条款办理复效；</w:t>
      </w:r>
    </w:p>
    <w:p>
      <w:pPr>
        <w:pStyle w:val="BodyText"/>
        <w:spacing w:before="36"/>
        <w:ind w:left="533"/>
      </w:pPr>
      <w:r>
        <w:rPr/>
        <w:t>五、 因本附加合同其他条款所列情形而终止。</w:t>
      </w:r>
    </w:p>
    <w:p>
      <w:pPr>
        <w:pStyle w:val="BodyText"/>
        <w:ind w:left="0"/>
        <w:rPr>
          <w:sz w:val="20"/>
        </w:rPr>
      </w:pPr>
    </w:p>
    <w:p>
      <w:pPr>
        <w:pStyle w:val="BodyText"/>
        <w:spacing w:before="10"/>
        <w:ind w:left="0"/>
        <w:rPr>
          <w:sz w:val="15"/>
        </w:rPr>
      </w:pPr>
    </w:p>
    <w:p>
      <w:pPr>
        <w:pStyle w:val="Heading1"/>
        <w:ind w:left="3224"/>
      </w:pPr>
      <w:bookmarkStart w:name="_bookmark9" w:id="10"/>
      <w:bookmarkEnd w:id="10"/>
      <w:r>
        <w:rPr>
          <w:b w:val="0"/>
        </w:rPr>
      </w:r>
      <w:r>
        <w:rPr/>
        <w:t>第二部分 我们提供的保障</w:t>
      </w:r>
    </w:p>
    <w:p>
      <w:pPr>
        <w:pStyle w:val="BodyText"/>
        <w:spacing w:before="11"/>
        <w:ind w:left="0"/>
        <w:rPr>
          <w:b/>
          <w:sz w:val="37"/>
        </w:rPr>
      </w:pPr>
    </w:p>
    <w:p>
      <w:pPr>
        <w:pStyle w:val="Heading2"/>
        <w:rPr>
          <w:rFonts w:ascii="宋体" w:eastAsia="宋体" w:hint="eastAsia"/>
        </w:rPr>
      </w:pPr>
      <w:bookmarkStart w:name="_bookmark10" w:id="11"/>
      <w:bookmarkEnd w:id="11"/>
      <w:r>
        <w:rPr>
          <w:b w:val="0"/>
        </w:rPr>
      </w:r>
      <w:r>
        <w:rPr>
          <w:rFonts w:ascii="宋体" w:eastAsia="宋体" w:hint="eastAsia"/>
        </w:rPr>
        <w:t>第九条 保险责任</w:t>
      </w:r>
    </w:p>
    <w:p>
      <w:pPr>
        <w:pStyle w:val="BodyText"/>
        <w:spacing w:before="68"/>
        <w:ind w:left="533"/>
      </w:pPr>
      <w:r>
        <w:rPr/>
        <w:t>在本附加合同有效期内，我们承担下列保险责任：</w:t>
      </w:r>
    </w:p>
    <w:p>
      <w:pPr>
        <w:spacing w:before="99"/>
        <w:ind w:left="533" w:right="0" w:firstLine="0"/>
        <w:jc w:val="left"/>
        <w:rPr>
          <w:rFonts w:ascii="黑体" w:eastAsia="黑体" w:hint="eastAsia"/>
          <w:b/>
          <w:sz w:val="21"/>
        </w:rPr>
      </w:pPr>
      <w:r>
        <w:rPr>
          <w:rFonts w:ascii="黑体" w:eastAsia="黑体" w:hint="eastAsia"/>
          <w:sz w:val="21"/>
        </w:rPr>
        <w:t>一、 </w:t>
      </w:r>
      <w:r>
        <w:rPr>
          <w:rFonts w:ascii="黑体" w:eastAsia="黑体" w:hint="eastAsia"/>
          <w:b/>
          <w:sz w:val="21"/>
        </w:rPr>
        <w:t>轻症疾病保险金</w:t>
      </w:r>
    </w:p>
    <w:p>
      <w:pPr>
        <w:pStyle w:val="BodyText"/>
        <w:spacing w:line="314" w:lineRule="auto" w:before="68"/>
        <w:ind w:right="213" w:firstLine="420"/>
        <w:jc w:val="both"/>
      </w:pPr>
      <w:r>
        <w:rPr/>
        <w:t>若被保险人于本附加合同生效（或最后复效）之日起 90 日内（含当日）因</w:t>
      </w:r>
      <w:r>
        <w:rPr>
          <w:b/>
        </w:rPr>
        <w:t>意外伤害</w:t>
      </w:r>
      <w:r>
        <w:rPr/>
        <w:t>以外的原因， 经确诊</w:t>
      </w:r>
      <w:r>
        <w:rPr>
          <w:b/>
        </w:rPr>
        <w:t>首次患有</w:t>
      </w:r>
      <w:r>
        <w:rPr/>
        <w:t>本附加合同所列的</w:t>
      </w:r>
      <w:r>
        <w:rPr>
          <w:b/>
        </w:rPr>
        <w:t>轻症疾病</w:t>
      </w:r>
      <w:r>
        <w:rPr/>
        <w:t>中的任意一种或多种，我们不承担给付轻症疾病保险金的责任，本项保险责任终止，本附加合同及主合同继续有效。</w:t>
      </w:r>
    </w:p>
    <w:p>
      <w:pPr>
        <w:pStyle w:val="BodyText"/>
        <w:spacing w:line="314" w:lineRule="auto" w:before="18"/>
        <w:ind w:right="107" w:firstLine="420"/>
      </w:pPr>
      <w:r>
        <w:rPr>
          <w:spacing w:val="-3"/>
        </w:rPr>
        <w:t>若被保险人因意外伤害或于本附加合同生效（或最后复效</w:t>
      </w:r>
      <w:r>
        <w:rPr/>
        <w:t>）</w:t>
      </w:r>
      <w:r>
        <w:rPr>
          <w:spacing w:val="-11"/>
        </w:rPr>
        <w:t>之日起 </w:t>
      </w:r>
      <w:r>
        <w:rPr/>
        <w:t>90</w:t>
      </w:r>
      <w:r>
        <w:rPr>
          <w:spacing w:val="-7"/>
        </w:rPr>
        <w:t> 日后因意外伤害以外的原因， </w:t>
      </w:r>
      <w:r>
        <w:rPr>
          <w:spacing w:val="-5"/>
        </w:rPr>
        <w:t>经确诊首次患有本附加合同所列的轻症疾病，我们将按本附加合同约定的基本保险金额的 </w:t>
      </w:r>
      <w:r>
        <w:rPr/>
        <w:t>30%</w:t>
      </w:r>
      <w:r>
        <w:rPr>
          <w:spacing w:val="-3"/>
        </w:rPr>
        <w:t>给付轻症</w:t>
      </w:r>
      <w:r>
        <w:rPr>
          <w:spacing w:val="-2"/>
        </w:rPr>
        <w:t>疾病保险金。</w:t>
      </w:r>
    </w:p>
    <w:p>
      <w:pPr>
        <w:spacing w:before="37"/>
        <w:ind w:left="535" w:right="0" w:firstLine="0"/>
        <w:jc w:val="left"/>
        <w:rPr>
          <w:rFonts w:ascii="黑体" w:eastAsia="黑体" w:hint="eastAsia"/>
          <w:b/>
          <w:sz w:val="21"/>
        </w:rPr>
      </w:pPr>
      <w:r>
        <w:rPr>
          <w:rFonts w:ascii="黑体" w:eastAsia="黑体" w:hint="eastAsia"/>
          <w:b/>
          <w:sz w:val="21"/>
        </w:rPr>
        <w:t>特别提示和说明：</w:t>
      </w:r>
    </w:p>
    <w:p>
      <w:pPr>
        <w:spacing w:line="314" w:lineRule="auto" w:before="83"/>
        <w:ind w:left="113" w:right="218" w:firstLine="422"/>
        <w:jc w:val="both"/>
        <w:rPr>
          <w:rFonts w:ascii="黑体" w:eastAsia="黑体" w:hint="eastAsia"/>
          <w:b/>
          <w:sz w:val="21"/>
        </w:rPr>
      </w:pPr>
      <w:r>
        <w:rPr>
          <w:rFonts w:ascii="黑体" w:eastAsia="黑体" w:hint="eastAsia"/>
          <w:b/>
          <w:sz w:val="21"/>
        </w:rPr>
        <w:t>1、每种轻症疾病保险金，我们仅给付一次，给付后该种轻症疾病保险金责任终止。不同种类轻症</w:t>
      </w:r>
      <w:r>
        <w:rPr>
          <w:rFonts w:ascii="黑体" w:eastAsia="黑体" w:hint="eastAsia"/>
          <w:b/>
          <w:spacing w:val="-4"/>
          <w:sz w:val="21"/>
        </w:rPr>
        <w:t>疾病可以多次给付，但本附加合同的轻症疾病保险金累计给付次数以三次为限，当轻症保险金给付次数达到三次时，轻症疾病保险金保险责任终止，本附加合同及主合同继续有效。</w:t>
      </w:r>
    </w:p>
    <w:p>
      <w:pPr>
        <w:spacing w:line="312" w:lineRule="auto" w:before="20"/>
        <w:ind w:left="113" w:right="216" w:firstLine="422"/>
        <w:jc w:val="left"/>
        <w:rPr>
          <w:rFonts w:ascii="黑体" w:eastAsia="黑体" w:hint="eastAsia"/>
          <w:b/>
          <w:sz w:val="21"/>
        </w:rPr>
      </w:pPr>
      <w:r>
        <w:rPr>
          <w:rFonts w:ascii="黑体" w:eastAsia="黑体" w:hint="eastAsia"/>
          <w:b/>
          <w:sz w:val="21"/>
        </w:rPr>
        <w:t>2、如果被保险人因同一原因导致其首次患有本附加合同所列的两种或两种以上的轻症疾病，我们仅按一种轻症疾病给付轻症疾病保险金。</w:t>
      </w:r>
    </w:p>
    <w:p>
      <w:pPr>
        <w:spacing w:before="22"/>
        <w:ind w:left="533" w:right="0" w:firstLine="0"/>
        <w:jc w:val="left"/>
        <w:rPr>
          <w:rFonts w:ascii="黑体" w:eastAsia="黑体" w:hint="eastAsia"/>
          <w:b/>
          <w:sz w:val="21"/>
        </w:rPr>
      </w:pPr>
      <w:r>
        <w:rPr>
          <w:rFonts w:ascii="黑体" w:eastAsia="黑体" w:hint="eastAsia"/>
          <w:sz w:val="21"/>
        </w:rPr>
        <w:t>二、 </w:t>
      </w:r>
      <w:r>
        <w:rPr>
          <w:rFonts w:ascii="黑体" w:eastAsia="黑体" w:hint="eastAsia"/>
          <w:b/>
          <w:sz w:val="21"/>
        </w:rPr>
        <w:t>轻症疾病豁免保险费</w:t>
      </w:r>
    </w:p>
    <w:p>
      <w:pPr>
        <w:pStyle w:val="BodyText"/>
        <w:spacing w:line="314" w:lineRule="auto" w:before="65"/>
        <w:ind w:right="107" w:firstLine="420"/>
      </w:pPr>
      <w:r>
        <w:rPr>
          <w:spacing w:val="-3"/>
        </w:rPr>
        <w:t>若被保险人因意外伤害或于本附加合同生效（或最后复效</w:t>
      </w:r>
      <w:r>
        <w:rPr/>
        <w:t>）</w:t>
      </w:r>
      <w:r>
        <w:rPr>
          <w:spacing w:val="-11"/>
        </w:rPr>
        <w:t>之日起 </w:t>
      </w:r>
      <w:r>
        <w:rPr/>
        <w:t>90</w:t>
      </w:r>
      <w:r>
        <w:rPr>
          <w:spacing w:val="-7"/>
        </w:rPr>
        <w:t> 日后因意外伤害以外的原因， </w:t>
      </w:r>
      <w:r>
        <w:rPr>
          <w:spacing w:val="-5"/>
        </w:rPr>
        <w:t>经确诊首次患有本附加合同所列的轻症疾病中的任意一种或多种，自确诊日后首个保险费到期日开始至</w:t>
      </w:r>
      <w:r>
        <w:rPr>
          <w:spacing w:val="-4"/>
        </w:rPr>
        <w:t>最后一次保险费到期日止，我们豁免前述期间您应支付的本附加合同及主合同的保险费，本项保险责任</w:t>
      </w:r>
      <w:r>
        <w:rPr>
          <w:spacing w:val="-3"/>
        </w:rPr>
        <w:t>终止，本附加合同及主合同继续有效。</w:t>
      </w:r>
    </w:p>
    <w:p>
      <w:pPr>
        <w:spacing w:before="33"/>
        <w:ind w:left="533" w:right="0" w:firstLine="0"/>
        <w:jc w:val="left"/>
        <w:rPr>
          <w:rFonts w:ascii="黑体" w:eastAsia="黑体" w:hint="eastAsia"/>
          <w:b/>
          <w:sz w:val="21"/>
        </w:rPr>
      </w:pPr>
      <w:r>
        <w:rPr>
          <w:rFonts w:ascii="黑体" w:eastAsia="黑体" w:hint="eastAsia"/>
          <w:sz w:val="21"/>
        </w:rPr>
        <w:t>三、 </w:t>
      </w:r>
      <w:r>
        <w:rPr>
          <w:rFonts w:ascii="黑体" w:eastAsia="黑体" w:hint="eastAsia"/>
          <w:b/>
          <w:sz w:val="21"/>
        </w:rPr>
        <w:t>重大疾病保险金</w:t>
      </w:r>
    </w:p>
    <w:p>
      <w:pPr>
        <w:pStyle w:val="BodyText"/>
        <w:spacing w:line="314" w:lineRule="auto" w:before="67"/>
        <w:ind w:right="215" w:firstLine="420"/>
        <w:jc w:val="both"/>
      </w:pPr>
      <w:r>
        <w:rPr>
          <w:spacing w:val="-5"/>
        </w:rPr>
        <w:t>若被保险人于本附加合同生效</w:t>
      </w:r>
      <w:r>
        <w:rPr>
          <w:spacing w:val="-3"/>
        </w:rPr>
        <w:t>（或最后复效</w:t>
      </w:r>
      <w:r>
        <w:rPr>
          <w:spacing w:val="-22"/>
        </w:rPr>
        <w:t>）</w:t>
      </w:r>
      <w:r>
        <w:rPr>
          <w:spacing w:val="-10"/>
        </w:rPr>
        <w:t>之日起 </w:t>
      </w:r>
      <w:r>
        <w:rPr/>
        <w:t>90</w:t>
      </w:r>
      <w:r>
        <w:rPr>
          <w:spacing w:val="-20"/>
        </w:rPr>
        <w:t> 日内</w:t>
      </w:r>
      <w:r>
        <w:rPr>
          <w:spacing w:val="-3"/>
        </w:rPr>
        <w:t>（</w:t>
      </w:r>
      <w:r>
        <w:rPr>
          <w:spacing w:val="-2"/>
        </w:rPr>
        <w:t>含当日</w:t>
      </w:r>
      <w:r>
        <w:rPr>
          <w:spacing w:val="-25"/>
        </w:rPr>
        <w:t>）</w:t>
      </w:r>
      <w:r>
        <w:rPr>
          <w:spacing w:val="-5"/>
        </w:rPr>
        <w:t>因意外伤害以外的原因，经</w:t>
      </w:r>
      <w:r>
        <w:rPr>
          <w:spacing w:val="-7"/>
        </w:rPr>
        <w:t>确诊首次患有本附加合同所列的重大疾病中的任意一种或多种，我们将按已交保费的 </w:t>
      </w:r>
      <w:r>
        <w:rPr/>
        <w:t>105</w:t>
      </w:r>
      <w:r>
        <w:rPr>
          <w:spacing w:val="-3"/>
        </w:rPr>
        <w:t>%给付重大疾病保险金，本附加合同及主合同终止。</w:t>
      </w:r>
    </w:p>
    <w:p>
      <w:pPr>
        <w:pStyle w:val="BodyText"/>
        <w:spacing w:line="314" w:lineRule="auto" w:before="17"/>
        <w:ind w:right="107" w:firstLine="420"/>
      </w:pPr>
      <w:r>
        <w:rPr>
          <w:spacing w:val="-3"/>
        </w:rPr>
        <w:t>若被保险人因意外伤害或于本附加合同生效（或最后复效</w:t>
      </w:r>
      <w:r>
        <w:rPr/>
        <w:t>）</w:t>
      </w:r>
      <w:r>
        <w:rPr>
          <w:spacing w:val="-11"/>
        </w:rPr>
        <w:t>之日起 </w:t>
      </w:r>
      <w:r>
        <w:rPr/>
        <w:t>90</w:t>
      </w:r>
      <w:r>
        <w:rPr>
          <w:spacing w:val="-7"/>
        </w:rPr>
        <w:t> 日后因意外伤害以外的原因， </w:t>
      </w:r>
      <w:r>
        <w:rPr>
          <w:spacing w:val="-5"/>
        </w:rPr>
        <w:t>经确诊首次患有本附加合同所列的重大疾病中的任意一种或多种，我们将按以下约定向重大疾病保险金</w:t>
      </w:r>
      <w:r>
        <w:rPr>
          <w:spacing w:val="-4"/>
        </w:rPr>
        <w:t>受益人给付重大疾病保险金，本附加合同及主合同终止：</w:t>
      </w:r>
    </w:p>
    <w:p>
      <w:pPr>
        <w:pStyle w:val="BodyText"/>
        <w:spacing w:line="312" w:lineRule="auto" w:before="20"/>
        <w:ind w:right="213" w:firstLine="420"/>
      </w:pPr>
      <w:r>
        <w:rPr/>
        <w:t>（一</w:t>
      </w:r>
      <w:r>
        <w:rPr>
          <w:spacing w:val="-3"/>
        </w:rPr>
        <w:t>）</w:t>
      </w:r>
      <w:r>
        <w:rPr>
          <w:spacing w:val="-5"/>
        </w:rPr>
        <w:t>若被保险人患重大疾病时未满 </w:t>
      </w:r>
      <w:r>
        <w:rPr/>
        <w:t>18</w:t>
      </w:r>
      <w:r>
        <w:rPr>
          <w:spacing w:val="-7"/>
        </w:rPr>
        <w:t> 周岁的，我们将按本附加合同基本保险金额的 </w:t>
      </w:r>
      <w:r>
        <w:rPr/>
        <w:t>200</w:t>
      </w:r>
      <w:r>
        <w:rPr>
          <w:spacing w:val="-2"/>
        </w:rPr>
        <w:t>%给付重</w:t>
      </w:r>
      <w:r>
        <w:rPr>
          <w:spacing w:val="-3"/>
        </w:rPr>
        <w:t>大疾病保险金。</w:t>
      </w:r>
    </w:p>
    <w:p>
      <w:pPr>
        <w:spacing w:after="0" w:line="312" w:lineRule="auto"/>
        <w:sectPr>
          <w:pgSz w:w="11910" w:h="16840"/>
          <w:pgMar w:header="0" w:footer="593" w:top="1100" w:bottom="860" w:left="1020" w:right="1100"/>
        </w:sectPr>
      </w:pPr>
    </w:p>
    <w:p>
      <w:pPr>
        <w:pStyle w:val="BodyText"/>
        <w:spacing w:line="314" w:lineRule="auto" w:before="9"/>
        <w:ind w:right="213" w:firstLine="420"/>
      </w:pPr>
      <w:r>
        <w:rPr/>
        <w:t>（二</w:t>
      </w:r>
      <w:r>
        <w:rPr>
          <w:spacing w:val="-3"/>
        </w:rPr>
        <w:t>）</w:t>
      </w:r>
      <w:r>
        <w:rPr>
          <w:spacing w:val="-6"/>
        </w:rPr>
        <w:t>若被保险人患重大疾病时已年满 </w:t>
      </w:r>
      <w:r>
        <w:rPr/>
        <w:t>18</w:t>
      </w:r>
      <w:r>
        <w:rPr>
          <w:spacing w:val="-16"/>
        </w:rPr>
        <w:t> 周岁</w:t>
      </w:r>
      <w:r>
        <w:rPr/>
        <w:t>（</w:t>
      </w:r>
      <w:r>
        <w:rPr>
          <w:spacing w:val="-3"/>
        </w:rPr>
        <w:t>含</w:t>
      </w:r>
      <w:r>
        <w:rPr/>
        <w:t>）</w:t>
      </w:r>
      <w:r>
        <w:rPr>
          <w:spacing w:val="-13"/>
        </w:rPr>
        <w:t>但未满 </w:t>
      </w:r>
      <w:r>
        <w:rPr/>
        <w:t>60</w:t>
      </w:r>
      <w:r>
        <w:rPr>
          <w:spacing w:val="-8"/>
        </w:rPr>
        <w:t> 周岁的，我们将按以下三项的较大</w:t>
      </w:r>
      <w:r>
        <w:rPr>
          <w:spacing w:val="-5"/>
        </w:rPr>
        <w:t>者给付重大疾病保险金：</w:t>
      </w:r>
    </w:p>
    <w:p>
      <w:pPr>
        <w:pStyle w:val="BodyText"/>
        <w:spacing w:before="18"/>
        <w:ind w:left="533"/>
      </w:pPr>
      <w:r>
        <w:rPr/>
        <w:t>1、 被保险人经确诊患有重大疾病时已交保险费；</w:t>
      </w:r>
    </w:p>
    <w:p>
      <w:pPr>
        <w:pStyle w:val="BodyText"/>
        <w:spacing w:before="85"/>
        <w:ind w:left="533"/>
      </w:pPr>
      <w:r>
        <w:rPr/>
        <w:t>2、 被保险人经确诊患有重大疾病时</w:t>
      </w:r>
      <w:r>
        <w:rPr>
          <w:b/>
        </w:rPr>
        <w:t>现金价值</w:t>
      </w:r>
      <w:r>
        <w:rPr/>
        <w:t>；</w:t>
      </w:r>
    </w:p>
    <w:p>
      <w:pPr>
        <w:pStyle w:val="BodyText"/>
        <w:spacing w:before="82"/>
        <w:ind w:left="533"/>
      </w:pPr>
      <w:r>
        <w:rPr/>
        <w:t>3、 被保险人经确诊患有重大疾病时本附加合同的基本保险金额。</w:t>
      </w:r>
    </w:p>
    <w:p>
      <w:pPr>
        <w:pStyle w:val="BodyText"/>
        <w:spacing w:line="312" w:lineRule="auto" w:before="84"/>
        <w:ind w:right="215" w:firstLine="420"/>
      </w:pPr>
      <w:r>
        <w:rPr/>
        <w:t>（三</w:t>
      </w:r>
      <w:r>
        <w:rPr>
          <w:spacing w:val="-29"/>
        </w:rPr>
        <w:t>）</w:t>
      </w:r>
      <w:r>
        <w:rPr>
          <w:spacing w:val="-5"/>
        </w:rPr>
        <w:t>若被保险人患重大疾病时已年满 </w:t>
      </w:r>
      <w:r>
        <w:rPr/>
        <w:t>60</w:t>
      </w:r>
      <w:r>
        <w:rPr>
          <w:spacing w:val="-21"/>
        </w:rPr>
        <w:t> 周岁</w:t>
      </w:r>
      <w:r>
        <w:rPr>
          <w:spacing w:val="-3"/>
        </w:rPr>
        <w:t>（含</w:t>
      </w:r>
      <w:r>
        <w:rPr>
          <w:spacing w:val="-27"/>
        </w:rPr>
        <w:t>）</w:t>
      </w:r>
      <w:r>
        <w:rPr>
          <w:spacing w:val="-7"/>
        </w:rPr>
        <w:t>的，我们将按以下三项的较大者给付重大疾病</w:t>
      </w:r>
      <w:r>
        <w:rPr>
          <w:spacing w:val="-5"/>
        </w:rPr>
        <w:t>保险金：</w:t>
      </w:r>
    </w:p>
    <w:p>
      <w:pPr>
        <w:pStyle w:val="BodyText"/>
        <w:spacing w:before="21"/>
        <w:ind w:left="533"/>
      </w:pPr>
      <w:r>
        <w:rPr/>
        <w:t>1、 被保险人经确诊患有重大疾病时的已交保险费；</w:t>
      </w:r>
    </w:p>
    <w:p>
      <w:pPr>
        <w:pStyle w:val="BodyText"/>
        <w:spacing w:before="82"/>
        <w:ind w:left="533"/>
      </w:pPr>
      <w:r>
        <w:rPr/>
        <w:t>2、 被保险人经确诊患有重大疾病时的现金价值；</w:t>
      </w:r>
    </w:p>
    <w:p>
      <w:pPr>
        <w:pStyle w:val="BodyText"/>
        <w:spacing w:before="85"/>
        <w:ind w:left="533"/>
      </w:pPr>
      <w:r>
        <w:rPr/>
        <w:t>3、 被保险人经确诊患有重大疾病时本附加合同基本保险金额的 150%。</w:t>
      </w:r>
    </w:p>
    <w:p>
      <w:pPr>
        <w:spacing w:before="99"/>
        <w:ind w:left="535" w:right="0" w:firstLine="0"/>
        <w:jc w:val="left"/>
        <w:rPr>
          <w:rFonts w:ascii="黑体" w:eastAsia="黑体" w:hint="eastAsia"/>
          <w:b/>
          <w:sz w:val="21"/>
        </w:rPr>
      </w:pPr>
      <w:r>
        <w:rPr>
          <w:rFonts w:ascii="黑体" w:eastAsia="黑体" w:hint="eastAsia"/>
          <w:b/>
          <w:sz w:val="21"/>
        </w:rPr>
        <w:t>四、疾病终末期保险金</w:t>
      </w:r>
    </w:p>
    <w:p>
      <w:pPr>
        <w:pStyle w:val="BodyText"/>
        <w:spacing w:line="314" w:lineRule="auto" w:before="68"/>
        <w:ind w:right="215" w:firstLine="420"/>
        <w:jc w:val="both"/>
      </w:pPr>
      <w:r>
        <w:rPr>
          <w:spacing w:val="-5"/>
        </w:rPr>
        <w:t>若被保险人于本附加合同生效</w:t>
      </w:r>
      <w:r>
        <w:rPr>
          <w:spacing w:val="-3"/>
        </w:rPr>
        <w:t>（或最后复效</w:t>
      </w:r>
      <w:r>
        <w:rPr>
          <w:spacing w:val="-22"/>
        </w:rPr>
        <w:t>）</w:t>
      </w:r>
      <w:r>
        <w:rPr>
          <w:spacing w:val="-10"/>
        </w:rPr>
        <w:t>之日起 </w:t>
      </w:r>
      <w:r>
        <w:rPr/>
        <w:t>90</w:t>
      </w:r>
      <w:r>
        <w:rPr>
          <w:spacing w:val="-20"/>
        </w:rPr>
        <w:t> 日内</w:t>
      </w:r>
      <w:r>
        <w:rPr>
          <w:spacing w:val="-3"/>
        </w:rPr>
        <w:t>（</w:t>
      </w:r>
      <w:r>
        <w:rPr>
          <w:spacing w:val="-2"/>
        </w:rPr>
        <w:t>含当日</w:t>
      </w:r>
      <w:r>
        <w:rPr>
          <w:spacing w:val="-24"/>
        </w:rPr>
        <w:t>）</w:t>
      </w:r>
      <w:r>
        <w:rPr>
          <w:spacing w:val="-5"/>
        </w:rPr>
        <w:t>因意外伤害以外的原因，经</w:t>
      </w:r>
      <w:r>
        <w:rPr>
          <w:spacing w:val="-4"/>
        </w:rPr>
        <w:t>确诊首次达到</w:t>
      </w:r>
      <w:r>
        <w:rPr>
          <w:b/>
        </w:rPr>
        <w:t>疾病终末期阶段</w:t>
      </w:r>
      <w:r>
        <w:rPr>
          <w:spacing w:val="-9"/>
        </w:rPr>
        <w:t>，我们将按已交保险费的 </w:t>
      </w:r>
      <w:r>
        <w:rPr/>
        <w:t>105</w:t>
      </w:r>
      <w:r>
        <w:rPr>
          <w:spacing w:val="-6"/>
        </w:rPr>
        <w:t>%给付疾病终末期保险金，本附加合同及主合</w:t>
      </w:r>
      <w:r>
        <w:rPr>
          <w:spacing w:val="-4"/>
        </w:rPr>
        <w:t>同终止。</w:t>
      </w:r>
    </w:p>
    <w:p>
      <w:pPr>
        <w:pStyle w:val="BodyText"/>
        <w:spacing w:line="314" w:lineRule="auto" w:before="17"/>
        <w:ind w:right="107" w:firstLine="420"/>
        <w:jc w:val="both"/>
      </w:pPr>
      <w:r>
        <w:rPr>
          <w:spacing w:val="-3"/>
        </w:rPr>
        <w:t>若被保险人因意外伤害或于本附加合同生效（或最后复效</w:t>
      </w:r>
      <w:r>
        <w:rPr/>
        <w:t>）</w:t>
      </w:r>
      <w:r>
        <w:rPr>
          <w:spacing w:val="-11"/>
        </w:rPr>
        <w:t>之日起 </w:t>
      </w:r>
      <w:r>
        <w:rPr/>
        <w:t>90</w:t>
      </w:r>
      <w:r>
        <w:rPr>
          <w:spacing w:val="-7"/>
        </w:rPr>
        <w:t> 日后因意外伤害以外的原因， </w:t>
      </w:r>
      <w:r>
        <w:rPr>
          <w:spacing w:val="-12"/>
        </w:rPr>
        <w:t>经确诊首次达到疾病终末期阶段，我们将按以下约定向疾病终末期保险金受益人给付疾病终末期保险金， </w:t>
      </w:r>
      <w:r>
        <w:rPr>
          <w:spacing w:val="-6"/>
        </w:rPr>
        <w:t>本附加合同及主合同终止：</w:t>
      </w:r>
    </w:p>
    <w:p>
      <w:pPr>
        <w:pStyle w:val="BodyText"/>
        <w:spacing w:line="312" w:lineRule="auto" w:before="19"/>
        <w:ind w:right="215" w:firstLine="314"/>
      </w:pPr>
      <w:r>
        <w:rPr/>
        <w:t>（一</w:t>
      </w:r>
      <w:r>
        <w:rPr>
          <w:spacing w:val="-29"/>
        </w:rPr>
        <w:t>）</w:t>
      </w:r>
      <w:r>
        <w:rPr>
          <w:spacing w:val="-5"/>
        </w:rPr>
        <w:t>若被保险人达到疾病终末期阶段时未满 </w:t>
      </w:r>
      <w:r>
        <w:rPr/>
        <w:t>18</w:t>
      </w:r>
      <w:r>
        <w:rPr>
          <w:spacing w:val="-12"/>
        </w:rPr>
        <w:t> 周岁的，我们将按已交保险费的 </w:t>
      </w:r>
      <w:r>
        <w:rPr/>
        <w:t>200</w:t>
      </w:r>
      <w:r>
        <w:rPr>
          <w:spacing w:val="-2"/>
        </w:rPr>
        <w:t>%给付疾病终末期保险金。</w:t>
      </w:r>
    </w:p>
    <w:p>
      <w:pPr>
        <w:pStyle w:val="BodyText"/>
        <w:spacing w:line="312" w:lineRule="auto" w:before="21"/>
        <w:ind w:right="215" w:firstLine="314"/>
      </w:pPr>
      <w:r>
        <w:rPr/>
        <w:t>（二</w:t>
      </w:r>
      <w:r>
        <w:rPr>
          <w:spacing w:val="-29"/>
        </w:rPr>
        <w:t>）</w:t>
      </w:r>
      <w:r>
        <w:rPr>
          <w:spacing w:val="-6"/>
        </w:rPr>
        <w:t>若被保险人达到疾病终末期阶段时已年满 </w:t>
      </w:r>
      <w:r>
        <w:rPr/>
        <w:t>18</w:t>
      </w:r>
      <w:r>
        <w:rPr>
          <w:spacing w:val="-25"/>
        </w:rPr>
        <w:t> 周岁</w:t>
      </w:r>
      <w:r>
        <w:rPr>
          <w:spacing w:val="-3"/>
        </w:rPr>
        <w:t>（</w:t>
      </w:r>
      <w:r>
        <w:rPr/>
        <w:t>含</w:t>
      </w:r>
      <w:r>
        <w:rPr>
          <w:spacing w:val="-29"/>
        </w:rPr>
        <w:t>）</w:t>
      </w:r>
      <w:r>
        <w:rPr>
          <w:spacing w:val="-12"/>
        </w:rPr>
        <w:t>但未满 </w:t>
      </w:r>
      <w:r>
        <w:rPr/>
        <w:t>60</w:t>
      </w:r>
      <w:r>
        <w:rPr>
          <w:spacing w:val="-10"/>
        </w:rPr>
        <w:t> 周岁的，我们将按以下三项</w:t>
      </w:r>
      <w:r>
        <w:rPr>
          <w:spacing w:val="-3"/>
        </w:rPr>
        <w:t>的较大者给付疾病终末期保险金：</w:t>
      </w:r>
    </w:p>
    <w:p>
      <w:pPr>
        <w:pStyle w:val="BodyText"/>
        <w:spacing w:before="22"/>
        <w:ind w:left="533"/>
      </w:pPr>
      <w:r>
        <w:rPr/>
        <w:t>1、 被保险人经确诊达到疾病终末期阶段时已交保险费；</w:t>
      </w:r>
    </w:p>
    <w:p>
      <w:pPr>
        <w:pStyle w:val="BodyText"/>
        <w:spacing w:before="82"/>
        <w:ind w:left="533"/>
      </w:pPr>
      <w:r>
        <w:rPr/>
        <w:t>2、 被保险人经确诊达到疾病终末期阶段时现金价值；</w:t>
      </w:r>
    </w:p>
    <w:p>
      <w:pPr>
        <w:pStyle w:val="BodyText"/>
        <w:spacing w:before="84"/>
        <w:ind w:left="533"/>
      </w:pPr>
      <w:r>
        <w:rPr/>
        <w:t>3、 被保险人经确诊达到疾病终末期阶段时本附加合同的基本保险金额。</w:t>
      </w:r>
    </w:p>
    <w:p>
      <w:pPr>
        <w:pStyle w:val="BodyText"/>
        <w:spacing w:line="314" w:lineRule="auto" w:before="82"/>
        <w:ind w:right="213" w:firstLine="420"/>
      </w:pPr>
      <w:r>
        <w:rPr/>
        <w:t>（三</w:t>
      </w:r>
      <w:r>
        <w:rPr>
          <w:spacing w:val="-29"/>
        </w:rPr>
        <w:t>）</w:t>
      </w:r>
      <w:r>
        <w:rPr>
          <w:spacing w:val="-5"/>
        </w:rPr>
        <w:t>若被保险人达到疾病终末期阶段时已年满 </w:t>
      </w:r>
      <w:r>
        <w:rPr/>
        <w:t>60</w:t>
      </w:r>
      <w:r>
        <w:rPr>
          <w:spacing w:val="-22"/>
        </w:rPr>
        <w:t> 周岁</w:t>
      </w:r>
      <w:r>
        <w:rPr>
          <w:spacing w:val="-3"/>
        </w:rPr>
        <w:t>（</w:t>
      </w:r>
      <w:r>
        <w:rPr/>
        <w:t>含</w:t>
      </w:r>
      <w:r>
        <w:rPr>
          <w:spacing w:val="-29"/>
        </w:rPr>
        <w:t>）</w:t>
      </w:r>
      <w:r>
        <w:rPr>
          <w:spacing w:val="-7"/>
        </w:rPr>
        <w:t>的，我们将按以下三项的较大者给付</w:t>
      </w:r>
      <w:r>
        <w:rPr>
          <w:spacing w:val="-3"/>
        </w:rPr>
        <w:t>疾病终末期保险金：</w:t>
      </w:r>
    </w:p>
    <w:p>
      <w:pPr>
        <w:pStyle w:val="BodyText"/>
        <w:spacing w:before="17"/>
        <w:ind w:left="533"/>
      </w:pPr>
      <w:r>
        <w:rPr/>
        <w:t>1、 被保险人经确诊达到疾病终末期阶段时的已交保险费；</w:t>
      </w:r>
    </w:p>
    <w:p>
      <w:pPr>
        <w:pStyle w:val="BodyText"/>
        <w:spacing w:before="84"/>
        <w:ind w:left="533"/>
      </w:pPr>
      <w:r>
        <w:rPr/>
        <w:t>2、 被保险人经确诊达到疾病终末期阶段时的现金价值；</w:t>
      </w:r>
    </w:p>
    <w:p>
      <w:pPr>
        <w:pStyle w:val="BodyText"/>
        <w:spacing w:before="82"/>
        <w:ind w:left="533"/>
      </w:pPr>
      <w:r>
        <w:rPr/>
        <w:t>3、 被保险人经确诊达到疾病终末期阶段时本附加合同基本保险金额的 150%。</w:t>
      </w:r>
    </w:p>
    <w:p>
      <w:pPr>
        <w:spacing w:before="102"/>
        <w:ind w:left="535" w:right="0" w:firstLine="0"/>
        <w:jc w:val="left"/>
        <w:rPr>
          <w:rFonts w:ascii="黑体" w:eastAsia="黑体" w:hint="eastAsia"/>
          <w:b/>
          <w:sz w:val="21"/>
        </w:rPr>
      </w:pPr>
      <w:r>
        <w:rPr>
          <w:rFonts w:ascii="黑体" w:eastAsia="黑体" w:hint="eastAsia"/>
          <w:b/>
          <w:sz w:val="21"/>
        </w:rPr>
        <w:t>五、少儿特定疾病保险金</w:t>
      </w:r>
    </w:p>
    <w:p>
      <w:pPr>
        <w:pStyle w:val="BodyText"/>
        <w:spacing w:line="314" w:lineRule="auto" w:before="66"/>
        <w:ind w:right="213" w:firstLine="420"/>
        <w:jc w:val="both"/>
      </w:pPr>
      <w:r>
        <w:rPr>
          <w:spacing w:val="-8"/>
        </w:rPr>
        <w:t>若被保险人未满 </w:t>
      </w:r>
      <w:r>
        <w:rPr/>
        <w:t>18</w:t>
      </w:r>
      <w:r>
        <w:rPr>
          <w:spacing w:val="-8"/>
        </w:rPr>
        <w:t> 周岁，因意外伤害或于本附加合同生效</w:t>
      </w:r>
      <w:r>
        <w:rPr/>
        <w:t>（</w:t>
      </w:r>
      <w:r>
        <w:rPr>
          <w:spacing w:val="-3"/>
        </w:rPr>
        <w:t>或最后复效</w:t>
      </w:r>
      <w:r>
        <w:rPr/>
        <w:t>）</w:t>
      </w:r>
      <w:r>
        <w:rPr>
          <w:spacing w:val="-12"/>
        </w:rPr>
        <w:t>之日起 </w:t>
      </w:r>
      <w:r>
        <w:rPr/>
        <w:t>90</w:t>
      </w:r>
      <w:r>
        <w:rPr>
          <w:spacing w:val="-9"/>
        </w:rPr>
        <w:t> 日后因意外伤</w:t>
      </w:r>
      <w:r>
        <w:rPr>
          <w:spacing w:val="-6"/>
        </w:rPr>
        <w:t>害以外的原因，经确诊首次患有本附加合同所列的</w:t>
      </w:r>
      <w:r>
        <w:rPr>
          <w:b/>
        </w:rPr>
        <w:t>少儿特定疾病</w:t>
      </w:r>
      <w:r>
        <w:rPr>
          <w:spacing w:val="-4"/>
        </w:rPr>
        <w:t>中的任意一种或多种，我们按本附加合</w:t>
      </w:r>
      <w:r>
        <w:rPr>
          <w:spacing w:val="-5"/>
        </w:rPr>
        <w:t>同约定基本保险金额的 </w:t>
      </w:r>
      <w:r>
        <w:rPr>
          <w:rFonts w:ascii="Arial" w:eastAsia="Arial"/>
        </w:rPr>
        <w:t>300%</w:t>
      </w:r>
      <w:r>
        <w:rPr>
          <w:spacing w:val="-3"/>
        </w:rPr>
        <w:t>给付少儿特定疾病保险金，本附加合同及主合同终止。</w:t>
      </w:r>
    </w:p>
    <w:p>
      <w:pPr>
        <w:spacing w:before="14"/>
        <w:ind w:left="535" w:right="0" w:firstLine="0"/>
        <w:jc w:val="left"/>
        <w:rPr>
          <w:rFonts w:ascii="黑体" w:eastAsia="黑体" w:hint="eastAsia"/>
          <w:b/>
          <w:sz w:val="21"/>
        </w:rPr>
      </w:pPr>
      <w:r>
        <w:rPr>
          <w:rFonts w:ascii="黑体" w:eastAsia="黑体" w:hint="eastAsia"/>
          <w:b/>
          <w:sz w:val="21"/>
        </w:rPr>
        <w:t>特别提示和说明：</w:t>
      </w:r>
    </w:p>
    <w:p>
      <w:pPr>
        <w:pStyle w:val="ListParagraph"/>
        <w:numPr>
          <w:ilvl w:val="0"/>
          <w:numId w:val="1"/>
        </w:numPr>
        <w:tabs>
          <w:tab w:pos="803" w:val="left" w:leader="none"/>
        </w:tabs>
        <w:spacing w:line="314" w:lineRule="auto" w:before="82" w:after="0"/>
        <w:ind w:left="802" w:right="212" w:hanging="269"/>
        <w:jc w:val="both"/>
        <w:rPr>
          <w:b/>
          <w:sz w:val="21"/>
        </w:rPr>
      </w:pPr>
      <w:r>
        <w:rPr>
          <w:b/>
          <w:spacing w:val="-8"/>
          <w:sz w:val="21"/>
        </w:rPr>
        <w:t>我们仅承担本附加合同中的“重大疾病保险金”责任、“疾病终末期保险金”责任、“少儿特定</w:t>
      </w:r>
      <w:r>
        <w:rPr>
          <w:b/>
          <w:spacing w:val="-13"/>
          <w:sz w:val="21"/>
        </w:rPr>
        <w:t>疾病保险金”责任、主合同中的“身故保险金”责任及“高度残疾保险金”责任中的其中一项保险责任。</w:t>
      </w:r>
    </w:p>
    <w:p>
      <w:pPr>
        <w:pStyle w:val="ListParagraph"/>
        <w:numPr>
          <w:ilvl w:val="0"/>
          <w:numId w:val="1"/>
        </w:numPr>
        <w:tabs>
          <w:tab w:pos="803" w:val="left" w:leader="none"/>
        </w:tabs>
        <w:spacing w:line="314" w:lineRule="auto" w:before="19" w:after="0"/>
        <w:ind w:left="802" w:right="214" w:hanging="269"/>
        <w:jc w:val="both"/>
        <w:rPr>
          <w:b/>
          <w:sz w:val="21"/>
        </w:rPr>
      </w:pPr>
      <w:r>
        <w:rPr>
          <w:b/>
          <w:spacing w:val="-11"/>
          <w:sz w:val="21"/>
        </w:rPr>
        <w:t>本条“重大疾病保险金”、“疾病终末期保险金”中所述“已交保险费”是指本附加合同及主合</w:t>
      </w:r>
      <w:r>
        <w:rPr>
          <w:b/>
          <w:spacing w:val="-9"/>
          <w:sz w:val="21"/>
        </w:rPr>
        <w:t>同“光大永明吉瑞宝两全保险”的已交保险费之和；包括因轻症疾病豁免的保险费</w:t>
      </w:r>
      <w:r>
        <w:rPr>
          <w:b/>
          <w:sz w:val="21"/>
        </w:rPr>
        <w:t>（若存在豁免情形）；</w:t>
      </w:r>
    </w:p>
    <w:p>
      <w:pPr>
        <w:spacing w:after="0" w:line="314" w:lineRule="auto"/>
        <w:jc w:val="both"/>
        <w:rPr>
          <w:sz w:val="21"/>
        </w:rPr>
        <w:sectPr>
          <w:pgSz w:w="11910" w:h="16840"/>
          <w:pgMar w:header="0" w:footer="593" w:top="1100" w:bottom="860" w:left="1020" w:right="1100"/>
        </w:sectPr>
      </w:pPr>
    </w:p>
    <w:p>
      <w:pPr>
        <w:pStyle w:val="ListParagraph"/>
        <w:numPr>
          <w:ilvl w:val="0"/>
          <w:numId w:val="1"/>
        </w:numPr>
        <w:tabs>
          <w:tab w:pos="803" w:val="left" w:leader="none"/>
        </w:tabs>
        <w:spacing w:line="240" w:lineRule="auto" w:before="26" w:after="0"/>
        <w:ind w:left="802" w:right="0" w:hanging="269"/>
        <w:jc w:val="left"/>
        <w:rPr>
          <w:b/>
          <w:sz w:val="21"/>
        </w:rPr>
      </w:pPr>
      <w:r>
        <w:rPr>
          <w:b/>
          <w:spacing w:val="-11"/>
          <w:sz w:val="21"/>
        </w:rPr>
        <w:t>本条“重大疾病保险金”、“疾病终末期保险金”中所述“现金价值”是指本附加合同及主合同</w:t>
      </w:r>
    </w:p>
    <w:p>
      <w:pPr>
        <w:spacing w:before="85"/>
        <w:ind w:left="802" w:right="0" w:firstLine="0"/>
        <w:jc w:val="left"/>
        <w:rPr>
          <w:rFonts w:ascii="黑体" w:hAnsi="黑体" w:eastAsia="黑体" w:hint="eastAsia"/>
          <w:b/>
          <w:sz w:val="21"/>
        </w:rPr>
      </w:pPr>
      <w:r>
        <w:rPr>
          <w:rFonts w:ascii="黑体" w:hAnsi="黑体" w:eastAsia="黑体" w:hint="eastAsia"/>
          <w:b/>
          <w:sz w:val="21"/>
        </w:rPr>
        <w:t>“光大永明吉瑞宝两全保险”的现金价值之和。</w:t>
      </w:r>
    </w:p>
    <w:p>
      <w:pPr>
        <w:pStyle w:val="ListParagraph"/>
        <w:numPr>
          <w:ilvl w:val="0"/>
          <w:numId w:val="1"/>
        </w:numPr>
        <w:tabs>
          <w:tab w:pos="803" w:val="left" w:leader="none"/>
        </w:tabs>
        <w:spacing w:line="314" w:lineRule="auto" w:before="83" w:after="0"/>
        <w:ind w:left="802" w:right="115" w:hanging="269"/>
        <w:jc w:val="both"/>
        <w:rPr>
          <w:b/>
          <w:sz w:val="21"/>
        </w:rPr>
      </w:pPr>
      <w:r>
        <w:rPr>
          <w:b/>
          <w:spacing w:val="-3"/>
          <w:sz w:val="21"/>
        </w:rPr>
        <w:t>若被保险人在申请轻症疾病保险金之前已经发</w:t>
      </w:r>
      <w:r>
        <w:rPr>
          <w:b/>
          <w:sz w:val="21"/>
        </w:rPr>
        <w:t>Th</w:t>
      </w:r>
      <w:r>
        <w:rPr>
          <w:b/>
          <w:spacing w:val="-10"/>
          <w:sz w:val="21"/>
        </w:rPr>
        <w:t>符合重大疾病保险金、疾病终末期保险金、少儿</w:t>
      </w:r>
      <w:r>
        <w:rPr>
          <w:b/>
          <w:spacing w:val="-12"/>
          <w:sz w:val="21"/>
        </w:rPr>
        <w:t>特定疾病保险金或主合同高度残疾保险金的保险事故而未申请理赔的，我们将在今后就之前发</w:t>
      </w:r>
      <w:r>
        <w:rPr>
          <w:b/>
          <w:sz w:val="21"/>
        </w:rPr>
        <w:t>Th </w:t>
      </w:r>
      <w:r>
        <w:rPr>
          <w:b/>
          <w:spacing w:val="-9"/>
          <w:sz w:val="21"/>
        </w:rPr>
        <w:t>的重大疾病保险金、疾病终末期保险金、少儿特定疾病保险金或主合同高度残疾保险金申请理赔</w:t>
      </w:r>
      <w:r>
        <w:rPr>
          <w:b/>
          <w:spacing w:val="-10"/>
          <w:sz w:val="21"/>
        </w:rPr>
        <w:t>时，扣除已经赔付的轻症疾病保险金数额后进行赔付，并向您无息返还自重大疾病保险金、疾病</w:t>
      </w:r>
      <w:r>
        <w:rPr>
          <w:b/>
          <w:spacing w:val="-14"/>
          <w:sz w:val="21"/>
        </w:rPr>
        <w:t>终末期保险金、少儿特定疾病保险金或主合同高度残疾保险金责任发</w:t>
      </w:r>
      <w:r>
        <w:rPr>
          <w:b/>
          <w:sz w:val="21"/>
        </w:rPr>
        <w:t>Th</w:t>
      </w:r>
      <w:r>
        <w:rPr>
          <w:b/>
          <w:spacing w:val="-3"/>
          <w:sz w:val="21"/>
        </w:rPr>
        <w:t>至您申请轻症疾病保险金期间所交纳的保险费。本附加合同及其主合同按 “重大疾病保险金”责任、“疾病终末期保险金”责任、“少儿特定疾病保险金”责任或“高度残疾保险金”责任的相关约定进行后续处理。</w:t>
      </w:r>
    </w:p>
    <w:p>
      <w:pPr>
        <w:pStyle w:val="BodyText"/>
        <w:spacing w:before="5"/>
        <w:ind w:left="0"/>
        <w:rPr>
          <w:rFonts w:ascii="黑体"/>
          <w:b/>
          <w:sz w:val="25"/>
        </w:rPr>
      </w:pPr>
    </w:p>
    <w:p>
      <w:pPr>
        <w:pStyle w:val="Heading2"/>
        <w:rPr>
          <w:rFonts w:ascii="宋体" w:eastAsia="宋体" w:hint="eastAsia"/>
        </w:rPr>
      </w:pPr>
      <w:bookmarkStart w:name="_bookmark11" w:id="12"/>
      <w:bookmarkEnd w:id="12"/>
      <w:r>
        <w:rPr>
          <w:b w:val="0"/>
        </w:rPr>
      </w:r>
      <w:r>
        <w:rPr>
          <w:rFonts w:ascii="宋体" w:eastAsia="宋体" w:hint="eastAsia"/>
        </w:rPr>
        <w:t>第十条 责任免除</w:t>
      </w:r>
    </w:p>
    <w:p>
      <w:pPr>
        <w:pStyle w:val="BodyText"/>
        <w:spacing w:line="314" w:lineRule="auto" w:before="83"/>
        <w:ind w:right="213" w:firstLine="420"/>
        <w:rPr>
          <w:rFonts w:ascii="黑体" w:eastAsia="黑体" w:hint="eastAsia"/>
        </w:rPr>
      </w:pPr>
      <w:r>
        <w:rPr>
          <w:rFonts w:ascii="黑体" w:eastAsia="黑体" w:hint="eastAsia"/>
        </w:rPr>
        <w:t>在下列情形下被保险人患有本附加合同所列的轻症疾病、重大疾病、少儿特定疾病或达到疾病终末期阶段的，我们不承担保险责任：</w:t>
      </w:r>
    </w:p>
    <w:p>
      <w:pPr>
        <w:pStyle w:val="ListParagraph"/>
        <w:numPr>
          <w:ilvl w:val="0"/>
          <w:numId w:val="2"/>
        </w:numPr>
        <w:tabs>
          <w:tab w:pos="803" w:val="left" w:leader="none"/>
        </w:tabs>
        <w:spacing w:line="240" w:lineRule="auto" w:before="17" w:after="0"/>
        <w:ind w:left="799" w:right="0" w:hanging="266"/>
        <w:jc w:val="left"/>
        <w:rPr>
          <w:sz w:val="21"/>
        </w:rPr>
      </w:pPr>
      <w:r>
        <w:rPr>
          <w:spacing w:val="-3"/>
          <w:sz w:val="21"/>
        </w:rPr>
        <w:t>您对被保险人的故意杀害、故意伤害；</w:t>
      </w:r>
    </w:p>
    <w:p>
      <w:pPr>
        <w:pStyle w:val="ListParagraph"/>
        <w:numPr>
          <w:ilvl w:val="0"/>
          <w:numId w:val="2"/>
        </w:numPr>
        <w:tabs>
          <w:tab w:pos="803" w:val="left" w:leader="none"/>
        </w:tabs>
        <w:spacing w:line="240" w:lineRule="auto" w:before="85" w:after="0"/>
        <w:ind w:left="799" w:right="0" w:hanging="266"/>
        <w:jc w:val="left"/>
        <w:rPr>
          <w:sz w:val="21"/>
        </w:rPr>
      </w:pPr>
      <w:r>
        <w:rPr>
          <w:spacing w:val="-3"/>
          <w:sz w:val="21"/>
        </w:rPr>
        <w:t>被保险人故意犯罪或者抗拒依法采取的刑事强制措施；</w:t>
      </w:r>
    </w:p>
    <w:p>
      <w:pPr>
        <w:pStyle w:val="ListParagraph"/>
        <w:numPr>
          <w:ilvl w:val="0"/>
          <w:numId w:val="2"/>
        </w:numPr>
        <w:tabs>
          <w:tab w:pos="803" w:val="left" w:leader="none"/>
        </w:tabs>
        <w:spacing w:line="314" w:lineRule="auto" w:before="83" w:after="0"/>
        <w:ind w:left="799" w:right="213" w:hanging="266"/>
        <w:jc w:val="left"/>
        <w:rPr>
          <w:sz w:val="21"/>
        </w:rPr>
      </w:pPr>
      <w:r>
        <w:rPr>
          <w:spacing w:val="-5"/>
          <w:sz w:val="21"/>
        </w:rPr>
        <w:t>被保险人自本附加成立或者效力恢复之日起 </w:t>
      </w:r>
      <w:r>
        <w:rPr>
          <w:sz w:val="21"/>
        </w:rPr>
        <w:t>2</w:t>
      </w:r>
      <w:r>
        <w:rPr>
          <w:spacing w:val="-11"/>
          <w:sz w:val="21"/>
        </w:rPr>
        <w:t> 年内自杀，但被保险人自杀时为无民事行为能力人</w:t>
      </w:r>
      <w:r>
        <w:rPr>
          <w:spacing w:val="-7"/>
          <w:sz w:val="21"/>
        </w:rPr>
        <w:t>的除外；</w:t>
      </w:r>
    </w:p>
    <w:p>
      <w:pPr>
        <w:pStyle w:val="ListParagraph"/>
        <w:numPr>
          <w:ilvl w:val="0"/>
          <w:numId w:val="2"/>
        </w:numPr>
        <w:tabs>
          <w:tab w:pos="803" w:val="left" w:leader="none"/>
        </w:tabs>
        <w:spacing w:line="240" w:lineRule="auto" w:before="17" w:after="0"/>
        <w:ind w:left="799" w:right="0" w:hanging="266"/>
        <w:jc w:val="left"/>
        <w:rPr>
          <w:sz w:val="21"/>
        </w:rPr>
      </w:pPr>
      <w:r>
        <w:rPr>
          <w:spacing w:val="-3"/>
          <w:sz w:val="21"/>
        </w:rPr>
        <w:t>被保险人服用、吸食或注射</w:t>
      </w:r>
      <w:r>
        <w:rPr>
          <w:b/>
          <w:sz w:val="21"/>
        </w:rPr>
        <w:t>毒品</w:t>
      </w:r>
      <w:r>
        <w:rPr>
          <w:sz w:val="21"/>
        </w:rPr>
        <w:t>；</w:t>
      </w:r>
    </w:p>
    <w:p>
      <w:pPr>
        <w:pStyle w:val="ListParagraph"/>
        <w:numPr>
          <w:ilvl w:val="0"/>
          <w:numId w:val="2"/>
        </w:numPr>
        <w:tabs>
          <w:tab w:pos="803" w:val="left" w:leader="none"/>
        </w:tabs>
        <w:spacing w:line="240" w:lineRule="auto" w:before="84" w:after="0"/>
        <w:ind w:left="799" w:right="0" w:hanging="266"/>
        <w:jc w:val="left"/>
        <w:rPr>
          <w:sz w:val="21"/>
        </w:rPr>
      </w:pPr>
      <w:r>
        <w:rPr>
          <w:spacing w:val="-2"/>
          <w:sz w:val="21"/>
        </w:rPr>
        <w:t>被保险人</w:t>
      </w:r>
      <w:r>
        <w:rPr>
          <w:b/>
          <w:sz w:val="21"/>
        </w:rPr>
        <w:t>酒后驾驶</w:t>
      </w:r>
      <w:r>
        <w:rPr>
          <w:spacing w:val="-3"/>
          <w:sz w:val="21"/>
        </w:rPr>
        <w:t>、</w:t>
      </w:r>
      <w:r>
        <w:rPr>
          <w:b/>
          <w:sz w:val="21"/>
        </w:rPr>
        <w:t>无合法有效驾驶证驾驶</w:t>
      </w:r>
      <w:r>
        <w:rPr>
          <w:spacing w:val="-3"/>
          <w:sz w:val="21"/>
        </w:rPr>
        <w:t>或驾驶</w:t>
      </w:r>
      <w:r>
        <w:rPr>
          <w:b/>
          <w:sz w:val="21"/>
        </w:rPr>
        <w:t>无有效行驶证</w:t>
      </w:r>
      <w:r>
        <w:rPr>
          <w:spacing w:val="-3"/>
          <w:sz w:val="21"/>
        </w:rPr>
        <w:t>的</w:t>
      </w:r>
      <w:r>
        <w:rPr>
          <w:b/>
          <w:sz w:val="21"/>
        </w:rPr>
        <w:t>机动车</w:t>
      </w:r>
      <w:r>
        <w:rPr>
          <w:sz w:val="21"/>
        </w:rPr>
        <w:t>；</w:t>
      </w:r>
    </w:p>
    <w:p>
      <w:pPr>
        <w:pStyle w:val="ListParagraph"/>
        <w:numPr>
          <w:ilvl w:val="0"/>
          <w:numId w:val="2"/>
        </w:numPr>
        <w:tabs>
          <w:tab w:pos="803" w:val="left" w:leader="none"/>
        </w:tabs>
        <w:spacing w:line="240" w:lineRule="auto" w:before="82" w:after="0"/>
        <w:ind w:left="799" w:right="0" w:hanging="266"/>
        <w:jc w:val="left"/>
        <w:rPr>
          <w:sz w:val="21"/>
        </w:rPr>
      </w:pPr>
      <w:r>
        <w:rPr>
          <w:spacing w:val="-3"/>
          <w:sz w:val="21"/>
        </w:rPr>
        <w:t>战争、军事冲突、暴乱或武装叛乱、恐怖袭击；</w:t>
      </w:r>
    </w:p>
    <w:p>
      <w:pPr>
        <w:pStyle w:val="ListParagraph"/>
        <w:numPr>
          <w:ilvl w:val="0"/>
          <w:numId w:val="2"/>
        </w:numPr>
        <w:tabs>
          <w:tab w:pos="803" w:val="left" w:leader="none"/>
        </w:tabs>
        <w:spacing w:line="240" w:lineRule="auto" w:before="85" w:after="0"/>
        <w:ind w:left="799" w:right="0" w:hanging="266"/>
        <w:jc w:val="left"/>
        <w:rPr>
          <w:sz w:val="21"/>
        </w:rPr>
      </w:pPr>
      <w:r>
        <w:rPr>
          <w:spacing w:val="-3"/>
          <w:sz w:val="21"/>
        </w:rPr>
        <w:t>核爆炸、核辐射或核污染；</w:t>
      </w:r>
    </w:p>
    <w:p>
      <w:pPr>
        <w:pStyle w:val="ListParagraph"/>
        <w:numPr>
          <w:ilvl w:val="0"/>
          <w:numId w:val="2"/>
        </w:numPr>
        <w:tabs>
          <w:tab w:pos="803" w:val="left" w:leader="none"/>
        </w:tabs>
        <w:spacing w:line="314" w:lineRule="auto" w:before="83" w:after="0"/>
        <w:ind w:left="799" w:right="215" w:hanging="266"/>
        <w:jc w:val="left"/>
        <w:rPr>
          <w:sz w:val="21"/>
        </w:rPr>
      </w:pPr>
      <w:r>
        <w:rPr>
          <w:spacing w:val="-2"/>
          <w:sz w:val="21"/>
        </w:rPr>
        <w:t>被保险人</w:t>
      </w:r>
      <w:r>
        <w:rPr>
          <w:b/>
          <w:spacing w:val="-1"/>
          <w:sz w:val="21"/>
        </w:rPr>
        <w:t>感染艾滋病病毒或患艾滋病</w:t>
      </w:r>
      <w:r>
        <w:rPr>
          <w:spacing w:val="-4"/>
          <w:sz w:val="21"/>
        </w:rPr>
        <w:t>，但不包括【名词释义】中所列的第 </w:t>
      </w:r>
      <w:r>
        <w:rPr>
          <w:sz w:val="21"/>
        </w:rPr>
        <w:t>31</w:t>
      </w:r>
      <w:r>
        <w:rPr>
          <w:spacing w:val="-11"/>
          <w:sz w:val="21"/>
        </w:rPr>
        <w:t> 种</w:t>
      </w:r>
      <w:r>
        <w:rPr>
          <w:sz w:val="21"/>
        </w:rPr>
        <w:t>（</w:t>
      </w:r>
      <w:r>
        <w:rPr>
          <w:spacing w:val="-3"/>
          <w:sz w:val="21"/>
        </w:rPr>
        <w:t>由输血或输液导致的人类免疫缺陷病毒感染</w:t>
      </w:r>
      <w:r>
        <w:rPr>
          <w:spacing w:val="-106"/>
          <w:sz w:val="21"/>
        </w:rPr>
        <w:t>）</w:t>
      </w:r>
      <w:r>
        <w:rPr>
          <w:spacing w:val="7"/>
          <w:sz w:val="21"/>
        </w:rPr>
        <w:t>、第 </w:t>
      </w:r>
      <w:r>
        <w:rPr>
          <w:sz w:val="21"/>
        </w:rPr>
        <w:t>32</w:t>
      </w:r>
      <w:r>
        <w:rPr>
          <w:spacing w:val="10"/>
          <w:sz w:val="21"/>
        </w:rPr>
        <w:t> 种</w:t>
      </w:r>
      <w:r>
        <w:rPr>
          <w:sz w:val="21"/>
        </w:rPr>
        <w:t>（因职业关系和因器官移植导致的人类免疫缺陷病毒</w:t>
      </w:r>
    </w:p>
    <w:p>
      <w:pPr>
        <w:pStyle w:val="BodyText"/>
        <w:spacing w:before="17"/>
        <w:ind w:left="799"/>
        <w:rPr>
          <w:rFonts w:ascii="黑体" w:eastAsia="黑体" w:hint="eastAsia"/>
        </w:rPr>
      </w:pPr>
      <w:r>
        <w:rPr>
          <w:rFonts w:ascii="黑体" w:eastAsia="黑体" w:hint="eastAsia"/>
          <w:spacing w:val="-1"/>
          <w:w w:val="100"/>
        </w:rPr>
        <w:t>（</w:t>
      </w:r>
      <w:r>
        <w:rPr>
          <w:rFonts w:ascii="黑体" w:eastAsia="黑体" w:hint="eastAsia"/>
          <w:w w:val="100"/>
        </w:rPr>
        <w:t>HI</w:t>
      </w:r>
      <w:r>
        <w:rPr>
          <w:rFonts w:ascii="黑体" w:eastAsia="黑体" w:hint="eastAsia"/>
          <w:spacing w:val="-3"/>
          <w:w w:val="100"/>
        </w:rPr>
        <w:t>V</w:t>
      </w:r>
      <w:r>
        <w:rPr>
          <w:rFonts w:ascii="黑体" w:eastAsia="黑体" w:hint="eastAsia"/>
          <w:w w:val="100"/>
        </w:rPr>
        <w:t>）</w:t>
      </w:r>
      <w:r>
        <w:rPr>
          <w:rFonts w:ascii="黑体" w:eastAsia="黑体" w:hint="eastAsia"/>
          <w:spacing w:val="-2"/>
          <w:w w:val="100"/>
        </w:rPr>
        <w:t>感染</w:t>
      </w:r>
      <w:r>
        <w:rPr>
          <w:rFonts w:ascii="黑体" w:eastAsia="黑体" w:hint="eastAsia"/>
          <w:spacing w:val="-106"/>
          <w:w w:val="100"/>
        </w:rPr>
        <w:t>）</w:t>
      </w:r>
      <w:r>
        <w:rPr>
          <w:rFonts w:ascii="黑体" w:eastAsia="黑体" w:hint="eastAsia"/>
          <w:spacing w:val="-2"/>
          <w:w w:val="100"/>
        </w:rPr>
        <w:t>、第</w:t>
      </w:r>
      <w:r>
        <w:rPr>
          <w:rFonts w:ascii="黑体" w:eastAsia="黑体" w:hint="eastAsia"/>
          <w:spacing w:val="-52"/>
        </w:rPr>
        <w:t> </w:t>
      </w:r>
      <w:r>
        <w:rPr>
          <w:rFonts w:ascii="黑体" w:eastAsia="黑体" w:hint="eastAsia"/>
          <w:spacing w:val="-3"/>
          <w:w w:val="100"/>
        </w:rPr>
        <w:t>9</w:t>
      </w:r>
      <w:r>
        <w:rPr>
          <w:rFonts w:ascii="黑体" w:eastAsia="黑体" w:hint="eastAsia"/>
          <w:w w:val="100"/>
        </w:rPr>
        <w:t>4</w:t>
      </w:r>
      <w:r>
        <w:rPr>
          <w:rFonts w:ascii="黑体" w:eastAsia="黑体" w:hint="eastAsia"/>
          <w:spacing w:val="-53"/>
        </w:rPr>
        <w:t> </w:t>
      </w:r>
      <w:r>
        <w:rPr>
          <w:rFonts w:ascii="黑体" w:eastAsia="黑体" w:hint="eastAsia"/>
          <w:spacing w:val="-3"/>
          <w:w w:val="100"/>
        </w:rPr>
        <w:t>种（因器官移植导致的人类免疫缺陷病毒</w:t>
      </w:r>
      <w:r>
        <w:rPr>
          <w:rFonts w:ascii="黑体" w:eastAsia="黑体" w:hint="eastAsia"/>
          <w:w w:val="100"/>
        </w:rPr>
        <w:t>（H</w:t>
      </w:r>
      <w:r>
        <w:rPr>
          <w:rFonts w:ascii="黑体" w:eastAsia="黑体" w:hint="eastAsia"/>
          <w:spacing w:val="-3"/>
          <w:w w:val="100"/>
        </w:rPr>
        <w:t>I</w:t>
      </w:r>
      <w:r>
        <w:rPr>
          <w:rFonts w:ascii="黑体" w:eastAsia="黑体" w:hint="eastAsia"/>
          <w:spacing w:val="-1"/>
          <w:w w:val="100"/>
        </w:rPr>
        <w:t>V</w:t>
      </w:r>
      <w:r>
        <w:rPr>
          <w:rFonts w:ascii="黑体" w:eastAsia="黑体" w:hint="eastAsia"/>
          <w:spacing w:val="-3"/>
          <w:w w:val="100"/>
        </w:rPr>
        <w:t>）</w:t>
      </w:r>
      <w:r>
        <w:rPr>
          <w:rFonts w:ascii="黑体" w:eastAsia="黑体" w:hint="eastAsia"/>
          <w:spacing w:val="-1"/>
          <w:w w:val="100"/>
        </w:rPr>
        <w:t>感染</w:t>
      </w:r>
      <w:r>
        <w:rPr>
          <w:rFonts w:ascii="黑体" w:eastAsia="黑体" w:hint="eastAsia"/>
          <w:spacing w:val="-108"/>
          <w:w w:val="100"/>
        </w:rPr>
        <w:t>）</w:t>
      </w:r>
      <w:r>
        <w:rPr>
          <w:rFonts w:ascii="黑体" w:eastAsia="黑体" w:hint="eastAsia"/>
          <w:w w:val="100"/>
        </w:rPr>
        <w:t>；</w:t>
      </w:r>
    </w:p>
    <w:p>
      <w:pPr>
        <w:pStyle w:val="ListParagraph"/>
        <w:numPr>
          <w:ilvl w:val="0"/>
          <w:numId w:val="2"/>
        </w:numPr>
        <w:tabs>
          <w:tab w:pos="803" w:val="left" w:leader="none"/>
        </w:tabs>
        <w:spacing w:line="240" w:lineRule="auto" w:before="85" w:after="0"/>
        <w:ind w:left="799" w:right="0" w:hanging="266"/>
        <w:jc w:val="left"/>
        <w:rPr>
          <w:sz w:val="21"/>
        </w:rPr>
      </w:pPr>
      <w:r>
        <w:rPr>
          <w:b/>
          <w:spacing w:val="-1"/>
          <w:sz w:val="21"/>
        </w:rPr>
        <w:t>遗传性疾病</w:t>
      </w:r>
      <w:r>
        <w:rPr>
          <w:spacing w:val="-3"/>
          <w:sz w:val="21"/>
        </w:rPr>
        <w:t>、</w:t>
      </w:r>
      <w:r>
        <w:rPr>
          <w:b/>
          <w:spacing w:val="-1"/>
          <w:sz w:val="21"/>
        </w:rPr>
        <w:t>先天性畸形、变形或染色体异常</w:t>
      </w:r>
      <w:r>
        <w:rPr>
          <w:sz w:val="21"/>
        </w:rPr>
        <w:t>；</w:t>
      </w:r>
    </w:p>
    <w:p>
      <w:pPr>
        <w:pStyle w:val="ListParagraph"/>
        <w:numPr>
          <w:ilvl w:val="0"/>
          <w:numId w:val="2"/>
        </w:numPr>
        <w:tabs>
          <w:tab w:pos="908" w:val="left" w:leader="none"/>
        </w:tabs>
        <w:spacing w:line="314" w:lineRule="auto" w:before="83" w:after="0"/>
        <w:ind w:left="799" w:right="215" w:hanging="266"/>
        <w:jc w:val="left"/>
        <w:rPr>
          <w:sz w:val="21"/>
        </w:rPr>
      </w:pPr>
      <w:r>
        <w:rPr>
          <w:sz w:val="21"/>
        </w:rPr>
        <w:t>被保险人在本附加合同Th效（或最后复效）日之前已患有本附加合同所列的轻症疾病、重大疾</w:t>
      </w:r>
      <w:r>
        <w:rPr>
          <w:spacing w:val="-3"/>
          <w:sz w:val="21"/>
        </w:rPr>
        <w:t>病、少儿特定疾病或进入疾病终末期阶段的。</w:t>
      </w:r>
    </w:p>
    <w:p>
      <w:pPr>
        <w:pStyle w:val="BodyText"/>
        <w:spacing w:line="314" w:lineRule="auto" w:before="17"/>
        <w:ind w:right="213" w:firstLine="420"/>
        <w:jc w:val="both"/>
        <w:rPr>
          <w:rFonts w:ascii="黑体" w:eastAsia="黑体" w:hint="eastAsia"/>
        </w:rPr>
      </w:pPr>
      <w:r>
        <w:rPr>
          <w:rFonts w:ascii="黑体" w:eastAsia="黑体" w:hint="eastAsia"/>
        </w:rPr>
        <w:t>发Th</w:t>
      </w:r>
      <w:r>
        <w:rPr>
          <w:rFonts w:ascii="黑体" w:eastAsia="黑体" w:hint="eastAsia"/>
          <w:spacing w:val="-10"/>
        </w:rPr>
        <w:t>上述第 </w:t>
      </w:r>
      <w:r>
        <w:rPr>
          <w:rFonts w:ascii="黑体" w:eastAsia="黑体" w:hint="eastAsia"/>
        </w:rPr>
        <w:t>1</w:t>
      </w:r>
      <w:r>
        <w:rPr>
          <w:rFonts w:ascii="黑体" w:eastAsia="黑体" w:hint="eastAsia"/>
          <w:spacing w:val="-7"/>
        </w:rPr>
        <w:t> 项情形导致被保险人患有本附加合同所列的轻症疾病、重大疾病、少儿特定疾病或进</w:t>
      </w:r>
      <w:r>
        <w:rPr>
          <w:rFonts w:ascii="黑体" w:eastAsia="黑体" w:hint="eastAsia"/>
          <w:spacing w:val="-5"/>
        </w:rPr>
        <w:t>入疾病终末期阶段的，本附加合同及主合同终止。若您已交足二年以上保险费的，我们向其他权利人退</w:t>
      </w:r>
      <w:r>
        <w:rPr>
          <w:rFonts w:ascii="黑体" w:eastAsia="黑体" w:hint="eastAsia"/>
          <w:spacing w:val="-3"/>
        </w:rPr>
        <w:t>还本附加合同终止时的现金价值。</w:t>
      </w:r>
    </w:p>
    <w:p>
      <w:pPr>
        <w:pStyle w:val="BodyText"/>
        <w:spacing w:before="19"/>
        <w:ind w:left="533"/>
        <w:rPr>
          <w:rFonts w:ascii="黑体" w:eastAsia="黑体" w:hint="eastAsia"/>
        </w:rPr>
      </w:pPr>
      <w:r>
        <w:rPr>
          <w:rFonts w:ascii="黑体" w:eastAsia="黑体" w:hint="eastAsia"/>
        </w:rPr>
        <w:t>发Th上述第 2-10 项情形导致被保险人患有本附加合同所列的轻症疾病、重大疾病、少儿特定疾病或</w:t>
      </w:r>
    </w:p>
    <w:p>
      <w:pPr>
        <w:pStyle w:val="BodyText"/>
        <w:spacing w:line="314" w:lineRule="auto" w:before="83"/>
        <w:ind w:right="218"/>
        <w:rPr>
          <w:rFonts w:ascii="黑体" w:eastAsia="黑体" w:hint="eastAsia"/>
        </w:rPr>
      </w:pPr>
      <w:r>
        <w:rPr>
          <w:rFonts w:ascii="黑体" w:eastAsia="黑体" w:hint="eastAsia"/>
          <w:spacing w:val="-11"/>
        </w:rPr>
        <w:t>进入疾病终末期阶段的，本附加合同及主合同终止。我们将于收到下列证明材料后 </w:t>
      </w:r>
      <w:r>
        <w:rPr>
          <w:rFonts w:ascii="黑体" w:eastAsia="黑体" w:hint="eastAsia"/>
        </w:rPr>
        <w:t>30</w:t>
      </w:r>
      <w:r>
        <w:rPr>
          <w:rFonts w:ascii="黑体" w:eastAsia="黑体" w:hint="eastAsia"/>
          <w:spacing w:val="-7"/>
        </w:rPr>
        <w:t> 日内向您退还本附</w:t>
      </w:r>
      <w:r>
        <w:rPr>
          <w:rFonts w:ascii="黑体" w:eastAsia="黑体" w:hint="eastAsia"/>
          <w:spacing w:val="-3"/>
        </w:rPr>
        <w:t>加合同终止时的现金价值。</w:t>
      </w:r>
    </w:p>
    <w:p>
      <w:pPr>
        <w:pStyle w:val="ListParagraph"/>
        <w:numPr>
          <w:ilvl w:val="0"/>
          <w:numId w:val="3"/>
        </w:numPr>
        <w:tabs>
          <w:tab w:pos="803" w:val="left" w:leader="none"/>
        </w:tabs>
        <w:spacing w:line="240" w:lineRule="auto" w:before="17" w:after="0"/>
        <w:ind w:left="802" w:right="0" w:hanging="269"/>
        <w:jc w:val="left"/>
        <w:rPr>
          <w:sz w:val="21"/>
        </w:rPr>
      </w:pPr>
      <w:r>
        <w:rPr>
          <w:spacing w:val="-2"/>
          <w:sz w:val="21"/>
        </w:rPr>
        <w:t>本附加合同；</w:t>
      </w:r>
    </w:p>
    <w:p>
      <w:pPr>
        <w:pStyle w:val="ListParagraph"/>
        <w:numPr>
          <w:ilvl w:val="0"/>
          <w:numId w:val="3"/>
        </w:numPr>
        <w:tabs>
          <w:tab w:pos="803" w:val="left" w:leader="none"/>
        </w:tabs>
        <w:spacing w:line="240" w:lineRule="auto" w:before="84" w:after="0"/>
        <w:ind w:left="802" w:right="0" w:hanging="269"/>
        <w:jc w:val="left"/>
        <w:rPr>
          <w:sz w:val="21"/>
        </w:rPr>
      </w:pPr>
      <w:r>
        <w:rPr>
          <w:spacing w:val="-3"/>
          <w:sz w:val="21"/>
        </w:rPr>
        <w:t>您的有效身份证件。</w:t>
      </w:r>
    </w:p>
    <w:p>
      <w:pPr>
        <w:pStyle w:val="BodyText"/>
        <w:spacing w:line="297" w:lineRule="auto" w:before="82"/>
        <w:ind w:right="215" w:firstLine="420"/>
        <w:rPr>
          <w:rFonts w:ascii="黑体" w:hAnsi="黑体" w:eastAsia="黑体" w:hint="eastAsia"/>
        </w:rPr>
      </w:pPr>
      <w:r>
        <w:rPr>
          <w:rFonts w:ascii="黑体" w:hAnsi="黑体" w:eastAsia="黑体" w:hint="eastAsia"/>
        </w:rPr>
        <w:t>特别提示和说明：本条所述</w:t>
      </w:r>
      <w:r>
        <w:rPr>
          <w:rFonts w:ascii="Times New Roman" w:hAnsi="Times New Roman" w:eastAsia="Times New Roman"/>
        </w:rPr>
        <w:t>“</w:t>
      </w:r>
      <w:r>
        <w:rPr>
          <w:rFonts w:ascii="黑体" w:hAnsi="黑体" w:eastAsia="黑体" w:hint="eastAsia"/>
        </w:rPr>
        <w:t>现金价值</w:t>
      </w:r>
      <w:r>
        <w:rPr>
          <w:rFonts w:ascii="Times New Roman" w:hAnsi="Times New Roman" w:eastAsia="Times New Roman"/>
        </w:rPr>
        <w:t>”</w:t>
      </w:r>
      <w:r>
        <w:rPr>
          <w:rFonts w:ascii="黑体" w:hAnsi="黑体" w:eastAsia="黑体" w:hint="eastAsia"/>
        </w:rPr>
        <w:t>是指本附加合同及主合同“光大永明吉瑞宝两全保险”的现金价值之和。</w:t>
      </w:r>
    </w:p>
    <w:p>
      <w:pPr>
        <w:spacing w:after="0" w:line="297" w:lineRule="auto"/>
        <w:rPr>
          <w:rFonts w:ascii="黑体" w:hAnsi="黑体" w:eastAsia="黑体" w:hint="eastAsia"/>
        </w:rPr>
        <w:sectPr>
          <w:pgSz w:w="11910" w:h="16840"/>
          <w:pgMar w:header="0" w:footer="593" w:top="1100" w:bottom="860" w:left="1020" w:right="1100"/>
        </w:sectPr>
      </w:pPr>
    </w:p>
    <w:p>
      <w:pPr>
        <w:pStyle w:val="Heading1"/>
      </w:pPr>
      <w:bookmarkStart w:name="_bookmark12" w:id="13"/>
      <w:bookmarkEnd w:id="13"/>
      <w:r>
        <w:rPr>
          <w:b w:val="0"/>
        </w:rPr>
      </w:r>
      <w:r>
        <w:rPr/>
        <w:t>第三部分 如何申请领取保险金</w:t>
      </w:r>
    </w:p>
    <w:p>
      <w:pPr>
        <w:pStyle w:val="BodyText"/>
        <w:spacing w:before="11"/>
        <w:ind w:left="0"/>
        <w:rPr>
          <w:b/>
          <w:sz w:val="37"/>
        </w:rPr>
      </w:pPr>
    </w:p>
    <w:p>
      <w:pPr>
        <w:pStyle w:val="Heading2"/>
        <w:rPr>
          <w:rFonts w:ascii="宋体" w:eastAsia="宋体" w:hint="eastAsia"/>
        </w:rPr>
      </w:pPr>
      <w:bookmarkStart w:name="_bookmark13" w:id="14"/>
      <w:bookmarkEnd w:id="14"/>
      <w:r>
        <w:rPr>
          <w:b w:val="0"/>
        </w:rPr>
      </w:r>
      <w:r>
        <w:rPr>
          <w:rFonts w:ascii="宋体" w:eastAsia="宋体" w:hint="eastAsia"/>
        </w:rPr>
        <w:t>第十一条 保险事故通知</w:t>
      </w:r>
    </w:p>
    <w:p>
      <w:pPr>
        <w:pStyle w:val="BodyText"/>
        <w:spacing w:line="312" w:lineRule="auto" w:before="68"/>
        <w:ind w:right="113" w:firstLine="420"/>
        <w:jc w:val="both"/>
        <w:rPr>
          <w:rFonts w:ascii="黑体" w:eastAsia="黑体" w:hint="eastAsia"/>
        </w:rPr>
      </w:pPr>
      <w:r>
        <w:rPr>
          <w:rFonts w:ascii="黑体" w:eastAsia="黑体" w:hint="eastAsia"/>
          <w:spacing w:val="-3"/>
        </w:rPr>
        <w:t>您、被保险人或受益人应于知道保险事故发</w:t>
      </w:r>
      <w:r>
        <w:rPr>
          <w:rFonts w:ascii="黑体" w:eastAsia="黑体" w:hint="eastAsia"/>
        </w:rPr>
        <w:t>Th</w:t>
      </w:r>
      <w:r>
        <w:rPr>
          <w:rFonts w:ascii="黑体" w:eastAsia="黑体" w:hint="eastAsia"/>
          <w:spacing w:val="-10"/>
        </w:rPr>
        <w:t>之日起 </w:t>
      </w:r>
      <w:r>
        <w:rPr>
          <w:rFonts w:ascii="黑体" w:eastAsia="黑体" w:hint="eastAsia"/>
        </w:rPr>
        <w:t>3</w:t>
      </w:r>
      <w:r>
        <w:rPr>
          <w:rFonts w:ascii="黑体" w:eastAsia="黑体" w:hint="eastAsia"/>
          <w:spacing w:val="-7"/>
        </w:rPr>
        <w:t> 日内通知我们，否则由于通知延误，导致必</w:t>
      </w:r>
      <w:r>
        <w:rPr>
          <w:rFonts w:ascii="黑体" w:eastAsia="黑体" w:hint="eastAsia"/>
          <w:spacing w:val="-5"/>
        </w:rPr>
        <w:t>要证据丧失或事故性质、原因、损失程度等难以确定的，我们对无法确定的部分不承担赔偿或者给付保</w:t>
      </w:r>
      <w:r>
        <w:rPr>
          <w:rFonts w:ascii="黑体" w:eastAsia="黑体" w:hint="eastAsia"/>
          <w:spacing w:val="-4"/>
        </w:rPr>
        <w:t>险金的责任；同时，因此致使我们增加的勘查、检验等费用应从给付的保险金中扣除，但因不可抗力导</w:t>
      </w:r>
      <w:r>
        <w:rPr>
          <w:rFonts w:ascii="黑体" w:eastAsia="黑体" w:hint="eastAsia"/>
          <w:spacing w:val="-3"/>
        </w:rPr>
        <w:t>致延误的除外。</w:t>
      </w:r>
    </w:p>
    <w:p>
      <w:pPr>
        <w:pStyle w:val="BodyText"/>
        <w:spacing w:before="10"/>
        <w:ind w:left="0"/>
        <w:rPr>
          <w:rFonts w:ascii="黑体"/>
          <w:sz w:val="26"/>
        </w:rPr>
      </w:pPr>
    </w:p>
    <w:p>
      <w:pPr>
        <w:pStyle w:val="Heading2"/>
        <w:rPr>
          <w:rFonts w:ascii="宋体" w:eastAsia="宋体" w:hint="eastAsia"/>
        </w:rPr>
      </w:pPr>
      <w:bookmarkStart w:name="_bookmark14" w:id="15"/>
      <w:bookmarkEnd w:id="15"/>
      <w:r>
        <w:rPr>
          <w:b w:val="0"/>
        </w:rPr>
      </w:r>
      <w:r>
        <w:rPr>
          <w:rFonts w:ascii="宋体" w:eastAsia="宋体" w:hint="eastAsia"/>
        </w:rPr>
        <w:t>第十二条 保险金的申领</w:t>
      </w:r>
    </w:p>
    <w:p>
      <w:pPr>
        <w:pStyle w:val="BodyText"/>
        <w:spacing w:line="314" w:lineRule="auto" w:before="82"/>
        <w:ind w:right="113" w:firstLine="420"/>
        <w:jc w:val="both"/>
      </w:pPr>
      <w:r>
        <w:rPr>
          <w:spacing w:val="-3"/>
        </w:rPr>
        <w:t>若被保险人符合轻症疾病保险金、重大疾病保险金、疾病终末期保险金或少儿特定疾病保险金的给</w:t>
      </w:r>
      <w:r>
        <w:rPr>
          <w:spacing w:val="-15"/>
        </w:rPr>
        <w:t>付条件或轻症豁免保险费时，索赔权利人需填写保险金给付申请书，并凭下列证明材料向我们申请理赔：</w:t>
      </w:r>
    </w:p>
    <w:p>
      <w:pPr>
        <w:pStyle w:val="ListParagraph"/>
        <w:numPr>
          <w:ilvl w:val="0"/>
          <w:numId w:val="4"/>
        </w:numPr>
        <w:tabs>
          <w:tab w:pos="803" w:val="left" w:leader="none"/>
        </w:tabs>
        <w:spacing w:line="240" w:lineRule="auto" w:before="18" w:after="0"/>
        <w:ind w:left="802" w:right="0" w:hanging="269"/>
        <w:jc w:val="left"/>
        <w:rPr>
          <w:rFonts w:ascii="宋体" w:eastAsia="宋体" w:hint="eastAsia"/>
          <w:sz w:val="21"/>
        </w:rPr>
      </w:pPr>
      <w:r>
        <w:rPr>
          <w:rFonts w:ascii="宋体" w:eastAsia="宋体" w:hint="eastAsia"/>
          <w:spacing w:val="-2"/>
          <w:sz w:val="21"/>
        </w:rPr>
        <w:t>本附加合同；</w:t>
      </w:r>
    </w:p>
    <w:p>
      <w:pPr>
        <w:pStyle w:val="ListParagraph"/>
        <w:numPr>
          <w:ilvl w:val="0"/>
          <w:numId w:val="4"/>
        </w:numPr>
        <w:tabs>
          <w:tab w:pos="803" w:val="left" w:leader="none"/>
        </w:tabs>
        <w:spacing w:line="240" w:lineRule="auto" w:before="85" w:after="0"/>
        <w:ind w:left="802" w:right="0" w:hanging="269"/>
        <w:jc w:val="left"/>
        <w:rPr>
          <w:rFonts w:ascii="宋体" w:eastAsia="宋体" w:hint="eastAsia"/>
          <w:sz w:val="21"/>
        </w:rPr>
      </w:pPr>
      <w:r>
        <w:rPr>
          <w:rFonts w:ascii="宋体" w:eastAsia="宋体" w:hint="eastAsia"/>
          <w:spacing w:val="-3"/>
          <w:sz w:val="21"/>
        </w:rPr>
        <w:t>索赔权利人的有效身份证件及索赔权利证明；</w:t>
      </w:r>
    </w:p>
    <w:p>
      <w:pPr>
        <w:pStyle w:val="ListParagraph"/>
        <w:numPr>
          <w:ilvl w:val="0"/>
          <w:numId w:val="4"/>
        </w:numPr>
        <w:tabs>
          <w:tab w:pos="803" w:val="left" w:leader="none"/>
        </w:tabs>
        <w:spacing w:line="240" w:lineRule="auto" w:before="83" w:after="0"/>
        <w:ind w:left="802" w:right="0" w:hanging="269"/>
        <w:jc w:val="left"/>
        <w:rPr>
          <w:rFonts w:ascii="宋体" w:eastAsia="宋体" w:hint="eastAsia"/>
          <w:sz w:val="21"/>
        </w:rPr>
      </w:pPr>
      <w:r>
        <w:rPr>
          <w:rFonts w:ascii="宋体" w:eastAsia="宋体" w:hint="eastAsia"/>
          <w:b/>
          <w:sz w:val="21"/>
        </w:rPr>
        <w:t>我们认可的医疗机构</w:t>
      </w:r>
      <w:r>
        <w:rPr>
          <w:rFonts w:ascii="宋体" w:eastAsia="宋体" w:hint="eastAsia"/>
          <w:spacing w:val="-3"/>
          <w:sz w:val="21"/>
        </w:rPr>
        <w:t>出具的诊断证明以及相关资料；</w:t>
      </w:r>
    </w:p>
    <w:p>
      <w:pPr>
        <w:pStyle w:val="ListParagraph"/>
        <w:numPr>
          <w:ilvl w:val="0"/>
          <w:numId w:val="4"/>
        </w:numPr>
        <w:tabs>
          <w:tab w:pos="803" w:val="left" w:leader="none"/>
        </w:tabs>
        <w:spacing w:line="240" w:lineRule="auto" w:before="85" w:after="0"/>
        <w:ind w:left="802" w:right="0" w:hanging="269"/>
        <w:jc w:val="left"/>
        <w:rPr>
          <w:rFonts w:ascii="宋体" w:eastAsia="宋体" w:hint="eastAsia"/>
          <w:sz w:val="21"/>
        </w:rPr>
      </w:pPr>
      <w:r>
        <w:rPr>
          <w:rFonts w:ascii="宋体" w:eastAsia="宋体" w:hint="eastAsia"/>
          <w:spacing w:val="-3"/>
          <w:sz w:val="21"/>
        </w:rPr>
        <w:t>我们所需且索赔权利人能够提供的与保险事故有关的其他资料。</w:t>
      </w:r>
    </w:p>
    <w:p>
      <w:pPr>
        <w:pStyle w:val="BodyText"/>
        <w:spacing w:before="82"/>
        <w:ind w:left="533"/>
      </w:pPr>
      <w:r>
        <w:rPr/>
        <w:t>以上证明和资料不完整的，我们将及时一次性通知申请人补充提供有关证明和资料。</w:t>
      </w:r>
    </w:p>
    <w:p>
      <w:pPr>
        <w:pStyle w:val="BodyText"/>
        <w:spacing w:line="314" w:lineRule="auto" w:before="84"/>
        <w:ind w:right="113" w:firstLine="420"/>
        <w:jc w:val="both"/>
      </w:pPr>
      <w:r>
        <w:rPr>
          <w:spacing w:val="-3"/>
        </w:rPr>
        <w:t>我们收到申请人的保险金给付申请书及本条所列的证明材料后，对确属保险责任范围的，在与申请</w:t>
      </w:r>
      <w:r>
        <w:rPr>
          <w:spacing w:val="-5"/>
        </w:rPr>
        <w:t>人达成有关给付保险金数额的协议后 </w:t>
      </w:r>
      <w:r>
        <w:rPr/>
        <w:t>10</w:t>
      </w:r>
      <w:r>
        <w:rPr>
          <w:spacing w:val="-13"/>
        </w:rPr>
        <w:t> 日内，履行给付保险金责任；对不属于保险责任范围的，向申请</w:t>
      </w:r>
      <w:r>
        <w:rPr>
          <w:spacing w:val="-6"/>
        </w:rPr>
        <w:t>人发出拒绝给付保险金通知书。</w:t>
      </w:r>
    </w:p>
    <w:p>
      <w:pPr>
        <w:pStyle w:val="BodyText"/>
        <w:spacing w:line="314" w:lineRule="auto" w:before="17"/>
        <w:ind w:right="113" w:firstLine="420"/>
        <w:jc w:val="both"/>
      </w:pPr>
      <w:r>
        <w:rPr>
          <w:spacing w:val="-4"/>
        </w:rPr>
        <w:t>我们自收到申请人的保险金给付申请书及本条所列的证明材料之日起 </w:t>
      </w:r>
      <w:r>
        <w:rPr/>
        <w:t>60</w:t>
      </w:r>
      <w:r>
        <w:rPr>
          <w:spacing w:val="-15"/>
        </w:rPr>
        <w:t> 日内，对属于保险责任而给</w:t>
      </w:r>
      <w:r>
        <w:rPr>
          <w:spacing w:val="-7"/>
        </w:rPr>
        <w:t>付保险金的数额暂不能确定的，根据已有的证明材料，按可以确定的最低数额先予支付，我们最终确定</w:t>
      </w:r>
      <w:r>
        <w:rPr>
          <w:spacing w:val="-5"/>
        </w:rPr>
        <w:t>给付保险金数额后，给付相应的差额。</w:t>
      </w:r>
    </w:p>
    <w:p>
      <w:pPr>
        <w:pStyle w:val="BodyText"/>
        <w:spacing w:before="20"/>
        <w:ind w:left="533"/>
      </w:pPr>
      <w:r>
        <w:rPr/>
        <w:t>保险金作为被保险人遗产时，必须提供可证明合法继承权的相关权利文件。</w:t>
      </w:r>
    </w:p>
    <w:p>
      <w:pPr>
        <w:pStyle w:val="BodyText"/>
        <w:ind w:left="0"/>
        <w:rPr>
          <w:sz w:val="20"/>
        </w:rPr>
      </w:pPr>
    </w:p>
    <w:p>
      <w:pPr>
        <w:pStyle w:val="Heading2"/>
        <w:spacing w:before="133"/>
        <w:rPr>
          <w:rFonts w:ascii="宋体" w:eastAsia="宋体" w:hint="eastAsia"/>
        </w:rPr>
      </w:pPr>
      <w:bookmarkStart w:name="_bookmark15" w:id="16"/>
      <w:bookmarkEnd w:id="16"/>
      <w:r>
        <w:rPr>
          <w:b w:val="0"/>
        </w:rPr>
      </w:r>
      <w:r>
        <w:rPr>
          <w:rFonts w:ascii="宋体" w:eastAsia="宋体" w:hint="eastAsia"/>
        </w:rPr>
        <w:t>第十三条 欠款的扣除</w:t>
      </w:r>
    </w:p>
    <w:p>
      <w:pPr>
        <w:pStyle w:val="BodyText"/>
        <w:spacing w:line="312" w:lineRule="auto" w:before="85"/>
        <w:ind w:right="113" w:firstLine="420"/>
        <w:jc w:val="both"/>
      </w:pPr>
      <w:r>
        <w:rPr/>
        <w:t>我们在给付各项保险金或退还现金价值时，如果您有尚未偿还的保险单借款或尚未支付的保险费， 我们将在扣除上述欠款及利息后再行给付。</w:t>
      </w:r>
    </w:p>
    <w:p>
      <w:pPr>
        <w:pStyle w:val="BodyText"/>
        <w:ind w:left="0"/>
        <w:rPr>
          <w:sz w:val="20"/>
        </w:rPr>
      </w:pPr>
    </w:p>
    <w:p>
      <w:pPr>
        <w:pStyle w:val="Heading1"/>
        <w:spacing w:before="146"/>
      </w:pPr>
      <w:bookmarkStart w:name="_bookmark16" w:id="17"/>
      <w:bookmarkEnd w:id="17"/>
      <w:r>
        <w:rPr>
          <w:b w:val="0"/>
        </w:rPr>
      </w:r>
      <w:r>
        <w:rPr/>
        <w:t>第四部分 您所拥有的重要权益</w:t>
      </w:r>
    </w:p>
    <w:p>
      <w:pPr>
        <w:pStyle w:val="BodyText"/>
        <w:spacing w:before="11"/>
        <w:ind w:left="0"/>
        <w:rPr>
          <w:b/>
          <w:sz w:val="37"/>
        </w:rPr>
      </w:pPr>
    </w:p>
    <w:p>
      <w:pPr>
        <w:pStyle w:val="Heading2"/>
        <w:rPr>
          <w:rFonts w:ascii="宋体" w:eastAsia="宋体" w:hint="eastAsia"/>
        </w:rPr>
      </w:pPr>
      <w:bookmarkStart w:name="_bookmark17" w:id="18"/>
      <w:bookmarkEnd w:id="18"/>
      <w:r>
        <w:rPr>
          <w:b w:val="0"/>
        </w:rPr>
      </w:r>
      <w:r>
        <w:rPr>
          <w:rFonts w:ascii="宋体" w:eastAsia="宋体" w:hint="eastAsia"/>
        </w:rPr>
        <w:t>第十四条 保险单借款</w:t>
      </w:r>
    </w:p>
    <w:p>
      <w:pPr>
        <w:pStyle w:val="BodyText"/>
        <w:spacing w:line="314" w:lineRule="auto" w:before="82"/>
        <w:ind w:right="113" w:firstLine="420"/>
        <w:jc w:val="both"/>
      </w:pPr>
      <w:r>
        <w:rPr>
          <w:spacing w:val="-3"/>
        </w:rPr>
        <w:t>在本附加合同有效期内且在犹豫期满后，您可以书面形式向我们申请保险单借款，您提供的借款材料及借款额度经我们同意后，向您发放保险单借款。累积借款金额最高不得超本附加合同当时</w:t>
      </w:r>
      <w:r>
        <w:rPr>
          <w:b/>
        </w:rPr>
        <w:t>现金价值净额</w:t>
      </w:r>
      <w:r>
        <w:rPr>
          <w:spacing w:val="-12"/>
        </w:rPr>
        <w:t>的 </w:t>
      </w:r>
      <w:r>
        <w:rPr/>
        <w:t>80</w:t>
      </w:r>
      <w:r>
        <w:rPr>
          <w:spacing w:val="-5"/>
        </w:rPr>
        <w:t>%，每次借款期限最长为 </w:t>
      </w:r>
      <w:r>
        <w:rPr/>
        <w:t>180</w:t>
      </w:r>
      <w:r>
        <w:rPr>
          <w:spacing w:val="-6"/>
        </w:rPr>
        <w:t> 天。在保险单借款期间，将按我们公布的保险单借款利率计算保</w:t>
      </w:r>
      <w:r>
        <w:rPr>
          <w:spacing w:val="-3"/>
        </w:rPr>
        <w:t>险单借款利息。</w:t>
      </w:r>
    </w:p>
    <w:p>
      <w:pPr>
        <w:spacing w:before="17"/>
        <w:ind w:left="535" w:right="0" w:firstLine="0"/>
        <w:jc w:val="left"/>
        <w:rPr>
          <w:rFonts w:ascii="黑体" w:eastAsia="黑体" w:hint="eastAsia"/>
          <w:b/>
          <w:sz w:val="21"/>
        </w:rPr>
      </w:pPr>
      <w:r>
        <w:rPr>
          <w:rFonts w:ascii="黑体" w:eastAsia="黑体" w:hint="eastAsia"/>
          <w:b/>
          <w:sz w:val="21"/>
        </w:rPr>
        <w:t>特别提示和说明：当本附加合同现金价值净额为零时，本附加合同效力中止。</w:t>
      </w:r>
    </w:p>
    <w:p>
      <w:pPr>
        <w:pStyle w:val="BodyText"/>
        <w:ind w:left="0"/>
        <w:rPr>
          <w:rFonts w:ascii="黑体"/>
          <w:b/>
          <w:sz w:val="20"/>
        </w:rPr>
      </w:pPr>
    </w:p>
    <w:p>
      <w:pPr>
        <w:pStyle w:val="Heading2"/>
        <w:spacing w:before="135"/>
        <w:rPr>
          <w:rFonts w:ascii="宋体" w:eastAsia="宋体" w:hint="eastAsia"/>
        </w:rPr>
      </w:pPr>
      <w:bookmarkStart w:name="_bookmark18" w:id="19"/>
      <w:bookmarkEnd w:id="19"/>
      <w:r>
        <w:rPr>
          <w:b w:val="0"/>
        </w:rPr>
      </w:r>
      <w:r>
        <w:rPr>
          <w:rFonts w:ascii="宋体" w:eastAsia="宋体" w:hint="eastAsia"/>
        </w:rPr>
        <w:t>第十五条 合同效力的恢复</w:t>
      </w:r>
    </w:p>
    <w:p>
      <w:pPr>
        <w:pStyle w:val="BodyText"/>
        <w:spacing w:line="314" w:lineRule="auto" w:before="82"/>
        <w:ind w:right="113" w:firstLine="420"/>
        <w:jc w:val="both"/>
      </w:pPr>
      <w:r>
        <w:rPr>
          <w:spacing w:val="-5"/>
        </w:rPr>
        <w:t>您可自本附加合同效力中止后 </w:t>
      </w:r>
      <w:r>
        <w:rPr/>
        <w:t>2</w:t>
      </w:r>
      <w:r>
        <w:rPr>
          <w:spacing w:val="-7"/>
        </w:rPr>
        <w:t> 年内，填写复效申请书并按我们要求提供被保险人健康及财务方面</w:t>
      </w:r>
      <w:r>
        <w:rPr>
          <w:spacing w:val="-3"/>
        </w:rPr>
        <w:t>的资料，经我们审核同意，自您补交所欠保险费、借款及利息的次日零时起，本附加合同效力恢复。</w:t>
      </w:r>
    </w:p>
    <w:p>
      <w:pPr>
        <w:spacing w:after="0" w:line="314" w:lineRule="auto"/>
        <w:jc w:val="both"/>
        <w:sectPr>
          <w:pgSz w:w="11910" w:h="16840"/>
          <w:pgMar w:header="0" w:footer="593" w:top="1200" w:bottom="860" w:left="1020" w:right="1200"/>
        </w:sectPr>
      </w:pPr>
    </w:p>
    <w:p>
      <w:pPr>
        <w:pStyle w:val="BodyText"/>
        <w:spacing w:line="314" w:lineRule="auto" w:before="26"/>
        <w:ind w:right="113" w:firstLine="420"/>
      </w:pPr>
      <w:r>
        <w:rPr>
          <w:spacing w:val="-5"/>
        </w:rPr>
        <w:t>您与我们在本附加合同效力中止之日起 </w:t>
      </w:r>
      <w:r>
        <w:rPr/>
        <w:t>2</w:t>
      </w:r>
      <w:r>
        <w:rPr>
          <w:spacing w:val="-7"/>
        </w:rPr>
        <w:t> 年，仍未达成复效协议的，本附加合同即自行终止，我们</w:t>
      </w:r>
      <w:r>
        <w:rPr>
          <w:spacing w:val="-5"/>
        </w:rPr>
        <w:t>向您退还合同效力中止时保险单的现金价值。</w:t>
      </w:r>
    </w:p>
    <w:p>
      <w:pPr>
        <w:pStyle w:val="BodyText"/>
        <w:spacing w:before="3"/>
        <w:ind w:left="0"/>
        <w:rPr>
          <w:sz w:val="25"/>
        </w:rPr>
      </w:pPr>
    </w:p>
    <w:p>
      <w:pPr>
        <w:pStyle w:val="Heading2"/>
        <w:rPr>
          <w:rFonts w:ascii="宋体" w:eastAsia="宋体" w:hint="eastAsia"/>
        </w:rPr>
      </w:pPr>
      <w:bookmarkStart w:name="_bookmark19" w:id="20"/>
      <w:bookmarkEnd w:id="20"/>
      <w:r>
        <w:rPr>
          <w:b w:val="0"/>
        </w:rPr>
      </w:r>
      <w:r>
        <w:rPr>
          <w:rFonts w:ascii="宋体" w:eastAsia="宋体" w:hint="eastAsia"/>
        </w:rPr>
        <w:t>第十六条 合同内容变更权</w:t>
      </w:r>
    </w:p>
    <w:p>
      <w:pPr>
        <w:pStyle w:val="BodyText"/>
        <w:spacing w:line="312" w:lineRule="auto" w:before="85"/>
        <w:ind w:right="118" w:firstLine="420"/>
      </w:pPr>
      <w:r>
        <w:rPr>
          <w:spacing w:val="-14"/>
        </w:rPr>
        <w:t>您在本附加合同有效期内，经您与我们协商一致，可申请变更本附加合同内容。变更本附加合同的， </w:t>
      </w:r>
      <w:r>
        <w:rPr>
          <w:spacing w:val="-3"/>
        </w:rPr>
        <w:t>应当由我们在保险单或者其他凭证上批注或者附贴批单，或者由您与我们订立书面的变更协议。</w:t>
      </w:r>
    </w:p>
    <w:p>
      <w:pPr>
        <w:pStyle w:val="BodyText"/>
        <w:spacing w:before="22"/>
        <w:ind w:left="533"/>
      </w:pPr>
      <w:r>
        <w:rPr/>
        <w:t>被保险人身故后，对附加合同内容的任何变更无效。</w:t>
      </w:r>
    </w:p>
    <w:p>
      <w:pPr>
        <w:pStyle w:val="BodyText"/>
        <w:ind w:left="0"/>
        <w:rPr>
          <w:sz w:val="20"/>
        </w:rPr>
      </w:pPr>
    </w:p>
    <w:p>
      <w:pPr>
        <w:pStyle w:val="Heading2"/>
        <w:spacing w:before="133"/>
        <w:rPr>
          <w:rFonts w:ascii="宋体" w:eastAsia="宋体" w:hint="eastAsia"/>
        </w:rPr>
      </w:pPr>
      <w:bookmarkStart w:name="_bookmark20" w:id="21"/>
      <w:bookmarkEnd w:id="21"/>
      <w:r>
        <w:rPr>
          <w:b w:val="0"/>
        </w:rPr>
      </w:r>
      <w:r>
        <w:rPr>
          <w:rFonts w:ascii="宋体" w:eastAsia="宋体" w:hint="eastAsia"/>
        </w:rPr>
        <w:t>第十七条 犹豫期及合同解除权</w:t>
      </w:r>
    </w:p>
    <w:p>
      <w:pPr>
        <w:pStyle w:val="BodyText"/>
        <w:spacing w:line="314" w:lineRule="auto" w:before="85"/>
        <w:ind w:right="113" w:firstLine="420"/>
        <w:jc w:val="both"/>
      </w:pPr>
      <w:r>
        <w:rPr/>
        <w:t>在本附加合同有效期内，您可随时申请解除本附加合同。我们收到解除合同申请书时，本附加合同终止。为了让您能够更清楚地了解相关的保险条款和内容，以及有更多的考虑时间，自您签收本附加合同次日起（含该日）15 天内为犹豫期。</w:t>
      </w:r>
    </w:p>
    <w:p>
      <w:pPr>
        <w:pStyle w:val="BodyText"/>
        <w:spacing w:line="297" w:lineRule="auto" w:before="18"/>
        <w:ind w:right="52" w:firstLine="420"/>
      </w:pPr>
      <w:r>
        <w:rPr/>
        <w:t>一、 若您在犹豫期内要求解除本附加合同，我们将于收到本条第三款所列的证明材料并扣除 </w:t>
      </w:r>
      <w:r>
        <w:rPr>
          <w:rFonts w:ascii="Times New Roman" w:eastAsia="Times New Roman"/>
        </w:rPr>
        <w:t>10 </w:t>
      </w:r>
      <w:r>
        <w:rPr/>
        <w:t>元工本费后无息退还已收的全部保险费，本附加合同自始无效。</w:t>
      </w:r>
    </w:p>
    <w:p>
      <w:pPr>
        <w:pStyle w:val="BodyText"/>
        <w:spacing w:line="297" w:lineRule="auto" w:before="32"/>
        <w:ind w:right="52" w:firstLine="420"/>
      </w:pPr>
      <w:r>
        <w:rPr/>
        <w:t>二、 若您在犹豫期后要求解除本附加合同，我们在收到本条第三款所列的证明材料后 </w:t>
      </w:r>
      <w:r>
        <w:rPr>
          <w:rFonts w:ascii="Times New Roman" w:eastAsia="Times New Roman"/>
        </w:rPr>
        <w:t>30 </w:t>
      </w:r>
      <w:r>
        <w:rPr/>
        <w:t>日内向您退还本附加合同终止时的保险单</w:t>
      </w:r>
      <w:r>
        <w:rPr>
          <w:b/>
        </w:rPr>
        <w:t>现金价值</w:t>
      </w:r>
      <w:r>
        <w:rPr/>
        <w:t>。</w:t>
      </w:r>
    </w:p>
    <w:p>
      <w:pPr>
        <w:pStyle w:val="BodyText"/>
        <w:spacing w:before="32"/>
        <w:ind w:left="533"/>
      </w:pPr>
      <w:r>
        <w:rPr/>
        <w:t>三、 您要求解除本附加合同时，应提供下列证明材料：</w:t>
      </w:r>
    </w:p>
    <w:p>
      <w:pPr>
        <w:pStyle w:val="ListParagraph"/>
        <w:numPr>
          <w:ilvl w:val="0"/>
          <w:numId w:val="5"/>
        </w:numPr>
        <w:tabs>
          <w:tab w:pos="803" w:val="left" w:leader="none"/>
        </w:tabs>
        <w:spacing w:line="240" w:lineRule="auto" w:before="85" w:after="0"/>
        <w:ind w:left="802" w:right="0" w:hanging="269"/>
        <w:jc w:val="left"/>
        <w:rPr>
          <w:rFonts w:ascii="宋体" w:eastAsia="宋体" w:hint="eastAsia"/>
          <w:sz w:val="21"/>
        </w:rPr>
      </w:pPr>
      <w:r>
        <w:rPr>
          <w:rFonts w:ascii="宋体" w:eastAsia="宋体" w:hint="eastAsia"/>
          <w:spacing w:val="-2"/>
          <w:sz w:val="21"/>
        </w:rPr>
        <w:t>本附加合同；</w:t>
      </w:r>
    </w:p>
    <w:p>
      <w:pPr>
        <w:pStyle w:val="ListParagraph"/>
        <w:numPr>
          <w:ilvl w:val="0"/>
          <w:numId w:val="5"/>
        </w:numPr>
        <w:tabs>
          <w:tab w:pos="803" w:val="left" w:leader="none"/>
        </w:tabs>
        <w:spacing w:line="240" w:lineRule="auto" w:before="82" w:after="0"/>
        <w:ind w:left="802" w:right="0" w:hanging="269"/>
        <w:jc w:val="left"/>
        <w:rPr>
          <w:rFonts w:ascii="宋体" w:eastAsia="宋体" w:hint="eastAsia"/>
          <w:sz w:val="21"/>
        </w:rPr>
      </w:pPr>
      <w:r>
        <w:rPr>
          <w:rFonts w:ascii="宋体" w:eastAsia="宋体" w:hint="eastAsia"/>
          <w:spacing w:val="-3"/>
          <w:sz w:val="21"/>
        </w:rPr>
        <w:t>解除合同申请书；</w:t>
      </w:r>
    </w:p>
    <w:p>
      <w:pPr>
        <w:pStyle w:val="ListParagraph"/>
        <w:numPr>
          <w:ilvl w:val="0"/>
          <w:numId w:val="5"/>
        </w:numPr>
        <w:tabs>
          <w:tab w:pos="803" w:val="left" w:leader="none"/>
        </w:tabs>
        <w:spacing w:line="240" w:lineRule="auto" w:before="84" w:after="0"/>
        <w:ind w:left="802" w:right="0" w:hanging="269"/>
        <w:jc w:val="left"/>
        <w:rPr>
          <w:rFonts w:ascii="宋体" w:eastAsia="宋体" w:hint="eastAsia"/>
          <w:sz w:val="21"/>
        </w:rPr>
      </w:pPr>
      <w:r>
        <w:rPr>
          <w:rFonts w:ascii="宋体" w:eastAsia="宋体" w:hint="eastAsia"/>
          <w:spacing w:val="-3"/>
          <w:sz w:val="21"/>
        </w:rPr>
        <w:t>您的有效身份证件。</w:t>
      </w:r>
    </w:p>
    <w:p>
      <w:pPr>
        <w:spacing w:before="82"/>
        <w:ind w:left="535" w:right="0" w:firstLine="0"/>
        <w:jc w:val="left"/>
        <w:rPr>
          <w:rFonts w:ascii="黑体" w:eastAsia="黑体" w:hint="eastAsia"/>
          <w:b/>
          <w:sz w:val="21"/>
        </w:rPr>
      </w:pPr>
      <w:r>
        <w:rPr>
          <w:rFonts w:ascii="黑体" w:eastAsia="黑体" w:hint="eastAsia"/>
          <w:b/>
          <w:sz w:val="21"/>
        </w:rPr>
        <w:t>特别提示和说明：您在犹豫期后解除合同可能会受到一定的损失。</w:t>
      </w:r>
    </w:p>
    <w:p>
      <w:pPr>
        <w:pStyle w:val="BodyText"/>
        <w:ind w:left="0"/>
        <w:rPr>
          <w:rFonts w:ascii="黑体"/>
          <w:b/>
          <w:sz w:val="20"/>
        </w:rPr>
      </w:pPr>
    </w:p>
    <w:p>
      <w:pPr>
        <w:pStyle w:val="BodyText"/>
        <w:ind w:left="0"/>
        <w:rPr>
          <w:rFonts w:ascii="黑体"/>
          <w:b/>
          <w:sz w:val="16"/>
        </w:rPr>
      </w:pPr>
    </w:p>
    <w:p>
      <w:pPr>
        <w:pStyle w:val="Heading1"/>
        <w:ind w:left="3085"/>
      </w:pPr>
      <w:bookmarkStart w:name="_bookmark21" w:id="22"/>
      <w:bookmarkEnd w:id="22"/>
      <w:r>
        <w:rPr>
          <w:b w:val="0"/>
        </w:rPr>
      </w:r>
      <w:r>
        <w:rPr/>
        <w:t>第五部分 您必须了解的事项</w:t>
      </w:r>
    </w:p>
    <w:p>
      <w:pPr>
        <w:pStyle w:val="BodyText"/>
        <w:spacing w:before="10"/>
        <w:ind w:left="0"/>
        <w:rPr>
          <w:b/>
          <w:sz w:val="37"/>
        </w:rPr>
      </w:pPr>
    </w:p>
    <w:p>
      <w:pPr>
        <w:pStyle w:val="Heading2"/>
        <w:rPr>
          <w:rFonts w:ascii="宋体" w:eastAsia="宋体" w:hint="eastAsia"/>
        </w:rPr>
      </w:pPr>
      <w:bookmarkStart w:name="_bookmark22" w:id="23"/>
      <w:bookmarkEnd w:id="23"/>
      <w:r>
        <w:rPr>
          <w:b w:val="0"/>
        </w:rPr>
      </w:r>
      <w:r>
        <w:rPr>
          <w:rFonts w:ascii="宋体" w:eastAsia="宋体" w:hint="eastAsia"/>
        </w:rPr>
        <w:t>第十八条 明确说明和如实告知义务</w:t>
      </w:r>
    </w:p>
    <w:p>
      <w:pPr>
        <w:pStyle w:val="BodyText"/>
        <w:spacing w:before="82"/>
        <w:ind w:left="533"/>
      </w:pPr>
      <w:r>
        <w:rPr/>
        <w:t>订立本附加合同时，我们应向您说明本附加合同的内容。</w:t>
      </w:r>
    </w:p>
    <w:p>
      <w:pPr>
        <w:pStyle w:val="BodyText"/>
        <w:spacing w:line="314" w:lineRule="auto" w:before="85"/>
        <w:ind w:right="113"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7"/>
        <w:ind w:left="533"/>
      </w:pPr>
      <w:r>
        <w:rPr/>
        <w:t>我们就您和被保险人的有关情况提出询问，您应当如实告知。</w:t>
      </w:r>
    </w:p>
    <w:p>
      <w:pPr>
        <w:pStyle w:val="BodyText"/>
        <w:spacing w:line="312" w:lineRule="auto" w:before="84"/>
        <w:ind w:right="113" w:firstLine="420"/>
        <w:rPr>
          <w:rFonts w:ascii="黑体" w:eastAsia="黑体" w:hint="eastAsia"/>
        </w:rPr>
      </w:pPr>
      <w:r>
        <w:rPr>
          <w:rFonts w:ascii="黑体" w:eastAsia="黑体" w:hint="eastAsia"/>
        </w:rPr>
        <w:t>如果您故意或者因重大过失未履行前款规定的如实告知义务，足以影响我们决定是否同意承保或者提高保险费率的，我们有权解除本附加合同。</w:t>
      </w:r>
    </w:p>
    <w:p>
      <w:pPr>
        <w:pStyle w:val="BodyText"/>
        <w:spacing w:before="21"/>
        <w:ind w:left="533"/>
        <w:rPr>
          <w:rFonts w:ascii="黑体" w:eastAsia="黑体" w:hint="eastAsia"/>
        </w:rPr>
      </w:pPr>
      <w:r>
        <w:rPr>
          <w:rFonts w:ascii="黑体" w:eastAsia="黑体" w:hint="eastAsia"/>
          <w:spacing w:val="-9"/>
        </w:rPr>
        <w:t>前款规定的合同解除权，自我们知道有解除事由之日起，超过 </w:t>
      </w:r>
      <w:r>
        <w:rPr>
          <w:rFonts w:ascii="黑体" w:eastAsia="黑体" w:hint="eastAsia"/>
        </w:rPr>
        <w:t>30</w:t>
      </w:r>
      <w:r>
        <w:rPr>
          <w:rFonts w:ascii="黑体" w:eastAsia="黑体" w:hint="eastAsia"/>
          <w:spacing w:val="-10"/>
        </w:rPr>
        <w:t> 日不行使而消灭。自合同成立之日</w:t>
      </w:r>
    </w:p>
    <w:p>
      <w:pPr>
        <w:pStyle w:val="BodyText"/>
        <w:spacing w:before="82"/>
        <w:rPr>
          <w:rFonts w:ascii="黑体" w:eastAsia="黑体" w:hint="eastAsia"/>
        </w:rPr>
      </w:pPr>
      <w:r>
        <w:rPr>
          <w:rFonts w:ascii="黑体" w:eastAsia="黑体" w:hint="eastAsia"/>
        </w:rPr>
        <w:t>起超过 2 年的，我们不得解除合同；发Th保险事故的，我们应当承担赔偿或者给付保险金的责任。</w:t>
      </w:r>
    </w:p>
    <w:p>
      <w:pPr>
        <w:pStyle w:val="BodyText"/>
        <w:spacing w:line="312" w:lineRule="auto" w:before="85"/>
        <w:ind w:right="113" w:firstLine="420"/>
        <w:rPr>
          <w:rFonts w:ascii="黑体" w:eastAsia="黑体" w:hint="eastAsia"/>
        </w:rPr>
      </w:pPr>
      <w:r>
        <w:rPr>
          <w:rFonts w:ascii="黑体" w:eastAsia="黑体" w:hint="eastAsia"/>
        </w:rPr>
        <w:t>如果您故意不履行如实告知义务，对于本附加合同解除前发Th的保险事故，我们不承担给付保险金的责任，并不退还保险费。</w:t>
      </w:r>
    </w:p>
    <w:p>
      <w:pPr>
        <w:pStyle w:val="BodyText"/>
        <w:spacing w:line="312" w:lineRule="auto" w:before="22"/>
        <w:ind w:right="113" w:firstLine="420"/>
        <w:rPr>
          <w:rFonts w:ascii="黑体" w:eastAsia="黑体" w:hint="eastAsia"/>
        </w:rPr>
      </w:pPr>
      <w:r>
        <w:rPr>
          <w:rFonts w:ascii="黑体" w:eastAsia="黑体" w:hint="eastAsia"/>
        </w:rPr>
        <w:t>如果您因重大过失未履行如实告知义务，对保险事故的发Th有严重影响的，对于本附加合同解除前发Th的保险事故，我们不承担给付保险金的责任，但应当退还保险费。</w:t>
      </w:r>
    </w:p>
    <w:p>
      <w:pPr>
        <w:pStyle w:val="BodyText"/>
        <w:spacing w:line="312" w:lineRule="auto" w:before="22"/>
        <w:ind w:right="113" w:firstLine="420"/>
      </w:pPr>
      <w:r>
        <w:rPr/>
        <w:t>我们在合同订立时已经知道您未如实告知的情况的，我们不得解除合同；发生保险事故的，我们承担给付保险金的责任。</w:t>
      </w:r>
    </w:p>
    <w:p>
      <w:pPr>
        <w:spacing w:after="0" w:line="312" w:lineRule="auto"/>
        <w:sectPr>
          <w:pgSz w:w="11910" w:h="16840"/>
          <w:pgMar w:header="0" w:footer="593" w:top="1100" w:bottom="860" w:left="1020" w:right="1200"/>
        </w:sectPr>
      </w:pPr>
    </w:p>
    <w:p>
      <w:pPr>
        <w:pStyle w:val="Heading2"/>
        <w:spacing w:before="26"/>
        <w:rPr>
          <w:rFonts w:ascii="宋体" w:eastAsia="宋体" w:hint="eastAsia"/>
        </w:rPr>
      </w:pPr>
      <w:bookmarkStart w:name="_bookmark23" w:id="24"/>
      <w:bookmarkEnd w:id="24"/>
      <w:r>
        <w:rPr>
          <w:b w:val="0"/>
        </w:rPr>
      </w:r>
      <w:r>
        <w:rPr>
          <w:rFonts w:ascii="宋体" w:eastAsia="宋体" w:hint="eastAsia"/>
        </w:rPr>
        <w:t>第十九条 受益人的指定与变更</w:t>
      </w:r>
    </w:p>
    <w:p>
      <w:pPr>
        <w:pStyle w:val="BodyText"/>
        <w:spacing w:line="312" w:lineRule="auto" w:before="85"/>
        <w:ind w:right="113" w:firstLine="420"/>
        <w:jc w:val="both"/>
      </w:pPr>
      <w:r>
        <w:rPr/>
        <w:t>除另有约定外，本附加合同的轻症疾病保险金、重大疾病保险金、疾病终末期保险金及少儿特定疾病保险金的受益人均为被保险人本人。</w:t>
      </w:r>
    </w:p>
    <w:p>
      <w:pPr>
        <w:pStyle w:val="BodyText"/>
        <w:spacing w:before="6"/>
        <w:ind w:left="0"/>
        <w:rPr>
          <w:sz w:val="25"/>
        </w:rPr>
      </w:pPr>
    </w:p>
    <w:p>
      <w:pPr>
        <w:pStyle w:val="Heading2"/>
        <w:rPr>
          <w:rFonts w:ascii="宋体" w:eastAsia="宋体" w:hint="eastAsia"/>
        </w:rPr>
      </w:pPr>
      <w:bookmarkStart w:name="_bookmark24" w:id="25"/>
      <w:bookmarkEnd w:id="25"/>
      <w:r>
        <w:rPr>
          <w:b w:val="0"/>
        </w:rPr>
      </w:r>
      <w:r>
        <w:rPr>
          <w:rFonts w:ascii="宋体" w:eastAsia="宋体" w:hint="eastAsia"/>
        </w:rPr>
        <w:t>第二十条 宽限期</w:t>
      </w:r>
    </w:p>
    <w:p>
      <w:pPr>
        <w:pStyle w:val="BodyText"/>
        <w:spacing w:line="314" w:lineRule="auto" w:before="82"/>
        <w:ind w:right="115" w:firstLine="420"/>
        <w:jc w:val="both"/>
      </w:pPr>
      <w:r>
        <w:rPr>
          <w:spacing w:val="-7"/>
        </w:rPr>
        <w:t>分期支付保险费的，自您支付首期保险费后，每个保险费到期日次日起</w:t>
      </w:r>
      <w:r>
        <w:rPr>
          <w:spacing w:val="-3"/>
        </w:rPr>
        <w:t>（含该日</w:t>
      </w:r>
      <w:r>
        <w:rPr>
          <w:spacing w:val="-4"/>
        </w:rPr>
        <w:t>）60</w:t>
      </w:r>
      <w:r>
        <w:rPr>
          <w:spacing w:val="-5"/>
        </w:rPr>
        <w:t> 天为交付保险</w:t>
      </w:r>
      <w:r>
        <w:rPr>
          <w:spacing w:val="-4"/>
        </w:rPr>
        <w:t>费的宽限期。宽限期内发生保险事故，我们仍承担保险责任，但我们给付的保险金将扣除您未支付的保险费。</w:t>
      </w:r>
    </w:p>
    <w:p>
      <w:pPr>
        <w:pStyle w:val="BodyText"/>
        <w:spacing w:line="312" w:lineRule="auto" w:before="20"/>
        <w:ind w:right="113" w:firstLine="420"/>
        <w:jc w:val="both"/>
        <w:rPr>
          <w:rFonts w:ascii="黑体" w:eastAsia="黑体" w:hint="eastAsia"/>
        </w:rPr>
      </w:pPr>
      <w:r>
        <w:rPr>
          <w:rFonts w:ascii="黑体" w:eastAsia="黑体" w:hint="eastAsia"/>
        </w:rPr>
        <w:t>如果在宽限期结束时，您仍未按照约定足额支付保险费的，则自宽限期结束的次日起本附加合同效力中止，我们不承担保险责任。</w:t>
      </w:r>
    </w:p>
    <w:p>
      <w:pPr>
        <w:pStyle w:val="BodyText"/>
        <w:spacing w:before="6"/>
        <w:ind w:left="0"/>
        <w:rPr>
          <w:rFonts w:ascii="黑体"/>
          <w:sz w:val="25"/>
        </w:rPr>
      </w:pPr>
    </w:p>
    <w:p>
      <w:pPr>
        <w:pStyle w:val="Heading2"/>
        <w:spacing w:before="1"/>
        <w:rPr>
          <w:rFonts w:ascii="宋体" w:eastAsia="宋体" w:hint="eastAsia"/>
        </w:rPr>
      </w:pPr>
      <w:bookmarkStart w:name="_bookmark25" w:id="26"/>
      <w:bookmarkEnd w:id="26"/>
      <w:r>
        <w:rPr>
          <w:b w:val="0"/>
        </w:rPr>
      </w:r>
      <w:r>
        <w:rPr>
          <w:rFonts w:ascii="宋体" w:eastAsia="宋体" w:hint="eastAsia"/>
        </w:rPr>
        <w:t>第二十一条 年龄计算及错误处理</w:t>
      </w:r>
    </w:p>
    <w:p>
      <w:pPr>
        <w:pStyle w:val="BodyText"/>
        <w:spacing w:line="314" w:lineRule="auto" w:before="83"/>
        <w:ind w:right="113" w:firstLine="420"/>
        <w:jc w:val="both"/>
      </w:pPr>
      <w:r>
        <w:rPr/>
        <w:t>被保险人的投保年龄为以法定证件载明的出生日期为基础计算的周岁年龄。您在申请投保时，应将被保险人的真实年龄在投保书上填明，若发生错误按下列规定办理：</w:t>
      </w:r>
    </w:p>
    <w:p>
      <w:pPr>
        <w:pStyle w:val="BodyText"/>
        <w:spacing w:line="314" w:lineRule="auto" w:before="17"/>
        <w:ind w:right="115" w:firstLine="424"/>
        <w:jc w:val="both"/>
        <w:rPr>
          <w:rFonts w:ascii="黑体" w:eastAsia="黑体" w:hint="eastAsia"/>
        </w:rPr>
      </w:pPr>
      <w:r>
        <w:rPr>
          <w:rFonts w:ascii="黑体" w:eastAsia="黑体" w:hint="eastAsia"/>
        </w:rPr>
        <w:t>一、 您申报的被保险人年龄不真实，且真实投保年龄不符合本附加合同约定的投保年龄限制的， 我们可以解除本附加合同，并向您退还解除保险合同时保险单的现金价值。但自本附加合同Th效日起超过 2 年的，我们不得解除本附加合同，依照本条第二、第三款办理。</w:t>
      </w:r>
    </w:p>
    <w:p>
      <w:pPr>
        <w:pStyle w:val="BodyText"/>
        <w:spacing w:line="314" w:lineRule="auto" w:before="20"/>
        <w:ind w:right="115" w:firstLine="420"/>
        <w:jc w:val="both"/>
      </w:pPr>
      <w:r>
        <w:rPr>
          <w:spacing w:val="-7"/>
        </w:rPr>
        <w:t>二、 您申报的被保险人年龄不真实，致使您实交保险费少于应交保险费的，我们在审核更正后，有</w:t>
      </w:r>
      <w:r>
        <w:rPr>
          <w:spacing w:val="-5"/>
        </w:rPr>
        <w:t>权要求您依照法律及公司投保规则的规定，补齐保险费、参加体检及配合其他业务流程要求；若补交保</w:t>
      </w:r>
      <w:r>
        <w:rPr>
          <w:spacing w:val="-4"/>
        </w:rPr>
        <w:t>险费前已发生保险事故，我们按照实交保险费与应交保险费的比例给付保险金。</w:t>
      </w:r>
    </w:p>
    <w:p>
      <w:pPr>
        <w:pStyle w:val="BodyText"/>
        <w:spacing w:line="314" w:lineRule="auto" w:before="18"/>
        <w:ind w:right="113" w:firstLine="420"/>
        <w:jc w:val="both"/>
      </w:pPr>
      <w:r>
        <w:rPr/>
        <w:t>三、您申报的被保险人年龄不真实，致使您实交保险费多于应交保险费的，我们将在审核更正后， 将多收的保险费无息退还您。</w:t>
      </w:r>
    </w:p>
    <w:p>
      <w:pPr>
        <w:pStyle w:val="BodyText"/>
        <w:spacing w:before="2"/>
        <w:ind w:left="0"/>
        <w:rPr>
          <w:sz w:val="25"/>
        </w:rPr>
      </w:pPr>
    </w:p>
    <w:p>
      <w:pPr>
        <w:pStyle w:val="Heading2"/>
        <w:rPr>
          <w:rFonts w:ascii="宋体" w:eastAsia="宋体" w:hint="eastAsia"/>
        </w:rPr>
      </w:pPr>
      <w:bookmarkStart w:name="_bookmark26" w:id="27"/>
      <w:bookmarkEnd w:id="27"/>
      <w:r>
        <w:rPr>
          <w:b w:val="0"/>
        </w:rPr>
      </w:r>
      <w:r>
        <w:rPr>
          <w:rFonts w:ascii="宋体" w:eastAsia="宋体" w:hint="eastAsia"/>
        </w:rPr>
        <w:t>第二十二条 司法鉴定</w:t>
      </w:r>
    </w:p>
    <w:p>
      <w:pPr>
        <w:pStyle w:val="BodyText"/>
        <w:spacing w:line="312" w:lineRule="auto" w:before="84"/>
        <w:ind w:right="113" w:firstLine="420"/>
        <w:jc w:val="both"/>
      </w:pPr>
      <w:r>
        <w:rPr/>
        <w:t>如果被保险人与我们就是否达到本附加合同约定的理赔程度或条件发生争议时，被保险人和我们均有权申请司法鉴定机构进行相关鉴定，以确定其原因及程度等。</w:t>
      </w:r>
    </w:p>
    <w:p>
      <w:pPr>
        <w:pStyle w:val="BodyText"/>
        <w:spacing w:before="6"/>
        <w:ind w:left="0"/>
        <w:rPr>
          <w:sz w:val="25"/>
        </w:rPr>
      </w:pPr>
    </w:p>
    <w:p>
      <w:pPr>
        <w:pStyle w:val="Heading2"/>
        <w:rPr>
          <w:rFonts w:ascii="宋体" w:eastAsia="宋体" w:hint="eastAsia"/>
        </w:rPr>
      </w:pPr>
      <w:bookmarkStart w:name="_bookmark27" w:id="28"/>
      <w:bookmarkEnd w:id="28"/>
      <w:r>
        <w:rPr>
          <w:b w:val="0"/>
        </w:rPr>
      </w:r>
      <w:r>
        <w:rPr>
          <w:rFonts w:ascii="宋体" w:eastAsia="宋体" w:hint="eastAsia"/>
        </w:rPr>
        <w:t>第二十三条 争议处理与法律适用</w:t>
      </w:r>
    </w:p>
    <w:p>
      <w:pPr>
        <w:pStyle w:val="BodyText"/>
        <w:spacing w:line="314" w:lineRule="auto" w:before="82"/>
        <w:ind w:right="113" w:firstLine="420"/>
        <w:jc w:val="both"/>
      </w:pPr>
      <w:r>
        <w:rPr/>
        <w:t>本附加合同履行过程中发生任何争议，双方首先通过协商加以解决。若双方协商未达成协议的，可依法向有管辖权的人民法院提起诉讼。</w:t>
      </w:r>
    </w:p>
    <w:p>
      <w:pPr>
        <w:pStyle w:val="BodyText"/>
        <w:spacing w:line="314" w:lineRule="auto" w:before="17"/>
        <w:ind w:right="113" w:firstLine="420"/>
        <w:jc w:val="both"/>
      </w:pPr>
      <w:r>
        <w:rPr>
          <w:spacing w:val="-3"/>
        </w:rPr>
        <w:t>与本附加合同有关的以及履行本附加合同产生的一切争议处理适用中华人民共和国法律</w:t>
      </w:r>
      <w:r>
        <w:rPr/>
        <w:t>（</w:t>
      </w:r>
      <w:r>
        <w:rPr>
          <w:spacing w:val="-3"/>
        </w:rPr>
        <w:t>不包括港澳台地区法律</w:t>
      </w:r>
      <w:r>
        <w:rPr>
          <w:spacing w:val="-108"/>
        </w:rPr>
        <w:t>）</w:t>
      </w:r>
      <w:r>
        <w:rPr/>
        <w:t>。</w:t>
      </w:r>
    </w:p>
    <w:p>
      <w:pPr>
        <w:pStyle w:val="BodyText"/>
        <w:spacing w:before="2"/>
        <w:ind w:left="0"/>
        <w:rPr>
          <w:sz w:val="25"/>
        </w:rPr>
      </w:pPr>
    </w:p>
    <w:p>
      <w:pPr>
        <w:pStyle w:val="Heading2"/>
        <w:rPr>
          <w:rFonts w:ascii="宋体" w:eastAsia="宋体" w:hint="eastAsia"/>
        </w:rPr>
      </w:pPr>
      <w:bookmarkStart w:name="_bookmark28" w:id="29"/>
      <w:bookmarkEnd w:id="29"/>
      <w:r>
        <w:rPr>
          <w:b w:val="0"/>
        </w:rPr>
      </w:r>
      <w:r>
        <w:rPr>
          <w:rFonts w:ascii="宋体" w:eastAsia="宋体" w:hint="eastAsia"/>
        </w:rPr>
        <w:t>第二十四条 诉讼时效</w:t>
      </w:r>
    </w:p>
    <w:p>
      <w:pPr>
        <w:pStyle w:val="BodyText"/>
        <w:spacing w:line="312" w:lineRule="auto" w:before="85"/>
        <w:ind w:right="113" w:firstLine="420"/>
        <w:jc w:val="both"/>
      </w:pPr>
      <w:r>
        <w:rPr>
          <w:spacing w:val="-5"/>
        </w:rPr>
        <w:t>本附加合同的索赔权利人向我们请求给付保险金的诉讼时效期间为 </w:t>
      </w:r>
      <w:r>
        <w:rPr/>
        <w:t>2</w:t>
      </w:r>
      <w:r>
        <w:rPr>
          <w:spacing w:val="-7"/>
        </w:rPr>
        <w:t> 年，自其知道或应当知道保险</w:t>
      </w:r>
      <w:r>
        <w:rPr>
          <w:spacing w:val="-5"/>
        </w:rPr>
        <w:t>事故发生之日起计算。</w:t>
      </w:r>
    </w:p>
    <w:p>
      <w:pPr>
        <w:pStyle w:val="BodyText"/>
        <w:spacing w:before="6"/>
        <w:ind w:left="0"/>
        <w:rPr>
          <w:sz w:val="25"/>
        </w:rPr>
      </w:pPr>
    </w:p>
    <w:p>
      <w:pPr>
        <w:pStyle w:val="Heading2"/>
        <w:spacing w:before="1"/>
        <w:rPr>
          <w:rFonts w:ascii="宋体" w:eastAsia="宋体" w:hint="eastAsia"/>
        </w:rPr>
      </w:pPr>
      <w:bookmarkStart w:name="_bookmark29" w:id="30"/>
      <w:bookmarkEnd w:id="30"/>
      <w:r>
        <w:rPr>
          <w:b w:val="0"/>
        </w:rPr>
      </w:r>
      <w:r>
        <w:rPr>
          <w:rFonts w:ascii="宋体" w:eastAsia="宋体" w:hint="eastAsia"/>
        </w:rPr>
        <w:t>第二十五条 联系方式变更</w:t>
      </w:r>
    </w:p>
    <w:p>
      <w:pPr>
        <w:pStyle w:val="BodyText"/>
        <w:spacing w:line="314" w:lineRule="auto" w:before="83"/>
        <w:ind w:right="113" w:firstLine="420"/>
        <w:jc w:val="both"/>
      </w:pPr>
      <w:r>
        <w:rPr/>
        <w:t>您的住所、通讯地址、邮箱或电话等联系方式变更时，请您及时以书面形式或双方认可的其他形式通知我们。若您未以书面形式或双方认可的其他形式通知我们，我们按本附加合同载明的最后住所、通讯地址、电子邮箱发送有关通知，均视为已送达给您。</w:t>
      </w:r>
    </w:p>
    <w:p>
      <w:pPr>
        <w:spacing w:after="0" w:line="314" w:lineRule="auto"/>
        <w:jc w:val="both"/>
        <w:sectPr>
          <w:pgSz w:w="11910" w:h="16840"/>
          <w:pgMar w:header="0" w:footer="593" w:top="1100" w:bottom="860" w:left="1020" w:right="1200"/>
        </w:sectPr>
      </w:pPr>
    </w:p>
    <w:p>
      <w:pPr>
        <w:pStyle w:val="Heading1"/>
        <w:ind w:left="3827" w:right="4092"/>
        <w:jc w:val="center"/>
      </w:pPr>
      <w:bookmarkStart w:name="_bookmark30" w:id="31"/>
      <w:bookmarkEnd w:id="31"/>
      <w:r>
        <w:rPr>
          <w:b w:val="0"/>
        </w:rPr>
      </w:r>
      <w:r>
        <w:rPr/>
        <w:t>第六部分 名词释义</w:t>
      </w:r>
    </w:p>
    <w:p>
      <w:pPr>
        <w:pStyle w:val="BodyText"/>
        <w:spacing w:before="11" w:after="1"/>
        <w:ind w:left="0"/>
        <w:rPr>
          <w:b/>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8105"/>
      </w:tblGrid>
      <w:tr>
        <w:trPr>
          <w:trHeight w:val="758" w:hRule="atLeast"/>
        </w:trPr>
        <w:tc>
          <w:tcPr>
            <w:tcW w:w="2020" w:type="dxa"/>
          </w:tcPr>
          <w:p>
            <w:pPr>
              <w:pStyle w:val="TableParagraph"/>
              <w:spacing w:line="211" w:lineRule="exact"/>
              <w:ind w:left="200"/>
              <w:rPr>
                <w:b/>
                <w:sz w:val="21"/>
              </w:rPr>
            </w:pPr>
            <w:r>
              <w:rPr>
                <w:b/>
                <w:sz w:val="21"/>
              </w:rPr>
              <w:t>周岁</w:t>
            </w:r>
          </w:p>
        </w:tc>
        <w:tc>
          <w:tcPr>
            <w:tcW w:w="8105" w:type="dxa"/>
          </w:tcPr>
          <w:p>
            <w:pPr>
              <w:pStyle w:val="TableParagraph"/>
              <w:spacing w:line="211" w:lineRule="exact"/>
              <w:ind w:left="131"/>
              <w:rPr>
                <w:sz w:val="21"/>
              </w:rPr>
            </w:pPr>
            <w:r>
              <w:rPr>
                <w:sz w:val="21"/>
              </w:rPr>
              <w:t>指按有效身份证件中记载的出生日期计算的年龄，自出生之日起为零周岁，每经过一</w:t>
            </w:r>
          </w:p>
          <w:p>
            <w:pPr>
              <w:pStyle w:val="TableParagraph"/>
              <w:spacing w:before="85"/>
              <w:ind w:left="131"/>
              <w:rPr>
                <w:sz w:val="21"/>
              </w:rPr>
            </w:pPr>
            <w:r>
              <w:rPr>
                <w:sz w:val="21"/>
              </w:rPr>
              <w:t>年增加一岁，不足一年的不计。</w:t>
            </w:r>
          </w:p>
        </w:tc>
      </w:tr>
      <w:tr>
        <w:trPr>
          <w:trHeight w:val="945" w:hRule="atLeast"/>
        </w:trPr>
        <w:tc>
          <w:tcPr>
            <w:tcW w:w="2020" w:type="dxa"/>
          </w:tcPr>
          <w:p>
            <w:pPr>
              <w:pStyle w:val="TableParagraph"/>
              <w:spacing w:before="123"/>
              <w:ind w:left="200"/>
              <w:rPr>
                <w:b/>
                <w:sz w:val="21"/>
              </w:rPr>
            </w:pPr>
            <w:r>
              <w:rPr>
                <w:b/>
                <w:sz w:val="21"/>
              </w:rPr>
              <w:t>保险单周年日</w:t>
            </w:r>
          </w:p>
        </w:tc>
        <w:tc>
          <w:tcPr>
            <w:tcW w:w="8105" w:type="dxa"/>
          </w:tcPr>
          <w:p>
            <w:pPr>
              <w:pStyle w:val="TableParagraph"/>
              <w:spacing w:line="314" w:lineRule="auto" w:before="123"/>
              <w:ind w:left="131" w:right="277"/>
              <w:rPr>
                <w:sz w:val="21"/>
              </w:rPr>
            </w:pPr>
            <w:r>
              <w:rPr>
                <w:spacing w:val="-6"/>
                <w:sz w:val="21"/>
              </w:rPr>
              <w:t>指在本附加合同有效期内的每一个保险单年度内本附加合同生效日的对应日。第一个</w:t>
            </w:r>
            <w:r>
              <w:rPr>
                <w:spacing w:val="-3"/>
                <w:sz w:val="21"/>
              </w:rPr>
              <w:t>保单周年日是指保险单生效一年后的本附加合同生效日期的对应日。</w:t>
            </w:r>
          </w:p>
        </w:tc>
      </w:tr>
      <w:tr>
        <w:trPr>
          <w:trHeight w:val="943" w:hRule="atLeast"/>
        </w:trPr>
        <w:tc>
          <w:tcPr>
            <w:tcW w:w="2020" w:type="dxa"/>
          </w:tcPr>
          <w:p>
            <w:pPr>
              <w:pStyle w:val="TableParagraph"/>
              <w:spacing w:before="123"/>
              <w:ind w:left="200"/>
              <w:rPr>
                <w:b/>
                <w:sz w:val="21"/>
              </w:rPr>
            </w:pPr>
            <w:r>
              <w:rPr>
                <w:b/>
                <w:sz w:val="21"/>
              </w:rPr>
              <w:t>保险单年度</w:t>
            </w:r>
          </w:p>
        </w:tc>
        <w:tc>
          <w:tcPr>
            <w:tcW w:w="8105" w:type="dxa"/>
          </w:tcPr>
          <w:p>
            <w:pPr>
              <w:pStyle w:val="TableParagraph"/>
              <w:spacing w:line="312" w:lineRule="auto" w:before="123"/>
              <w:ind w:left="131" w:right="281"/>
              <w:rPr>
                <w:sz w:val="21"/>
              </w:rPr>
            </w:pPr>
            <w:r>
              <w:rPr>
                <w:sz w:val="21"/>
              </w:rPr>
              <w:t>从本附加合同生效日或保单周年日零时起至下一年度的保单周年日零时止为一个保单年度。</w:t>
            </w:r>
          </w:p>
        </w:tc>
      </w:tr>
      <w:tr>
        <w:trPr>
          <w:trHeight w:val="984" w:hRule="atLeast"/>
        </w:trPr>
        <w:tc>
          <w:tcPr>
            <w:tcW w:w="2020" w:type="dxa"/>
          </w:tcPr>
          <w:p>
            <w:pPr>
              <w:pStyle w:val="TableParagraph"/>
              <w:spacing w:before="123"/>
              <w:ind w:left="200"/>
              <w:rPr>
                <w:b/>
                <w:sz w:val="21"/>
              </w:rPr>
            </w:pPr>
            <w:r>
              <w:rPr>
                <w:b/>
                <w:sz w:val="21"/>
              </w:rPr>
              <w:t>保险费到期日</w:t>
            </w:r>
          </w:p>
        </w:tc>
        <w:tc>
          <w:tcPr>
            <w:tcW w:w="8105" w:type="dxa"/>
          </w:tcPr>
          <w:p>
            <w:pPr>
              <w:pStyle w:val="TableParagraph"/>
              <w:spacing w:line="314" w:lineRule="auto" w:before="123"/>
              <w:ind w:left="131" w:right="279"/>
              <w:rPr>
                <w:sz w:val="21"/>
              </w:rPr>
            </w:pPr>
            <w:r>
              <w:rPr>
                <w:spacing w:val="-8"/>
                <w:sz w:val="21"/>
              </w:rPr>
              <w:t>指本合同生效日在每月、每季、每半年或每年</w:t>
            </w:r>
            <w:r>
              <w:rPr>
                <w:sz w:val="21"/>
              </w:rPr>
              <w:t>（</w:t>
            </w:r>
            <w:r>
              <w:rPr>
                <w:spacing w:val="-3"/>
                <w:sz w:val="21"/>
              </w:rPr>
              <w:t>根据交费方式确定</w:t>
            </w:r>
            <w:r>
              <w:rPr>
                <w:spacing w:val="-17"/>
                <w:sz w:val="21"/>
              </w:rPr>
              <w:t>）</w:t>
            </w:r>
            <w:r>
              <w:rPr>
                <w:spacing w:val="-6"/>
                <w:sz w:val="21"/>
              </w:rPr>
              <w:t>的对应日。若当</w:t>
            </w:r>
            <w:r>
              <w:rPr>
                <w:spacing w:val="-4"/>
                <w:sz w:val="21"/>
              </w:rPr>
              <w:t>月没有对应的同一日，则以该月最后一日为对应日。</w:t>
            </w:r>
          </w:p>
        </w:tc>
      </w:tr>
      <w:tr>
        <w:trPr>
          <w:trHeight w:val="2059" w:hRule="atLeast"/>
        </w:trPr>
        <w:tc>
          <w:tcPr>
            <w:tcW w:w="2020" w:type="dxa"/>
          </w:tcPr>
          <w:p>
            <w:pPr>
              <w:pStyle w:val="TableParagraph"/>
              <w:spacing w:before="162"/>
              <w:ind w:left="200"/>
              <w:rPr>
                <w:b/>
                <w:sz w:val="21"/>
              </w:rPr>
            </w:pPr>
            <w:r>
              <w:rPr>
                <w:b/>
                <w:sz w:val="21"/>
              </w:rPr>
              <w:t>意外伤害</w:t>
            </w:r>
          </w:p>
        </w:tc>
        <w:tc>
          <w:tcPr>
            <w:tcW w:w="8105" w:type="dxa"/>
          </w:tcPr>
          <w:p>
            <w:pPr>
              <w:pStyle w:val="TableParagraph"/>
              <w:spacing w:line="314" w:lineRule="auto" w:before="162"/>
              <w:ind w:left="131" w:right="278"/>
              <w:rPr>
                <w:rFonts w:ascii="黑体" w:eastAsia="黑体" w:hint="eastAsia"/>
                <w:sz w:val="21"/>
              </w:rPr>
            </w:pPr>
            <w:r>
              <w:rPr>
                <w:spacing w:val="-6"/>
                <w:sz w:val="21"/>
              </w:rPr>
              <w:t>指因遭受意外事故并以此为直接且单独原因导致的身体伤害。意外事故指外来的、非</w:t>
            </w:r>
            <w:r>
              <w:rPr>
                <w:spacing w:val="-4"/>
                <w:sz w:val="21"/>
              </w:rPr>
              <w:t>本意的、突然的、剧烈的、非疾病的意外事件。</w:t>
            </w:r>
            <w:r>
              <w:rPr>
                <w:rFonts w:ascii="黑体" w:eastAsia="黑体" w:hint="eastAsia"/>
                <w:spacing w:val="-3"/>
                <w:sz w:val="21"/>
              </w:rPr>
              <w:t>猝死不属于意外伤害。</w:t>
            </w:r>
          </w:p>
          <w:p>
            <w:pPr>
              <w:pStyle w:val="TableParagraph"/>
              <w:spacing w:before="17"/>
              <w:ind w:left="131"/>
              <w:rPr>
                <w:rFonts w:ascii="黑体" w:eastAsia="黑体" w:hint="eastAsia"/>
                <w:sz w:val="21"/>
              </w:rPr>
            </w:pPr>
            <w:r>
              <w:rPr>
                <w:rFonts w:ascii="黑体" w:eastAsia="黑体" w:hint="eastAsia"/>
                <w:sz w:val="21"/>
              </w:rPr>
              <w:t>猝死是指貌似健康的人因潜在疾病、机能障碍或其他原因在出现症状后 24 小时内发</w:t>
            </w:r>
          </w:p>
          <w:p>
            <w:pPr>
              <w:pStyle w:val="TableParagraph"/>
              <w:spacing w:line="312" w:lineRule="auto" w:before="84"/>
              <w:ind w:left="131" w:right="196"/>
              <w:rPr>
                <w:rFonts w:ascii="黑体" w:eastAsia="黑体" w:hint="eastAsia"/>
                <w:sz w:val="21"/>
              </w:rPr>
            </w:pPr>
            <w:r>
              <w:rPr>
                <w:rFonts w:ascii="黑体" w:eastAsia="黑体" w:hint="eastAsia"/>
                <w:sz w:val="21"/>
              </w:rPr>
              <w:t>Th</w:t>
            </w:r>
            <w:r>
              <w:rPr>
                <w:rFonts w:ascii="黑体" w:eastAsia="黑体" w:hint="eastAsia"/>
                <w:spacing w:val="-9"/>
                <w:sz w:val="21"/>
              </w:rPr>
              <w:t>的非暴力性突然死亡，属于疾病身故。猝死的认定，如有公安机关、检察院、法院</w:t>
            </w:r>
            <w:r>
              <w:rPr>
                <w:rFonts w:ascii="黑体" w:eastAsia="黑体" w:hint="eastAsia"/>
                <w:spacing w:val="-5"/>
                <w:sz w:val="21"/>
              </w:rPr>
              <w:t>等司法机关的法律文件、医疗机构的诊断书等，则以上述法律文件、诊断书等为准。</w:t>
            </w:r>
          </w:p>
        </w:tc>
      </w:tr>
      <w:tr>
        <w:trPr>
          <w:trHeight w:val="1300" w:hRule="atLeast"/>
        </w:trPr>
        <w:tc>
          <w:tcPr>
            <w:tcW w:w="2020" w:type="dxa"/>
          </w:tcPr>
          <w:p>
            <w:pPr>
              <w:pStyle w:val="TableParagraph"/>
              <w:spacing w:line="314" w:lineRule="auto" w:before="123"/>
              <w:ind w:left="200" w:right="128"/>
              <w:rPr>
                <w:b/>
                <w:sz w:val="21"/>
              </w:rPr>
            </w:pPr>
            <w:r>
              <w:rPr>
                <w:b/>
                <w:sz w:val="21"/>
              </w:rPr>
              <w:t>我们认可的医疗机构</w:t>
            </w:r>
          </w:p>
        </w:tc>
        <w:tc>
          <w:tcPr>
            <w:tcW w:w="8105" w:type="dxa"/>
          </w:tcPr>
          <w:p>
            <w:pPr>
              <w:pStyle w:val="TableParagraph"/>
              <w:spacing w:line="314" w:lineRule="auto" w:before="123"/>
              <w:ind w:left="131" w:right="278"/>
              <w:jc w:val="both"/>
              <w:rPr>
                <w:rFonts w:ascii="黑体" w:eastAsia="黑体" w:hint="eastAsia"/>
                <w:sz w:val="21"/>
              </w:rPr>
            </w:pPr>
            <w:r>
              <w:rPr>
                <w:spacing w:val="-6"/>
                <w:sz w:val="21"/>
              </w:rPr>
              <w:t>指经中华人民共和国卫生部门正式评定的二级或以上之公立医院，</w:t>
            </w:r>
            <w:r>
              <w:rPr>
                <w:rFonts w:ascii="黑体" w:eastAsia="黑体" w:hint="eastAsia"/>
                <w:spacing w:val="-3"/>
                <w:sz w:val="21"/>
              </w:rPr>
              <w:t>但不包括上述医院</w:t>
            </w:r>
            <w:r>
              <w:rPr>
                <w:rFonts w:ascii="黑体" w:eastAsia="黑体" w:hint="eastAsia"/>
                <w:spacing w:val="-11"/>
                <w:sz w:val="21"/>
              </w:rPr>
              <w:t>的分院、联合病房或联合病床，精神病院，专供康复、休养、戒毒、戒酒、护理、养</w:t>
            </w:r>
            <w:r>
              <w:rPr>
                <w:rFonts w:ascii="黑体" w:eastAsia="黑体" w:hint="eastAsia"/>
                <w:spacing w:val="-6"/>
                <w:sz w:val="21"/>
              </w:rPr>
              <w:t>老等非以直接诊疗病人为目的之医疗机构。</w:t>
            </w:r>
          </w:p>
        </w:tc>
      </w:tr>
      <w:tr>
        <w:trPr>
          <w:trHeight w:val="1666" w:hRule="atLeast"/>
        </w:trPr>
        <w:tc>
          <w:tcPr>
            <w:tcW w:w="2020" w:type="dxa"/>
          </w:tcPr>
          <w:p>
            <w:pPr>
              <w:pStyle w:val="TableParagraph"/>
              <w:spacing w:before="127"/>
              <w:ind w:left="200"/>
              <w:rPr>
                <w:b/>
                <w:sz w:val="21"/>
              </w:rPr>
            </w:pPr>
            <w:r>
              <w:rPr>
                <w:b/>
                <w:sz w:val="21"/>
              </w:rPr>
              <w:t>疾病终末期阶段</w:t>
            </w:r>
          </w:p>
        </w:tc>
        <w:tc>
          <w:tcPr>
            <w:tcW w:w="8105" w:type="dxa"/>
          </w:tcPr>
          <w:p>
            <w:pPr>
              <w:pStyle w:val="TableParagraph"/>
              <w:spacing w:before="127"/>
              <w:ind w:left="131"/>
              <w:rPr>
                <w:sz w:val="21"/>
              </w:rPr>
            </w:pPr>
            <w:r>
              <w:rPr>
                <w:sz w:val="21"/>
              </w:rPr>
              <w:t>指被保险人经过 </w:t>
            </w:r>
            <w:r>
              <w:rPr>
                <w:rFonts w:ascii="Times New Roman" w:eastAsia="Times New Roman"/>
                <w:sz w:val="21"/>
              </w:rPr>
              <w:t>90 </w:t>
            </w:r>
            <w:r>
              <w:rPr>
                <w:sz w:val="21"/>
              </w:rPr>
              <w:t>天以上的积极治疗后，最终确认为处于疾病终末期状态。该疾病</w:t>
            </w:r>
          </w:p>
          <w:p>
            <w:pPr>
              <w:pStyle w:val="TableParagraph"/>
              <w:spacing w:line="304" w:lineRule="auto" w:before="69"/>
              <w:ind w:left="131" w:right="278"/>
              <w:jc w:val="both"/>
              <w:rPr>
                <w:sz w:val="21"/>
              </w:rPr>
            </w:pPr>
            <w:r>
              <w:rPr>
                <w:spacing w:val="-5"/>
                <w:sz w:val="21"/>
              </w:rPr>
              <w:t>已经无法以现有的医疗技术治疗或缓解并且将导致患者在未来 </w:t>
            </w:r>
            <w:r>
              <w:rPr>
                <w:rFonts w:ascii="Times New Roman" w:eastAsia="Times New Roman"/>
                <w:sz w:val="21"/>
              </w:rPr>
              <w:t>6 </w:t>
            </w:r>
            <w:r>
              <w:rPr>
                <w:spacing w:val="-13"/>
                <w:sz w:val="21"/>
              </w:rPr>
              <w:t>个月内死亡。在患者</w:t>
            </w:r>
            <w:r>
              <w:rPr>
                <w:spacing w:val="-10"/>
                <w:sz w:val="21"/>
              </w:rPr>
              <w:t>及其家属的要求和医生的同意下一切积极治疗已被放弃，所有治疗措施仅以减轻患者</w:t>
            </w:r>
            <w:r>
              <w:rPr>
                <w:spacing w:val="-5"/>
                <w:sz w:val="21"/>
              </w:rPr>
              <w:t>痛苦为目的。</w:t>
            </w:r>
          </w:p>
        </w:tc>
      </w:tr>
      <w:tr>
        <w:trPr>
          <w:trHeight w:val="1303" w:hRule="atLeast"/>
        </w:trPr>
        <w:tc>
          <w:tcPr>
            <w:tcW w:w="2020" w:type="dxa"/>
          </w:tcPr>
          <w:p>
            <w:pPr>
              <w:pStyle w:val="TableParagraph"/>
              <w:spacing w:before="123"/>
              <w:ind w:left="200"/>
              <w:rPr>
                <w:b/>
                <w:sz w:val="21"/>
              </w:rPr>
            </w:pPr>
            <w:r>
              <w:rPr>
                <w:b/>
                <w:sz w:val="21"/>
              </w:rPr>
              <w:t>毒品</w:t>
            </w:r>
          </w:p>
        </w:tc>
        <w:tc>
          <w:tcPr>
            <w:tcW w:w="8105" w:type="dxa"/>
          </w:tcPr>
          <w:p>
            <w:pPr>
              <w:pStyle w:val="TableParagraph"/>
              <w:spacing w:line="314" w:lineRule="auto" w:before="123"/>
              <w:ind w:left="131" w:right="278"/>
              <w:jc w:val="both"/>
              <w:rPr>
                <w:sz w:val="21"/>
              </w:rPr>
            </w:pPr>
            <w:r>
              <w:rPr>
                <w:spacing w:val="-3"/>
                <w:sz w:val="21"/>
              </w:rPr>
              <w:t>指中华人民共和国刑法规定的鸦片、海洛因、甲基苯丙胺</w:t>
            </w:r>
            <w:r>
              <w:rPr>
                <w:sz w:val="21"/>
              </w:rPr>
              <w:t>（</w:t>
            </w:r>
            <w:r>
              <w:rPr>
                <w:spacing w:val="-2"/>
                <w:sz w:val="21"/>
              </w:rPr>
              <w:t>冰毒</w:t>
            </w:r>
            <w:r>
              <w:rPr>
                <w:spacing w:val="-106"/>
                <w:sz w:val="21"/>
              </w:rPr>
              <w:t>）</w:t>
            </w:r>
            <w:r>
              <w:rPr>
                <w:spacing w:val="-2"/>
                <w:sz w:val="21"/>
              </w:rPr>
              <w:t>、吗啡、大麻、可</w:t>
            </w:r>
            <w:r>
              <w:rPr>
                <w:spacing w:val="-6"/>
                <w:sz w:val="21"/>
              </w:rPr>
              <w:t>卡因以及国家规定管制的其他能够使人形成瘾癖的麻醉药品和精神药品，但不包括由</w:t>
            </w:r>
            <w:r>
              <w:rPr>
                <w:spacing w:val="-4"/>
                <w:sz w:val="21"/>
              </w:rPr>
              <w:t>医生开具并遵医嘱使用的用于治疗疾病但含有毒品成分的处方药品。</w:t>
            </w:r>
          </w:p>
        </w:tc>
      </w:tr>
      <w:tr>
        <w:trPr>
          <w:trHeight w:val="1303" w:hRule="atLeast"/>
        </w:trPr>
        <w:tc>
          <w:tcPr>
            <w:tcW w:w="2020" w:type="dxa"/>
          </w:tcPr>
          <w:p>
            <w:pPr>
              <w:pStyle w:val="TableParagraph"/>
              <w:spacing w:before="123"/>
              <w:ind w:left="200"/>
              <w:rPr>
                <w:b/>
                <w:sz w:val="21"/>
              </w:rPr>
            </w:pPr>
            <w:r>
              <w:rPr>
                <w:b/>
                <w:sz w:val="21"/>
              </w:rPr>
              <w:t>酒后驾驶</w:t>
            </w:r>
          </w:p>
        </w:tc>
        <w:tc>
          <w:tcPr>
            <w:tcW w:w="8105" w:type="dxa"/>
          </w:tcPr>
          <w:p>
            <w:pPr>
              <w:pStyle w:val="TableParagraph"/>
              <w:spacing w:line="314" w:lineRule="auto" w:before="123"/>
              <w:ind w:left="131" w:right="278"/>
              <w:jc w:val="both"/>
              <w:rPr>
                <w:sz w:val="21"/>
              </w:rPr>
            </w:pPr>
            <w:r>
              <w:rPr>
                <w:spacing w:val="-12"/>
                <w:sz w:val="21"/>
              </w:rPr>
              <w:t>指经检测或者鉴定，发生事故时车辆驾驶人员每百毫升血液中的酒精含量达到或者超过一定的标准，公安机关交通管理部门依据《道路交通安全法》的规定认定为饮酒后</w:t>
            </w:r>
            <w:r>
              <w:rPr>
                <w:spacing w:val="-6"/>
                <w:sz w:val="21"/>
              </w:rPr>
              <w:t>驾驶或者醉酒后驾驶。</w:t>
            </w:r>
          </w:p>
        </w:tc>
      </w:tr>
      <w:tr>
        <w:trPr>
          <w:trHeight w:val="2191" w:hRule="atLeast"/>
        </w:trPr>
        <w:tc>
          <w:tcPr>
            <w:tcW w:w="2020" w:type="dxa"/>
          </w:tcPr>
          <w:p>
            <w:pPr>
              <w:pStyle w:val="TableParagraph"/>
              <w:spacing w:line="312" w:lineRule="auto" w:before="123"/>
              <w:ind w:left="200" w:right="128"/>
              <w:rPr>
                <w:b/>
                <w:sz w:val="21"/>
              </w:rPr>
            </w:pPr>
            <w:r>
              <w:rPr>
                <w:b/>
                <w:sz w:val="21"/>
              </w:rPr>
              <w:t>无合法有效驾驶证驾驶</w:t>
            </w:r>
          </w:p>
        </w:tc>
        <w:tc>
          <w:tcPr>
            <w:tcW w:w="8105" w:type="dxa"/>
          </w:tcPr>
          <w:p>
            <w:pPr>
              <w:pStyle w:val="TableParagraph"/>
              <w:spacing w:before="123"/>
              <w:ind w:left="131"/>
              <w:rPr>
                <w:sz w:val="21"/>
              </w:rPr>
            </w:pPr>
            <w:r>
              <w:rPr>
                <w:sz w:val="21"/>
              </w:rPr>
              <w:t>指下列情形之一：</w:t>
            </w:r>
          </w:p>
          <w:p>
            <w:pPr>
              <w:pStyle w:val="TableParagraph"/>
              <w:spacing w:before="82"/>
              <w:ind w:left="131"/>
              <w:rPr>
                <w:sz w:val="21"/>
              </w:rPr>
            </w:pPr>
            <w:r>
              <w:rPr>
                <w:sz w:val="21"/>
              </w:rPr>
              <w:t>（</w:t>
            </w:r>
            <w:r>
              <w:rPr>
                <w:rFonts w:ascii="Times New Roman" w:eastAsia="Times New Roman"/>
                <w:sz w:val="21"/>
              </w:rPr>
              <w:t>1</w:t>
            </w:r>
            <w:r>
              <w:rPr>
                <w:sz w:val="21"/>
              </w:rPr>
              <w:t>）没有取得驾驶资格；</w:t>
            </w:r>
          </w:p>
          <w:p>
            <w:pPr>
              <w:pStyle w:val="TableParagraph"/>
              <w:spacing w:before="69"/>
              <w:ind w:left="131"/>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67"/>
              <w:ind w:left="131"/>
              <w:rPr>
                <w:sz w:val="21"/>
              </w:rPr>
            </w:pPr>
            <w:r>
              <w:rPr>
                <w:sz w:val="21"/>
              </w:rPr>
              <w:t>（</w:t>
            </w:r>
            <w:r>
              <w:rPr>
                <w:rFonts w:ascii="Times New Roman" w:eastAsia="Times New Roman"/>
                <w:sz w:val="21"/>
              </w:rPr>
              <w:t>3</w:t>
            </w:r>
            <w:r>
              <w:rPr>
                <w:sz w:val="21"/>
              </w:rPr>
              <w:t>）持审验不合格的驾驶证驾驶；</w:t>
            </w:r>
          </w:p>
          <w:p>
            <w:pPr>
              <w:pStyle w:val="TableParagraph"/>
              <w:spacing w:line="340" w:lineRule="atLeast" w:before="20"/>
              <w:ind w:left="657" w:right="281" w:hanging="527"/>
              <w:rPr>
                <w:sz w:val="21"/>
              </w:rPr>
            </w:pPr>
            <w:r>
              <w:rPr>
                <w:sz w:val="21"/>
              </w:rPr>
              <w:t>（</w:t>
            </w:r>
            <w:r>
              <w:rPr>
                <w:rFonts w:ascii="Times New Roman" w:eastAsia="Times New Roman"/>
                <w:sz w:val="21"/>
              </w:rPr>
              <w:t>4</w:t>
            </w:r>
            <w:r>
              <w:rPr>
                <w:sz w:val="21"/>
              </w:rPr>
              <w:t>）持学习驾驶证学习驾车时，无教练员随车指导，或者不按指定时间、路线学习驾车。</w:t>
            </w:r>
          </w:p>
        </w:tc>
      </w:tr>
    </w:tbl>
    <w:p>
      <w:pPr>
        <w:spacing w:after="0" w:line="340" w:lineRule="atLeast"/>
        <w:rPr>
          <w:sz w:val="21"/>
        </w:rPr>
        <w:sectPr>
          <w:pgSz w:w="11910" w:h="16840"/>
          <w:pgMar w:header="0" w:footer="593" w:top="1200" w:bottom="860" w:left="82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6"/>
        <w:gridCol w:w="8032"/>
      </w:tblGrid>
      <w:tr>
        <w:trPr>
          <w:trHeight w:val="1125" w:hRule="atLeast"/>
        </w:trPr>
        <w:tc>
          <w:tcPr>
            <w:tcW w:w="2096" w:type="dxa"/>
          </w:tcPr>
          <w:p>
            <w:pPr>
              <w:pStyle w:val="TableParagraph"/>
              <w:spacing w:line="211" w:lineRule="exact"/>
              <w:ind w:left="200"/>
              <w:rPr>
                <w:b/>
                <w:sz w:val="21"/>
              </w:rPr>
            </w:pPr>
            <w:r>
              <w:rPr>
                <w:b/>
                <w:sz w:val="21"/>
              </w:rPr>
              <w:t>无有效行驶证</w:t>
            </w:r>
          </w:p>
        </w:tc>
        <w:tc>
          <w:tcPr>
            <w:tcW w:w="8032" w:type="dxa"/>
          </w:tcPr>
          <w:p>
            <w:pPr>
              <w:pStyle w:val="TableParagraph"/>
              <w:spacing w:line="211" w:lineRule="exact"/>
              <w:ind w:left="55"/>
              <w:rPr>
                <w:sz w:val="21"/>
              </w:rPr>
            </w:pPr>
            <w:r>
              <w:rPr>
                <w:sz w:val="21"/>
              </w:rPr>
              <w:t>指下列情形之一：</w:t>
            </w:r>
          </w:p>
          <w:p>
            <w:pPr>
              <w:pStyle w:val="TableParagraph"/>
              <w:spacing w:before="85"/>
              <w:ind w:left="55"/>
              <w:rPr>
                <w:sz w:val="21"/>
              </w:rPr>
            </w:pPr>
            <w:r>
              <w:rPr>
                <w:sz w:val="21"/>
              </w:rPr>
              <w:t>（</w:t>
            </w:r>
            <w:r>
              <w:rPr>
                <w:rFonts w:ascii="Times New Roman" w:eastAsia="Times New Roman"/>
                <w:sz w:val="21"/>
              </w:rPr>
              <w:t>1</w:t>
            </w:r>
            <w:r>
              <w:rPr>
                <w:sz w:val="21"/>
              </w:rPr>
              <w:t>）机动车被依法注销登记的；</w:t>
            </w:r>
          </w:p>
          <w:p>
            <w:pPr>
              <w:pStyle w:val="TableParagraph"/>
              <w:spacing w:before="67"/>
              <w:ind w:left="55"/>
              <w:rPr>
                <w:sz w:val="21"/>
              </w:rPr>
            </w:pPr>
            <w:r>
              <w:rPr>
                <w:sz w:val="21"/>
              </w:rPr>
              <w:t>（</w:t>
            </w:r>
            <w:r>
              <w:rPr>
                <w:rFonts w:ascii="Times New Roman" w:eastAsia="Times New Roman"/>
                <w:sz w:val="21"/>
              </w:rPr>
              <w:t>2</w:t>
            </w:r>
            <w:r>
              <w:rPr>
                <w:sz w:val="21"/>
              </w:rPr>
              <w:t>）未依法按时进行或者通过机动车安全技术检验。</w:t>
            </w:r>
          </w:p>
        </w:tc>
      </w:tr>
      <w:tr>
        <w:trPr>
          <w:trHeight w:val="933" w:hRule="atLeast"/>
        </w:trPr>
        <w:tc>
          <w:tcPr>
            <w:tcW w:w="2096" w:type="dxa"/>
          </w:tcPr>
          <w:p>
            <w:pPr>
              <w:pStyle w:val="TableParagraph"/>
              <w:spacing w:before="116"/>
              <w:ind w:left="200"/>
              <w:rPr>
                <w:b/>
                <w:sz w:val="21"/>
              </w:rPr>
            </w:pPr>
            <w:r>
              <w:rPr>
                <w:b/>
                <w:sz w:val="21"/>
              </w:rPr>
              <w:t>机动车</w:t>
            </w:r>
          </w:p>
        </w:tc>
        <w:tc>
          <w:tcPr>
            <w:tcW w:w="8032" w:type="dxa"/>
          </w:tcPr>
          <w:p>
            <w:pPr>
              <w:pStyle w:val="TableParagraph"/>
              <w:spacing w:line="312" w:lineRule="auto" w:before="116"/>
              <w:ind w:left="55" w:right="281"/>
              <w:rPr>
                <w:sz w:val="21"/>
              </w:rPr>
            </w:pPr>
            <w:r>
              <w:rPr>
                <w:spacing w:val="-10"/>
                <w:sz w:val="21"/>
              </w:rPr>
              <w:t>指以动力装置驱动或者牵引，上道路行驶的供人员乘用或者用于运送物品以及进行工</w:t>
            </w:r>
            <w:r>
              <w:rPr>
                <w:spacing w:val="-5"/>
                <w:sz w:val="21"/>
              </w:rPr>
              <w:t>程专项作业的轮式车辆。</w:t>
            </w:r>
          </w:p>
        </w:tc>
      </w:tr>
      <w:tr>
        <w:trPr>
          <w:trHeight w:val="1666" w:hRule="atLeast"/>
        </w:trPr>
        <w:tc>
          <w:tcPr>
            <w:tcW w:w="2096" w:type="dxa"/>
          </w:tcPr>
          <w:p>
            <w:pPr>
              <w:pStyle w:val="TableParagraph"/>
              <w:spacing w:line="314" w:lineRule="auto" w:before="126"/>
              <w:ind w:left="200" w:right="204"/>
              <w:rPr>
                <w:b/>
                <w:sz w:val="21"/>
              </w:rPr>
            </w:pPr>
            <w:r>
              <w:rPr>
                <w:b/>
                <w:sz w:val="21"/>
              </w:rPr>
              <w:t>感染艾滋病病毒或患艾滋病</w:t>
            </w:r>
          </w:p>
        </w:tc>
        <w:tc>
          <w:tcPr>
            <w:tcW w:w="8032" w:type="dxa"/>
          </w:tcPr>
          <w:p>
            <w:pPr>
              <w:pStyle w:val="TableParagraph"/>
              <w:spacing w:line="297" w:lineRule="auto" w:before="126"/>
              <w:ind w:left="55" w:right="281"/>
              <w:rPr>
                <w:sz w:val="21"/>
              </w:rPr>
            </w:pPr>
            <w:r>
              <w:rPr>
                <w:spacing w:val="-7"/>
                <w:sz w:val="21"/>
              </w:rPr>
              <w:t>艾滋病病毒指人类免疫缺陷病毒，英文缩写为 </w:t>
            </w:r>
            <w:r>
              <w:rPr>
                <w:rFonts w:ascii="Times New Roman" w:eastAsia="Times New Roman"/>
                <w:sz w:val="21"/>
              </w:rPr>
              <w:t>HIV</w:t>
            </w:r>
            <w:r>
              <w:rPr>
                <w:spacing w:val="-8"/>
                <w:sz w:val="21"/>
              </w:rPr>
              <w:t>。艾滋病指人类免疫缺陷病毒引起</w:t>
            </w:r>
            <w:r>
              <w:rPr>
                <w:spacing w:val="-4"/>
                <w:sz w:val="21"/>
              </w:rPr>
              <w:t>的获得性免疫缺陷综合征，英文缩写为 </w:t>
            </w:r>
            <w:r>
              <w:rPr>
                <w:rFonts w:ascii="Times New Roman" w:eastAsia="Times New Roman"/>
                <w:sz w:val="21"/>
              </w:rPr>
              <w:t>AIDS</w:t>
            </w:r>
            <w:r>
              <w:rPr>
                <w:sz w:val="21"/>
              </w:rPr>
              <w:t>。</w:t>
            </w:r>
          </w:p>
          <w:p>
            <w:pPr>
              <w:pStyle w:val="TableParagraph"/>
              <w:spacing w:line="314" w:lineRule="auto" w:before="10"/>
              <w:ind w:left="55" w:right="281"/>
              <w:rPr>
                <w:sz w:val="21"/>
              </w:rPr>
            </w:pPr>
            <w:r>
              <w:rPr>
                <w:spacing w:val="-7"/>
                <w:sz w:val="21"/>
              </w:rPr>
              <w:t>在人体血液或其它样本中检测到艾滋病病毒或其抗体呈阳性，没有出现临床症状或体</w:t>
            </w:r>
            <w:r>
              <w:rPr>
                <w:spacing w:val="-5"/>
                <w:sz w:val="21"/>
              </w:rPr>
              <w:t>征的，为感染艾滋病病毒；如果同时出现了明显临床症状或体征的，为患艾滋病。</w:t>
            </w:r>
          </w:p>
        </w:tc>
      </w:tr>
      <w:tr>
        <w:trPr>
          <w:trHeight w:val="943" w:hRule="atLeast"/>
        </w:trPr>
        <w:tc>
          <w:tcPr>
            <w:tcW w:w="2096" w:type="dxa"/>
          </w:tcPr>
          <w:p>
            <w:pPr>
              <w:pStyle w:val="TableParagraph"/>
              <w:spacing w:before="123"/>
              <w:ind w:left="200"/>
              <w:rPr>
                <w:b/>
                <w:sz w:val="21"/>
              </w:rPr>
            </w:pPr>
            <w:r>
              <w:rPr>
                <w:b/>
                <w:sz w:val="21"/>
              </w:rPr>
              <w:t>遗传性疾病</w:t>
            </w:r>
          </w:p>
        </w:tc>
        <w:tc>
          <w:tcPr>
            <w:tcW w:w="8032" w:type="dxa"/>
          </w:tcPr>
          <w:p>
            <w:pPr>
              <w:pStyle w:val="TableParagraph"/>
              <w:spacing w:line="312" w:lineRule="auto" w:before="123"/>
              <w:ind w:left="55" w:right="282"/>
              <w:rPr>
                <w:sz w:val="21"/>
              </w:rPr>
            </w:pPr>
            <w:r>
              <w:rPr>
                <w:spacing w:val="-6"/>
                <w:sz w:val="21"/>
              </w:rPr>
              <w:t>指生殖细胞或受精卵的遗传物质</w:t>
            </w:r>
            <w:r>
              <w:rPr>
                <w:sz w:val="21"/>
              </w:rPr>
              <w:t>（</w:t>
            </w:r>
            <w:r>
              <w:rPr>
                <w:spacing w:val="-3"/>
                <w:sz w:val="21"/>
              </w:rPr>
              <w:t>染色体和基因</w:t>
            </w:r>
            <w:r>
              <w:rPr>
                <w:spacing w:val="-32"/>
                <w:sz w:val="21"/>
              </w:rPr>
              <w:t>）</w:t>
            </w:r>
            <w:r>
              <w:rPr>
                <w:spacing w:val="-6"/>
                <w:sz w:val="21"/>
              </w:rPr>
              <w:t>发生突变或畸变所引起的疾病，通</w:t>
            </w:r>
            <w:r>
              <w:rPr>
                <w:spacing w:val="-4"/>
                <w:sz w:val="21"/>
              </w:rPr>
              <w:t>常具有由亲代传至后代的垂直传递的特征。</w:t>
            </w:r>
          </w:p>
        </w:tc>
      </w:tr>
      <w:tr>
        <w:trPr>
          <w:trHeight w:val="953" w:hRule="atLeast"/>
        </w:trPr>
        <w:tc>
          <w:tcPr>
            <w:tcW w:w="2096" w:type="dxa"/>
          </w:tcPr>
          <w:p>
            <w:pPr>
              <w:pStyle w:val="TableParagraph"/>
              <w:spacing w:line="314" w:lineRule="auto" w:before="123"/>
              <w:ind w:left="200" w:right="53"/>
              <w:rPr>
                <w:b/>
                <w:sz w:val="21"/>
              </w:rPr>
            </w:pPr>
            <w:r>
              <w:rPr>
                <w:b/>
                <w:spacing w:val="-8"/>
                <w:sz w:val="21"/>
              </w:rPr>
              <w:t>先天性畸形、变形或染色体异常</w:t>
            </w:r>
          </w:p>
        </w:tc>
        <w:tc>
          <w:tcPr>
            <w:tcW w:w="8032" w:type="dxa"/>
          </w:tcPr>
          <w:p>
            <w:pPr>
              <w:pStyle w:val="TableParagraph"/>
              <w:spacing w:line="314" w:lineRule="auto" w:before="123"/>
              <w:ind w:left="55" w:right="281"/>
              <w:rPr>
                <w:sz w:val="21"/>
              </w:rPr>
            </w:pPr>
            <w:r>
              <w:rPr>
                <w:spacing w:val="-8"/>
                <w:sz w:val="21"/>
              </w:rPr>
              <w:t>指被保险人出生时就具有的畸形、变形或者染色体异常。先天性畸形、变形和染色体</w:t>
            </w:r>
            <w:r>
              <w:rPr>
                <w:spacing w:val="-7"/>
                <w:sz w:val="21"/>
              </w:rPr>
              <w:t>异常依照世界卫生组织《疾病和有关健康问题的国际统计分类》</w:t>
            </w:r>
            <w:r>
              <w:rPr>
                <w:sz w:val="21"/>
              </w:rPr>
              <w:t>（</w:t>
            </w:r>
            <w:r>
              <w:rPr>
                <w:rFonts w:ascii="Times New Roman" w:eastAsia="Times New Roman"/>
                <w:sz w:val="21"/>
              </w:rPr>
              <w:t>ICD-10</w:t>
            </w:r>
            <w:r>
              <w:rPr>
                <w:sz w:val="21"/>
              </w:rPr>
              <w:t>）</w:t>
            </w:r>
            <w:r>
              <w:rPr>
                <w:spacing w:val="-2"/>
                <w:sz w:val="21"/>
              </w:rPr>
              <w:t>确定。</w:t>
            </w:r>
          </w:p>
        </w:tc>
      </w:tr>
      <w:tr>
        <w:trPr>
          <w:trHeight w:val="935" w:hRule="atLeast"/>
        </w:trPr>
        <w:tc>
          <w:tcPr>
            <w:tcW w:w="2096" w:type="dxa"/>
          </w:tcPr>
          <w:p>
            <w:pPr>
              <w:pStyle w:val="TableParagraph"/>
              <w:spacing w:before="115"/>
              <w:ind w:left="200"/>
              <w:rPr>
                <w:b/>
                <w:sz w:val="21"/>
              </w:rPr>
            </w:pPr>
            <w:r>
              <w:rPr>
                <w:b/>
                <w:sz w:val="21"/>
              </w:rPr>
              <w:t>现金价值</w:t>
            </w:r>
          </w:p>
        </w:tc>
        <w:tc>
          <w:tcPr>
            <w:tcW w:w="8032" w:type="dxa"/>
          </w:tcPr>
          <w:p>
            <w:pPr>
              <w:pStyle w:val="TableParagraph"/>
              <w:spacing w:line="312" w:lineRule="auto" w:before="115"/>
              <w:ind w:left="55" w:right="284"/>
              <w:rPr>
                <w:sz w:val="21"/>
              </w:rPr>
            </w:pPr>
            <w:r>
              <w:rPr>
                <w:spacing w:val="-9"/>
                <w:sz w:val="21"/>
              </w:rPr>
              <w:t>指保险单所具有的价值，通常体现为解除合同时，根据精算原理计算的，由本公司退</w:t>
            </w:r>
            <w:r>
              <w:rPr>
                <w:spacing w:val="-5"/>
                <w:sz w:val="21"/>
              </w:rPr>
              <w:t>还的那部分金额。</w:t>
            </w:r>
          </w:p>
        </w:tc>
      </w:tr>
      <w:tr>
        <w:trPr>
          <w:trHeight w:val="586" w:hRule="atLeast"/>
        </w:trPr>
        <w:tc>
          <w:tcPr>
            <w:tcW w:w="2096" w:type="dxa"/>
          </w:tcPr>
          <w:p>
            <w:pPr>
              <w:pStyle w:val="TableParagraph"/>
              <w:spacing w:before="123"/>
              <w:ind w:left="200"/>
              <w:rPr>
                <w:b/>
                <w:sz w:val="21"/>
              </w:rPr>
            </w:pPr>
            <w:r>
              <w:rPr>
                <w:b/>
                <w:sz w:val="21"/>
              </w:rPr>
              <w:t>现金价值净额</w:t>
            </w:r>
          </w:p>
        </w:tc>
        <w:tc>
          <w:tcPr>
            <w:tcW w:w="8032" w:type="dxa"/>
          </w:tcPr>
          <w:p>
            <w:pPr>
              <w:pStyle w:val="TableParagraph"/>
              <w:spacing w:before="123"/>
              <w:ind w:left="55"/>
              <w:rPr>
                <w:sz w:val="21"/>
              </w:rPr>
            </w:pPr>
            <w:r>
              <w:rPr>
                <w:sz w:val="21"/>
              </w:rPr>
              <w:t>指现金价值扣除未偿还的保险单借款及其利息和其他未还清款项及其利息后的余额。</w:t>
            </w:r>
          </w:p>
        </w:tc>
      </w:tr>
      <w:tr>
        <w:trPr>
          <w:trHeight w:val="944" w:hRule="atLeast"/>
        </w:trPr>
        <w:tc>
          <w:tcPr>
            <w:tcW w:w="2096" w:type="dxa"/>
          </w:tcPr>
          <w:p>
            <w:pPr>
              <w:pStyle w:val="TableParagraph"/>
              <w:spacing w:before="124"/>
              <w:ind w:left="200"/>
              <w:rPr>
                <w:b/>
                <w:sz w:val="21"/>
              </w:rPr>
            </w:pPr>
            <w:r>
              <w:rPr>
                <w:b/>
                <w:sz w:val="21"/>
              </w:rPr>
              <w:t>有效身份证件</w:t>
            </w:r>
          </w:p>
        </w:tc>
        <w:tc>
          <w:tcPr>
            <w:tcW w:w="8032" w:type="dxa"/>
          </w:tcPr>
          <w:p>
            <w:pPr>
              <w:pStyle w:val="TableParagraph"/>
              <w:spacing w:line="312" w:lineRule="auto" w:before="124"/>
              <w:ind w:left="55" w:right="197"/>
              <w:rPr>
                <w:sz w:val="21"/>
              </w:rPr>
            </w:pPr>
            <w:r>
              <w:rPr>
                <w:sz w:val="21"/>
              </w:rPr>
              <w:t>指由中华人民共和国政府主管部门规定的能够证明其身份的证件，如：居民身份证、按规定可使用的有效护照、户口簿等证件。</w:t>
            </w:r>
          </w:p>
        </w:tc>
      </w:tr>
      <w:tr>
        <w:trPr>
          <w:trHeight w:val="930" w:hRule="atLeast"/>
        </w:trPr>
        <w:tc>
          <w:tcPr>
            <w:tcW w:w="2096" w:type="dxa"/>
          </w:tcPr>
          <w:p>
            <w:pPr>
              <w:pStyle w:val="TableParagraph"/>
              <w:spacing w:before="123"/>
              <w:ind w:left="200"/>
              <w:rPr>
                <w:b/>
                <w:sz w:val="21"/>
              </w:rPr>
            </w:pPr>
            <w:r>
              <w:rPr>
                <w:b/>
                <w:sz w:val="21"/>
              </w:rPr>
              <w:t>首次患有</w:t>
            </w:r>
          </w:p>
        </w:tc>
        <w:tc>
          <w:tcPr>
            <w:tcW w:w="8032" w:type="dxa"/>
          </w:tcPr>
          <w:p>
            <w:pPr>
              <w:pStyle w:val="TableParagraph"/>
              <w:spacing w:line="314" w:lineRule="auto" w:before="123"/>
              <w:ind w:left="55" w:right="281"/>
              <w:rPr>
                <w:sz w:val="21"/>
              </w:rPr>
            </w:pPr>
            <w:r>
              <w:rPr>
                <w:spacing w:val="-7"/>
                <w:sz w:val="21"/>
              </w:rPr>
              <w:t>指被保险人自出生后第一次患有本附加合同所列的轻症疾病、重大疾病、少儿特定疾</w:t>
            </w:r>
            <w:r>
              <w:rPr>
                <w:spacing w:val="-5"/>
                <w:sz w:val="21"/>
              </w:rPr>
              <w:t>病或达到疾病终末期阶段。</w:t>
            </w:r>
          </w:p>
        </w:tc>
      </w:tr>
      <w:tr>
        <w:trPr>
          <w:trHeight w:val="861" w:hRule="atLeast"/>
        </w:trPr>
        <w:tc>
          <w:tcPr>
            <w:tcW w:w="2096" w:type="dxa"/>
          </w:tcPr>
          <w:p>
            <w:pPr>
              <w:pStyle w:val="TableParagraph"/>
              <w:spacing w:before="138"/>
              <w:ind w:left="200"/>
              <w:rPr>
                <w:b/>
                <w:sz w:val="21"/>
              </w:rPr>
            </w:pPr>
            <w:r>
              <w:rPr>
                <w:b/>
                <w:sz w:val="21"/>
              </w:rPr>
              <w:t>轻症疾病</w:t>
            </w:r>
          </w:p>
        </w:tc>
        <w:tc>
          <w:tcPr>
            <w:tcW w:w="8032" w:type="dxa"/>
          </w:tcPr>
          <w:p>
            <w:pPr>
              <w:pStyle w:val="TableParagraph"/>
              <w:spacing w:line="256" w:lineRule="auto" w:before="114"/>
              <w:ind w:left="55" w:right="285"/>
              <w:rPr>
                <w:sz w:val="21"/>
              </w:rPr>
            </w:pPr>
            <w:r>
              <w:rPr>
                <w:spacing w:val="-3"/>
                <w:w w:val="100"/>
                <w:sz w:val="21"/>
              </w:rPr>
              <w:t>指被保险人发生符合以下疾病定义所述条件的疾病</w:t>
            </w:r>
            <w:r>
              <w:rPr>
                <w:spacing w:val="0"/>
                <w:w w:val="100"/>
                <w:sz w:val="21"/>
              </w:rPr>
              <w:t>（</w:t>
            </w:r>
            <w:r>
              <w:rPr>
                <w:w w:val="100"/>
                <w:sz w:val="21"/>
              </w:rPr>
              <w:t>共</w:t>
            </w:r>
            <w:r>
              <w:rPr>
                <w:rFonts w:ascii="Times New Roman" w:eastAsia="Times New Roman"/>
                <w:w w:val="100"/>
                <w:sz w:val="21"/>
              </w:rPr>
              <w:t>50</w:t>
            </w:r>
            <w:r>
              <w:rPr>
                <w:w w:val="100"/>
                <w:sz w:val="21"/>
              </w:rPr>
              <w:t>种</w:t>
            </w:r>
            <w:r>
              <w:rPr>
                <w:spacing w:val="-106"/>
                <w:w w:val="100"/>
                <w:sz w:val="21"/>
              </w:rPr>
              <w:t>）</w:t>
            </w:r>
            <w:r>
              <w:rPr>
                <w:spacing w:val="-3"/>
                <w:w w:val="100"/>
                <w:sz w:val="21"/>
              </w:rPr>
              <w:t>，应当由</w:t>
            </w:r>
            <w:r>
              <w:rPr>
                <w:b/>
                <w:w w:val="100"/>
                <w:sz w:val="21"/>
              </w:rPr>
              <w:t>专科医生</w:t>
            </w:r>
            <w:r>
              <w:rPr>
                <w:spacing w:val="-3"/>
                <w:w w:val="100"/>
                <w:sz w:val="21"/>
              </w:rPr>
              <w:t>明确</w:t>
            </w:r>
            <w:r>
              <w:rPr>
                <w:sz w:val="21"/>
              </w:rPr>
              <w:t>诊断。</w:t>
            </w:r>
          </w:p>
        </w:tc>
      </w:tr>
      <w:tr>
        <w:trPr>
          <w:trHeight w:val="3386" w:hRule="atLeast"/>
        </w:trPr>
        <w:tc>
          <w:tcPr>
            <w:tcW w:w="2096" w:type="dxa"/>
          </w:tcPr>
          <w:p>
            <w:pPr>
              <w:pStyle w:val="TableParagraph"/>
              <w:spacing w:line="204" w:lineRule="auto" w:before="71"/>
              <w:ind w:left="727" w:right="312" w:hanging="420"/>
              <w:jc w:val="both"/>
              <w:rPr>
                <w:rFonts w:ascii="Microsoft JhengHei" w:eastAsia="Microsoft JhengHei" w:hint="eastAsia"/>
                <w:b/>
                <w:sz w:val="21"/>
              </w:rPr>
            </w:pPr>
            <w:r>
              <w:rPr>
                <w:rFonts w:ascii="Microsoft JhengHei" w:eastAsia="Microsoft JhengHei" w:hint="eastAsia"/>
                <w:b/>
                <w:sz w:val="21"/>
              </w:rPr>
              <w:t>1. 极早期的恶性肿瘤或恶性病变</w:t>
            </w:r>
          </w:p>
        </w:tc>
        <w:tc>
          <w:tcPr>
            <w:tcW w:w="8032" w:type="dxa"/>
          </w:tcPr>
          <w:p>
            <w:pPr>
              <w:pStyle w:val="TableParagraph"/>
              <w:spacing w:before="102"/>
              <w:ind w:left="55"/>
              <w:jc w:val="both"/>
              <w:rPr>
                <w:sz w:val="21"/>
              </w:rPr>
            </w:pPr>
            <w:r>
              <w:rPr>
                <w:sz w:val="21"/>
              </w:rPr>
              <w:t>指经组织病理学检查被明确诊断为下列恶性病变，并且接受了相应的治疗。</w:t>
            </w:r>
          </w:p>
          <w:p>
            <w:pPr>
              <w:pStyle w:val="TableParagraph"/>
              <w:spacing w:before="36"/>
              <w:ind w:left="55"/>
              <w:jc w:val="both"/>
              <w:rPr>
                <w:sz w:val="21"/>
              </w:rPr>
            </w:pPr>
            <w:r>
              <w:rPr>
                <w:sz w:val="21"/>
              </w:rPr>
              <w:t>（1）原位癌</w:t>
            </w:r>
            <w:r>
              <w:rPr>
                <w:rFonts w:ascii="Times New Roman" w:eastAsia="Times New Roman"/>
                <w:sz w:val="21"/>
                <w:vertAlign w:val="superscript"/>
              </w:rPr>
              <w:t>*</w:t>
            </w:r>
            <w:r>
              <w:rPr>
                <w:rFonts w:ascii="Times New Roman" w:eastAsia="Times New Roman"/>
                <w:sz w:val="21"/>
                <w:vertAlign w:val="baseline"/>
              </w:rPr>
            </w:r>
            <w:r>
              <w:rPr>
                <w:sz w:val="21"/>
                <w:vertAlign w:val="baseline"/>
              </w:rPr>
              <w:t>；</w:t>
            </w:r>
          </w:p>
          <w:p>
            <w:pPr>
              <w:pStyle w:val="TableParagraph"/>
              <w:spacing w:before="21"/>
              <w:ind w:left="55"/>
              <w:jc w:val="both"/>
              <w:rPr>
                <w:sz w:val="21"/>
              </w:rPr>
            </w:pPr>
            <w:r>
              <w:rPr>
                <w:sz w:val="21"/>
              </w:rPr>
              <w:t>（2）</w:t>
            </w:r>
            <w:r>
              <w:rPr>
                <w:spacing w:val="-14"/>
                <w:sz w:val="21"/>
              </w:rPr>
              <w:t>相当于 </w:t>
            </w:r>
            <w:r>
              <w:rPr>
                <w:rFonts w:ascii="Arial" w:eastAsia="Arial"/>
                <w:sz w:val="21"/>
              </w:rPr>
              <w:t>Binet</w:t>
            </w:r>
            <w:r>
              <w:rPr>
                <w:rFonts w:ascii="Arial" w:eastAsia="Arial"/>
                <w:spacing w:val="55"/>
                <w:sz w:val="21"/>
              </w:rPr>
              <w:t> </w:t>
            </w:r>
            <w:r>
              <w:rPr>
                <w:spacing w:val="-12"/>
                <w:sz w:val="21"/>
              </w:rPr>
              <w:t>分期方案 </w:t>
            </w:r>
            <w:r>
              <w:rPr>
                <w:rFonts w:ascii="Arial" w:eastAsia="Arial"/>
                <w:sz w:val="21"/>
              </w:rPr>
              <w:t>A </w:t>
            </w:r>
            <w:r>
              <w:rPr>
                <w:spacing w:val="-3"/>
                <w:sz w:val="21"/>
              </w:rPr>
              <w:t>期程度的慢性淋巴细胞白血病；</w:t>
            </w:r>
          </w:p>
          <w:p>
            <w:pPr>
              <w:pStyle w:val="TableParagraph"/>
              <w:spacing w:line="287" w:lineRule="exact" w:before="23"/>
              <w:ind w:left="55"/>
              <w:jc w:val="both"/>
              <w:rPr>
                <w:sz w:val="21"/>
              </w:rPr>
            </w:pPr>
            <w:r>
              <w:rPr>
                <w:sz w:val="21"/>
              </w:rPr>
              <w:t>（3）</w:t>
            </w:r>
            <w:r>
              <w:rPr>
                <w:spacing w:val="-14"/>
                <w:sz w:val="21"/>
              </w:rPr>
              <w:t>相当于 </w:t>
            </w:r>
            <w:r>
              <w:rPr>
                <w:rFonts w:ascii="Arial" w:eastAsia="Arial"/>
                <w:sz w:val="21"/>
              </w:rPr>
              <w:t>Ann Arbor</w:t>
            </w:r>
            <w:r>
              <w:rPr>
                <w:rFonts w:ascii="Arial" w:eastAsia="Arial"/>
                <w:spacing w:val="50"/>
                <w:sz w:val="21"/>
              </w:rPr>
              <w:t> </w:t>
            </w:r>
            <w:r>
              <w:rPr>
                <w:spacing w:val="-11"/>
                <w:sz w:val="21"/>
              </w:rPr>
              <w:t>分期方案 </w:t>
            </w:r>
            <w:r>
              <w:rPr>
                <w:sz w:val="21"/>
              </w:rPr>
              <w:t>I</w:t>
            </w:r>
            <w:r>
              <w:rPr>
                <w:spacing w:val="-8"/>
                <w:sz w:val="21"/>
              </w:rPr>
              <w:t> 期程度的何杰金氏病；</w:t>
            </w:r>
          </w:p>
          <w:p>
            <w:pPr>
              <w:pStyle w:val="TableParagraph"/>
              <w:spacing w:line="310" w:lineRule="exact"/>
              <w:ind w:left="55"/>
              <w:jc w:val="both"/>
              <w:rPr>
                <w:sz w:val="21"/>
              </w:rPr>
            </w:pPr>
            <w:r>
              <w:rPr>
                <w:w w:val="100"/>
                <w:sz w:val="21"/>
              </w:rPr>
              <w:t>（4</w:t>
            </w:r>
            <w:r>
              <w:rPr>
                <w:spacing w:val="-3"/>
                <w:w w:val="100"/>
                <w:sz w:val="21"/>
              </w:rPr>
              <w:t>）</w:t>
            </w:r>
            <w:r>
              <w:rPr>
                <w:spacing w:val="-2"/>
                <w:w w:val="100"/>
                <w:sz w:val="21"/>
              </w:rPr>
              <w:t>皮肤癌</w:t>
            </w:r>
            <w:r>
              <w:rPr>
                <w:rFonts w:ascii="黑体" w:eastAsia="黑体" w:hint="eastAsia"/>
                <w:sz w:val="24"/>
              </w:rPr>
              <w:t>（</w:t>
            </w:r>
            <w:r>
              <w:rPr>
                <w:rFonts w:ascii="黑体" w:eastAsia="黑体" w:hint="eastAsia"/>
                <w:spacing w:val="-1"/>
                <w:sz w:val="24"/>
              </w:rPr>
              <w:t>不包括恶性黑色素瘤及已发</w:t>
            </w:r>
            <w:r>
              <w:rPr>
                <w:rFonts w:ascii="黑体" w:eastAsia="黑体" w:hint="eastAsia"/>
                <w:sz w:val="24"/>
              </w:rPr>
              <w:t>Th转移的皮肤癌</w:t>
            </w:r>
            <w:r>
              <w:rPr>
                <w:rFonts w:ascii="黑体" w:eastAsia="黑体" w:hint="eastAsia"/>
                <w:spacing w:val="-119"/>
                <w:sz w:val="24"/>
              </w:rPr>
              <w:t>）</w:t>
            </w:r>
            <w:r>
              <w:rPr>
                <w:w w:val="100"/>
                <w:sz w:val="21"/>
              </w:rPr>
              <w:t>；</w:t>
            </w:r>
          </w:p>
          <w:p>
            <w:pPr>
              <w:pStyle w:val="TableParagraph"/>
              <w:spacing w:line="323" w:lineRule="exact"/>
              <w:ind w:left="55"/>
              <w:jc w:val="both"/>
              <w:rPr>
                <w:sz w:val="21"/>
              </w:rPr>
            </w:pPr>
            <w:r>
              <w:rPr>
                <w:position w:val="2"/>
                <w:sz w:val="21"/>
              </w:rPr>
              <w:t>（5）</w:t>
            </w:r>
            <w:r>
              <w:rPr>
                <w:rFonts w:ascii="Arial" w:eastAsia="Arial"/>
                <w:position w:val="2"/>
                <w:sz w:val="21"/>
              </w:rPr>
              <w:t>TNM </w:t>
            </w:r>
            <w:r>
              <w:rPr>
                <w:position w:val="2"/>
                <w:sz w:val="21"/>
              </w:rPr>
              <w:t>分期为 </w:t>
            </w:r>
            <w:r>
              <w:rPr>
                <w:rFonts w:ascii="黑体" w:eastAsia="黑体" w:hint="eastAsia"/>
                <w:position w:val="2"/>
                <w:sz w:val="24"/>
              </w:rPr>
              <w:t>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position w:val="2"/>
                <w:sz w:val="21"/>
              </w:rPr>
              <w:t>期或更轻分期的前列腺癌。</w:t>
            </w:r>
          </w:p>
          <w:p>
            <w:pPr>
              <w:pStyle w:val="TableParagraph"/>
              <w:spacing w:before="16"/>
              <w:ind w:left="55"/>
              <w:jc w:val="both"/>
              <w:rPr>
                <w:sz w:val="21"/>
              </w:rPr>
            </w:pPr>
            <w:r>
              <w:rPr>
                <w:position w:val="11"/>
                <w:sz w:val="11"/>
              </w:rPr>
              <w:t>*</w:t>
            </w:r>
            <w:r>
              <w:rPr>
                <w:sz w:val="21"/>
              </w:rPr>
              <w:t>原位癌</w:t>
            </w:r>
          </w:p>
          <w:p>
            <w:pPr>
              <w:pStyle w:val="TableParagraph"/>
              <w:spacing w:line="273" w:lineRule="auto" w:before="37"/>
              <w:ind w:left="55" w:right="281"/>
              <w:jc w:val="both"/>
              <w:rPr>
                <w:sz w:val="21"/>
              </w:rPr>
            </w:pPr>
            <w:r>
              <w:rPr>
                <w:spacing w:val="-6"/>
                <w:sz w:val="21"/>
              </w:rPr>
              <w:t>指恶性细胞局限于上皮内尚未穿破基底膜浸润周围正常组织的癌细胞新生物。原位癌</w:t>
            </w:r>
            <w:r>
              <w:rPr>
                <w:spacing w:val="-8"/>
                <w:sz w:val="21"/>
              </w:rPr>
              <w:t>必须经对固定活组织的组织病理学检查明确诊断。被保险人必须己经接受了针对原位</w:t>
            </w:r>
            <w:r>
              <w:rPr>
                <w:spacing w:val="-5"/>
                <w:sz w:val="21"/>
              </w:rPr>
              <w:t>癌病灶的积极治疗。</w:t>
            </w:r>
          </w:p>
        </w:tc>
      </w:tr>
      <w:tr>
        <w:trPr>
          <w:trHeight w:val="1047" w:hRule="atLeast"/>
        </w:trPr>
        <w:tc>
          <w:tcPr>
            <w:tcW w:w="2096" w:type="dxa"/>
          </w:tcPr>
          <w:p>
            <w:pPr>
              <w:pStyle w:val="TableParagraph"/>
              <w:tabs>
                <w:tab w:pos="727" w:val="left" w:leader="none"/>
              </w:tabs>
              <w:spacing w:line="199" w:lineRule="auto" w:before="132"/>
              <w:ind w:left="727" w:right="312" w:hanging="420"/>
              <w:rPr>
                <w:rFonts w:ascii="Microsoft JhengHei" w:eastAsia="Microsoft JhengHei" w:hint="eastAsia"/>
                <w:b/>
                <w:sz w:val="21"/>
              </w:rPr>
            </w:pPr>
            <w:r>
              <w:rPr>
                <w:b/>
                <w:sz w:val="21"/>
              </w:rPr>
              <w:t>2.</w:t>
              <w:tab/>
            </w:r>
            <w:r>
              <w:rPr>
                <w:rFonts w:ascii="Microsoft JhengHei" w:eastAsia="Microsoft JhengHei" w:hint="eastAsia"/>
                <w:b/>
                <w:spacing w:val="-1"/>
                <w:sz w:val="21"/>
              </w:rPr>
              <w:t>不典型的急 性心ft</w:t>
            </w:r>
            <w:r>
              <w:rPr>
                <w:rFonts w:ascii="Microsoft JhengHei" w:eastAsia="Microsoft JhengHei" w:hint="eastAsia"/>
                <w:b/>
                <w:sz w:val="21"/>
              </w:rPr>
              <w:t>梗塞</w:t>
            </w:r>
          </w:p>
        </w:tc>
        <w:tc>
          <w:tcPr>
            <w:tcW w:w="8032" w:type="dxa"/>
          </w:tcPr>
          <w:p>
            <w:pPr>
              <w:pStyle w:val="TableParagraph"/>
              <w:spacing w:line="273" w:lineRule="auto" w:before="148"/>
              <w:ind w:left="55" w:right="281"/>
              <w:rPr>
                <w:sz w:val="21"/>
              </w:rPr>
            </w:pPr>
            <w:r>
              <w:rPr>
                <w:spacing w:val="-7"/>
                <w:sz w:val="21"/>
              </w:rPr>
              <w:t>指被临床诊断为急性心肌梗塞并接受了急性心肌梗塞治疗，虽然未达到重大疾病“急</w:t>
            </w:r>
            <w:r>
              <w:rPr>
                <w:spacing w:val="-5"/>
                <w:sz w:val="21"/>
              </w:rPr>
              <w:t>性心肌梗塞”的给付标准，但满足下列至少两项条件：</w:t>
            </w:r>
          </w:p>
          <w:p>
            <w:pPr>
              <w:pStyle w:val="TableParagraph"/>
              <w:spacing w:line="255" w:lineRule="exact" w:before="7"/>
              <w:ind w:left="55"/>
              <w:rPr>
                <w:sz w:val="21"/>
              </w:rPr>
            </w:pPr>
            <w:r>
              <w:rPr>
                <w:sz w:val="21"/>
              </w:rPr>
              <w:t>（1）典型临床表现，例如急性胸痛等；</w:t>
            </w:r>
          </w:p>
        </w:tc>
      </w:tr>
    </w:tbl>
    <w:p>
      <w:pPr>
        <w:spacing w:after="0" w:line="255" w:lineRule="exact"/>
        <w:rPr>
          <w:sz w:val="21"/>
        </w:rPr>
        <w:sectPr>
          <w:pgSz w:w="11910" w:h="16840"/>
          <w:pgMar w:header="0" w:footer="593" w:top="1180" w:bottom="780" w:left="82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8103"/>
      </w:tblGrid>
      <w:tr>
        <w:trPr>
          <w:trHeight w:val="1004" w:hRule="atLeast"/>
        </w:trPr>
        <w:tc>
          <w:tcPr>
            <w:tcW w:w="1936" w:type="dxa"/>
          </w:tcPr>
          <w:p>
            <w:pPr>
              <w:pStyle w:val="TableParagraph"/>
              <w:ind w:left="0"/>
              <w:rPr>
                <w:rFonts w:ascii="Times New Roman"/>
                <w:sz w:val="20"/>
              </w:rPr>
            </w:pPr>
          </w:p>
        </w:tc>
        <w:tc>
          <w:tcPr>
            <w:tcW w:w="8103" w:type="dxa"/>
          </w:tcPr>
          <w:p>
            <w:pPr>
              <w:pStyle w:val="TableParagraph"/>
              <w:spacing w:line="211" w:lineRule="exact"/>
              <w:ind w:left="107"/>
              <w:rPr>
                <w:sz w:val="21"/>
              </w:rPr>
            </w:pPr>
            <w:r>
              <w:rPr>
                <w:sz w:val="21"/>
              </w:rPr>
              <w:t>（2）新近的心电图改变提示急性心肌梗塞；</w:t>
            </w:r>
          </w:p>
          <w:p>
            <w:pPr>
              <w:pStyle w:val="TableParagraph"/>
              <w:spacing w:before="37"/>
              <w:ind w:left="107"/>
              <w:rPr>
                <w:sz w:val="21"/>
              </w:rPr>
            </w:pPr>
            <w:r>
              <w:rPr>
                <w:sz w:val="21"/>
              </w:rPr>
              <w:t>（3）心肌酶或肌钙蛋白有诊断意义的升高，或呈符合急性心肌梗塞的动态性变化；</w:t>
            </w:r>
          </w:p>
          <w:p>
            <w:pPr>
              <w:pStyle w:val="TableParagraph"/>
              <w:spacing w:before="37"/>
              <w:ind w:left="107"/>
              <w:rPr>
                <w:sz w:val="21"/>
              </w:rPr>
            </w:pPr>
            <w:r>
              <w:rPr>
                <w:sz w:val="21"/>
              </w:rPr>
              <w:t>（4）发病90日后，经检查证实左心室功能降低，如左心室射血分数低于</w:t>
            </w:r>
            <w:r>
              <w:rPr>
                <w:rFonts w:ascii="Times New Roman" w:eastAsia="Times New Roman"/>
                <w:sz w:val="21"/>
              </w:rPr>
              <w:t>50%</w:t>
            </w:r>
            <w:r>
              <w:rPr>
                <w:sz w:val="21"/>
              </w:rPr>
              <w:t>。</w:t>
            </w:r>
          </w:p>
        </w:tc>
      </w:tr>
      <w:tr>
        <w:trPr>
          <w:trHeight w:val="1467" w:hRule="atLeast"/>
        </w:trPr>
        <w:tc>
          <w:tcPr>
            <w:tcW w:w="1936" w:type="dxa"/>
          </w:tcPr>
          <w:p>
            <w:pPr>
              <w:pStyle w:val="TableParagraph"/>
              <w:tabs>
                <w:tab w:pos="619" w:val="left" w:leader="none"/>
              </w:tabs>
              <w:spacing w:line="204" w:lineRule="auto" w:before="64"/>
              <w:ind w:left="619" w:right="260" w:hanging="42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中度类风湿 </w:t>
            </w:r>
            <w:r>
              <w:rPr>
                <w:rFonts w:ascii="Microsoft JhengHei" w:eastAsia="Microsoft JhengHei" w:hint="eastAsia"/>
                <w:b/>
                <w:spacing w:val="-2"/>
                <w:sz w:val="21"/>
              </w:rPr>
              <w:t>性关节炎</w:t>
            </w:r>
          </w:p>
        </w:tc>
        <w:tc>
          <w:tcPr>
            <w:tcW w:w="8103" w:type="dxa"/>
          </w:tcPr>
          <w:p>
            <w:pPr>
              <w:pStyle w:val="TableParagraph"/>
              <w:spacing w:line="273" w:lineRule="auto" w:before="96"/>
              <w:ind w:left="107" w:right="300"/>
              <w:jc w:val="both"/>
              <w:rPr>
                <w:sz w:val="21"/>
              </w:rPr>
            </w:pPr>
            <w:r>
              <w:rPr>
                <w:spacing w:val="-7"/>
                <w:sz w:val="21"/>
              </w:rPr>
              <w:t>类风湿性关节炎为广泛分布的慢性进行性多关节病变，表现为关节严重变形，侵犯两</w:t>
            </w:r>
            <w:r>
              <w:rPr>
                <w:spacing w:val="-6"/>
                <w:sz w:val="21"/>
              </w:rPr>
              <w:t>个主要关节或关节组(如：双手</w:t>
            </w:r>
            <w:r>
              <w:rPr>
                <w:sz w:val="21"/>
              </w:rPr>
              <w:t>（</w:t>
            </w:r>
            <w:r>
              <w:rPr>
                <w:spacing w:val="-1"/>
                <w:sz w:val="21"/>
              </w:rPr>
              <w:t>多手指</w:t>
            </w:r>
            <w:r>
              <w:rPr>
                <w:sz w:val="21"/>
              </w:rPr>
              <w:t>）</w:t>
            </w:r>
            <w:r>
              <w:rPr>
                <w:spacing w:val="-2"/>
                <w:sz w:val="21"/>
              </w:rPr>
              <w:t>关节、双足</w:t>
            </w:r>
            <w:r>
              <w:rPr>
                <w:sz w:val="21"/>
              </w:rPr>
              <w:t>（多足趾</w:t>
            </w:r>
            <w:r>
              <w:rPr>
                <w:spacing w:val="-3"/>
                <w:sz w:val="21"/>
              </w:rPr>
              <w:t>）</w:t>
            </w:r>
            <w:r>
              <w:rPr>
                <w:spacing w:val="-2"/>
                <w:sz w:val="21"/>
              </w:rPr>
              <w:t>关节、双腕关节、</w:t>
            </w:r>
            <w:r>
              <w:rPr>
                <w:spacing w:val="-5"/>
                <w:sz w:val="21"/>
              </w:rPr>
              <w:t>双膝关节和双髋关节)。且被保人满足至少 </w:t>
            </w:r>
            <w:r>
              <w:rPr>
                <w:sz w:val="21"/>
              </w:rPr>
              <w:t>180</w:t>
            </w:r>
            <w:r>
              <w:rPr>
                <w:spacing w:val="-7"/>
                <w:sz w:val="21"/>
              </w:rPr>
              <w:t> 天无法独立完成</w:t>
            </w:r>
            <w:r>
              <w:rPr>
                <w:b/>
                <w:spacing w:val="-1"/>
                <w:sz w:val="21"/>
              </w:rPr>
              <w:t>六项基本日常生活活动</w:t>
            </w:r>
            <w:r>
              <w:rPr>
                <w:spacing w:val="-3"/>
                <w:sz w:val="21"/>
              </w:rPr>
              <w:t>中的两项。</w:t>
            </w:r>
          </w:p>
        </w:tc>
      </w:tr>
      <w:tr>
        <w:trPr>
          <w:trHeight w:val="1793" w:hRule="atLeast"/>
        </w:trPr>
        <w:tc>
          <w:tcPr>
            <w:tcW w:w="1936" w:type="dxa"/>
          </w:tcPr>
          <w:p>
            <w:pPr>
              <w:pStyle w:val="TableParagraph"/>
              <w:tabs>
                <w:tab w:pos="619" w:val="left" w:leader="none"/>
              </w:tabs>
              <w:spacing w:before="18"/>
              <w:ind w:left="20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轻微脑中风</w:t>
            </w:r>
          </w:p>
        </w:tc>
        <w:tc>
          <w:tcPr>
            <w:tcW w:w="8103" w:type="dxa"/>
          </w:tcPr>
          <w:p>
            <w:pPr>
              <w:pStyle w:val="TableParagraph"/>
              <w:spacing w:line="266" w:lineRule="auto" w:before="104"/>
              <w:ind w:left="107" w:right="197"/>
              <w:rPr>
                <w:sz w:val="21"/>
              </w:rPr>
            </w:pPr>
            <w:r>
              <w:rPr>
                <w:spacing w:val="-3"/>
                <w:w w:val="100"/>
                <w:sz w:val="21"/>
              </w:rPr>
              <w:t>指实际发生了脑血管的突发病变出现神经系统功能障碍表现，头颅断层扫描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7"/>
                <w:sz w:val="21"/>
              </w:rPr>
              <w:t>核磁共振</w:t>
            </w:r>
            <w:r>
              <w:rPr>
                <w:spacing w:val="-6"/>
                <w:sz w:val="21"/>
              </w:rPr>
              <w:t>（MRI）等影像学检查证实存在对应病灶，确诊为脑出血、脑栓塞或脑梗塞， </w:t>
            </w:r>
            <w:r>
              <w:rPr>
                <w:spacing w:val="6"/>
                <w:sz w:val="21"/>
              </w:rPr>
              <w:t>在确诊</w:t>
            </w:r>
            <w:r>
              <w:rPr>
                <w:sz w:val="21"/>
              </w:rPr>
              <w:t>180</w:t>
            </w:r>
            <w:r>
              <w:rPr>
                <w:spacing w:val="-8"/>
                <w:sz w:val="21"/>
              </w:rPr>
              <w:t> 日后仍然遗留一肢或一肢以上肢体肌力</w:t>
            </w:r>
            <w:r>
              <w:rPr>
                <w:sz w:val="21"/>
              </w:rPr>
              <w:t>III</w:t>
            </w:r>
            <w:r>
              <w:rPr>
                <w:spacing w:val="-9"/>
                <w:sz w:val="21"/>
              </w:rPr>
              <w:t> 级或</w:t>
            </w:r>
            <w:r>
              <w:rPr>
                <w:sz w:val="21"/>
              </w:rPr>
              <w:t>III</w:t>
            </w:r>
            <w:r>
              <w:rPr>
                <w:spacing w:val="-9"/>
                <w:sz w:val="21"/>
              </w:rPr>
              <w:t> 级以下的运动功能障碍。</w:t>
            </w:r>
          </w:p>
          <w:p>
            <w:pPr>
              <w:pStyle w:val="TableParagraph"/>
              <w:spacing w:line="301" w:lineRule="exact"/>
              <w:ind w:left="107"/>
              <w:rPr>
                <w:rFonts w:ascii="黑体" w:eastAsia="黑体" w:hint="eastAsia"/>
                <w:sz w:val="24"/>
              </w:rPr>
            </w:pPr>
            <w:r>
              <w:rPr>
                <w:rFonts w:ascii="黑体" w:eastAsia="黑体" w:hint="eastAsia"/>
                <w:sz w:val="24"/>
              </w:rPr>
              <w:t>短暂性脑缺血发作(TIA) 和腔隙性脑梗塞不在保障范围内。</w:t>
            </w:r>
          </w:p>
        </w:tc>
      </w:tr>
      <w:tr>
        <w:trPr>
          <w:trHeight w:val="845" w:hRule="atLeast"/>
        </w:trPr>
        <w:tc>
          <w:tcPr>
            <w:tcW w:w="1936" w:type="dxa"/>
          </w:tcPr>
          <w:p>
            <w:pPr>
              <w:pStyle w:val="TableParagraph"/>
              <w:tabs>
                <w:tab w:pos="619" w:val="left" w:leader="none"/>
              </w:tabs>
              <w:spacing w:line="204" w:lineRule="auto" w:before="66"/>
              <w:ind w:left="619" w:right="260"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心脏瓣膜介 入手术</w:t>
            </w:r>
          </w:p>
        </w:tc>
        <w:tc>
          <w:tcPr>
            <w:tcW w:w="8103" w:type="dxa"/>
          </w:tcPr>
          <w:p>
            <w:pPr>
              <w:pStyle w:val="TableParagraph"/>
              <w:spacing w:line="273" w:lineRule="auto" w:before="97"/>
              <w:ind w:left="107" w:right="300"/>
              <w:rPr>
                <w:sz w:val="21"/>
              </w:rPr>
            </w:pPr>
            <w:r>
              <w:rPr>
                <w:spacing w:val="-11"/>
                <w:sz w:val="21"/>
              </w:rPr>
              <w:t>为了治疗心脏瓣膜疾病，实际实施了非开胸的经胸壁打孔内镜手术或经皮经导管介入</w:t>
            </w:r>
            <w:r>
              <w:rPr>
                <w:spacing w:val="-6"/>
                <w:sz w:val="21"/>
              </w:rPr>
              <w:t>手术进行的心脏瓣膜置换或修复手术。</w:t>
            </w:r>
          </w:p>
        </w:tc>
      </w:tr>
      <w:tr>
        <w:trPr>
          <w:trHeight w:val="2416" w:hRule="atLeast"/>
        </w:trPr>
        <w:tc>
          <w:tcPr>
            <w:tcW w:w="1936" w:type="dxa"/>
          </w:tcPr>
          <w:p>
            <w:pPr>
              <w:pStyle w:val="TableParagraph"/>
              <w:tabs>
                <w:tab w:pos="619" w:val="left" w:leader="none"/>
              </w:tabs>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 损</w:t>
            </w:r>
          </w:p>
        </w:tc>
        <w:tc>
          <w:tcPr>
            <w:tcW w:w="8103" w:type="dxa"/>
          </w:tcPr>
          <w:p>
            <w:pPr>
              <w:pStyle w:val="TableParagraph"/>
              <w:spacing w:line="273" w:lineRule="auto" w:before="103"/>
              <w:ind w:left="107" w:right="300"/>
              <w:rPr>
                <w:sz w:val="21"/>
              </w:rPr>
            </w:pPr>
            <w:r>
              <w:rPr>
                <w:spacing w:val="-7"/>
                <w:sz w:val="21"/>
              </w:rPr>
              <w:t>指因疾病或意外伤害导致双目视力永久不可逆性丧失，虽然未达到重大疾病“双目失</w:t>
            </w:r>
            <w:r>
              <w:rPr>
                <w:spacing w:val="-5"/>
                <w:sz w:val="21"/>
              </w:rPr>
              <w:t>明”的给付标准，但满足下列全部条件：</w:t>
            </w:r>
          </w:p>
          <w:p>
            <w:pPr>
              <w:pStyle w:val="TableParagraph"/>
              <w:spacing w:line="256" w:lineRule="auto" w:before="7"/>
              <w:ind w:left="107" w:right="300" w:firstLine="105"/>
              <w:rPr>
                <w:sz w:val="21"/>
              </w:rPr>
            </w:pPr>
            <w:r>
              <w:rPr>
                <w:sz w:val="21"/>
              </w:rPr>
              <w:t>（</w:t>
            </w:r>
            <w:r>
              <w:rPr>
                <w:rFonts w:ascii="Times New Roman" w:eastAsia="Times New Roman"/>
                <w:sz w:val="21"/>
              </w:rPr>
              <w:t>1</w:t>
            </w:r>
            <w:r>
              <w:rPr>
                <w:sz w:val="21"/>
              </w:rPr>
              <w:t>）</w:t>
            </w:r>
            <w:r>
              <w:rPr>
                <w:spacing w:val="-4"/>
                <w:sz w:val="21"/>
              </w:rPr>
              <w:t>双眼中较好眼矫正视力低于 </w:t>
            </w:r>
            <w:r>
              <w:rPr>
                <w:rFonts w:ascii="Times New Roman" w:eastAsia="Times New Roman"/>
                <w:sz w:val="21"/>
              </w:rPr>
              <w:t>0.1</w:t>
            </w:r>
            <w:r>
              <w:rPr>
                <w:sz w:val="21"/>
              </w:rPr>
              <w:t>（</w:t>
            </w:r>
            <w:r>
              <w:rPr>
                <w:spacing w:val="-3"/>
                <w:sz w:val="21"/>
              </w:rPr>
              <w:t>采用国际标准视力表，如果使用其他视力表</w:t>
            </w:r>
            <w:r>
              <w:rPr>
                <w:spacing w:val="-3"/>
                <w:w w:val="100"/>
                <w:sz w:val="21"/>
              </w:rPr>
              <w:t>应进行换算</w:t>
            </w:r>
            <w:r>
              <w:rPr>
                <w:spacing w:val="-106"/>
                <w:w w:val="100"/>
                <w:sz w:val="21"/>
              </w:rPr>
              <w:t>）</w:t>
            </w:r>
            <w:r>
              <w:rPr>
                <w:w w:val="100"/>
                <w:sz w:val="21"/>
              </w:rPr>
              <w:t>；</w:t>
            </w:r>
          </w:p>
          <w:p>
            <w:pPr>
              <w:pStyle w:val="TableParagraph"/>
              <w:spacing w:line="287" w:lineRule="exact" w:before="22"/>
              <w:ind w:left="212"/>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line="237" w:lineRule="auto"/>
              <w:ind w:left="107" w:right="305"/>
              <w:rPr>
                <w:rFonts w:ascii="黑体" w:eastAsia="黑体" w:hint="eastAsia"/>
                <w:sz w:val="24"/>
              </w:rPr>
            </w:pPr>
            <w:r>
              <w:rPr>
                <w:rFonts w:ascii="黑体" w:eastAsia="黑体" w:hint="eastAsia"/>
                <w:spacing w:val="-4"/>
                <w:sz w:val="24"/>
              </w:rPr>
              <w:t>申请理赔时，被保险人年龄必须在 </w:t>
            </w:r>
            <w:r>
              <w:rPr>
                <w:rFonts w:ascii="黑体" w:eastAsia="黑体" w:hint="eastAsia"/>
                <w:sz w:val="24"/>
              </w:rPr>
              <w:t>3</w:t>
            </w:r>
            <w:r>
              <w:rPr>
                <w:rFonts w:ascii="黑体" w:eastAsia="黑体" w:hint="eastAsia"/>
                <w:spacing w:val="-8"/>
                <w:sz w:val="24"/>
              </w:rPr>
              <w:t> 周岁以上，并且须提供理赔当时的视力丧失诊断及检查证据。</w:t>
            </w:r>
          </w:p>
        </w:tc>
      </w:tr>
      <w:tr>
        <w:trPr>
          <w:trHeight w:val="1477" w:hRule="atLeast"/>
        </w:trPr>
        <w:tc>
          <w:tcPr>
            <w:tcW w:w="1936" w:type="dxa"/>
          </w:tcPr>
          <w:p>
            <w:pPr>
              <w:pStyle w:val="TableParagraph"/>
              <w:tabs>
                <w:tab w:pos="619" w:val="left" w:leader="none"/>
              </w:tabs>
              <w:spacing w:line="204" w:lineRule="auto" w:before="66"/>
              <w:ind w:left="619" w:right="231"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2"/>
                <w:sz w:val="21"/>
              </w:rPr>
              <w:t>较小面积 </w:t>
            </w:r>
            <w:r>
              <w:rPr>
                <w:rFonts w:ascii="Microsoft JhengHei" w:eastAsia="Microsoft JhengHei" w:hint="eastAsia"/>
                <w:b/>
                <w:sz w:val="21"/>
              </w:rPr>
              <w:t>III度烧伤</w:t>
            </w:r>
          </w:p>
        </w:tc>
        <w:tc>
          <w:tcPr>
            <w:tcW w:w="8103" w:type="dxa"/>
          </w:tcPr>
          <w:p>
            <w:pPr>
              <w:pStyle w:val="TableParagraph"/>
              <w:spacing w:line="273" w:lineRule="auto" w:before="97"/>
              <w:ind w:left="107" w:right="303"/>
              <w:rPr>
                <w:sz w:val="21"/>
              </w:rPr>
            </w:pPr>
            <w:r>
              <w:rPr>
                <w:spacing w:val="-9"/>
                <w:sz w:val="21"/>
              </w:rPr>
              <w:t>指烧伤程度为Ⅲ度，即全层皮肤烧伤，包括表皮、真皮和皮下组织，且理赔时须达到</w:t>
            </w:r>
            <w:r>
              <w:rPr>
                <w:spacing w:val="-5"/>
                <w:sz w:val="21"/>
              </w:rPr>
              <w:t>下列条件之一：</w:t>
            </w:r>
          </w:p>
          <w:p>
            <w:pPr>
              <w:pStyle w:val="TableParagraph"/>
              <w:spacing w:before="7"/>
              <w:ind w:left="107"/>
              <w:rPr>
                <w:sz w:val="21"/>
              </w:rPr>
            </w:pPr>
            <w:r>
              <w:rPr>
                <w:sz w:val="21"/>
              </w:rPr>
              <w:t>（</w:t>
            </w:r>
            <w:r>
              <w:rPr>
                <w:rFonts w:ascii="Times New Roman" w:hAnsi="Times New Roman" w:eastAsia="Times New Roman"/>
                <w:sz w:val="21"/>
              </w:rPr>
              <w:t>1</w:t>
            </w:r>
            <w:r>
              <w:rPr>
                <w:sz w:val="21"/>
              </w:rPr>
              <w:t>）Ⅲ度烧伤的面积达到全身体表面积的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％以上；</w:t>
            </w:r>
          </w:p>
          <w:p>
            <w:pPr>
              <w:pStyle w:val="TableParagraph"/>
              <w:spacing w:before="21"/>
              <w:ind w:left="107"/>
              <w:rPr>
                <w:sz w:val="21"/>
              </w:rPr>
            </w:pPr>
            <w:r>
              <w:rPr>
                <w:sz w:val="21"/>
              </w:rPr>
              <w:t>（</w:t>
            </w:r>
            <w:r>
              <w:rPr>
                <w:rFonts w:ascii="Times New Roman" w:hAnsi="Times New Roman" w:eastAsia="Times New Roman"/>
                <w:sz w:val="21"/>
              </w:rPr>
              <w:t>2</w:t>
            </w:r>
            <w:r>
              <w:rPr>
                <w:sz w:val="21"/>
              </w:rPr>
              <w:t>）面部Ⅲ度烧伤的面积达到面部表面积的 </w:t>
            </w:r>
            <w:r>
              <w:rPr>
                <w:rFonts w:ascii="Times New Roman" w:hAnsi="Times New Roman" w:eastAsia="Times New Roman"/>
                <w:sz w:val="21"/>
              </w:rPr>
              <w:t>3/5 </w:t>
            </w:r>
            <w:r>
              <w:rPr>
                <w:sz w:val="21"/>
              </w:rPr>
              <w:t>或全身体表面积的 </w:t>
            </w:r>
            <w:r>
              <w:rPr>
                <w:rFonts w:ascii="Times New Roman" w:hAnsi="Times New Roman" w:eastAsia="Times New Roman"/>
                <w:sz w:val="21"/>
              </w:rPr>
              <w:t>1.8%</w:t>
            </w:r>
            <w:r>
              <w:rPr>
                <w:sz w:val="21"/>
              </w:rPr>
              <w:t>。</w:t>
            </w:r>
          </w:p>
        </w:tc>
      </w:tr>
      <w:tr>
        <w:trPr>
          <w:trHeight w:val="844" w:hRule="atLeast"/>
        </w:trPr>
        <w:tc>
          <w:tcPr>
            <w:tcW w:w="1936" w:type="dxa"/>
          </w:tcPr>
          <w:p>
            <w:pPr>
              <w:pStyle w:val="TableParagraph"/>
              <w:tabs>
                <w:tab w:pos="619" w:val="left" w:leader="none"/>
              </w:tabs>
              <w:spacing w:line="204" w:lineRule="auto" w:before="64"/>
              <w:ind w:left="619" w:right="260"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主动脉内手 术</w:t>
            </w:r>
          </w:p>
        </w:tc>
        <w:tc>
          <w:tcPr>
            <w:tcW w:w="8103" w:type="dxa"/>
          </w:tcPr>
          <w:p>
            <w:pPr>
              <w:pStyle w:val="TableParagraph"/>
              <w:spacing w:line="273" w:lineRule="auto" w:before="96"/>
              <w:ind w:left="107" w:right="300"/>
              <w:rPr>
                <w:sz w:val="21"/>
              </w:rPr>
            </w:pPr>
            <w:r>
              <w:rPr>
                <w:spacing w:val="-6"/>
                <w:sz w:val="21"/>
              </w:rPr>
              <w:t>为了治疗主动脉疾病实际实施了经皮经导管进行的动脉内手术。主动脉指胸主动脉和</w:t>
            </w:r>
            <w:r>
              <w:rPr>
                <w:spacing w:val="-4"/>
                <w:sz w:val="21"/>
              </w:rPr>
              <w:t>腹主动脉，不包括胸主动脉和腹主动脉的分支血管。</w:t>
            </w:r>
          </w:p>
        </w:tc>
      </w:tr>
      <w:tr>
        <w:trPr>
          <w:trHeight w:val="2416" w:hRule="atLeast"/>
        </w:trPr>
        <w:tc>
          <w:tcPr>
            <w:tcW w:w="1936" w:type="dxa"/>
          </w:tcPr>
          <w:p>
            <w:pPr>
              <w:pStyle w:val="TableParagraph"/>
              <w:tabs>
                <w:tab w:pos="619" w:val="left" w:leader="none"/>
              </w:tabs>
              <w:spacing w:line="204" w:lineRule="auto" w:before="72"/>
              <w:ind w:left="619" w:right="104" w:hanging="42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0"/>
                <w:sz w:val="21"/>
              </w:rPr>
              <w:t>脑垂体瘤、脑 </w:t>
            </w:r>
            <w:r>
              <w:rPr>
                <w:rFonts w:ascii="Microsoft JhengHei" w:eastAsia="Microsoft JhengHei" w:hint="eastAsia"/>
                <w:b/>
                <w:spacing w:val="-15"/>
                <w:sz w:val="21"/>
              </w:rPr>
              <w:t>囊肿、脑动脉</w:t>
            </w:r>
            <w:r>
              <w:rPr>
                <w:rFonts w:ascii="Microsoft JhengHei" w:eastAsia="Microsoft JhengHei" w:hint="eastAsia"/>
                <w:b/>
                <w:spacing w:val="-8"/>
                <w:sz w:val="21"/>
              </w:rPr>
              <w:t>瘤及脑血管瘤</w:t>
            </w:r>
          </w:p>
        </w:tc>
        <w:tc>
          <w:tcPr>
            <w:tcW w:w="8103" w:type="dxa"/>
          </w:tcPr>
          <w:p>
            <w:pPr>
              <w:pStyle w:val="TableParagraph"/>
              <w:spacing w:line="256" w:lineRule="auto" w:before="103"/>
              <w:ind w:left="107" w:right="288"/>
              <w:rPr>
                <w:sz w:val="21"/>
              </w:rPr>
            </w:pPr>
            <w:r>
              <w:rPr>
                <w:spacing w:val="-3"/>
                <w:w w:val="100"/>
                <w:sz w:val="21"/>
              </w:rPr>
              <w:t>指经头颅断层扫描（</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2"/>
                <w:w w:val="100"/>
                <w:sz w:val="21"/>
              </w:rPr>
              <w:t>、核磁共振</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22"/>
              <w:ind w:left="107"/>
              <w:rPr>
                <w:sz w:val="21"/>
              </w:rPr>
            </w:pPr>
            <w:r>
              <w:rPr>
                <w:sz w:val="21"/>
              </w:rPr>
              <w:t>（</w:t>
            </w:r>
            <w:r>
              <w:rPr>
                <w:rFonts w:ascii="Times New Roman" w:eastAsia="Times New Roman"/>
                <w:sz w:val="21"/>
              </w:rPr>
              <w:t>1</w:t>
            </w:r>
            <w:r>
              <w:rPr>
                <w:sz w:val="21"/>
              </w:rPr>
              <w:t>）脑垂体瘤；</w:t>
            </w:r>
          </w:p>
          <w:p>
            <w:pPr>
              <w:pStyle w:val="TableParagraph"/>
              <w:spacing w:before="22"/>
              <w:ind w:left="107"/>
              <w:rPr>
                <w:sz w:val="21"/>
              </w:rPr>
            </w:pPr>
            <w:r>
              <w:rPr>
                <w:sz w:val="21"/>
              </w:rPr>
              <w:t>（</w:t>
            </w:r>
            <w:r>
              <w:rPr>
                <w:rFonts w:ascii="Times New Roman" w:eastAsia="Times New Roman"/>
                <w:sz w:val="21"/>
              </w:rPr>
              <w:t>2</w:t>
            </w:r>
            <w:r>
              <w:rPr>
                <w:sz w:val="21"/>
              </w:rPr>
              <w:t>）脑囊肿；</w:t>
            </w:r>
          </w:p>
          <w:p>
            <w:pPr>
              <w:pStyle w:val="TableParagraph"/>
              <w:spacing w:line="287" w:lineRule="exact" w:before="21"/>
              <w:ind w:left="107"/>
              <w:rPr>
                <w:sz w:val="21"/>
              </w:rPr>
            </w:pPr>
            <w:r>
              <w:rPr>
                <w:sz w:val="21"/>
              </w:rPr>
              <w:t>（</w:t>
            </w:r>
            <w:r>
              <w:rPr>
                <w:rFonts w:ascii="Times New Roman" w:eastAsia="Times New Roman"/>
                <w:sz w:val="21"/>
              </w:rPr>
              <w:t>3</w:t>
            </w:r>
            <w:r>
              <w:rPr>
                <w:sz w:val="21"/>
              </w:rPr>
              <w:t>）脑动脉瘤、脑血管瘤。</w:t>
            </w:r>
          </w:p>
          <w:p>
            <w:pPr>
              <w:pStyle w:val="TableParagraph"/>
              <w:spacing w:line="237" w:lineRule="auto"/>
              <w:ind w:left="107" w:right="304"/>
              <w:rPr>
                <w:rFonts w:ascii="黑体" w:hAnsi="黑体" w:eastAsia="黑体" w:hint="eastAsia"/>
                <w:sz w:val="24"/>
              </w:rPr>
            </w:pPr>
            <w:r>
              <w:rPr>
                <w:rFonts w:ascii="黑体" w:hAnsi="黑体" w:eastAsia="黑体" w:hint="eastAsia"/>
                <w:sz w:val="24"/>
              </w:rPr>
              <w:t>如被保险人同时或先后达到“脑垂体瘤、脑囊肿、脑动脉瘤及脑血管瘤” 和“微创颅脑手术”的赔付标准，我们仅赔付其中一项轻症疾病保险金。</w:t>
            </w:r>
          </w:p>
        </w:tc>
      </w:tr>
      <w:tr>
        <w:trPr>
          <w:trHeight w:val="1781" w:hRule="atLeast"/>
        </w:trPr>
        <w:tc>
          <w:tcPr>
            <w:tcW w:w="1936" w:type="dxa"/>
          </w:tcPr>
          <w:p>
            <w:pPr>
              <w:pStyle w:val="TableParagraph"/>
              <w:spacing w:line="204" w:lineRule="auto" w:before="66"/>
              <w:ind w:left="619" w:right="260" w:hanging="420"/>
              <w:rPr>
                <w:rFonts w:ascii="Microsoft JhengHei" w:eastAsia="Microsoft JhengHei" w:hint="eastAsia"/>
                <w:b/>
                <w:sz w:val="21"/>
              </w:rPr>
            </w:pPr>
            <w:r>
              <w:rPr>
                <w:rFonts w:ascii="Microsoft JhengHei" w:eastAsia="Microsoft JhengHei" w:hint="eastAsia"/>
                <w:b/>
                <w:sz w:val="21"/>
              </w:rPr>
              <w:t>10. 重度头部外伤</w:t>
            </w:r>
          </w:p>
        </w:tc>
        <w:tc>
          <w:tcPr>
            <w:tcW w:w="8103" w:type="dxa"/>
          </w:tcPr>
          <w:p>
            <w:pPr>
              <w:pStyle w:val="TableParagraph"/>
              <w:spacing w:line="264" w:lineRule="auto" w:before="97"/>
              <w:ind w:left="107" w:right="216"/>
              <w:rPr>
                <w:sz w:val="21"/>
              </w:rPr>
            </w:pPr>
            <w:r>
              <w:rPr>
                <w:spacing w:val="-3"/>
                <w:sz w:val="21"/>
              </w:rPr>
              <w:t>指因头部遭受机械性外力，引起脑重要部位损伤，导致神经系统永久性的功能障碍。</w:t>
            </w:r>
            <w:r>
              <w:rPr>
                <w:spacing w:val="-3"/>
                <w:w w:val="100"/>
                <w:sz w:val="21"/>
              </w:rPr>
              <w:t>须由头颅断层扫描（</w:t>
            </w:r>
            <w:r>
              <w:rPr>
                <w:rFonts w:ascii="Times New Roman" w:eastAsia="Times New Roman"/>
                <w:spacing w:val="-3"/>
                <w:w w:val="100"/>
                <w:sz w:val="21"/>
              </w:rPr>
              <w:t>C</w:t>
            </w:r>
            <w:r>
              <w:rPr>
                <w:rFonts w:ascii="Times New Roman" w:eastAsia="Times New Roman"/>
                <w:spacing w:val="-2"/>
                <w:w w:val="100"/>
                <w:sz w:val="21"/>
              </w:rPr>
              <w:t>T</w:t>
            </w:r>
            <w:r>
              <w:rPr>
                <w:spacing w:val="-106"/>
                <w:w w:val="100"/>
                <w:sz w:val="21"/>
              </w:rPr>
              <w:t>）</w:t>
            </w:r>
            <w:r>
              <w:rPr>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）或正电子发射断层扫描</w:t>
            </w:r>
            <w:r>
              <w:rPr>
                <w:spacing w:val="-2"/>
                <w:w w:val="100"/>
                <w:sz w:val="21"/>
              </w:rPr>
              <w:t>（</w:t>
            </w:r>
            <w:r>
              <w:rPr>
                <w:rFonts w:ascii="Times New Roman" w:eastAsia="Times New Roman"/>
                <w:w w:val="100"/>
                <w:sz w:val="21"/>
              </w:rPr>
              <w:t>PE</w:t>
            </w:r>
            <w:r>
              <w:rPr>
                <w:rFonts w:ascii="Times New Roman" w:eastAsia="Times New Roman"/>
                <w:w w:val="100"/>
                <w:sz w:val="21"/>
              </w:rPr>
              <w:t>T</w:t>
            </w:r>
            <w:r>
              <w:rPr>
                <w:w w:val="100"/>
                <w:sz w:val="21"/>
              </w:rPr>
              <w:t>）等</w:t>
            </w:r>
            <w:r>
              <w:rPr>
                <w:spacing w:val="-3"/>
                <w:sz w:val="21"/>
              </w:rPr>
              <w:t>影像学检查证实。</w:t>
            </w:r>
          </w:p>
          <w:p>
            <w:pPr>
              <w:pStyle w:val="TableParagraph"/>
              <w:spacing w:line="256" w:lineRule="auto" w:before="16"/>
              <w:ind w:left="107" w:right="299"/>
              <w:rPr>
                <w:sz w:val="21"/>
              </w:rPr>
            </w:pPr>
            <w:r>
              <w:rPr>
                <w:spacing w:val="-7"/>
                <w:sz w:val="21"/>
              </w:rPr>
              <w:t>神经系统永久性的功能障碍，指脑损伤 </w:t>
            </w:r>
            <w:r>
              <w:rPr>
                <w:rFonts w:ascii="Times New Roman" w:eastAsia="Times New Roman"/>
                <w:sz w:val="21"/>
              </w:rPr>
              <w:t>180 </w:t>
            </w:r>
            <w:r>
              <w:rPr>
                <w:spacing w:val="-9"/>
                <w:sz w:val="21"/>
              </w:rPr>
              <w:t>天后，仍部分丧失自主生活能力，无法独</w:t>
            </w:r>
            <w:r>
              <w:rPr>
                <w:spacing w:val="-5"/>
                <w:sz w:val="21"/>
              </w:rPr>
              <w:t>立完成六项基本日常生活活动中的二项或以上。</w:t>
            </w:r>
          </w:p>
        </w:tc>
      </w:tr>
      <w:tr>
        <w:trPr>
          <w:trHeight w:val="394" w:hRule="atLeast"/>
        </w:trPr>
        <w:tc>
          <w:tcPr>
            <w:tcW w:w="1936" w:type="dxa"/>
          </w:tcPr>
          <w:p>
            <w:pPr>
              <w:pStyle w:val="TableParagraph"/>
              <w:spacing w:line="357" w:lineRule="exact" w:before="18"/>
              <w:ind w:left="200"/>
              <w:rPr>
                <w:rFonts w:ascii="Microsoft JhengHei" w:eastAsia="Microsoft JhengHei" w:hint="eastAsia"/>
                <w:b/>
                <w:sz w:val="21"/>
              </w:rPr>
            </w:pPr>
            <w:r>
              <w:rPr>
                <w:rFonts w:ascii="Microsoft JhengHei" w:eastAsia="Microsoft JhengHei" w:hint="eastAsia"/>
                <w:b/>
                <w:sz w:val="21"/>
              </w:rPr>
              <w:t>11.  慢性肝功能</w:t>
            </w:r>
          </w:p>
        </w:tc>
        <w:tc>
          <w:tcPr>
            <w:tcW w:w="8103" w:type="dxa"/>
          </w:tcPr>
          <w:p>
            <w:pPr>
              <w:pStyle w:val="TableParagraph"/>
              <w:spacing w:line="271" w:lineRule="exact" w:before="104"/>
              <w:ind w:left="107"/>
              <w:rPr>
                <w:sz w:val="21"/>
              </w:rPr>
            </w:pPr>
            <w:r>
              <w:rPr>
                <w:sz w:val="21"/>
              </w:rPr>
              <w:t>指因慢性肝脏疾病导致持续 </w:t>
            </w:r>
            <w:r>
              <w:rPr>
                <w:rFonts w:ascii="Times New Roman" w:eastAsia="Times New Roman"/>
                <w:sz w:val="21"/>
              </w:rPr>
              <w:t>180 </w:t>
            </w:r>
            <w:r>
              <w:rPr>
                <w:sz w:val="21"/>
              </w:rPr>
              <w:t>天肝功能衰竭，须满足下列全部条件：</w:t>
            </w:r>
          </w:p>
        </w:tc>
      </w:tr>
    </w:tbl>
    <w:p>
      <w:pPr>
        <w:spacing w:after="0" w:line="271" w:lineRule="exact"/>
        <w:rPr>
          <w:sz w:val="21"/>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8128"/>
      </w:tblGrid>
      <w:tr>
        <w:trPr>
          <w:trHeight w:val="1320" w:hRule="atLeast"/>
        </w:trPr>
        <w:tc>
          <w:tcPr>
            <w:tcW w:w="1891" w:type="dxa"/>
          </w:tcPr>
          <w:p>
            <w:pPr>
              <w:pStyle w:val="TableParagraph"/>
              <w:spacing w:line="196" w:lineRule="exact"/>
              <w:ind w:left="619"/>
              <w:rPr>
                <w:rFonts w:ascii="Microsoft JhengHei" w:eastAsia="Microsoft JhengHei" w:hint="eastAsia"/>
                <w:b/>
                <w:sz w:val="21"/>
              </w:rPr>
            </w:pPr>
            <w:r>
              <w:rPr>
                <w:rFonts w:ascii="Microsoft JhengHei" w:eastAsia="Microsoft JhengHei" w:hint="eastAsia"/>
                <w:b/>
                <w:sz w:val="21"/>
              </w:rPr>
              <w:t>衰竭失代偿</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早期</w:t>
            </w:r>
          </w:p>
        </w:tc>
        <w:tc>
          <w:tcPr>
            <w:tcW w:w="8128" w:type="dxa"/>
          </w:tcPr>
          <w:p>
            <w:pPr>
              <w:pStyle w:val="TableParagraph"/>
              <w:spacing w:line="234" w:lineRule="exact"/>
              <w:ind w:left="152"/>
              <w:rPr>
                <w:sz w:val="21"/>
              </w:rPr>
            </w:pPr>
            <w:r>
              <w:rPr>
                <w:sz w:val="21"/>
              </w:rPr>
              <w:t>（</w:t>
            </w:r>
            <w:r>
              <w:rPr>
                <w:rFonts w:ascii="Times New Roman" w:eastAsia="Times New Roman"/>
                <w:sz w:val="21"/>
              </w:rPr>
              <w:t>1</w:t>
            </w:r>
            <w:r>
              <w:rPr>
                <w:sz w:val="21"/>
              </w:rPr>
              <w:t>）持续性黄疸，胆红素 </w:t>
            </w:r>
            <w:r>
              <w:rPr>
                <w:rFonts w:ascii="Times New Roman" w:eastAsia="Times New Roman"/>
                <w:sz w:val="21"/>
              </w:rPr>
              <w:t>&gt; 2mg%</w:t>
            </w:r>
            <w:r>
              <w:rPr>
                <w:sz w:val="21"/>
              </w:rPr>
              <w:t>；</w:t>
            </w:r>
          </w:p>
          <w:p>
            <w:pPr>
              <w:pStyle w:val="TableParagraph"/>
              <w:tabs>
                <w:tab w:pos="1743" w:val="left" w:leader="none"/>
              </w:tabs>
              <w:spacing w:before="21"/>
              <w:ind w:left="152"/>
              <w:rPr>
                <w:sz w:val="21"/>
              </w:rPr>
            </w:pPr>
            <w:r>
              <w:rPr>
                <w:sz w:val="21"/>
              </w:rPr>
              <w:t>（</w:t>
            </w:r>
            <w:r>
              <w:rPr>
                <w:rFonts w:ascii="Times New Roman" w:eastAsia="Times New Roman"/>
                <w:sz w:val="21"/>
              </w:rPr>
              <w:t>2</w:t>
            </w:r>
            <w:r>
              <w:rPr>
                <w:sz w:val="21"/>
              </w:rPr>
              <w:t>）白</w:t>
            </w:r>
            <w:r>
              <w:rPr>
                <w:spacing w:val="-3"/>
                <w:sz w:val="21"/>
              </w:rPr>
              <w:t>蛋</w:t>
            </w:r>
            <w:r>
              <w:rPr>
                <w:sz w:val="21"/>
              </w:rPr>
              <w:t>白</w:t>
            </w:r>
            <w:r>
              <w:rPr>
                <w:spacing w:val="-1"/>
                <w:sz w:val="21"/>
              </w:rPr>
              <w:t> </w:t>
            </w:r>
            <w:r>
              <w:rPr>
                <w:rFonts w:ascii="Times New Roman" w:eastAsia="Times New Roman"/>
                <w:sz w:val="21"/>
              </w:rPr>
              <w:t>&lt;</w:t>
              <w:tab/>
              <w:t>3g%</w:t>
            </w:r>
            <w:r>
              <w:rPr>
                <w:sz w:val="21"/>
              </w:rPr>
              <w:t>；</w:t>
            </w:r>
          </w:p>
          <w:p>
            <w:pPr>
              <w:pStyle w:val="TableParagraph"/>
              <w:spacing w:line="287" w:lineRule="exact" w:before="21"/>
              <w:ind w:left="152"/>
              <w:rPr>
                <w:sz w:val="21"/>
              </w:rPr>
            </w:pPr>
            <w:r>
              <w:rPr>
                <w:sz w:val="21"/>
              </w:rPr>
              <w:t>（</w:t>
            </w:r>
            <w:r>
              <w:rPr>
                <w:rFonts w:ascii="Times New Roman" w:eastAsia="Times New Roman"/>
                <w:sz w:val="21"/>
              </w:rPr>
              <w:t>3</w:t>
            </w:r>
            <w:r>
              <w:rPr>
                <w:sz w:val="21"/>
              </w:rPr>
              <w:t>）凝血酶原时间延长 </w:t>
            </w:r>
            <w:r>
              <w:rPr>
                <w:rFonts w:ascii="Times New Roman" w:eastAsia="Times New Roman"/>
                <w:sz w:val="21"/>
              </w:rPr>
              <w:t>&gt; 4 </w:t>
            </w:r>
            <w:r>
              <w:rPr>
                <w:sz w:val="21"/>
              </w:rPr>
              <w:t>秒；</w:t>
            </w:r>
          </w:p>
          <w:p>
            <w:pPr>
              <w:pStyle w:val="TableParagraph"/>
              <w:spacing w:line="311" w:lineRule="exact"/>
              <w:ind w:left="152"/>
              <w:rPr>
                <w:rFonts w:ascii="黑体" w:eastAsia="黑体" w:hint="eastAsia"/>
                <w:sz w:val="24"/>
              </w:rPr>
            </w:pPr>
            <w:r>
              <w:rPr>
                <w:rFonts w:ascii="黑体" w:eastAsia="黑体" w:hint="eastAsia"/>
                <w:sz w:val="24"/>
              </w:rPr>
              <w:t>因酗酒或药物滥用导致的肝功能衰竭不在保障范围内。</w:t>
            </w:r>
          </w:p>
        </w:tc>
      </w:tr>
      <w:tr>
        <w:trPr>
          <w:trHeight w:val="846" w:hRule="atLeast"/>
        </w:trPr>
        <w:tc>
          <w:tcPr>
            <w:tcW w:w="1891" w:type="dxa"/>
          </w:tcPr>
          <w:p>
            <w:pPr>
              <w:pStyle w:val="TableParagraph"/>
              <w:spacing w:line="204" w:lineRule="auto" w:before="67"/>
              <w:ind w:left="619" w:right="215" w:hanging="420"/>
              <w:rPr>
                <w:rFonts w:ascii="Microsoft JhengHei" w:eastAsia="Microsoft JhengHei" w:hint="eastAsia"/>
                <w:b/>
                <w:sz w:val="21"/>
              </w:rPr>
            </w:pPr>
            <w:r>
              <w:rPr>
                <w:rFonts w:ascii="Microsoft JhengHei" w:eastAsia="Microsoft JhengHei" w:hint="eastAsia"/>
                <w:b/>
                <w:sz w:val="21"/>
              </w:rPr>
              <w:t>12. 单个肢体缺失</w:t>
            </w:r>
          </w:p>
        </w:tc>
        <w:tc>
          <w:tcPr>
            <w:tcW w:w="8128" w:type="dxa"/>
          </w:tcPr>
          <w:p>
            <w:pPr>
              <w:pStyle w:val="TableParagraph"/>
              <w:spacing w:line="273" w:lineRule="auto" w:before="98"/>
              <w:ind w:left="152" w:right="202"/>
              <w:rPr>
                <w:sz w:val="21"/>
              </w:rPr>
            </w:pPr>
            <w:r>
              <w:rPr>
                <w:sz w:val="21"/>
              </w:rPr>
              <w:t>指因疾病或意外伤害导致一个肢体自腕关节或踝关节近端（靠近躯干端）以上完全性断离。</w:t>
            </w:r>
          </w:p>
        </w:tc>
      </w:tr>
      <w:tr>
        <w:trPr>
          <w:trHeight w:val="1167" w:hRule="atLeast"/>
        </w:trPr>
        <w:tc>
          <w:tcPr>
            <w:tcW w:w="1891" w:type="dxa"/>
          </w:tcPr>
          <w:p>
            <w:pPr>
              <w:pStyle w:val="TableParagraph"/>
              <w:spacing w:line="204" w:lineRule="auto" w:before="72"/>
              <w:ind w:left="619" w:right="215" w:hanging="420"/>
              <w:jc w:val="both"/>
              <w:rPr>
                <w:rFonts w:ascii="Microsoft JhengHei" w:eastAsia="Microsoft JhengHei" w:hint="eastAsia"/>
                <w:b/>
                <w:sz w:val="21"/>
              </w:rPr>
            </w:pPr>
            <w:r>
              <w:rPr>
                <w:rFonts w:ascii="Microsoft JhengHei" w:eastAsia="Microsoft JhengHei" w:hint="eastAsia"/>
                <w:b/>
                <w:sz w:val="21"/>
              </w:rPr>
              <w:t>13. 急性坏死性胰腺炎腹腔镜手术</w:t>
            </w:r>
          </w:p>
        </w:tc>
        <w:tc>
          <w:tcPr>
            <w:tcW w:w="8128" w:type="dxa"/>
          </w:tcPr>
          <w:p>
            <w:pPr>
              <w:pStyle w:val="TableParagraph"/>
              <w:spacing w:line="273" w:lineRule="auto" w:before="103"/>
              <w:ind w:left="152" w:right="283"/>
              <w:rPr>
                <w:sz w:val="21"/>
              </w:rPr>
            </w:pPr>
            <w:r>
              <w:rPr>
                <w:spacing w:val="-8"/>
                <w:sz w:val="21"/>
              </w:rPr>
              <w:t>指被保险人被确诊为急性坏死性胰腺炎，并实际接受了腹腔镜手术治疗，以进行坏死</w:t>
            </w:r>
            <w:r>
              <w:rPr>
                <w:spacing w:val="-5"/>
                <w:sz w:val="21"/>
              </w:rPr>
              <w:t>组织清除、坏死病灶切除或胰腺切除。</w:t>
            </w:r>
          </w:p>
          <w:p>
            <w:pPr>
              <w:pStyle w:val="TableParagraph"/>
              <w:spacing w:line="294" w:lineRule="exact"/>
              <w:ind w:left="152"/>
              <w:rPr>
                <w:rFonts w:ascii="黑体" w:eastAsia="黑体" w:hint="eastAsia"/>
                <w:sz w:val="24"/>
              </w:rPr>
            </w:pPr>
            <w:r>
              <w:rPr>
                <w:rFonts w:ascii="黑体" w:eastAsia="黑体" w:hint="eastAsia"/>
                <w:sz w:val="24"/>
              </w:rPr>
              <w:t>因酗酒或饮酒过量所致的急性坏死性胰腺炎不在本保单保障范围内。</w:t>
            </w:r>
          </w:p>
        </w:tc>
      </w:tr>
      <w:tr>
        <w:trPr>
          <w:trHeight w:val="3037" w:hRule="atLeast"/>
        </w:trPr>
        <w:tc>
          <w:tcPr>
            <w:tcW w:w="1891" w:type="dxa"/>
          </w:tcPr>
          <w:p>
            <w:pPr>
              <w:pStyle w:val="TableParagraph"/>
              <w:spacing w:line="204" w:lineRule="auto" w:before="66"/>
              <w:ind w:left="619" w:right="215" w:hanging="420"/>
              <w:rPr>
                <w:rFonts w:ascii="Microsoft JhengHei" w:eastAsia="Microsoft JhengHei" w:hint="eastAsia"/>
                <w:b/>
                <w:sz w:val="21"/>
              </w:rPr>
            </w:pPr>
            <w:r>
              <w:rPr>
                <w:rFonts w:ascii="Microsoft JhengHei" w:eastAsia="Microsoft JhengHei" w:hint="eastAsia"/>
                <w:b/>
                <w:sz w:val="21"/>
              </w:rPr>
              <w:t>14. 中度系统性红斑狼疮</w:t>
            </w:r>
          </w:p>
        </w:tc>
        <w:tc>
          <w:tcPr>
            <w:tcW w:w="8128" w:type="dxa"/>
          </w:tcPr>
          <w:p>
            <w:pPr>
              <w:pStyle w:val="TableParagraph"/>
              <w:spacing w:line="273" w:lineRule="auto" w:before="97"/>
              <w:ind w:left="152" w:right="284"/>
              <w:rPr>
                <w:sz w:val="21"/>
              </w:rPr>
            </w:pPr>
            <w:r>
              <w:rPr>
                <w:sz w:val="21"/>
              </w:rPr>
              <w:t>本项保障所指的系统性红斑狼疮必须符合下列所有理赔条件且未达到本合同所指重大疾病“系统性红斑狼疮—</w:t>
            </w:r>
            <w:r>
              <w:rPr>
                <w:rFonts w:ascii="Times New Roman" w:hAnsi="Times New Roman" w:eastAsia="Times New Roman"/>
                <w:sz w:val="21"/>
              </w:rPr>
              <w:t>III </w:t>
            </w:r>
            <w:r>
              <w:rPr>
                <w:sz w:val="21"/>
              </w:rPr>
              <w:t>型或以上狼疮性肾炎”的标准：</w:t>
            </w:r>
          </w:p>
          <w:p>
            <w:pPr>
              <w:pStyle w:val="TableParagraph"/>
              <w:spacing w:line="280" w:lineRule="exact"/>
              <w:ind w:left="152"/>
              <w:rPr>
                <w:sz w:val="21"/>
              </w:rPr>
            </w:pPr>
            <w:r>
              <w:rPr>
                <w:sz w:val="21"/>
              </w:rPr>
              <w:t>（</w:t>
            </w:r>
            <w:r>
              <w:rPr>
                <w:rFonts w:ascii="Times New Roman" w:eastAsia="Times New Roman"/>
                <w:sz w:val="21"/>
              </w:rPr>
              <w:t>1</w:t>
            </w:r>
            <w:r>
              <w:rPr>
                <w:sz w:val="21"/>
              </w:rPr>
              <w:t>）在下列 </w:t>
            </w:r>
            <w:r>
              <w:rPr>
                <w:rFonts w:ascii="Times New Roman" w:eastAsia="Times New Roman"/>
                <w:sz w:val="21"/>
              </w:rPr>
              <w:t>5 </w:t>
            </w:r>
            <w:r>
              <w:rPr>
                <w:sz w:val="21"/>
              </w:rPr>
              <w:t>项情况中出现最少 </w:t>
            </w:r>
            <w:r>
              <w:rPr>
                <w:rFonts w:ascii="Times New Roman" w:eastAsia="Times New Roman"/>
                <w:sz w:val="21"/>
              </w:rPr>
              <w:t>3 </w:t>
            </w:r>
            <w:r>
              <w:rPr>
                <w:sz w:val="21"/>
              </w:rPr>
              <w:t>项：</w:t>
            </w:r>
          </w:p>
          <w:p>
            <w:pPr>
              <w:pStyle w:val="TableParagraph"/>
              <w:spacing w:before="21"/>
              <w:ind w:left="678"/>
              <w:rPr>
                <w:sz w:val="21"/>
              </w:rPr>
            </w:pPr>
            <w:r>
              <w:rPr>
                <w:sz w:val="21"/>
              </w:rPr>
              <w:t>①非畸形性关节炎或多关节痛；</w:t>
            </w:r>
          </w:p>
          <w:p>
            <w:pPr>
              <w:pStyle w:val="TableParagraph"/>
              <w:spacing w:before="36"/>
              <w:ind w:left="678"/>
              <w:rPr>
                <w:sz w:val="21"/>
              </w:rPr>
            </w:pPr>
            <w:r>
              <w:rPr>
                <w:sz w:val="21"/>
              </w:rPr>
              <w:t>②胸膜炎或心包炎；</w:t>
            </w:r>
          </w:p>
          <w:p>
            <w:pPr>
              <w:pStyle w:val="TableParagraph"/>
              <w:spacing w:before="36"/>
              <w:ind w:left="678"/>
              <w:rPr>
                <w:sz w:val="21"/>
              </w:rPr>
            </w:pPr>
            <w:r>
              <w:rPr>
                <w:sz w:val="21"/>
              </w:rPr>
              <w:t>③肾病：</w:t>
            </w:r>
            <w:r>
              <w:rPr>
                <w:rFonts w:ascii="Times New Roman" w:hAnsi="Times New Roman" w:eastAsia="Times New Roman"/>
                <w:sz w:val="21"/>
              </w:rPr>
              <w:t>24 </w:t>
            </w:r>
            <w:r>
              <w:rPr>
                <w:sz w:val="21"/>
              </w:rPr>
              <w:t>小时尿蛋白定量达到 </w:t>
            </w:r>
            <w:r>
              <w:rPr>
                <w:rFonts w:ascii="Times New Roman" w:hAnsi="Times New Roman" w:eastAsia="Times New Roman"/>
                <w:sz w:val="21"/>
              </w:rPr>
              <w:t>0.5 </w:t>
            </w:r>
            <w:r>
              <w:rPr>
                <w:sz w:val="21"/>
              </w:rPr>
              <w:t>克；</w:t>
            </w:r>
          </w:p>
          <w:p>
            <w:pPr>
              <w:pStyle w:val="TableParagraph"/>
              <w:spacing w:before="21"/>
              <w:ind w:left="678"/>
              <w:rPr>
                <w:sz w:val="21"/>
              </w:rPr>
            </w:pPr>
            <w:r>
              <w:rPr>
                <w:sz w:val="21"/>
              </w:rPr>
              <w:t>④血象异常</w:t>
            </w:r>
            <w:r>
              <w:rPr>
                <w:rFonts w:ascii="Times New Roman" w:hAnsi="Times New Roman" w:eastAsia="Times New Roman"/>
                <w:sz w:val="21"/>
              </w:rPr>
              <w:t>(  </w:t>
            </w:r>
            <w:r>
              <w:rPr>
                <w:sz w:val="21"/>
              </w:rPr>
              <w:t>白细胞小于 </w:t>
            </w:r>
            <w:r>
              <w:rPr>
                <w:rFonts w:ascii="Times New Roman" w:hAnsi="Times New Roman" w:eastAsia="Times New Roman"/>
                <w:sz w:val="21"/>
              </w:rPr>
              <w:t>4</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或血小板小于 </w:t>
            </w:r>
            <w:r>
              <w:rPr>
                <w:rFonts w:ascii="Times New Roman" w:hAnsi="Times New Roman" w:eastAsia="Times New Roman"/>
                <w:sz w:val="21"/>
                <w:vertAlign w:val="baseline"/>
              </w:rPr>
              <w:t>100</w:t>
            </w:r>
            <w:r>
              <w:rPr>
                <w:sz w:val="21"/>
                <w:vertAlign w:val="baseline"/>
              </w:rPr>
              <w:t>×</w:t>
            </w:r>
            <w:r>
              <w:rPr>
                <w:rFonts w:ascii="Times New Roman" w:hAnsi="Times New Roman" w:eastAsia="Times New Roman"/>
                <w:sz w:val="21"/>
                <w:vertAlign w:val="baseline"/>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或溶血性贫血</w:t>
            </w:r>
            <w:r>
              <w:rPr>
                <w:rFonts w:ascii="Times New Roman" w:hAnsi="Times New Roman" w:eastAsia="Times New Roman"/>
                <w:sz w:val="21"/>
                <w:vertAlign w:val="baseline"/>
              </w:rPr>
              <w:t>)</w:t>
            </w:r>
            <w:r>
              <w:rPr>
                <w:sz w:val="21"/>
                <w:vertAlign w:val="baseline"/>
              </w:rPr>
              <w:t>；</w:t>
            </w:r>
          </w:p>
          <w:p>
            <w:pPr>
              <w:pStyle w:val="TableParagraph"/>
              <w:spacing w:before="21"/>
              <w:ind w:left="678"/>
              <w:rPr>
                <w:sz w:val="21"/>
              </w:rPr>
            </w:pPr>
            <w:r>
              <w:rPr>
                <w:sz w:val="21"/>
              </w:rPr>
              <w:t>⑤抗 </w:t>
            </w:r>
            <w:r>
              <w:rPr>
                <w:rFonts w:ascii="Times New Roman" w:hAnsi="Times New Roman" w:eastAsia="Times New Roman"/>
                <w:sz w:val="21"/>
              </w:rPr>
              <w:t>dsDNA </w:t>
            </w:r>
            <w:r>
              <w:rPr>
                <w:sz w:val="21"/>
              </w:rPr>
              <w:t>抗体阳性，或抗 </w:t>
            </w:r>
            <w:r>
              <w:rPr>
                <w:rFonts w:ascii="Times New Roman" w:hAnsi="Times New Roman" w:eastAsia="Times New Roman"/>
                <w:sz w:val="21"/>
              </w:rPr>
              <w:t>Sm </w:t>
            </w:r>
            <w:r>
              <w:rPr>
                <w:sz w:val="21"/>
              </w:rPr>
              <w:t>抗体阳性，或抗核抗体阳性。</w:t>
            </w:r>
          </w:p>
          <w:p>
            <w:pPr>
              <w:pStyle w:val="TableParagraph"/>
              <w:spacing w:before="21"/>
              <w:ind w:left="152"/>
              <w:rPr>
                <w:sz w:val="21"/>
              </w:rPr>
            </w:pPr>
            <w:r>
              <w:rPr>
                <w:sz w:val="21"/>
              </w:rPr>
              <w:t>（</w:t>
            </w:r>
            <w:r>
              <w:rPr>
                <w:rFonts w:ascii="Times New Roman" w:eastAsia="Times New Roman"/>
                <w:sz w:val="21"/>
              </w:rPr>
              <w:t>2</w:t>
            </w:r>
            <w:r>
              <w:rPr>
                <w:sz w:val="21"/>
              </w:rPr>
              <w:t>）系统性红斑狼疮的诊断必须经专科医生确诊。</w:t>
            </w:r>
          </w:p>
        </w:tc>
      </w:tr>
      <w:tr>
        <w:trPr>
          <w:trHeight w:val="1475" w:hRule="atLeast"/>
        </w:trPr>
        <w:tc>
          <w:tcPr>
            <w:tcW w:w="1891" w:type="dxa"/>
          </w:tcPr>
          <w:p>
            <w:pPr>
              <w:pStyle w:val="TableParagraph"/>
              <w:spacing w:line="204" w:lineRule="auto" w:before="64"/>
              <w:ind w:left="619" w:right="150" w:hanging="420"/>
              <w:jc w:val="both"/>
              <w:rPr>
                <w:rFonts w:ascii="Microsoft JhengHei" w:eastAsia="Microsoft JhengHei" w:hint="eastAsia"/>
                <w:b/>
                <w:sz w:val="21"/>
              </w:rPr>
            </w:pPr>
            <w:r>
              <w:rPr>
                <w:rFonts w:ascii="Microsoft JhengHei" w:eastAsia="Microsoft JhengHei" w:hint="eastAsia"/>
                <w:b/>
                <w:sz w:val="21"/>
              </w:rPr>
              <w:t>15. 慢性肾功能</w:t>
            </w:r>
            <w:r>
              <w:rPr>
                <w:rFonts w:ascii="Microsoft JhengHei" w:eastAsia="Microsoft JhengHei" w:hint="eastAsia"/>
                <w:b/>
                <w:w w:val="95"/>
                <w:sz w:val="21"/>
              </w:rPr>
              <w:t>损害-肾功能</w:t>
            </w:r>
            <w:r>
              <w:rPr>
                <w:rFonts w:ascii="Microsoft JhengHei" w:eastAsia="Microsoft JhengHei" w:hint="eastAsia"/>
                <w:b/>
                <w:sz w:val="21"/>
              </w:rPr>
              <w:t>衰竭期</w:t>
            </w:r>
          </w:p>
        </w:tc>
        <w:tc>
          <w:tcPr>
            <w:tcW w:w="8128" w:type="dxa"/>
          </w:tcPr>
          <w:p>
            <w:pPr>
              <w:pStyle w:val="TableParagraph"/>
              <w:spacing w:line="256" w:lineRule="auto" w:before="96"/>
              <w:ind w:left="152" w:right="279"/>
              <w:rPr>
                <w:sz w:val="21"/>
              </w:rPr>
            </w:pPr>
            <w:r>
              <w:rPr>
                <w:spacing w:val="-8"/>
                <w:sz w:val="21"/>
              </w:rPr>
              <w:t>指被保险人因双肾功能慢性不可逆性损害，持续 </w:t>
            </w:r>
            <w:r>
              <w:rPr>
                <w:rFonts w:ascii="Times New Roman" w:eastAsia="Times New Roman"/>
                <w:sz w:val="21"/>
              </w:rPr>
              <w:t>180 </w:t>
            </w:r>
            <w:r>
              <w:rPr>
                <w:spacing w:val="-7"/>
                <w:sz w:val="21"/>
              </w:rPr>
              <w:t>天达到肾功能衰竭期，诊断必须</w:t>
            </w:r>
            <w:r>
              <w:rPr>
                <w:spacing w:val="-5"/>
                <w:sz w:val="21"/>
              </w:rPr>
              <w:t>满足所有以下标准：</w:t>
            </w:r>
          </w:p>
          <w:p>
            <w:pPr>
              <w:pStyle w:val="TableParagraph"/>
              <w:spacing w:before="22"/>
              <w:ind w:left="152"/>
              <w:rPr>
                <w:sz w:val="21"/>
              </w:rPr>
            </w:pPr>
            <w:r>
              <w:rPr>
                <w:sz w:val="21"/>
              </w:rPr>
              <w:t>（</w:t>
            </w:r>
            <w:r>
              <w:rPr>
                <w:rFonts w:ascii="Times New Roman" w:eastAsia="Times New Roman"/>
                <w:sz w:val="21"/>
              </w:rPr>
              <w:t>1</w:t>
            </w:r>
            <w:r>
              <w:rPr>
                <w:sz w:val="21"/>
              </w:rPr>
              <w:t>）肾小球滤过率（</w:t>
            </w:r>
            <w:r>
              <w:rPr>
                <w:rFonts w:ascii="Times New Roman" w:eastAsia="Times New Roman"/>
                <w:sz w:val="21"/>
              </w:rPr>
              <w:t>GFR</w:t>
            </w:r>
            <w:r>
              <w:rPr>
                <w:sz w:val="21"/>
              </w:rPr>
              <w:t>） </w:t>
            </w:r>
            <w:r>
              <w:rPr>
                <w:rFonts w:ascii="Times New Roman" w:eastAsia="Times New Roman"/>
                <w:sz w:val="21"/>
              </w:rPr>
              <w:t>&lt; 25ml/min  </w:t>
            </w:r>
            <w:r>
              <w:rPr>
                <w:sz w:val="21"/>
              </w:rPr>
              <w:t>或肌酐清除率（</w:t>
            </w:r>
            <w:r>
              <w:rPr>
                <w:rFonts w:ascii="Times New Roman" w:eastAsia="Times New Roman"/>
                <w:sz w:val="21"/>
              </w:rPr>
              <w:t>Ccr</w:t>
            </w:r>
            <w:r>
              <w:rPr>
                <w:sz w:val="21"/>
              </w:rPr>
              <w:t>） </w:t>
            </w:r>
            <w:r>
              <w:rPr>
                <w:rFonts w:ascii="Times New Roman" w:eastAsia="Times New Roman"/>
                <w:sz w:val="21"/>
              </w:rPr>
              <w:t>&lt; 25ml/min</w:t>
            </w:r>
            <w:r>
              <w:rPr>
                <w:sz w:val="21"/>
              </w:rPr>
              <w:t>；</w:t>
            </w:r>
          </w:p>
          <w:p>
            <w:pPr>
              <w:pStyle w:val="TableParagraph"/>
              <w:spacing w:before="21"/>
              <w:ind w:left="152"/>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 </w:t>
            </w:r>
            <w:r>
              <w:rPr>
                <w:rFonts w:ascii="Times New Roman" w:eastAsia="Times New Roman"/>
                <w:sz w:val="21"/>
              </w:rPr>
              <w:t>&gt; 5mg/dl </w:t>
            </w:r>
            <w:r>
              <w:rPr>
                <w:sz w:val="21"/>
              </w:rPr>
              <w:t>或</w:t>
            </w:r>
            <w:r>
              <w:rPr>
                <w:rFonts w:ascii="Times New Roman" w:eastAsia="Times New Roman"/>
                <w:sz w:val="21"/>
              </w:rPr>
              <w:t>&gt;442umol/L</w:t>
            </w:r>
            <w:r>
              <w:rPr>
                <w:sz w:val="21"/>
              </w:rPr>
              <w:t>。</w:t>
            </w:r>
          </w:p>
        </w:tc>
      </w:tr>
      <w:tr>
        <w:trPr>
          <w:trHeight w:val="1526" w:hRule="atLeast"/>
        </w:trPr>
        <w:tc>
          <w:tcPr>
            <w:tcW w:w="1891" w:type="dxa"/>
          </w:tcPr>
          <w:p>
            <w:pPr>
              <w:pStyle w:val="TableParagraph"/>
              <w:spacing w:line="204" w:lineRule="auto" w:before="63"/>
              <w:ind w:left="619" w:right="215" w:hanging="420"/>
              <w:rPr>
                <w:rFonts w:ascii="Microsoft JhengHei" w:eastAsia="Microsoft JhengHei" w:hint="eastAsia"/>
                <w:b/>
                <w:sz w:val="21"/>
              </w:rPr>
            </w:pPr>
            <w:r>
              <w:rPr>
                <w:rFonts w:ascii="Microsoft JhengHei" w:eastAsia="Microsoft JhengHei" w:hint="eastAsia"/>
                <w:b/>
                <w:sz w:val="21"/>
              </w:rPr>
              <w:t>16. 严重的骨质疏松</w:t>
            </w:r>
          </w:p>
        </w:tc>
        <w:tc>
          <w:tcPr>
            <w:tcW w:w="8128" w:type="dxa"/>
          </w:tcPr>
          <w:p>
            <w:pPr>
              <w:pStyle w:val="TableParagraph"/>
              <w:spacing w:line="273" w:lineRule="auto" w:before="94"/>
              <w:ind w:left="152" w:right="280"/>
              <w:jc w:val="both"/>
              <w:rPr>
                <w:sz w:val="21"/>
              </w:rPr>
            </w:pPr>
            <w:r>
              <w:rPr>
                <w:spacing w:val="-11"/>
                <w:sz w:val="21"/>
              </w:rPr>
              <w:t>严重的骨质疏松，并因此而直接导致脊椎、骨盆、桡骨、尺骨、肱骨、胫骨、股骨骨折。骨质疏松的诊断必须由本公司认可医院合格的专科医生做出，并符合世界卫生组</w:t>
            </w:r>
            <w:r>
              <w:rPr>
                <w:spacing w:val="-6"/>
                <w:sz w:val="21"/>
              </w:rPr>
              <w:t>织关于骨质疏松的诊断标准</w:t>
            </w:r>
            <w:r>
              <w:rPr>
                <w:rFonts w:ascii="Times New Roman" w:eastAsia="Times New Roman"/>
                <w:spacing w:val="-5"/>
                <w:sz w:val="21"/>
              </w:rPr>
              <w:t>*</w:t>
            </w:r>
            <w:r>
              <w:rPr>
                <w:sz w:val="21"/>
              </w:rPr>
              <w:t>。</w:t>
            </w:r>
          </w:p>
          <w:p>
            <w:pPr>
              <w:pStyle w:val="TableParagraph"/>
              <w:spacing w:line="279" w:lineRule="exact"/>
              <w:ind w:left="152"/>
              <w:jc w:val="both"/>
              <w:rPr>
                <w:rFonts w:ascii="Times New Roman" w:eastAsia="Times New Roman"/>
                <w:sz w:val="21"/>
              </w:rPr>
            </w:pPr>
            <w:r>
              <w:rPr>
                <w:rFonts w:ascii="Times New Roman" w:eastAsia="Times New Roman"/>
                <w:sz w:val="21"/>
              </w:rPr>
              <w:t>*</w:t>
            </w:r>
            <w:r>
              <w:rPr>
                <w:sz w:val="21"/>
              </w:rPr>
              <w:t>世界卫生组织关于骨质疏松的定义：骨密度检测，</w:t>
            </w:r>
            <w:r>
              <w:rPr>
                <w:rFonts w:ascii="Times New Roman" w:eastAsia="Times New Roman"/>
                <w:sz w:val="21"/>
              </w:rPr>
              <w:t>T </w:t>
            </w:r>
            <w:r>
              <w:rPr>
                <w:sz w:val="21"/>
              </w:rPr>
              <w:t>值小于</w:t>
            </w:r>
            <w:r>
              <w:rPr>
                <w:rFonts w:ascii="Times New Roman" w:eastAsia="Times New Roman"/>
                <w:sz w:val="21"/>
              </w:rPr>
              <w:t>-2.5</w:t>
            </w:r>
          </w:p>
        </w:tc>
      </w:tr>
      <w:tr>
        <w:trPr>
          <w:trHeight w:val="1215" w:hRule="atLeast"/>
        </w:trPr>
        <w:tc>
          <w:tcPr>
            <w:tcW w:w="1891" w:type="dxa"/>
          </w:tcPr>
          <w:p>
            <w:pPr>
              <w:pStyle w:val="TableParagraph"/>
              <w:spacing w:line="204" w:lineRule="auto" w:before="116"/>
              <w:ind w:left="619" w:right="215" w:hanging="420"/>
              <w:rPr>
                <w:rFonts w:ascii="Microsoft JhengHei" w:eastAsia="Microsoft JhengHei" w:hint="eastAsia"/>
                <w:b/>
                <w:sz w:val="21"/>
              </w:rPr>
            </w:pPr>
            <w:r>
              <w:rPr>
                <w:rFonts w:ascii="Microsoft JhengHei" w:eastAsia="Microsoft JhengHei" w:hint="eastAsia"/>
                <w:b/>
                <w:sz w:val="21"/>
              </w:rPr>
              <w:t>17. 轻度原发性肺动脉高压</w:t>
            </w:r>
          </w:p>
        </w:tc>
        <w:tc>
          <w:tcPr>
            <w:tcW w:w="8128" w:type="dxa"/>
          </w:tcPr>
          <w:p>
            <w:pPr>
              <w:pStyle w:val="TableParagraph"/>
              <w:spacing w:line="264" w:lineRule="auto" w:before="147"/>
              <w:ind w:left="152" w:right="280"/>
              <w:jc w:val="both"/>
              <w:rPr>
                <w:sz w:val="21"/>
              </w:rPr>
            </w:pPr>
            <w:r>
              <w:rPr>
                <w:spacing w:val="-7"/>
                <w:sz w:val="21"/>
              </w:rPr>
              <w:t>指由于原发性肺动脉高压进行性发展而导致右心室肥厚，已经造成永久不可逆性的体</w:t>
            </w:r>
            <w:r>
              <w:rPr>
                <w:spacing w:val="-9"/>
                <w:sz w:val="21"/>
              </w:rPr>
              <w:t>力活动能力受限，达到美国纽约心脏病学会心功能状态分级 </w:t>
            </w:r>
            <w:r>
              <w:rPr>
                <w:rFonts w:ascii="Times New Roman" w:eastAsia="Times New Roman"/>
                <w:sz w:val="21"/>
              </w:rPr>
              <w:t>III </w:t>
            </w:r>
            <w:r>
              <w:rPr>
                <w:spacing w:val="-5"/>
                <w:sz w:val="21"/>
              </w:rPr>
              <w:t>级，且静息状态下肺</w:t>
            </w:r>
            <w:r>
              <w:rPr>
                <w:spacing w:val="-10"/>
                <w:sz w:val="21"/>
              </w:rPr>
              <w:t>动脉平均压超过 </w:t>
            </w:r>
            <w:r>
              <w:rPr>
                <w:rFonts w:ascii="Times New Roman" w:eastAsia="Times New Roman"/>
                <w:sz w:val="21"/>
              </w:rPr>
              <w:t>25mmHg</w:t>
            </w:r>
            <w:r>
              <w:rPr>
                <w:spacing w:val="-11"/>
                <w:sz w:val="21"/>
              </w:rPr>
              <w:t>、不超过 </w:t>
            </w:r>
            <w:r>
              <w:rPr>
                <w:rFonts w:ascii="Times New Roman" w:eastAsia="Times New Roman"/>
                <w:sz w:val="21"/>
              </w:rPr>
              <w:t>30mmHg</w:t>
            </w:r>
            <w:r>
              <w:rPr>
                <w:sz w:val="21"/>
              </w:rPr>
              <w:t>。</w:t>
            </w:r>
          </w:p>
        </w:tc>
      </w:tr>
      <w:tr>
        <w:trPr>
          <w:trHeight w:val="2097" w:hRule="atLeast"/>
        </w:trPr>
        <w:tc>
          <w:tcPr>
            <w:tcW w:w="1891" w:type="dxa"/>
          </w:tcPr>
          <w:p>
            <w:pPr>
              <w:pStyle w:val="TableParagraph"/>
              <w:spacing w:before="10"/>
              <w:ind w:left="200"/>
              <w:rPr>
                <w:rFonts w:ascii="Microsoft JhengHei" w:eastAsia="Microsoft JhengHei" w:hint="eastAsia"/>
                <w:b/>
                <w:sz w:val="21"/>
              </w:rPr>
            </w:pPr>
            <w:r>
              <w:rPr>
                <w:rFonts w:ascii="Microsoft JhengHei" w:eastAsia="Microsoft JhengHei" w:hint="eastAsia"/>
                <w:b/>
                <w:sz w:val="21"/>
              </w:rPr>
              <w:t>18.  单眼失明</w:t>
            </w:r>
          </w:p>
        </w:tc>
        <w:tc>
          <w:tcPr>
            <w:tcW w:w="8128" w:type="dxa"/>
          </w:tcPr>
          <w:p>
            <w:pPr>
              <w:pStyle w:val="TableParagraph"/>
              <w:spacing w:before="96"/>
              <w:ind w:left="152"/>
              <w:rPr>
                <w:sz w:val="21"/>
              </w:rPr>
            </w:pPr>
            <w:r>
              <w:rPr>
                <w:sz w:val="21"/>
              </w:rPr>
              <w:t>指因疾病或意外伤害导致单眼视力永久不可逆性丧失，须满足下列至少一项条件：</w:t>
            </w:r>
          </w:p>
          <w:p>
            <w:pPr>
              <w:pStyle w:val="TableParagraph"/>
              <w:spacing w:before="38"/>
              <w:ind w:left="152"/>
              <w:rPr>
                <w:sz w:val="21"/>
              </w:rPr>
            </w:pPr>
            <w:r>
              <w:rPr>
                <w:sz w:val="21"/>
              </w:rPr>
              <w:t>（</w:t>
            </w:r>
            <w:r>
              <w:rPr>
                <w:rFonts w:ascii="Times New Roman" w:eastAsia="Times New Roman"/>
                <w:sz w:val="21"/>
              </w:rPr>
              <w:t>1</w:t>
            </w:r>
            <w:r>
              <w:rPr>
                <w:sz w:val="21"/>
              </w:rPr>
              <w:t>）眼球缺失或摘除；</w:t>
            </w:r>
          </w:p>
          <w:p>
            <w:pPr>
              <w:pStyle w:val="TableParagraph"/>
              <w:spacing w:before="21"/>
              <w:ind w:left="152"/>
              <w:rPr>
                <w:sz w:val="21"/>
              </w:rPr>
            </w:pPr>
            <w:r>
              <w:rPr>
                <w:w w:val="100"/>
                <w:sz w:val="21"/>
              </w:rPr>
              <w:t>（</w:t>
            </w:r>
            <w:r>
              <w:rPr>
                <w:rFonts w:ascii="Times New Roman" w:eastAsia="Times New Roman"/>
                <w:w w:val="100"/>
                <w:sz w:val="21"/>
              </w:rPr>
              <w:t>2</w:t>
            </w:r>
            <w:r>
              <w:rPr>
                <w:spacing w:val="-3"/>
                <w:w w:val="100"/>
                <w:sz w:val="21"/>
              </w:rPr>
              <w:t>）矫正视力低于</w:t>
            </w:r>
            <w:r>
              <w:rPr>
                <w:spacing w:val="-55"/>
                <w:sz w:val="21"/>
              </w:rPr>
              <w:t> </w:t>
            </w:r>
            <w:r>
              <w:rPr>
                <w:rFonts w:ascii="Times New Roman" w:eastAsia="Times New Roman"/>
                <w:w w:val="100"/>
                <w:sz w:val="21"/>
              </w:rPr>
              <w:t>0.0</w:t>
            </w:r>
            <w:r>
              <w:rPr>
                <w:rFonts w:ascii="Times New Roman" w:eastAsia="Times New Roman"/>
                <w:spacing w:val="-3"/>
                <w:w w:val="100"/>
                <w:sz w:val="21"/>
              </w:rPr>
              <w:t>2</w:t>
            </w:r>
            <w:r>
              <w:rPr>
                <w:spacing w:val="-3"/>
                <w:w w:val="100"/>
                <w:sz w:val="21"/>
              </w:rPr>
              <w:t>（采用国际标准视力表，如果使用其它视力表应进行换算</w:t>
            </w:r>
            <w:r>
              <w:rPr>
                <w:spacing w:val="-108"/>
                <w:w w:val="100"/>
                <w:sz w:val="21"/>
              </w:rPr>
              <w:t>）</w:t>
            </w:r>
            <w:r>
              <w:rPr>
                <w:w w:val="100"/>
                <w:sz w:val="21"/>
              </w:rPr>
              <w:t>；</w:t>
            </w:r>
          </w:p>
          <w:p>
            <w:pPr>
              <w:pStyle w:val="TableParagraph"/>
              <w:spacing w:line="287" w:lineRule="exact" w:before="21"/>
              <w:ind w:left="15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37" w:lineRule="auto"/>
              <w:ind w:left="152" w:right="287"/>
              <w:rPr>
                <w:rFonts w:ascii="黑体" w:hAnsi="黑体" w:eastAsia="黑体" w:hint="eastAsia"/>
                <w:sz w:val="24"/>
              </w:rPr>
            </w:pPr>
            <w:r>
              <w:rPr>
                <w:rFonts w:ascii="黑体" w:hAnsi="黑体" w:eastAsia="黑体" w:hint="eastAsia"/>
                <w:sz w:val="24"/>
              </w:rPr>
              <w:t>如被保险人同时或先后达到“单眼失明”和“角膜移植”的赔付标准，我们仅赔付其中一项轻症疾病保险金。</w:t>
            </w:r>
          </w:p>
        </w:tc>
      </w:tr>
      <w:tr>
        <w:trPr>
          <w:trHeight w:val="1319" w:hRule="atLeast"/>
        </w:trPr>
        <w:tc>
          <w:tcPr>
            <w:tcW w:w="1891" w:type="dxa"/>
          </w:tcPr>
          <w:p>
            <w:pPr>
              <w:pStyle w:val="TableParagraph"/>
              <w:spacing w:before="11"/>
              <w:ind w:left="200"/>
              <w:rPr>
                <w:rFonts w:ascii="Microsoft JhengHei" w:eastAsia="Microsoft JhengHei" w:hint="eastAsia"/>
                <w:b/>
                <w:sz w:val="21"/>
              </w:rPr>
            </w:pPr>
            <w:r>
              <w:rPr>
                <w:rFonts w:ascii="Microsoft JhengHei" w:eastAsia="Microsoft JhengHei" w:hint="eastAsia"/>
                <w:b/>
                <w:sz w:val="21"/>
              </w:rPr>
              <w:t>19.  角膜移植</w:t>
            </w:r>
          </w:p>
        </w:tc>
        <w:tc>
          <w:tcPr>
            <w:tcW w:w="8128" w:type="dxa"/>
          </w:tcPr>
          <w:p>
            <w:pPr>
              <w:pStyle w:val="TableParagraph"/>
              <w:spacing w:line="273" w:lineRule="auto" w:before="97"/>
              <w:ind w:left="152" w:right="282"/>
              <w:rPr>
                <w:sz w:val="21"/>
              </w:rPr>
            </w:pPr>
            <w:r>
              <w:rPr>
                <w:spacing w:val="-8"/>
                <w:sz w:val="21"/>
              </w:rPr>
              <w:t>指为增进视力或治疗某些角膜疾患，已经实施了异体的角膜移植手术。此手术必须由</w:t>
            </w:r>
            <w:r>
              <w:rPr>
                <w:spacing w:val="-5"/>
                <w:sz w:val="21"/>
              </w:rPr>
              <w:t>专科医生认为是医学上必需的情况下进行。</w:t>
            </w:r>
          </w:p>
          <w:p>
            <w:pPr>
              <w:pStyle w:val="TableParagraph"/>
              <w:spacing w:line="312" w:lineRule="exact" w:before="10"/>
              <w:ind w:left="152" w:right="287"/>
              <w:rPr>
                <w:rFonts w:ascii="黑体" w:hAnsi="黑体" w:eastAsia="黑体" w:hint="eastAsia"/>
                <w:sz w:val="24"/>
              </w:rPr>
            </w:pPr>
            <w:r>
              <w:rPr>
                <w:rFonts w:ascii="黑体" w:hAnsi="黑体" w:eastAsia="黑体" w:hint="eastAsia"/>
                <w:sz w:val="24"/>
              </w:rPr>
              <w:t>如被保险人同时或先后达到“单眼失明”和“角膜移植”的赔付标准，我们仅赔付其中一项轻症疾病保险金。</w:t>
            </w:r>
          </w:p>
        </w:tc>
      </w:tr>
    </w:tbl>
    <w:p>
      <w:pPr>
        <w:spacing w:after="0" w:line="312" w:lineRule="exact"/>
        <w:rPr>
          <w:rFonts w:ascii="黑体" w:hAnsi="黑体" w:eastAsia="黑体" w:hint="eastAsia"/>
          <w:sz w:val="24"/>
        </w:rPr>
        <w:sectPr>
          <w:pgSz w:w="11910" w:h="16840"/>
          <w:pgMar w:header="0" w:footer="593" w:top="1160" w:bottom="780" w:left="94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62"/>
      </w:tblGrid>
      <w:tr>
        <w:trPr>
          <w:trHeight w:val="1944" w:hRule="atLeast"/>
        </w:trPr>
        <w:tc>
          <w:tcPr>
            <w:tcW w:w="185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20.  人工耳蜗植</w:t>
            </w:r>
          </w:p>
          <w:p>
            <w:pPr>
              <w:pStyle w:val="TableParagraph"/>
              <w:spacing w:line="339" w:lineRule="exact"/>
              <w:ind w:left="319" w:right="512"/>
              <w:jc w:val="center"/>
              <w:rPr>
                <w:rFonts w:ascii="Microsoft JhengHei" w:eastAsia="Microsoft JhengHei" w:hint="eastAsia"/>
                <w:b/>
                <w:sz w:val="21"/>
              </w:rPr>
            </w:pPr>
            <w:r>
              <w:rPr>
                <w:rFonts w:ascii="Microsoft JhengHei" w:eastAsia="Microsoft JhengHei" w:hint="eastAsia"/>
                <w:b/>
                <w:sz w:val="21"/>
              </w:rPr>
              <w:t>入术</w:t>
            </w:r>
          </w:p>
        </w:tc>
        <w:tc>
          <w:tcPr>
            <w:tcW w:w="8162" w:type="dxa"/>
          </w:tcPr>
          <w:p>
            <w:pPr>
              <w:pStyle w:val="TableParagraph"/>
              <w:spacing w:line="218" w:lineRule="exact"/>
              <w:rPr>
                <w:sz w:val="21"/>
              </w:rPr>
            </w:pPr>
            <w:r>
              <w:rPr>
                <w:sz w:val="21"/>
              </w:rPr>
              <w:t>指由于耳蜗的永久损害而实际实施了人工耳蜗植入手术。需经专科医师确认手术在医</w:t>
            </w:r>
          </w:p>
          <w:p>
            <w:pPr>
              <w:pStyle w:val="TableParagraph"/>
              <w:spacing w:before="37"/>
              <w:rPr>
                <w:sz w:val="21"/>
              </w:rPr>
            </w:pPr>
            <w:r>
              <w:rPr>
                <w:sz w:val="21"/>
              </w:rPr>
              <w:t>学上是必要的，且在植入手术之前已经符合下列全部条件：</w:t>
            </w:r>
          </w:p>
          <w:p>
            <w:pPr>
              <w:pStyle w:val="TableParagraph"/>
              <w:spacing w:before="37"/>
              <w:rPr>
                <w:sz w:val="21"/>
              </w:rPr>
            </w:pPr>
            <w:r>
              <w:rPr>
                <w:sz w:val="21"/>
              </w:rPr>
              <w:t>（</w:t>
            </w: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line="287" w:lineRule="exact" w:before="21"/>
              <w:rPr>
                <w:sz w:val="21"/>
              </w:rPr>
            </w:pPr>
            <w:r>
              <w:rPr>
                <w:sz w:val="21"/>
              </w:rPr>
              <w:t>（</w:t>
            </w:r>
            <w:r>
              <w:rPr>
                <w:rFonts w:ascii="Times New Roman" w:eastAsia="Times New Roman"/>
                <w:sz w:val="21"/>
              </w:rPr>
              <w:t>2</w:t>
            </w:r>
            <w:r>
              <w:rPr>
                <w:sz w:val="21"/>
              </w:rPr>
              <w:t>）使用相应的听力辅助设备效果不佳。</w:t>
            </w:r>
          </w:p>
          <w:p>
            <w:pPr>
              <w:pStyle w:val="TableParagraph"/>
              <w:spacing w:line="237" w:lineRule="auto"/>
              <w:ind w:right="288"/>
              <w:rPr>
                <w:rFonts w:ascii="黑体" w:hAnsi="黑体" w:eastAsia="黑体" w:hint="eastAsia"/>
                <w:sz w:val="24"/>
              </w:rPr>
            </w:pPr>
            <w:r>
              <w:rPr>
                <w:rFonts w:ascii="黑体" w:hAnsi="黑体" w:eastAsia="黑体" w:hint="eastAsia"/>
                <w:sz w:val="24"/>
              </w:rPr>
              <w:t>如被保险人同时或先后达到“人工耳蜗植入术”和“单耳失聪”的赔付标准，我们仅赔付其中一项轻症疾病保险金。</w:t>
            </w:r>
          </w:p>
        </w:tc>
      </w:tr>
      <w:tr>
        <w:trPr>
          <w:trHeight w:val="2100" w:hRule="atLeast"/>
        </w:trPr>
        <w:tc>
          <w:tcPr>
            <w:tcW w:w="1858" w:type="dxa"/>
          </w:tcPr>
          <w:p>
            <w:pPr>
              <w:pStyle w:val="TableParagraph"/>
              <w:spacing w:before="12"/>
              <w:ind w:left="200"/>
              <w:rPr>
                <w:rFonts w:ascii="Microsoft JhengHei" w:eastAsia="Microsoft JhengHei" w:hint="eastAsia"/>
                <w:b/>
                <w:sz w:val="21"/>
              </w:rPr>
            </w:pPr>
            <w:r>
              <w:rPr>
                <w:rFonts w:ascii="Microsoft JhengHei" w:eastAsia="Microsoft JhengHei" w:hint="eastAsia"/>
                <w:b/>
                <w:sz w:val="21"/>
              </w:rPr>
              <w:t>21.  单耳失聪</w:t>
            </w:r>
          </w:p>
        </w:tc>
        <w:tc>
          <w:tcPr>
            <w:tcW w:w="8162" w:type="dxa"/>
          </w:tcPr>
          <w:p>
            <w:pPr>
              <w:pStyle w:val="TableParagraph"/>
              <w:spacing w:before="98"/>
              <w:rPr>
                <w:sz w:val="21"/>
              </w:rPr>
            </w:pPr>
            <w:r>
              <w:rPr>
                <w:sz w:val="21"/>
              </w:rPr>
              <w:t>指因疾病或者意外伤害导致单耳听力永久不可逆性丧失，在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TableParagraph"/>
              <w:spacing w:line="256" w:lineRule="auto" w:before="21"/>
              <w:ind w:right="283"/>
              <w:rPr>
                <w:sz w:val="21"/>
              </w:rPr>
            </w:pP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6"/>
                <w:sz w:val="21"/>
              </w:rPr>
              <w:t>分贝，且经纯音听力测试、声导抗检测或者</w:t>
            </w:r>
            <w:r>
              <w:rPr>
                <w:spacing w:val="-4"/>
                <w:sz w:val="21"/>
              </w:rPr>
              <w:t>听觉诱发电位检测等证实。</w:t>
            </w:r>
          </w:p>
          <w:p>
            <w:pPr>
              <w:pStyle w:val="TableParagraph"/>
              <w:spacing w:line="308" w:lineRule="exact"/>
              <w:rPr>
                <w:rFonts w:ascii="黑体" w:eastAsia="黑体" w:hint="eastAsia"/>
                <w:sz w:val="24"/>
              </w:rPr>
            </w:pPr>
            <w:r>
              <w:rPr>
                <w:rFonts w:ascii="黑体" w:eastAsia="黑体" w:hint="eastAsia"/>
                <w:sz w:val="24"/>
              </w:rPr>
              <w:t>在 0 周岁至 3 周岁保单周年日期间，被保险人初患单耳失聪除外。</w:t>
            </w:r>
          </w:p>
          <w:p>
            <w:pPr>
              <w:pStyle w:val="TableParagraph"/>
              <w:spacing w:line="237" w:lineRule="auto" w:before="2"/>
              <w:ind w:right="288"/>
              <w:rPr>
                <w:rFonts w:ascii="黑体" w:hAnsi="黑体" w:eastAsia="黑体" w:hint="eastAsia"/>
                <w:sz w:val="24"/>
              </w:rPr>
            </w:pPr>
            <w:r>
              <w:rPr>
                <w:rFonts w:ascii="黑体" w:hAnsi="黑体" w:eastAsia="黑体" w:hint="eastAsia"/>
                <w:sz w:val="24"/>
              </w:rPr>
              <w:t>如被保险人同时或先后达到“人工耳蜗植入术”和“单耳失聪”的赔付标准，我们仅赔付其中一项轻症疾病保险金。</w:t>
            </w:r>
          </w:p>
        </w:tc>
      </w:tr>
      <w:tr>
        <w:trPr>
          <w:trHeight w:val="1157" w:hRule="atLeast"/>
        </w:trPr>
        <w:tc>
          <w:tcPr>
            <w:tcW w:w="1858" w:type="dxa"/>
          </w:tcPr>
          <w:p>
            <w:pPr>
              <w:pStyle w:val="TableParagraph"/>
              <w:spacing w:line="204" w:lineRule="auto" w:before="67"/>
              <w:ind w:left="619" w:right="182" w:hanging="420"/>
              <w:jc w:val="both"/>
              <w:rPr>
                <w:rFonts w:ascii="Microsoft JhengHei" w:eastAsia="Microsoft JhengHei" w:hint="eastAsia"/>
                <w:b/>
                <w:sz w:val="21"/>
              </w:rPr>
            </w:pPr>
            <w:r>
              <w:rPr>
                <w:rFonts w:ascii="Microsoft JhengHei" w:eastAsia="Microsoft JhengHei" w:hint="eastAsia"/>
                <w:b/>
                <w:sz w:val="21"/>
              </w:rPr>
              <w:t>22. 轻度脑炎或脑膜炎后遗症</w:t>
            </w:r>
          </w:p>
        </w:tc>
        <w:tc>
          <w:tcPr>
            <w:tcW w:w="8162" w:type="dxa"/>
          </w:tcPr>
          <w:p>
            <w:pPr>
              <w:pStyle w:val="TableParagraph"/>
              <w:spacing w:line="264" w:lineRule="auto" w:before="98"/>
              <w:ind w:right="280"/>
              <w:jc w:val="both"/>
              <w:rPr>
                <w:sz w:val="21"/>
              </w:rPr>
            </w:pPr>
            <w:r>
              <w:rPr>
                <w:spacing w:val="-8"/>
                <w:sz w:val="21"/>
              </w:rPr>
              <w:t>指因患脑炎或脑膜炎导致的神经系统的永久功障碍。神经系统永久性的功能障碍，指</w:t>
            </w:r>
            <w:r>
              <w:rPr>
                <w:spacing w:val="-12"/>
                <w:sz w:val="21"/>
              </w:rPr>
              <w:t>疾病确诊 </w:t>
            </w:r>
            <w:r>
              <w:rPr>
                <w:rFonts w:ascii="Times New Roman" w:eastAsia="Times New Roman"/>
                <w:sz w:val="21"/>
              </w:rPr>
              <w:t>180 </w:t>
            </w:r>
            <w:r>
              <w:rPr>
                <w:spacing w:val="-10"/>
                <w:sz w:val="21"/>
              </w:rPr>
              <w:t>天后，仍存在自主活动能力部分丧失，无法独立完成六项基本日常生活</w:t>
            </w:r>
            <w:r>
              <w:rPr>
                <w:spacing w:val="-5"/>
                <w:sz w:val="21"/>
              </w:rPr>
              <w:t>活动中的两项。</w:t>
            </w:r>
          </w:p>
        </w:tc>
      </w:tr>
      <w:tr>
        <w:trPr>
          <w:trHeight w:val="1479" w:hRule="atLeast"/>
        </w:trPr>
        <w:tc>
          <w:tcPr>
            <w:tcW w:w="1858" w:type="dxa"/>
          </w:tcPr>
          <w:p>
            <w:pPr>
              <w:pStyle w:val="TableParagraph"/>
              <w:spacing w:line="204" w:lineRule="auto" w:before="71"/>
              <w:ind w:left="619" w:right="182" w:hanging="420"/>
              <w:rPr>
                <w:rFonts w:ascii="Microsoft JhengHei" w:eastAsia="Microsoft JhengHei" w:hint="eastAsia"/>
                <w:b/>
                <w:sz w:val="21"/>
              </w:rPr>
            </w:pPr>
            <w:r>
              <w:rPr>
                <w:rFonts w:ascii="Microsoft JhengHei" w:eastAsia="Microsoft JhengHei" w:hint="eastAsia"/>
                <w:b/>
                <w:sz w:val="21"/>
              </w:rPr>
              <w:t>23. 微创颅脑手术</w:t>
            </w:r>
          </w:p>
        </w:tc>
        <w:tc>
          <w:tcPr>
            <w:tcW w:w="8162" w:type="dxa"/>
          </w:tcPr>
          <w:p>
            <w:pPr>
              <w:pStyle w:val="TableParagraph"/>
              <w:spacing w:before="102"/>
              <w:rPr>
                <w:sz w:val="21"/>
              </w:rPr>
            </w:pPr>
            <w:r>
              <w:rPr>
                <w:sz w:val="21"/>
              </w:rPr>
              <w:t>因疾病被保险人确已实施全麻下的颅骨钻孔手术或者经鼻蝶窦入颅手术。</w:t>
            </w:r>
          </w:p>
          <w:p>
            <w:pPr>
              <w:pStyle w:val="TableParagraph"/>
              <w:spacing w:line="313" w:lineRule="exact" w:before="9"/>
              <w:rPr>
                <w:rFonts w:ascii="黑体" w:eastAsia="黑体" w:hint="eastAsia"/>
                <w:sz w:val="24"/>
              </w:rPr>
            </w:pPr>
            <w:r>
              <w:rPr>
                <w:rFonts w:ascii="黑体" w:eastAsia="黑体" w:hint="eastAsia"/>
                <w:sz w:val="24"/>
              </w:rPr>
              <w:t>因外伤而实施的脑外科手术不在保障范围内。</w:t>
            </w:r>
          </w:p>
          <w:p>
            <w:pPr>
              <w:pStyle w:val="TableParagraph"/>
              <w:spacing w:line="237" w:lineRule="auto" w:before="2"/>
              <w:ind w:right="288"/>
              <w:rPr>
                <w:rFonts w:ascii="黑体" w:hAnsi="黑体" w:eastAsia="黑体" w:hint="eastAsia"/>
                <w:sz w:val="24"/>
              </w:rPr>
            </w:pPr>
            <w:r>
              <w:rPr>
                <w:rFonts w:ascii="黑体" w:hAnsi="黑体" w:eastAsia="黑体" w:hint="eastAsia"/>
                <w:sz w:val="24"/>
              </w:rPr>
              <w:t>如被保险人同时或先后达到“脑垂体瘤、脑囊肿、脑动脉瘤及脑血管瘤” 和“微创颅脑手术”的赔付标准，我们仅给付其中一项轻症疾病保险金。</w:t>
            </w:r>
          </w:p>
        </w:tc>
      </w:tr>
      <w:tr>
        <w:trPr>
          <w:trHeight w:val="1157"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24. 早期运动神经元病</w:t>
            </w:r>
          </w:p>
        </w:tc>
        <w:tc>
          <w:tcPr>
            <w:tcW w:w="8162" w:type="dxa"/>
          </w:tcPr>
          <w:p>
            <w:pPr>
              <w:pStyle w:val="TableParagraph"/>
              <w:spacing w:line="273" w:lineRule="auto" w:before="98"/>
              <w:ind w:right="196"/>
              <w:rPr>
                <w:sz w:val="21"/>
              </w:rPr>
            </w:pPr>
            <w:r>
              <w:rPr>
                <w:spacing w:val="-7"/>
                <w:sz w:val="21"/>
              </w:rPr>
              <w:t>是一组中枢神经系统运动神经元的进行性变性疾病，进行性脊肌萎缩症、进行性延髓</w:t>
            </w:r>
            <w:r>
              <w:rPr>
                <w:spacing w:val="-5"/>
                <w:sz w:val="21"/>
              </w:rPr>
              <w:t>麻痹症、原发性侧索硬化症、肌萎缩性侧索硬化症。须满足自主生活能力部分丧失， </w:t>
            </w:r>
            <w:r>
              <w:rPr>
                <w:spacing w:val="-4"/>
                <w:sz w:val="21"/>
              </w:rPr>
              <w:t>无法独立完成六项基本日常生活活动中的两项。</w:t>
            </w:r>
          </w:p>
        </w:tc>
      </w:tr>
      <w:tr>
        <w:trPr>
          <w:trHeight w:val="2104" w:hRule="atLeast"/>
        </w:trPr>
        <w:tc>
          <w:tcPr>
            <w:tcW w:w="1858" w:type="dxa"/>
          </w:tcPr>
          <w:p>
            <w:pPr>
              <w:pStyle w:val="TableParagraph"/>
              <w:spacing w:line="204" w:lineRule="auto" w:before="71"/>
              <w:ind w:left="619" w:right="182" w:hanging="420"/>
              <w:rPr>
                <w:rFonts w:ascii="Microsoft JhengHei" w:eastAsia="Microsoft JhengHei" w:hint="eastAsia"/>
                <w:b/>
                <w:sz w:val="21"/>
              </w:rPr>
            </w:pPr>
            <w:r>
              <w:rPr>
                <w:rFonts w:ascii="Microsoft JhengHei" w:eastAsia="Microsoft JhengHei" w:hint="eastAsia"/>
                <w:b/>
                <w:sz w:val="21"/>
              </w:rPr>
              <w:t>25. 中度帕金森氏病</w:t>
            </w:r>
          </w:p>
        </w:tc>
        <w:tc>
          <w:tcPr>
            <w:tcW w:w="8162" w:type="dxa"/>
          </w:tcPr>
          <w:p>
            <w:pPr>
              <w:pStyle w:val="TableParagraph"/>
              <w:spacing w:line="273" w:lineRule="auto" w:before="102"/>
              <w:ind w:right="281"/>
              <w:rPr>
                <w:sz w:val="21"/>
              </w:rPr>
            </w:pPr>
            <w:r>
              <w:rPr>
                <w:spacing w:val="-7"/>
                <w:sz w:val="21"/>
              </w:rPr>
              <w:t>是一种中枢神经系统的退行性疾病，临床表现为震颤麻痹、共济失调等。须满足下列</w:t>
            </w:r>
            <w:r>
              <w:rPr>
                <w:spacing w:val="-4"/>
                <w:sz w:val="21"/>
              </w:rPr>
              <w:t>全部条件：</w:t>
            </w:r>
          </w:p>
          <w:p>
            <w:pPr>
              <w:pStyle w:val="TableParagraph"/>
              <w:spacing w:before="7"/>
              <w:rPr>
                <w:sz w:val="21"/>
              </w:rPr>
            </w:pPr>
            <w:r>
              <w:rPr>
                <w:sz w:val="21"/>
              </w:rPr>
              <w:t>（</w:t>
            </w:r>
            <w:r>
              <w:rPr>
                <w:rFonts w:ascii="Times New Roman" w:eastAsia="Times New Roman"/>
                <w:sz w:val="21"/>
              </w:rPr>
              <w:t>1</w:t>
            </w:r>
            <w:r>
              <w:rPr>
                <w:sz w:val="21"/>
              </w:rPr>
              <w:t>）药物治疗无法控制病情；</w:t>
            </w:r>
          </w:p>
          <w:p>
            <w:pPr>
              <w:pStyle w:val="TableParagraph"/>
              <w:spacing w:line="287" w:lineRule="exact" w:before="21"/>
              <w:rPr>
                <w:sz w:val="21"/>
              </w:rPr>
            </w:pPr>
            <w:r>
              <w:rPr>
                <w:sz w:val="21"/>
              </w:rPr>
              <w:t>（</w:t>
            </w:r>
            <w:r>
              <w:rPr>
                <w:rFonts w:ascii="Times New Roman" w:eastAsia="Times New Roman"/>
                <w:sz w:val="21"/>
              </w:rPr>
              <w:t>2</w:t>
            </w:r>
            <w:r>
              <w:rPr>
                <w:sz w:val="21"/>
              </w:rPr>
              <w:t>）自主生活能力部分丧失，无法独立完成六项基本日常生活活动中的两项。</w:t>
            </w:r>
          </w:p>
          <w:p>
            <w:pPr>
              <w:pStyle w:val="TableParagraph"/>
              <w:spacing w:line="310" w:lineRule="exact"/>
              <w:rPr>
                <w:rFonts w:ascii="黑体" w:eastAsia="黑体" w:hint="eastAsia"/>
                <w:sz w:val="24"/>
              </w:rPr>
            </w:pPr>
            <w:r>
              <w:rPr>
                <w:rFonts w:ascii="黑体" w:eastAsia="黑体" w:hint="eastAsia"/>
                <w:sz w:val="24"/>
              </w:rPr>
              <w:t>继发性帕金森综合征不在保障范围内。</w:t>
            </w:r>
          </w:p>
          <w:p>
            <w:pPr>
              <w:pStyle w:val="TableParagraph"/>
              <w:spacing w:line="313" w:lineRule="exact"/>
              <w:rPr>
                <w:rFonts w:ascii="黑体" w:eastAsia="黑体" w:hint="eastAsia"/>
                <w:sz w:val="24"/>
              </w:rPr>
            </w:pPr>
            <w:r>
              <w:rPr>
                <w:rFonts w:ascii="黑体" w:eastAsia="黑体" w:hint="eastAsia"/>
                <w:sz w:val="24"/>
              </w:rPr>
              <w:t>继发于酒精，毒品或药物滥用不在保障范围内。</w:t>
            </w:r>
          </w:p>
        </w:tc>
      </w:tr>
      <w:tr>
        <w:trPr>
          <w:trHeight w:val="1782"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26. 中度脊髓灰质炎</w:t>
            </w:r>
          </w:p>
        </w:tc>
        <w:tc>
          <w:tcPr>
            <w:tcW w:w="8162" w:type="dxa"/>
          </w:tcPr>
          <w:p>
            <w:pPr>
              <w:pStyle w:val="TableParagraph"/>
              <w:spacing w:line="268" w:lineRule="auto" w:before="98"/>
              <w:ind w:right="281"/>
              <w:jc w:val="both"/>
              <w:rPr>
                <w:sz w:val="21"/>
              </w:rPr>
            </w:pPr>
            <w:r>
              <w:rPr>
                <w:spacing w:val="-7"/>
                <w:sz w:val="21"/>
              </w:rPr>
              <w:t>脊髓灰质炎是由于脊髓灰质炎病毒感染所致的瘫痪性疾病，临床表现为运动功能损害</w:t>
            </w:r>
            <w:r>
              <w:rPr>
                <w:spacing w:val="-11"/>
                <w:sz w:val="21"/>
              </w:rPr>
              <w:t>或呼吸无力。脊髓灰质炎必须明确诊断。本保险合同仅对脊髓灰质炎造成的神经系统</w:t>
            </w:r>
            <w:r>
              <w:rPr>
                <w:spacing w:val="-9"/>
                <w:sz w:val="21"/>
              </w:rPr>
              <w:t>功能损害导致被保险人一肢肢体机能永久完全丧失的情况予以理赔。肢体机能永久完</w:t>
            </w:r>
            <w:r>
              <w:rPr>
                <w:spacing w:val="-11"/>
                <w:sz w:val="21"/>
              </w:rPr>
              <w:t>全丧失，指疾病确诊 </w:t>
            </w:r>
            <w:r>
              <w:rPr>
                <w:rFonts w:ascii="Times New Roman" w:eastAsia="Times New Roman"/>
                <w:sz w:val="21"/>
              </w:rPr>
              <w:t>180 </w:t>
            </w:r>
            <w:r>
              <w:rPr>
                <w:spacing w:val="-8"/>
                <w:sz w:val="21"/>
              </w:rPr>
              <w:t>天后，该肢三大关节中的至少一个大关节仍然完全僵硬，或</w:t>
            </w:r>
            <w:r>
              <w:rPr>
                <w:spacing w:val="-3"/>
                <w:sz w:val="21"/>
              </w:rPr>
              <w:t>不能随意识活动。</w:t>
            </w:r>
          </w:p>
        </w:tc>
      </w:tr>
      <w:tr>
        <w:trPr>
          <w:trHeight w:val="1162"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27. 硬脑膜下血肿手术</w:t>
            </w:r>
          </w:p>
        </w:tc>
        <w:tc>
          <w:tcPr>
            <w:tcW w:w="8162" w:type="dxa"/>
          </w:tcPr>
          <w:p>
            <w:pPr>
              <w:pStyle w:val="TableParagraph"/>
              <w:spacing w:before="104"/>
              <w:rPr>
                <w:sz w:val="21"/>
              </w:rPr>
            </w:pPr>
            <w:r>
              <w:rPr>
                <w:sz w:val="21"/>
              </w:rPr>
              <w:t>为清除或引流因意外伤害导致的血肿，需于头部进行开颅或钻孔手术。</w:t>
            </w:r>
          </w:p>
          <w:p>
            <w:pPr>
              <w:pStyle w:val="TableParagraph"/>
              <w:spacing w:line="273" w:lineRule="auto" w:before="37"/>
              <w:ind w:right="284"/>
              <w:rPr>
                <w:sz w:val="21"/>
              </w:rPr>
            </w:pPr>
            <w:r>
              <w:rPr>
                <w:sz w:val="21"/>
              </w:rPr>
              <w:t>开颅或钻孔手术必须在我们认可的医疗机构内由专科医生认为是医疗必须的情况下进行。</w:t>
            </w:r>
          </w:p>
        </w:tc>
      </w:tr>
      <w:tr>
        <w:trPr>
          <w:trHeight w:val="1162" w:hRule="atLeast"/>
        </w:trPr>
        <w:tc>
          <w:tcPr>
            <w:tcW w:w="1858" w:type="dxa"/>
          </w:tcPr>
          <w:p>
            <w:pPr>
              <w:pStyle w:val="TableParagraph"/>
              <w:spacing w:line="204" w:lineRule="auto" w:before="71"/>
              <w:ind w:left="619" w:right="182" w:hanging="420"/>
              <w:rPr>
                <w:rFonts w:ascii="Microsoft JhengHei" w:eastAsia="Microsoft JhengHei" w:hint="eastAsia"/>
                <w:b/>
                <w:sz w:val="21"/>
              </w:rPr>
            </w:pPr>
            <w:r>
              <w:rPr>
                <w:rFonts w:ascii="Microsoft JhengHei" w:eastAsia="Microsoft JhengHei" w:hint="eastAsia"/>
                <w:b/>
                <w:sz w:val="21"/>
              </w:rPr>
              <w:t>28. 植入大脑内分流器</w:t>
            </w:r>
          </w:p>
        </w:tc>
        <w:tc>
          <w:tcPr>
            <w:tcW w:w="8162" w:type="dxa"/>
          </w:tcPr>
          <w:p>
            <w:pPr>
              <w:pStyle w:val="TableParagraph"/>
              <w:spacing w:before="102"/>
              <w:rPr>
                <w:sz w:val="21"/>
              </w:rPr>
            </w:pPr>
            <w:r>
              <w:rPr>
                <w:sz w:val="21"/>
              </w:rPr>
              <w:t>为缓解已升高的脑脊液压力而确实已在脑室进行分流器植入手术。</w:t>
            </w:r>
          </w:p>
          <w:p>
            <w:pPr>
              <w:pStyle w:val="TableParagraph"/>
              <w:spacing w:line="273" w:lineRule="auto" w:before="36"/>
              <w:ind w:right="284"/>
              <w:rPr>
                <w:sz w:val="21"/>
              </w:rPr>
            </w:pPr>
            <w:r>
              <w:rPr>
                <w:sz w:val="21"/>
              </w:rPr>
              <w:t>诊断及治疗均须在我们认可的医疗机构内由脑神经科专科医生认为是医疗必须的情况下进行。</w:t>
            </w:r>
          </w:p>
        </w:tc>
      </w:tr>
      <w:tr>
        <w:trPr>
          <w:trHeight w:val="379" w:hRule="atLeast"/>
        </w:trPr>
        <w:tc>
          <w:tcPr>
            <w:tcW w:w="1858" w:type="dxa"/>
          </w:tcPr>
          <w:p>
            <w:pPr>
              <w:pStyle w:val="TableParagraph"/>
              <w:spacing w:line="342" w:lineRule="exact" w:before="18"/>
              <w:ind w:left="200"/>
              <w:rPr>
                <w:rFonts w:ascii="Microsoft JhengHei" w:eastAsia="Microsoft JhengHei" w:hint="eastAsia"/>
                <w:b/>
                <w:sz w:val="21"/>
              </w:rPr>
            </w:pPr>
            <w:r>
              <w:rPr>
                <w:rFonts w:ascii="Microsoft JhengHei" w:eastAsia="Microsoft JhengHei" w:hint="eastAsia"/>
                <w:b/>
                <w:sz w:val="21"/>
              </w:rPr>
              <w:t>29.  结核性脊髓</w:t>
            </w:r>
          </w:p>
        </w:tc>
        <w:tc>
          <w:tcPr>
            <w:tcW w:w="8162" w:type="dxa"/>
          </w:tcPr>
          <w:p>
            <w:pPr>
              <w:pStyle w:val="TableParagraph"/>
              <w:spacing w:line="256" w:lineRule="exact" w:before="104"/>
              <w:rPr>
                <w:sz w:val="21"/>
              </w:rPr>
            </w:pPr>
            <w:r>
              <w:rPr>
                <w:sz w:val="21"/>
              </w:rPr>
              <w:t>指因结核杆菌引起的脊髓炎，导致永久性神经系统功能中度障碍，即：疾病首次确诊</w:t>
            </w:r>
          </w:p>
        </w:tc>
      </w:tr>
    </w:tbl>
    <w:p>
      <w:pPr>
        <w:spacing w:after="0" w:line="256" w:lineRule="exact"/>
        <w:rPr>
          <w:sz w:val="21"/>
        </w:rPr>
        <w:sectPr>
          <w:pgSz w:w="11910" w:h="16840"/>
          <w:pgMar w:header="0" w:footer="593" w:top="1160" w:bottom="780" w:left="94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8119"/>
      </w:tblGrid>
      <w:tr>
        <w:trPr>
          <w:trHeight w:val="1315" w:hRule="atLeast"/>
        </w:trPr>
        <w:tc>
          <w:tcPr>
            <w:tcW w:w="1899" w:type="dxa"/>
          </w:tcPr>
          <w:p>
            <w:pPr>
              <w:pStyle w:val="TableParagraph"/>
              <w:spacing w:line="222" w:lineRule="exact"/>
              <w:ind w:left="619"/>
              <w:rPr>
                <w:rFonts w:ascii="Microsoft JhengHei" w:eastAsia="Microsoft JhengHei" w:hint="eastAsia"/>
                <w:b/>
                <w:sz w:val="21"/>
              </w:rPr>
            </w:pPr>
            <w:r>
              <w:rPr>
                <w:rFonts w:ascii="Microsoft JhengHei" w:eastAsia="Microsoft JhengHei" w:hint="eastAsia"/>
                <w:b/>
                <w:w w:val="100"/>
                <w:sz w:val="21"/>
              </w:rPr>
              <w:t>炎</w:t>
            </w:r>
          </w:p>
        </w:tc>
        <w:tc>
          <w:tcPr>
            <w:tcW w:w="8119" w:type="dxa"/>
          </w:tcPr>
          <w:p>
            <w:pPr>
              <w:pStyle w:val="TableParagraph"/>
              <w:spacing w:line="234" w:lineRule="exact"/>
              <w:ind w:left="144"/>
              <w:rPr>
                <w:sz w:val="21"/>
              </w:rPr>
            </w:pPr>
            <w:r>
              <w:rPr>
                <w:rFonts w:ascii="Times New Roman" w:eastAsia="Times New Roman"/>
                <w:sz w:val="21"/>
              </w:rPr>
              <w:t>180  </w:t>
            </w:r>
            <w:r>
              <w:rPr>
                <w:sz w:val="21"/>
              </w:rPr>
              <w:t>天后，仍遗留下列障碍：</w:t>
            </w:r>
          </w:p>
          <w:p>
            <w:pPr>
              <w:pStyle w:val="TableParagraph"/>
              <w:spacing w:line="273" w:lineRule="auto" w:before="21"/>
              <w:ind w:left="144" w:right="197"/>
              <w:rPr>
                <w:sz w:val="21"/>
              </w:rPr>
            </w:pPr>
            <w:r>
              <w:rPr>
                <w:spacing w:val="-3"/>
                <w:sz w:val="21"/>
              </w:rPr>
              <w:t>自主生活能力部分丧失，无法独立完成六项基本日常生活活动中的二项或二项以上。</w:t>
            </w:r>
            <w:r>
              <w:rPr>
                <w:spacing w:val="-7"/>
                <w:sz w:val="21"/>
              </w:rPr>
              <w:t>该诊断必须由我们认可的医疗机构内的神经专科医生证实，并必须由适当的检查证明</w:t>
            </w:r>
            <w:r>
              <w:rPr>
                <w:spacing w:val="-5"/>
                <w:sz w:val="21"/>
              </w:rPr>
              <w:t>为结核性脊髓炎。</w:t>
            </w:r>
          </w:p>
        </w:tc>
      </w:tr>
      <w:tr>
        <w:trPr>
          <w:trHeight w:val="1481" w:hRule="atLeast"/>
        </w:trPr>
        <w:tc>
          <w:tcPr>
            <w:tcW w:w="1899" w:type="dxa"/>
          </w:tcPr>
          <w:p>
            <w:pPr>
              <w:pStyle w:val="TableParagraph"/>
              <w:spacing w:line="204" w:lineRule="auto" w:before="72"/>
              <w:ind w:left="619" w:right="141" w:hanging="420"/>
              <w:rPr>
                <w:rFonts w:ascii="Microsoft JhengHei" w:eastAsia="Microsoft JhengHei" w:hint="eastAsia"/>
                <w:b/>
                <w:sz w:val="21"/>
              </w:rPr>
            </w:pPr>
            <w:r>
              <w:rPr>
                <w:rFonts w:ascii="Microsoft JhengHei" w:eastAsia="Microsoft JhengHei" w:hint="eastAsia"/>
                <w:b/>
                <w:sz w:val="21"/>
              </w:rPr>
              <w:t>30. 深度昏迷 48 小时</w:t>
            </w:r>
          </w:p>
        </w:tc>
        <w:tc>
          <w:tcPr>
            <w:tcW w:w="8119" w:type="dxa"/>
          </w:tcPr>
          <w:p>
            <w:pPr>
              <w:pStyle w:val="TableParagraph"/>
              <w:spacing w:line="256" w:lineRule="auto" w:before="104"/>
              <w:ind w:left="144" w:right="281"/>
              <w:rPr>
                <w:sz w:val="21"/>
              </w:rPr>
            </w:pPr>
            <w:r>
              <w:rPr>
                <w:spacing w:val="-3"/>
                <w:sz w:val="21"/>
              </w:rPr>
              <w:t>指因疾病或意外伤害导致意识丧失</w:t>
            </w:r>
            <w:r>
              <w:rPr>
                <w:rFonts w:ascii="Times New Roman" w:eastAsia="Times New Roman"/>
                <w:sz w:val="21"/>
              </w:rPr>
              <w:t>,</w:t>
            </w:r>
            <w:r>
              <w:rPr>
                <w:spacing w:val="-3"/>
                <w:sz w:val="21"/>
              </w:rPr>
              <w:t>对外界刺激和体内需求均无反应</w:t>
            </w:r>
            <w:r>
              <w:rPr>
                <w:rFonts w:ascii="Times New Roman" w:eastAsia="Times New Roman"/>
                <w:sz w:val="21"/>
              </w:rPr>
              <w:t>,</w:t>
            </w:r>
            <w:r>
              <w:rPr>
                <w:spacing w:val="-2"/>
                <w:sz w:val="21"/>
              </w:rPr>
              <w:t>昏迷程度按照格</w:t>
            </w:r>
            <w:r>
              <w:rPr>
                <w:spacing w:val="-4"/>
                <w:sz w:val="21"/>
              </w:rPr>
              <w:t>拉斯哥昏迷分级</w:t>
            </w:r>
            <w:r>
              <w:rPr>
                <w:sz w:val="21"/>
              </w:rPr>
              <w:t>（</w:t>
            </w:r>
            <w:r>
              <w:rPr>
                <w:rFonts w:ascii="Times New Roman" w:eastAsia="Times New Roman"/>
                <w:sz w:val="21"/>
              </w:rPr>
              <w:t>Glasgowcomascale</w:t>
            </w:r>
            <w:r>
              <w:rPr>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5"/>
                <w:sz w:val="21"/>
              </w:rPr>
              <w:t>分以下，且已经持续使用呼吸</w:t>
            </w:r>
          </w:p>
          <w:p>
            <w:pPr>
              <w:pStyle w:val="TableParagraph"/>
              <w:spacing w:line="287" w:lineRule="exact" w:before="5"/>
              <w:ind w:left="144"/>
              <w:rPr>
                <w:sz w:val="21"/>
              </w:rPr>
            </w:pPr>
            <w:r>
              <w:rPr>
                <w:sz w:val="21"/>
              </w:rPr>
              <w:t>机及其它生命维持系统达到 </w:t>
            </w:r>
            <w:r>
              <w:rPr>
                <w:rFonts w:ascii="Times New Roman" w:eastAsia="Times New Roman"/>
                <w:sz w:val="21"/>
              </w:rPr>
              <w:t>48 </w:t>
            </w:r>
            <w:r>
              <w:rPr>
                <w:sz w:val="21"/>
              </w:rPr>
              <w:t>小时。</w:t>
            </w:r>
          </w:p>
          <w:p>
            <w:pPr>
              <w:pStyle w:val="TableParagraph"/>
              <w:spacing w:line="311" w:lineRule="exact"/>
              <w:ind w:left="144"/>
              <w:rPr>
                <w:rFonts w:ascii="黑体" w:eastAsia="黑体" w:hint="eastAsia"/>
                <w:sz w:val="24"/>
              </w:rPr>
            </w:pPr>
            <w:r>
              <w:rPr>
                <w:rFonts w:ascii="黑体" w:eastAsia="黑体" w:hint="eastAsia"/>
                <w:sz w:val="24"/>
              </w:rPr>
              <w:t>因酗酒或药物滥用导致的深度昏迷不在保障范围内。</w:t>
            </w:r>
          </w:p>
        </w:tc>
      </w:tr>
      <w:tr>
        <w:trPr>
          <w:trHeight w:val="2411" w:hRule="atLeast"/>
        </w:trPr>
        <w:tc>
          <w:tcPr>
            <w:tcW w:w="1899" w:type="dxa"/>
          </w:tcPr>
          <w:p>
            <w:pPr>
              <w:pStyle w:val="TableParagraph"/>
              <w:spacing w:line="204" w:lineRule="auto" w:before="67"/>
              <w:ind w:left="619" w:right="223" w:hanging="420"/>
              <w:rPr>
                <w:rFonts w:ascii="Microsoft JhengHei" w:eastAsia="Microsoft JhengHei" w:hint="eastAsia"/>
                <w:b/>
                <w:sz w:val="21"/>
              </w:rPr>
            </w:pPr>
            <w:r>
              <w:rPr>
                <w:rFonts w:ascii="Microsoft JhengHei" w:eastAsia="Microsoft JhengHei" w:hint="eastAsia"/>
                <w:b/>
                <w:sz w:val="21"/>
              </w:rPr>
              <w:t>31. 中度阿尔茨海默症</w:t>
            </w:r>
          </w:p>
        </w:tc>
        <w:tc>
          <w:tcPr>
            <w:tcW w:w="8119" w:type="dxa"/>
          </w:tcPr>
          <w:p>
            <w:pPr>
              <w:pStyle w:val="TableParagraph"/>
              <w:spacing w:line="261" w:lineRule="auto" w:before="98"/>
              <w:ind w:left="144" w:right="281"/>
              <w:rPr>
                <w:rFonts w:ascii="黑体" w:eastAsia="黑体" w:hint="eastAsia"/>
                <w:sz w:val="24"/>
              </w:rPr>
            </w:pPr>
            <w:r>
              <w:rPr>
                <w:spacing w:val="-10"/>
                <w:sz w:val="21"/>
              </w:rPr>
              <w:t>指因大脑进行性、不可逆性改变导致智能严重衰退或丧失，临床表现为明显的认知能</w:t>
            </w:r>
            <w:r>
              <w:rPr>
                <w:spacing w:val="-12"/>
                <w:sz w:val="21"/>
              </w:rPr>
              <w:t>力障碍、行为异常和社交能力减退，其日常生活必须持续受到他人监护。须由头颅断</w:t>
            </w:r>
            <w:r>
              <w:rPr>
                <w:spacing w:val="-12"/>
                <w:w w:val="100"/>
                <w:sz w:val="21"/>
              </w:rPr>
              <w:t>层扫描（</w:t>
            </w:r>
            <w:r>
              <w:rPr>
                <w:rFonts w:ascii="Times New Roman" w:eastAsia="Times New Roman"/>
                <w:spacing w:val="-12"/>
                <w:w w:val="100"/>
                <w:sz w:val="21"/>
              </w:rPr>
              <w:t>C</w:t>
            </w:r>
            <w:r>
              <w:rPr>
                <w:rFonts w:ascii="Times New Roman" w:eastAsia="Times New Roman"/>
                <w:spacing w:val="-2"/>
                <w:w w:val="100"/>
                <w:sz w:val="21"/>
              </w:rPr>
              <w:t>T</w:t>
            </w:r>
            <w:r>
              <w:rPr>
                <w:spacing w:val="-104"/>
                <w:w w:val="100"/>
                <w:sz w:val="21"/>
              </w:rPr>
              <w:t>）</w:t>
            </w:r>
            <w:r>
              <w:rPr>
                <w:spacing w:val="-1"/>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）或正电子发射断层扫描</w:t>
            </w:r>
            <w:r>
              <w:rPr>
                <w:spacing w:val="-2"/>
                <w:w w:val="100"/>
                <w:sz w:val="21"/>
              </w:rPr>
              <w:t>（</w:t>
            </w:r>
            <w:r>
              <w:rPr>
                <w:rFonts w:ascii="Times New Roman" w:eastAsia="Times New Roman"/>
                <w:spacing w:val="1"/>
                <w:w w:val="100"/>
                <w:sz w:val="21"/>
              </w:rPr>
              <w:t>P</w:t>
            </w:r>
            <w:r>
              <w:rPr>
                <w:rFonts w:ascii="Times New Roman" w:eastAsia="Times New Roman"/>
                <w:spacing w:val="-2"/>
                <w:w w:val="100"/>
                <w:sz w:val="21"/>
              </w:rPr>
              <w:t>E</w:t>
            </w:r>
            <w:r>
              <w:rPr>
                <w:rFonts w:ascii="Times New Roman" w:eastAsia="Times New Roman"/>
                <w:w w:val="100"/>
                <w:sz w:val="21"/>
              </w:rPr>
              <w:t>T</w:t>
            </w:r>
            <w:r>
              <w:rPr>
                <w:w w:val="100"/>
                <w:sz w:val="21"/>
              </w:rPr>
              <w:t>）</w:t>
            </w:r>
            <w:r>
              <w:rPr>
                <w:spacing w:val="-2"/>
                <w:w w:val="100"/>
                <w:sz w:val="21"/>
              </w:rPr>
              <w:t>等影像学检查</w:t>
            </w:r>
            <w:r>
              <w:rPr>
                <w:spacing w:val="-3"/>
                <w:sz w:val="21"/>
              </w:rPr>
              <w:t>证实，且自主生活能力严重丧失，无法独立完成六项基本日常生活活动中的两项。</w:t>
            </w:r>
            <w:r>
              <w:rPr>
                <w:rFonts w:ascii="黑体" w:eastAsia="黑体" w:hint="eastAsia"/>
                <w:spacing w:val="-3"/>
                <w:sz w:val="24"/>
              </w:rPr>
              <w:t>以下情况不在保障范围内：</w:t>
            </w:r>
          </w:p>
          <w:p>
            <w:pPr>
              <w:pStyle w:val="TableParagraph"/>
              <w:spacing w:line="289" w:lineRule="exact"/>
              <w:ind w:left="144"/>
              <w:rPr>
                <w:rFonts w:ascii="黑体" w:eastAsia="黑体" w:hint="eastAsia"/>
                <w:sz w:val="24"/>
              </w:rPr>
            </w:pPr>
            <w:r>
              <w:rPr>
                <w:rFonts w:ascii="黑体" w:eastAsia="黑体" w:hint="eastAsia"/>
                <w:sz w:val="24"/>
              </w:rPr>
              <w:t>（1）与酒精，药物滥用或获得性免疫缺陷综合征（AIDS）相关的痴呆；</w:t>
            </w:r>
          </w:p>
          <w:p>
            <w:pPr>
              <w:pStyle w:val="TableParagraph"/>
              <w:spacing w:line="313" w:lineRule="exact"/>
              <w:ind w:left="144"/>
              <w:rPr>
                <w:rFonts w:ascii="黑体" w:eastAsia="黑体" w:hint="eastAsia"/>
                <w:sz w:val="24"/>
              </w:rPr>
            </w:pPr>
            <w:r>
              <w:rPr>
                <w:rFonts w:ascii="黑体" w:eastAsia="黑体" w:hint="eastAsia"/>
                <w:sz w:val="24"/>
              </w:rPr>
              <w:t>（2）神经官能症和精神疾病。</w:t>
            </w:r>
          </w:p>
        </w:tc>
      </w:tr>
      <w:tr>
        <w:trPr>
          <w:trHeight w:val="1786" w:hRule="atLeast"/>
        </w:trPr>
        <w:tc>
          <w:tcPr>
            <w:tcW w:w="1899" w:type="dxa"/>
          </w:tcPr>
          <w:p>
            <w:pPr>
              <w:pStyle w:val="TableParagraph"/>
              <w:spacing w:before="11"/>
              <w:ind w:left="200"/>
              <w:rPr>
                <w:rFonts w:ascii="Microsoft JhengHei" w:eastAsia="Microsoft JhengHei" w:hint="eastAsia"/>
                <w:b/>
                <w:sz w:val="21"/>
              </w:rPr>
            </w:pPr>
            <w:r>
              <w:rPr>
                <w:rFonts w:ascii="Microsoft JhengHei" w:eastAsia="Microsoft JhengHei" w:hint="eastAsia"/>
                <w:b/>
                <w:sz w:val="21"/>
              </w:rPr>
              <w:t>32.  中度瘫痪</w:t>
            </w:r>
          </w:p>
        </w:tc>
        <w:tc>
          <w:tcPr>
            <w:tcW w:w="8119" w:type="dxa"/>
          </w:tcPr>
          <w:p>
            <w:pPr>
              <w:pStyle w:val="TableParagraph"/>
              <w:spacing w:line="254" w:lineRule="auto" w:before="97"/>
              <w:ind w:left="144" w:right="197"/>
              <w:rPr>
                <w:rFonts w:ascii="黑体" w:eastAsia="黑体" w:hint="eastAsia"/>
                <w:sz w:val="24"/>
              </w:rPr>
            </w:pPr>
            <w:r>
              <w:rPr>
                <w:spacing w:val="-6"/>
                <w:sz w:val="21"/>
              </w:rPr>
              <w:t>指因疾病或者意外伤害导致一肢肢体机能永久完全丧失。肢体机能永久完全丧失，指</w:t>
            </w:r>
            <w:r>
              <w:rPr>
                <w:spacing w:val="-13"/>
                <w:sz w:val="21"/>
              </w:rPr>
              <w:t>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11"/>
                <w:sz w:val="21"/>
              </w:rPr>
              <w:t>天后，该肢三大关节中的两大关节仍然完全僵</w:t>
            </w:r>
            <w:r>
              <w:rPr>
                <w:spacing w:val="-6"/>
                <w:sz w:val="21"/>
              </w:rPr>
              <w:t>硬，或不能随意识活动。肢体是指包括肩关节的整个上肢或包括髋关节的整个下肢。</w:t>
            </w:r>
            <w:r>
              <w:rPr>
                <w:rFonts w:ascii="黑体" w:eastAsia="黑体" w:hint="eastAsia"/>
                <w:spacing w:val="-6"/>
                <w:sz w:val="24"/>
              </w:rPr>
              <w:t>自我伤害，病毒感染后的临时瘫痪或由于心理疾病造成的机能丧失不在保障范围内。</w:t>
            </w:r>
          </w:p>
        </w:tc>
      </w:tr>
      <w:tr>
        <w:trPr>
          <w:trHeight w:val="1469" w:hRule="atLeast"/>
        </w:trPr>
        <w:tc>
          <w:tcPr>
            <w:tcW w:w="1899" w:type="dxa"/>
          </w:tcPr>
          <w:p>
            <w:pPr>
              <w:pStyle w:val="TableParagraph"/>
              <w:spacing w:line="204" w:lineRule="auto" w:before="67"/>
              <w:ind w:left="619" w:right="223" w:hanging="420"/>
              <w:jc w:val="both"/>
              <w:rPr>
                <w:rFonts w:ascii="Microsoft JhengHei" w:eastAsia="Microsoft JhengHei" w:hint="eastAsia"/>
                <w:b/>
                <w:sz w:val="21"/>
              </w:rPr>
            </w:pPr>
            <w:r>
              <w:rPr>
                <w:rFonts w:ascii="Microsoft JhengHei" w:eastAsia="Microsoft JhengHei" w:hint="eastAsia"/>
                <w:b/>
                <w:sz w:val="21"/>
              </w:rPr>
              <w:t>33. 因肾上腺皮质腺瘤切除肾上腺</w:t>
            </w:r>
          </w:p>
        </w:tc>
        <w:tc>
          <w:tcPr>
            <w:tcW w:w="8119" w:type="dxa"/>
          </w:tcPr>
          <w:p>
            <w:pPr>
              <w:pStyle w:val="TableParagraph"/>
              <w:spacing w:line="273" w:lineRule="auto" w:before="98"/>
              <w:ind w:left="144" w:right="283"/>
              <w:rPr>
                <w:sz w:val="21"/>
              </w:rPr>
            </w:pPr>
            <w:r>
              <w:rPr>
                <w:sz w:val="21"/>
              </w:rPr>
              <w:t>因肾上腺皮质腺瘤所导致的醛固酮分泌过多而产生的继发性恶性高血压而实际接受了肾上腺切除术治疗。</w:t>
            </w:r>
          </w:p>
          <w:p>
            <w:pPr>
              <w:pStyle w:val="TableParagraph"/>
              <w:spacing w:line="273" w:lineRule="auto" w:before="7"/>
              <w:ind w:left="144" w:right="282"/>
              <w:rPr>
                <w:sz w:val="21"/>
              </w:rPr>
            </w:pPr>
            <w:r>
              <w:rPr>
                <w:sz w:val="21"/>
              </w:rPr>
              <w:t>此诊断及治疗均须在我们认可的医疗机构内由专科医生认为是医疗必须的情况下进行。</w:t>
            </w:r>
          </w:p>
        </w:tc>
      </w:tr>
      <w:tr>
        <w:trPr>
          <w:trHeight w:val="851" w:hRule="atLeast"/>
        </w:trPr>
        <w:tc>
          <w:tcPr>
            <w:tcW w:w="1899" w:type="dxa"/>
          </w:tcPr>
          <w:p>
            <w:pPr>
              <w:pStyle w:val="TableParagraph"/>
              <w:spacing w:line="204" w:lineRule="auto" w:before="71"/>
              <w:ind w:left="619" w:right="223" w:hanging="420"/>
              <w:rPr>
                <w:rFonts w:ascii="Microsoft JhengHei" w:eastAsia="Microsoft JhengHei" w:hint="eastAsia"/>
                <w:b/>
                <w:sz w:val="21"/>
              </w:rPr>
            </w:pPr>
            <w:r>
              <w:rPr>
                <w:rFonts w:ascii="Microsoft JhengHei" w:eastAsia="Microsoft JhengHei" w:hint="eastAsia"/>
                <w:b/>
                <w:sz w:val="21"/>
              </w:rPr>
              <w:t>34. 心包膜切除术</w:t>
            </w:r>
          </w:p>
        </w:tc>
        <w:tc>
          <w:tcPr>
            <w:tcW w:w="8119" w:type="dxa"/>
          </w:tcPr>
          <w:p>
            <w:pPr>
              <w:pStyle w:val="TableParagraph"/>
              <w:spacing w:line="273" w:lineRule="auto" w:before="102"/>
              <w:ind w:left="144" w:right="279"/>
              <w:rPr>
                <w:sz w:val="21"/>
              </w:rPr>
            </w:pPr>
            <w:r>
              <w:rPr>
                <w:spacing w:val="-6"/>
                <w:sz w:val="21"/>
              </w:rPr>
              <w:t>因心包膜疾病导致已接受心包膜切除术或已进行任何需要心脏小切口技术的手术。手</w:t>
            </w:r>
            <w:r>
              <w:rPr>
                <w:spacing w:val="-4"/>
                <w:sz w:val="21"/>
              </w:rPr>
              <w:t>术必须在心脏科医生认为是医学上必需的情况下进行。</w:t>
            </w:r>
          </w:p>
        </w:tc>
      </w:tr>
      <w:tr>
        <w:trPr>
          <w:trHeight w:val="2100" w:hRule="atLeast"/>
        </w:trPr>
        <w:tc>
          <w:tcPr>
            <w:tcW w:w="1899" w:type="dxa"/>
          </w:tcPr>
          <w:p>
            <w:pPr>
              <w:pStyle w:val="TableParagraph"/>
              <w:spacing w:line="204" w:lineRule="auto" w:before="72"/>
              <w:ind w:left="619" w:right="223" w:hanging="420"/>
              <w:jc w:val="both"/>
              <w:rPr>
                <w:rFonts w:ascii="Microsoft JhengHei" w:eastAsia="Microsoft JhengHei" w:hint="eastAsia"/>
                <w:b/>
                <w:sz w:val="21"/>
              </w:rPr>
            </w:pPr>
            <w:r>
              <w:rPr>
                <w:rFonts w:ascii="Microsoft JhengHei" w:eastAsia="Microsoft JhengHei" w:hint="eastAsia"/>
                <w:b/>
                <w:sz w:val="21"/>
              </w:rPr>
              <w:t>35. 于颈动脉进行血管成形术或内膜切除术</w:t>
            </w:r>
          </w:p>
        </w:tc>
        <w:tc>
          <w:tcPr>
            <w:tcW w:w="8119" w:type="dxa"/>
          </w:tcPr>
          <w:p>
            <w:pPr>
              <w:pStyle w:val="TableParagraph"/>
              <w:spacing w:line="264" w:lineRule="auto" w:before="103"/>
              <w:ind w:left="144" w:right="279"/>
              <w:jc w:val="both"/>
              <w:rPr>
                <w:sz w:val="21"/>
              </w:rPr>
            </w:pPr>
            <w:r>
              <w:rPr>
                <w:spacing w:val="-9"/>
                <w:sz w:val="21"/>
              </w:rPr>
              <w:t>指根据颈动脉造影检查结果，确诊一条或以上颈动脉存在严重狭窄性病变</w:t>
            </w:r>
            <w:r>
              <w:rPr>
                <w:spacing w:val="-3"/>
                <w:sz w:val="21"/>
              </w:rPr>
              <w:t>（</w:t>
            </w:r>
            <w:r>
              <w:rPr>
                <w:spacing w:val="-1"/>
                <w:sz w:val="21"/>
              </w:rPr>
              <w:t>至少一支</w:t>
            </w:r>
            <w:r>
              <w:rPr>
                <w:spacing w:val="-6"/>
                <w:sz w:val="21"/>
              </w:rPr>
              <w:t>血管管腔直径减少 </w:t>
            </w:r>
            <w:r>
              <w:rPr>
                <w:rFonts w:ascii="Times New Roman" w:eastAsia="Times New Roman"/>
                <w:sz w:val="21"/>
              </w:rPr>
              <w:t>50</w:t>
            </w:r>
            <w:r>
              <w:rPr>
                <w:spacing w:val="-2"/>
                <w:sz w:val="21"/>
              </w:rPr>
              <w:t>％以上</w:t>
            </w:r>
            <w:r>
              <w:rPr>
                <w:spacing w:val="-106"/>
                <w:sz w:val="21"/>
              </w:rPr>
              <w:t>）</w:t>
            </w:r>
            <w:r>
              <w:rPr>
                <w:spacing w:val="-7"/>
                <w:sz w:val="21"/>
              </w:rPr>
              <w:t>。本病须经国家机关认可的有合法资质的专科医生明确</w:t>
            </w:r>
            <w:r>
              <w:rPr>
                <w:spacing w:val="-5"/>
                <w:sz w:val="21"/>
              </w:rPr>
              <w:t>诊断，同时必须已经采取以下手术以减轻症状：</w:t>
            </w:r>
          </w:p>
          <w:p>
            <w:pPr>
              <w:pStyle w:val="TableParagraph"/>
              <w:spacing w:before="15"/>
              <w:ind w:left="144"/>
              <w:rPr>
                <w:sz w:val="21"/>
              </w:rPr>
            </w:pPr>
            <w:r>
              <w:rPr>
                <w:sz w:val="21"/>
              </w:rPr>
              <w:t>（</w:t>
            </w:r>
            <w:r>
              <w:rPr>
                <w:rFonts w:ascii="Times New Roman" w:eastAsia="Times New Roman"/>
                <w:sz w:val="21"/>
              </w:rPr>
              <w:t>1</w:t>
            </w:r>
            <w:r>
              <w:rPr>
                <w:sz w:val="21"/>
              </w:rPr>
              <w:t>）确实进行动脉内膜切除术；或</w:t>
            </w:r>
          </w:p>
          <w:p>
            <w:pPr>
              <w:pStyle w:val="TableParagraph"/>
              <w:spacing w:line="259" w:lineRule="auto" w:before="20"/>
              <w:ind w:left="670" w:right="284" w:hanging="527"/>
              <w:rPr>
                <w:sz w:val="21"/>
              </w:rPr>
            </w:pPr>
            <w:r>
              <w:rPr>
                <w:sz w:val="21"/>
              </w:rPr>
              <w:t>（</w:t>
            </w:r>
            <w:r>
              <w:rPr>
                <w:rFonts w:ascii="Times New Roman" w:eastAsia="Times New Roman"/>
                <w:sz w:val="21"/>
              </w:rPr>
              <w:t>2</w:t>
            </w:r>
            <w:r>
              <w:rPr>
                <w:sz w:val="21"/>
              </w:rPr>
              <w:t>）确实进行血管介入治疗，例如血管成形术及／或进行植入支架或动脉粥样瘤清除手术。</w:t>
            </w:r>
          </w:p>
        </w:tc>
      </w:tr>
      <w:tr>
        <w:trPr>
          <w:trHeight w:val="1162" w:hRule="atLeast"/>
        </w:trPr>
        <w:tc>
          <w:tcPr>
            <w:tcW w:w="1899" w:type="dxa"/>
          </w:tcPr>
          <w:p>
            <w:pPr>
              <w:pStyle w:val="TableParagraph"/>
              <w:spacing w:line="204" w:lineRule="auto" w:before="72"/>
              <w:ind w:left="619" w:right="223" w:hanging="420"/>
              <w:rPr>
                <w:rFonts w:ascii="Microsoft JhengHei" w:eastAsia="Microsoft JhengHei" w:hint="eastAsia"/>
                <w:b/>
                <w:sz w:val="21"/>
              </w:rPr>
            </w:pPr>
            <w:r>
              <w:rPr>
                <w:rFonts w:ascii="Microsoft JhengHei" w:eastAsia="Microsoft JhengHei" w:hint="eastAsia"/>
                <w:b/>
                <w:sz w:val="21"/>
              </w:rPr>
              <w:t>36. 腔静脉过滤器植入术</w:t>
            </w:r>
          </w:p>
        </w:tc>
        <w:tc>
          <w:tcPr>
            <w:tcW w:w="8119" w:type="dxa"/>
          </w:tcPr>
          <w:p>
            <w:pPr>
              <w:pStyle w:val="TableParagraph"/>
              <w:spacing w:line="273" w:lineRule="auto" w:before="104"/>
              <w:ind w:left="144" w:right="279"/>
              <w:jc w:val="both"/>
              <w:rPr>
                <w:sz w:val="21"/>
              </w:rPr>
            </w:pPr>
            <w:r>
              <w:rPr>
                <w:sz w:val="21"/>
              </w:rPr>
              <w:t>指经本公司认可医院的专科医生证明有反复肺栓塞发作及抗凝治疗无效而必须接受</w:t>
            </w:r>
            <w:r>
              <w:rPr>
                <w:spacing w:val="-11"/>
                <w:sz w:val="21"/>
              </w:rPr>
              <w:t>手术植入腔静脉过滤器。理赔时需提供完整病历及手术记录以证明植入腔静脉过滤器</w:t>
            </w:r>
            <w:r>
              <w:rPr>
                <w:spacing w:val="-6"/>
                <w:sz w:val="21"/>
              </w:rPr>
              <w:t>有必要性及已确实施行了手术。</w:t>
            </w:r>
          </w:p>
        </w:tc>
      </w:tr>
      <w:tr>
        <w:trPr>
          <w:trHeight w:val="1168" w:hRule="atLeast"/>
        </w:trPr>
        <w:tc>
          <w:tcPr>
            <w:tcW w:w="1899"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37.  早期象皮病</w:t>
            </w:r>
          </w:p>
        </w:tc>
        <w:tc>
          <w:tcPr>
            <w:tcW w:w="8119" w:type="dxa"/>
          </w:tcPr>
          <w:p>
            <w:pPr>
              <w:pStyle w:val="TableParagraph"/>
              <w:spacing w:line="273" w:lineRule="auto" w:before="102"/>
              <w:ind w:left="144" w:right="279"/>
              <w:rPr>
                <w:sz w:val="21"/>
              </w:rPr>
            </w:pPr>
            <w:r>
              <w:rPr>
                <w:spacing w:val="-6"/>
                <w:sz w:val="21"/>
              </w:rPr>
              <w:t>指因丝虫感染导致淋巴管阻塞而造成身体组织出现严重淋巴水肿。此病症须经本公司</w:t>
            </w:r>
            <w:r>
              <w:rPr>
                <w:spacing w:val="-4"/>
                <w:sz w:val="21"/>
              </w:rPr>
              <w:t>认可医院的专科医生根据临床表现和微丝蚴的化验结果确诊。</w:t>
            </w:r>
          </w:p>
          <w:p>
            <w:pPr>
              <w:pStyle w:val="TableParagraph"/>
              <w:spacing w:line="294" w:lineRule="exact"/>
              <w:ind w:left="144"/>
              <w:rPr>
                <w:rFonts w:ascii="黑体" w:eastAsia="黑体" w:hint="eastAsia"/>
                <w:sz w:val="24"/>
              </w:rPr>
            </w:pPr>
            <w:r>
              <w:rPr>
                <w:rFonts w:ascii="黑体" w:eastAsia="黑体" w:hint="eastAsia"/>
                <w:sz w:val="24"/>
              </w:rPr>
              <w:t>急性淋巴管炎或其它原因引起的淋巴水肿并不在保障范围內。</w:t>
            </w:r>
          </w:p>
        </w:tc>
      </w:tr>
      <w:tr>
        <w:trPr>
          <w:trHeight w:val="686" w:hRule="atLeast"/>
        </w:trPr>
        <w:tc>
          <w:tcPr>
            <w:tcW w:w="1899" w:type="dxa"/>
          </w:tcPr>
          <w:p>
            <w:pPr>
              <w:pStyle w:val="TableParagraph"/>
              <w:spacing w:line="312" w:lineRule="exact" w:before="74"/>
              <w:ind w:left="619" w:right="223" w:hanging="420"/>
              <w:rPr>
                <w:rFonts w:ascii="Microsoft JhengHei" w:eastAsia="Microsoft JhengHei" w:hint="eastAsia"/>
                <w:b/>
                <w:sz w:val="21"/>
              </w:rPr>
            </w:pPr>
            <w:r>
              <w:rPr>
                <w:rFonts w:ascii="Microsoft JhengHei" w:eastAsia="Microsoft JhengHei" w:hint="eastAsia"/>
                <w:b/>
                <w:sz w:val="21"/>
              </w:rPr>
              <w:t>38. 微创冠状动脉搭桥手术</w:t>
            </w:r>
          </w:p>
        </w:tc>
        <w:tc>
          <w:tcPr>
            <w:tcW w:w="8119" w:type="dxa"/>
          </w:tcPr>
          <w:p>
            <w:pPr>
              <w:pStyle w:val="TableParagraph"/>
              <w:spacing w:line="310" w:lineRule="atLeast" w:before="63"/>
              <w:ind w:left="144" w:right="279"/>
              <w:rPr>
                <w:sz w:val="21"/>
              </w:rPr>
            </w:pPr>
            <w:r>
              <w:rPr>
                <w:spacing w:val="-8"/>
                <w:sz w:val="21"/>
              </w:rPr>
              <w:t>指为纠正冠状动脉的狭窄或堵塞，而实际实施的微创冠状动脉旁路移植手术。手术通</w:t>
            </w:r>
            <w:r>
              <w:rPr>
                <w:spacing w:val="-10"/>
                <w:sz w:val="21"/>
              </w:rPr>
              <w:t>过微创开胸术</w:t>
            </w:r>
            <w:r>
              <w:rPr>
                <w:sz w:val="21"/>
              </w:rPr>
              <w:t>（</w:t>
            </w:r>
            <w:r>
              <w:rPr>
                <w:spacing w:val="-3"/>
                <w:sz w:val="21"/>
              </w:rPr>
              <w:t>肋骨间小切口</w:t>
            </w:r>
            <w:r>
              <w:rPr>
                <w:spacing w:val="-32"/>
                <w:sz w:val="21"/>
              </w:rPr>
              <w:t>）</w:t>
            </w:r>
            <w:r>
              <w:rPr>
                <w:spacing w:val="-7"/>
                <w:sz w:val="21"/>
              </w:rPr>
              <w:t>进行，且诊断须由冠状动脉血管造影检查确诊狭窄或</w:t>
            </w:r>
          </w:p>
        </w:tc>
      </w:tr>
    </w:tbl>
    <w:p>
      <w:pPr>
        <w:spacing w:after="0" w:line="310" w:lineRule="atLeast"/>
        <w:rPr>
          <w:sz w:val="21"/>
        </w:rPr>
        <w:sectPr>
          <w:pgSz w:w="11910" w:h="16840"/>
          <w:pgMar w:header="0" w:footer="593" w:top="1160" w:bottom="780" w:left="94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92"/>
      </w:tblGrid>
      <w:tr>
        <w:trPr>
          <w:trHeight w:val="1004" w:hRule="atLeast"/>
        </w:trPr>
        <w:tc>
          <w:tcPr>
            <w:tcW w:w="1858" w:type="dxa"/>
          </w:tcPr>
          <w:p>
            <w:pPr>
              <w:pStyle w:val="TableParagraph"/>
              <w:ind w:left="0"/>
              <w:rPr>
                <w:rFonts w:ascii="Times New Roman"/>
                <w:sz w:val="20"/>
              </w:rPr>
            </w:pPr>
          </w:p>
        </w:tc>
        <w:tc>
          <w:tcPr>
            <w:tcW w:w="8192" w:type="dxa"/>
          </w:tcPr>
          <w:p>
            <w:pPr>
              <w:pStyle w:val="TableParagraph"/>
              <w:spacing w:line="211" w:lineRule="exact"/>
              <w:rPr>
                <w:sz w:val="21"/>
              </w:rPr>
            </w:pPr>
            <w:r>
              <w:rPr>
                <w:sz w:val="21"/>
              </w:rPr>
              <w:t>堵塞。微创冠状动脉绕道也包括“锁孔”冠脉搭桥手术。必须满足下列全部条件：</w:t>
            </w:r>
          </w:p>
          <w:p>
            <w:pPr>
              <w:pStyle w:val="TableParagraph"/>
              <w:numPr>
                <w:ilvl w:val="0"/>
                <w:numId w:val="6"/>
              </w:numPr>
              <w:tabs>
                <w:tab w:pos="537" w:val="left" w:leader="none"/>
              </w:tabs>
              <w:spacing w:line="240" w:lineRule="auto" w:before="37" w:after="0"/>
              <w:ind w:left="536" w:right="0" w:hanging="351"/>
              <w:jc w:val="left"/>
              <w:rPr>
                <w:sz w:val="21"/>
              </w:rPr>
            </w:pPr>
            <w:r>
              <w:rPr>
                <w:spacing w:val="-5"/>
                <w:sz w:val="21"/>
              </w:rPr>
              <w:t>血管造影显示至少两支冠状动脉狭窄超过 </w:t>
            </w:r>
            <w:r>
              <w:rPr>
                <w:rFonts w:ascii="Times New Roman" w:eastAsia="Times New Roman"/>
                <w:sz w:val="21"/>
              </w:rPr>
              <w:t>50%</w:t>
            </w:r>
            <w:r>
              <w:rPr>
                <w:spacing w:val="-6"/>
                <w:sz w:val="21"/>
              </w:rPr>
              <w:t>或一支冠状动脉狭窄超过 </w:t>
            </w:r>
            <w:r>
              <w:rPr>
                <w:rFonts w:ascii="Times New Roman" w:eastAsia="Times New Roman"/>
                <w:sz w:val="21"/>
              </w:rPr>
              <w:t>70%</w:t>
            </w:r>
            <w:r>
              <w:rPr>
                <w:sz w:val="21"/>
              </w:rPr>
              <w:t>；</w:t>
            </w:r>
          </w:p>
          <w:p>
            <w:pPr>
              <w:pStyle w:val="TableParagraph"/>
              <w:numPr>
                <w:ilvl w:val="0"/>
                <w:numId w:val="6"/>
              </w:numPr>
              <w:tabs>
                <w:tab w:pos="537" w:val="left" w:leader="none"/>
              </w:tabs>
              <w:spacing w:line="240" w:lineRule="auto" w:before="21" w:after="0"/>
              <w:ind w:left="536" w:right="0" w:hanging="351"/>
              <w:jc w:val="left"/>
              <w:rPr>
                <w:sz w:val="21"/>
              </w:rPr>
            </w:pPr>
            <w:r>
              <w:rPr>
                <w:spacing w:val="-3"/>
                <w:sz w:val="21"/>
              </w:rPr>
              <w:t>手术须由心脏专科医师进行，并确认该手术的必要性。</w:t>
            </w:r>
          </w:p>
        </w:tc>
      </w:tr>
      <w:tr>
        <w:trPr>
          <w:trHeight w:val="1156" w:hRule="atLeast"/>
        </w:trPr>
        <w:tc>
          <w:tcPr>
            <w:tcW w:w="1858" w:type="dxa"/>
          </w:tcPr>
          <w:p>
            <w:pPr>
              <w:pStyle w:val="TableParagraph"/>
              <w:spacing w:line="204" w:lineRule="auto" w:before="64"/>
              <w:ind w:left="619" w:right="182" w:hanging="420"/>
              <w:jc w:val="both"/>
              <w:rPr>
                <w:rFonts w:ascii="Microsoft JhengHei" w:eastAsia="Microsoft JhengHei" w:hint="eastAsia"/>
                <w:b/>
                <w:sz w:val="21"/>
              </w:rPr>
            </w:pPr>
            <w:r>
              <w:rPr>
                <w:rFonts w:ascii="Microsoft JhengHei" w:eastAsia="Microsoft JhengHei" w:hint="eastAsia"/>
                <w:b/>
                <w:sz w:val="21"/>
              </w:rPr>
              <w:t>39. 心脏起搏器或除颤器植入</w:t>
            </w:r>
          </w:p>
        </w:tc>
        <w:tc>
          <w:tcPr>
            <w:tcW w:w="8192" w:type="dxa"/>
          </w:tcPr>
          <w:p>
            <w:pPr>
              <w:pStyle w:val="TableParagraph"/>
              <w:spacing w:line="273" w:lineRule="auto" w:before="96"/>
              <w:ind w:right="311"/>
              <w:rPr>
                <w:sz w:val="21"/>
              </w:rPr>
            </w:pPr>
            <w:r>
              <w:rPr>
                <w:spacing w:val="-6"/>
                <w:sz w:val="21"/>
              </w:rPr>
              <w:t>因严重心律失常而确实已行植入永久性心脏起搏器或除顫器的手术。理赔时须提供完</w:t>
            </w:r>
            <w:r>
              <w:rPr>
                <w:spacing w:val="-4"/>
                <w:sz w:val="21"/>
              </w:rPr>
              <w:t>整病历资料及手术记录以证实此严重心律失常并不能以其他方法治疗。</w:t>
            </w:r>
          </w:p>
          <w:p>
            <w:pPr>
              <w:pStyle w:val="TableParagraph"/>
              <w:spacing w:before="8"/>
              <w:rPr>
                <w:sz w:val="21"/>
              </w:rPr>
            </w:pPr>
            <w:r>
              <w:rPr>
                <w:sz w:val="21"/>
              </w:rPr>
              <w:t>诊断及治疗均须在我们认可的医疗机构内由专科医生认为是医疗必须的情况下进行。</w:t>
            </w:r>
          </w:p>
        </w:tc>
      </w:tr>
      <w:tr>
        <w:trPr>
          <w:trHeight w:val="3040"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40. 早期原发性心ft病</w:t>
            </w:r>
          </w:p>
        </w:tc>
        <w:tc>
          <w:tcPr>
            <w:tcW w:w="8192" w:type="dxa"/>
          </w:tcPr>
          <w:p>
            <w:pPr>
              <w:pStyle w:val="TableParagraph"/>
              <w:spacing w:before="103"/>
              <w:rPr>
                <w:sz w:val="21"/>
              </w:rPr>
            </w:pPr>
            <w:r>
              <w:rPr>
                <w:sz w:val="21"/>
              </w:rPr>
              <w:t>被诊断为原发性心肌病，并符合下列所有条件：</w:t>
            </w:r>
          </w:p>
          <w:p>
            <w:pPr>
              <w:pStyle w:val="TableParagraph"/>
              <w:numPr>
                <w:ilvl w:val="0"/>
                <w:numId w:val="7"/>
              </w:numPr>
              <w:tabs>
                <w:tab w:pos="750" w:val="left" w:leader="none"/>
              </w:tabs>
              <w:spacing w:line="264" w:lineRule="auto" w:before="36" w:after="0"/>
              <w:ind w:left="711" w:right="312" w:hanging="526"/>
              <w:jc w:val="both"/>
              <w:rPr>
                <w:sz w:val="21"/>
              </w:rPr>
            </w:pPr>
            <w:r>
              <w:rPr>
                <w:spacing w:val="-11"/>
                <w:sz w:val="21"/>
              </w:rPr>
              <w:t>导致心室功能受损，其受损程度达到美国纽约心脏病学会心脏功能分级的第 </w:t>
            </w:r>
            <w:r>
              <w:rPr>
                <w:rFonts w:ascii="Times New Roman" w:eastAsia="Times New Roman"/>
                <w:sz w:val="21"/>
              </w:rPr>
              <w:t>III </w:t>
            </w:r>
            <w:r>
              <w:rPr>
                <w:spacing w:val="-3"/>
                <w:sz w:val="21"/>
              </w:rPr>
              <w:t>级，或其同等级別，即：体力活动明显受限，休息时无症状，轻于日常的活动即可引起充血性心力衰竭的症状；</w:t>
            </w:r>
          </w:p>
          <w:p>
            <w:pPr>
              <w:pStyle w:val="TableParagraph"/>
              <w:numPr>
                <w:ilvl w:val="0"/>
                <w:numId w:val="7"/>
              </w:numPr>
              <w:tabs>
                <w:tab w:pos="817" w:val="left" w:leader="none"/>
              </w:tabs>
              <w:spacing w:line="240" w:lineRule="auto" w:before="15" w:after="0"/>
              <w:ind w:left="816" w:right="0" w:hanging="631"/>
              <w:jc w:val="left"/>
              <w:rPr>
                <w:sz w:val="21"/>
              </w:rPr>
            </w:pPr>
            <w:r>
              <w:rPr>
                <w:spacing w:val="-2"/>
                <w:sz w:val="21"/>
              </w:rPr>
              <w:t>左室射血分数 </w:t>
            </w:r>
            <w:r>
              <w:rPr>
                <w:rFonts w:ascii="Times New Roman" w:eastAsia="Times New Roman"/>
                <w:spacing w:val="-7"/>
                <w:sz w:val="21"/>
              </w:rPr>
              <w:t>LVEF</w:t>
            </w:r>
            <w:r>
              <w:rPr>
                <w:rFonts w:ascii="Times New Roman" w:eastAsia="Times New Roman"/>
                <w:spacing w:val="1"/>
                <w:sz w:val="21"/>
              </w:rPr>
              <w:t> </w:t>
            </w:r>
            <w:r>
              <w:rPr>
                <w:rFonts w:ascii="Times New Roman" w:eastAsia="Times New Roman"/>
                <w:sz w:val="21"/>
              </w:rPr>
              <w:t>&lt;35%</w:t>
            </w:r>
            <w:r>
              <w:rPr>
                <w:sz w:val="21"/>
              </w:rPr>
              <w:t>；</w:t>
            </w:r>
          </w:p>
          <w:p>
            <w:pPr>
              <w:pStyle w:val="TableParagraph"/>
              <w:numPr>
                <w:ilvl w:val="0"/>
                <w:numId w:val="7"/>
              </w:numPr>
              <w:tabs>
                <w:tab w:pos="777" w:val="left" w:leader="none"/>
              </w:tabs>
              <w:spacing w:line="256" w:lineRule="auto" w:before="21" w:after="0"/>
              <w:ind w:left="711" w:right="313" w:hanging="526"/>
              <w:jc w:val="left"/>
              <w:rPr>
                <w:sz w:val="21"/>
              </w:rPr>
            </w:pPr>
            <w:r>
              <w:rPr>
                <w:spacing w:val="-5"/>
                <w:sz w:val="21"/>
              </w:rPr>
              <w:t>原发性心肌病的诊断必须由本公司认可医院的心脏专科医生确认，并提供心脏</w:t>
            </w:r>
            <w:r>
              <w:rPr>
                <w:spacing w:val="-4"/>
                <w:sz w:val="21"/>
              </w:rPr>
              <w:t>超声检查结果报告。</w:t>
            </w:r>
          </w:p>
          <w:p>
            <w:pPr>
              <w:pStyle w:val="TableParagraph"/>
              <w:spacing w:line="237" w:lineRule="auto"/>
              <w:ind w:right="197"/>
              <w:rPr>
                <w:rFonts w:ascii="黑体" w:eastAsia="黑体" w:hint="eastAsia"/>
                <w:sz w:val="24"/>
              </w:rPr>
            </w:pPr>
            <w:r>
              <w:rPr>
                <w:rFonts w:ascii="黑体" w:eastAsia="黑体" w:hint="eastAsia"/>
                <w:spacing w:val="-6"/>
                <w:sz w:val="24"/>
              </w:rPr>
              <w:t>本保障范围内的心肌病包括扩张型心肌病、肥厚型心肌病及限制型心肌病， 继发于酒精滥用性的心肌病不在此保障范围之内。</w:t>
            </w:r>
          </w:p>
        </w:tc>
      </w:tr>
      <w:tr>
        <w:trPr>
          <w:trHeight w:val="845" w:hRule="atLeast"/>
        </w:trPr>
        <w:tc>
          <w:tcPr>
            <w:tcW w:w="1858" w:type="dxa"/>
          </w:tcPr>
          <w:p>
            <w:pPr>
              <w:pStyle w:val="TableParagraph"/>
              <w:spacing w:before="11"/>
              <w:ind w:left="200"/>
              <w:rPr>
                <w:rFonts w:ascii="Microsoft JhengHei" w:eastAsia="Microsoft JhengHei" w:hint="eastAsia"/>
                <w:b/>
                <w:sz w:val="21"/>
              </w:rPr>
            </w:pPr>
            <w:r>
              <w:rPr>
                <w:rFonts w:ascii="Microsoft JhengHei" w:eastAsia="Microsoft JhengHei" w:hint="eastAsia"/>
                <w:b/>
                <w:sz w:val="21"/>
              </w:rPr>
              <w:t>41.  心脏粘液瘤</w:t>
            </w:r>
          </w:p>
        </w:tc>
        <w:tc>
          <w:tcPr>
            <w:tcW w:w="8192" w:type="dxa"/>
          </w:tcPr>
          <w:p>
            <w:pPr>
              <w:pStyle w:val="TableParagraph"/>
              <w:spacing w:line="273" w:lineRule="auto" w:before="97"/>
              <w:ind w:right="311"/>
              <w:rPr>
                <w:sz w:val="21"/>
              </w:rPr>
            </w:pPr>
            <w:r>
              <w:rPr>
                <w:spacing w:val="-6"/>
                <w:sz w:val="21"/>
              </w:rPr>
              <w:t>指经我们认可的医疗机构内的心脏专科医师确诊的心脏原发性良性心脏肿瘤，并已经</w:t>
            </w:r>
            <w:r>
              <w:rPr>
                <w:spacing w:val="-4"/>
                <w:sz w:val="21"/>
              </w:rPr>
              <w:t>已接受切除术以及术后病理或细胞学诊断。</w:t>
            </w:r>
          </w:p>
        </w:tc>
      </w:tr>
      <w:tr>
        <w:trPr>
          <w:trHeight w:val="2731"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42. 严重大动脉炎</w:t>
            </w:r>
          </w:p>
        </w:tc>
        <w:tc>
          <w:tcPr>
            <w:tcW w:w="8192" w:type="dxa"/>
          </w:tcPr>
          <w:p>
            <w:pPr>
              <w:pStyle w:val="TableParagraph"/>
              <w:spacing w:line="273" w:lineRule="auto" w:before="104"/>
              <w:ind w:right="4850"/>
              <w:rPr>
                <w:sz w:val="21"/>
              </w:rPr>
            </w:pPr>
            <w:r>
              <w:rPr>
                <w:sz w:val="21"/>
              </w:rPr>
              <w:t>是指动脉慢性非特异性炎性疾病。本项保障仅涵盖下列血管：</w:t>
            </w:r>
          </w:p>
          <w:p>
            <w:pPr>
              <w:pStyle w:val="TableParagraph"/>
              <w:spacing w:before="8"/>
              <w:rPr>
                <w:sz w:val="21"/>
              </w:rPr>
            </w:pPr>
            <w:r>
              <w:rPr>
                <w:w w:val="100"/>
                <w:sz w:val="21"/>
              </w:rPr>
              <w:t>（</w:t>
            </w:r>
            <w:r>
              <w:rPr>
                <w:rFonts w:ascii="Times New Roman" w:eastAsia="Times New Roman"/>
                <w:w w:val="100"/>
                <w:sz w:val="21"/>
              </w:rPr>
              <w:t>1</w:t>
            </w:r>
            <w:r>
              <w:rPr>
                <w:spacing w:val="-3"/>
                <w:w w:val="100"/>
                <w:sz w:val="21"/>
              </w:rPr>
              <w:t>）为下肢或上肢供血的动脉（如髂、股、腘、肱、桡动脉等</w:t>
            </w:r>
            <w:r>
              <w:rPr>
                <w:spacing w:val="-106"/>
                <w:w w:val="100"/>
                <w:sz w:val="21"/>
              </w:rPr>
              <w:t>）</w:t>
            </w:r>
            <w:r>
              <w:rPr>
                <w:w w:val="100"/>
                <w:sz w:val="21"/>
              </w:rPr>
              <w:t>；</w:t>
            </w:r>
          </w:p>
          <w:p>
            <w:pPr>
              <w:pStyle w:val="TableParagraph"/>
              <w:spacing w:before="21"/>
              <w:rPr>
                <w:sz w:val="21"/>
              </w:rPr>
            </w:pPr>
            <w:r>
              <w:rPr>
                <w:sz w:val="21"/>
              </w:rPr>
              <w:t>（</w:t>
            </w:r>
            <w:r>
              <w:rPr>
                <w:rFonts w:ascii="Times New Roman" w:eastAsia="Times New Roman"/>
                <w:sz w:val="21"/>
              </w:rPr>
              <w:t>2</w:t>
            </w:r>
            <w:r>
              <w:rPr>
                <w:sz w:val="21"/>
              </w:rPr>
              <w:t>）肾动脉；</w:t>
            </w:r>
          </w:p>
          <w:p>
            <w:pPr>
              <w:pStyle w:val="TableParagraph"/>
              <w:spacing w:before="21"/>
              <w:rPr>
                <w:sz w:val="21"/>
              </w:rPr>
            </w:pPr>
            <w:r>
              <w:rPr>
                <w:sz w:val="21"/>
              </w:rPr>
              <w:t>（</w:t>
            </w:r>
            <w:r>
              <w:rPr>
                <w:rFonts w:ascii="Times New Roman" w:eastAsia="Times New Roman"/>
                <w:sz w:val="21"/>
              </w:rPr>
              <w:t>3</w:t>
            </w:r>
            <w:r>
              <w:rPr>
                <w:sz w:val="21"/>
              </w:rPr>
              <w:t>）肠系膜动脉。</w:t>
            </w:r>
          </w:p>
          <w:p>
            <w:pPr>
              <w:pStyle w:val="TableParagraph"/>
              <w:spacing w:before="21"/>
              <w:rPr>
                <w:sz w:val="21"/>
              </w:rPr>
            </w:pPr>
            <w:r>
              <w:rPr>
                <w:sz w:val="21"/>
              </w:rPr>
              <w:t>经本公司认可医院的心脏专科医师确诊的大动脉炎，并满足如下全部条件：</w:t>
            </w:r>
          </w:p>
          <w:p>
            <w:pPr>
              <w:pStyle w:val="TableParagraph"/>
              <w:spacing w:before="37"/>
              <w:rPr>
                <w:sz w:val="21"/>
              </w:rPr>
            </w:pPr>
            <w:r>
              <w:rPr>
                <w:sz w:val="21"/>
              </w:rPr>
              <w:t>（</w:t>
            </w:r>
            <w:r>
              <w:rPr>
                <w:rFonts w:ascii="Times New Roman" w:eastAsia="Times New Roman"/>
                <w:sz w:val="21"/>
              </w:rPr>
              <w:t>1</w:t>
            </w:r>
            <w:r>
              <w:rPr>
                <w:sz w:val="21"/>
              </w:rPr>
              <w:t>）红细胞沉降率及 </w:t>
            </w:r>
            <w:r>
              <w:rPr>
                <w:rFonts w:ascii="Times New Roman" w:eastAsia="Times New Roman"/>
                <w:sz w:val="21"/>
              </w:rPr>
              <w:t>C </w:t>
            </w:r>
            <w:r>
              <w:rPr>
                <w:sz w:val="21"/>
              </w:rPr>
              <w:t>反应蛋白高于正常值；</w:t>
            </w:r>
          </w:p>
          <w:p>
            <w:pPr>
              <w:pStyle w:val="TableParagraph"/>
              <w:spacing w:before="21"/>
              <w:rPr>
                <w:sz w:val="21"/>
              </w:rPr>
            </w:pPr>
            <w:r>
              <w:rPr>
                <w:sz w:val="21"/>
              </w:rPr>
              <w:t>（</w:t>
            </w:r>
            <w:r>
              <w:rPr>
                <w:rFonts w:ascii="Times New Roman" w:eastAsia="Times New Roman"/>
                <w:sz w:val="21"/>
              </w:rPr>
              <w:t>2</w:t>
            </w:r>
            <w:r>
              <w:rPr>
                <w:sz w:val="21"/>
              </w:rPr>
              <w:t>）超声检查、</w:t>
            </w:r>
            <w:r>
              <w:rPr>
                <w:rFonts w:ascii="Times New Roman" w:eastAsia="Times New Roman"/>
                <w:sz w:val="21"/>
              </w:rPr>
              <w:t>CTA  </w:t>
            </w:r>
            <w:r>
              <w:rPr>
                <w:sz w:val="21"/>
              </w:rPr>
              <w:t>检查或血管造影检查证实一条或以上的血管存在狭窄或闭塞。</w:t>
            </w:r>
          </w:p>
        </w:tc>
      </w:tr>
      <w:tr>
        <w:trPr>
          <w:trHeight w:val="1162" w:hRule="atLeast"/>
        </w:trPr>
        <w:tc>
          <w:tcPr>
            <w:tcW w:w="1858" w:type="dxa"/>
          </w:tcPr>
          <w:p>
            <w:pPr>
              <w:pStyle w:val="TableParagraph"/>
              <w:spacing w:line="204" w:lineRule="auto" w:before="63"/>
              <w:ind w:left="619" w:right="182" w:hanging="420"/>
              <w:rPr>
                <w:rFonts w:ascii="Microsoft JhengHei" w:eastAsia="Microsoft JhengHei" w:hint="eastAsia"/>
                <w:b/>
                <w:sz w:val="21"/>
              </w:rPr>
            </w:pPr>
            <w:r>
              <w:rPr>
                <w:rFonts w:ascii="Microsoft JhengHei" w:eastAsia="Microsoft JhengHei" w:hint="eastAsia"/>
                <w:b/>
                <w:sz w:val="21"/>
              </w:rPr>
              <w:t>43. 中度肠道疾病并发症</w:t>
            </w:r>
          </w:p>
        </w:tc>
        <w:tc>
          <w:tcPr>
            <w:tcW w:w="8192" w:type="dxa"/>
          </w:tcPr>
          <w:p>
            <w:pPr>
              <w:pStyle w:val="TableParagraph"/>
              <w:spacing w:before="94"/>
              <w:rPr>
                <w:sz w:val="21"/>
              </w:rPr>
            </w:pPr>
            <w:r>
              <w:rPr>
                <w:sz w:val="21"/>
              </w:rPr>
              <w:t>严重肠道疾病或外伤导致小肠损害并发症，本疾病须满足以下所有条件：</w:t>
            </w:r>
          </w:p>
          <w:p>
            <w:pPr>
              <w:pStyle w:val="TableParagraph"/>
              <w:spacing w:before="36"/>
              <w:rPr>
                <w:sz w:val="21"/>
              </w:rPr>
            </w:pPr>
            <w:r>
              <w:rPr>
                <w:sz w:val="21"/>
              </w:rPr>
              <w:t>（</w:t>
            </w:r>
            <w:r>
              <w:rPr>
                <w:rFonts w:ascii="Times New Roman" w:eastAsia="Times New Roman"/>
                <w:sz w:val="21"/>
              </w:rPr>
              <w:t>1</w:t>
            </w:r>
            <w:r>
              <w:rPr>
                <w:sz w:val="21"/>
              </w:rPr>
              <w:t>）至少切除了二分之一小肠；</w:t>
            </w:r>
          </w:p>
          <w:p>
            <w:pPr>
              <w:pStyle w:val="TableParagraph"/>
              <w:spacing w:before="21"/>
              <w:rPr>
                <w:sz w:val="21"/>
              </w:rPr>
            </w:pPr>
            <w:r>
              <w:rPr>
                <w:sz w:val="21"/>
              </w:rPr>
              <w:t>（</w:t>
            </w:r>
            <w:r>
              <w:rPr>
                <w:rFonts w:ascii="Times New Roman" w:eastAsia="Times New Roman"/>
                <w:sz w:val="21"/>
              </w:rPr>
              <w:t>2</w:t>
            </w:r>
            <w:r>
              <w:rPr>
                <w:sz w:val="21"/>
              </w:rPr>
              <w:t>）完全肠外营养支持二个月以上。</w:t>
            </w:r>
          </w:p>
        </w:tc>
      </w:tr>
      <w:tr>
        <w:trPr>
          <w:trHeight w:val="1161" w:hRule="atLeast"/>
        </w:trPr>
        <w:tc>
          <w:tcPr>
            <w:tcW w:w="1858" w:type="dxa"/>
          </w:tcPr>
          <w:p>
            <w:pPr>
              <w:pStyle w:val="TableParagraph"/>
              <w:spacing w:line="204" w:lineRule="auto" w:before="64"/>
              <w:ind w:left="619" w:right="182" w:hanging="420"/>
              <w:rPr>
                <w:rFonts w:ascii="Microsoft JhengHei" w:eastAsia="Microsoft JhengHei" w:hint="eastAsia"/>
                <w:b/>
                <w:sz w:val="21"/>
              </w:rPr>
            </w:pPr>
            <w:r>
              <w:rPr>
                <w:rFonts w:ascii="Microsoft JhengHei" w:eastAsia="Microsoft JhengHei" w:hint="eastAsia"/>
                <w:b/>
                <w:sz w:val="21"/>
              </w:rPr>
              <w:t>44. 单侧肺脏切除</w:t>
            </w:r>
          </w:p>
        </w:tc>
        <w:tc>
          <w:tcPr>
            <w:tcW w:w="8192" w:type="dxa"/>
          </w:tcPr>
          <w:p>
            <w:pPr>
              <w:pStyle w:val="TableParagraph"/>
              <w:spacing w:before="96"/>
              <w:rPr>
                <w:sz w:val="21"/>
              </w:rPr>
            </w:pPr>
            <w:r>
              <w:rPr>
                <w:sz w:val="21"/>
              </w:rPr>
              <w:t>指因疾病或意外事故实际实施的一侧肺脏切除术。</w:t>
            </w:r>
          </w:p>
          <w:p>
            <w:pPr>
              <w:pStyle w:val="TableParagraph"/>
              <w:spacing w:line="237" w:lineRule="auto" w:before="12"/>
              <w:ind w:right="318"/>
              <w:rPr>
                <w:rFonts w:ascii="黑体" w:eastAsia="黑体" w:hint="eastAsia"/>
                <w:sz w:val="24"/>
              </w:rPr>
            </w:pPr>
            <w:r>
              <w:rPr>
                <w:rFonts w:ascii="黑体" w:eastAsia="黑体" w:hint="eastAsia"/>
                <w:sz w:val="24"/>
              </w:rPr>
              <w:t>因药物滥用、酗酒、肺脏部分切除手术、肺脏捐献引起的手术不在保障范围内。</w:t>
            </w:r>
          </w:p>
        </w:tc>
      </w:tr>
      <w:tr>
        <w:trPr>
          <w:trHeight w:val="1163" w:hRule="atLeast"/>
        </w:trPr>
        <w:tc>
          <w:tcPr>
            <w:tcW w:w="1858" w:type="dxa"/>
          </w:tcPr>
          <w:p>
            <w:pPr>
              <w:pStyle w:val="TableParagraph"/>
              <w:spacing w:before="12"/>
              <w:ind w:left="200"/>
              <w:rPr>
                <w:rFonts w:ascii="Microsoft JhengHei" w:eastAsia="Microsoft JhengHei" w:hint="eastAsia"/>
                <w:b/>
                <w:sz w:val="21"/>
              </w:rPr>
            </w:pPr>
            <w:r>
              <w:rPr>
                <w:rFonts w:ascii="Microsoft JhengHei" w:eastAsia="Microsoft JhengHei" w:hint="eastAsia"/>
                <w:b/>
                <w:sz w:val="21"/>
              </w:rPr>
              <w:t>45.  肝脏切除</w:t>
            </w:r>
          </w:p>
        </w:tc>
        <w:tc>
          <w:tcPr>
            <w:tcW w:w="8192" w:type="dxa"/>
          </w:tcPr>
          <w:p>
            <w:pPr>
              <w:pStyle w:val="TableParagraph"/>
              <w:spacing w:line="242" w:lineRule="auto" w:before="98"/>
              <w:ind w:right="315"/>
              <w:jc w:val="both"/>
              <w:rPr>
                <w:rFonts w:ascii="黑体" w:eastAsia="黑体" w:hint="eastAsia"/>
                <w:sz w:val="24"/>
              </w:rPr>
            </w:pPr>
            <w:r>
              <w:rPr>
                <w:sz w:val="21"/>
              </w:rPr>
              <w:t>指因疾病或意外事故实际实施的肝脏部分切除术，手术须有至少一个完整的肝叶切除。</w:t>
            </w:r>
            <w:r>
              <w:rPr>
                <w:rFonts w:ascii="黑体" w:eastAsia="黑体" w:hint="eastAsia"/>
                <w:sz w:val="24"/>
              </w:rPr>
              <w:t>因药物滥用、酗酒导致的肝脏损伤不在保障范围内。肝脏捐献引起的手术不在保障范围内。</w:t>
            </w:r>
          </w:p>
        </w:tc>
      </w:tr>
      <w:tr>
        <w:trPr>
          <w:trHeight w:val="1932" w:hRule="atLeast"/>
        </w:trPr>
        <w:tc>
          <w:tcPr>
            <w:tcW w:w="1858" w:type="dxa"/>
          </w:tcPr>
          <w:p>
            <w:pPr>
              <w:pStyle w:val="TableParagraph"/>
              <w:spacing w:line="204" w:lineRule="auto" w:before="66"/>
              <w:ind w:left="619" w:right="182" w:hanging="420"/>
              <w:rPr>
                <w:rFonts w:ascii="Microsoft JhengHei" w:eastAsia="Microsoft JhengHei" w:hint="eastAsia"/>
                <w:b/>
                <w:sz w:val="21"/>
              </w:rPr>
            </w:pPr>
            <w:r>
              <w:rPr>
                <w:rFonts w:ascii="Microsoft JhengHei" w:eastAsia="Microsoft JhengHei" w:hint="eastAsia"/>
                <w:b/>
                <w:sz w:val="21"/>
              </w:rPr>
              <w:t>46. 中度严重溃疡性结肠炎</w:t>
            </w:r>
          </w:p>
        </w:tc>
        <w:tc>
          <w:tcPr>
            <w:tcW w:w="8192" w:type="dxa"/>
          </w:tcPr>
          <w:p>
            <w:pPr>
              <w:pStyle w:val="TableParagraph"/>
              <w:spacing w:line="273" w:lineRule="auto" w:before="97"/>
              <w:ind w:right="233"/>
              <w:rPr>
                <w:sz w:val="21"/>
              </w:rPr>
            </w:pPr>
            <w:r>
              <w:rPr>
                <w:sz w:val="21"/>
              </w:rPr>
              <w:t>溃疡性结肠炎是指伴有致命性电解质紊乱的大肠（结肠及直肠）粘膜炎症，病变累及全大肠。须满足下列所有条件：</w:t>
            </w:r>
          </w:p>
          <w:p>
            <w:pPr>
              <w:pStyle w:val="TableParagraph"/>
              <w:numPr>
                <w:ilvl w:val="0"/>
                <w:numId w:val="8"/>
              </w:numPr>
              <w:tabs>
                <w:tab w:pos="777" w:val="left" w:leader="none"/>
              </w:tabs>
              <w:spacing w:line="256" w:lineRule="auto" w:before="7" w:after="0"/>
              <w:ind w:left="711" w:right="313" w:hanging="526"/>
              <w:jc w:val="left"/>
              <w:rPr>
                <w:sz w:val="21"/>
              </w:rPr>
            </w:pPr>
            <w:r>
              <w:rPr>
                <w:spacing w:val="-5"/>
                <w:sz w:val="21"/>
              </w:rPr>
              <w:t>须经由内窥镜检查证实该疾病侵犯全部结肠及直肠，并经病理学组织切片检查</w:t>
            </w:r>
            <w:r>
              <w:rPr>
                <w:spacing w:val="-4"/>
                <w:sz w:val="21"/>
              </w:rPr>
              <w:t>证实为溃疡性结肠炎；</w:t>
            </w:r>
          </w:p>
          <w:p>
            <w:pPr>
              <w:pStyle w:val="TableParagraph"/>
              <w:numPr>
                <w:ilvl w:val="0"/>
                <w:numId w:val="8"/>
              </w:numPr>
              <w:tabs>
                <w:tab w:pos="817" w:val="left" w:leader="none"/>
              </w:tabs>
              <w:spacing w:line="240" w:lineRule="auto" w:before="21" w:after="0"/>
              <w:ind w:left="816" w:right="0" w:hanging="631"/>
              <w:jc w:val="left"/>
              <w:rPr>
                <w:sz w:val="21"/>
              </w:rPr>
            </w:pPr>
            <w:r>
              <w:rPr>
                <w:spacing w:val="-5"/>
                <w:sz w:val="21"/>
              </w:rPr>
              <w:t>经专科注册医生以类固醇或免疫抑制剂连续治疗 </w:t>
            </w:r>
            <w:r>
              <w:rPr>
                <w:rFonts w:ascii="Times New Roman" w:eastAsia="Times New Roman"/>
                <w:sz w:val="21"/>
              </w:rPr>
              <w:t>6</w:t>
            </w:r>
            <w:r>
              <w:rPr>
                <w:rFonts w:ascii="Times New Roman" w:eastAsia="Times New Roman"/>
                <w:spacing w:val="10"/>
                <w:sz w:val="21"/>
              </w:rPr>
              <w:t> </w:t>
            </w:r>
            <w:r>
              <w:rPr>
                <w:spacing w:val="-2"/>
                <w:sz w:val="21"/>
              </w:rPr>
              <w:t>个月。</w:t>
            </w:r>
          </w:p>
          <w:p>
            <w:pPr>
              <w:pStyle w:val="TableParagraph"/>
              <w:spacing w:line="255" w:lineRule="exact" w:before="20"/>
              <w:rPr>
                <w:sz w:val="21"/>
              </w:rPr>
            </w:pPr>
            <w:r>
              <w:rPr>
                <w:sz w:val="21"/>
              </w:rPr>
              <w:t>诊断及治疗均须在我们认可的医疗机构内由专科医师认为是医疗必须的情况下进行。</w:t>
            </w:r>
          </w:p>
        </w:tc>
      </w:tr>
    </w:tbl>
    <w:p>
      <w:pPr>
        <w:spacing w:after="0" w:line="255" w:lineRule="exact"/>
        <w:rPr>
          <w:sz w:val="21"/>
        </w:rPr>
        <w:sectPr>
          <w:pgSz w:w="11910" w:h="16840"/>
          <w:pgMar w:header="0" w:footer="593" w:top="1160" w:bottom="780" w:left="940" w:right="7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8042"/>
      </w:tblGrid>
      <w:tr>
        <w:trPr>
          <w:trHeight w:val="696" w:hRule="atLeast"/>
        </w:trPr>
        <w:tc>
          <w:tcPr>
            <w:tcW w:w="2004" w:type="dxa"/>
          </w:tcPr>
          <w:p>
            <w:pPr>
              <w:pStyle w:val="TableParagraph"/>
              <w:spacing w:line="196" w:lineRule="exact"/>
              <w:ind w:left="307"/>
              <w:rPr>
                <w:rFonts w:ascii="Microsoft JhengHei" w:eastAsia="Microsoft JhengHei" w:hint="eastAsia"/>
                <w:b/>
                <w:sz w:val="21"/>
              </w:rPr>
            </w:pPr>
            <w:r>
              <w:rPr>
                <w:rFonts w:ascii="Microsoft JhengHei" w:eastAsia="Microsoft JhengHei" w:hint="eastAsia"/>
                <w:b/>
                <w:sz w:val="21"/>
              </w:rPr>
              <w:t>47.  单侧肾脏切</w:t>
            </w:r>
          </w:p>
          <w:p>
            <w:pPr>
              <w:pStyle w:val="TableParagraph"/>
              <w:spacing w:line="339" w:lineRule="exact"/>
              <w:ind w:left="0" w:right="334"/>
              <w:jc w:val="center"/>
              <w:rPr>
                <w:rFonts w:ascii="Microsoft JhengHei" w:eastAsia="Microsoft JhengHei" w:hint="eastAsia"/>
                <w:b/>
                <w:sz w:val="21"/>
              </w:rPr>
            </w:pPr>
            <w:r>
              <w:rPr>
                <w:rFonts w:ascii="Microsoft JhengHei" w:eastAsia="Microsoft JhengHei" w:hint="eastAsia"/>
                <w:b/>
                <w:w w:val="100"/>
                <w:sz w:val="21"/>
              </w:rPr>
              <w:t>除</w:t>
            </w:r>
          </w:p>
        </w:tc>
        <w:tc>
          <w:tcPr>
            <w:tcW w:w="8042" w:type="dxa"/>
          </w:tcPr>
          <w:p>
            <w:pPr>
              <w:pStyle w:val="TableParagraph"/>
              <w:spacing w:line="218" w:lineRule="exact"/>
              <w:ind w:left="147"/>
              <w:rPr>
                <w:sz w:val="21"/>
              </w:rPr>
            </w:pPr>
            <w:r>
              <w:rPr>
                <w:sz w:val="21"/>
              </w:rPr>
              <w:t>指因疾病或意外事故实际实施的一侧肾脏切除术。</w:t>
            </w:r>
          </w:p>
          <w:p>
            <w:pPr>
              <w:pStyle w:val="TableParagraph"/>
              <w:spacing w:before="9"/>
              <w:ind w:left="147"/>
              <w:rPr>
                <w:rFonts w:ascii="黑体" w:eastAsia="黑体" w:hint="eastAsia"/>
                <w:sz w:val="24"/>
              </w:rPr>
            </w:pPr>
            <w:r>
              <w:rPr>
                <w:rFonts w:ascii="黑体" w:eastAsia="黑体" w:hint="eastAsia"/>
                <w:sz w:val="24"/>
              </w:rPr>
              <w:t>肾脏部分切除手术和肾脏捐献引起的手术不在保障范围内。</w:t>
            </w:r>
          </w:p>
        </w:tc>
      </w:tr>
      <w:tr>
        <w:trPr>
          <w:trHeight w:val="852" w:hRule="atLeast"/>
        </w:trPr>
        <w:tc>
          <w:tcPr>
            <w:tcW w:w="2004" w:type="dxa"/>
          </w:tcPr>
          <w:p>
            <w:pPr>
              <w:pStyle w:val="TableParagraph"/>
              <w:spacing w:line="204" w:lineRule="auto" w:before="67"/>
              <w:ind w:left="727" w:right="220" w:hanging="420"/>
              <w:rPr>
                <w:rFonts w:ascii="Microsoft JhengHei" w:eastAsia="Microsoft JhengHei" w:hint="eastAsia"/>
                <w:b/>
                <w:sz w:val="21"/>
              </w:rPr>
            </w:pPr>
            <w:r>
              <w:rPr>
                <w:rFonts w:ascii="Microsoft JhengHei" w:eastAsia="Microsoft JhengHei" w:hint="eastAsia"/>
                <w:b/>
                <w:sz w:val="21"/>
              </w:rPr>
              <w:t>48. 双侧睾丸切除术</w:t>
            </w:r>
          </w:p>
        </w:tc>
        <w:tc>
          <w:tcPr>
            <w:tcW w:w="8042" w:type="dxa"/>
          </w:tcPr>
          <w:p>
            <w:pPr>
              <w:pStyle w:val="TableParagraph"/>
              <w:spacing w:before="98"/>
              <w:ind w:left="147"/>
              <w:rPr>
                <w:sz w:val="21"/>
              </w:rPr>
            </w:pPr>
            <w:r>
              <w:rPr>
                <w:sz w:val="21"/>
              </w:rPr>
              <w:t>指为治疗疾病实际接受了双侧睾丸完全切除手术。</w:t>
            </w:r>
          </w:p>
          <w:p>
            <w:pPr>
              <w:pStyle w:val="TableParagraph"/>
              <w:spacing w:before="9"/>
              <w:ind w:left="147"/>
              <w:rPr>
                <w:rFonts w:ascii="黑体" w:eastAsia="黑体" w:hint="eastAsia"/>
                <w:sz w:val="24"/>
              </w:rPr>
            </w:pPr>
            <w:r>
              <w:rPr>
                <w:rFonts w:ascii="黑体" w:eastAsia="黑体" w:hint="eastAsia"/>
                <w:sz w:val="24"/>
              </w:rPr>
              <w:t>部分睾丸切除不在保障范围。</w:t>
            </w:r>
          </w:p>
        </w:tc>
      </w:tr>
      <w:tr>
        <w:trPr>
          <w:trHeight w:val="850" w:hRule="atLeast"/>
        </w:trPr>
        <w:tc>
          <w:tcPr>
            <w:tcW w:w="2004" w:type="dxa"/>
          </w:tcPr>
          <w:p>
            <w:pPr>
              <w:pStyle w:val="TableParagraph"/>
              <w:spacing w:line="204" w:lineRule="auto" w:before="67"/>
              <w:ind w:left="727" w:right="220" w:hanging="420"/>
              <w:rPr>
                <w:rFonts w:ascii="Microsoft JhengHei" w:eastAsia="Microsoft JhengHei" w:hint="eastAsia"/>
                <w:b/>
                <w:sz w:val="21"/>
              </w:rPr>
            </w:pPr>
            <w:r>
              <w:rPr>
                <w:rFonts w:ascii="Microsoft JhengHei" w:eastAsia="Microsoft JhengHei" w:hint="eastAsia"/>
                <w:b/>
                <w:sz w:val="21"/>
              </w:rPr>
              <w:t>49. 双侧卵巢切除术</w:t>
            </w:r>
          </w:p>
        </w:tc>
        <w:tc>
          <w:tcPr>
            <w:tcW w:w="8042" w:type="dxa"/>
          </w:tcPr>
          <w:p>
            <w:pPr>
              <w:pStyle w:val="TableParagraph"/>
              <w:spacing w:before="98"/>
              <w:ind w:left="147"/>
              <w:rPr>
                <w:sz w:val="21"/>
              </w:rPr>
            </w:pPr>
            <w:r>
              <w:rPr>
                <w:sz w:val="21"/>
              </w:rPr>
              <w:t>指为治疗疾病实际接受了经腹部切开或腹腔镜进行的双侧卵巢完全切除手术。</w:t>
            </w:r>
          </w:p>
          <w:p>
            <w:pPr>
              <w:pStyle w:val="TableParagraph"/>
              <w:spacing w:before="9"/>
              <w:ind w:left="147"/>
              <w:rPr>
                <w:rFonts w:ascii="黑体" w:eastAsia="黑体" w:hint="eastAsia"/>
                <w:sz w:val="24"/>
              </w:rPr>
            </w:pPr>
            <w:r>
              <w:rPr>
                <w:rFonts w:ascii="黑体" w:eastAsia="黑体" w:hint="eastAsia"/>
                <w:sz w:val="24"/>
              </w:rPr>
              <w:t>部分卵巢切除不在保障范围。</w:t>
            </w:r>
          </w:p>
        </w:tc>
      </w:tr>
      <w:tr>
        <w:trPr>
          <w:trHeight w:val="1475" w:hRule="atLeast"/>
        </w:trPr>
        <w:tc>
          <w:tcPr>
            <w:tcW w:w="2004" w:type="dxa"/>
          </w:tcPr>
          <w:p>
            <w:pPr>
              <w:pStyle w:val="TableParagraph"/>
              <w:spacing w:line="204" w:lineRule="auto" w:before="66"/>
              <w:ind w:left="727" w:right="220" w:hanging="420"/>
              <w:rPr>
                <w:rFonts w:ascii="Microsoft JhengHei" w:eastAsia="Microsoft JhengHei" w:hint="eastAsia"/>
                <w:b/>
                <w:sz w:val="21"/>
              </w:rPr>
            </w:pPr>
            <w:r>
              <w:rPr>
                <w:rFonts w:ascii="Microsoft JhengHei" w:eastAsia="Microsoft JhengHei" w:hint="eastAsia"/>
                <w:b/>
                <w:sz w:val="21"/>
              </w:rPr>
              <w:t>50. 可逆性再生障碍性贫血</w:t>
            </w:r>
          </w:p>
        </w:tc>
        <w:tc>
          <w:tcPr>
            <w:tcW w:w="8042" w:type="dxa"/>
          </w:tcPr>
          <w:p>
            <w:pPr>
              <w:pStyle w:val="TableParagraph"/>
              <w:spacing w:line="273" w:lineRule="auto" w:before="97"/>
              <w:ind w:left="147" w:right="199"/>
              <w:rPr>
                <w:sz w:val="21"/>
              </w:rPr>
            </w:pPr>
            <w:r>
              <w:rPr>
                <w:spacing w:val="-6"/>
                <w:sz w:val="21"/>
              </w:rPr>
              <w:t>指因急性可逆性的骨髓造血功能衰竭而导致贫血、中性粒细胞减少和血小板减少，必</w:t>
            </w:r>
            <w:r>
              <w:rPr>
                <w:spacing w:val="-4"/>
                <w:sz w:val="21"/>
              </w:rPr>
              <w:t>须由血液科医生的诊断，且病历资料显示接受了下列任一治疗：</w:t>
            </w:r>
          </w:p>
          <w:p>
            <w:pPr>
              <w:pStyle w:val="TableParagraph"/>
              <w:spacing w:before="7"/>
              <w:ind w:left="147"/>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before="20"/>
              <w:ind w:left="147"/>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tc>
      </w:tr>
      <w:tr>
        <w:trPr>
          <w:trHeight w:val="1165" w:hRule="atLeast"/>
        </w:trPr>
        <w:tc>
          <w:tcPr>
            <w:tcW w:w="2004" w:type="dxa"/>
          </w:tcPr>
          <w:p>
            <w:pPr>
              <w:pStyle w:val="TableParagraph"/>
              <w:spacing w:before="121"/>
              <w:ind w:left="200"/>
              <w:rPr>
                <w:b/>
                <w:sz w:val="21"/>
              </w:rPr>
            </w:pPr>
            <w:r>
              <w:rPr>
                <w:b/>
                <w:sz w:val="21"/>
              </w:rPr>
              <w:t>重大疾病</w:t>
            </w:r>
          </w:p>
        </w:tc>
        <w:tc>
          <w:tcPr>
            <w:tcW w:w="8042" w:type="dxa"/>
          </w:tcPr>
          <w:p>
            <w:pPr>
              <w:pStyle w:val="TableParagraph"/>
              <w:spacing w:before="97"/>
              <w:ind w:left="147"/>
              <w:rPr>
                <w:sz w:val="21"/>
              </w:rPr>
            </w:pPr>
            <w:r>
              <w:rPr>
                <w:spacing w:val="-4"/>
                <w:w w:val="100"/>
                <w:sz w:val="21"/>
              </w:rPr>
              <w:t>指被保险人发生符合以下疾病定义所述条件的疾病</w:t>
            </w:r>
            <w:r>
              <w:rPr>
                <w:w w:val="100"/>
                <w:sz w:val="21"/>
              </w:rPr>
              <w:t>（共</w:t>
            </w:r>
            <w:r>
              <w:rPr>
                <w:spacing w:val="-52"/>
                <w:sz w:val="21"/>
              </w:rPr>
              <w:t> </w:t>
            </w:r>
            <w:r>
              <w:rPr>
                <w:rFonts w:ascii="Arial" w:eastAsia="Arial"/>
                <w:spacing w:val="-3"/>
                <w:w w:val="100"/>
                <w:sz w:val="21"/>
              </w:rPr>
              <w:t>1</w:t>
            </w:r>
            <w:r>
              <w:rPr>
                <w:rFonts w:ascii="Arial" w:eastAsia="Arial"/>
                <w:w w:val="100"/>
                <w:sz w:val="21"/>
              </w:rPr>
              <w:t>00</w:t>
            </w:r>
            <w:r>
              <w:rPr>
                <w:rFonts w:ascii="Arial" w:eastAsia="Arial"/>
                <w:spacing w:val="-8"/>
                <w:sz w:val="21"/>
              </w:rPr>
              <w:t> </w:t>
            </w:r>
            <w:r>
              <w:rPr>
                <w:w w:val="100"/>
                <w:sz w:val="21"/>
              </w:rPr>
              <w:t>种</w:t>
            </w:r>
            <w:r>
              <w:rPr>
                <w:spacing w:val="-106"/>
                <w:w w:val="100"/>
                <w:sz w:val="21"/>
              </w:rPr>
              <w:t>）</w:t>
            </w:r>
            <w:r>
              <w:rPr>
                <w:spacing w:val="-4"/>
                <w:w w:val="100"/>
                <w:sz w:val="21"/>
              </w:rPr>
              <w:t>，应当由专科医生明</w:t>
            </w:r>
          </w:p>
          <w:p>
            <w:pPr>
              <w:pStyle w:val="TableParagraph"/>
              <w:spacing w:before="21"/>
              <w:ind w:left="147"/>
              <w:rPr>
                <w:sz w:val="21"/>
              </w:rPr>
            </w:pPr>
            <w:r>
              <w:rPr>
                <w:sz w:val="21"/>
              </w:rPr>
              <w:t>确诊断。第 </w:t>
            </w:r>
            <w:r>
              <w:rPr>
                <w:rFonts w:ascii="Arial" w:eastAsia="Arial"/>
                <w:sz w:val="21"/>
              </w:rPr>
              <w:t>1 </w:t>
            </w:r>
            <w:r>
              <w:rPr>
                <w:sz w:val="21"/>
              </w:rPr>
              <w:t>至第 </w:t>
            </w:r>
            <w:r>
              <w:rPr>
                <w:rFonts w:ascii="Arial" w:eastAsia="Arial"/>
                <w:sz w:val="21"/>
              </w:rPr>
              <w:t>25 </w:t>
            </w:r>
            <w:r>
              <w:rPr>
                <w:sz w:val="21"/>
              </w:rPr>
              <w:t>项为中国保险行业协会与中国医师协会共同制定的重大疾病保</w:t>
            </w:r>
          </w:p>
          <w:p>
            <w:pPr>
              <w:pStyle w:val="TableParagraph"/>
              <w:spacing w:before="21"/>
              <w:ind w:left="147"/>
              <w:rPr>
                <w:sz w:val="21"/>
              </w:rPr>
            </w:pPr>
            <w:r>
              <w:rPr>
                <w:sz w:val="21"/>
              </w:rPr>
              <w:t>险的疾病定义，第 </w:t>
            </w:r>
            <w:r>
              <w:rPr>
                <w:rFonts w:ascii="Arial" w:eastAsia="Arial"/>
                <w:sz w:val="21"/>
              </w:rPr>
              <w:t>26 </w:t>
            </w:r>
            <w:r>
              <w:rPr>
                <w:sz w:val="21"/>
              </w:rPr>
              <w:t>至第 </w:t>
            </w:r>
            <w:r>
              <w:rPr>
                <w:rFonts w:ascii="Arial" w:eastAsia="Arial"/>
                <w:sz w:val="21"/>
              </w:rPr>
              <w:t>100 </w:t>
            </w:r>
            <w:r>
              <w:rPr>
                <w:sz w:val="21"/>
              </w:rPr>
              <w:t>项为我们增加的疾病种类并自行制定的疾病定义。</w:t>
            </w:r>
          </w:p>
        </w:tc>
      </w:tr>
      <w:tr>
        <w:trPr>
          <w:trHeight w:val="3657" w:hRule="atLeast"/>
        </w:trPr>
        <w:tc>
          <w:tcPr>
            <w:tcW w:w="2004" w:type="dxa"/>
          </w:tcPr>
          <w:p>
            <w:pPr>
              <w:pStyle w:val="TableParagraph"/>
              <w:spacing w:before="10"/>
              <w:ind w:left="307"/>
              <w:rPr>
                <w:rFonts w:ascii="Microsoft JhengHei" w:eastAsia="Microsoft JhengHei" w:hint="eastAsia"/>
                <w:b/>
                <w:sz w:val="21"/>
              </w:rPr>
            </w:pPr>
            <w:r>
              <w:rPr>
                <w:rFonts w:ascii="Microsoft JhengHei" w:eastAsia="Microsoft JhengHei" w:hint="eastAsia"/>
                <w:b/>
                <w:sz w:val="21"/>
              </w:rPr>
              <w:t>1.  恶性肿瘤</w:t>
            </w:r>
          </w:p>
        </w:tc>
        <w:tc>
          <w:tcPr>
            <w:tcW w:w="8042" w:type="dxa"/>
          </w:tcPr>
          <w:p>
            <w:pPr>
              <w:pStyle w:val="TableParagraph"/>
              <w:spacing w:line="268" w:lineRule="auto" w:before="94"/>
              <w:ind w:left="147" w:right="199"/>
              <w:jc w:val="both"/>
              <w:rPr>
                <w:sz w:val="21"/>
              </w:rPr>
            </w:pPr>
            <w:r>
              <w:rPr>
                <w:spacing w:val="-8"/>
                <w:sz w:val="21"/>
              </w:rPr>
              <w:t>指恶性细胞不受控制的进行性增长和扩散，浸润和破坏周围正常组织，可以经血管淋</w:t>
            </w:r>
            <w:r>
              <w:rPr>
                <w:spacing w:val="-9"/>
                <w:sz w:val="21"/>
              </w:rPr>
              <w:t>巴管和体腔扩散转移到身体其它部位的疾病。经病理学检查结果明确诊断，临床诊断属于世界卫生组织《疾病和有关健康问题的国际统计分类》</w:t>
            </w:r>
            <w:r>
              <w:rPr>
                <w:sz w:val="21"/>
              </w:rPr>
              <w:t>（</w:t>
            </w:r>
            <w:r>
              <w:rPr>
                <w:rFonts w:ascii="Arial" w:eastAsia="Arial"/>
                <w:sz w:val="21"/>
              </w:rPr>
              <w:t>ICD-10</w:t>
            </w:r>
            <w:r>
              <w:rPr>
                <w:sz w:val="21"/>
              </w:rPr>
              <w:t>）</w:t>
            </w:r>
            <w:r>
              <w:rPr>
                <w:spacing w:val="-3"/>
                <w:sz w:val="21"/>
              </w:rPr>
              <w:t>的恶性肿瘤范畴。</w:t>
            </w:r>
          </w:p>
          <w:p>
            <w:pPr>
              <w:pStyle w:val="TableParagraph"/>
              <w:spacing w:line="297" w:lineRule="exact"/>
              <w:ind w:left="147"/>
              <w:jc w:val="both"/>
              <w:rPr>
                <w:rFonts w:ascii="黑体" w:eastAsia="黑体" w:hint="eastAsia"/>
                <w:sz w:val="24"/>
              </w:rPr>
            </w:pPr>
            <w:r>
              <w:rPr>
                <w:rFonts w:ascii="黑体" w:eastAsia="黑体" w:hint="eastAsia"/>
                <w:sz w:val="24"/>
              </w:rPr>
              <w:t>下列疾病不在保障范围内：</w:t>
            </w:r>
          </w:p>
          <w:p>
            <w:pPr>
              <w:pStyle w:val="TableParagraph"/>
              <w:spacing w:line="312" w:lineRule="exact"/>
              <w:ind w:left="147"/>
              <w:jc w:val="both"/>
              <w:rPr>
                <w:rFonts w:ascii="黑体" w:eastAsia="黑体" w:hint="eastAsia"/>
                <w:sz w:val="24"/>
              </w:rPr>
            </w:pPr>
            <w:r>
              <w:rPr>
                <w:rFonts w:ascii="黑体" w:eastAsia="黑体" w:hint="eastAsia"/>
                <w:sz w:val="24"/>
              </w:rPr>
              <w:t>（1）原位癌；</w:t>
            </w:r>
          </w:p>
          <w:p>
            <w:pPr>
              <w:pStyle w:val="TableParagraph"/>
              <w:spacing w:line="312" w:lineRule="exact"/>
              <w:ind w:left="147"/>
              <w:jc w:val="both"/>
              <w:rPr>
                <w:rFonts w:ascii="黑体" w:eastAsia="黑体" w:hint="eastAsia"/>
                <w:sz w:val="24"/>
              </w:rPr>
            </w:pPr>
            <w:r>
              <w:rPr>
                <w:rFonts w:ascii="黑体" w:eastAsia="黑体" w:hint="eastAsia"/>
                <w:sz w:val="24"/>
              </w:rPr>
              <w:t>（2）相当于 Binet 分期方案 A 期程度的慢性淋巴细胞白血病；</w:t>
            </w:r>
          </w:p>
          <w:p>
            <w:pPr>
              <w:pStyle w:val="TableParagraph"/>
              <w:spacing w:line="312" w:lineRule="exact"/>
              <w:ind w:left="147"/>
              <w:jc w:val="both"/>
              <w:rPr>
                <w:rFonts w:ascii="黑体" w:eastAsia="黑体" w:hint="eastAsia"/>
                <w:sz w:val="24"/>
              </w:rPr>
            </w:pPr>
            <w:r>
              <w:rPr>
                <w:rFonts w:ascii="黑体" w:eastAsia="黑体" w:hint="eastAsia"/>
                <w:sz w:val="24"/>
              </w:rPr>
              <w:t>（3）相当于 Ann Arbor 分期方案 I 期程度的何杰金氏病；</w:t>
            </w:r>
          </w:p>
          <w:p>
            <w:pPr>
              <w:pStyle w:val="TableParagraph"/>
              <w:spacing w:line="312" w:lineRule="exact"/>
              <w:ind w:left="147"/>
              <w:jc w:val="both"/>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pStyle w:val="TableParagraph"/>
              <w:spacing w:line="312" w:lineRule="exact"/>
              <w:ind w:left="147"/>
              <w:jc w:val="both"/>
              <w:rPr>
                <w:rFonts w:ascii="黑体" w:eastAsia="黑体" w:hint="eastAsia"/>
                <w:sz w:val="24"/>
              </w:rPr>
            </w:pPr>
            <w:r>
              <w:rPr>
                <w:rFonts w:ascii="黑体" w:eastAsia="黑体" w:hint="eastAsia"/>
                <w:sz w:val="24"/>
              </w:rPr>
              <w:t>（5）TNM 分期为 T1N0M0 期或更轻分期的前列腺癌；</w:t>
            </w:r>
          </w:p>
          <w:p>
            <w:pPr>
              <w:pStyle w:val="TableParagraph"/>
              <w:spacing w:line="313" w:lineRule="exact"/>
              <w:ind w:left="147"/>
              <w:jc w:val="both"/>
              <w:rPr>
                <w:rFonts w:ascii="黑体" w:eastAsia="黑体" w:hint="eastAsia"/>
                <w:sz w:val="24"/>
              </w:rPr>
            </w:pPr>
            <w:r>
              <w:rPr>
                <w:rFonts w:ascii="黑体" w:eastAsia="黑体" w:hint="eastAsia"/>
                <w:sz w:val="24"/>
              </w:rPr>
              <w:t>（6）感染艾滋病病毒或患艾滋病期间所患恶性肿瘤。</w:t>
            </w:r>
          </w:p>
        </w:tc>
      </w:tr>
      <w:tr>
        <w:trPr>
          <w:trHeight w:val="2094" w:hRule="atLeast"/>
        </w:trPr>
        <w:tc>
          <w:tcPr>
            <w:tcW w:w="2004" w:type="dxa"/>
          </w:tcPr>
          <w:p>
            <w:pPr>
              <w:pStyle w:val="TableParagraph"/>
              <w:spacing w:before="13"/>
              <w:ind w:left="0" w:right="145"/>
              <w:jc w:val="right"/>
              <w:rPr>
                <w:rFonts w:ascii="Microsoft JhengHei" w:eastAsia="Microsoft JhengHei" w:hint="eastAsia"/>
                <w:b/>
                <w:sz w:val="21"/>
              </w:rPr>
            </w:pPr>
            <w:r>
              <w:rPr>
                <w:rFonts w:ascii="Microsoft JhengHei" w:eastAsia="Microsoft JhengHei" w:hint="eastAsia"/>
                <w:b/>
                <w:w w:val="105"/>
                <w:sz w:val="21"/>
              </w:rPr>
              <w:t>2. 急性心ft梗塞</w:t>
            </w:r>
          </w:p>
        </w:tc>
        <w:tc>
          <w:tcPr>
            <w:tcW w:w="8042" w:type="dxa"/>
          </w:tcPr>
          <w:p>
            <w:pPr>
              <w:pStyle w:val="TableParagraph"/>
              <w:spacing w:line="273" w:lineRule="auto" w:before="97"/>
              <w:ind w:left="147" w:right="199"/>
              <w:rPr>
                <w:sz w:val="21"/>
              </w:rPr>
            </w:pPr>
            <w:r>
              <w:rPr>
                <w:spacing w:val="-6"/>
                <w:sz w:val="21"/>
              </w:rPr>
              <w:t>指因冠状动脉阻塞导致的相应区域供血不足造成部分心肌坏死。须满足下列至少三项条件：</w:t>
            </w:r>
          </w:p>
          <w:p>
            <w:pPr>
              <w:pStyle w:val="TableParagraph"/>
              <w:spacing w:before="7"/>
              <w:ind w:left="147"/>
              <w:rPr>
                <w:sz w:val="21"/>
              </w:rPr>
            </w:pPr>
            <w:r>
              <w:rPr>
                <w:sz w:val="21"/>
              </w:rPr>
              <w:t>（1）典型临床表现，例如急性胸痛等；</w:t>
            </w:r>
          </w:p>
          <w:p>
            <w:pPr>
              <w:pStyle w:val="TableParagraph"/>
              <w:spacing w:before="36"/>
              <w:ind w:left="147"/>
              <w:rPr>
                <w:sz w:val="21"/>
              </w:rPr>
            </w:pPr>
            <w:r>
              <w:rPr>
                <w:sz w:val="21"/>
              </w:rPr>
              <w:t>（2）新近的心电图改变提示急性心肌梗塞；</w:t>
            </w:r>
          </w:p>
          <w:p>
            <w:pPr>
              <w:pStyle w:val="TableParagraph"/>
              <w:spacing w:before="36"/>
              <w:ind w:left="147"/>
              <w:rPr>
                <w:sz w:val="21"/>
              </w:rPr>
            </w:pPr>
            <w:r>
              <w:rPr>
                <w:sz w:val="21"/>
              </w:rPr>
              <w:t>（3）心肌酶或肌钙蛋白有诊断意义的升高，或呈符合急性心肌梗塞的动态性变化；</w:t>
            </w:r>
          </w:p>
          <w:p>
            <w:pPr>
              <w:pStyle w:val="TableParagraph"/>
              <w:spacing w:before="36"/>
              <w:ind w:left="147"/>
              <w:rPr>
                <w:sz w:val="21"/>
              </w:rPr>
            </w:pPr>
            <w:r>
              <w:rPr>
                <w:sz w:val="21"/>
              </w:rPr>
              <w:t>（4）发病 90 日后，经检查证实左心室功能降低，如左心室射血分数低于 50%。</w:t>
            </w:r>
          </w:p>
        </w:tc>
      </w:tr>
      <w:tr>
        <w:trPr>
          <w:trHeight w:val="2409" w:hRule="atLeast"/>
        </w:trPr>
        <w:tc>
          <w:tcPr>
            <w:tcW w:w="2004" w:type="dxa"/>
          </w:tcPr>
          <w:p>
            <w:pPr>
              <w:pStyle w:val="TableParagraph"/>
              <w:spacing w:before="19"/>
              <w:ind w:left="0" w:right="145"/>
              <w:jc w:val="right"/>
              <w:rPr>
                <w:rFonts w:ascii="Microsoft JhengHei" w:eastAsia="Microsoft JhengHei" w:hint="eastAsia"/>
                <w:b/>
                <w:sz w:val="21"/>
              </w:rPr>
            </w:pPr>
            <w:r>
              <w:rPr>
                <w:rFonts w:ascii="Microsoft JhengHei" w:eastAsia="Microsoft JhengHei" w:hint="eastAsia"/>
                <w:b/>
                <w:sz w:val="21"/>
              </w:rPr>
              <w:t>3.  脑中风后遗症</w:t>
            </w:r>
          </w:p>
        </w:tc>
        <w:tc>
          <w:tcPr>
            <w:tcW w:w="8042" w:type="dxa"/>
          </w:tcPr>
          <w:p>
            <w:pPr>
              <w:pStyle w:val="TableParagraph"/>
              <w:spacing w:line="273" w:lineRule="auto" w:before="103"/>
              <w:ind w:left="147" w:right="201"/>
              <w:jc w:val="both"/>
              <w:rPr>
                <w:sz w:val="21"/>
              </w:rPr>
            </w:pPr>
            <w:r>
              <w:rPr>
                <w:spacing w:val="-8"/>
                <w:sz w:val="21"/>
              </w:rPr>
              <w:t>指因脑血管的突发病变引起脑血管出血、栓塞或梗塞，并导致神经系统永久性功能障</w:t>
            </w:r>
            <w:r>
              <w:rPr>
                <w:spacing w:val="-11"/>
                <w:sz w:val="21"/>
              </w:rPr>
              <w:t>碍。神经系统永久性的功能障碍，指疾病确诊 </w:t>
            </w:r>
            <w:r>
              <w:rPr>
                <w:sz w:val="21"/>
              </w:rPr>
              <w:t>180</w:t>
            </w:r>
            <w:r>
              <w:rPr>
                <w:spacing w:val="-10"/>
                <w:sz w:val="21"/>
              </w:rPr>
              <w:t> 天后，仍遗留下列一种或一种以上障碍：</w:t>
            </w:r>
          </w:p>
          <w:p>
            <w:pPr>
              <w:pStyle w:val="TableParagraph"/>
              <w:spacing w:before="7"/>
              <w:ind w:left="147"/>
              <w:rPr>
                <w:sz w:val="21"/>
              </w:rPr>
            </w:pPr>
            <w:r>
              <w:rPr>
                <w:sz w:val="21"/>
              </w:rPr>
              <w:t>（1）一肢或一肢以上</w:t>
            </w:r>
            <w:r>
              <w:rPr>
                <w:b/>
                <w:sz w:val="21"/>
              </w:rPr>
              <w:t>肢体机能完全丧失</w:t>
            </w:r>
            <w:r>
              <w:rPr>
                <w:sz w:val="21"/>
              </w:rPr>
              <w:t>；</w:t>
            </w:r>
          </w:p>
          <w:p>
            <w:pPr>
              <w:pStyle w:val="TableParagraph"/>
              <w:spacing w:before="36"/>
              <w:ind w:left="147"/>
              <w:rPr>
                <w:sz w:val="21"/>
              </w:rPr>
            </w:pPr>
            <w:r>
              <w:rPr>
                <w:sz w:val="21"/>
              </w:rPr>
              <w:t>（2）</w:t>
            </w:r>
            <w:r>
              <w:rPr>
                <w:b/>
                <w:sz w:val="21"/>
              </w:rPr>
              <w:t>语言能力或咀嚼吞咽能力完全丧失</w:t>
            </w:r>
            <w:r>
              <w:rPr>
                <w:sz w:val="21"/>
              </w:rPr>
              <w:t>；</w:t>
            </w:r>
          </w:p>
          <w:p>
            <w:pPr>
              <w:pStyle w:val="TableParagraph"/>
              <w:spacing w:line="273" w:lineRule="auto" w:before="36"/>
              <w:ind w:left="673" w:right="204" w:hanging="527"/>
              <w:rPr>
                <w:sz w:val="21"/>
              </w:rPr>
            </w:pPr>
            <w:r>
              <w:rPr>
                <w:sz w:val="21"/>
              </w:rPr>
              <w:t>（3）自主生活能力完全丧失，无法独立完成六项基本日常生活活动中的三项或三项以上。</w:t>
            </w:r>
          </w:p>
        </w:tc>
      </w:tr>
      <w:tr>
        <w:trPr>
          <w:trHeight w:val="1004" w:hRule="atLeast"/>
        </w:trPr>
        <w:tc>
          <w:tcPr>
            <w:tcW w:w="2004" w:type="dxa"/>
          </w:tcPr>
          <w:p>
            <w:pPr>
              <w:pStyle w:val="TableParagraph"/>
              <w:spacing w:line="204" w:lineRule="auto" w:before="71"/>
              <w:ind w:left="591" w:right="145" w:hanging="284"/>
              <w:rPr>
                <w:rFonts w:ascii="Microsoft JhengHei" w:eastAsia="Microsoft JhengHei" w:hint="eastAsia"/>
                <w:b/>
                <w:sz w:val="21"/>
              </w:rPr>
            </w:pPr>
            <w:r>
              <w:rPr>
                <w:rFonts w:ascii="Microsoft JhengHei" w:eastAsia="Microsoft JhengHei" w:hint="eastAsia"/>
                <w:b/>
                <w:sz w:val="21"/>
              </w:rPr>
              <w:t>4. 重大器官移植术或造血干细</w:t>
            </w:r>
          </w:p>
          <w:p>
            <w:pPr>
              <w:pStyle w:val="TableParagraph"/>
              <w:spacing w:line="291" w:lineRule="exact"/>
              <w:ind w:left="591"/>
              <w:rPr>
                <w:rFonts w:ascii="Microsoft JhengHei" w:eastAsia="Microsoft JhengHei" w:hint="eastAsia"/>
                <w:b/>
                <w:sz w:val="21"/>
              </w:rPr>
            </w:pPr>
            <w:r>
              <w:rPr>
                <w:rFonts w:ascii="Microsoft JhengHei" w:eastAsia="Microsoft JhengHei" w:hint="eastAsia"/>
                <w:b/>
                <w:sz w:val="21"/>
              </w:rPr>
              <w:t>胞移植术</w:t>
            </w:r>
          </w:p>
        </w:tc>
        <w:tc>
          <w:tcPr>
            <w:tcW w:w="8042" w:type="dxa"/>
          </w:tcPr>
          <w:p>
            <w:pPr>
              <w:pStyle w:val="TableParagraph"/>
              <w:spacing w:line="273" w:lineRule="auto" w:before="102"/>
              <w:ind w:left="147" w:right="202"/>
              <w:rPr>
                <w:sz w:val="21"/>
              </w:rPr>
            </w:pPr>
            <w:r>
              <w:rPr>
                <w:spacing w:val="-9"/>
                <w:sz w:val="21"/>
              </w:rPr>
              <w:t>重大器官移植术，指因相应器官功能衰竭，已经实施了肾脏、肝脏、心脏或肺脏的异</w:t>
            </w:r>
            <w:r>
              <w:rPr>
                <w:spacing w:val="-5"/>
                <w:sz w:val="21"/>
              </w:rPr>
              <w:t>体移植手术。</w:t>
            </w:r>
          </w:p>
          <w:p>
            <w:pPr>
              <w:pStyle w:val="TableParagraph"/>
              <w:spacing w:line="258" w:lineRule="exact" w:before="7"/>
              <w:ind w:left="147"/>
              <w:rPr>
                <w:sz w:val="21"/>
              </w:rPr>
            </w:pPr>
            <w:r>
              <w:rPr>
                <w:sz w:val="21"/>
              </w:rPr>
              <w:t>造血干细胞移植术，指因造血功能损害或造血系统恶性肿瘤，已经实施了造血干细胞</w:t>
            </w:r>
          </w:p>
        </w:tc>
      </w:tr>
    </w:tbl>
    <w:p>
      <w:pPr>
        <w:spacing w:after="0" w:line="258" w:lineRule="exact"/>
        <w:rPr>
          <w:sz w:val="21"/>
        </w:rPr>
        <w:sectPr>
          <w:pgSz w:w="11910" w:h="16840"/>
          <w:pgMar w:header="0" w:footer="593" w:top="1160" w:bottom="780" w:left="820" w:right="8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8148"/>
      </w:tblGrid>
      <w:tr>
        <w:trPr>
          <w:trHeight w:val="372" w:hRule="atLeast"/>
        </w:trPr>
        <w:tc>
          <w:tcPr>
            <w:tcW w:w="1896" w:type="dxa"/>
          </w:tcPr>
          <w:p>
            <w:pPr>
              <w:pStyle w:val="TableParagraph"/>
              <w:ind w:left="0"/>
              <w:rPr>
                <w:rFonts w:ascii="Times New Roman"/>
                <w:sz w:val="20"/>
              </w:rPr>
            </w:pPr>
          </w:p>
        </w:tc>
        <w:tc>
          <w:tcPr>
            <w:tcW w:w="8148" w:type="dxa"/>
          </w:tcPr>
          <w:p>
            <w:pPr>
              <w:pStyle w:val="TableParagraph"/>
              <w:spacing w:line="211" w:lineRule="exact"/>
              <w:ind w:left="147"/>
              <w:rPr>
                <w:sz w:val="21"/>
              </w:rPr>
            </w:pPr>
            <w:r>
              <w:rPr>
                <w:sz w:val="21"/>
              </w:rPr>
              <w:t>（包括骨髓造血干细胞、外周血造血干细胞和脐血造血干细胞）的异体移植手术。</w:t>
            </w:r>
          </w:p>
        </w:tc>
      </w:tr>
      <w:tr>
        <w:trPr>
          <w:trHeight w:val="1463" w:hRule="atLeast"/>
        </w:trPr>
        <w:tc>
          <w:tcPr>
            <w:tcW w:w="1896" w:type="dxa"/>
          </w:tcPr>
          <w:p>
            <w:pPr>
              <w:pStyle w:val="TableParagraph"/>
              <w:spacing w:line="206" w:lineRule="auto" w:before="69"/>
              <w:ind w:left="483" w:right="145" w:hanging="284"/>
              <w:jc w:val="both"/>
              <w:rPr>
                <w:rFonts w:ascii="Microsoft JhengHei" w:eastAsia="Microsoft JhengHei" w:hint="eastAsia"/>
                <w:b/>
                <w:sz w:val="21"/>
              </w:rPr>
            </w:pPr>
            <w:r>
              <w:rPr>
                <w:rFonts w:ascii="Microsoft JhengHei" w:eastAsia="Microsoft JhengHei" w:hint="eastAsia"/>
                <w:b/>
                <w:sz w:val="21"/>
              </w:rPr>
              <w:t>5. 冠状动脉搭桥术（或称冠状动脉旁路移植术）</w:t>
            </w:r>
          </w:p>
        </w:tc>
        <w:tc>
          <w:tcPr>
            <w:tcW w:w="8148" w:type="dxa"/>
          </w:tcPr>
          <w:p>
            <w:pPr>
              <w:pStyle w:val="TableParagraph"/>
              <w:spacing w:line="242" w:lineRule="auto" w:before="104"/>
              <w:ind w:left="147" w:right="312"/>
              <w:rPr>
                <w:rFonts w:ascii="黑体" w:eastAsia="黑体" w:hint="eastAsia"/>
                <w:sz w:val="24"/>
              </w:rPr>
            </w:pPr>
            <w:r>
              <w:rPr>
                <w:spacing w:val="-3"/>
                <w:sz w:val="21"/>
              </w:rPr>
              <w:t>指为治疗严重的冠心病，实际实施了开胸进行的冠状动脉血管旁路移植的手术。  </w:t>
            </w:r>
            <w:r>
              <w:rPr>
                <w:rFonts w:ascii="黑体" w:eastAsia="黑体" w:hint="eastAsia"/>
                <w:spacing w:val="-3"/>
                <w:sz w:val="24"/>
              </w:rPr>
              <w:t>冠状动脉支架植入术、心导管球囊扩张术、激光射频技术及其他非开胸的介入手术、腔镜手术不在保障范围内。</w:t>
            </w:r>
          </w:p>
        </w:tc>
      </w:tr>
      <w:tr>
        <w:trPr>
          <w:trHeight w:val="1449" w:hRule="atLeast"/>
        </w:trPr>
        <w:tc>
          <w:tcPr>
            <w:tcW w:w="1896" w:type="dxa"/>
          </w:tcPr>
          <w:p>
            <w:pPr>
              <w:pStyle w:val="TableParagraph"/>
              <w:spacing w:line="339" w:lineRule="exact" w:before="2"/>
              <w:ind w:left="200"/>
              <w:rPr>
                <w:rFonts w:ascii="Microsoft JhengHei" w:eastAsia="Microsoft JhengHei" w:hint="eastAsia"/>
                <w:b/>
                <w:sz w:val="21"/>
              </w:rPr>
            </w:pPr>
            <w:r>
              <w:rPr>
                <w:rFonts w:ascii="Microsoft JhengHei" w:eastAsia="Microsoft JhengHei" w:hint="eastAsia"/>
                <w:b/>
                <w:sz w:val="21"/>
              </w:rPr>
              <w:t>6.  终末期肾病</w:t>
            </w:r>
          </w:p>
          <w:p>
            <w:pPr>
              <w:pStyle w:val="TableParagraph"/>
              <w:spacing w:line="206" w:lineRule="auto" w:before="24"/>
              <w:ind w:left="483" w:right="145"/>
              <w:jc w:val="both"/>
              <w:rPr>
                <w:rFonts w:ascii="Microsoft JhengHei" w:eastAsia="Microsoft JhengHei" w:hint="eastAsia"/>
                <w:b/>
                <w:sz w:val="21"/>
              </w:rPr>
            </w:pPr>
            <w:r>
              <w:rPr>
                <w:rFonts w:ascii="Microsoft JhengHei" w:eastAsia="Microsoft JhengHei" w:hint="eastAsia"/>
                <w:b/>
                <w:sz w:val="21"/>
              </w:rPr>
              <w:t>（或称慢性肾功能衰竭尿毒症期）</w:t>
            </w:r>
          </w:p>
        </w:tc>
        <w:tc>
          <w:tcPr>
            <w:tcW w:w="8148" w:type="dxa"/>
          </w:tcPr>
          <w:p>
            <w:pPr>
              <w:pStyle w:val="TableParagraph"/>
              <w:spacing w:line="273" w:lineRule="auto" w:before="88"/>
              <w:ind w:left="147" w:right="304"/>
              <w:rPr>
                <w:sz w:val="21"/>
              </w:rPr>
            </w:pPr>
            <w:r>
              <w:rPr>
                <w:spacing w:val="-8"/>
                <w:sz w:val="21"/>
              </w:rPr>
              <w:t>指双肾功能慢性不可逆性衰竭，达到尿毒症期，经诊断后已经进行了至少</w:t>
            </w:r>
            <w:r>
              <w:rPr>
                <w:sz w:val="21"/>
              </w:rPr>
              <w:t>90</w:t>
            </w:r>
            <w:r>
              <w:rPr>
                <w:spacing w:val="-2"/>
                <w:sz w:val="21"/>
              </w:rPr>
              <w:t>日的规律</w:t>
            </w:r>
            <w:r>
              <w:rPr>
                <w:spacing w:val="-3"/>
                <w:sz w:val="21"/>
              </w:rPr>
              <w:t>性透析治疗或实施了肾脏移植手术。</w:t>
            </w:r>
          </w:p>
        </w:tc>
      </w:tr>
      <w:tr>
        <w:trPr>
          <w:trHeight w:val="835" w:hRule="atLeast"/>
        </w:trPr>
        <w:tc>
          <w:tcPr>
            <w:tcW w:w="1896" w:type="dxa"/>
          </w:tcPr>
          <w:p>
            <w:pPr>
              <w:pStyle w:val="TableParagraph"/>
              <w:spacing w:before="4"/>
              <w:ind w:left="200"/>
              <w:rPr>
                <w:rFonts w:ascii="Microsoft JhengHei" w:eastAsia="Microsoft JhengHei" w:hint="eastAsia"/>
                <w:b/>
                <w:sz w:val="21"/>
              </w:rPr>
            </w:pPr>
            <w:r>
              <w:rPr>
                <w:rFonts w:ascii="Microsoft JhengHei" w:eastAsia="Microsoft JhengHei" w:hint="eastAsia"/>
                <w:b/>
                <w:sz w:val="21"/>
              </w:rPr>
              <w:t>7.  多个肢体缺失</w:t>
            </w:r>
          </w:p>
        </w:tc>
        <w:tc>
          <w:tcPr>
            <w:tcW w:w="8148" w:type="dxa"/>
          </w:tcPr>
          <w:p>
            <w:pPr>
              <w:pStyle w:val="TableParagraph"/>
              <w:spacing w:line="273" w:lineRule="auto" w:before="88"/>
              <w:ind w:left="147" w:right="221"/>
              <w:rPr>
                <w:sz w:val="21"/>
              </w:rPr>
            </w:pPr>
            <w:r>
              <w:rPr>
                <w:sz w:val="21"/>
              </w:rPr>
              <w:t>指因疾病或意外伤害导致两个或两个以上肢体自腕关节或踝关节近端（靠近躯干端） 以上完全性断离。</w:t>
            </w:r>
          </w:p>
        </w:tc>
      </w:tr>
      <w:tr>
        <w:trPr>
          <w:trHeight w:val="2108" w:hRule="atLeast"/>
        </w:trPr>
        <w:tc>
          <w:tcPr>
            <w:tcW w:w="1896" w:type="dxa"/>
          </w:tcPr>
          <w:p>
            <w:pPr>
              <w:pStyle w:val="TableParagraph"/>
              <w:spacing w:line="206" w:lineRule="auto" w:before="68"/>
              <w:ind w:left="483" w:right="145" w:hanging="284"/>
              <w:rPr>
                <w:rFonts w:ascii="Microsoft JhengHei" w:eastAsia="Microsoft JhengHei" w:hint="eastAsia"/>
                <w:b/>
                <w:sz w:val="21"/>
              </w:rPr>
            </w:pPr>
            <w:r>
              <w:rPr>
                <w:rFonts w:ascii="Microsoft JhengHei" w:eastAsia="Microsoft JhengHei" w:hint="eastAsia"/>
                <w:b/>
                <w:sz w:val="21"/>
              </w:rPr>
              <w:t>8. 急性或亚急性重症肝炎</w:t>
            </w:r>
          </w:p>
        </w:tc>
        <w:tc>
          <w:tcPr>
            <w:tcW w:w="8148" w:type="dxa"/>
          </w:tcPr>
          <w:p>
            <w:pPr>
              <w:pStyle w:val="TableParagraph"/>
              <w:spacing w:line="273" w:lineRule="auto" w:before="103"/>
              <w:ind w:left="147" w:right="307"/>
              <w:rPr>
                <w:sz w:val="21"/>
              </w:rPr>
            </w:pPr>
            <w:r>
              <w:rPr>
                <w:spacing w:val="-7"/>
                <w:sz w:val="21"/>
              </w:rPr>
              <w:t>指因肝炎病毒感染引起肝脏组织弥漫性坏死，导致急性肝功能衰竭，且经血清学或病</w:t>
            </w:r>
            <w:r>
              <w:rPr>
                <w:spacing w:val="-5"/>
                <w:sz w:val="21"/>
              </w:rPr>
              <w:t>毒学检查证实，并须满足下列全部条件：</w:t>
            </w:r>
          </w:p>
          <w:p>
            <w:pPr>
              <w:pStyle w:val="TableParagraph"/>
              <w:spacing w:before="7"/>
              <w:ind w:left="147"/>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47"/>
              <w:rPr>
                <w:sz w:val="21"/>
              </w:rPr>
            </w:pPr>
            <w:r>
              <w:rPr>
                <w:sz w:val="21"/>
              </w:rPr>
              <w:t>（</w:t>
            </w:r>
            <w:r>
              <w:rPr>
                <w:rFonts w:ascii="Times New Roman" w:eastAsia="Times New Roman"/>
                <w:sz w:val="21"/>
              </w:rPr>
              <w:t>2</w:t>
            </w:r>
            <w:r>
              <w:rPr>
                <w:sz w:val="21"/>
              </w:rPr>
              <w:t>）肝性脑病；</w:t>
            </w:r>
          </w:p>
          <w:p>
            <w:pPr>
              <w:pStyle w:val="TableParagraph"/>
              <w:spacing w:before="20"/>
              <w:ind w:left="147"/>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147"/>
              <w:rPr>
                <w:sz w:val="21"/>
              </w:rPr>
            </w:pPr>
            <w:r>
              <w:rPr>
                <w:sz w:val="21"/>
              </w:rPr>
              <w:t>（</w:t>
            </w:r>
            <w:r>
              <w:rPr>
                <w:rFonts w:ascii="Times New Roman" w:eastAsia="Times New Roman"/>
                <w:sz w:val="21"/>
              </w:rPr>
              <w:t>4</w:t>
            </w:r>
            <w:r>
              <w:rPr>
                <w:sz w:val="21"/>
              </w:rPr>
              <w:t>）肝功能指标进行性恶化。</w:t>
            </w:r>
          </w:p>
        </w:tc>
      </w:tr>
      <w:tr>
        <w:trPr>
          <w:trHeight w:val="2095" w:hRule="atLeast"/>
        </w:trPr>
        <w:tc>
          <w:tcPr>
            <w:tcW w:w="1896" w:type="dxa"/>
          </w:tcPr>
          <w:p>
            <w:pPr>
              <w:pStyle w:val="TableParagraph"/>
              <w:spacing w:before="11"/>
              <w:ind w:left="200"/>
              <w:rPr>
                <w:rFonts w:ascii="Microsoft JhengHei" w:eastAsia="Microsoft JhengHei" w:hint="eastAsia"/>
                <w:b/>
                <w:sz w:val="21"/>
              </w:rPr>
            </w:pPr>
            <w:r>
              <w:rPr>
                <w:rFonts w:ascii="Microsoft JhengHei" w:eastAsia="Microsoft JhengHei" w:hint="eastAsia"/>
                <w:b/>
                <w:sz w:val="21"/>
              </w:rPr>
              <w:t>9.  良性脑肿瘤</w:t>
            </w:r>
          </w:p>
        </w:tc>
        <w:tc>
          <w:tcPr>
            <w:tcW w:w="8148" w:type="dxa"/>
          </w:tcPr>
          <w:p>
            <w:pPr>
              <w:pStyle w:val="TableParagraph"/>
              <w:spacing w:line="266" w:lineRule="auto" w:before="94"/>
              <w:ind w:left="147" w:right="199"/>
              <w:rPr>
                <w:sz w:val="21"/>
              </w:rPr>
            </w:pPr>
            <w:r>
              <w:rPr>
                <w:spacing w:val="-10"/>
                <w:sz w:val="21"/>
              </w:rPr>
              <w:t>指脑的良性肿瘤，已经引起颅内压增高，临床表现为视神经乳头水肿、精神症状、癫</w:t>
            </w:r>
            <w:r>
              <w:rPr>
                <w:spacing w:val="-10"/>
                <w:w w:val="100"/>
                <w:sz w:val="21"/>
              </w:rPr>
              <w:t>痫及运动感觉障碍等，并危及生命。须由头颅断层扫描</w:t>
            </w:r>
            <w:r>
              <w:rPr>
                <w:spacing w:val="-2"/>
                <w:w w:val="100"/>
                <w:sz w:val="21"/>
              </w:rPr>
              <w:t>（</w:t>
            </w:r>
            <w:r>
              <w:rPr>
                <w:rFonts w:ascii="Arial" w:eastAsia="Arial"/>
                <w:spacing w:val="-2"/>
                <w:w w:val="100"/>
                <w:sz w:val="21"/>
              </w:rPr>
              <w:t>C</w:t>
            </w:r>
            <w:r>
              <w:rPr>
                <w:rFonts w:ascii="Arial" w:eastAsia="Arial"/>
                <w:w w:val="100"/>
                <w:sz w:val="21"/>
              </w:rPr>
              <w:t>T</w:t>
            </w:r>
            <w:r>
              <w:rPr>
                <w:spacing w:val="-106"/>
                <w:w w:val="100"/>
                <w:sz w:val="21"/>
              </w:rPr>
              <w:t>）</w:t>
            </w:r>
            <w:r>
              <w:rPr>
                <w:spacing w:val="-10"/>
                <w:w w:val="100"/>
                <w:sz w:val="21"/>
              </w:rPr>
              <w:t>、核磁共振检查</w:t>
            </w:r>
            <w:r>
              <w:rPr>
                <w:w w:val="100"/>
                <w:sz w:val="21"/>
              </w:rPr>
              <w:t>（</w:t>
            </w:r>
            <w:r>
              <w:rPr>
                <w:rFonts w:ascii="Arial" w:eastAsia="Arial"/>
                <w:spacing w:val="-1"/>
                <w:w w:val="100"/>
                <w:sz w:val="21"/>
              </w:rPr>
              <w:t>M</w:t>
            </w:r>
            <w:r>
              <w:rPr>
                <w:rFonts w:ascii="Arial" w:eastAsia="Arial"/>
                <w:w w:val="100"/>
                <w:sz w:val="21"/>
              </w:rPr>
              <w:t>R</w:t>
            </w:r>
            <w:r>
              <w:rPr>
                <w:rFonts w:ascii="Arial" w:eastAsia="Arial"/>
                <w:spacing w:val="-1"/>
                <w:w w:val="100"/>
                <w:sz w:val="21"/>
              </w:rPr>
              <w:t>I</w:t>
            </w:r>
            <w:r>
              <w:rPr>
                <w:w w:val="100"/>
                <w:sz w:val="21"/>
              </w:rPr>
              <w:t>）</w:t>
            </w:r>
            <w:r>
              <w:rPr>
                <w:spacing w:val="-3"/>
                <w:sz w:val="21"/>
              </w:rPr>
              <w:t>或正电子发射断层扫描</w:t>
            </w:r>
            <w:r>
              <w:rPr>
                <w:spacing w:val="-1"/>
                <w:sz w:val="21"/>
              </w:rPr>
              <w:t>（</w:t>
            </w:r>
            <w:r>
              <w:rPr>
                <w:rFonts w:ascii="Arial" w:eastAsia="Arial"/>
                <w:spacing w:val="-1"/>
                <w:sz w:val="21"/>
              </w:rPr>
              <w:t>PET</w:t>
            </w:r>
            <w:r>
              <w:rPr>
                <w:spacing w:val="-1"/>
                <w:sz w:val="21"/>
              </w:rPr>
              <w:t>）</w:t>
            </w:r>
            <w:r>
              <w:rPr>
                <w:spacing w:val="-3"/>
                <w:sz w:val="21"/>
              </w:rPr>
              <w:t>等影像学检查证实，并须满足下列至少一项条件：</w:t>
            </w:r>
          </w:p>
          <w:p>
            <w:pPr>
              <w:pStyle w:val="TableParagraph"/>
              <w:spacing w:line="271" w:lineRule="exact"/>
              <w:ind w:left="147"/>
              <w:rPr>
                <w:sz w:val="21"/>
              </w:rPr>
            </w:pPr>
            <w:r>
              <w:rPr>
                <w:sz w:val="21"/>
              </w:rPr>
              <w:t>（1）实际实施了开颅进行的脑肿瘤完全切除或部分切除的手术；</w:t>
            </w:r>
          </w:p>
          <w:p>
            <w:pPr>
              <w:pStyle w:val="TableParagraph"/>
              <w:spacing w:before="38"/>
              <w:ind w:left="147"/>
              <w:rPr>
                <w:sz w:val="21"/>
              </w:rPr>
            </w:pPr>
            <w:r>
              <w:rPr>
                <w:sz w:val="21"/>
              </w:rPr>
              <w:t>（2）实际实施了对脑肿瘤进行的放射治疗。</w:t>
            </w:r>
          </w:p>
          <w:p>
            <w:pPr>
              <w:pStyle w:val="TableParagraph"/>
              <w:spacing w:before="9"/>
              <w:ind w:left="147"/>
              <w:rPr>
                <w:rFonts w:ascii="黑体" w:eastAsia="黑体" w:hint="eastAsia"/>
                <w:sz w:val="24"/>
              </w:rPr>
            </w:pPr>
            <w:r>
              <w:rPr>
                <w:rFonts w:ascii="黑体" w:eastAsia="黑体" w:hint="eastAsia"/>
                <w:sz w:val="24"/>
              </w:rPr>
              <w:t>脑垂体瘤、脑囊肿、脑血管性疾病不在保障范围内。</w:t>
            </w:r>
          </w:p>
        </w:tc>
      </w:tr>
      <w:tr>
        <w:trPr>
          <w:trHeight w:val="2098" w:hRule="atLeast"/>
        </w:trPr>
        <w:tc>
          <w:tcPr>
            <w:tcW w:w="1896" w:type="dxa"/>
          </w:tcPr>
          <w:p>
            <w:pPr>
              <w:pStyle w:val="TableParagraph"/>
              <w:spacing w:line="206" w:lineRule="auto" w:before="62"/>
              <w:ind w:left="483" w:right="145" w:hanging="284"/>
              <w:rPr>
                <w:rFonts w:ascii="Microsoft JhengHei" w:eastAsia="Microsoft JhengHei" w:hint="eastAsia"/>
                <w:b/>
                <w:sz w:val="21"/>
              </w:rPr>
            </w:pPr>
            <w:r>
              <w:rPr>
                <w:rFonts w:ascii="Microsoft JhengHei" w:eastAsia="Microsoft JhengHei" w:hint="eastAsia"/>
                <w:b/>
                <w:w w:val="95"/>
                <w:sz w:val="21"/>
              </w:rPr>
              <w:t>10.慢性肝功能衰</w:t>
            </w:r>
            <w:r>
              <w:rPr>
                <w:rFonts w:ascii="Microsoft JhengHei" w:eastAsia="Microsoft JhengHei" w:hint="eastAsia"/>
                <w:b/>
                <w:sz w:val="21"/>
              </w:rPr>
              <w:t>竭失代偿期</w:t>
            </w:r>
          </w:p>
        </w:tc>
        <w:tc>
          <w:tcPr>
            <w:tcW w:w="8148" w:type="dxa"/>
          </w:tcPr>
          <w:p>
            <w:pPr>
              <w:pStyle w:val="TableParagraph"/>
              <w:spacing w:before="97"/>
              <w:ind w:left="147"/>
              <w:rPr>
                <w:sz w:val="21"/>
              </w:rPr>
            </w:pPr>
            <w:r>
              <w:rPr>
                <w:sz w:val="21"/>
              </w:rPr>
              <w:t>指因慢性肝脏疾病导致肝功能衰竭，须满足下列全部条件：</w:t>
            </w:r>
          </w:p>
          <w:p>
            <w:pPr>
              <w:pStyle w:val="TableParagraph"/>
              <w:spacing w:before="37"/>
              <w:ind w:left="147"/>
              <w:rPr>
                <w:sz w:val="21"/>
              </w:rPr>
            </w:pPr>
            <w:r>
              <w:rPr>
                <w:sz w:val="21"/>
              </w:rPr>
              <w:t>（</w:t>
            </w:r>
            <w:r>
              <w:rPr>
                <w:rFonts w:ascii="Times New Roman" w:eastAsia="Times New Roman"/>
                <w:sz w:val="21"/>
              </w:rPr>
              <w:t>1</w:t>
            </w:r>
            <w:r>
              <w:rPr>
                <w:sz w:val="21"/>
              </w:rPr>
              <w:t>）持续性黄疸；</w:t>
            </w:r>
          </w:p>
          <w:p>
            <w:pPr>
              <w:pStyle w:val="TableParagraph"/>
              <w:spacing w:before="21"/>
              <w:ind w:left="147"/>
              <w:rPr>
                <w:sz w:val="21"/>
              </w:rPr>
            </w:pPr>
            <w:r>
              <w:rPr>
                <w:sz w:val="21"/>
              </w:rPr>
              <w:t>（</w:t>
            </w:r>
            <w:r>
              <w:rPr>
                <w:rFonts w:ascii="Times New Roman" w:eastAsia="Times New Roman"/>
                <w:sz w:val="21"/>
              </w:rPr>
              <w:t>2</w:t>
            </w:r>
            <w:r>
              <w:rPr>
                <w:sz w:val="21"/>
              </w:rPr>
              <w:t>）腹水；</w:t>
            </w:r>
          </w:p>
          <w:p>
            <w:pPr>
              <w:pStyle w:val="TableParagraph"/>
              <w:spacing w:before="21"/>
              <w:ind w:left="147"/>
              <w:rPr>
                <w:sz w:val="21"/>
              </w:rPr>
            </w:pPr>
            <w:r>
              <w:rPr>
                <w:sz w:val="21"/>
              </w:rPr>
              <w:t>（</w:t>
            </w:r>
            <w:r>
              <w:rPr>
                <w:rFonts w:ascii="Times New Roman" w:eastAsia="Times New Roman"/>
                <w:sz w:val="21"/>
              </w:rPr>
              <w:t>3</w:t>
            </w:r>
            <w:r>
              <w:rPr>
                <w:sz w:val="21"/>
              </w:rPr>
              <w:t>）肝性脑病；</w:t>
            </w:r>
          </w:p>
          <w:p>
            <w:pPr>
              <w:pStyle w:val="TableParagraph"/>
              <w:spacing w:line="287" w:lineRule="exact" w:before="21"/>
              <w:ind w:left="147"/>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line="311" w:lineRule="exact"/>
              <w:ind w:left="147"/>
              <w:rPr>
                <w:rFonts w:ascii="黑体" w:eastAsia="黑体" w:hint="eastAsia"/>
                <w:sz w:val="24"/>
              </w:rPr>
            </w:pPr>
            <w:r>
              <w:rPr>
                <w:rFonts w:ascii="黑体" w:eastAsia="黑体" w:hint="eastAsia"/>
                <w:sz w:val="24"/>
              </w:rPr>
              <w:t>因酗酒或药物滥用导致的肝功能衰竭不在保障范围内。</w:t>
            </w:r>
          </w:p>
        </w:tc>
      </w:tr>
      <w:tr>
        <w:trPr>
          <w:trHeight w:val="2096" w:hRule="atLeast"/>
        </w:trPr>
        <w:tc>
          <w:tcPr>
            <w:tcW w:w="1896" w:type="dxa"/>
          </w:tcPr>
          <w:p>
            <w:pPr>
              <w:pStyle w:val="TableParagraph"/>
              <w:spacing w:line="206" w:lineRule="auto" w:before="63"/>
              <w:ind w:left="483" w:right="145" w:hanging="284"/>
              <w:rPr>
                <w:rFonts w:ascii="Microsoft JhengHei" w:eastAsia="Microsoft JhengHei" w:hint="eastAsia"/>
                <w:b/>
                <w:sz w:val="21"/>
              </w:rPr>
            </w:pPr>
            <w:r>
              <w:rPr>
                <w:rFonts w:ascii="Microsoft JhengHei" w:eastAsia="Microsoft JhengHei" w:hint="eastAsia"/>
                <w:b/>
                <w:w w:val="95"/>
                <w:sz w:val="21"/>
              </w:rPr>
              <w:t>11. 脑炎后遗症或</w:t>
            </w:r>
            <w:r>
              <w:rPr>
                <w:rFonts w:ascii="Microsoft JhengHei" w:eastAsia="Microsoft JhengHei" w:hint="eastAsia"/>
                <w:b/>
                <w:sz w:val="21"/>
              </w:rPr>
              <w:t>脑膜炎后遗症</w:t>
            </w:r>
          </w:p>
        </w:tc>
        <w:tc>
          <w:tcPr>
            <w:tcW w:w="8148" w:type="dxa"/>
          </w:tcPr>
          <w:p>
            <w:pPr>
              <w:pStyle w:val="TableParagraph"/>
              <w:spacing w:line="273" w:lineRule="auto" w:before="98"/>
              <w:ind w:left="147" w:right="309"/>
              <w:rPr>
                <w:sz w:val="21"/>
              </w:rPr>
            </w:pPr>
            <w:r>
              <w:rPr>
                <w:sz w:val="21"/>
              </w:rPr>
              <w:t>指因患脑炎或脑膜炎导致的神经系统永久性的功能障碍。神经系统永久性的功能障碍，指疾病确诊 </w:t>
            </w:r>
            <w:r>
              <w:rPr>
                <w:rFonts w:ascii="Arial" w:eastAsia="Arial"/>
                <w:sz w:val="21"/>
              </w:rPr>
              <w:t>180 </w:t>
            </w:r>
            <w:r>
              <w:rPr>
                <w:sz w:val="21"/>
              </w:rPr>
              <w:t>天后，仍残留下列一种或一种以上障碍：</w:t>
            </w:r>
          </w:p>
          <w:p>
            <w:pPr>
              <w:pStyle w:val="TableParagraph"/>
              <w:spacing w:line="280" w:lineRule="exact"/>
              <w:ind w:left="14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47"/>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673" w:right="310" w:hanging="527"/>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477" w:hRule="atLeast"/>
        </w:trPr>
        <w:tc>
          <w:tcPr>
            <w:tcW w:w="1896" w:type="dxa"/>
          </w:tcPr>
          <w:p>
            <w:pPr>
              <w:pStyle w:val="TableParagraph"/>
              <w:spacing w:before="19"/>
              <w:ind w:left="200"/>
              <w:rPr>
                <w:rFonts w:ascii="Microsoft JhengHei" w:eastAsia="Microsoft JhengHei" w:hint="eastAsia"/>
                <w:b/>
                <w:sz w:val="21"/>
              </w:rPr>
            </w:pPr>
            <w:r>
              <w:rPr>
                <w:rFonts w:ascii="Microsoft JhengHei" w:eastAsia="Microsoft JhengHei" w:hint="eastAsia"/>
                <w:b/>
                <w:w w:val="95"/>
                <w:sz w:val="21"/>
              </w:rPr>
              <w:t>12. 深度昏迷</w:t>
            </w:r>
          </w:p>
        </w:tc>
        <w:tc>
          <w:tcPr>
            <w:tcW w:w="8148" w:type="dxa"/>
          </w:tcPr>
          <w:p>
            <w:pPr>
              <w:pStyle w:val="TableParagraph"/>
              <w:spacing w:line="266" w:lineRule="auto" w:before="102"/>
              <w:ind w:left="147" w:right="364"/>
              <w:jc w:val="both"/>
              <w:rPr>
                <w:sz w:val="21"/>
              </w:rPr>
            </w:pPr>
            <w:r>
              <w:rPr>
                <w:sz w:val="21"/>
              </w:rPr>
              <w:t>指因疾病或意外伤害导致意识丧失,对外界刺激和体内需求均无反应,昏迷程度按照格拉斯哥昏迷分级（</w:t>
            </w:r>
            <w:r>
              <w:rPr>
                <w:rFonts w:ascii="Arial" w:eastAsia="Arial"/>
                <w:sz w:val="21"/>
              </w:rPr>
              <w:t>Glasgow coma scale</w:t>
            </w:r>
            <w:r>
              <w:rPr>
                <w:sz w:val="21"/>
              </w:rPr>
              <w:t>）结果为</w:t>
            </w:r>
            <w:r>
              <w:rPr>
                <w:rFonts w:ascii="Arial" w:eastAsia="Arial"/>
                <w:sz w:val="21"/>
              </w:rPr>
              <w:t>5</w:t>
            </w:r>
            <w:r>
              <w:rPr>
                <w:sz w:val="21"/>
              </w:rPr>
              <w:t>分或</w:t>
            </w:r>
            <w:r>
              <w:rPr>
                <w:rFonts w:ascii="Arial" w:eastAsia="Arial"/>
                <w:sz w:val="21"/>
              </w:rPr>
              <w:t>5</w:t>
            </w:r>
            <w:r>
              <w:rPr>
                <w:sz w:val="21"/>
              </w:rPr>
              <w:t>分以下，且已经持续使用呼吸机及其它生命维持系统</w:t>
            </w:r>
            <w:r>
              <w:rPr>
                <w:rFonts w:ascii="Arial" w:eastAsia="Arial"/>
                <w:sz w:val="21"/>
              </w:rPr>
              <w:t>96  </w:t>
            </w:r>
            <w:r>
              <w:rPr>
                <w:sz w:val="21"/>
              </w:rPr>
              <w:t>小时以上。</w:t>
            </w:r>
          </w:p>
          <w:p>
            <w:pPr>
              <w:pStyle w:val="TableParagraph"/>
              <w:spacing w:line="283" w:lineRule="exact"/>
              <w:ind w:left="147"/>
              <w:jc w:val="both"/>
              <w:rPr>
                <w:rFonts w:ascii="黑体" w:eastAsia="黑体" w:hint="eastAsia"/>
                <w:sz w:val="24"/>
              </w:rPr>
            </w:pPr>
            <w:r>
              <w:rPr>
                <w:rFonts w:ascii="黑体" w:eastAsia="黑体" w:hint="eastAsia"/>
                <w:sz w:val="24"/>
              </w:rPr>
              <w:t>因酗酒或药物滥用导致的深度昏迷不在保障范围内。</w:t>
            </w:r>
          </w:p>
        </w:tc>
      </w:tr>
      <w:tr>
        <w:trPr>
          <w:trHeight w:val="388" w:hRule="atLeast"/>
        </w:trPr>
        <w:tc>
          <w:tcPr>
            <w:tcW w:w="1896" w:type="dxa"/>
          </w:tcPr>
          <w:p>
            <w:pPr>
              <w:pStyle w:val="TableParagraph"/>
              <w:spacing w:line="356" w:lineRule="exact" w:before="12"/>
              <w:ind w:left="200"/>
              <w:rPr>
                <w:rFonts w:ascii="Microsoft JhengHei" w:eastAsia="Microsoft JhengHei" w:hint="eastAsia"/>
                <w:b/>
                <w:sz w:val="21"/>
              </w:rPr>
            </w:pPr>
            <w:r>
              <w:rPr>
                <w:rFonts w:ascii="Microsoft JhengHei" w:eastAsia="Microsoft JhengHei" w:hint="eastAsia"/>
                <w:b/>
                <w:w w:val="95"/>
                <w:sz w:val="21"/>
              </w:rPr>
              <w:t>13. 双耳失聪－三</w:t>
            </w:r>
          </w:p>
        </w:tc>
        <w:tc>
          <w:tcPr>
            <w:tcW w:w="8148" w:type="dxa"/>
          </w:tcPr>
          <w:p>
            <w:pPr>
              <w:pStyle w:val="TableParagraph"/>
              <w:spacing w:line="270" w:lineRule="exact" w:before="98"/>
              <w:ind w:left="147"/>
              <w:rPr>
                <w:sz w:val="21"/>
              </w:rPr>
            </w:pPr>
            <w:r>
              <w:rPr>
                <w:sz w:val="21"/>
              </w:rPr>
              <w:t>指因疾病或意外伤害导致双耳听力永久不可逆性丧失，在 </w:t>
            </w:r>
            <w:r>
              <w:rPr>
                <w:rFonts w:ascii="Arial" w:eastAsia="Arial"/>
                <w:sz w:val="21"/>
              </w:rPr>
              <w:t>500  </w:t>
            </w:r>
            <w:r>
              <w:rPr>
                <w:sz w:val="21"/>
              </w:rPr>
              <w:t>赫兹、</w:t>
            </w:r>
            <w:r>
              <w:rPr>
                <w:rFonts w:ascii="Arial" w:eastAsia="Arial"/>
                <w:sz w:val="21"/>
              </w:rPr>
              <w:t>1000  </w:t>
            </w:r>
            <w:r>
              <w:rPr>
                <w:sz w:val="21"/>
              </w:rPr>
              <w:t>赫兹和</w:t>
            </w:r>
          </w:p>
        </w:tc>
      </w:tr>
    </w:tbl>
    <w:p>
      <w:pPr>
        <w:spacing w:after="0" w:line="270" w:lineRule="exact"/>
        <w:rPr>
          <w:sz w:val="21"/>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8104"/>
      </w:tblGrid>
      <w:tr>
        <w:trPr>
          <w:trHeight w:val="1323" w:hRule="atLeast"/>
        </w:trPr>
        <w:tc>
          <w:tcPr>
            <w:tcW w:w="1936" w:type="dxa"/>
          </w:tcPr>
          <w:p>
            <w:pPr>
              <w:pStyle w:val="TableParagraph"/>
              <w:spacing w:line="224" w:lineRule="exact"/>
              <w:ind w:left="483"/>
              <w:rPr>
                <w:rFonts w:ascii="Microsoft JhengHei" w:eastAsia="Microsoft JhengHei" w:hint="eastAsia"/>
                <w:b/>
                <w:sz w:val="21"/>
              </w:rPr>
            </w:pPr>
            <w:r>
              <w:rPr>
                <w:rFonts w:ascii="Microsoft JhengHei" w:eastAsia="Microsoft JhengHei" w:hint="eastAsia"/>
                <w:b/>
                <w:sz w:val="21"/>
              </w:rPr>
              <w:t>周岁始理赔</w:t>
            </w:r>
          </w:p>
        </w:tc>
        <w:tc>
          <w:tcPr>
            <w:tcW w:w="8104" w:type="dxa"/>
          </w:tcPr>
          <w:p>
            <w:pPr>
              <w:pStyle w:val="TableParagraph"/>
              <w:spacing w:line="232" w:lineRule="exact"/>
              <w:ind w:left="107"/>
              <w:rPr>
                <w:sz w:val="21"/>
              </w:rPr>
            </w:pPr>
            <w:r>
              <w:rPr>
                <w:rFonts w:ascii="Arial" w:eastAsia="Arial"/>
                <w:sz w:val="21"/>
              </w:rPr>
              <w:t>2000 </w:t>
            </w:r>
            <w:r>
              <w:rPr>
                <w:sz w:val="21"/>
              </w:rPr>
              <w:t>赫兹语音频率下，平均听阈大于 </w:t>
            </w:r>
            <w:r>
              <w:rPr>
                <w:rFonts w:ascii="Arial" w:eastAsia="Arial"/>
                <w:sz w:val="21"/>
              </w:rPr>
              <w:t>90 </w:t>
            </w:r>
            <w:r>
              <w:rPr>
                <w:sz w:val="21"/>
              </w:rPr>
              <w:t>分贝，且经纯音听力测试、声导抗检测或听</w:t>
            </w:r>
          </w:p>
          <w:p>
            <w:pPr>
              <w:pStyle w:val="TableParagraph"/>
              <w:spacing w:before="22"/>
              <w:ind w:left="107"/>
              <w:rPr>
                <w:sz w:val="21"/>
              </w:rPr>
            </w:pPr>
            <w:r>
              <w:rPr>
                <w:sz w:val="21"/>
              </w:rPr>
              <w:t>觉诱发电位检测等证实。</w:t>
            </w:r>
          </w:p>
          <w:p>
            <w:pPr>
              <w:pStyle w:val="TableParagraph"/>
              <w:spacing w:line="237" w:lineRule="auto" w:before="12"/>
              <w:ind w:left="107" w:right="308"/>
              <w:rPr>
                <w:rFonts w:ascii="黑体" w:eastAsia="黑体" w:hint="eastAsia"/>
                <w:sz w:val="24"/>
              </w:rPr>
            </w:pPr>
            <w:r>
              <w:rPr>
                <w:rFonts w:ascii="黑体" w:eastAsia="黑体" w:hint="eastAsia"/>
                <w:sz w:val="24"/>
              </w:rPr>
              <w:t>被保险人申请理赔时年龄必须在三周岁以上，并且提供理赔当时的听力丧失诊断及检查证据。</w:t>
            </w:r>
          </w:p>
        </w:tc>
      </w:tr>
      <w:tr>
        <w:trPr>
          <w:trHeight w:val="2413" w:hRule="atLeast"/>
        </w:trPr>
        <w:tc>
          <w:tcPr>
            <w:tcW w:w="1936" w:type="dxa"/>
          </w:tcPr>
          <w:p>
            <w:pPr>
              <w:pStyle w:val="TableParagraph"/>
              <w:spacing w:line="206" w:lineRule="auto" w:before="59"/>
              <w:ind w:left="483" w:right="185" w:hanging="284"/>
              <w:rPr>
                <w:rFonts w:ascii="Microsoft JhengHei" w:eastAsia="Microsoft JhengHei" w:hint="eastAsia"/>
                <w:b/>
                <w:sz w:val="21"/>
              </w:rPr>
            </w:pPr>
            <w:r>
              <w:rPr>
                <w:rFonts w:ascii="Microsoft JhengHei" w:eastAsia="Microsoft JhengHei" w:hint="eastAsia"/>
                <w:b/>
                <w:w w:val="95"/>
                <w:sz w:val="21"/>
              </w:rPr>
              <w:t>14. 双目失明－三</w:t>
            </w:r>
            <w:r>
              <w:rPr>
                <w:rFonts w:ascii="Microsoft JhengHei" w:eastAsia="Microsoft JhengHei" w:hint="eastAsia"/>
                <w:b/>
                <w:sz w:val="21"/>
              </w:rPr>
              <w:t>周岁始理赔</w:t>
            </w:r>
          </w:p>
        </w:tc>
        <w:tc>
          <w:tcPr>
            <w:tcW w:w="8104" w:type="dxa"/>
          </w:tcPr>
          <w:p>
            <w:pPr>
              <w:pStyle w:val="TableParagraph"/>
              <w:spacing w:line="273" w:lineRule="auto" w:before="94"/>
              <w:ind w:left="107" w:right="301"/>
              <w:rPr>
                <w:sz w:val="21"/>
              </w:rPr>
            </w:pPr>
            <w:r>
              <w:rPr>
                <w:spacing w:val="-7"/>
                <w:sz w:val="21"/>
              </w:rPr>
              <w:t>指因疾病或意外伤害导致双眼视力永久不可逆性丧失，双眼中较好眼须满足下列至少</w:t>
            </w:r>
            <w:r>
              <w:rPr>
                <w:spacing w:val="-4"/>
                <w:sz w:val="21"/>
              </w:rPr>
              <w:t>一项条件：</w:t>
            </w:r>
          </w:p>
          <w:p>
            <w:pPr>
              <w:pStyle w:val="TableParagraph"/>
              <w:spacing w:before="7"/>
              <w:ind w:left="107"/>
              <w:rPr>
                <w:sz w:val="21"/>
              </w:rPr>
            </w:pPr>
            <w:r>
              <w:rPr>
                <w:sz w:val="21"/>
              </w:rPr>
              <w:t>（</w:t>
            </w:r>
            <w:r>
              <w:rPr>
                <w:rFonts w:ascii="Times New Roman" w:eastAsia="Times New Roman"/>
                <w:sz w:val="21"/>
              </w:rPr>
              <w:t>1</w:t>
            </w:r>
            <w:r>
              <w:rPr>
                <w:sz w:val="21"/>
              </w:rPr>
              <w:t>）眼球缺失或摘除；</w:t>
            </w:r>
          </w:p>
          <w:p>
            <w:pPr>
              <w:pStyle w:val="TableParagraph"/>
              <w:spacing w:before="21"/>
              <w:ind w:left="107"/>
              <w:rPr>
                <w:sz w:val="21"/>
              </w:rPr>
            </w:pPr>
            <w:r>
              <w:rPr>
                <w:w w:val="100"/>
                <w:sz w:val="21"/>
              </w:rPr>
              <w:t>（</w:t>
            </w:r>
            <w:r>
              <w:rPr>
                <w:rFonts w:ascii="Times New Roman" w:eastAsia="Times New Roman"/>
                <w:w w:val="100"/>
                <w:sz w:val="21"/>
              </w:rPr>
              <w:t>2</w:t>
            </w:r>
            <w:r>
              <w:rPr>
                <w:spacing w:val="-8"/>
                <w:w w:val="100"/>
                <w:sz w:val="21"/>
              </w:rPr>
              <w:t>）</w:t>
            </w:r>
            <w:r>
              <w:rPr>
                <w:spacing w:val="-3"/>
                <w:w w:val="100"/>
                <w:sz w:val="21"/>
              </w:rPr>
              <w:t>矫正视力低于</w:t>
            </w:r>
            <w:r>
              <w:rPr>
                <w:spacing w:val="-53"/>
                <w:sz w:val="21"/>
              </w:rPr>
              <w:t> </w:t>
            </w:r>
            <w:r>
              <w:rPr>
                <w:rFonts w:ascii="Arial" w:eastAsia="Arial"/>
                <w:w w:val="100"/>
                <w:sz w:val="21"/>
              </w:rPr>
              <w:t>0</w:t>
            </w:r>
            <w:r>
              <w:rPr>
                <w:rFonts w:ascii="Arial" w:eastAsia="Arial"/>
                <w:spacing w:val="-1"/>
                <w:w w:val="100"/>
                <w:sz w:val="21"/>
              </w:rPr>
              <w:t>.</w:t>
            </w:r>
            <w:r>
              <w:rPr>
                <w:rFonts w:ascii="Arial" w:eastAsia="Arial"/>
                <w:spacing w:val="-3"/>
                <w:w w:val="100"/>
                <w:sz w:val="21"/>
              </w:rPr>
              <w:t>0</w:t>
            </w:r>
            <w:r>
              <w:rPr>
                <w:rFonts w:ascii="Arial" w:eastAsia="Arial"/>
                <w:spacing w:val="-8"/>
                <w:w w:val="100"/>
                <w:sz w:val="21"/>
              </w:rPr>
              <w:t>2</w:t>
            </w:r>
            <w:r>
              <w:rPr>
                <w:spacing w:val="-3"/>
                <w:w w:val="100"/>
                <w:sz w:val="21"/>
              </w:rPr>
              <w:t>（</w:t>
            </w:r>
            <w:r>
              <w:rPr>
                <w:spacing w:val="-4"/>
                <w:w w:val="100"/>
                <w:sz w:val="21"/>
              </w:rPr>
              <w:t>采用国际标准视力表，如果使用其他视力表应进行换算</w:t>
            </w:r>
            <w:r>
              <w:rPr>
                <w:spacing w:val="-108"/>
                <w:w w:val="100"/>
                <w:sz w:val="21"/>
              </w:rPr>
              <w:t>）</w:t>
            </w:r>
            <w:r>
              <w:rPr>
                <w:w w:val="100"/>
                <w:sz w:val="21"/>
              </w:rPr>
              <w:t>；</w:t>
            </w:r>
          </w:p>
          <w:p>
            <w:pPr>
              <w:pStyle w:val="TableParagraph"/>
              <w:spacing w:line="287" w:lineRule="exact" w:before="21"/>
              <w:ind w:left="107"/>
              <w:rPr>
                <w:sz w:val="21"/>
              </w:rPr>
            </w:pPr>
            <w:r>
              <w:rPr>
                <w:sz w:val="21"/>
              </w:rPr>
              <w:t>（</w:t>
            </w:r>
            <w:r>
              <w:rPr>
                <w:rFonts w:ascii="Times New Roman" w:eastAsia="Times New Roman"/>
                <w:sz w:val="21"/>
              </w:rPr>
              <w:t>3</w:t>
            </w:r>
            <w:r>
              <w:rPr>
                <w:sz w:val="21"/>
              </w:rPr>
              <w:t>）视野半径小于 </w:t>
            </w:r>
            <w:r>
              <w:rPr>
                <w:rFonts w:ascii="Arial" w:eastAsia="Arial"/>
                <w:sz w:val="21"/>
              </w:rPr>
              <w:t>5 </w:t>
            </w:r>
            <w:r>
              <w:rPr>
                <w:sz w:val="21"/>
              </w:rPr>
              <w:t>度。</w:t>
            </w:r>
          </w:p>
          <w:p>
            <w:pPr>
              <w:pStyle w:val="TableParagraph"/>
              <w:spacing w:line="237" w:lineRule="auto"/>
              <w:ind w:left="107" w:right="308"/>
              <w:rPr>
                <w:rFonts w:ascii="黑体" w:eastAsia="黑体" w:hint="eastAsia"/>
                <w:sz w:val="24"/>
              </w:rPr>
            </w:pPr>
            <w:r>
              <w:rPr>
                <w:rFonts w:ascii="黑体" w:eastAsia="黑体" w:hint="eastAsia"/>
                <w:sz w:val="24"/>
              </w:rPr>
              <w:t>被保险人申请理赔时年龄必须在三周岁以上，并且提供理赔当时的视力丧失诊断及检查证据。</w:t>
            </w:r>
          </w:p>
        </w:tc>
      </w:tr>
      <w:tr>
        <w:trPr>
          <w:trHeight w:val="1157" w:hRule="atLeast"/>
        </w:trPr>
        <w:tc>
          <w:tcPr>
            <w:tcW w:w="1936" w:type="dxa"/>
          </w:tcPr>
          <w:p>
            <w:pPr>
              <w:pStyle w:val="TableParagraph"/>
              <w:spacing w:before="9"/>
              <w:ind w:left="200"/>
              <w:rPr>
                <w:rFonts w:ascii="Microsoft JhengHei" w:eastAsia="Microsoft JhengHei" w:hint="eastAsia"/>
                <w:b/>
                <w:sz w:val="21"/>
              </w:rPr>
            </w:pPr>
            <w:r>
              <w:rPr>
                <w:rFonts w:ascii="Microsoft JhengHei" w:eastAsia="Microsoft JhengHei" w:hint="eastAsia"/>
                <w:b/>
                <w:w w:val="95"/>
                <w:sz w:val="21"/>
              </w:rPr>
              <w:t>15. 瘫痪</w:t>
            </w:r>
          </w:p>
        </w:tc>
        <w:tc>
          <w:tcPr>
            <w:tcW w:w="8104" w:type="dxa"/>
          </w:tcPr>
          <w:p>
            <w:pPr>
              <w:pStyle w:val="TableParagraph"/>
              <w:spacing w:line="266" w:lineRule="auto" w:before="93"/>
              <w:ind w:left="107" w:right="301"/>
              <w:jc w:val="both"/>
              <w:rPr>
                <w:sz w:val="21"/>
              </w:rPr>
            </w:pPr>
            <w:r>
              <w:rPr>
                <w:spacing w:val="-6"/>
                <w:sz w:val="21"/>
              </w:rPr>
              <w:t>指因疾病或意外伤害导致两肢或两肢以上肢体机能永久完全丧失。肢体机能永久完全丧失，指疾病确诊</w:t>
            </w:r>
            <w:r>
              <w:rPr>
                <w:rFonts w:ascii="Arial" w:eastAsia="Arial"/>
                <w:spacing w:val="-6"/>
                <w:sz w:val="21"/>
              </w:rPr>
              <w:t>180</w:t>
            </w:r>
            <w:r>
              <w:rPr>
                <w:spacing w:val="-6"/>
                <w:sz w:val="21"/>
              </w:rPr>
              <w:t>天后或意外伤害发生</w:t>
            </w:r>
            <w:r>
              <w:rPr>
                <w:rFonts w:ascii="Arial" w:eastAsia="Arial"/>
                <w:spacing w:val="-6"/>
                <w:sz w:val="21"/>
              </w:rPr>
              <w:t>180</w:t>
            </w:r>
            <w:r>
              <w:rPr>
                <w:spacing w:val="-6"/>
                <w:sz w:val="21"/>
              </w:rPr>
              <w:t>天后，每肢三大关节中的两大关节仍</w:t>
            </w:r>
            <w:r>
              <w:rPr>
                <w:spacing w:val="-4"/>
                <w:sz w:val="21"/>
              </w:rPr>
              <w:t>然完全僵硬，或不能随意识活动。</w:t>
            </w:r>
          </w:p>
        </w:tc>
      </w:tr>
      <w:tr>
        <w:trPr>
          <w:trHeight w:val="638" w:hRule="atLeast"/>
        </w:trPr>
        <w:tc>
          <w:tcPr>
            <w:tcW w:w="1936" w:type="dxa"/>
          </w:tcPr>
          <w:p>
            <w:pPr>
              <w:pStyle w:val="TableParagraph"/>
              <w:spacing w:before="14"/>
              <w:ind w:left="200"/>
              <w:rPr>
                <w:rFonts w:ascii="Microsoft JhengHei" w:eastAsia="Microsoft JhengHei" w:hint="eastAsia"/>
                <w:b/>
                <w:sz w:val="21"/>
              </w:rPr>
            </w:pPr>
            <w:r>
              <w:rPr>
                <w:rFonts w:ascii="Microsoft JhengHei" w:eastAsia="Microsoft JhengHei" w:hint="eastAsia"/>
                <w:b/>
                <w:w w:val="95"/>
                <w:sz w:val="21"/>
              </w:rPr>
              <w:t>16. 心脏瓣膜手术</w:t>
            </w:r>
          </w:p>
        </w:tc>
        <w:tc>
          <w:tcPr>
            <w:tcW w:w="8104" w:type="dxa"/>
          </w:tcPr>
          <w:p>
            <w:pPr>
              <w:pStyle w:val="TableParagraph"/>
              <w:spacing w:before="97"/>
              <w:ind w:left="107"/>
              <w:rPr>
                <w:sz w:val="21"/>
              </w:rPr>
            </w:pPr>
            <w:r>
              <w:rPr>
                <w:sz w:val="21"/>
              </w:rPr>
              <w:t>指为治疗心脏瓣膜疾病，实际实施了开胸进行的心脏瓣膜置换或修复的手术。</w:t>
            </w:r>
          </w:p>
        </w:tc>
      </w:tr>
      <w:tr>
        <w:trPr>
          <w:trHeight w:val="2204" w:hRule="atLeast"/>
        </w:trPr>
        <w:tc>
          <w:tcPr>
            <w:tcW w:w="1936" w:type="dxa"/>
          </w:tcPr>
          <w:p>
            <w:pPr>
              <w:pStyle w:val="TableParagraph"/>
              <w:spacing w:line="206" w:lineRule="auto" w:before="163"/>
              <w:ind w:left="483" w:right="185" w:hanging="284"/>
              <w:rPr>
                <w:rFonts w:ascii="Microsoft JhengHei" w:eastAsia="Microsoft JhengHei" w:hint="eastAsia"/>
                <w:b/>
                <w:sz w:val="21"/>
              </w:rPr>
            </w:pPr>
            <w:r>
              <w:rPr>
                <w:rFonts w:ascii="Microsoft JhengHei" w:eastAsia="Microsoft JhengHei" w:hint="eastAsia"/>
                <w:b/>
                <w:w w:val="95"/>
                <w:sz w:val="21"/>
              </w:rPr>
              <w:t>17. 严重阿尔茨海</w:t>
            </w:r>
            <w:r>
              <w:rPr>
                <w:rFonts w:ascii="Microsoft JhengHei" w:eastAsia="Microsoft JhengHei" w:hint="eastAsia"/>
                <w:b/>
                <w:sz w:val="21"/>
              </w:rPr>
              <w:t>默病</w:t>
            </w:r>
          </w:p>
        </w:tc>
        <w:tc>
          <w:tcPr>
            <w:tcW w:w="8104" w:type="dxa"/>
          </w:tcPr>
          <w:p>
            <w:pPr>
              <w:pStyle w:val="TableParagraph"/>
              <w:spacing w:before="1"/>
              <w:ind w:left="0"/>
              <w:rPr>
                <w:b/>
                <w:sz w:val="15"/>
              </w:rPr>
            </w:pPr>
          </w:p>
          <w:p>
            <w:pPr>
              <w:pStyle w:val="TableParagraph"/>
              <w:spacing w:line="273" w:lineRule="auto"/>
              <w:ind w:left="107" w:right="303"/>
              <w:jc w:val="both"/>
              <w:rPr>
                <w:sz w:val="21"/>
              </w:rPr>
            </w:pPr>
            <w:r>
              <w:rPr>
                <w:spacing w:val="-10"/>
                <w:sz w:val="21"/>
              </w:rPr>
              <w:t>指因大脑进行性、不可逆性改变导致智能严重衰退或丧失，临床表现为明显的认知能</w:t>
            </w:r>
            <w:r>
              <w:rPr>
                <w:spacing w:val="-12"/>
                <w:sz w:val="21"/>
              </w:rPr>
              <w:t>力障碍、行为异常和社交能力减退，其日常生活必须持续受到他人监护。须由头颅断</w:t>
            </w:r>
            <w:r>
              <w:rPr>
                <w:spacing w:val="-12"/>
                <w:w w:val="100"/>
                <w:sz w:val="21"/>
              </w:rPr>
              <w:t>层扫描（C</w:t>
            </w:r>
            <w:r>
              <w:rPr>
                <w:spacing w:val="-3"/>
                <w:w w:val="100"/>
                <w:sz w:val="21"/>
              </w:rPr>
              <w:t>T</w:t>
            </w:r>
            <w:r>
              <w:rPr>
                <w:spacing w:val="-104"/>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（PE</w:t>
            </w:r>
            <w:r>
              <w:rPr>
                <w:spacing w:val="-3"/>
                <w:w w:val="100"/>
                <w:sz w:val="21"/>
              </w:rPr>
              <w:t>T</w:t>
            </w:r>
            <w:r>
              <w:rPr>
                <w:w w:val="100"/>
                <w:sz w:val="21"/>
              </w:rPr>
              <w:t>）</w:t>
            </w:r>
            <w:r>
              <w:rPr>
                <w:spacing w:val="-2"/>
                <w:w w:val="100"/>
                <w:sz w:val="21"/>
              </w:rPr>
              <w:t>等影像学检查证</w:t>
            </w:r>
            <w:r>
              <w:rPr>
                <w:spacing w:val="-11"/>
                <w:sz w:val="21"/>
              </w:rPr>
              <w:t>实，且自主生活能力完全丧失，无法独立完成六项基本日常生活活动中的三项或三项以上。</w:t>
            </w:r>
          </w:p>
          <w:p>
            <w:pPr>
              <w:pStyle w:val="TableParagraph"/>
              <w:spacing w:line="294" w:lineRule="exact"/>
              <w:ind w:left="107"/>
              <w:jc w:val="both"/>
              <w:rPr>
                <w:rFonts w:ascii="黑体" w:eastAsia="黑体" w:hint="eastAsia"/>
                <w:sz w:val="24"/>
              </w:rPr>
            </w:pPr>
            <w:r>
              <w:rPr>
                <w:rFonts w:ascii="黑体" w:eastAsia="黑体" w:hint="eastAsia"/>
                <w:sz w:val="24"/>
              </w:rPr>
              <w:t>神经官能症和精神疾病不在保障范围内。</w:t>
            </w:r>
          </w:p>
        </w:tc>
      </w:tr>
      <w:tr>
        <w:trPr>
          <w:trHeight w:val="2717" w:hRule="atLeast"/>
        </w:trPr>
        <w:tc>
          <w:tcPr>
            <w:tcW w:w="1936" w:type="dxa"/>
          </w:tcPr>
          <w:p>
            <w:pPr>
              <w:pStyle w:val="TableParagraph"/>
              <w:spacing w:before="9"/>
              <w:ind w:left="200"/>
              <w:rPr>
                <w:rFonts w:ascii="Microsoft JhengHei" w:eastAsia="Microsoft JhengHei" w:hint="eastAsia"/>
                <w:b/>
                <w:sz w:val="21"/>
              </w:rPr>
            </w:pPr>
            <w:r>
              <w:rPr>
                <w:rFonts w:ascii="Microsoft JhengHei" w:eastAsia="Microsoft JhengHei" w:hint="eastAsia"/>
                <w:b/>
                <w:w w:val="95"/>
                <w:sz w:val="21"/>
              </w:rPr>
              <w:t>18. 严重脑损伤</w:t>
            </w:r>
          </w:p>
        </w:tc>
        <w:tc>
          <w:tcPr>
            <w:tcW w:w="8104" w:type="dxa"/>
          </w:tcPr>
          <w:p>
            <w:pPr>
              <w:pStyle w:val="TableParagraph"/>
              <w:spacing w:line="264" w:lineRule="auto" w:before="93"/>
              <w:ind w:left="107" w:right="217"/>
              <w:rPr>
                <w:sz w:val="21"/>
              </w:rPr>
            </w:pPr>
            <w:r>
              <w:rPr>
                <w:spacing w:val="-3"/>
                <w:sz w:val="21"/>
              </w:rPr>
              <w:t>指因头部遭受机械性外力，引起脑重要部位损伤，导致神经系统永久性的功能障碍。</w:t>
            </w:r>
            <w:r>
              <w:rPr>
                <w:spacing w:val="-3"/>
                <w:w w:val="100"/>
                <w:sz w:val="21"/>
              </w:rPr>
              <w:t>须由头颅断层扫描</w:t>
            </w:r>
            <w:r>
              <w:rPr>
                <w:w w:val="100"/>
                <w:sz w:val="21"/>
              </w:rPr>
              <w:t>（</w:t>
            </w:r>
            <w:r>
              <w:rPr>
                <w:rFonts w:ascii="Arial" w:eastAsia="Arial"/>
                <w:spacing w:val="-2"/>
                <w:w w:val="100"/>
                <w:sz w:val="21"/>
              </w:rPr>
              <w:t>C</w:t>
            </w:r>
            <w:r>
              <w:rPr>
                <w:rFonts w:ascii="Arial" w:eastAsia="Arial"/>
                <w:w w:val="100"/>
                <w:sz w:val="21"/>
              </w:rPr>
              <w:t>T</w:t>
            </w:r>
            <w:r>
              <w:rPr>
                <w:spacing w:val="-108"/>
                <w:w w:val="100"/>
                <w:sz w:val="21"/>
              </w:rPr>
              <w:t>）</w:t>
            </w:r>
            <w:r>
              <w:rPr>
                <w:spacing w:val="-3"/>
                <w:w w:val="100"/>
                <w:sz w:val="21"/>
              </w:rPr>
              <w:t>、核磁共振检查</w:t>
            </w:r>
            <w:r>
              <w:rPr>
                <w:w w:val="100"/>
                <w:sz w:val="21"/>
              </w:rPr>
              <w:t>（</w:t>
            </w:r>
            <w:r>
              <w:rPr>
                <w:rFonts w:ascii="Arial" w:eastAsia="Arial"/>
                <w:spacing w:val="-4"/>
                <w:w w:val="100"/>
                <w:sz w:val="21"/>
              </w:rPr>
              <w:t>M</w:t>
            </w:r>
            <w:r>
              <w:rPr>
                <w:rFonts w:ascii="Arial" w:eastAsia="Arial"/>
                <w:w w:val="100"/>
                <w:sz w:val="21"/>
              </w:rPr>
              <w:t>R</w:t>
            </w:r>
            <w:r>
              <w:rPr>
                <w:rFonts w:ascii="Arial" w:eastAsia="Arial"/>
                <w:spacing w:val="-1"/>
                <w:w w:val="100"/>
                <w:sz w:val="21"/>
              </w:rPr>
              <w:t>I</w:t>
            </w:r>
            <w:r>
              <w:rPr>
                <w:spacing w:val="-3"/>
                <w:w w:val="100"/>
                <w:sz w:val="21"/>
              </w:rPr>
              <w:t>）或正电子发射断层扫描</w:t>
            </w:r>
            <w:r>
              <w:rPr>
                <w:w w:val="100"/>
                <w:sz w:val="21"/>
              </w:rPr>
              <w:t>（</w:t>
            </w:r>
            <w:r>
              <w:rPr>
                <w:rFonts w:ascii="Arial" w:eastAsia="Arial"/>
                <w:spacing w:val="-2"/>
                <w:w w:val="100"/>
                <w:sz w:val="21"/>
              </w:rPr>
              <w:t>P</w:t>
            </w:r>
            <w:r>
              <w:rPr>
                <w:rFonts w:ascii="Arial" w:eastAsia="Arial"/>
                <w:w w:val="100"/>
                <w:sz w:val="21"/>
              </w:rPr>
              <w:t>E</w:t>
            </w:r>
            <w:r>
              <w:rPr>
                <w:rFonts w:ascii="Arial" w:eastAsia="Arial"/>
                <w:spacing w:val="-2"/>
                <w:w w:val="100"/>
                <w:sz w:val="21"/>
              </w:rPr>
              <w:t>T</w:t>
            </w:r>
            <w:r>
              <w:rPr>
                <w:w w:val="100"/>
                <w:sz w:val="21"/>
              </w:rPr>
              <w:t>）等</w:t>
            </w:r>
            <w:r>
              <w:rPr>
                <w:spacing w:val="-3"/>
                <w:sz w:val="21"/>
              </w:rPr>
              <w:t>影像学检查证实。神经系统永久性的功能障碍，指脑损伤 </w:t>
            </w:r>
            <w:r>
              <w:rPr>
                <w:rFonts w:ascii="Arial" w:eastAsia="Arial"/>
                <w:sz w:val="21"/>
              </w:rPr>
              <w:t>180</w:t>
            </w:r>
            <w:r>
              <w:rPr>
                <w:rFonts w:ascii="Arial" w:eastAsia="Arial"/>
                <w:spacing w:val="51"/>
                <w:sz w:val="21"/>
              </w:rPr>
              <w:t> </w:t>
            </w:r>
            <w:r>
              <w:rPr>
                <w:spacing w:val="-3"/>
                <w:sz w:val="21"/>
              </w:rPr>
              <w:t>天后，仍遗留下列一种或一种以上障碍：</w:t>
            </w:r>
          </w:p>
          <w:p>
            <w:pPr>
              <w:pStyle w:val="TableParagraph"/>
              <w:spacing w:before="16"/>
              <w:ind w:left="107"/>
              <w:rPr>
                <w:sz w:val="21"/>
              </w:rPr>
            </w:pPr>
            <w:r>
              <w:rPr>
                <w:sz w:val="21"/>
              </w:rPr>
              <w:t>（1）一肢或一肢以上肢体机能完全丧失；</w:t>
            </w:r>
          </w:p>
          <w:p>
            <w:pPr>
              <w:pStyle w:val="TableParagraph"/>
              <w:spacing w:before="37"/>
              <w:ind w:left="107"/>
              <w:rPr>
                <w:sz w:val="21"/>
              </w:rPr>
            </w:pPr>
            <w:r>
              <w:rPr>
                <w:sz w:val="21"/>
              </w:rPr>
              <w:t>（2）语言能力或咀嚼吞咽能力完全丧失；</w:t>
            </w:r>
          </w:p>
          <w:p>
            <w:pPr>
              <w:pStyle w:val="TableParagraph"/>
              <w:spacing w:line="273" w:lineRule="auto" w:before="37"/>
              <w:ind w:left="107" w:right="306"/>
              <w:rPr>
                <w:sz w:val="21"/>
              </w:rPr>
            </w:pPr>
            <w:r>
              <w:rPr>
                <w:sz w:val="21"/>
              </w:rPr>
              <w:t>（3）自主生活能力完全丧失，无法独立完成六项基本日常生活活动中的三项或三项以上。</w:t>
            </w:r>
          </w:p>
        </w:tc>
      </w:tr>
      <w:tr>
        <w:trPr>
          <w:trHeight w:val="2102" w:hRule="atLeast"/>
        </w:trPr>
        <w:tc>
          <w:tcPr>
            <w:tcW w:w="1936" w:type="dxa"/>
          </w:tcPr>
          <w:p>
            <w:pPr>
              <w:pStyle w:val="TableParagraph"/>
              <w:spacing w:before="14"/>
              <w:ind w:left="200"/>
              <w:rPr>
                <w:rFonts w:ascii="Microsoft JhengHei" w:eastAsia="Microsoft JhengHei" w:hint="eastAsia"/>
                <w:b/>
                <w:sz w:val="21"/>
              </w:rPr>
            </w:pPr>
            <w:r>
              <w:rPr>
                <w:rFonts w:ascii="Microsoft JhengHei" w:eastAsia="Microsoft JhengHei" w:hint="eastAsia"/>
                <w:b/>
                <w:w w:val="95"/>
                <w:sz w:val="21"/>
              </w:rPr>
              <w:t>19. 严重帕金森病</w:t>
            </w:r>
          </w:p>
        </w:tc>
        <w:tc>
          <w:tcPr>
            <w:tcW w:w="8104" w:type="dxa"/>
          </w:tcPr>
          <w:p>
            <w:pPr>
              <w:pStyle w:val="TableParagraph"/>
              <w:spacing w:line="273" w:lineRule="auto" w:before="97"/>
              <w:ind w:left="107" w:right="301"/>
              <w:rPr>
                <w:sz w:val="21"/>
              </w:rPr>
            </w:pPr>
            <w:r>
              <w:rPr>
                <w:spacing w:val="-7"/>
                <w:sz w:val="21"/>
              </w:rPr>
              <w:t>是一种中枢神经系统的退行性疾病，临床表现为震颤麻痹、共济失调等。须满足下列</w:t>
            </w:r>
            <w:r>
              <w:rPr>
                <w:spacing w:val="-4"/>
                <w:sz w:val="21"/>
              </w:rPr>
              <w:t>全部条件：</w:t>
            </w:r>
          </w:p>
          <w:p>
            <w:pPr>
              <w:pStyle w:val="TableParagraph"/>
              <w:spacing w:before="7"/>
              <w:ind w:left="107"/>
              <w:rPr>
                <w:sz w:val="21"/>
              </w:rPr>
            </w:pPr>
            <w:r>
              <w:rPr>
                <w:sz w:val="21"/>
              </w:rPr>
              <w:t>（1）药物治疗无法控制病情；</w:t>
            </w:r>
          </w:p>
          <w:p>
            <w:pPr>
              <w:pStyle w:val="TableParagraph"/>
              <w:spacing w:line="273" w:lineRule="auto" w:before="37"/>
              <w:ind w:left="633" w:right="306" w:hanging="527"/>
              <w:rPr>
                <w:sz w:val="21"/>
              </w:rPr>
            </w:pPr>
            <w:r>
              <w:rPr>
                <w:sz w:val="21"/>
              </w:rPr>
              <w:t>（2）自主生活能力完全丧失，无法独立完成六项基本日常生活活动中的三项或三项以上。</w:t>
            </w:r>
          </w:p>
          <w:p>
            <w:pPr>
              <w:pStyle w:val="TableParagraph"/>
              <w:spacing w:line="294" w:lineRule="exact"/>
              <w:ind w:left="107"/>
              <w:rPr>
                <w:rFonts w:ascii="黑体" w:eastAsia="黑体" w:hint="eastAsia"/>
                <w:sz w:val="24"/>
              </w:rPr>
            </w:pPr>
            <w:r>
              <w:rPr>
                <w:rFonts w:ascii="黑体" w:eastAsia="黑体" w:hint="eastAsia"/>
                <w:sz w:val="24"/>
              </w:rPr>
              <w:t>继发性帕金森综合征不在保障范围内。</w:t>
            </w:r>
          </w:p>
        </w:tc>
      </w:tr>
      <w:tr>
        <w:trPr>
          <w:trHeight w:val="949" w:hRule="atLeast"/>
        </w:trPr>
        <w:tc>
          <w:tcPr>
            <w:tcW w:w="1936" w:type="dxa"/>
          </w:tcPr>
          <w:p>
            <w:pPr>
              <w:pStyle w:val="TableParagraph"/>
              <w:tabs>
                <w:tab w:pos="919" w:val="left" w:leader="none"/>
              </w:tabs>
              <w:spacing w:line="206" w:lineRule="auto" w:before="61"/>
              <w:ind w:left="483" w:right="104" w:hanging="284"/>
              <w:rPr>
                <w:rFonts w:ascii="Microsoft JhengHei" w:eastAsia="Microsoft JhengHei" w:hint="eastAsia"/>
                <w:b/>
                <w:sz w:val="21"/>
              </w:rPr>
            </w:pPr>
            <w:r>
              <w:rPr>
                <w:rFonts w:ascii="Microsoft JhengHei" w:eastAsia="Microsoft JhengHei" w:hint="eastAsia"/>
                <w:b/>
                <w:sz w:val="21"/>
              </w:rPr>
              <w:t>20.</w:t>
              <w:tab/>
            </w:r>
            <w:r>
              <w:rPr>
                <w:rFonts w:ascii="Microsoft JhengHei" w:eastAsia="Microsoft JhengHei" w:hint="eastAsia"/>
                <w:b/>
                <w:spacing w:val="-4"/>
                <w:sz w:val="21"/>
              </w:rPr>
              <w:t>严重 </w:t>
            </w:r>
            <w:r>
              <w:rPr>
                <w:rFonts w:ascii="Microsoft JhengHei" w:eastAsia="Microsoft JhengHei" w:hint="eastAsia"/>
                <w:b/>
                <w:sz w:val="21"/>
              </w:rPr>
              <w:t>III</w:t>
            </w:r>
            <w:r>
              <w:rPr>
                <w:rFonts w:ascii="Microsoft JhengHei" w:eastAsia="Microsoft JhengHei" w:hint="eastAsia"/>
                <w:b/>
                <w:spacing w:val="-5"/>
                <w:sz w:val="21"/>
              </w:rPr>
              <w:t> 度烧伤</w:t>
            </w:r>
          </w:p>
        </w:tc>
        <w:tc>
          <w:tcPr>
            <w:tcW w:w="8104" w:type="dxa"/>
          </w:tcPr>
          <w:p>
            <w:pPr>
              <w:pStyle w:val="TableParagraph"/>
              <w:spacing w:line="259" w:lineRule="auto" w:before="96"/>
              <w:ind w:left="107" w:right="303"/>
              <w:rPr>
                <w:sz w:val="21"/>
              </w:rPr>
            </w:pPr>
            <w:r>
              <w:rPr>
                <w:spacing w:val="-8"/>
                <w:sz w:val="21"/>
              </w:rPr>
              <w:t>指烧伤程度为Ⅲ度，且Ⅲ度烧伤面积达到全身体表面积的</w:t>
            </w:r>
            <w:r>
              <w:rPr>
                <w:rFonts w:ascii="Arial" w:hAnsi="Arial" w:eastAsia="Arial"/>
                <w:sz w:val="21"/>
              </w:rPr>
              <w:t>20%</w:t>
            </w:r>
            <w:r>
              <w:rPr>
                <w:sz w:val="21"/>
              </w:rPr>
              <w:t>或</w:t>
            </w:r>
            <w:r>
              <w:rPr>
                <w:rFonts w:ascii="Arial" w:hAnsi="Arial" w:eastAsia="Arial"/>
                <w:sz w:val="21"/>
              </w:rPr>
              <w:t>20%</w:t>
            </w:r>
            <w:r>
              <w:rPr>
                <w:spacing w:val="-9"/>
                <w:sz w:val="21"/>
              </w:rPr>
              <w:t>以上。体表面积</w:t>
            </w:r>
            <w:r>
              <w:rPr>
                <w:spacing w:val="-5"/>
                <w:sz w:val="21"/>
              </w:rPr>
              <w:t>根据《中国新九分法》计算。</w:t>
            </w:r>
          </w:p>
        </w:tc>
      </w:tr>
      <w:tr>
        <w:trPr>
          <w:trHeight w:val="788" w:hRule="atLeast"/>
        </w:trPr>
        <w:tc>
          <w:tcPr>
            <w:tcW w:w="1936" w:type="dxa"/>
          </w:tcPr>
          <w:p>
            <w:pPr>
              <w:pStyle w:val="TableParagraph"/>
              <w:spacing w:before="112"/>
              <w:ind w:left="200"/>
              <w:rPr>
                <w:rFonts w:ascii="Microsoft JhengHei" w:eastAsia="Microsoft JhengHei" w:hint="eastAsia"/>
                <w:b/>
                <w:sz w:val="21"/>
              </w:rPr>
            </w:pPr>
            <w:r>
              <w:rPr>
                <w:rFonts w:ascii="Microsoft JhengHei" w:eastAsia="Microsoft JhengHei" w:hint="eastAsia"/>
                <w:b/>
                <w:w w:val="95"/>
                <w:sz w:val="21"/>
              </w:rPr>
              <w:t>21. 严重原发性肺</w:t>
            </w:r>
          </w:p>
        </w:tc>
        <w:tc>
          <w:tcPr>
            <w:tcW w:w="8104" w:type="dxa"/>
          </w:tcPr>
          <w:p>
            <w:pPr>
              <w:pStyle w:val="TableParagraph"/>
              <w:spacing w:line="310" w:lineRule="atLeast" w:before="162"/>
              <w:ind w:left="107" w:right="300"/>
              <w:rPr>
                <w:sz w:val="21"/>
              </w:rPr>
            </w:pPr>
            <w:r>
              <w:rPr>
                <w:spacing w:val="-8"/>
                <w:sz w:val="21"/>
              </w:rPr>
              <w:t>指不明原因的肺动脉压力持续性增高，进行性发展而导致的慢性疾病，已经造成永久</w:t>
            </w:r>
            <w:r>
              <w:rPr>
                <w:spacing w:val="-6"/>
                <w:sz w:val="21"/>
              </w:rPr>
              <w:t>不可逆性的体力活动能力受限，达到美国纽约心脏病学会心功能状态分级</w:t>
            </w:r>
            <w:r>
              <w:rPr>
                <w:sz w:val="21"/>
              </w:rPr>
              <w:t>IV</w:t>
            </w:r>
            <w:r>
              <w:rPr>
                <w:spacing w:val="-12"/>
                <w:sz w:val="21"/>
              </w:rPr>
              <w:t>级，且静</w:t>
            </w:r>
          </w:p>
        </w:tc>
      </w:tr>
    </w:tbl>
    <w:p>
      <w:pPr>
        <w:spacing w:after="0" w:line="310" w:lineRule="atLeast"/>
        <w:rPr>
          <w:sz w:val="21"/>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92"/>
      </w:tblGrid>
      <w:tr>
        <w:trPr>
          <w:trHeight w:val="489" w:hRule="atLeast"/>
        </w:trPr>
        <w:tc>
          <w:tcPr>
            <w:tcW w:w="1858" w:type="dxa"/>
          </w:tcPr>
          <w:p>
            <w:pPr>
              <w:pStyle w:val="TableParagraph"/>
              <w:spacing w:line="224" w:lineRule="exact"/>
              <w:ind w:left="465" w:right="512"/>
              <w:jc w:val="center"/>
              <w:rPr>
                <w:rFonts w:ascii="Microsoft JhengHei" w:eastAsia="Microsoft JhengHei" w:hint="eastAsia"/>
                <w:b/>
                <w:sz w:val="21"/>
              </w:rPr>
            </w:pPr>
            <w:r>
              <w:rPr>
                <w:rFonts w:ascii="Microsoft JhengHei" w:eastAsia="Microsoft JhengHei" w:hint="eastAsia"/>
                <w:b/>
                <w:sz w:val="21"/>
              </w:rPr>
              <w:t>动脉高压</w:t>
            </w:r>
          </w:p>
        </w:tc>
        <w:tc>
          <w:tcPr>
            <w:tcW w:w="8192" w:type="dxa"/>
          </w:tcPr>
          <w:p>
            <w:pPr>
              <w:pStyle w:val="TableParagraph"/>
              <w:spacing w:line="232" w:lineRule="exact"/>
              <w:rPr>
                <w:sz w:val="21"/>
              </w:rPr>
            </w:pPr>
            <w:r>
              <w:rPr>
                <w:sz w:val="21"/>
              </w:rPr>
              <w:t>息状态下肺动脉平均压超过</w:t>
            </w:r>
            <w:r>
              <w:rPr>
                <w:rFonts w:ascii="Arial" w:eastAsia="Arial"/>
                <w:sz w:val="21"/>
              </w:rPr>
              <w:t>30</w:t>
            </w:r>
            <w:r>
              <w:rPr>
                <w:sz w:val="21"/>
              </w:rPr>
              <w:t>mmHg。</w:t>
            </w:r>
          </w:p>
        </w:tc>
      </w:tr>
      <w:tr>
        <w:trPr>
          <w:trHeight w:val="1254" w:hRule="atLeast"/>
        </w:trPr>
        <w:tc>
          <w:tcPr>
            <w:tcW w:w="1858" w:type="dxa"/>
          </w:tcPr>
          <w:p>
            <w:pPr>
              <w:pStyle w:val="TableParagraph"/>
              <w:spacing w:line="204" w:lineRule="auto" w:before="161"/>
              <w:ind w:left="619" w:right="182" w:hanging="420"/>
              <w:rPr>
                <w:rFonts w:ascii="Microsoft JhengHei" w:eastAsia="Microsoft JhengHei" w:hint="eastAsia"/>
                <w:b/>
                <w:sz w:val="21"/>
              </w:rPr>
            </w:pPr>
            <w:r>
              <w:rPr>
                <w:rFonts w:ascii="Microsoft JhengHei" w:eastAsia="Microsoft JhengHei" w:hint="eastAsia"/>
                <w:b/>
                <w:sz w:val="21"/>
              </w:rPr>
              <w:t>22. 严重运动神经元病</w:t>
            </w:r>
          </w:p>
        </w:tc>
        <w:tc>
          <w:tcPr>
            <w:tcW w:w="8192" w:type="dxa"/>
          </w:tcPr>
          <w:p>
            <w:pPr>
              <w:pStyle w:val="TableParagraph"/>
              <w:spacing w:before="9"/>
              <w:ind w:left="0"/>
              <w:rPr>
                <w:b/>
                <w:sz w:val="14"/>
              </w:rPr>
            </w:pPr>
          </w:p>
          <w:p>
            <w:pPr>
              <w:pStyle w:val="TableParagraph"/>
              <w:spacing w:line="273" w:lineRule="auto"/>
              <w:ind w:right="311"/>
              <w:jc w:val="both"/>
              <w:rPr>
                <w:sz w:val="21"/>
              </w:rPr>
            </w:pPr>
            <w:r>
              <w:rPr>
                <w:spacing w:val="-7"/>
                <w:sz w:val="21"/>
              </w:rPr>
              <w:t>是一组中枢神经系统运动神经元的进行性变性疾病，包括进行性脊肌萎缩症、进行性</w:t>
            </w:r>
            <w:r>
              <w:rPr>
                <w:spacing w:val="-11"/>
                <w:sz w:val="21"/>
              </w:rPr>
              <w:t>延髓麻痹症、原发性侧索硬化症、肌萎缩性侧索硬化症。须满足自主生活能力完全丧</w:t>
            </w:r>
            <w:r>
              <w:rPr>
                <w:spacing w:val="-3"/>
                <w:sz w:val="21"/>
              </w:rPr>
              <w:t>失，无法独立完成六项基本日常生活活动中的三项或三项以上的条件。</w:t>
            </w:r>
          </w:p>
        </w:tc>
      </w:tr>
      <w:tr>
        <w:trPr>
          <w:trHeight w:val="1795" w:hRule="atLeast"/>
        </w:trPr>
        <w:tc>
          <w:tcPr>
            <w:tcW w:w="1858" w:type="dxa"/>
          </w:tcPr>
          <w:p>
            <w:pPr>
              <w:pStyle w:val="TableParagraph"/>
              <w:spacing w:line="204" w:lineRule="auto" w:before="70"/>
              <w:ind w:left="619" w:right="182" w:hanging="420"/>
              <w:jc w:val="both"/>
              <w:rPr>
                <w:rFonts w:ascii="Microsoft JhengHei" w:eastAsia="Microsoft JhengHei" w:hint="eastAsia"/>
                <w:b/>
                <w:sz w:val="21"/>
              </w:rPr>
            </w:pPr>
            <w:r>
              <w:rPr>
                <w:rFonts w:ascii="Microsoft JhengHei" w:eastAsia="Microsoft JhengHei" w:hint="eastAsia"/>
                <w:b/>
                <w:sz w:val="21"/>
              </w:rPr>
              <w:t>23. 语言能力丧失－三岁始理赔</w:t>
            </w:r>
          </w:p>
        </w:tc>
        <w:tc>
          <w:tcPr>
            <w:tcW w:w="8192" w:type="dxa"/>
          </w:tcPr>
          <w:p>
            <w:pPr>
              <w:pStyle w:val="TableParagraph"/>
              <w:spacing w:line="259" w:lineRule="auto" w:before="101"/>
              <w:ind w:right="311"/>
              <w:rPr>
                <w:sz w:val="21"/>
              </w:rPr>
            </w:pPr>
            <w:r>
              <w:rPr>
                <w:spacing w:val="-5"/>
                <w:sz w:val="21"/>
              </w:rPr>
              <w:t>指因疾病或意外伤害导致完全丧失语言能力，经过积极治疗至少 </w:t>
            </w:r>
            <w:r>
              <w:rPr>
                <w:rFonts w:ascii="Arial" w:eastAsia="Arial"/>
                <w:sz w:val="21"/>
              </w:rPr>
              <w:t>12 </w:t>
            </w:r>
            <w:r>
              <w:rPr>
                <w:spacing w:val="-3"/>
                <w:sz w:val="21"/>
              </w:rPr>
              <w:t>个月</w:t>
            </w:r>
            <w:r>
              <w:rPr>
                <w:sz w:val="21"/>
              </w:rPr>
              <w:t>（</w:t>
            </w:r>
            <w:r>
              <w:rPr>
                <w:spacing w:val="-2"/>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line="306" w:lineRule="exact"/>
              <w:rPr>
                <w:rFonts w:ascii="黑体" w:eastAsia="黑体" w:hint="eastAsia"/>
                <w:sz w:val="24"/>
              </w:rPr>
            </w:pPr>
            <w:r>
              <w:rPr>
                <w:rFonts w:ascii="黑体" w:eastAsia="黑体" w:hint="eastAsia"/>
                <w:sz w:val="24"/>
              </w:rPr>
              <w:t>精神心理因素所致的语言能力丧失不在保障范围内。</w:t>
            </w:r>
          </w:p>
          <w:p>
            <w:pPr>
              <w:pStyle w:val="TableParagraph"/>
              <w:spacing w:line="237" w:lineRule="auto" w:before="2"/>
              <w:ind w:right="318"/>
              <w:rPr>
                <w:rFonts w:ascii="黑体" w:eastAsia="黑体" w:hint="eastAsia"/>
                <w:sz w:val="24"/>
              </w:rPr>
            </w:pPr>
            <w:r>
              <w:rPr>
                <w:rFonts w:ascii="黑体" w:eastAsia="黑体" w:hint="eastAsia"/>
                <w:sz w:val="24"/>
              </w:rPr>
              <w:t>被保险人申请理赔时年龄必须在三周岁以上，并且提供理赔当时的语言能力丧失诊断及检查证据。</w:t>
            </w:r>
          </w:p>
        </w:tc>
      </w:tr>
      <w:tr>
        <w:trPr>
          <w:trHeight w:val="2413" w:hRule="atLeast"/>
        </w:trPr>
        <w:tc>
          <w:tcPr>
            <w:tcW w:w="1858" w:type="dxa"/>
          </w:tcPr>
          <w:p>
            <w:pPr>
              <w:pStyle w:val="TableParagraph"/>
              <w:spacing w:line="206" w:lineRule="auto" w:before="59"/>
              <w:ind w:left="619" w:right="182"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8192" w:type="dxa"/>
          </w:tcPr>
          <w:p>
            <w:pPr>
              <w:pStyle w:val="TableParagraph"/>
              <w:spacing w:line="273" w:lineRule="auto" w:before="94"/>
              <w:ind w:right="310"/>
              <w:rPr>
                <w:sz w:val="21"/>
              </w:rPr>
            </w:pPr>
            <w:r>
              <w:rPr>
                <w:spacing w:val="-7"/>
                <w:sz w:val="21"/>
              </w:rPr>
              <w:t>指因骨髓造血功能慢性持续性衰竭导致的贫血、中性粒细胞减少及血小板减少。须满</w:t>
            </w:r>
            <w:r>
              <w:rPr>
                <w:spacing w:val="-5"/>
                <w:sz w:val="21"/>
              </w:rPr>
              <w:t>足下列全部条件：</w:t>
            </w:r>
          </w:p>
          <w:p>
            <w:pPr>
              <w:pStyle w:val="TableParagraph"/>
              <w:spacing w:before="7"/>
              <w:rPr>
                <w:sz w:val="21"/>
              </w:rPr>
            </w:pPr>
            <w:r>
              <w:rPr>
                <w:sz w:val="21"/>
              </w:rPr>
              <w:t>（</w:t>
            </w:r>
            <w:r>
              <w:rPr>
                <w:rFonts w:ascii="Arial" w:eastAsia="Arial"/>
                <w:sz w:val="21"/>
              </w:rPr>
              <w:t>1</w:t>
            </w:r>
            <w:r>
              <w:rPr>
                <w:sz w:val="21"/>
              </w:rPr>
              <w:t>）骨髓穿刺检查或骨髓活检结果支持诊断；</w:t>
            </w:r>
          </w:p>
          <w:p>
            <w:pPr>
              <w:pStyle w:val="TableParagraph"/>
              <w:spacing w:before="21"/>
              <w:rPr>
                <w:sz w:val="21"/>
              </w:rPr>
            </w:pPr>
            <w:r>
              <w:rPr>
                <w:sz w:val="21"/>
              </w:rPr>
              <w:t>（</w:t>
            </w:r>
            <w:r>
              <w:rPr>
                <w:rFonts w:ascii="Arial" w:eastAsia="Arial"/>
                <w:sz w:val="21"/>
              </w:rPr>
              <w:t>2</w:t>
            </w:r>
            <w:r>
              <w:rPr>
                <w:sz w:val="21"/>
              </w:rPr>
              <w:t>）外周血象必须具备以下三项条件：</w:t>
            </w:r>
          </w:p>
          <w:p>
            <w:pPr>
              <w:pStyle w:val="TableParagraph"/>
              <w:spacing w:before="21"/>
              <w:ind w:left="605"/>
              <w:rPr>
                <w:sz w:val="21"/>
              </w:rPr>
            </w:pPr>
            <w:r>
              <w:rPr>
                <w:sz w:val="21"/>
              </w:rPr>
              <w:t>①中性粒细胞绝对值≤</w:t>
            </w:r>
            <w:r>
              <w:rPr>
                <w:rFonts w:ascii="Arial" w:hAnsi="Arial" w:eastAsia="Arial"/>
                <w:sz w:val="21"/>
              </w:rPr>
              <w:t>0.5×10</w:t>
            </w:r>
            <w:r>
              <w:rPr>
                <w:rFonts w:ascii="Arial" w:hAnsi="Arial" w:eastAsia="Arial"/>
                <w:sz w:val="21"/>
                <w:vertAlign w:val="superscript"/>
              </w:rPr>
              <w:t>9</w:t>
            </w:r>
            <w:r>
              <w:rPr>
                <w:rFonts w:ascii="Arial" w:hAnsi="Arial" w:eastAsia="Arial"/>
                <w:sz w:val="21"/>
                <w:vertAlign w:val="baseline"/>
              </w:rPr>
            </w:r>
            <w:r>
              <w:rPr>
                <w:sz w:val="21"/>
                <w:vertAlign w:val="baseline"/>
              </w:rPr>
              <w:t>/L；</w:t>
            </w:r>
          </w:p>
          <w:p>
            <w:pPr>
              <w:pStyle w:val="TableParagraph"/>
              <w:spacing w:before="21"/>
              <w:ind w:left="605"/>
              <w:rPr>
                <w:sz w:val="21"/>
              </w:rPr>
            </w:pPr>
            <w:r>
              <w:rPr>
                <w:sz w:val="21"/>
              </w:rPr>
              <w:t>②网织红细胞＜</w:t>
            </w:r>
            <w:r>
              <w:rPr>
                <w:rFonts w:ascii="Arial" w:hAnsi="Arial" w:eastAsia="Arial"/>
                <w:sz w:val="21"/>
              </w:rPr>
              <w:t>1%</w:t>
            </w:r>
            <w:r>
              <w:rPr>
                <w:sz w:val="21"/>
              </w:rPr>
              <w:t>；</w:t>
            </w:r>
          </w:p>
          <w:p>
            <w:pPr>
              <w:pStyle w:val="TableParagraph"/>
              <w:spacing w:before="21"/>
              <w:ind w:left="605"/>
              <w:rPr>
                <w:sz w:val="21"/>
              </w:rPr>
            </w:pPr>
            <w:r>
              <w:rPr>
                <w:sz w:val="21"/>
              </w:rPr>
              <w:t>③血小板绝对值≤</w:t>
            </w:r>
            <w:r>
              <w:rPr>
                <w:rFonts w:ascii="Arial" w:hAnsi="Arial" w:eastAsia="Arial"/>
                <w:sz w:val="21"/>
              </w:rPr>
              <w:t>20</w:t>
            </w:r>
            <w:r>
              <w:rPr>
                <w:sz w:val="21"/>
              </w:rPr>
              <w:t>×</w:t>
            </w:r>
            <w:r>
              <w:rPr>
                <w:rFonts w:ascii="Arial" w:hAnsi="Arial" w:eastAsia="Arial"/>
                <w:sz w:val="21"/>
              </w:rPr>
              <w:t>10</w:t>
            </w:r>
            <w:r>
              <w:rPr>
                <w:rFonts w:ascii="Arial" w:hAnsi="Arial" w:eastAsia="Arial"/>
                <w:sz w:val="21"/>
                <w:vertAlign w:val="superscript"/>
              </w:rPr>
              <w:t>9</w:t>
            </w:r>
            <w:r>
              <w:rPr>
                <w:rFonts w:ascii="Arial" w:hAnsi="Arial" w:eastAsia="Arial"/>
                <w:sz w:val="21"/>
                <w:vertAlign w:val="baseline"/>
              </w:rPr>
            </w:r>
            <w:r>
              <w:rPr>
                <w:sz w:val="21"/>
                <w:vertAlign w:val="baseline"/>
              </w:rPr>
              <w:t>/L。</w:t>
            </w:r>
          </w:p>
        </w:tc>
      </w:tr>
      <w:tr>
        <w:trPr>
          <w:trHeight w:val="1166" w:hRule="atLeast"/>
        </w:trPr>
        <w:tc>
          <w:tcPr>
            <w:tcW w:w="1858" w:type="dxa"/>
          </w:tcPr>
          <w:p>
            <w:pPr>
              <w:pStyle w:val="TableParagraph"/>
              <w:spacing w:before="5"/>
              <w:ind w:left="200"/>
              <w:rPr>
                <w:rFonts w:ascii="Microsoft JhengHei" w:eastAsia="Microsoft JhengHei" w:hint="eastAsia"/>
                <w:b/>
                <w:sz w:val="21"/>
              </w:rPr>
            </w:pPr>
            <w:r>
              <w:rPr>
                <w:rFonts w:ascii="Microsoft JhengHei" w:eastAsia="Microsoft JhengHei" w:hint="eastAsia"/>
                <w:b/>
                <w:sz w:val="21"/>
              </w:rPr>
              <w:t>25.  主动脉手术</w:t>
            </w:r>
          </w:p>
        </w:tc>
        <w:tc>
          <w:tcPr>
            <w:tcW w:w="8192" w:type="dxa"/>
          </w:tcPr>
          <w:p>
            <w:pPr>
              <w:pStyle w:val="TableParagraph"/>
              <w:spacing w:line="259" w:lineRule="auto" w:before="91"/>
              <w:ind w:right="229"/>
              <w:rPr>
                <w:rFonts w:ascii="黑体" w:eastAsia="黑体" w:hint="eastAsia"/>
                <w:sz w:val="24"/>
              </w:rPr>
            </w:pPr>
            <w:r>
              <w:rPr>
                <w:spacing w:val="-8"/>
                <w:sz w:val="21"/>
              </w:rPr>
              <w:t>指为治疗主动脉疾病，实际实施了开胸或开腹进行的切除、置换、修补病损主动脉血</w:t>
            </w:r>
            <w:r>
              <w:rPr>
                <w:spacing w:val="-5"/>
                <w:sz w:val="21"/>
              </w:rPr>
              <w:t>管的手术。主动脉指胸主动脉和腹主动脉，不包括胸主动脉和腹主动脉的分支血管。</w:t>
            </w:r>
            <w:r>
              <w:rPr>
                <w:rFonts w:ascii="黑体" w:eastAsia="黑体" w:hint="eastAsia"/>
                <w:spacing w:val="-5"/>
                <w:sz w:val="24"/>
              </w:rPr>
              <w:t>动脉内血管成形术不在保障范围内。</w:t>
            </w:r>
          </w:p>
        </w:tc>
      </w:tr>
      <w:tr>
        <w:trPr>
          <w:trHeight w:val="2099" w:hRule="atLeast"/>
        </w:trPr>
        <w:tc>
          <w:tcPr>
            <w:tcW w:w="1858" w:type="dxa"/>
          </w:tcPr>
          <w:p>
            <w:pPr>
              <w:pStyle w:val="TableParagraph"/>
              <w:spacing w:line="204" w:lineRule="auto" w:before="69"/>
              <w:ind w:left="619" w:right="182" w:hanging="420"/>
              <w:rPr>
                <w:rFonts w:ascii="Microsoft JhengHei" w:eastAsia="Microsoft JhengHei" w:hint="eastAsia"/>
                <w:b/>
                <w:sz w:val="21"/>
              </w:rPr>
            </w:pPr>
            <w:r>
              <w:rPr>
                <w:rFonts w:ascii="Microsoft JhengHei" w:eastAsia="Microsoft JhengHei" w:hint="eastAsia"/>
                <w:b/>
                <w:sz w:val="21"/>
              </w:rPr>
              <w:t>26. 慢性呼吸功能衰竭</w:t>
            </w:r>
          </w:p>
        </w:tc>
        <w:tc>
          <w:tcPr>
            <w:tcW w:w="8192" w:type="dxa"/>
          </w:tcPr>
          <w:p>
            <w:pPr>
              <w:pStyle w:val="TableParagraph"/>
              <w:spacing w:line="273" w:lineRule="auto" w:before="100"/>
              <w:ind w:right="311"/>
              <w:rPr>
                <w:sz w:val="21"/>
              </w:rPr>
            </w:pPr>
            <w:r>
              <w:rPr>
                <w:spacing w:val="-7"/>
                <w:sz w:val="21"/>
              </w:rPr>
              <w:t>慢性肺部疾病导致永久不可逆性的慢性呼吸功能衰竭。慢性呼吸功能衰竭必须明确诊</w:t>
            </w:r>
            <w:r>
              <w:rPr>
                <w:spacing w:val="-5"/>
                <w:sz w:val="21"/>
              </w:rPr>
              <w:t>断并满足下列全部条件：</w:t>
            </w:r>
          </w:p>
          <w:p>
            <w:pPr>
              <w:pStyle w:val="TableParagraph"/>
              <w:spacing w:before="7"/>
              <w:rPr>
                <w:sz w:val="21"/>
              </w:rPr>
            </w:pPr>
            <w:r>
              <w:rPr>
                <w:sz w:val="21"/>
              </w:rPr>
              <w:t>（1）休息时出现呼吸困难；</w:t>
            </w:r>
          </w:p>
          <w:p>
            <w:pPr>
              <w:pStyle w:val="TableParagraph"/>
              <w:spacing w:before="36"/>
              <w:rPr>
                <w:sz w:val="21"/>
              </w:rPr>
            </w:pPr>
            <w:r>
              <w:rPr>
                <w:sz w:val="21"/>
              </w:rPr>
              <w:t>（2）</w:t>
            </w:r>
            <w:r>
              <w:rPr>
                <w:spacing w:val="-3"/>
                <w:sz w:val="21"/>
              </w:rPr>
              <w:t>动脉血氧分压</w:t>
            </w:r>
            <w:r>
              <w:rPr>
                <w:sz w:val="21"/>
              </w:rPr>
              <w:t>（</w:t>
            </w:r>
            <w:r>
              <w:rPr>
                <w:rFonts w:ascii="Arial" w:eastAsia="Arial"/>
                <w:sz w:val="21"/>
              </w:rPr>
              <w:t>PaO 2</w:t>
            </w:r>
            <w:r>
              <w:rPr>
                <w:rFonts w:ascii="Arial" w:eastAsia="Arial"/>
                <w:spacing w:val="50"/>
                <w:sz w:val="21"/>
              </w:rPr>
              <w:t> </w:t>
            </w:r>
            <w:r>
              <w:rPr>
                <w:sz w:val="21"/>
              </w:rPr>
              <w:t>）</w:t>
            </w:r>
            <w:r>
              <w:rPr>
                <w:rFonts w:ascii="Arial" w:eastAsia="Arial"/>
                <w:sz w:val="21"/>
              </w:rPr>
              <w:t>&lt; 50mmHg</w:t>
            </w:r>
            <w:r>
              <w:rPr>
                <w:sz w:val="21"/>
              </w:rPr>
              <w:t>；</w:t>
            </w:r>
          </w:p>
          <w:p>
            <w:pPr>
              <w:pStyle w:val="TableParagraph"/>
              <w:spacing w:before="21"/>
              <w:rPr>
                <w:sz w:val="21"/>
              </w:rPr>
            </w:pPr>
            <w:r>
              <w:rPr>
                <w:sz w:val="21"/>
              </w:rPr>
              <w:t>（3）动脉血氧饱和度（</w:t>
            </w:r>
            <w:r>
              <w:rPr>
                <w:rFonts w:ascii="Arial" w:eastAsia="Arial"/>
                <w:sz w:val="21"/>
              </w:rPr>
              <w:t>SaO 2 </w:t>
            </w:r>
            <w:r>
              <w:rPr>
                <w:sz w:val="21"/>
              </w:rPr>
              <w:t>）</w:t>
            </w:r>
            <w:r>
              <w:rPr>
                <w:rFonts w:ascii="Arial" w:eastAsia="Arial"/>
                <w:sz w:val="21"/>
              </w:rPr>
              <w:t>&lt; 80</w:t>
            </w:r>
            <w:r>
              <w:rPr>
                <w:sz w:val="21"/>
              </w:rPr>
              <w:t>％；</w:t>
            </w:r>
          </w:p>
          <w:p>
            <w:pPr>
              <w:pStyle w:val="TableParagraph"/>
              <w:spacing w:before="21"/>
              <w:rPr>
                <w:sz w:val="21"/>
              </w:rPr>
            </w:pPr>
            <w:r>
              <w:rPr>
                <w:sz w:val="21"/>
              </w:rPr>
              <w:t>（4）因缺氧必须接受持续的输氧治疗。</w:t>
            </w:r>
          </w:p>
        </w:tc>
      </w:tr>
      <w:tr>
        <w:trPr>
          <w:trHeight w:val="1787"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27. 严重多发性硬化</w:t>
            </w:r>
          </w:p>
        </w:tc>
        <w:tc>
          <w:tcPr>
            <w:tcW w:w="8192" w:type="dxa"/>
          </w:tcPr>
          <w:p>
            <w:pPr>
              <w:pStyle w:val="TableParagraph"/>
              <w:spacing w:line="273" w:lineRule="auto" w:before="98"/>
              <w:ind w:right="311"/>
              <w:jc w:val="both"/>
              <w:rPr>
                <w:sz w:val="21"/>
              </w:rPr>
            </w:pPr>
            <w:r>
              <w:rPr>
                <w:spacing w:val="-7"/>
                <w:sz w:val="21"/>
              </w:rPr>
              <w:t>多发性硬化为中枢神经系统白质多灶性脱髓鞘病变，病变有时累及灰质。多发性硬化</w:t>
            </w:r>
            <w:r>
              <w:rPr>
                <w:spacing w:val="-11"/>
                <w:sz w:val="21"/>
              </w:rPr>
              <w:t>必须明确诊断，并且已经造成永久不可逆的神经系统功能损害。永久不可逆的神经系</w:t>
            </w:r>
            <w:r>
              <w:rPr>
                <w:spacing w:val="-9"/>
                <w:sz w:val="21"/>
              </w:rPr>
              <w:t>统损害指被保险人持续 </w:t>
            </w:r>
            <w:r>
              <w:rPr>
                <w:rFonts w:ascii="Arial" w:eastAsia="Arial"/>
                <w:sz w:val="21"/>
              </w:rPr>
              <w:t>180 </w:t>
            </w:r>
            <w:r>
              <w:rPr>
                <w:spacing w:val="-3"/>
                <w:sz w:val="21"/>
              </w:rPr>
              <w:t>天无法独立完成下列基本日常生活活动：</w:t>
            </w:r>
          </w:p>
          <w:p>
            <w:pPr>
              <w:pStyle w:val="TableParagraph"/>
              <w:spacing w:line="264" w:lineRule="exact"/>
              <w:jc w:val="both"/>
              <w:rPr>
                <w:sz w:val="21"/>
              </w:rPr>
            </w:pPr>
            <w:r>
              <w:rPr>
                <w:sz w:val="21"/>
              </w:rPr>
              <w:t>（1）移动：自己从一个房间到另一个房间；或者</w:t>
            </w:r>
          </w:p>
          <w:p>
            <w:pPr>
              <w:pStyle w:val="TableParagraph"/>
              <w:spacing w:before="38"/>
              <w:jc w:val="both"/>
              <w:rPr>
                <w:sz w:val="21"/>
              </w:rPr>
            </w:pPr>
            <w:r>
              <w:rPr>
                <w:sz w:val="21"/>
              </w:rPr>
              <w:t>（2）进食：自己从已准备好的碗或碟中取食物放入口中。</w:t>
            </w:r>
          </w:p>
        </w:tc>
      </w:tr>
      <w:tr>
        <w:trPr>
          <w:trHeight w:val="1480" w:hRule="atLeast"/>
        </w:trPr>
        <w:tc>
          <w:tcPr>
            <w:tcW w:w="1858" w:type="dxa"/>
          </w:tcPr>
          <w:p>
            <w:pPr>
              <w:pStyle w:val="TableParagraph"/>
              <w:spacing w:before="14"/>
              <w:ind w:left="200"/>
              <w:rPr>
                <w:rFonts w:ascii="Microsoft JhengHei" w:eastAsia="Microsoft JhengHei" w:hint="eastAsia"/>
                <w:b/>
                <w:sz w:val="21"/>
              </w:rPr>
            </w:pPr>
            <w:r>
              <w:rPr>
                <w:rFonts w:ascii="Microsoft JhengHei" w:eastAsia="Microsoft JhengHei" w:hint="eastAsia"/>
                <w:b/>
                <w:sz w:val="21"/>
              </w:rPr>
              <w:t>28.  严重冠心病</w:t>
            </w:r>
          </w:p>
        </w:tc>
        <w:tc>
          <w:tcPr>
            <w:tcW w:w="8192" w:type="dxa"/>
          </w:tcPr>
          <w:p>
            <w:pPr>
              <w:pStyle w:val="TableParagraph"/>
              <w:spacing w:line="266" w:lineRule="auto" w:before="100"/>
              <w:ind w:right="311"/>
              <w:jc w:val="both"/>
              <w:rPr>
                <w:sz w:val="21"/>
              </w:rPr>
            </w:pPr>
            <w:r>
              <w:rPr>
                <w:spacing w:val="-6"/>
                <w:sz w:val="21"/>
              </w:rPr>
              <w:t>指经根据冠状动脉造影检查结果明确诊断为三支主要血管严重狭窄性病变</w:t>
            </w:r>
            <w:r>
              <w:rPr>
                <w:spacing w:val="-3"/>
                <w:sz w:val="21"/>
              </w:rPr>
              <w:t>（</w:t>
            </w:r>
            <w:r>
              <w:rPr>
                <w:spacing w:val="-2"/>
                <w:sz w:val="21"/>
              </w:rPr>
              <w:t>至少一支</w:t>
            </w:r>
            <w:r>
              <w:rPr>
                <w:spacing w:val="-3"/>
                <w:sz w:val="21"/>
              </w:rPr>
              <w:t>血管管腔直径减少 </w:t>
            </w:r>
            <w:r>
              <w:rPr>
                <w:rFonts w:ascii="Arial" w:eastAsia="Arial"/>
                <w:sz w:val="21"/>
              </w:rPr>
              <w:t>75</w:t>
            </w:r>
            <w:r>
              <w:rPr>
                <w:spacing w:val="-3"/>
                <w:sz w:val="21"/>
              </w:rPr>
              <w:t>％以上和其他两支血管管腔直径减少 </w:t>
            </w:r>
            <w:r>
              <w:rPr>
                <w:rFonts w:ascii="Arial" w:eastAsia="Arial"/>
                <w:sz w:val="21"/>
              </w:rPr>
              <w:t>60</w:t>
            </w:r>
            <w:r>
              <w:rPr>
                <w:sz w:val="21"/>
              </w:rPr>
              <w:t>％以上</w:t>
            </w:r>
            <w:r>
              <w:rPr>
                <w:spacing w:val="-108"/>
                <w:sz w:val="21"/>
              </w:rPr>
              <w:t>）</w:t>
            </w:r>
            <w:r>
              <w:rPr>
                <w:spacing w:val="-3"/>
                <w:sz w:val="21"/>
              </w:rPr>
              <w:t>。冠状动脉的主要血管指左冠状动脉主干、前降支、左旋支及右冠状动脉。</w:t>
            </w:r>
          </w:p>
          <w:p>
            <w:pPr>
              <w:pStyle w:val="TableParagraph"/>
              <w:spacing w:line="300" w:lineRule="exact"/>
              <w:jc w:val="both"/>
              <w:rPr>
                <w:rFonts w:ascii="黑体" w:eastAsia="黑体" w:hint="eastAsia"/>
                <w:sz w:val="24"/>
              </w:rPr>
            </w:pPr>
            <w:r>
              <w:rPr>
                <w:rFonts w:ascii="黑体" w:eastAsia="黑体" w:hint="eastAsia"/>
                <w:sz w:val="24"/>
              </w:rPr>
              <w:t>前降支、左旋支及右冠状动脉的分支血管的狭窄不作为本保障的衡量指标。</w:t>
            </w:r>
          </w:p>
        </w:tc>
      </w:tr>
      <w:tr>
        <w:trPr>
          <w:trHeight w:val="1631" w:hRule="atLeast"/>
        </w:trPr>
        <w:tc>
          <w:tcPr>
            <w:tcW w:w="1858" w:type="dxa"/>
          </w:tcPr>
          <w:p>
            <w:pPr>
              <w:pStyle w:val="TableParagraph"/>
              <w:spacing w:before="7"/>
              <w:ind w:left="200"/>
              <w:rPr>
                <w:rFonts w:ascii="Microsoft JhengHei" w:eastAsia="Microsoft JhengHei" w:hint="eastAsia"/>
                <w:b/>
                <w:sz w:val="21"/>
              </w:rPr>
            </w:pPr>
            <w:r>
              <w:rPr>
                <w:rFonts w:ascii="Microsoft JhengHei" w:eastAsia="Microsoft JhengHei" w:hint="eastAsia"/>
                <w:b/>
                <w:w w:val="105"/>
                <w:sz w:val="21"/>
              </w:rPr>
              <w:t>29. 严重心ft病</w:t>
            </w:r>
          </w:p>
        </w:tc>
        <w:tc>
          <w:tcPr>
            <w:tcW w:w="8192" w:type="dxa"/>
          </w:tcPr>
          <w:p>
            <w:pPr>
              <w:pStyle w:val="TableParagraph"/>
              <w:spacing w:line="273" w:lineRule="auto" w:before="93"/>
              <w:ind w:right="311"/>
              <w:jc w:val="both"/>
              <w:rPr>
                <w:sz w:val="21"/>
              </w:rPr>
            </w:pPr>
            <w:r>
              <w:rPr>
                <w:spacing w:val="-7"/>
                <w:sz w:val="21"/>
              </w:rPr>
              <w:t>指被保人因心肌病</w:t>
            </w:r>
            <w:r>
              <w:rPr>
                <w:sz w:val="21"/>
              </w:rPr>
              <w:t>（</w:t>
            </w:r>
            <w:r>
              <w:rPr>
                <w:spacing w:val="-6"/>
                <w:sz w:val="21"/>
              </w:rPr>
              <w:t>包括扩张型心肌病、肥厚型心肌病及限制型心肌病</w:t>
            </w:r>
            <w:r>
              <w:rPr>
                <w:spacing w:val="-32"/>
                <w:sz w:val="21"/>
              </w:rPr>
              <w:t>）</w:t>
            </w:r>
            <w:r>
              <w:rPr>
                <w:spacing w:val="-3"/>
                <w:sz w:val="21"/>
              </w:rPr>
              <w:t>导致慢性心</w:t>
            </w:r>
            <w:r>
              <w:rPr>
                <w:spacing w:val="-8"/>
                <w:sz w:val="21"/>
              </w:rPr>
              <w:t>功能损害造成永久不可逆性的心功能衰竭。心功能衰竭程度达到纽约心脏病学会的心</w:t>
            </w:r>
            <w:r>
              <w:rPr>
                <w:spacing w:val="-7"/>
                <w:sz w:val="21"/>
              </w:rPr>
              <w:t>功能分级标准之心功能 </w:t>
            </w:r>
            <w:r>
              <w:rPr>
                <w:sz w:val="21"/>
              </w:rPr>
              <w:t>IV</w:t>
            </w:r>
            <w:r>
              <w:rPr>
                <w:spacing w:val="-6"/>
                <w:sz w:val="21"/>
              </w:rPr>
              <w:t> 级。被保险人永久不可逆性的体力活动能力受限，不能从</w:t>
            </w:r>
            <w:r>
              <w:rPr>
                <w:spacing w:val="-4"/>
                <w:sz w:val="21"/>
              </w:rPr>
              <w:t>事任何体力活动。</w:t>
            </w:r>
          </w:p>
          <w:p>
            <w:pPr>
              <w:pStyle w:val="TableParagraph"/>
              <w:spacing w:line="278" w:lineRule="exact"/>
              <w:jc w:val="both"/>
              <w:rPr>
                <w:rFonts w:ascii="黑体" w:eastAsia="黑体" w:hint="eastAsia"/>
                <w:sz w:val="24"/>
              </w:rPr>
            </w:pPr>
            <w:r>
              <w:rPr>
                <w:rFonts w:ascii="黑体" w:eastAsia="黑体" w:hint="eastAsia"/>
                <w:sz w:val="24"/>
              </w:rPr>
              <w:t>继发于酒精滥用性的心肌病不在此保障范围之内。</w:t>
            </w:r>
          </w:p>
        </w:tc>
      </w:tr>
    </w:tbl>
    <w:p>
      <w:pPr>
        <w:spacing w:after="0" w:line="278" w:lineRule="exact"/>
        <w:jc w:val="both"/>
        <w:rPr>
          <w:rFonts w:ascii="黑体" w:eastAsia="黑体" w:hint="eastAsia"/>
          <w:sz w:val="24"/>
        </w:rPr>
        <w:sectPr>
          <w:pgSz w:w="11910" w:h="16840"/>
          <w:pgMar w:header="0" w:footer="593" w:top="1160" w:bottom="780" w:left="940" w:right="700"/>
        </w:sectPr>
      </w:pPr>
    </w:p>
    <w:p>
      <w:pPr>
        <w:pStyle w:val="Heading2"/>
        <w:numPr>
          <w:ilvl w:val="0"/>
          <w:numId w:val="9"/>
        </w:numPr>
        <w:tabs>
          <w:tab w:pos="522" w:val="left" w:leader="none"/>
        </w:tabs>
        <w:spacing w:line="204" w:lineRule="auto" w:before="0" w:after="0"/>
        <w:ind w:left="521" w:right="0" w:hanging="420"/>
        <w:jc w:val="left"/>
        <w:rPr>
          <w:rFonts w:ascii="Microsoft JhengHei" w:eastAsia="Microsoft JhengHei" w:hint="eastAsia"/>
        </w:rPr>
      </w:pPr>
      <w:r>
        <w:rPr>
          <w:rFonts w:ascii="Microsoft JhengHei" w:eastAsia="Microsoft JhengHei" w:hint="eastAsia"/>
          <w:spacing w:val="-1"/>
        </w:rPr>
        <w:t>系统性红斑</w:t>
      </w:r>
      <w:r>
        <w:rPr>
          <w:rFonts w:ascii="Microsoft JhengHei" w:eastAsia="Microsoft JhengHei" w:hint="eastAsia"/>
          <w:spacing w:val="-2"/>
        </w:rPr>
        <w:t>狼疮性肾炎</w:t>
      </w:r>
    </w:p>
    <w:p>
      <w:pPr>
        <w:pStyle w:val="BodyText"/>
        <w:spacing w:line="273" w:lineRule="auto" w:before="22"/>
        <w:ind w:left="101" w:right="177"/>
      </w:pPr>
      <w:r>
        <w:rPr/>
        <w:br w:type="column"/>
      </w:r>
      <w:r>
        <w:rPr>
          <w:spacing w:val="-6"/>
        </w:rPr>
        <w:t>指系统性红斑狼疮患者并发狼疮性肾炎而影响和损害肾脏功能，且肌酐清除率持续低</w:t>
      </w:r>
      <w:r>
        <w:rPr>
          <w:spacing w:val="-9"/>
        </w:rPr>
        <w:t>于 </w:t>
      </w:r>
      <w:r>
        <w:rPr/>
        <w:t>30ml/</w:t>
      </w:r>
      <w:r>
        <w:rPr>
          <w:spacing w:val="-3"/>
        </w:rPr>
        <w:t>分。系统性红斑狼疮性肾炎的诊断必须经专科医生确诊，并满足下列条件：</w:t>
      </w:r>
    </w:p>
    <w:p>
      <w:pPr>
        <w:pStyle w:val="BodyText"/>
        <w:spacing w:before="8"/>
        <w:ind w:left="101"/>
      </w:pPr>
      <w:r>
        <w:rPr/>
        <w:t>（1）临床表现至少具备下列条件的四个：</w:t>
      </w:r>
    </w:p>
    <w:p>
      <w:pPr>
        <w:pStyle w:val="BodyText"/>
        <w:spacing w:before="37"/>
        <w:ind w:left="733"/>
      </w:pPr>
      <w:r>
        <w:rPr/>
        <w:t>① 蝶形红斑或盘形红斑；</w:t>
      </w:r>
    </w:p>
    <w:p>
      <w:pPr>
        <w:pStyle w:val="BodyText"/>
        <w:spacing w:before="37"/>
        <w:ind w:left="733"/>
      </w:pPr>
      <w:r>
        <w:rPr/>
        <w:t>② 光敏感；</w:t>
      </w:r>
    </w:p>
    <w:p>
      <w:pPr>
        <w:pStyle w:val="BodyText"/>
        <w:spacing w:before="37"/>
        <w:ind w:left="733"/>
      </w:pPr>
      <w:r>
        <w:rPr/>
        <w:t>③ 口鼻腔黏膜溃疡；</w:t>
      </w:r>
    </w:p>
    <w:p>
      <w:pPr>
        <w:pStyle w:val="BodyText"/>
        <w:spacing w:before="37"/>
        <w:ind w:left="733"/>
      </w:pPr>
      <w:r>
        <w:rPr/>
        <w:t>④ 非畸形性关节炎或多关节痛；</w:t>
      </w:r>
    </w:p>
    <w:p>
      <w:pPr>
        <w:pStyle w:val="BodyText"/>
        <w:spacing w:before="37"/>
        <w:ind w:left="733"/>
      </w:pPr>
      <w:r>
        <w:rPr/>
        <w:t>⑤ 胸膜炎或心包炎；</w:t>
      </w:r>
    </w:p>
    <w:p>
      <w:pPr>
        <w:pStyle w:val="BodyText"/>
        <w:spacing w:before="37"/>
        <w:ind w:left="733"/>
      </w:pPr>
      <w:r>
        <w:rPr/>
        <w:t>⑥ 癫痫或精神症状；</w:t>
      </w:r>
    </w:p>
    <w:p>
      <w:pPr>
        <w:pStyle w:val="BodyText"/>
        <w:spacing w:before="37"/>
        <w:ind w:left="733"/>
      </w:pPr>
      <w:r>
        <w:rPr>
          <w:spacing w:val="-7"/>
        </w:rPr>
        <w:t>⑦ 血象异常(白细胞小于 </w:t>
      </w:r>
      <w:r>
        <w:rPr>
          <w:rFonts w:ascii="Arial" w:hAnsi="Arial" w:eastAsia="Arial"/>
        </w:rPr>
        <w:t>4×10</w:t>
      </w:r>
      <w:r>
        <w:rPr>
          <w:position w:val="11"/>
          <w:sz w:val="11"/>
        </w:rPr>
        <w:t>9</w:t>
      </w:r>
      <w:r>
        <w:rPr/>
        <w:t>/L</w:t>
      </w:r>
      <w:r>
        <w:rPr>
          <w:spacing w:val="-16"/>
        </w:rPr>
        <w:t> 或血小板小于 </w:t>
      </w:r>
      <w:r>
        <w:rPr>
          <w:rFonts w:ascii="Arial" w:hAnsi="Arial" w:eastAsia="Arial"/>
        </w:rPr>
        <w:t>100×10</w:t>
      </w:r>
      <w:r>
        <w:rPr>
          <w:position w:val="11"/>
          <w:sz w:val="11"/>
        </w:rPr>
        <w:t>9</w:t>
      </w:r>
      <w:r>
        <w:rPr/>
        <w:t>/L</w:t>
      </w:r>
      <w:r>
        <w:rPr>
          <w:spacing w:val="-9"/>
        </w:rPr>
        <w:t> 或溶血性贫血)。</w:t>
      </w:r>
    </w:p>
    <w:p>
      <w:pPr>
        <w:pStyle w:val="BodyText"/>
        <w:spacing w:before="22"/>
        <w:ind w:left="101"/>
      </w:pPr>
      <w:r>
        <w:rPr/>
        <w:t>（2）检测结果至少具备下列条件的两个：</w:t>
      </w:r>
    </w:p>
    <w:p>
      <w:pPr>
        <w:pStyle w:val="BodyText"/>
        <w:spacing w:before="37"/>
        <w:ind w:left="838"/>
      </w:pPr>
      <w:r>
        <w:rPr/>
        <w:t>① 抗 </w:t>
      </w:r>
      <w:r>
        <w:rPr>
          <w:rFonts w:ascii="Arial" w:hAnsi="Arial" w:eastAsia="Arial"/>
        </w:rPr>
        <w:t>dsDNA </w:t>
      </w:r>
      <w:r>
        <w:rPr/>
        <w:t>抗体阳性；</w:t>
      </w:r>
    </w:p>
    <w:p>
      <w:pPr>
        <w:pStyle w:val="BodyText"/>
        <w:spacing w:before="22"/>
        <w:ind w:left="838"/>
      </w:pPr>
      <w:r>
        <w:rPr/>
        <w:t>② 抗 </w:t>
      </w:r>
      <w:r>
        <w:rPr>
          <w:rFonts w:ascii="Arial" w:hAnsi="Arial" w:eastAsia="Arial"/>
        </w:rPr>
        <w:t>Sm </w:t>
      </w:r>
      <w:r>
        <w:rPr/>
        <w:t>抗体阳性；</w:t>
      </w:r>
    </w:p>
    <w:p>
      <w:pPr>
        <w:pStyle w:val="BodyText"/>
        <w:spacing w:before="22"/>
        <w:ind w:left="838"/>
      </w:pPr>
      <w:r>
        <w:rPr/>
        <w:t>③ 抗核抗体阳性；</w:t>
      </w:r>
    </w:p>
    <w:p>
      <w:pPr>
        <w:pStyle w:val="BodyText"/>
        <w:spacing w:before="36"/>
        <w:ind w:left="838"/>
      </w:pPr>
      <w:r>
        <w:rPr/>
        <w:t>④ 皮肤狼疮带试验(非病损部位)或肾活检阳性；</w:t>
      </w:r>
    </w:p>
    <w:p>
      <w:pPr>
        <w:pStyle w:val="BodyText"/>
        <w:spacing w:before="36"/>
        <w:ind w:left="838"/>
      </w:pPr>
      <w:r>
        <w:rPr/>
        <w:t>⑤ </w:t>
      </w:r>
      <w:r>
        <w:rPr>
          <w:rFonts w:ascii="Arial" w:hAnsi="Arial" w:eastAsia="Arial"/>
        </w:rPr>
        <w:t>C3 </w:t>
      </w:r>
      <w:r>
        <w:rPr/>
        <w:t>降低。</w:t>
      </w:r>
    </w:p>
    <w:p>
      <w:pPr>
        <w:spacing w:after="0"/>
        <w:sectPr>
          <w:pgSz w:w="11910" w:h="16840"/>
          <w:pgMar w:header="0" w:footer="593" w:top="1080" w:bottom="780" w:left="1140" w:right="920"/>
          <w:cols w:num="2" w:equalWidth="0">
            <w:col w:w="1575" w:space="268"/>
            <w:col w:w="8007"/>
          </w:cols>
        </w:sectPr>
      </w:pPr>
    </w:p>
    <w:p>
      <w:pPr>
        <w:pStyle w:val="BodyText"/>
        <w:spacing w:before="7"/>
        <w:ind w:left="0"/>
        <w:rPr>
          <w:sz w:val="15"/>
        </w:rPr>
      </w:pPr>
    </w:p>
    <w:p>
      <w:pPr>
        <w:spacing w:after="0"/>
        <w:rPr>
          <w:sz w:val="15"/>
        </w:rPr>
        <w:sectPr>
          <w:type w:val="continuous"/>
          <w:pgSz w:w="11910" w:h="16840"/>
          <w:pgMar w:top="840" w:bottom="280" w:left="1140" w:right="920"/>
        </w:sectPr>
      </w:pPr>
    </w:p>
    <w:p>
      <w:pPr>
        <w:pStyle w:val="ListParagraph"/>
        <w:numPr>
          <w:ilvl w:val="0"/>
          <w:numId w:val="9"/>
        </w:numPr>
        <w:tabs>
          <w:tab w:pos="522" w:val="left" w:leader="none"/>
        </w:tabs>
        <w:spacing w:line="204" w:lineRule="auto" w:before="15" w:after="0"/>
        <w:ind w:left="521" w:right="0" w:hanging="420"/>
        <w:jc w:val="both"/>
        <w:rPr>
          <w:rFonts w:ascii="Microsoft JhengHei" w:eastAsia="Microsoft JhengHei" w:hint="eastAsia"/>
          <w:b/>
          <w:sz w:val="21"/>
        </w:rPr>
      </w:pPr>
      <w:r>
        <w:rPr>
          <w:rFonts w:ascii="Microsoft JhengHei" w:eastAsia="Microsoft JhengHei" w:hint="eastAsia"/>
          <w:b/>
          <w:spacing w:val="-1"/>
          <w:sz w:val="21"/>
        </w:rPr>
        <w:t>由输血或输</w:t>
      </w:r>
      <w:r>
        <w:rPr>
          <w:rFonts w:ascii="Microsoft JhengHei" w:eastAsia="Microsoft JhengHei" w:hint="eastAsia"/>
          <w:b/>
          <w:spacing w:val="-2"/>
          <w:sz w:val="21"/>
        </w:rPr>
        <w:t>液而感染艾</w:t>
      </w:r>
      <w:r>
        <w:rPr>
          <w:rFonts w:ascii="Microsoft JhengHei" w:eastAsia="Microsoft JhengHei" w:hint="eastAsia"/>
          <w:b/>
          <w:spacing w:val="-3"/>
          <w:sz w:val="21"/>
        </w:rPr>
        <w:t>滋病病毒</w:t>
      </w:r>
    </w:p>
    <w:p>
      <w:pPr>
        <w:pStyle w:val="BodyText"/>
        <w:spacing w:before="46"/>
        <w:ind w:left="101"/>
      </w:pPr>
      <w:r>
        <w:rPr/>
        <w:br w:type="column"/>
      </w:r>
      <w:r>
        <w:rPr/>
        <w:t>被保险人感染上人类免疫缺陷病毒（</w:t>
      </w:r>
      <w:r>
        <w:rPr>
          <w:rFonts w:ascii="Arial" w:eastAsia="Arial"/>
        </w:rPr>
        <w:t>HIV</w:t>
      </w:r>
      <w:r>
        <w:rPr/>
        <w:t>）并且满足下列全部条件：</w:t>
      </w:r>
    </w:p>
    <w:p>
      <w:pPr>
        <w:pStyle w:val="BodyText"/>
        <w:spacing w:before="21"/>
        <w:ind w:left="101"/>
      </w:pPr>
      <w:r>
        <w:rPr/>
        <w:t>（1）在保障起始日或复效日之后，被保险人因治疗必须接受输血而感染HIV；</w:t>
      </w:r>
    </w:p>
    <w:p>
      <w:pPr>
        <w:pStyle w:val="BodyText"/>
        <w:spacing w:line="273" w:lineRule="auto" w:before="36"/>
        <w:ind w:left="627" w:right="227" w:hanging="527"/>
      </w:pPr>
      <w:r>
        <w:rPr/>
        <w:t>（2）提供输血治疗的输血中心或医院出具该项输血感染属医疗责任事故的报告，或者法院终审裁定为医疗责任并且不准上诉；</w:t>
      </w:r>
    </w:p>
    <w:p>
      <w:pPr>
        <w:pStyle w:val="BodyText"/>
        <w:spacing w:before="7"/>
        <w:ind w:left="101"/>
      </w:pPr>
      <w:r>
        <w:rPr/>
        <w:t>（3）受感染的被保险人不是血友病患者；</w:t>
      </w:r>
    </w:p>
    <w:p>
      <w:pPr>
        <w:pStyle w:val="BodyText"/>
        <w:spacing w:before="37"/>
        <w:ind w:left="101"/>
      </w:pPr>
      <w:r>
        <w:rPr/>
        <w:t>（4）提供输血治疗的输血中心或医院必须拥有合法经营执照。</w:t>
      </w:r>
    </w:p>
    <w:p>
      <w:pPr>
        <w:spacing w:before="9"/>
        <w:ind w:left="101" w:right="214" w:firstLine="0"/>
        <w:jc w:val="left"/>
        <w:rPr>
          <w:rFonts w:ascii="黑体" w:eastAsia="黑体" w:hint="eastAsia"/>
          <w:sz w:val="24"/>
        </w:rPr>
      </w:pPr>
      <w:r>
        <w:rPr>
          <w:rFonts w:ascii="黑体" w:eastAsia="黑体" w:hint="eastAsia"/>
          <w:spacing w:val="-5"/>
          <w:sz w:val="24"/>
        </w:rPr>
        <w:t>在任何治愈艾滋病</w:t>
      </w:r>
      <w:r>
        <w:rPr>
          <w:rFonts w:ascii="黑体" w:eastAsia="黑体" w:hint="eastAsia"/>
          <w:spacing w:val="-7"/>
          <w:sz w:val="24"/>
        </w:rPr>
        <w:t>（AIDS）</w:t>
      </w:r>
      <w:r>
        <w:rPr>
          <w:rFonts w:ascii="黑体" w:eastAsia="黑体" w:hint="eastAsia"/>
          <w:sz w:val="24"/>
        </w:rPr>
        <w:t>或阻止HIV</w:t>
      </w:r>
      <w:r>
        <w:rPr>
          <w:rFonts w:ascii="黑体" w:eastAsia="黑体" w:hint="eastAsia"/>
          <w:spacing w:val="-3"/>
          <w:sz w:val="24"/>
        </w:rPr>
        <w:t>病毒作用的疗法被发现以后，或能防止AIDS发Th的医疗方法被研究出来以后，本保障将不再予以赔付。</w:t>
      </w:r>
    </w:p>
    <w:p>
      <w:pPr>
        <w:spacing w:line="237" w:lineRule="auto" w:before="0"/>
        <w:ind w:left="101" w:right="213" w:firstLine="0"/>
        <w:jc w:val="left"/>
        <w:rPr>
          <w:rFonts w:ascii="黑体" w:eastAsia="黑体" w:hint="eastAsia"/>
          <w:sz w:val="24"/>
        </w:rPr>
      </w:pPr>
      <w:r>
        <w:rPr>
          <w:rFonts w:ascii="黑体" w:eastAsia="黑体" w:hint="eastAsia"/>
          <w:spacing w:val="-5"/>
          <w:sz w:val="24"/>
        </w:rPr>
        <w:t>任何因其他传播方式</w:t>
      </w:r>
      <w:r>
        <w:rPr>
          <w:rFonts w:ascii="黑体" w:eastAsia="黑体" w:hint="eastAsia"/>
          <w:sz w:val="24"/>
        </w:rPr>
        <w:t>（</w:t>
      </w:r>
      <w:r>
        <w:rPr>
          <w:rFonts w:ascii="黑体" w:eastAsia="黑体" w:hint="eastAsia"/>
          <w:spacing w:val="-6"/>
          <w:sz w:val="24"/>
        </w:rPr>
        <w:t>包括：性传播或静脉注射毒品</w:t>
      </w:r>
      <w:r>
        <w:rPr>
          <w:rFonts w:ascii="黑体" w:eastAsia="黑体" w:hint="eastAsia"/>
          <w:spacing w:val="-39"/>
          <w:sz w:val="24"/>
        </w:rPr>
        <w:t>）</w:t>
      </w:r>
      <w:r>
        <w:rPr>
          <w:rFonts w:ascii="黑体" w:eastAsia="黑体" w:hint="eastAsia"/>
          <w:sz w:val="24"/>
        </w:rPr>
        <w:t>导致的HIV感染不在本保单保障范围内。</w:t>
      </w:r>
    </w:p>
    <w:p>
      <w:pPr>
        <w:pStyle w:val="BodyText"/>
        <w:spacing w:line="273" w:lineRule="auto" w:before="25"/>
        <w:ind w:left="101" w:right="210"/>
      </w:pPr>
      <w:r>
        <w:rPr/>
        <w:t>保险公司必须拥有获得使用被保险人的所有血液样本的权利和能够对这些样本进行独立检验的权利。</w:t>
      </w:r>
    </w:p>
    <w:p>
      <w:pPr>
        <w:spacing w:after="0" w:line="273" w:lineRule="auto"/>
        <w:sectPr>
          <w:type w:val="continuous"/>
          <w:pgSz w:w="11910" w:h="16840"/>
          <w:pgMar w:top="840" w:bottom="280" w:left="1140" w:right="920"/>
          <w:cols w:num="2" w:equalWidth="0">
            <w:col w:w="1575" w:space="268"/>
            <w:col w:w="8007"/>
          </w:cols>
        </w:sectPr>
      </w:pPr>
    </w:p>
    <w:p>
      <w:pPr>
        <w:pStyle w:val="BodyText"/>
        <w:spacing w:before="9"/>
        <w:ind w:left="0"/>
        <w:rPr>
          <w:sz w:val="14"/>
        </w:rPr>
      </w:pPr>
    </w:p>
    <w:p>
      <w:pPr>
        <w:spacing w:after="0"/>
        <w:rPr>
          <w:sz w:val="14"/>
        </w:rPr>
        <w:sectPr>
          <w:type w:val="continuous"/>
          <w:pgSz w:w="11910" w:h="16840"/>
          <w:pgMar w:top="840" w:bottom="280" w:left="1140" w:right="920"/>
        </w:sectPr>
      </w:pPr>
    </w:p>
    <w:p>
      <w:pPr>
        <w:pStyle w:val="ListParagraph"/>
        <w:numPr>
          <w:ilvl w:val="0"/>
          <w:numId w:val="9"/>
        </w:numPr>
        <w:tabs>
          <w:tab w:pos="522" w:val="left" w:leader="none"/>
        </w:tabs>
        <w:spacing w:line="204" w:lineRule="auto" w:before="12" w:after="0"/>
        <w:ind w:left="521" w:right="0" w:hanging="420"/>
        <w:jc w:val="left"/>
        <w:rPr>
          <w:rFonts w:ascii="Microsoft JhengHei" w:eastAsia="Microsoft JhengHei" w:hint="eastAsia"/>
          <w:b/>
          <w:sz w:val="21"/>
        </w:rPr>
      </w:pPr>
      <w:r>
        <w:rPr>
          <w:rFonts w:ascii="Microsoft JhengHei" w:eastAsia="Microsoft JhengHei" w:hint="eastAsia"/>
          <w:b/>
          <w:spacing w:val="-1"/>
          <w:sz w:val="21"/>
        </w:rPr>
        <w:t>因职业关系</w:t>
      </w:r>
      <w:r>
        <w:rPr>
          <w:rFonts w:ascii="Microsoft JhengHei" w:eastAsia="Microsoft JhengHei" w:hint="eastAsia"/>
          <w:b/>
          <w:spacing w:val="-2"/>
          <w:sz w:val="21"/>
        </w:rPr>
        <w:t>导致的人类</w:t>
      </w:r>
      <w:r>
        <w:rPr>
          <w:rFonts w:ascii="Microsoft JhengHei" w:eastAsia="Microsoft JhengHei" w:hint="eastAsia"/>
          <w:b/>
          <w:spacing w:val="-3"/>
          <w:sz w:val="21"/>
        </w:rPr>
        <w:t>免疫缺陷病</w:t>
      </w:r>
      <w:r>
        <w:rPr>
          <w:rFonts w:ascii="Microsoft JhengHei" w:eastAsia="Microsoft JhengHei" w:hint="eastAsia"/>
          <w:b/>
          <w:spacing w:val="-3"/>
          <w:w w:val="95"/>
          <w:sz w:val="21"/>
        </w:rPr>
        <w:t>毒（HIV）感</w:t>
      </w:r>
      <w:r>
        <w:rPr>
          <w:rFonts w:ascii="Microsoft JhengHei" w:eastAsia="Microsoft JhengHei" w:hint="eastAsia"/>
          <w:b/>
          <w:spacing w:val="-3"/>
          <w:sz w:val="21"/>
        </w:rPr>
        <w:t>染</w:t>
      </w:r>
    </w:p>
    <w:p>
      <w:pPr>
        <w:pStyle w:val="BodyText"/>
        <w:spacing w:line="273" w:lineRule="auto" w:before="43"/>
        <w:ind w:left="101" w:right="206"/>
      </w:pPr>
      <w:r>
        <w:rPr/>
        <w:br w:type="column"/>
      </w:r>
      <w:r>
        <w:rPr>
          <w:spacing w:val="-8"/>
        </w:rPr>
        <w:t>被保险人在其常规职业工作过程中遭遇外伤，或者职业需要处理血液或者其他体液时</w:t>
      </w:r>
      <w:r>
        <w:rPr>
          <w:spacing w:val="-5"/>
          <w:w w:val="100"/>
        </w:rPr>
        <w:t>感染上人类免疫缺陷病毒</w:t>
      </w:r>
      <w:r>
        <w:rPr>
          <w:w w:val="100"/>
        </w:rPr>
        <w:t>（</w:t>
      </w:r>
      <w:r>
        <w:rPr>
          <w:rFonts w:ascii="Arial" w:eastAsia="Arial"/>
          <w:w w:val="100"/>
        </w:rPr>
        <w:t>H</w:t>
      </w:r>
      <w:r>
        <w:rPr>
          <w:rFonts w:ascii="Arial" w:eastAsia="Arial"/>
          <w:spacing w:val="-4"/>
          <w:w w:val="100"/>
        </w:rPr>
        <w:t>I</w:t>
      </w:r>
      <w:r>
        <w:rPr>
          <w:rFonts w:ascii="Arial" w:eastAsia="Arial"/>
          <w:spacing w:val="0"/>
          <w:w w:val="100"/>
        </w:rPr>
        <w:t>V</w:t>
      </w:r>
      <w:r>
        <w:rPr>
          <w:spacing w:val="-106"/>
          <w:w w:val="100"/>
        </w:rPr>
        <w:t>）。</w:t>
      </w:r>
    </w:p>
    <w:p>
      <w:pPr>
        <w:pStyle w:val="BodyText"/>
        <w:spacing w:line="264" w:lineRule="exact"/>
        <w:ind w:left="101"/>
      </w:pPr>
      <w:r>
        <w:rPr/>
        <w:t>必须满足下列全部条件：</w:t>
      </w:r>
    </w:p>
    <w:p>
      <w:pPr>
        <w:pStyle w:val="BodyText"/>
        <w:spacing w:line="273" w:lineRule="auto" w:before="37"/>
        <w:ind w:left="627" w:right="211" w:hanging="527"/>
      </w:pPr>
      <w:r>
        <w:rPr/>
        <w:t>（1）感染必须是在被保险人正在从事其职业工作中发生，该职业必须属于以下列表内的职业；</w:t>
      </w:r>
    </w:p>
    <w:p>
      <w:pPr>
        <w:pStyle w:val="BodyText"/>
        <w:spacing w:before="7"/>
        <w:ind w:left="101"/>
      </w:pPr>
      <w:r>
        <w:rPr/>
        <w:t>（2）血清转化必须出现在事故发生后的 </w:t>
      </w:r>
      <w:r>
        <w:rPr>
          <w:rFonts w:ascii="Arial" w:eastAsia="Arial"/>
        </w:rPr>
        <w:t>6 </w:t>
      </w:r>
      <w:r>
        <w:rPr/>
        <w:t>个月以内；</w:t>
      </w:r>
    </w:p>
    <w:p>
      <w:pPr>
        <w:pStyle w:val="BodyText"/>
        <w:spacing w:line="259" w:lineRule="auto" w:before="22"/>
        <w:ind w:left="627" w:right="148" w:hanging="527"/>
      </w:pPr>
      <w:r>
        <w:rPr/>
        <w:t>（3）必须提供被保险人在所报事故发生后的 </w:t>
      </w:r>
      <w:r>
        <w:rPr>
          <w:rFonts w:ascii="Arial" w:eastAsia="Arial"/>
        </w:rPr>
        <w:t>5 </w:t>
      </w:r>
      <w:r>
        <w:rPr/>
        <w:t>天以内进行的检查报告，该报告必须显示被保险人血液 HIV 病毒阴性和/或 HIV 抗体阴性；</w:t>
      </w:r>
    </w:p>
    <w:p>
      <w:pPr>
        <w:pStyle w:val="BodyText"/>
        <w:spacing w:line="259" w:lineRule="auto" w:before="20"/>
        <w:ind w:left="101" w:right="105"/>
      </w:pPr>
      <w:r>
        <w:rPr/>
        <w:t>（4）</w:t>
      </w:r>
      <w:r>
        <w:rPr>
          <w:spacing w:val="-8"/>
        </w:rPr>
        <w:t>必须在事故发生后的 </w:t>
      </w:r>
      <w:r>
        <w:rPr>
          <w:rFonts w:ascii="Arial" w:eastAsia="Arial"/>
        </w:rPr>
        <w:t>12 </w:t>
      </w:r>
      <w:r>
        <w:rPr>
          <w:spacing w:val="-7"/>
        </w:rPr>
        <w:t>个月内证实被保险人体内存在 </w:t>
      </w:r>
      <w:r>
        <w:rPr/>
        <w:t>HIV</w:t>
      </w:r>
      <w:r>
        <w:rPr>
          <w:spacing w:val="-19"/>
        </w:rPr>
        <w:t> 病毒或者 </w:t>
      </w:r>
      <w:r>
        <w:rPr/>
        <w:t>HIV</w:t>
      </w:r>
      <w:r>
        <w:rPr>
          <w:spacing w:val="-13"/>
        </w:rPr>
        <w:t> 抗体。</w:t>
      </w:r>
      <w:r>
        <w:rPr>
          <w:spacing w:val="-6"/>
        </w:rPr>
        <w:t>职业限制如下所示:</w:t>
      </w:r>
    </w:p>
    <w:p>
      <w:pPr>
        <w:spacing w:after="0" w:line="259" w:lineRule="auto"/>
        <w:sectPr>
          <w:type w:val="continuous"/>
          <w:pgSz w:w="11910" w:h="16840"/>
          <w:pgMar w:top="840" w:bottom="280" w:left="1140" w:right="920"/>
          <w:cols w:num="2" w:equalWidth="0">
            <w:col w:w="1731" w:space="112"/>
            <w:col w:w="8007"/>
          </w:cols>
        </w:sectPr>
      </w:pPr>
    </w:p>
    <w:p>
      <w:pPr>
        <w:pStyle w:val="BodyText"/>
        <w:spacing w:before="6"/>
        <w:ind w:left="0"/>
        <w:rPr>
          <w:sz w:val="2"/>
        </w:rPr>
      </w:pPr>
    </w:p>
    <w:tbl>
      <w:tblPr>
        <w:tblW w:w="0" w:type="auto"/>
        <w:jc w:val="left"/>
        <w:tblInd w:w="1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7"/>
        <w:gridCol w:w="3347"/>
      </w:tblGrid>
      <w:tr>
        <w:trPr>
          <w:trHeight w:val="328" w:hRule="atLeast"/>
        </w:trPr>
        <w:tc>
          <w:tcPr>
            <w:tcW w:w="3347" w:type="dxa"/>
          </w:tcPr>
          <w:p>
            <w:pPr>
              <w:pStyle w:val="TableParagraph"/>
              <w:spacing w:line="262" w:lineRule="exact"/>
              <w:ind w:left="107"/>
              <w:rPr>
                <w:sz w:val="21"/>
              </w:rPr>
            </w:pPr>
            <w:r>
              <w:rPr>
                <w:sz w:val="21"/>
              </w:rPr>
              <w:t>医生和牙科医生</w:t>
            </w:r>
          </w:p>
        </w:tc>
        <w:tc>
          <w:tcPr>
            <w:tcW w:w="3347" w:type="dxa"/>
          </w:tcPr>
          <w:p>
            <w:pPr>
              <w:pStyle w:val="TableParagraph"/>
              <w:spacing w:line="262" w:lineRule="exact"/>
              <w:ind w:left="107"/>
              <w:rPr>
                <w:sz w:val="21"/>
              </w:rPr>
            </w:pPr>
            <w:r>
              <w:rPr>
                <w:sz w:val="21"/>
              </w:rPr>
              <w:t>护士</w:t>
            </w:r>
          </w:p>
        </w:tc>
      </w:tr>
      <w:tr>
        <w:trPr>
          <w:trHeight w:val="330" w:hRule="atLeast"/>
        </w:trPr>
        <w:tc>
          <w:tcPr>
            <w:tcW w:w="3347" w:type="dxa"/>
          </w:tcPr>
          <w:p>
            <w:pPr>
              <w:pStyle w:val="TableParagraph"/>
              <w:spacing w:line="262" w:lineRule="exact"/>
              <w:ind w:left="107"/>
              <w:rPr>
                <w:sz w:val="21"/>
              </w:rPr>
            </w:pPr>
            <w:r>
              <w:rPr>
                <w:sz w:val="21"/>
              </w:rPr>
              <w:t>医院化验室工作人员</w:t>
            </w:r>
          </w:p>
        </w:tc>
        <w:tc>
          <w:tcPr>
            <w:tcW w:w="3347" w:type="dxa"/>
          </w:tcPr>
          <w:p>
            <w:pPr>
              <w:pStyle w:val="TableParagraph"/>
              <w:spacing w:line="262" w:lineRule="exact"/>
              <w:ind w:left="107"/>
              <w:rPr>
                <w:sz w:val="21"/>
              </w:rPr>
            </w:pPr>
            <w:r>
              <w:rPr>
                <w:sz w:val="21"/>
              </w:rPr>
              <w:t>医院护工</w:t>
            </w:r>
          </w:p>
        </w:tc>
      </w:tr>
      <w:tr>
        <w:trPr>
          <w:trHeight w:val="330" w:hRule="atLeast"/>
        </w:trPr>
        <w:tc>
          <w:tcPr>
            <w:tcW w:w="3347" w:type="dxa"/>
          </w:tcPr>
          <w:p>
            <w:pPr>
              <w:pStyle w:val="TableParagraph"/>
              <w:spacing w:line="262" w:lineRule="exact"/>
              <w:ind w:left="107"/>
              <w:rPr>
                <w:sz w:val="21"/>
              </w:rPr>
            </w:pPr>
            <w:r>
              <w:rPr>
                <w:sz w:val="21"/>
              </w:rPr>
              <w:t>医生助理和牙医助理</w:t>
            </w:r>
          </w:p>
        </w:tc>
        <w:tc>
          <w:tcPr>
            <w:tcW w:w="3347" w:type="dxa"/>
          </w:tcPr>
          <w:p>
            <w:pPr>
              <w:pStyle w:val="TableParagraph"/>
              <w:spacing w:line="262" w:lineRule="exact"/>
              <w:ind w:left="107"/>
              <w:rPr>
                <w:sz w:val="21"/>
              </w:rPr>
            </w:pPr>
            <w:r>
              <w:rPr>
                <w:sz w:val="21"/>
              </w:rPr>
              <w:t>救护车工作人员</w:t>
            </w:r>
          </w:p>
        </w:tc>
      </w:tr>
      <w:tr>
        <w:trPr>
          <w:trHeight w:val="328" w:hRule="atLeast"/>
        </w:trPr>
        <w:tc>
          <w:tcPr>
            <w:tcW w:w="3347" w:type="dxa"/>
          </w:tcPr>
          <w:p>
            <w:pPr>
              <w:pStyle w:val="TableParagraph"/>
              <w:spacing w:line="262" w:lineRule="exact"/>
              <w:ind w:left="107"/>
              <w:rPr>
                <w:sz w:val="21"/>
              </w:rPr>
            </w:pPr>
            <w:r>
              <w:rPr>
                <w:sz w:val="21"/>
              </w:rPr>
              <w:t>助产士</w:t>
            </w:r>
          </w:p>
        </w:tc>
        <w:tc>
          <w:tcPr>
            <w:tcW w:w="3347" w:type="dxa"/>
          </w:tcPr>
          <w:p>
            <w:pPr>
              <w:pStyle w:val="TableParagraph"/>
              <w:spacing w:line="262" w:lineRule="exact"/>
              <w:ind w:left="107"/>
              <w:rPr>
                <w:sz w:val="21"/>
              </w:rPr>
            </w:pPr>
            <w:r>
              <w:rPr>
                <w:sz w:val="21"/>
              </w:rPr>
              <w:t>消防队员</w:t>
            </w:r>
          </w:p>
        </w:tc>
      </w:tr>
      <w:tr>
        <w:trPr>
          <w:trHeight w:val="313" w:hRule="atLeast"/>
        </w:trPr>
        <w:tc>
          <w:tcPr>
            <w:tcW w:w="3347" w:type="dxa"/>
          </w:tcPr>
          <w:p>
            <w:pPr>
              <w:pStyle w:val="TableParagraph"/>
              <w:spacing w:line="262" w:lineRule="exact"/>
              <w:ind w:left="107"/>
              <w:rPr>
                <w:sz w:val="21"/>
              </w:rPr>
            </w:pPr>
            <w:r>
              <w:rPr>
                <w:sz w:val="21"/>
              </w:rPr>
              <w:t>警察</w:t>
            </w:r>
          </w:p>
        </w:tc>
        <w:tc>
          <w:tcPr>
            <w:tcW w:w="3347" w:type="dxa"/>
          </w:tcPr>
          <w:p>
            <w:pPr>
              <w:pStyle w:val="TableParagraph"/>
              <w:spacing w:line="262" w:lineRule="exact"/>
              <w:ind w:left="107"/>
              <w:rPr>
                <w:sz w:val="21"/>
              </w:rPr>
            </w:pPr>
            <w:r>
              <w:rPr>
                <w:sz w:val="21"/>
              </w:rPr>
              <w:t>狱警</w:t>
            </w:r>
          </w:p>
        </w:tc>
      </w:tr>
    </w:tbl>
    <w:p>
      <w:pPr>
        <w:pStyle w:val="BodyText"/>
        <w:ind w:left="0"/>
        <w:rPr>
          <w:sz w:val="13"/>
        </w:rPr>
      </w:pPr>
    </w:p>
    <w:p>
      <w:pPr>
        <w:pStyle w:val="ListParagraph"/>
        <w:numPr>
          <w:ilvl w:val="0"/>
          <w:numId w:val="9"/>
        </w:numPr>
        <w:tabs>
          <w:tab w:pos="522" w:val="left" w:leader="none"/>
          <w:tab w:pos="1944" w:val="left" w:leader="none"/>
        </w:tabs>
        <w:spacing w:line="323" w:lineRule="exact" w:before="0" w:after="0"/>
        <w:ind w:left="521" w:right="0" w:hanging="420"/>
        <w:jc w:val="left"/>
        <w:rPr>
          <w:rFonts w:ascii="宋体" w:eastAsia="宋体" w:hint="eastAsia"/>
          <w:sz w:val="21"/>
        </w:rPr>
      </w:pPr>
      <w:r>
        <w:rPr>
          <w:rFonts w:ascii="Microsoft JhengHei" w:eastAsia="Microsoft JhengHei" w:hint="eastAsia"/>
          <w:b/>
          <w:position w:val="2"/>
          <w:sz w:val="21"/>
        </w:rPr>
        <w:t>特发</w:t>
      </w:r>
      <w:r>
        <w:rPr>
          <w:rFonts w:ascii="Microsoft JhengHei" w:eastAsia="Microsoft JhengHei" w:hint="eastAsia"/>
          <w:b/>
          <w:spacing w:val="-3"/>
          <w:position w:val="2"/>
          <w:sz w:val="21"/>
        </w:rPr>
        <w:t>性</w:t>
      </w:r>
      <w:r>
        <w:rPr>
          <w:rFonts w:ascii="Microsoft JhengHei" w:eastAsia="Microsoft JhengHei" w:hint="eastAsia"/>
          <w:b/>
          <w:position w:val="2"/>
          <w:sz w:val="21"/>
        </w:rPr>
        <w:t>慢性</w:t>
        <w:tab/>
      </w:r>
      <w:r>
        <w:rPr>
          <w:rFonts w:ascii="宋体" w:eastAsia="宋体" w:hint="eastAsia"/>
          <w:sz w:val="21"/>
        </w:rPr>
        <w:t>指自</w:t>
      </w:r>
      <w:r>
        <w:rPr>
          <w:rFonts w:ascii="宋体" w:eastAsia="宋体" w:hint="eastAsia"/>
          <w:spacing w:val="-3"/>
          <w:sz w:val="21"/>
        </w:rPr>
        <w:t>身</w:t>
      </w:r>
      <w:r>
        <w:rPr>
          <w:rFonts w:ascii="宋体" w:eastAsia="宋体" w:hint="eastAsia"/>
          <w:sz w:val="21"/>
        </w:rPr>
        <w:t>免</w:t>
      </w:r>
      <w:r>
        <w:rPr>
          <w:rFonts w:ascii="宋体" w:eastAsia="宋体" w:hint="eastAsia"/>
          <w:spacing w:val="-3"/>
          <w:sz w:val="21"/>
        </w:rPr>
        <w:t>疫</w:t>
      </w:r>
      <w:r>
        <w:rPr>
          <w:rFonts w:ascii="宋体" w:eastAsia="宋体" w:hint="eastAsia"/>
          <w:sz w:val="21"/>
        </w:rPr>
        <w:t>性</w:t>
      </w:r>
      <w:r>
        <w:rPr>
          <w:rFonts w:ascii="宋体" w:eastAsia="宋体" w:hint="eastAsia"/>
          <w:spacing w:val="-3"/>
          <w:sz w:val="21"/>
        </w:rPr>
        <w:t>肾</w:t>
      </w:r>
      <w:r>
        <w:rPr>
          <w:rFonts w:ascii="宋体" w:eastAsia="宋体" w:hint="eastAsia"/>
          <w:sz w:val="21"/>
        </w:rPr>
        <w:t>上</w:t>
      </w:r>
      <w:r>
        <w:rPr>
          <w:rFonts w:ascii="宋体" w:eastAsia="宋体" w:hint="eastAsia"/>
          <w:spacing w:val="-3"/>
          <w:sz w:val="21"/>
        </w:rPr>
        <w:t>腺</w:t>
      </w:r>
      <w:r>
        <w:rPr>
          <w:rFonts w:ascii="宋体" w:eastAsia="宋体" w:hint="eastAsia"/>
          <w:spacing w:val="-29"/>
          <w:sz w:val="21"/>
        </w:rPr>
        <w:t>炎</w:t>
      </w:r>
      <w:r>
        <w:rPr>
          <w:rFonts w:ascii="宋体" w:eastAsia="宋体" w:hint="eastAsia"/>
          <w:spacing w:val="-3"/>
          <w:sz w:val="21"/>
        </w:rPr>
        <w:t>（</w:t>
      </w:r>
      <w:r>
        <w:rPr>
          <w:rFonts w:ascii="宋体" w:eastAsia="宋体" w:hint="eastAsia"/>
          <w:sz w:val="21"/>
        </w:rPr>
        <w:t>既往</w:t>
      </w:r>
      <w:r>
        <w:rPr>
          <w:rFonts w:ascii="宋体" w:eastAsia="宋体" w:hint="eastAsia"/>
          <w:spacing w:val="-3"/>
          <w:sz w:val="21"/>
        </w:rPr>
        <w:t>称</w:t>
      </w:r>
      <w:r>
        <w:rPr>
          <w:rFonts w:ascii="宋体" w:eastAsia="宋体" w:hint="eastAsia"/>
          <w:spacing w:val="-29"/>
          <w:sz w:val="21"/>
        </w:rPr>
        <w:t>：</w:t>
      </w:r>
      <w:r>
        <w:rPr>
          <w:rFonts w:ascii="宋体" w:eastAsia="宋体" w:hint="eastAsia"/>
          <w:sz w:val="21"/>
        </w:rPr>
        <w:t>特</w:t>
      </w:r>
      <w:r>
        <w:rPr>
          <w:rFonts w:ascii="宋体" w:eastAsia="宋体" w:hint="eastAsia"/>
          <w:spacing w:val="-3"/>
          <w:sz w:val="21"/>
        </w:rPr>
        <w:t>发</w:t>
      </w:r>
      <w:r>
        <w:rPr>
          <w:rFonts w:ascii="宋体" w:eastAsia="宋体" w:hint="eastAsia"/>
          <w:sz w:val="21"/>
        </w:rPr>
        <w:t>性</w:t>
      </w:r>
      <w:r>
        <w:rPr>
          <w:rFonts w:ascii="宋体" w:eastAsia="宋体" w:hint="eastAsia"/>
          <w:spacing w:val="-3"/>
          <w:sz w:val="21"/>
        </w:rPr>
        <w:t>肾</w:t>
      </w:r>
      <w:r>
        <w:rPr>
          <w:rFonts w:ascii="宋体" w:eastAsia="宋体" w:hint="eastAsia"/>
          <w:sz w:val="21"/>
        </w:rPr>
        <w:t>上</w:t>
      </w:r>
      <w:r>
        <w:rPr>
          <w:rFonts w:ascii="宋体" w:eastAsia="宋体" w:hint="eastAsia"/>
          <w:spacing w:val="-3"/>
          <w:sz w:val="21"/>
        </w:rPr>
        <w:t>腺皮</w:t>
      </w:r>
      <w:r>
        <w:rPr>
          <w:rFonts w:ascii="宋体" w:eastAsia="宋体" w:hint="eastAsia"/>
          <w:sz w:val="21"/>
        </w:rPr>
        <w:t>质萎</w:t>
      </w:r>
      <w:r>
        <w:rPr>
          <w:rFonts w:ascii="宋体" w:eastAsia="宋体" w:hint="eastAsia"/>
          <w:spacing w:val="-3"/>
          <w:sz w:val="21"/>
        </w:rPr>
        <w:t>缩</w:t>
      </w:r>
      <w:r>
        <w:rPr>
          <w:rFonts w:ascii="宋体" w:eastAsia="宋体" w:hint="eastAsia"/>
          <w:spacing w:val="-29"/>
          <w:sz w:val="21"/>
        </w:rPr>
        <w:t>）</w:t>
      </w:r>
      <w:r>
        <w:rPr>
          <w:rFonts w:ascii="宋体" w:eastAsia="宋体" w:hint="eastAsia"/>
          <w:sz w:val="21"/>
        </w:rPr>
        <w:t>导</w:t>
      </w:r>
      <w:r>
        <w:rPr>
          <w:rFonts w:ascii="宋体" w:eastAsia="宋体" w:hint="eastAsia"/>
          <w:spacing w:val="-3"/>
          <w:sz w:val="21"/>
        </w:rPr>
        <w:t>致</w:t>
      </w:r>
      <w:r>
        <w:rPr>
          <w:rFonts w:ascii="宋体" w:eastAsia="宋体" w:hint="eastAsia"/>
          <w:sz w:val="21"/>
        </w:rPr>
        <w:t>肾</w:t>
      </w:r>
      <w:r>
        <w:rPr>
          <w:rFonts w:ascii="宋体" w:eastAsia="宋体" w:hint="eastAsia"/>
          <w:spacing w:val="-3"/>
          <w:sz w:val="21"/>
        </w:rPr>
        <w:t>上</w:t>
      </w:r>
      <w:r>
        <w:rPr>
          <w:rFonts w:ascii="宋体" w:eastAsia="宋体" w:hint="eastAsia"/>
          <w:sz w:val="21"/>
        </w:rPr>
        <w:t>腺</w:t>
      </w:r>
      <w:r>
        <w:rPr>
          <w:rFonts w:ascii="宋体" w:eastAsia="宋体" w:hint="eastAsia"/>
          <w:spacing w:val="-3"/>
          <w:sz w:val="21"/>
        </w:rPr>
        <w:t>萎缩</w:t>
      </w:r>
      <w:r>
        <w:rPr>
          <w:rFonts w:ascii="宋体" w:eastAsia="宋体" w:hint="eastAsia"/>
          <w:sz w:val="21"/>
        </w:rPr>
        <w:t>和慢</w:t>
      </w:r>
      <w:r>
        <w:rPr>
          <w:rFonts w:ascii="宋体" w:eastAsia="宋体" w:hint="eastAsia"/>
          <w:spacing w:val="-3"/>
          <w:sz w:val="21"/>
        </w:rPr>
        <w:t>性</w:t>
      </w:r>
      <w:r>
        <w:rPr>
          <w:rFonts w:ascii="宋体" w:eastAsia="宋体" w:hint="eastAsia"/>
          <w:sz w:val="21"/>
        </w:rPr>
        <w:t>肾</w:t>
      </w:r>
    </w:p>
    <w:p>
      <w:pPr>
        <w:spacing w:after="0" w:line="323" w:lineRule="exact"/>
        <w:jc w:val="left"/>
        <w:rPr>
          <w:rFonts w:ascii="宋体" w:eastAsia="宋体" w:hint="eastAsia"/>
          <w:sz w:val="21"/>
        </w:rPr>
        <w:sectPr>
          <w:type w:val="continuous"/>
          <w:pgSz w:w="11910" w:h="16840"/>
          <w:pgMar w:top="840" w:bottom="280" w:left="1140" w:right="9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62"/>
      </w:tblGrid>
      <w:tr>
        <w:trPr>
          <w:trHeight w:val="3192" w:hRule="atLeast"/>
        </w:trPr>
        <w:tc>
          <w:tcPr>
            <w:tcW w:w="1858" w:type="dxa"/>
          </w:tcPr>
          <w:p>
            <w:pPr>
              <w:pStyle w:val="TableParagraph"/>
              <w:spacing w:line="196" w:lineRule="exact"/>
              <w:ind w:left="619"/>
              <w:rPr>
                <w:rFonts w:ascii="Microsoft JhengHei" w:eastAsia="Microsoft JhengHei" w:hint="eastAsia"/>
                <w:b/>
                <w:sz w:val="21"/>
              </w:rPr>
            </w:pPr>
            <w:r>
              <w:rPr>
                <w:rFonts w:ascii="Microsoft JhengHei" w:eastAsia="Microsoft JhengHei" w:hint="eastAsia"/>
                <w:b/>
                <w:sz w:val="21"/>
              </w:rPr>
              <w:t>肾上腺皮质</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功能衰竭</w:t>
            </w:r>
          </w:p>
        </w:tc>
        <w:tc>
          <w:tcPr>
            <w:tcW w:w="8162" w:type="dxa"/>
          </w:tcPr>
          <w:p>
            <w:pPr>
              <w:pStyle w:val="TableParagraph"/>
              <w:spacing w:line="218" w:lineRule="exact"/>
              <w:rPr>
                <w:sz w:val="21"/>
              </w:rPr>
            </w:pPr>
            <w:r>
              <w:rPr>
                <w:sz w:val="21"/>
              </w:rPr>
              <w:t>上腺皮质功能减退。必须满足所有以下条件：</w:t>
            </w:r>
          </w:p>
          <w:p>
            <w:pPr>
              <w:pStyle w:val="TableParagraph"/>
              <w:spacing w:line="273" w:lineRule="auto" w:before="37"/>
              <w:ind w:left="711" w:right="271" w:hanging="527"/>
              <w:jc w:val="both"/>
              <w:rPr>
                <w:sz w:val="21"/>
              </w:rPr>
            </w:pPr>
            <w:r>
              <w:rPr>
                <w:spacing w:val="7"/>
                <w:sz w:val="21"/>
              </w:rPr>
              <w:t>（1）</w:t>
            </w:r>
            <w:r>
              <w:rPr>
                <w:spacing w:val="5"/>
                <w:sz w:val="21"/>
              </w:rPr>
              <w:t>明确诊断，符合所有以下诊断标准： 血浆促肾上腺皮质激素(</w:t>
            </w:r>
            <w:r>
              <w:rPr>
                <w:sz w:val="21"/>
              </w:rPr>
              <w:t>ACTH</w:t>
            </w:r>
            <w:r>
              <w:rPr>
                <w:spacing w:val="3"/>
                <w:sz w:val="21"/>
              </w:rPr>
              <w:t>)水平测</w:t>
            </w:r>
            <w:r>
              <w:rPr>
                <w:sz w:val="21"/>
              </w:rPr>
              <w:t>定，&gt;100pg/ml</w:t>
            </w:r>
            <w:r>
              <w:rPr>
                <w:spacing w:val="-1"/>
                <w:sz w:val="21"/>
              </w:rPr>
              <w:t>； 血浆肾素活性、血管紧张素</w:t>
            </w:r>
            <w:r>
              <w:rPr>
                <w:sz w:val="21"/>
              </w:rPr>
              <w:t>II</w:t>
            </w:r>
            <w:r>
              <w:rPr>
                <w:spacing w:val="-3"/>
                <w:sz w:val="21"/>
              </w:rPr>
              <w:t>和醛固酮测定，显示为原发性</w:t>
            </w:r>
            <w:r>
              <w:rPr>
                <w:spacing w:val="-9"/>
                <w:sz w:val="21"/>
              </w:rPr>
              <w:t>肾上腺皮质功能减退症； 促肾上腺皮质激素(</w:t>
            </w:r>
            <w:r>
              <w:rPr>
                <w:sz w:val="21"/>
              </w:rPr>
              <w:t>ACTH</w:t>
            </w:r>
            <w:r>
              <w:rPr>
                <w:spacing w:val="-3"/>
                <w:sz w:val="21"/>
              </w:rPr>
              <w:t>)刺激试验显示为原发性肾上腺皮质功能减退症。</w:t>
            </w:r>
          </w:p>
          <w:p>
            <w:pPr>
              <w:pStyle w:val="TableParagraph"/>
              <w:spacing w:before="7"/>
              <w:rPr>
                <w:sz w:val="21"/>
              </w:rPr>
            </w:pPr>
            <w:r>
              <w:rPr>
                <w:sz w:val="21"/>
              </w:rPr>
              <w:t>（2）已经采用皮质类固醇替代治疗 180 天以上。</w:t>
            </w:r>
          </w:p>
          <w:p>
            <w:pPr>
              <w:pStyle w:val="TableParagraph"/>
              <w:spacing w:line="237" w:lineRule="auto" w:before="12"/>
              <w:ind w:right="286"/>
              <w:jc w:val="both"/>
              <w:rPr>
                <w:rFonts w:ascii="黑体" w:eastAsia="黑体" w:hint="eastAsia"/>
                <w:sz w:val="24"/>
              </w:rPr>
            </w:pPr>
            <w:r>
              <w:rPr>
                <w:rFonts w:ascii="黑体" w:eastAsia="黑体" w:hint="eastAsia"/>
                <w:sz w:val="24"/>
              </w:rPr>
              <w:t>本保障仅包括由自身免疫功能紊乱所导致的慢性肾上腺功能减退，其他成</w:t>
            </w:r>
            <w:r>
              <w:rPr>
                <w:rFonts w:ascii="黑体" w:eastAsia="黑体" w:hint="eastAsia"/>
                <w:spacing w:val="-20"/>
                <w:sz w:val="24"/>
              </w:rPr>
              <w:t>因</w:t>
            </w:r>
            <w:r>
              <w:rPr>
                <w:rFonts w:ascii="黑体" w:eastAsia="黑体" w:hint="eastAsia"/>
                <w:sz w:val="24"/>
              </w:rPr>
              <w:t>（</w:t>
            </w:r>
            <w:r>
              <w:rPr>
                <w:rFonts w:ascii="黑体" w:eastAsia="黑体" w:hint="eastAsia"/>
                <w:spacing w:val="-5"/>
                <w:sz w:val="24"/>
              </w:rPr>
              <w:t>包括但不限于：肾上腺结核、</w:t>
            </w:r>
            <w:r>
              <w:rPr>
                <w:rFonts w:ascii="黑体" w:eastAsia="黑体" w:hint="eastAsia"/>
                <w:sz w:val="24"/>
              </w:rPr>
              <w:t>HIV</w:t>
            </w:r>
            <w:r>
              <w:rPr>
                <w:rFonts w:ascii="黑体" w:eastAsia="黑体" w:hint="eastAsia"/>
                <w:spacing w:val="-5"/>
                <w:sz w:val="24"/>
              </w:rPr>
              <w:t>感染或艾滋病、感染、肿瘤</w:t>
            </w:r>
            <w:r>
              <w:rPr>
                <w:rFonts w:ascii="黑体" w:eastAsia="黑体" w:hint="eastAsia"/>
                <w:spacing w:val="-17"/>
                <w:sz w:val="24"/>
              </w:rPr>
              <w:t>）</w:t>
            </w:r>
            <w:r>
              <w:rPr>
                <w:rFonts w:ascii="黑体" w:eastAsia="黑体" w:hint="eastAsia"/>
                <w:sz w:val="24"/>
              </w:rPr>
              <w:t>所致的原发性肾上腺皮质功能减退和继发性肾上腺皮质功能减退均不在保障范围内。</w:t>
            </w:r>
          </w:p>
        </w:tc>
      </w:tr>
      <w:tr>
        <w:trPr>
          <w:trHeight w:val="1476" w:hRule="atLeast"/>
        </w:trPr>
        <w:tc>
          <w:tcPr>
            <w:tcW w:w="1858" w:type="dxa"/>
          </w:tcPr>
          <w:p>
            <w:pPr>
              <w:pStyle w:val="TableParagraph"/>
              <w:spacing w:before="12"/>
              <w:ind w:left="0" w:right="182"/>
              <w:jc w:val="right"/>
              <w:rPr>
                <w:rFonts w:ascii="Microsoft JhengHei" w:eastAsia="Microsoft JhengHei" w:hint="eastAsia"/>
                <w:b/>
                <w:sz w:val="21"/>
              </w:rPr>
            </w:pPr>
            <w:r>
              <w:rPr>
                <w:rFonts w:ascii="Microsoft JhengHei" w:eastAsia="Microsoft JhengHei" w:hint="eastAsia"/>
                <w:b/>
                <w:sz w:val="21"/>
              </w:rPr>
              <w:t>34.  植物人状态</w:t>
            </w:r>
          </w:p>
        </w:tc>
        <w:tc>
          <w:tcPr>
            <w:tcW w:w="8162" w:type="dxa"/>
          </w:tcPr>
          <w:p>
            <w:pPr>
              <w:pStyle w:val="TableParagraph"/>
              <w:spacing w:line="273" w:lineRule="auto" w:before="98"/>
              <w:ind w:right="197"/>
              <w:rPr>
                <w:sz w:val="21"/>
              </w:rPr>
            </w:pPr>
            <w:r>
              <w:rPr>
                <w:spacing w:val="-3"/>
                <w:sz w:val="21"/>
              </w:rPr>
              <w:t>植物人状态系指由于严重颅脑外伤造成大脑和</w:t>
            </w:r>
            <w:r>
              <w:rPr>
                <w:sz w:val="21"/>
              </w:rPr>
              <w:t>/</w:t>
            </w:r>
            <w:r>
              <w:rPr>
                <w:spacing w:val="-3"/>
                <w:sz w:val="21"/>
              </w:rPr>
              <w:t>或脑干严重损害导致完全永久性的对自身和环境的意识丧失和中枢神经系统功能丧失，仅残存植物神经功能的疾病状态。诊断必须明确并且具有严重颅脑外伤和脑损害的证据。</w:t>
            </w:r>
          </w:p>
          <w:p>
            <w:pPr>
              <w:pStyle w:val="TableParagraph"/>
              <w:spacing w:line="294" w:lineRule="exact"/>
              <w:rPr>
                <w:rFonts w:ascii="黑体" w:eastAsia="黑体" w:hint="eastAsia"/>
                <w:sz w:val="24"/>
              </w:rPr>
            </w:pPr>
            <w:r>
              <w:rPr>
                <w:rFonts w:ascii="黑体" w:eastAsia="黑体" w:hint="eastAsia"/>
                <w:sz w:val="24"/>
              </w:rPr>
              <w:t>植物人状态必须持续 30 天以上方可申请理赔。</w:t>
            </w:r>
          </w:p>
        </w:tc>
      </w:tr>
      <w:tr>
        <w:trPr>
          <w:trHeight w:val="1786" w:hRule="atLeast"/>
        </w:trPr>
        <w:tc>
          <w:tcPr>
            <w:tcW w:w="1858" w:type="dxa"/>
          </w:tcPr>
          <w:p>
            <w:pPr>
              <w:pStyle w:val="TableParagraph"/>
              <w:spacing w:before="12"/>
              <w:ind w:left="0" w:right="182"/>
              <w:jc w:val="right"/>
              <w:rPr>
                <w:rFonts w:ascii="Microsoft JhengHei" w:eastAsia="Microsoft JhengHei" w:hint="eastAsia"/>
                <w:b/>
                <w:sz w:val="21"/>
              </w:rPr>
            </w:pPr>
            <w:r>
              <w:rPr>
                <w:rFonts w:ascii="Microsoft JhengHei" w:eastAsia="Microsoft JhengHei" w:hint="eastAsia"/>
                <w:b/>
                <w:sz w:val="21"/>
              </w:rPr>
              <w:t>35.  额颞叶痴呆</w:t>
            </w:r>
          </w:p>
        </w:tc>
        <w:tc>
          <w:tcPr>
            <w:tcW w:w="8162" w:type="dxa"/>
          </w:tcPr>
          <w:p>
            <w:pPr>
              <w:pStyle w:val="TableParagraph"/>
              <w:spacing w:line="273" w:lineRule="auto" w:before="98"/>
              <w:ind w:right="197"/>
              <w:rPr>
                <w:sz w:val="21"/>
              </w:rPr>
            </w:pPr>
            <w:r>
              <w:rPr>
                <w:spacing w:val="-8"/>
                <w:sz w:val="21"/>
              </w:rPr>
              <w:t>指一组以额颞叶萎缩为特征的痴呆综合征，临床以明显的人格、行为改变和认知障碍</w:t>
            </w:r>
            <w:r>
              <w:rPr>
                <w:spacing w:val="-12"/>
                <w:sz w:val="21"/>
              </w:rPr>
              <w:t>为特征。被保险人自主生活能力完全丧失，无法独立完成六项基本日常生活活动中的</w:t>
            </w:r>
            <w:r>
              <w:rPr>
                <w:spacing w:val="-6"/>
                <w:sz w:val="21"/>
              </w:rPr>
              <w:t>三项或三项以上，日常生活必须持续受到他人监护。导致痴呆的疾病必须明确诊断， </w:t>
            </w:r>
            <w:r>
              <w:rPr>
                <w:spacing w:val="-4"/>
                <w:sz w:val="21"/>
              </w:rPr>
              <w:t>并且有完整的临床、实验室和影像学检查结果证实。</w:t>
            </w:r>
          </w:p>
          <w:p>
            <w:pPr>
              <w:pStyle w:val="TableParagraph"/>
              <w:spacing w:line="294" w:lineRule="exact"/>
              <w:rPr>
                <w:rFonts w:ascii="黑体" w:eastAsia="黑体" w:hint="eastAsia"/>
                <w:sz w:val="24"/>
              </w:rPr>
            </w:pPr>
            <w:r>
              <w:rPr>
                <w:rFonts w:ascii="黑体" w:eastAsia="黑体" w:hint="eastAsia"/>
                <w:sz w:val="24"/>
              </w:rPr>
              <w:t>神经官能症，精神疾病及酒精中毒所致脑损害不在保障范围内。</w:t>
            </w:r>
          </w:p>
        </w:tc>
      </w:tr>
      <w:tr>
        <w:trPr>
          <w:trHeight w:val="1781" w:hRule="atLeast"/>
        </w:trPr>
        <w:tc>
          <w:tcPr>
            <w:tcW w:w="1858" w:type="dxa"/>
          </w:tcPr>
          <w:p>
            <w:pPr>
              <w:pStyle w:val="TableParagraph"/>
              <w:spacing w:line="204" w:lineRule="auto" w:before="66"/>
              <w:ind w:left="619" w:right="182" w:hanging="420"/>
              <w:rPr>
                <w:rFonts w:ascii="Microsoft JhengHei" w:eastAsia="Microsoft JhengHei" w:hint="eastAsia"/>
                <w:b/>
                <w:sz w:val="21"/>
              </w:rPr>
            </w:pPr>
            <w:r>
              <w:rPr>
                <w:rFonts w:ascii="Microsoft JhengHei" w:eastAsia="Microsoft JhengHei" w:hint="eastAsia"/>
                <w:b/>
                <w:sz w:val="21"/>
              </w:rPr>
              <w:t>36. 重症急性坏死性筋膜炎</w:t>
            </w:r>
          </w:p>
        </w:tc>
        <w:tc>
          <w:tcPr>
            <w:tcW w:w="8162" w:type="dxa"/>
          </w:tcPr>
          <w:p>
            <w:pPr>
              <w:pStyle w:val="TableParagraph"/>
              <w:spacing w:line="273" w:lineRule="auto" w:before="97"/>
              <w:ind w:right="281"/>
              <w:rPr>
                <w:sz w:val="21"/>
              </w:rPr>
            </w:pPr>
            <w:r>
              <w:rPr>
                <w:spacing w:val="-6"/>
                <w:sz w:val="21"/>
              </w:rPr>
              <w:t>是一种由细菌侵入皮下组织和筋膜引起的急性坏死性软组织感染，可伴有毒血症、败</w:t>
            </w:r>
            <w:r>
              <w:rPr>
                <w:spacing w:val="-4"/>
                <w:sz w:val="21"/>
              </w:rPr>
              <w:t>血症、中毒性休克、弥漫性血管内凝血及多器官衰竭。必须满足以下所有条件：</w:t>
            </w:r>
          </w:p>
          <w:p>
            <w:pPr>
              <w:pStyle w:val="TableParagraph"/>
              <w:spacing w:before="7"/>
              <w:rPr>
                <w:sz w:val="21"/>
              </w:rPr>
            </w:pPr>
            <w:r>
              <w:rPr>
                <w:sz w:val="21"/>
              </w:rPr>
              <w:t>（1）细菌培养和临床表现符合坏死性筋膜炎诊断标准；</w:t>
            </w:r>
          </w:p>
          <w:p>
            <w:pPr>
              <w:pStyle w:val="TableParagraph"/>
              <w:spacing w:before="37"/>
              <w:rPr>
                <w:sz w:val="21"/>
              </w:rPr>
            </w:pPr>
            <w:r>
              <w:rPr>
                <w:sz w:val="21"/>
              </w:rPr>
              <w:t>（2）病情迅速恶化，有脓毒血症表现；</w:t>
            </w:r>
          </w:p>
          <w:p>
            <w:pPr>
              <w:pStyle w:val="TableParagraph"/>
              <w:spacing w:before="37"/>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3347"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37. 严重类风湿性关节炎</w:t>
            </w:r>
          </w:p>
        </w:tc>
        <w:tc>
          <w:tcPr>
            <w:tcW w:w="8162" w:type="dxa"/>
          </w:tcPr>
          <w:p>
            <w:pPr>
              <w:pStyle w:val="TableParagraph"/>
              <w:spacing w:line="273" w:lineRule="auto" w:before="104"/>
              <w:ind w:right="281"/>
              <w:jc w:val="both"/>
              <w:rPr>
                <w:sz w:val="21"/>
              </w:rPr>
            </w:pPr>
            <w:r>
              <w:rPr>
                <w:spacing w:val="-7"/>
                <w:sz w:val="21"/>
              </w:rPr>
              <w:t>类风湿性关节炎为广泛分布的慢性进行性多关节病变，表现为关节严重变形，侵犯至</w:t>
            </w:r>
            <w:r>
              <w:rPr>
                <w:spacing w:val="-6"/>
                <w:sz w:val="21"/>
              </w:rPr>
              <w:t>少三个主要关节或关节组(如：双手</w:t>
            </w:r>
            <w:r>
              <w:rPr>
                <w:sz w:val="21"/>
              </w:rPr>
              <w:t>（</w:t>
            </w:r>
            <w:r>
              <w:rPr>
                <w:spacing w:val="-2"/>
                <w:sz w:val="21"/>
              </w:rPr>
              <w:t>多手指</w:t>
            </w:r>
            <w:r>
              <w:rPr>
                <w:sz w:val="21"/>
              </w:rPr>
              <w:t>）</w:t>
            </w:r>
            <w:r>
              <w:rPr>
                <w:spacing w:val="-2"/>
                <w:sz w:val="21"/>
              </w:rPr>
              <w:t>关节、双足</w:t>
            </w:r>
            <w:r>
              <w:rPr>
                <w:sz w:val="21"/>
              </w:rPr>
              <w:t>（</w:t>
            </w:r>
            <w:r>
              <w:rPr>
                <w:spacing w:val="-2"/>
                <w:sz w:val="21"/>
              </w:rPr>
              <w:t>多足趾</w:t>
            </w:r>
            <w:r>
              <w:rPr>
                <w:sz w:val="21"/>
              </w:rPr>
              <w:t>）</w:t>
            </w:r>
            <w:r>
              <w:rPr>
                <w:spacing w:val="-3"/>
                <w:sz w:val="21"/>
              </w:rPr>
              <w:t>关节、双腕关节、双膝关节和双髋关节)。</w:t>
            </w:r>
          </w:p>
          <w:p>
            <w:pPr>
              <w:pStyle w:val="TableParagraph"/>
              <w:spacing w:line="273" w:lineRule="auto" w:before="8"/>
              <w:ind w:right="203"/>
              <w:rPr>
                <w:sz w:val="21"/>
              </w:rPr>
            </w:pPr>
            <w:r>
              <w:rPr>
                <w:sz w:val="21"/>
              </w:rPr>
              <w:t>类风湿性关节炎必须明确诊断并且已经达到类风湿性关节炎功能分类 IV 级的永久不可逆性关节功能障碍（生活不能自理，且丧失工作能力）并且满足下列全部条件：</w:t>
            </w:r>
          </w:p>
          <w:p>
            <w:pPr>
              <w:pStyle w:val="TableParagraph"/>
              <w:spacing w:before="8"/>
              <w:jc w:val="both"/>
              <w:rPr>
                <w:sz w:val="21"/>
              </w:rPr>
            </w:pPr>
            <w:r>
              <w:rPr>
                <w:sz w:val="21"/>
              </w:rPr>
              <w:t>（1）晨僵；</w:t>
            </w:r>
          </w:p>
          <w:p>
            <w:pPr>
              <w:pStyle w:val="TableParagraph"/>
              <w:spacing w:before="37"/>
              <w:jc w:val="both"/>
              <w:rPr>
                <w:sz w:val="21"/>
              </w:rPr>
            </w:pPr>
            <w:r>
              <w:rPr>
                <w:sz w:val="21"/>
              </w:rPr>
              <w:t>（2）对称性关节炎；</w:t>
            </w:r>
          </w:p>
          <w:p>
            <w:pPr>
              <w:pStyle w:val="TableParagraph"/>
              <w:spacing w:before="37"/>
              <w:jc w:val="both"/>
              <w:rPr>
                <w:sz w:val="21"/>
              </w:rPr>
            </w:pPr>
            <w:r>
              <w:rPr>
                <w:sz w:val="21"/>
              </w:rPr>
              <w:t>（3）类风湿性皮下结节；</w:t>
            </w:r>
          </w:p>
          <w:p>
            <w:pPr>
              <w:pStyle w:val="TableParagraph"/>
              <w:spacing w:before="38"/>
              <w:jc w:val="both"/>
              <w:rPr>
                <w:sz w:val="21"/>
              </w:rPr>
            </w:pPr>
            <w:r>
              <w:rPr>
                <w:sz w:val="21"/>
              </w:rPr>
              <w:t>（4）类风湿因子滴度升高；</w:t>
            </w:r>
          </w:p>
          <w:p>
            <w:pPr>
              <w:pStyle w:val="TableParagraph"/>
              <w:spacing w:before="37"/>
              <w:jc w:val="both"/>
              <w:rPr>
                <w:sz w:val="21"/>
              </w:rPr>
            </w:pPr>
            <w:r>
              <w:rPr>
                <w:sz w:val="21"/>
              </w:rPr>
              <w:t>（5）X 线显示严重的关节（软骨和骨）破坏和关节畸形。</w:t>
            </w:r>
          </w:p>
        </w:tc>
      </w:tr>
      <w:tr>
        <w:trPr>
          <w:trHeight w:val="1162" w:hRule="atLeast"/>
        </w:trPr>
        <w:tc>
          <w:tcPr>
            <w:tcW w:w="1858" w:type="dxa"/>
          </w:tcPr>
          <w:p>
            <w:pPr>
              <w:pStyle w:val="TableParagraph"/>
              <w:spacing w:before="16"/>
              <w:ind w:left="0" w:right="182"/>
              <w:jc w:val="right"/>
              <w:rPr>
                <w:rFonts w:ascii="Microsoft JhengHei" w:eastAsia="Microsoft JhengHei" w:hint="eastAsia"/>
                <w:b/>
                <w:sz w:val="21"/>
              </w:rPr>
            </w:pPr>
            <w:r>
              <w:rPr>
                <w:rFonts w:ascii="Microsoft JhengHei" w:eastAsia="Microsoft JhengHei" w:hint="eastAsia"/>
                <w:b/>
                <w:sz w:val="21"/>
              </w:rPr>
              <w:t>38.  严重克隆病</w:t>
            </w:r>
          </w:p>
        </w:tc>
        <w:tc>
          <w:tcPr>
            <w:tcW w:w="8162" w:type="dxa"/>
          </w:tcPr>
          <w:p>
            <w:pPr>
              <w:pStyle w:val="TableParagraph"/>
              <w:spacing w:line="273" w:lineRule="auto" w:before="102"/>
              <w:ind w:right="281"/>
              <w:jc w:val="both"/>
              <w:rPr>
                <w:sz w:val="21"/>
              </w:rPr>
            </w:pPr>
            <w:r>
              <w:rPr>
                <w:spacing w:val="-8"/>
                <w:sz w:val="21"/>
              </w:rPr>
              <w:t>克隆病是一种慢性肉芽肿性肠炎，具有特征性的克隆病病理组织学变化。诊断必须由</w:t>
            </w:r>
            <w:r>
              <w:rPr>
                <w:spacing w:val="-12"/>
                <w:sz w:val="21"/>
              </w:rPr>
              <w:t>病理检查结果证实。被保险人所患的克隆病必须已经造成瘘管形成并伴有肠梗阻或肠穿孔</w:t>
            </w:r>
          </w:p>
        </w:tc>
      </w:tr>
      <w:tr>
        <w:trPr>
          <w:trHeight w:val="1314"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39. 严重溃疡性结肠炎</w:t>
            </w:r>
          </w:p>
        </w:tc>
        <w:tc>
          <w:tcPr>
            <w:tcW w:w="8162" w:type="dxa"/>
          </w:tcPr>
          <w:p>
            <w:pPr>
              <w:pStyle w:val="TableParagraph"/>
              <w:spacing w:line="310" w:lineRule="atLeast" w:before="68"/>
              <w:ind w:right="281"/>
              <w:jc w:val="both"/>
              <w:rPr>
                <w:sz w:val="21"/>
              </w:rPr>
            </w:pPr>
            <w:r>
              <w:rPr>
                <w:sz w:val="21"/>
              </w:rPr>
              <w:t>本保单所保障的溃疡性结肠炎是指伴有致命性电解质紊乱的急性暴发性溃疡性结肠</w:t>
            </w:r>
            <w:r>
              <w:rPr>
                <w:spacing w:val="-11"/>
                <w:sz w:val="21"/>
              </w:rPr>
              <w:t>炎，病变累及全结肠，表现为严重的血便和系统性症状体征，治疗通常采取全结肠切</w:t>
            </w:r>
            <w:r>
              <w:rPr>
                <w:spacing w:val="-12"/>
                <w:sz w:val="21"/>
              </w:rPr>
              <w:t>除和回肠造瘘术。溃疡性结肠炎必须根据组织病理学特点诊断，并且被保险人已经接</w:t>
            </w:r>
            <w:r>
              <w:rPr>
                <w:spacing w:val="-6"/>
                <w:sz w:val="21"/>
              </w:rPr>
              <w:t>受了结肠切除和回肠造瘘术。</w:t>
            </w:r>
          </w:p>
        </w:tc>
      </w:tr>
    </w:tbl>
    <w:p>
      <w:pPr>
        <w:spacing w:after="0" w:line="310" w:lineRule="atLeast"/>
        <w:jc w:val="both"/>
        <w:rPr>
          <w:sz w:val="21"/>
        </w:rPr>
        <w:sectPr>
          <w:pgSz w:w="11910" w:h="16840"/>
          <w:pgMar w:header="0" w:footer="593" w:top="1160" w:bottom="780" w:left="94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83"/>
      </w:tblGrid>
      <w:tr>
        <w:trPr>
          <w:trHeight w:val="2256" w:hRule="atLeast"/>
        </w:trPr>
        <w:tc>
          <w:tcPr>
            <w:tcW w:w="185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40.  原发性硬化</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性胆管炎</w:t>
            </w:r>
          </w:p>
        </w:tc>
        <w:tc>
          <w:tcPr>
            <w:tcW w:w="8183" w:type="dxa"/>
          </w:tcPr>
          <w:p>
            <w:pPr>
              <w:pStyle w:val="TableParagraph"/>
              <w:spacing w:line="218" w:lineRule="exact"/>
              <w:rPr>
                <w:sz w:val="21"/>
              </w:rPr>
            </w:pPr>
            <w:r>
              <w:rPr>
                <w:sz w:val="21"/>
              </w:rPr>
              <w:t>指一种胆汁淤积综合征，其特征是肝内、肝外胆道因纤维化性炎症逐渐狭窄，并最终</w:t>
            </w:r>
          </w:p>
          <w:p>
            <w:pPr>
              <w:pStyle w:val="TableParagraph"/>
              <w:spacing w:line="273" w:lineRule="auto" w:before="37"/>
              <w:ind w:right="302"/>
              <w:rPr>
                <w:sz w:val="21"/>
              </w:rPr>
            </w:pPr>
            <w:r>
              <w:rPr>
                <w:spacing w:val="-7"/>
                <w:sz w:val="21"/>
              </w:rPr>
              <w:t>导致完全阻塞而发展为肝硬化。本病须经内镜逆行胰胆管造影等影像学检查证实，并</w:t>
            </w:r>
            <w:r>
              <w:rPr>
                <w:spacing w:val="-5"/>
                <w:sz w:val="21"/>
              </w:rPr>
              <w:t>须满足下列全部条件：</w:t>
            </w:r>
          </w:p>
          <w:p>
            <w:pPr>
              <w:pStyle w:val="TableParagraph"/>
              <w:spacing w:before="7"/>
              <w:rPr>
                <w:sz w:val="21"/>
              </w:rPr>
            </w:pPr>
            <w:r>
              <w:rPr>
                <w:sz w:val="21"/>
              </w:rPr>
              <w:t>（1）总胆红素和直接胆红素同时升高，血清 ALP&gt;200U/L；</w:t>
            </w:r>
          </w:p>
          <w:p>
            <w:pPr>
              <w:pStyle w:val="TableParagraph"/>
              <w:spacing w:before="36"/>
              <w:rPr>
                <w:sz w:val="21"/>
              </w:rPr>
            </w:pPr>
            <w:r>
              <w:rPr>
                <w:sz w:val="21"/>
              </w:rPr>
              <w:t>（2）持续性黄疸病史；</w:t>
            </w:r>
          </w:p>
          <w:p>
            <w:pPr>
              <w:pStyle w:val="TableParagraph"/>
              <w:spacing w:before="36"/>
              <w:rPr>
                <w:sz w:val="21"/>
              </w:rPr>
            </w:pPr>
            <w:r>
              <w:rPr>
                <w:sz w:val="21"/>
              </w:rPr>
              <w:t>（3）出现胆汁性肝硬化或门脉高压。</w:t>
            </w:r>
          </w:p>
          <w:p>
            <w:pPr>
              <w:pStyle w:val="TableParagraph"/>
              <w:spacing w:before="8"/>
              <w:rPr>
                <w:rFonts w:ascii="黑体" w:eastAsia="黑体" w:hint="eastAsia"/>
                <w:sz w:val="24"/>
              </w:rPr>
            </w:pPr>
            <w:r>
              <w:rPr>
                <w:rFonts w:ascii="黑体" w:eastAsia="黑体" w:hint="eastAsia"/>
                <w:sz w:val="24"/>
              </w:rPr>
              <w:t>因肿瘤或胆管损伤等继发性的硬化性胆管炎不在保障范围内。</w:t>
            </w:r>
          </w:p>
        </w:tc>
      </w:tr>
      <w:tr>
        <w:trPr>
          <w:trHeight w:val="2100" w:hRule="atLeast"/>
        </w:trPr>
        <w:tc>
          <w:tcPr>
            <w:tcW w:w="1858" w:type="dxa"/>
          </w:tcPr>
          <w:p>
            <w:pPr>
              <w:pStyle w:val="TableParagraph"/>
              <w:spacing w:line="204" w:lineRule="auto" w:before="67"/>
              <w:ind w:left="619" w:right="182" w:hanging="420"/>
              <w:rPr>
                <w:rFonts w:ascii="Microsoft JhengHei" w:hAnsi="Microsoft JhengHei" w:eastAsia="Microsoft JhengHei" w:hint="eastAsia"/>
                <w:b/>
                <w:sz w:val="21"/>
              </w:rPr>
            </w:pPr>
            <w:r>
              <w:rPr>
                <w:rFonts w:ascii="Microsoft JhengHei" w:hAnsi="Microsoft JhengHei" w:eastAsia="Microsoft JhengHei" w:hint="eastAsia"/>
                <w:b/>
                <w:sz w:val="21"/>
              </w:rPr>
              <w:t>41. Ⅱ级重症急性胰腺炎</w:t>
            </w:r>
          </w:p>
        </w:tc>
        <w:tc>
          <w:tcPr>
            <w:tcW w:w="8183" w:type="dxa"/>
          </w:tcPr>
          <w:p>
            <w:pPr>
              <w:pStyle w:val="TableParagraph"/>
              <w:spacing w:line="273" w:lineRule="auto" w:before="98"/>
              <w:ind w:right="301"/>
              <w:jc w:val="both"/>
              <w:rPr>
                <w:sz w:val="21"/>
              </w:rPr>
            </w:pPr>
            <w:r>
              <w:rPr>
                <w:spacing w:val="-7"/>
                <w:sz w:val="21"/>
              </w:rPr>
              <w:t>Ⅱ级重症急性胰腺炎是指急性胰腺炎伴有脏器功能障碍。被保险人所患的Ⅱ级重症急</w:t>
            </w:r>
            <w:r>
              <w:rPr>
                <w:spacing w:val="-8"/>
                <w:sz w:val="21"/>
              </w:rPr>
              <w:t>性胰腺炎必须明确诊断，按 </w:t>
            </w:r>
            <w:r>
              <w:rPr>
                <w:sz w:val="21"/>
              </w:rPr>
              <w:t>APACHE</w:t>
            </w:r>
            <w:r>
              <w:rPr>
                <w:spacing w:val="-8"/>
                <w:sz w:val="21"/>
              </w:rPr>
              <w:t>Ⅱ评分达到 </w:t>
            </w:r>
            <w:r>
              <w:rPr>
                <w:sz w:val="21"/>
              </w:rPr>
              <w:t>8</w:t>
            </w:r>
            <w:r>
              <w:rPr>
                <w:spacing w:val="-21"/>
                <w:sz w:val="21"/>
              </w:rPr>
              <w:t> 分或 </w:t>
            </w:r>
            <w:r>
              <w:rPr>
                <w:sz w:val="21"/>
              </w:rPr>
              <w:t>8</w:t>
            </w:r>
            <w:r>
              <w:rPr>
                <w:spacing w:val="-15"/>
                <w:sz w:val="21"/>
              </w:rPr>
              <w:t> 分以上和 </w:t>
            </w:r>
            <w:r>
              <w:rPr>
                <w:sz w:val="21"/>
              </w:rPr>
              <w:t>Balthazar</w:t>
            </w:r>
            <w:r>
              <w:rPr>
                <w:spacing w:val="-11"/>
                <w:sz w:val="21"/>
              </w:rPr>
              <w:t> 分级系统达到Ⅱ级或Ⅱ级以上，并且接受了外科剖腹手术治疗，以进行坏死组织清除、坏死</w:t>
            </w:r>
            <w:r>
              <w:rPr>
                <w:spacing w:val="-6"/>
                <w:sz w:val="21"/>
              </w:rPr>
              <w:t>病灶切除或胰腺切除。</w:t>
            </w:r>
          </w:p>
          <w:p>
            <w:pPr>
              <w:pStyle w:val="TableParagraph"/>
              <w:spacing w:line="312" w:lineRule="exact" w:before="10"/>
              <w:ind w:right="309"/>
              <w:jc w:val="both"/>
              <w:rPr>
                <w:rFonts w:ascii="黑体" w:eastAsia="黑体" w:hint="eastAsia"/>
                <w:sz w:val="24"/>
              </w:rPr>
            </w:pPr>
            <w:r>
              <w:rPr>
                <w:rFonts w:ascii="黑体" w:eastAsia="黑体" w:hint="eastAsia"/>
                <w:sz w:val="24"/>
              </w:rPr>
              <w:t>因酗酒或饮酒过量所致的急性坏死性胰腺炎以及腹腔镜手术不在本附加合同保障范围内。</w:t>
            </w:r>
          </w:p>
        </w:tc>
      </w:tr>
      <w:tr>
        <w:trPr>
          <w:trHeight w:val="2098" w:hRule="atLeast"/>
        </w:trPr>
        <w:tc>
          <w:tcPr>
            <w:tcW w:w="1858" w:type="dxa"/>
          </w:tcPr>
          <w:p>
            <w:pPr>
              <w:pStyle w:val="TableParagraph"/>
              <w:spacing w:line="204" w:lineRule="auto" w:before="67"/>
              <w:ind w:left="619" w:right="182" w:hanging="420"/>
              <w:jc w:val="both"/>
              <w:rPr>
                <w:rFonts w:ascii="Microsoft JhengHei" w:eastAsia="Microsoft JhengHei" w:hint="eastAsia"/>
                <w:b/>
                <w:sz w:val="21"/>
              </w:rPr>
            </w:pPr>
            <w:r>
              <w:rPr>
                <w:rFonts w:ascii="Microsoft JhengHei" w:eastAsia="Microsoft JhengHei" w:hint="eastAsia"/>
                <w:b/>
                <w:sz w:val="21"/>
              </w:rPr>
              <w:t>42. 非阿尔茨海默病所致严重痴呆</w:t>
            </w:r>
          </w:p>
        </w:tc>
        <w:tc>
          <w:tcPr>
            <w:tcW w:w="8183" w:type="dxa"/>
          </w:tcPr>
          <w:p>
            <w:pPr>
              <w:pStyle w:val="TableParagraph"/>
              <w:spacing w:line="273" w:lineRule="auto" w:before="98"/>
              <w:ind w:right="302"/>
              <w:jc w:val="both"/>
              <w:rPr>
                <w:sz w:val="21"/>
              </w:rPr>
            </w:pPr>
            <w:r>
              <w:rPr>
                <w:sz w:val="21"/>
              </w:rPr>
              <w:t>指因阿尔茨海默病以外的脑的器质性疾病造成脑功能衰竭导致永久不可逆性的严重</w:t>
            </w:r>
            <w:r>
              <w:rPr>
                <w:spacing w:val="-10"/>
                <w:sz w:val="21"/>
              </w:rPr>
              <w:t>痴呆，临床表现为明显的认知能力障碍、行为异常和社交能力减退。被保险人自主生活能力完全丧失，无法独立完成六项基本日常生活活动中的三项或三项以上，日常生</w:t>
            </w:r>
            <w:r>
              <w:rPr>
                <w:spacing w:val="-9"/>
                <w:sz w:val="21"/>
              </w:rPr>
              <w:t>活必须持续受到他人监护。导致痴呆的疾病必须明确诊断，并且由完整的临床、实验</w:t>
            </w:r>
            <w:r>
              <w:rPr>
                <w:spacing w:val="-5"/>
                <w:sz w:val="21"/>
              </w:rPr>
              <w:t>室和影像学检查结果证实。</w:t>
            </w:r>
          </w:p>
          <w:p>
            <w:pPr>
              <w:pStyle w:val="TableParagraph"/>
              <w:spacing w:line="294" w:lineRule="exact"/>
              <w:jc w:val="both"/>
              <w:rPr>
                <w:rFonts w:ascii="黑体" w:eastAsia="黑体" w:hint="eastAsia"/>
                <w:sz w:val="24"/>
              </w:rPr>
            </w:pPr>
            <w:r>
              <w:rPr>
                <w:rFonts w:ascii="黑体" w:eastAsia="黑体" w:hint="eastAsia"/>
                <w:sz w:val="24"/>
              </w:rPr>
              <w:t>神经官能症，精神疾病及酒精中毒所致脑损害不在保障范围内。</w:t>
            </w:r>
          </w:p>
        </w:tc>
      </w:tr>
      <w:tr>
        <w:trPr>
          <w:trHeight w:val="2099" w:hRule="atLeast"/>
        </w:trPr>
        <w:tc>
          <w:tcPr>
            <w:tcW w:w="1858" w:type="dxa"/>
          </w:tcPr>
          <w:p>
            <w:pPr>
              <w:pStyle w:val="TableParagraph"/>
              <w:spacing w:line="204" w:lineRule="auto" w:before="66"/>
              <w:ind w:left="619" w:right="182" w:hanging="420"/>
              <w:rPr>
                <w:rFonts w:ascii="Microsoft JhengHei" w:eastAsia="Microsoft JhengHei" w:hint="eastAsia"/>
                <w:b/>
                <w:sz w:val="21"/>
              </w:rPr>
            </w:pPr>
            <w:r>
              <w:rPr>
                <w:rFonts w:ascii="Microsoft JhengHei" w:eastAsia="Microsoft JhengHei" w:hint="eastAsia"/>
                <w:b/>
                <w:sz w:val="21"/>
              </w:rPr>
              <w:t>43. 脑动脉瘤破裂开颅手术</w:t>
            </w:r>
          </w:p>
        </w:tc>
        <w:tc>
          <w:tcPr>
            <w:tcW w:w="8183" w:type="dxa"/>
          </w:tcPr>
          <w:p>
            <w:pPr>
              <w:pStyle w:val="TableParagraph"/>
              <w:spacing w:line="273" w:lineRule="auto" w:before="97"/>
              <w:ind w:right="302"/>
              <w:jc w:val="both"/>
              <w:rPr>
                <w:sz w:val="21"/>
              </w:rPr>
            </w:pPr>
            <w:r>
              <w:rPr>
                <w:spacing w:val="-8"/>
                <w:sz w:val="21"/>
              </w:rPr>
              <w:t>指脑动脉瘤破裂引起蛛网膜下腔出血，导致突发神经系统功能损害。被保险人在蛛网膜下腔出血后实际实施了在全麻下经骨瓣开颅进行的脑动脉瘤的外科手术治疗。脑动</w:t>
            </w:r>
            <w:r>
              <w:rPr>
                <w:spacing w:val="-5"/>
                <w:sz w:val="21"/>
              </w:rPr>
              <w:t>脉瘤诊断必须由脑动脉造影或其他影像学检查证据支持。</w:t>
            </w:r>
          </w:p>
          <w:p>
            <w:pPr>
              <w:pStyle w:val="TableParagraph"/>
              <w:spacing w:line="312" w:lineRule="exact" w:before="11"/>
              <w:ind w:right="309"/>
              <w:jc w:val="both"/>
              <w:rPr>
                <w:rFonts w:ascii="黑体" w:eastAsia="黑体" w:hint="eastAsia"/>
                <w:sz w:val="24"/>
              </w:rPr>
            </w:pPr>
            <w:r>
              <w:rPr>
                <w:rFonts w:ascii="黑体" w:eastAsia="黑体" w:hint="eastAsia"/>
                <w:sz w:val="24"/>
              </w:rPr>
              <w:t>未破裂之脑动脉瘤的手术、钻孔或小骨窗开颅或其他颅内或脑内出血清除或吸除手术、非开颅的脑立体定向手术或伽玛刀手术、血管内介入治疗、脑囊肿切除、垂体瘤切除及颅内血管畸形手术不在保障范围内。</w:t>
            </w:r>
          </w:p>
        </w:tc>
      </w:tr>
      <w:tr>
        <w:trPr>
          <w:trHeight w:val="1469"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44. 主动脉夹层瘤</w:t>
            </w:r>
          </w:p>
        </w:tc>
        <w:tc>
          <w:tcPr>
            <w:tcW w:w="8183" w:type="dxa"/>
          </w:tcPr>
          <w:p>
            <w:pPr>
              <w:pStyle w:val="TableParagraph"/>
              <w:spacing w:line="273" w:lineRule="auto" w:before="98"/>
              <w:ind w:right="218"/>
              <w:rPr>
                <w:sz w:val="21"/>
              </w:rPr>
            </w:pPr>
            <w:r>
              <w:rPr>
                <w:spacing w:val="-3"/>
                <w:sz w:val="21"/>
              </w:rPr>
              <w:t>指主动脉壁在受到某些病理因素的破坏后，高速、高压的主动脉血流将其内膜撕裂， </w:t>
            </w:r>
            <w:r>
              <w:rPr>
                <w:spacing w:val="-6"/>
                <w:sz w:val="21"/>
              </w:rPr>
              <w:t>以致主动脉腔内的血流通过主动脉内膜的破裂口进入主动脉内壁而形成血肿。被保险</w:t>
            </w:r>
            <w:r>
              <w:rPr>
                <w:spacing w:val="-6"/>
                <w:w w:val="100"/>
                <w:sz w:val="21"/>
              </w:rPr>
              <w:t>人需通过电脑断层扫描</w:t>
            </w:r>
            <w:r>
              <w:rPr>
                <w:w w:val="100"/>
                <w:sz w:val="21"/>
              </w:rPr>
              <w:t>（</w:t>
            </w:r>
            <w:r>
              <w:rPr>
                <w:spacing w:val="-3"/>
                <w:w w:val="100"/>
                <w:sz w:val="21"/>
              </w:rPr>
              <w:t>C</w:t>
            </w:r>
            <w:r>
              <w:rPr>
                <w:w w:val="100"/>
                <w:sz w:val="21"/>
              </w:rPr>
              <w:t>T</w:t>
            </w:r>
            <w:r>
              <w:rPr>
                <w:spacing w:val="-106"/>
                <w:w w:val="100"/>
                <w:sz w:val="21"/>
              </w:rPr>
              <w:t>）</w:t>
            </w:r>
            <w:r>
              <w:rPr>
                <w:spacing w:val="-7"/>
                <w:w w:val="100"/>
                <w:sz w:val="21"/>
              </w:rPr>
              <w:t>、磁共振扫描</w:t>
            </w:r>
            <w:r>
              <w:rPr>
                <w:spacing w:val="-3"/>
                <w:w w:val="100"/>
                <w:sz w:val="21"/>
              </w:rPr>
              <w:t>（</w:t>
            </w:r>
            <w:r>
              <w:rPr>
                <w:w w:val="100"/>
                <w:sz w:val="21"/>
              </w:rPr>
              <w:t>MRI</w:t>
            </w:r>
            <w:r>
              <w:rPr>
                <w:spacing w:val="-108"/>
                <w:w w:val="100"/>
                <w:sz w:val="21"/>
              </w:rPr>
              <w:t>）</w:t>
            </w:r>
            <w:r>
              <w:rPr>
                <w:spacing w:val="-7"/>
                <w:w w:val="100"/>
                <w:sz w:val="21"/>
              </w:rPr>
              <w:t>、磁共振血管检验法</w:t>
            </w:r>
            <w:r>
              <w:rPr>
                <w:w w:val="100"/>
                <w:sz w:val="21"/>
              </w:rPr>
              <w:t>（</w:t>
            </w:r>
            <w:r>
              <w:rPr>
                <w:spacing w:val="-3"/>
                <w:w w:val="100"/>
                <w:sz w:val="21"/>
              </w:rPr>
              <w:t>M</w:t>
            </w:r>
            <w:r>
              <w:rPr>
                <w:w w:val="100"/>
                <w:sz w:val="21"/>
              </w:rPr>
              <w:t>RA</w:t>
            </w:r>
            <w:r>
              <w:rPr>
                <w:spacing w:val="-17"/>
                <w:w w:val="100"/>
                <w:sz w:val="21"/>
              </w:rPr>
              <w:t>）</w:t>
            </w:r>
            <w:r>
              <w:rPr>
                <w:w w:val="100"/>
                <w:sz w:val="21"/>
              </w:rPr>
              <w:t>或血管</w:t>
            </w:r>
            <w:r>
              <w:rPr>
                <w:spacing w:val="-3"/>
                <w:sz w:val="21"/>
              </w:rPr>
              <w:t>扫描等检查,并须经专科医生确诊。</w:t>
            </w:r>
          </w:p>
        </w:tc>
      </w:tr>
      <w:tr>
        <w:trPr>
          <w:trHeight w:val="3352" w:hRule="atLeast"/>
        </w:trPr>
        <w:tc>
          <w:tcPr>
            <w:tcW w:w="1858" w:type="dxa"/>
          </w:tcPr>
          <w:p>
            <w:pPr>
              <w:pStyle w:val="TableParagraph"/>
              <w:spacing w:line="204" w:lineRule="auto" w:before="71"/>
              <w:ind w:left="619" w:right="182" w:hanging="420"/>
              <w:rPr>
                <w:rFonts w:ascii="Microsoft JhengHei" w:eastAsia="Microsoft JhengHei" w:hint="eastAsia"/>
                <w:b/>
                <w:sz w:val="21"/>
              </w:rPr>
            </w:pPr>
            <w:r>
              <w:rPr>
                <w:rFonts w:ascii="Microsoft JhengHei" w:eastAsia="Microsoft JhengHei" w:hint="eastAsia"/>
                <w:b/>
                <w:sz w:val="21"/>
              </w:rPr>
              <w:t>45. 系统性硬皮病</w:t>
            </w:r>
          </w:p>
        </w:tc>
        <w:tc>
          <w:tcPr>
            <w:tcW w:w="8183" w:type="dxa"/>
          </w:tcPr>
          <w:p>
            <w:pPr>
              <w:pStyle w:val="TableParagraph"/>
              <w:spacing w:line="273" w:lineRule="auto" w:before="102"/>
              <w:ind w:right="196"/>
              <w:rPr>
                <w:sz w:val="21"/>
              </w:rPr>
            </w:pPr>
            <w:r>
              <w:rPr>
                <w:spacing w:val="-7"/>
                <w:sz w:val="21"/>
              </w:rPr>
              <w:t>系统性硬皮病</w:t>
            </w:r>
            <w:r>
              <w:rPr>
                <w:sz w:val="21"/>
              </w:rPr>
              <w:t>（</w:t>
            </w:r>
            <w:r>
              <w:rPr>
                <w:spacing w:val="-3"/>
                <w:sz w:val="21"/>
              </w:rPr>
              <w:t>须累及内脏器官</w:t>
            </w:r>
            <w:r>
              <w:rPr>
                <w:spacing w:val="-68"/>
                <w:sz w:val="21"/>
              </w:rPr>
              <w:t>）</w:t>
            </w:r>
            <w:r>
              <w:rPr>
                <w:spacing w:val="-10"/>
                <w:sz w:val="21"/>
              </w:rPr>
              <w:t>，指一种以局限性或弥漫性皮肤增厚和皮肤、血管、内脏器官异常纤维化为特征的结缔组织病。本病须经专科医师明确诊断，并须满足下</w:t>
            </w:r>
            <w:r>
              <w:rPr>
                <w:spacing w:val="-5"/>
                <w:sz w:val="21"/>
              </w:rPr>
              <w:t>列至少一项条件：</w:t>
            </w:r>
          </w:p>
          <w:p>
            <w:pPr>
              <w:pStyle w:val="TableParagraph"/>
              <w:spacing w:before="7"/>
              <w:rPr>
                <w:sz w:val="21"/>
              </w:rPr>
            </w:pPr>
            <w:r>
              <w:rPr>
                <w:sz w:val="21"/>
              </w:rPr>
              <w:t>（1）肺脏：肺部病变进而发展为肺间质纤维化和肺动脉高压；</w:t>
            </w:r>
          </w:p>
          <w:p>
            <w:pPr>
              <w:pStyle w:val="TableParagraph"/>
              <w:spacing w:before="36"/>
              <w:rPr>
                <w:sz w:val="21"/>
              </w:rPr>
            </w:pPr>
            <w:r>
              <w:rPr>
                <w:sz w:val="21"/>
              </w:rPr>
              <w:t>（2）心脏：心功能受损达到美国纽约心脏病学会心功能状态分级 IV 级；</w:t>
            </w:r>
          </w:p>
          <w:p>
            <w:pPr>
              <w:pStyle w:val="TableParagraph"/>
              <w:spacing w:before="36"/>
              <w:rPr>
                <w:sz w:val="21"/>
              </w:rPr>
            </w:pPr>
            <w:r>
              <w:rPr>
                <w:sz w:val="21"/>
              </w:rPr>
              <w:t>（3）肾脏：肾脏受损导致双肾功能慢性不可逆衰竭，达到尿毒症期。</w:t>
            </w:r>
          </w:p>
          <w:p>
            <w:pPr>
              <w:pStyle w:val="TableParagraph"/>
              <w:spacing w:line="313" w:lineRule="exact" w:before="8"/>
              <w:rPr>
                <w:rFonts w:ascii="黑体" w:eastAsia="黑体" w:hint="eastAsia"/>
                <w:sz w:val="24"/>
              </w:rPr>
            </w:pPr>
            <w:r>
              <w:rPr>
                <w:rFonts w:ascii="黑体" w:eastAsia="黑体" w:hint="eastAsia"/>
                <w:sz w:val="24"/>
              </w:rPr>
              <w:t>下列疾病不在本险种保障范围内：</w:t>
            </w:r>
          </w:p>
          <w:p>
            <w:pPr>
              <w:pStyle w:val="TableParagraph"/>
              <w:spacing w:line="312" w:lineRule="exact"/>
              <w:ind w:left="305"/>
              <w:rPr>
                <w:rFonts w:ascii="黑体" w:hAnsi="黑体" w:eastAsia="黑体" w:hint="eastAsia"/>
                <w:sz w:val="24"/>
              </w:rPr>
            </w:pPr>
            <w:r>
              <w:rPr>
                <w:rFonts w:ascii="黑体" w:hAnsi="黑体" w:eastAsia="黑体" w:hint="eastAsia"/>
                <w:sz w:val="24"/>
              </w:rPr>
              <w:t>①部性硬皮病（如：带状硬皮病、硬斑病</w:t>
            </w:r>
            <w:r>
              <w:rPr>
                <w:rFonts w:ascii="黑体" w:hAnsi="黑体" w:eastAsia="黑体" w:hint="eastAsia"/>
                <w:spacing w:val="-120"/>
                <w:sz w:val="24"/>
              </w:rPr>
              <w:t>）</w:t>
            </w:r>
            <w:r>
              <w:rPr>
                <w:rFonts w:ascii="黑体" w:hAnsi="黑体" w:eastAsia="黑体" w:hint="eastAsia"/>
                <w:sz w:val="24"/>
              </w:rPr>
              <w:t>；</w:t>
            </w:r>
          </w:p>
          <w:p>
            <w:pPr>
              <w:pStyle w:val="TableParagraph"/>
              <w:spacing w:line="312" w:lineRule="exact"/>
              <w:ind w:left="305"/>
              <w:rPr>
                <w:rFonts w:ascii="黑体" w:hAnsi="黑体" w:eastAsia="黑体" w:hint="eastAsia"/>
                <w:sz w:val="24"/>
              </w:rPr>
            </w:pPr>
            <w:r>
              <w:rPr>
                <w:rFonts w:ascii="黑体" w:hAnsi="黑体" w:eastAsia="黑体" w:hint="eastAsia"/>
                <w:sz w:val="24"/>
              </w:rPr>
              <w:t>②嗜酸性粒细胞性筋膜炎；</w:t>
            </w:r>
          </w:p>
          <w:p>
            <w:pPr>
              <w:pStyle w:val="TableParagraph"/>
              <w:spacing w:line="313" w:lineRule="exact"/>
              <w:ind w:left="305"/>
              <w:rPr>
                <w:rFonts w:ascii="黑体" w:hAnsi="黑体" w:eastAsia="黑体" w:hint="eastAsia"/>
                <w:sz w:val="24"/>
              </w:rPr>
            </w:pPr>
            <w:r>
              <w:rPr>
                <w:rFonts w:ascii="黑体" w:hAnsi="黑体" w:eastAsia="黑体" w:hint="eastAsia"/>
                <w:sz w:val="24"/>
              </w:rPr>
              <w:t>③CREST 综合征。</w:t>
            </w:r>
          </w:p>
        </w:tc>
      </w:tr>
      <w:tr>
        <w:trPr>
          <w:trHeight w:val="997"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46. 严重慢性复发性胰腺炎</w:t>
            </w:r>
          </w:p>
        </w:tc>
        <w:tc>
          <w:tcPr>
            <w:tcW w:w="8183" w:type="dxa"/>
          </w:tcPr>
          <w:p>
            <w:pPr>
              <w:pStyle w:val="TableParagraph"/>
              <w:spacing w:line="273" w:lineRule="auto" w:before="98"/>
              <w:ind w:right="302"/>
              <w:rPr>
                <w:sz w:val="21"/>
              </w:rPr>
            </w:pPr>
            <w:r>
              <w:rPr>
                <w:spacing w:val="-7"/>
                <w:sz w:val="21"/>
              </w:rPr>
              <w:t>指慢性反复发作的胰腺炎症导致胰腺的广泛纤维化、坏死、弥漫性钙化及假性囊肿形</w:t>
            </w:r>
            <w:r>
              <w:rPr>
                <w:spacing w:val="-5"/>
                <w:sz w:val="21"/>
              </w:rPr>
              <w:t>成，造成胰腺功能障碍出现严重糖尿病和营养不良。必须满足以下所有条件：</w:t>
            </w:r>
          </w:p>
          <w:p>
            <w:pPr>
              <w:pStyle w:val="TableParagraph"/>
              <w:spacing w:line="255" w:lineRule="exact" w:before="7"/>
              <w:rPr>
                <w:sz w:val="21"/>
              </w:rPr>
            </w:pPr>
            <w:r>
              <w:rPr>
                <w:sz w:val="21"/>
              </w:rPr>
              <w:t>（1）CT 显示胰腺广泛钙化或逆行胰胆管造影（ERCP）显示胰管扭曲、扩张和狭窄；</w:t>
            </w:r>
          </w:p>
        </w:tc>
      </w:tr>
    </w:tbl>
    <w:p>
      <w:pPr>
        <w:spacing w:after="0" w:line="255" w:lineRule="exact"/>
        <w:rPr>
          <w:sz w:val="21"/>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078"/>
      </w:tblGrid>
      <w:tr>
        <w:trPr>
          <w:trHeight w:val="690" w:hRule="atLeast"/>
        </w:trPr>
        <w:tc>
          <w:tcPr>
            <w:tcW w:w="1858" w:type="dxa"/>
          </w:tcPr>
          <w:p>
            <w:pPr>
              <w:pStyle w:val="TableParagraph"/>
              <w:ind w:left="0"/>
              <w:rPr>
                <w:rFonts w:ascii="Times New Roman"/>
                <w:sz w:val="20"/>
              </w:rPr>
            </w:pPr>
          </w:p>
        </w:tc>
        <w:tc>
          <w:tcPr>
            <w:tcW w:w="8078" w:type="dxa"/>
          </w:tcPr>
          <w:p>
            <w:pPr>
              <w:pStyle w:val="TableParagraph"/>
              <w:spacing w:line="211" w:lineRule="exact"/>
              <w:rPr>
                <w:sz w:val="21"/>
              </w:rPr>
            </w:pPr>
            <w:r>
              <w:rPr>
                <w:sz w:val="21"/>
              </w:rPr>
              <w:t>（2）接受胰岛素替代治疗和酶替代治疗 180 天以上。</w:t>
            </w:r>
          </w:p>
          <w:p>
            <w:pPr>
              <w:pStyle w:val="TableParagraph"/>
              <w:spacing w:before="9"/>
              <w:rPr>
                <w:rFonts w:ascii="黑体" w:eastAsia="黑体" w:hint="eastAsia"/>
                <w:sz w:val="24"/>
              </w:rPr>
            </w:pPr>
            <w:r>
              <w:rPr>
                <w:rFonts w:ascii="黑体" w:eastAsia="黑体" w:hint="eastAsia"/>
                <w:sz w:val="24"/>
              </w:rPr>
              <w:t>因酒精所致的慢性复发性胰腺炎除外。</w:t>
            </w:r>
          </w:p>
        </w:tc>
      </w:tr>
      <w:tr>
        <w:trPr>
          <w:trHeight w:val="852" w:hRule="atLeast"/>
        </w:trPr>
        <w:tc>
          <w:tcPr>
            <w:tcW w:w="1858" w:type="dxa"/>
          </w:tcPr>
          <w:p>
            <w:pPr>
              <w:pStyle w:val="TableParagraph"/>
              <w:spacing w:before="12"/>
              <w:ind w:left="200"/>
              <w:rPr>
                <w:rFonts w:ascii="Microsoft JhengHei" w:eastAsia="Microsoft JhengHei" w:hint="eastAsia"/>
                <w:b/>
                <w:sz w:val="21"/>
              </w:rPr>
            </w:pPr>
            <w:r>
              <w:rPr>
                <w:rFonts w:ascii="Microsoft JhengHei" w:eastAsia="Microsoft JhengHei" w:hint="eastAsia"/>
                <w:b/>
                <w:sz w:val="21"/>
              </w:rPr>
              <w:t>47.  胰腺移植</w:t>
            </w:r>
          </w:p>
        </w:tc>
        <w:tc>
          <w:tcPr>
            <w:tcW w:w="8078" w:type="dxa"/>
          </w:tcPr>
          <w:p>
            <w:pPr>
              <w:pStyle w:val="TableParagraph"/>
              <w:spacing w:before="98"/>
              <w:rPr>
                <w:sz w:val="21"/>
              </w:rPr>
            </w:pPr>
            <w:r>
              <w:rPr>
                <w:sz w:val="21"/>
              </w:rPr>
              <w:t>指因胰腺功能衰竭，已经实施了在全身麻醉下进行的胰腺的异体器官移植手术。</w:t>
            </w:r>
          </w:p>
          <w:p>
            <w:pPr>
              <w:pStyle w:val="TableParagraph"/>
              <w:spacing w:before="9"/>
              <w:rPr>
                <w:rFonts w:ascii="黑体" w:eastAsia="黑体" w:hint="eastAsia"/>
                <w:sz w:val="24"/>
              </w:rPr>
            </w:pPr>
            <w:r>
              <w:rPr>
                <w:rFonts w:ascii="黑体" w:eastAsia="黑体" w:hint="eastAsia"/>
                <w:sz w:val="24"/>
              </w:rPr>
              <w:t>单纯胰岛移植、部分胰腺组织或细胞的移植不在本保障范围内。</w:t>
            </w:r>
          </w:p>
        </w:tc>
      </w:tr>
      <w:tr>
        <w:trPr>
          <w:trHeight w:val="2093" w:hRule="atLeast"/>
        </w:trPr>
        <w:tc>
          <w:tcPr>
            <w:tcW w:w="1858" w:type="dxa"/>
          </w:tcPr>
          <w:p>
            <w:pPr>
              <w:pStyle w:val="TableParagraph"/>
              <w:spacing w:before="12"/>
              <w:ind w:left="200"/>
              <w:rPr>
                <w:rFonts w:ascii="Microsoft JhengHei" w:eastAsia="Microsoft JhengHei" w:hint="eastAsia"/>
                <w:b/>
                <w:sz w:val="21"/>
              </w:rPr>
            </w:pPr>
            <w:r>
              <w:rPr>
                <w:rFonts w:ascii="Microsoft JhengHei" w:eastAsia="Microsoft JhengHei" w:hint="eastAsia"/>
                <w:b/>
                <w:w w:val="105"/>
                <w:sz w:val="21"/>
              </w:rPr>
              <w:t>48. 严重心ft炎</w:t>
            </w:r>
          </w:p>
        </w:tc>
        <w:tc>
          <w:tcPr>
            <w:tcW w:w="8078" w:type="dxa"/>
          </w:tcPr>
          <w:p>
            <w:pPr>
              <w:pStyle w:val="TableParagraph"/>
              <w:spacing w:line="273" w:lineRule="auto" w:before="98"/>
              <w:ind w:right="201"/>
              <w:rPr>
                <w:sz w:val="21"/>
              </w:rPr>
            </w:pPr>
            <w:r>
              <w:rPr>
                <w:sz w:val="21"/>
              </w:rPr>
              <w:t>指被保人因严重心肌炎性病变导致心功能损害造成持续的永久不可逆性的心功能衰竭。必须满足所有一下条件：</w:t>
            </w:r>
          </w:p>
          <w:p>
            <w:pPr>
              <w:pStyle w:val="TableParagraph"/>
              <w:spacing w:line="273" w:lineRule="auto" w:before="7"/>
              <w:ind w:left="711" w:right="197" w:hanging="527"/>
              <w:rPr>
                <w:sz w:val="21"/>
              </w:rPr>
            </w:pPr>
            <w:r>
              <w:rPr>
                <w:spacing w:val="-15"/>
                <w:sz w:val="21"/>
              </w:rPr>
              <w:t>（1）</w:t>
            </w:r>
            <w:r>
              <w:rPr>
                <w:spacing w:val="-5"/>
                <w:sz w:val="21"/>
              </w:rPr>
              <w:t>心功能衰竭程度达到纽约心脏病学会的心功能分级标准之心功能 </w:t>
            </w:r>
            <w:r>
              <w:rPr>
                <w:sz w:val="21"/>
              </w:rPr>
              <w:t>IV</w:t>
            </w:r>
            <w:r>
              <w:rPr>
                <w:spacing w:val="-15"/>
                <w:sz w:val="21"/>
              </w:rPr>
              <w:t> 级，或左室射血数低于 </w:t>
            </w:r>
            <w:r>
              <w:rPr>
                <w:sz w:val="21"/>
              </w:rPr>
              <w:t>30%；</w:t>
            </w:r>
          </w:p>
          <w:p>
            <w:pPr>
              <w:pStyle w:val="TableParagraph"/>
              <w:spacing w:before="7"/>
              <w:rPr>
                <w:sz w:val="21"/>
              </w:rPr>
            </w:pPr>
            <w:r>
              <w:rPr>
                <w:sz w:val="21"/>
              </w:rPr>
              <w:t>（2）持续不间断 180 天以上；</w:t>
            </w:r>
          </w:p>
          <w:p>
            <w:pPr>
              <w:pStyle w:val="TableParagraph"/>
              <w:spacing w:before="37"/>
              <w:rPr>
                <w:sz w:val="21"/>
              </w:rPr>
            </w:pPr>
            <w:r>
              <w:rPr>
                <w:sz w:val="21"/>
              </w:rPr>
              <w:t>（3）被保险人永久不可逆性的体力活动能力受限，不能从事任何体力活动。</w:t>
            </w:r>
          </w:p>
        </w:tc>
      </w:tr>
      <w:tr>
        <w:trPr>
          <w:trHeight w:val="1163" w:hRule="atLeast"/>
        </w:trPr>
        <w:tc>
          <w:tcPr>
            <w:tcW w:w="1858" w:type="dxa"/>
          </w:tcPr>
          <w:p>
            <w:pPr>
              <w:pStyle w:val="TableParagraph"/>
              <w:spacing w:line="206" w:lineRule="auto" w:before="68"/>
              <w:ind w:left="619" w:right="182" w:hanging="420"/>
              <w:rPr>
                <w:rFonts w:ascii="Microsoft JhengHei" w:eastAsia="Microsoft JhengHei" w:hint="eastAsia"/>
                <w:b/>
                <w:sz w:val="21"/>
              </w:rPr>
            </w:pPr>
            <w:r>
              <w:rPr>
                <w:rFonts w:ascii="Microsoft JhengHei" w:eastAsia="Microsoft JhengHei" w:hint="eastAsia"/>
                <w:b/>
                <w:sz w:val="21"/>
              </w:rPr>
              <w:t>49. 肺源性心脏病</w:t>
            </w:r>
          </w:p>
        </w:tc>
        <w:tc>
          <w:tcPr>
            <w:tcW w:w="8078" w:type="dxa"/>
          </w:tcPr>
          <w:p>
            <w:pPr>
              <w:pStyle w:val="TableParagraph"/>
              <w:spacing w:line="273" w:lineRule="auto" w:before="102"/>
              <w:ind w:right="196"/>
              <w:jc w:val="both"/>
              <w:rPr>
                <w:sz w:val="21"/>
              </w:rPr>
            </w:pPr>
            <w:r>
              <w:rPr>
                <w:spacing w:val="-6"/>
                <w:sz w:val="21"/>
              </w:rPr>
              <w:t>指被保人因慢性肺部疾病导致慢性心功能损害造成永久不可逆性的心功能衰竭。心功</w:t>
            </w:r>
            <w:r>
              <w:rPr>
                <w:spacing w:val="-5"/>
                <w:sz w:val="21"/>
              </w:rPr>
              <w:t>能衰竭程度达到纽约心脏病学会的心功能分级标准之心功能 </w:t>
            </w:r>
            <w:r>
              <w:rPr>
                <w:sz w:val="21"/>
              </w:rPr>
              <w:t>IV</w:t>
            </w:r>
            <w:r>
              <w:rPr>
                <w:spacing w:val="-7"/>
                <w:sz w:val="21"/>
              </w:rPr>
              <w:t> 级。被保险人永久不</w:t>
            </w:r>
            <w:r>
              <w:rPr>
                <w:spacing w:val="-5"/>
                <w:sz w:val="21"/>
              </w:rPr>
              <w:t>可逆性的体力活动能力受限，不能从事任何体力活动。</w:t>
            </w:r>
          </w:p>
        </w:tc>
      </w:tr>
      <w:tr>
        <w:trPr>
          <w:trHeight w:val="1474" w:hRule="atLeast"/>
        </w:trPr>
        <w:tc>
          <w:tcPr>
            <w:tcW w:w="1858"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50.  嗜铬细胞瘤</w:t>
            </w:r>
          </w:p>
        </w:tc>
        <w:tc>
          <w:tcPr>
            <w:tcW w:w="8078" w:type="dxa"/>
          </w:tcPr>
          <w:p>
            <w:pPr>
              <w:pStyle w:val="TableParagraph"/>
              <w:spacing w:line="273" w:lineRule="auto" w:before="104"/>
              <w:ind w:right="201"/>
              <w:rPr>
                <w:sz w:val="21"/>
              </w:rPr>
            </w:pPr>
            <w:r>
              <w:rPr>
                <w:sz w:val="21"/>
              </w:rPr>
              <w:t>指发生在肾上腺或肾上腺外嗜铬组织的以分泌过多的儿茶酚胺为表现的神经内分泌肿瘤。嗜铬细胞瘤必须由内分泌专科医生诊断，并且满足以下所有条件：</w:t>
            </w:r>
          </w:p>
          <w:p>
            <w:pPr>
              <w:pStyle w:val="TableParagraph"/>
              <w:spacing w:before="8"/>
              <w:rPr>
                <w:sz w:val="21"/>
              </w:rPr>
            </w:pPr>
            <w:r>
              <w:rPr>
                <w:sz w:val="21"/>
              </w:rPr>
              <w:t>（1）临床有高血压症候群表现；</w:t>
            </w:r>
          </w:p>
          <w:p>
            <w:pPr>
              <w:pStyle w:val="TableParagraph"/>
              <w:spacing w:before="37"/>
              <w:rPr>
                <w:sz w:val="21"/>
              </w:rPr>
            </w:pPr>
            <w:r>
              <w:rPr>
                <w:sz w:val="21"/>
              </w:rPr>
              <w:t>（2）已经实施了嗜铬细胞瘤切除手术。</w:t>
            </w:r>
          </w:p>
        </w:tc>
      </w:tr>
      <w:tr>
        <w:trPr>
          <w:trHeight w:val="2728" w:hRule="atLeast"/>
        </w:trPr>
        <w:tc>
          <w:tcPr>
            <w:tcW w:w="1858" w:type="dxa"/>
          </w:tcPr>
          <w:p>
            <w:pPr>
              <w:pStyle w:val="TableParagraph"/>
              <w:spacing w:line="204" w:lineRule="auto" w:before="71"/>
              <w:ind w:left="619" w:right="182" w:hanging="420"/>
              <w:rPr>
                <w:rFonts w:ascii="Microsoft JhengHei" w:eastAsia="Microsoft JhengHei" w:hint="eastAsia"/>
                <w:b/>
                <w:sz w:val="21"/>
              </w:rPr>
            </w:pPr>
            <w:r>
              <w:rPr>
                <w:rFonts w:ascii="Microsoft JhengHei" w:eastAsia="Microsoft JhengHei" w:hint="eastAsia"/>
                <w:b/>
                <w:sz w:val="21"/>
              </w:rPr>
              <w:t>51. 范可尼综合征</w:t>
            </w:r>
          </w:p>
        </w:tc>
        <w:tc>
          <w:tcPr>
            <w:tcW w:w="8078" w:type="dxa"/>
          </w:tcPr>
          <w:p>
            <w:pPr>
              <w:pStyle w:val="TableParagraph"/>
              <w:spacing w:line="259" w:lineRule="auto" w:before="93"/>
              <w:ind w:right="200"/>
              <w:rPr>
                <w:sz w:val="22"/>
              </w:rPr>
            </w:pPr>
            <w:r>
              <w:rPr>
                <w:spacing w:val="-15"/>
                <w:sz w:val="22"/>
              </w:rPr>
              <w:t>也称 </w:t>
            </w:r>
            <w:r>
              <w:rPr>
                <w:sz w:val="22"/>
              </w:rPr>
              <w:t>Fanconi</w:t>
            </w:r>
            <w:r>
              <w:rPr>
                <w:spacing w:val="-9"/>
                <w:sz w:val="22"/>
              </w:rPr>
              <w:t> 综合征，指近端肾小管的功能异常引起的一组症候群。须经专科医</w:t>
            </w:r>
            <w:r>
              <w:rPr>
                <w:spacing w:val="-6"/>
                <w:sz w:val="22"/>
              </w:rPr>
              <w:t>生诊断，且须满足下列至少三项条件：</w:t>
            </w:r>
          </w:p>
          <w:p>
            <w:pPr>
              <w:pStyle w:val="TableParagraph"/>
              <w:spacing w:before="6"/>
              <w:rPr>
                <w:sz w:val="22"/>
              </w:rPr>
            </w:pPr>
            <w:r>
              <w:rPr>
                <w:sz w:val="22"/>
              </w:rPr>
              <w:t>(1)尿液检查出现肾性糖尿、全氨基酸糖尿或磷酸盐尿；</w:t>
            </w:r>
          </w:p>
          <w:p>
            <w:pPr>
              <w:pStyle w:val="TableParagraph"/>
              <w:spacing w:before="24"/>
              <w:rPr>
                <w:sz w:val="22"/>
              </w:rPr>
            </w:pPr>
            <w:r>
              <w:rPr>
                <w:sz w:val="22"/>
              </w:rPr>
              <w:t>(2)血液检查出现低磷血症、低尿酸血症或近端肾小管酸中毒；</w:t>
            </w:r>
          </w:p>
          <w:p>
            <w:pPr>
              <w:pStyle w:val="TableParagraph"/>
              <w:spacing w:before="24"/>
              <w:rPr>
                <w:sz w:val="22"/>
              </w:rPr>
            </w:pPr>
            <w:r>
              <w:rPr>
                <w:sz w:val="22"/>
              </w:rPr>
              <w:t>(3)出现骨质疏松、骨骼畸形或尿路结石。</w:t>
            </w:r>
          </w:p>
          <w:p>
            <w:pPr>
              <w:pStyle w:val="TableParagraph"/>
              <w:spacing w:line="259" w:lineRule="auto" w:before="23"/>
              <w:ind w:right="198"/>
              <w:rPr>
                <w:sz w:val="22"/>
              </w:rPr>
            </w:pPr>
            <w:r>
              <w:rPr>
                <w:sz w:val="22"/>
              </w:rPr>
              <w:t>(4)通过骨髓片、白细胞、直肠黏膜中的结晶分析或裂隙灯检查角膜有胱氨酸结晶。</w:t>
            </w:r>
          </w:p>
          <w:p>
            <w:pPr>
              <w:pStyle w:val="TableParagraph"/>
              <w:spacing w:line="302" w:lineRule="exact"/>
              <w:rPr>
                <w:rFonts w:ascii="黑体" w:eastAsia="黑体" w:hint="eastAsia"/>
                <w:sz w:val="24"/>
              </w:rPr>
            </w:pPr>
            <w:r>
              <w:rPr>
                <w:rFonts w:ascii="黑体" w:eastAsia="黑体" w:hint="eastAsia"/>
                <w:sz w:val="24"/>
              </w:rPr>
              <w:t>被保险人在三周岁之前患该疾病，本公司不承担保险责任。</w:t>
            </w:r>
          </w:p>
        </w:tc>
      </w:tr>
      <w:tr>
        <w:trPr>
          <w:trHeight w:val="3974" w:hRule="atLeast"/>
        </w:trPr>
        <w:tc>
          <w:tcPr>
            <w:tcW w:w="1858" w:type="dxa"/>
          </w:tcPr>
          <w:p>
            <w:pPr>
              <w:pStyle w:val="TableParagraph"/>
              <w:spacing w:line="204" w:lineRule="auto" w:before="67"/>
              <w:ind w:left="619" w:right="182" w:hanging="420"/>
              <w:jc w:val="both"/>
              <w:rPr>
                <w:rFonts w:ascii="Microsoft JhengHei" w:eastAsia="Microsoft JhengHei" w:hint="eastAsia"/>
                <w:b/>
                <w:sz w:val="21"/>
              </w:rPr>
            </w:pPr>
            <w:r>
              <w:rPr>
                <w:rFonts w:ascii="Microsoft JhengHei" w:eastAsia="Microsoft JhengHei" w:hint="eastAsia"/>
                <w:b/>
                <w:sz w:val="21"/>
              </w:rPr>
              <w:t>52. 疾病或外伤所致智力障碍（残疾）</w:t>
            </w:r>
          </w:p>
        </w:tc>
        <w:tc>
          <w:tcPr>
            <w:tcW w:w="8078" w:type="dxa"/>
          </w:tcPr>
          <w:p>
            <w:pPr>
              <w:pStyle w:val="TableParagraph"/>
              <w:spacing w:line="256" w:lineRule="auto" w:before="98"/>
              <w:ind w:right="197"/>
              <w:jc w:val="both"/>
              <w:rPr>
                <w:sz w:val="21"/>
              </w:rPr>
            </w:pPr>
            <w:r>
              <w:rPr>
                <w:spacing w:val="-5"/>
                <w:sz w:val="21"/>
              </w:rPr>
              <w:t>因严重头部创伤或疾病造成被保险人智力低常</w:t>
            </w:r>
            <w:r>
              <w:rPr>
                <w:spacing w:val="-3"/>
                <w:sz w:val="21"/>
              </w:rPr>
              <w:t>（智力低于常态</w:t>
            </w:r>
            <w:r>
              <w:rPr>
                <w:spacing w:val="-32"/>
                <w:sz w:val="21"/>
              </w:rPr>
              <w:t>）</w:t>
            </w:r>
            <w:r>
              <w:rPr>
                <w:spacing w:val="-7"/>
                <w:sz w:val="21"/>
              </w:rPr>
              <w:t>或智力残疾。根据智</w:t>
            </w:r>
            <w:r>
              <w:rPr>
                <w:spacing w:val="-8"/>
                <w:w w:val="100"/>
                <w:sz w:val="21"/>
              </w:rPr>
              <w:t>商</w:t>
            </w:r>
            <w:r>
              <w:rPr>
                <w:w w:val="100"/>
                <w:sz w:val="21"/>
              </w:rPr>
              <w:t>（</w:t>
            </w:r>
            <w:r>
              <w:rPr>
                <w:rFonts w:ascii="Arial" w:eastAsia="Arial"/>
                <w:spacing w:val="-2"/>
                <w:w w:val="100"/>
                <w:sz w:val="21"/>
              </w:rPr>
              <w:t>IQ</w:t>
            </w:r>
            <w:r>
              <w:rPr>
                <w:spacing w:val="-10"/>
                <w:w w:val="100"/>
                <w:sz w:val="21"/>
              </w:rPr>
              <w:t>）</w:t>
            </w:r>
            <w:r>
              <w:rPr>
                <w:spacing w:val="-4"/>
                <w:w w:val="100"/>
                <w:sz w:val="21"/>
              </w:rPr>
              <w:t>智力低常分为轻度</w:t>
            </w:r>
            <w:r>
              <w:rPr>
                <w:spacing w:val="-1"/>
                <w:w w:val="100"/>
                <w:sz w:val="21"/>
              </w:rPr>
              <w:t>（</w:t>
            </w:r>
            <w:r>
              <w:rPr>
                <w:rFonts w:ascii="Arial" w:eastAsia="Arial"/>
                <w:spacing w:val="-2"/>
                <w:w w:val="100"/>
                <w:sz w:val="21"/>
              </w:rPr>
              <w:t>I</w:t>
            </w:r>
            <w:r>
              <w:rPr>
                <w:rFonts w:ascii="Arial" w:eastAsia="Arial"/>
                <w:spacing w:val="-2"/>
                <w:w w:val="100"/>
                <w:sz w:val="21"/>
              </w:rPr>
              <w:t>Q</w:t>
            </w:r>
            <w:r>
              <w:rPr>
                <w:rFonts w:ascii="Arial" w:eastAsia="Arial"/>
                <w:w w:val="100"/>
                <w:sz w:val="21"/>
              </w:rPr>
              <w:t>50</w:t>
            </w:r>
            <w:r>
              <w:rPr>
                <w:rFonts w:ascii="Arial" w:eastAsia="Arial"/>
                <w:spacing w:val="-4"/>
                <w:w w:val="100"/>
                <w:sz w:val="21"/>
              </w:rPr>
              <w:t>-</w:t>
            </w:r>
            <w:r>
              <w:rPr>
                <w:rFonts w:ascii="Arial" w:eastAsia="Arial"/>
                <w:w w:val="100"/>
                <w:sz w:val="21"/>
              </w:rPr>
              <w:t>70</w:t>
            </w:r>
            <w:r>
              <w:rPr>
                <w:spacing w:val="-108"/>
                <w:w w:val="100"/>
                <w:sz w:val="21"/>
              </w:rPr>
              <w:t>）</w:t>
            </w:r>
            <w:r>
              <w:rPr>
                <w:spacing w:val="-8"/>
                <w:w w:val="100"/>
                <w:sz w:val="21"/>
              </w:rPr>
              <w:t>；中度</w:t>
            </w:r>
            <w:r>
              <w:rPr>
                <w:spacing w:val="-1"/>
                <w:w w:val="100"/>
                <w:sz w:val="21"/>
              </w:rPr>
              <w:t>（</w:t>
            </w:r>
            <w:r>
              <w:rPr>
                <w:rFonts w:ascii="Arial" w:eastAsia="Arial"/>
                <w:spacing w:val="-2"/>
                <w:w w:val="100"/>
                <w:sz w:val="21"/>
              </w:rPr>
              <w:t>I</w:t>
            </w:r>
            <w:r>
              <w:rPr>
                <w:rFonts w:ascii="Arial" w:eastAsia="Arial"/>
                <w:spacing w:val="-2"/>
                <w:w w:val="100"/>
                <w:sz w:val="21"/>
              </w:rPr>
              <w:t>Q</w:t>
            </w:r>
            <w:r>
              <w:rPr>
                <w:rFonts w:ascii="Arial" w:eastAsia="Arial"/>
                <w:spacing w:val="-3"/>
                <w:w w:val="100"/>
                <w:sz w:val="21"/>
              </w:rPr>
              <w:t>3</w:t>
            </w:r>
            <w:r>
              <w:rPr>
                <w:rFonts w:ascii="Arial" w:eastAsia="Arial"/>
                <w:w w:val="100"/>
                <w:sz w:val="21"/>
              </w:rPr>
              <w:t>5</w:t>
            </w:r>
            <w:r>
              <w:rPr>
                <w:rFonts w:ascii="Arial" w:eastAsia="Arial"/>
                <w:spacing w:val="-1"/>
                <w:w w:val="100"/>
                <w:sz w:val="21"/>
              </w:rPr>
              <w:t>-</w:t>
            </w:r>
            <w:r>
              <w:rPr>
                <w:rFonts w:ascii="Arial" w:eastAsia="Arial"/>
                <w:w w:val="100"/>
                <w:sz w:val="21"/>
              </w:rPr>
              <w:t>50</w:t>
            </w:r>
            <w:r>
              <w:rPr>
                <w:spacing w:val="-108"/>
                <w:w w:val="100"/>
                <w:sz w:val="21"/>
              </w:rPr>
              <w:t>）</w:t>
            </w:r>
            <w:r>
              <w:rPr>
                <w:spacing w:val="-7"/>
                <w:w w:val="100"/>
                <w:sz w:val="21"/>
              </w:rPr>
              <w:t>；重度</w:t>
            </w:r>
            <w:r>
              <w:rPr>
                <w:spacing w:val="-1"/>
                <w:w w:val="100"/>
                <w:sz w:val="21"/>
              </w:rPr>
              <w:t>（</w:t>
            </w:r>
            <w:r>
              <w:rPr>
                <w:rFonts w:ascii="Arial" w:eastAsia="Arial"/>
                <w:spacing w:val="-2"/>
                <w:w w:val="100"/>
                <w:sz w:val="21"/>
              </w:rPr>
              <w:t>I</w:t>
            </w:r>
            <w:r>
              <w:rPr>
                <w:rFonts w:ascii="Arial" w:eastAsia="Arial"/>
                <w:spacing w:val="-2"/>
                <w:w w:val="100"/>
                <w:sz w:val="21"/>
              </w:rPr>
              <w:t>Q</w:t>
            </w:r>
            <w:r>
              <w:rPr>
                <w:rFonts w:ascii="Arial" w:eastAsia="Arial"/>
                <w:spacing w:val="-3"/>
                <w:w w:val="100"/>
                <w:sz w:val="21"/>
              </w:rPr>
              <w:t>2</w:t>
            </w:r>
            <w:r>
              <w:rPr>
                <w:rFonts w:ascii="Arial" w:eastAsia="Arial"/>
                <w:w w:val="100"/>
                <w:sz w:val="21"/>
              </w:rPr>
              <w:t>0</w:t>
            </w:r>
            <w:r>
              <w:rPr>
                <w:rFonts w:ascii="Arial" w:eastAsia="Arial"/>
                <w:spacing w:val="-1"/>
                <w:w w:val="100"/>
                <w:sz w:val="21"/>
              </w:rPr>
              <w:t>-</w:t>
            </w:r>
            <w:r>
              <w:rPr>
                <w:rFonts w:ascii="Arial" w:eastAsia="Arial"/>
                <w:w w:val="100"/>
                <w:sz w:val="21"/>
              </w:rPr>
              <w:t>3</w:t>
            </w:r>
            <w:r>
              <w:rPr>
                <w:rFonts w:ascii="Arial" w:eastAsia="Arial"/>
                <w:spacing w:val="-2"/>
                <w:w w:val="100"/>
                <w:sz w:val="21"/>
              </w:rPr>
              <w:t>5</w:t>
            </w:r>
            <w:r>
              <w:rPr>
                <w:spacing w:val="-10"/>
                <w:w w:val="100"/>
                <w:sz w:val="21"/>
              </w:rPr>
              <w:t>）</w:t>
            </w:r>
            <w:r>
              <w:rPr>
                <w:w w:val="100"/>
                <w:sz w:val="21"/>
              </w:rPr>
              <w:t>和极重度（</w:t>
            </w:r>
            <w:r>
              <w:rPr>
                <w:rFonts w:ascii="Arial" w:eastAsia="Arial"/>
                <w:spacing w:val="-2"/>
                <w:w w:val="100"/>
                <w:sz w:val="21"/>
              </w:rPr>
              <w:t>I</w:t>
            </w:r>
            <w:r>
              <w:rPr>
                <w:rFonts w:ascii="Arial" w:eastAsia="Arial"/>
                <w:spacing w:val="-2"/>
                <w:w w:val="100"/>
                <w:sz w:val="21"/>
              </w:rPr>
              <w:t>Q</w:t>
            </w:r>
            <w:r>
              <w:rPr>
                <w:rFonts w:ascii="Arial" w:eastAsia="Arial"/>
                <w:spacing w:val="-1"/>
                <w:w w:val="100"/>
                <w:sz w:val="21"/>
              </w:rPr>
              <w:t>&lt;</w:t>
            </w:r>
            <w:r>
              <w:rPr>
                <w:rFonts w:ascii="Arial" w:eastAsia="Arial"/>
                <w:w w:val="100"/>
                <w:sz w:val="21"/>
              </w:rPr>
              <w:t>20</w:t>
            </w:r>
            <w:r>
              <w:rPr>
                <w:spacing w:val="-108"/>
                <w:w w:val="100"/>
                <w:sz w:val="21"/>
              </w:rPr>
              <w:t>）</w:t>
            </w:r>
            <w:r>
              <w:rPr>
                <w:w w:val="100"/>
                <w:sz w:val="21"/>
              </w:rPr>
              <w:t>。</w:t>
            </w:r>
            <w:r>
              <w:rPr>
                <w:rFonts w:ascii="黑体" w:eastAsia="黑体" w:hint="eastAsia"/>
                <w:spacing w:val="-13"/>
                <w:sz w:val="24"/>
              </w:rPr>
              <w:t>智商 </w:t>
            </w:r>
            <w:r>
              <w:rPr>
                <w:rFonts w:ascii="黑体" w:eastAsia="黑体" w:hint="eastAsia"/>
                <w:sz w:val="24"/>
              </w:rPr>
              <w:t>70-</w:t>
            </w:r>
            <w:r>
              <w:rPr>
                <w:rFonts w:ascii="黑体" w:eastAsia="黑体" w:hint="eastAsia"/>
                <w:spacing w:val="-3"/>
                <w:sz w:val="24"/>
              </w:rPr>
              <w:t>8</w:t>
            </w:r>
            <w:r>
              <w:rPr>
                <w:rFonts w:ascii="黑体" w:eastAsia="黑体" w:hint="eastAsia"/>
                <w:sz w:val="24"/>
              </w:rPr>
              <w:t>5</w:t>
            </w:r>
            <w:r>
              <w:rPr>
                <w:rFonts w:ascii="黑体" w:eastAsia="黑体" w:hint="eastAsia"/>
                <w:spacing w:val="-6"/>
                <w:sz w:val="24"/>
              </w:rPr>
              <w:t> 为智力临界低常，不在本保障范围内。</w:t>
            </w:r>
            <w:r>
              <w:rPr>
                <w:spacing w:val="-2"/>
                <w:w w:val="100"/>
                <w:sz w:val="21"/>
              </w:rPr>
              <w:t>智商的检测</w:t>
            </w:r>
            <w:r>
              <w:rPr>
                <w:spacing w:val="-8"/>
                <w:sz w:val="21"/>
              </w:rPr>
              <w:t>必须由我们认可的专职心理测验工作者进行，心理测验工作者必须持有由心理测量专业委员会资格认定书。根据被保险人年龄采用对应的智力量表如韦克斯勒智力量表</w:t>
            </w:r>
          </w:p>
          <w:p>
            <w:pPr>
              <w:pStyle w:val="TableParagraph"/>
              <w:spacing w:line="273" w:lineRule="auto" w:before="22"/>
              <w:ind w:right="4631"/>
              <w:rPr>
                <w:sz w:val="21"/>
              </w:rPr>
            </w:pPr>
            <w:r>
              <w:rPr>
                <w:sz w:val="21"/>
              </w:rPr>
              <w:t>（</w:t>
            </w:r>
            <w:r>
              <w:rPr>
                <w:spacing w:val="-3"/>
                <w:sz w:val="21"/>
              </w:rPr>
              <w:t>儿童智力量表或成人智力量表</w:t>
            </w:r>
            <w:r>
              <w:rPr>
                <w:spacing w:val="-106"/>
                <w:sz w:val="21"/>
              </w:rPr>
              <w:t>）</w:t>
            </w:r>
            <w:r>
              <w:rPr>
                <w:sz w:val="21"/>
              </w:rPr>
              <w:t>。</w:t>
            </w:r>
            <w:r>
              <w:rPr>
                <w:spacing w:val="-3"/>
                <w:sz w:val="21"/>
              </w:rPr>
              <w:t>理赔时必须满足下列全部条件：</w:t>
            </w:r>
          </w:p>
          <w:p>
            <w:pPr>
              <w:pStyle w:val="TableParagraph"/>
              <w:spacing w:before="7"/>
              <w:rPr>
                <w:sz w:val="21"/>
              </w:rPr>
            </w:pPr>
            <w:r>
              <w:rPr>
                <w:sz w:val="21"/>
              </w:rPr>
              <w:t>（1）被保险人大于或等于六周岁；</w:t>
            </w:r>
          </w:p>
          <w:p>
            <w:pPr>
              <w:pStyle w:val="TableParagraph"/>
              <w:spacing w:before="36"/>
              <w:rPr>
                <w:sz w:val="21"/>
              </w:rPr>
            </w:pPr>
            <w:r>
              <w:rPr>
                <w:sz w:val="21"/>
              </w:rPr>
              <w:t>（2）专科医生确诊被保险人由于严重头部创伤或疾病造成智力低下；</w:t>
            </w:r>
          </w:p>
          <w:p>
            <w:pPr>
              <w:pStyle w:val="TableParagraph"/>
              <w:spacing w:line="273" w:lineRule="auto" w:before="36"/>
              <w:ind w:left="711" w:right="202" w:hanging="527"/>
              <w:rPr>
                <w:sz w:val="21"/>
              </w:rPr>
            </w:pPr>
            <w:r>
              <w:rPr>
                <w:sz w:val="21"/>
              </w:rPr>
              <w:t>（3）</w:t>
            </w:r>
            <w:r>
              <w:rPr>
                <w:spacing w:val="-3"/>
                <w:sz w:val="21"/>
              </w:rPr>
              <w:t>专职合格心理检测工作者适时做的心理检测证实被保险人智力低常（</w:t>
            </w:r>
            <w:r>
              <w:rPr>
                <w:spacing w:val="-2"/>
                <w:sz w:val="21"/>
              </w:rPr>
              <w:t>轻度、中</w:t>
            </w:r>
            <w:r>
              <w:rPr>
                <w:spacing w:val="-3"/>
                <w:w w:val="100"/>
                <w:sz w:val="21"/>
              </w:rPr>
              <w:t>度、重度或极重度</w:t>
            </w:r>
            <w:r>
              <w:rPr>
                <w:spacing w:val="-108"/>
                <w:w w:val="100"/>
                <w:sz w:val="21"/>
              </w:rPr>
              <w:t>）</w:t>
            </w:r>
            <w:r>
              <w:rPr>
                <w:w w:val="100"/>
                <w:sz w:val="21"/>
              </w:rPr>
              <w:t>；</w:t>
            </w:r>
          </w:p>
          <w:p>
            <w:pPr>
              <w:pStyle w:val="TableParagraph"/>
              <w:spacing w:before="7"/>
              <w:rPr>
                <w:sz w:val="21"/>
              </w:rPr>
            </w:pPr>
            <w:r>
              <w:rPr>
                <w:sz w:val="21"/>
              </w:rPr>
              <w:t>（4）被保险人的智力低常自确认日起持续 </w:t>
            </w:r>
            <w:r>
              <w:rPr>
                <w:rFonts w:ascii="Arial" w:eastAsia="Arial"/>
                <w:sz w:val="21"/>
              </w:rPr>
              <w:t>180 </w:t>
            </w:r>
            <w:r>
              <w:rPr>
                <w:sz w:val="21"/>
              </w:rPr>
              <w:t>天以上。</w:t>
            </w:r>
          </w:p>
        </w:tc>
      </w:tr>
      <w:tr>
        <w:trPr>
          <w:trHeight w:val="1307" w:hRule="atLeast"/>
        </w:trPr>
        <w:tc>
          <w:tcPr>
            <w:tcW w:w="1858" w:type="dxa"/>
          </w:tcPr>
          <w:p>
            <w:pPr>
              <w:pStyle w:val="TableParagraph"/>
              <w:spacing w:line="204" w:lineRule="auto" w:before="65"/>
              <w:ind w:left="619" w:right="182" w:hanging="420"/>
              <w:rPr>
                <w:rFonts w:ascii="Microsoft JhengHei" w:eastAsia="Microsoft JhengHei" w:hint="eastAsia"/>
                <w:b/>
                <w:sz w:val="21"/>
              </w:rPr>
            </w:pPr>
            <w:r>
              <w:rPr>
                <w:rFonts w:ascii="Microsoft JhengHei" w:eastAsia="Microsoft JhengHei" w:hint="eastAsia"/>
                <w:b/>
                <w:sz w:val="21"/>
              </w:rPr>
              <w:t>53. 亚急性硬化性全脑炎</w:t>
            </w:r>
          </w:p>
        </w:tc>
        <w:tc>
          <w:tcPr>
            <w:tcW w:w="8078" w:type="dxa"/>
          </w:tcPr>
          <w:p>
            <w:pPr>
              <w:pStyle w:val="TableParagraph"/>
              <w:spacing w:line="273" w:lineRule="auto" w:before="96"/>
              <w:ind w:right="197"/>
              <w:rPr>
                <w:sz w:val="21"/>
              </w:rPr>
            </w:pPr>
            <w:r>
              <w:rPr>
                <w:spacing w:val="-7"/>
                <w:sz w:val="21"/>
              </w:rPr>
              <w:t>是麻疹或麻疹样病毒所致的一种中枢神经系统慢感染。中枢神经系统呈现灰质和白质</w:t>
            </w:r>
            <w:r>
              <w:rPr>
                <w:spacing w:val="-5"/>
                <w:sz w:val="21"/>
              </w:rPr>
              <w:t>破坏为特征的慢性和急性混合存在的炎症。必须符合所有以下条件：</w:t>
            </w:r>
          </w:p>
          <w:p>
            <w:pPr>
              <w:pStyle w:val="TableParagraph"/>
              <w:spacing w:line="290" w:lineRule="atLeast" w:before="7"/>
              <w:ind w:left="711" w:right="155" w:hanging="527"/>
              <w:rPr>
                <w:sz w:val="21"/>
              </w:rPr>
            </w:pPr>
            <w:r>
              <w:rPr>
                <w:sz w:val="21"/>
              </w:rPr>
              <w:t>（1）必须由三甲医院诊断，临床检查证实脑电图存在周期性复合波、脑脊液</w:t>
            </w:r>
            <w:r>
              <w:rPr>
                <w:rFonts w:ascii="Times New Roman" w:hAnsi="Times New Roman" w:eastAsia="Times New Roman"/>
                <w:sz w:val="21"/>
              </w:rPr>
              <w:t>Ƴ</w:t>
            </w:r>
            <w:r>
              <w:rPr>
                <w:sz w:val="21"/>
              </w:rPr>
              <w:t>-球蛋白升高、脑脊液和血清中麻疹抗体滴定度升高；</w:t>
            </w:r>
          </w:p>
        </w:tc>
      </w:tr>
    </w:tbl>
    <w:p>
      <w:pPr>
        <w:spacing w:after="0" w:line="290" w:lineRule="atLeast"/>
        <w:rPr>
          <w:sz w:val="21"/>
        </w:rPr>
        <w:sectPr>
          <w:pgSz w:w="11910" w:h="16840"/>
          <w:pgMar w:header="0" w:footer="593" w:top="1160" w:bottom="780" w:left="940" w:right="8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8106"/>
      </w:tblGrid>
      <w:tr>
        <w:trPr>
          <w:trHeight w:val="682" w:hRule="atLeast"/>
        </w:trPr>
        <w:tc>
          <w:tcPr>
            <w:tcW w:w="1936" w:type="dxa"/>
          </w:tcPr>
          <w:p>
            <w:pPr>
              <w:pStyle w:val="TableParagraph"/>
              <w:ind w:left="0"/>
              <w:rPr>
                <w:rFonts w:ascii="Times New Roman"/>
                <w:sz w:val="20"/>
              </w:rPr>
            </w:pPr>
          </w:p>
        </w:tc>
        <w:tc>
          <w:tcPr>
            <w:tcW w:w="8106" w:type="dxa"/>
          </w:tcPr>
          <w:p>
            <w:pPr>
              <w:pStyle w:val="TableParagraph"/>
              <w:spacing w:line="211" w:lineRule="exact"/>
              <w:ind w:left="107"/>
              <w:rPr>
                <w:sz w:val="21"/>
              </w:rPr>
            </w:pPr>
            <w:r>
              <w:rPr>
                <w:sz w:val="21"/>
              </w:rPr>
              <w:t>（2）被保险人出现运动障碍，自主生活能力完全丧失，无法独立完成六项基本日常</w:t>
            </w:r>
          </w:p>
          <w:p>
            <w:pPr>
              <w:pStyle w:val="TableParagraph"/>
              <w:spacing w:before="37"/>
              <w:ind w:left="633"/>
              <w:rPr>
                <w:sz w:val="21"/>
              </w:rPr>
            </w:pPr>
            <w:r>
              <w:rPr>
                <w:sz w:val="21"/>
              </w:rPr>
              <w:t>生活活动中的三项或三项以上。</w:t>
            </w:r>
          </w:p>
        </w:tc>
      </w:tr>
      <w:tr>
        <w:trPr>
          <w:trHeight w:val="1793" w:hRule="atLeast"/>
        </w:trPr>
        <w:tc>
          <w:tcPr>
            <w:tcW w:w="1936" w:type="dxa"/>
          </w:tcPr>
          <w:p>
            <w:pPr>
              <w:pStyle w:val="TableParagraph"/>
              <w:spacing w:line="339" w:lineRule="exact" w:before="19"/>
              <w:ind w:left="200"/>
              <w:rPr>
                <w:rFonts w:ascii="Microsoft JhengHei" w:eastAsia="Microsoft JhengHei" w:hint="eastAsia"/>
                <w:b/>
                <w:sz w:val="21"/>
              </w:rPr>
            </w:pPr>
            <w:r>
              <w:rPr>
                <w:rFonts w:ascii="Microsoft JhengHei" w:eastAsia="Microsoft JhengHei" w:hint="eastAsia"/>
                <w:b/>
                <w:sz w:val="21"/>
              </w:rPr>
              <w:t>54. 克-雅氏病</w:t>
            </w:r>
          </w:p>
          <w:p>
            <w:pPr>
              <w:pStyle w:val="TableParagraph"/>
              <w:spacing w:line="204" w:lineRule="auto" w:before="27"/>
              <w:ind w:left="619" w:right="104"/>
              <w:rPr>
                <w:rFonts w:ascii="Microsoft JhengHei" w:eastAsia="Microsoft JhengHei" w:hint="eastAsia"/>
                <w:b/>
                <w:sz w:val="21"/>
              </w:rPr>
            </w:pPr>
            <w:r>
              <w:rPr>
                <w:rFonts w:ascii="Microsoft JhengHei" w:eastAsia="Microsoft JhengHei" w:hint="eastAsia"/>
                <w:b/>
                <w:w w:val="95"/>
                <w:sz w:val="21"/>
              </w:rPr>
              <w:t>（CJD、人类</w:t>
            </w:r>
            <w:r>
              <w:rPr>
                <w:rFonts w:ascii="Microsoft JhengHei" w:eastAsia="Microsoft JhengHei" w:hint="eastAsia"/>
                <w:b/>
                <w:sz w:val="21"/>
              </w:rPr>
              <w:t>疯牛病）</w:t>
            </w:r>
          </w:p>
        </w:tc>
        <w:tc>
          <w:tcPr>
            <w:tcW w:w="8106" w:type="dxa"/>
          </w:tcPr>
          <w:p>
            <w:pPr>
              <w:pStyle w:val="TableParagraph"/>
              <w:spacing w:line="264" w:lineRule="auto" w:before="105"/>
              <w:ind w:left="107" w:right="302"/>
              <w:jc w:val="both"/>
              <w:rPr>
                <w:sz w:val="21"/>
              </w:rPr>
            </w:pPr>
            <w:r>
              <w:rPr>
                <w:sz w:val="21"/>
              </w:rPr>
              <w:t>克</w:t>
            </w:r>
            <w:r>
              <w:rPr>
                <w:rFonts w:ascii="Arial" w:eastAsia="Arial"/>
                <w:sz w:val="21"/>
              </w:rPr>
              <w:t>-</w:t>
            </w:r>
            <w:r>
              <w:rPr>
                <w:sz w:val="21"/>
              </w:rPr>
              <w:t>雅氏病是一种传染性海绵状脑病，临床表现为快速进行性痴呆、肌阵挛和特征性</w:t>
            </w:r>
            <w:r>
              <w:rPr>
                <w:spacing w:val="-9"/>
                <w:sz w:val="21"/>
              </w:rPr>
              <w:t>脑电图变化。本病须经三级医院的专科医师根据 </w:t>
            </w:r>
            <w:r>
              <w:rPr>
                <w:rFonts w:ascii="Arial" w:eastAsia="Arial"/>
                <w:sz w:val="21"/>
              </w:rPr>
              <w:t>WHO </w:t>
            </w:r>
            <w:r>
              <w:rPr>
                <w:spacing w:val="-7"/>
                <w:sz w:val="21"/>
              </w:rPr>
              <w:t>诊断标准明确诊断，并且被保</w:t>
            </w:r>
            <w:r>
              <w:rPr>
                <w:spacing w:val="-12"/>
                <w:sz w:val="21"/>
              </w:rPr>
              <w:t>险人自主生活能力完全丧失，无法独立完成六项基本日常生活活动中的三项或三项以上。</w:t>
            </w:r>
          </w:p>
          <w:p>
            <w:pPr>
              <w:pStyle w:val="TableParagraph"/>
              <w:spacing w:line="302" w:lineRule="exact"/>
              <w:ind w:left="107"/>
              <w:jc w:val="both"/>
              <w:rPr>
                <w:rFonts w:ascii="黑体" w:eastAsia="黑体" w:hint="eastAsia"/>
                <w:sz w:val="24"/>
              </w:rPr>
            </w:pPr>
            <w:r>
              <w:rPr>
                <w:rFonts w:ascii="黑体" w:eastAsia="黑体" w:hint="eastAsia"/>
                <w:sz w:val="24"/>
              </w:rPr>
              <w:t>克-雅氏病疑似病例除外。</w:t>
            </w:r>
          </w:p>
        </w:tc>
      </w:tr>
      <w:tr>
        <w:trPr>
          <w:trHeight w:val="1158" w:hRule="atLeast"/>
        </w:trPr>
        <w:tc>
          <w:tcPr>
            <w:tcW w:w="1936" w:type="dxa"/>
          </w:tcPr>
          <w:p>
            <w:pPr>
              <w:pStyle w:val="TableParagraph"/>
              <w:spacing w:line="204" w:lineRule="auto" w:before="68"/>
              <w:ind w:left="619" w:right="260" w:hanging="420"/>
              <w:rPr>
                <w:rFonts w:ascii="Microsoft JhengHei" w:eastAsia="Microsoft JhengHei" w:hint="eastAsia"/>
                <w:b/>
                <w:sz w:val="21"/>
              </w:rPr>
            </w:pPr>
            <w:r>
              <w:rPr>
                <w:rFonts w:ascii="Microsoft JhengHei" w:eastAsia="Microsoft JhengHei" w:hint="eastAsia"/>
                <w:b/>
                <w:sz w:val="21"/>
              </w:rPr>
              <w:t>55. 丝虫病所致象皮病</w:t>
            </w:r>
          </w:p>
        </w:tc>
        <w:tc>
          <w:tcPr>
            <w:tcW w:w="8106" w:type="dxa"/>
          </w:tcPr>
          <w:p>
            <w:pPr>
              <w:pStyle w:val="TableParagraph"/>
              <w:spacing w:line="259" w:lineRule="auto" w:before="100"/>
              <w:ind w:left="107" w:right="305"/>
              <w:jc w:val="both"/>
              <w:rPr>
                <w:sz w:val="21"/>
              </w:rPr>
            </w:pPr>
            <w:r>
              <w:rPr>
                <w:spacing w:val="-9"/>
                <w:sz w:val="21"/>
              </w:rPr>
              <w:t>指因丝虫感染导致淋巴阻塞性出现严重淋巴水肿，达到国际淋巴学会淋巴肿分期第 </w:t>
            </w:r>
            <w:r>
              <w:rPr>
                <w:rFonts w:ascii="Arial" w:eastAsia="Arial"/>
                <w:spacing w:val="-2"/>
                <w:sz w:val="21"/>
              </w:rPr>
              <w:t>III </w:t>
            </w:r>
            <w:r>
              <w:rPr>
                <w:spacing w:val="-2"/>
                <w:sz w:val="21"/>
              </w:rPr>
              <w:t>期，临床表现为肢体象皮肿，患肢较键肢增粗 </w:t>
            </w:r>
            <w:r>
              <w:rPr>
                <w:rFonts w:ascii="Arial" w:eastAsia="Arial"/>
                <w:sz w:val="21"/>
              </w:rPr>
              <w:t>30%</w:t>
            </w:r>
            <w:r>
              <w:rPr>
                <w:spacing w:val="-3"/>
                <w:sz w:val="21"/>
              </w:rPr>
              <w:t>以上，无法独立完成六项基本日常生活活动中的三项或三项以上。</w:t>
            </w:r>
          </w:p>
        </w:tc>
      </w:tr>
      <w:tr>
        <w:trPr>
          <w:trHeight w:val="2729" w:hRule="atLeast"/>
        </w:trPr>
        <w:tc>
          <w:tcPr>
            <w:tcW w:w="1936" w:type="dxa"/>
          </w:tcPr>
          <w:p>
            <w:pPr>
              <w:pStyle w:val="TableParagraph"/>
              <w:spacing w:line="204" w:lineRule="auto" w:before="71"/>
              <w:ind w:left="619" w:right="104" w:hanging="420"/>
              <w:rPr>
                <w:rFonts w:ascii="Microsoft JhengHei" w:eastAsia="Microsoft JhengHei" w:hint="eastAsia"/>
                <w:b/>
                <w:sz w:val="21"/>
              </w:rPr>
            </w:pPr>
            <w:r>
              <w:rPr>
                <w:rFonts w:ascii="Microsoft JhengHei" w:eastAsia="Microsoft JhengHei" w:hint="eastAsia"/>
                <w:b/>
                <w:sz w:val="21"/>
              </w:rPr>
              <w:t>56.  埃博拉病毒</w:t>
            </w:r>
            <w:r>
              <w:rPr>
                <w:rFonts w:ascii="Microsoft JhengHei" w:eastAsia="Microsoft JhengHei" w:hint="eastAsia"/>
                <w:b/>
                <w:spacing w:val="-28"/>
                <w:sz w:val="21"/>
              </w:rPr>
              <w:t>感染</w:t>
            </w:r>
            <w:r>
              <w:rPr>
                <w:rFonts w:ascii="Microsoft JhengHei" w:eastAsia="Microsoft JhengHei" w:hint="eastAsia"/>
                <w:b/>
                <w:sz w:val="21"/>
              </w:rPr>
              <w:t>（</w:t>
            </w:r>
            <w:r>
              <w:rPr>
                <w:rFonts w:ascii="Microsoft JhengHei" w:eastAsia="Microsoft JhengHei" w:hint="eastAsia"/>
                <w:b/>
                <w:spacing w:val="-2"/>
                <w:sz w:val="21"/>
              </w:rPr>
              <w:t>伊波拉</w:t>
            </w:r>
            <w:r>
              <w:rPr>
                <w:rFonts w:ascii="Microsoft JhengHei" w:eastAsia="Microsoft JhengHei" w:hint="eastAsia"/>
                <w:b/>
                <w:spacing w:val="-3"/>
                <w:sz w:val="21"/>
              </w:rPr>
              <w:t>病毒感染</w:t>
            </w:r>
            <w:r>
              <w:rPr>
                <w:rFonts w:ascii="Microsoft JhengHei" w:eastAsia="Microsoft JhengHei" w:hint="eastAsia"/>
                <w:b/>
                <w:sz w:val="21"/>
              </w:rPr>
              <w:t>）</w:t>
            </w:r>
          </w:p>
        </w:tc>
        <w:tc>
          <w:tcPr>
            <w:tcW w:w="8106" w:type="dxa"/>
          </w:tcPr>
          <w:p>
            <w:pPr>
              <w:pStyle w:val="TableParagraph"/>
              <w:spacing w:line="273" w:lineRule="auto" w:before="102"/>
              <w:ind w:left="107" w:right="303"/>
              <w:jc w:val="both"/>
              <w:rPr>
                <w:sz w:val="21"/>
              </w:rPr>
            </w:pPr>
            <w:r>
              <w:rPr>
                <w:spacing w:val="-8"/>
                <w:sz w:val="21"/>
              </w:rPr>
              <w:t>指埃博拉病毒感染导致的急性出血性传染病。埃博拉病毒病必须经国家认可的有合法资质的传染病专家确诊并且上报国家疾病控制中心接受了隔离和治疗，必须满足以下</w:t>
            </w:r>
            <w:r>
              <w:rPr>
                <w:spacing w:val="-5"/>
                <w:sz w:val="21"/>
              </w:rPr>
              <w:t>所有条件：</w:t>
            </w:r>
          </w:p>
          <w:p>
            <w:pPr>
              <w:pStyle w:val="TableParagraph"/>
              <w:spacing w:before="7"/>
              <w:ind w:left="107"/>
              <w:rPr>
                <w:sz w:val="21"/>
              </w:rPr>
            </w:pPr>
            <w:r>
              <w:rPr>
                <w:sz w:val="21"/>
              </w:rPr>
              <w:t>（1）实验室检查证据证实存在埃博拉病毒感染；</w:t>
            </w:r>
          </w:p>
          <w:p>
            <w:pPr>
              <w:pStyle w:val="TableParagraph"/>
              <w:spacing w:before="37"/>
              <w:ind w:left="107"/>
              <w:rPr>
                <w:sz w:val="21"/>
              </w:rPr>
            </w:pPr>
            <w:r>
              <w:rPr>
                <w:sz w:val="21"/>
              </w:rPr>
              <w:t>（2）存在广泛出血的临床表现；</w:t>
            </w:r>
          </w:p>
          <w:p>
            <w:pPr>
              <w:pStyle w:val="TableParagraph"/>
              <w:spacing w:before="37"/>
              <w:ind w:left="107"/>
              <w:rPr>
                <w:sz w:val="21"/>
              </w:rPr>
            </w:pPr>
            <w:r>
              <w:rPr>
                <w:sz w:val="21"/>
              </w:rPr>
              <w:t>（3）病程持续30天以上。</w:t>
            </w:r>
          </w:p>
          <w:p>
            <w:pPr>
              <w:pStyle w:val="TableParagraph"/>
              <w:spacing w:line="237" w:lineRule="auto" w:before="12"/>
              <w:ind w:left="107" w:right="310"/>
              <w:rPr>
                <w:rFonts w:ascii="黑体" w:eastAsia="黑体" w:hint="eastAsia"/>
                <w:sz w:val="24"/>
              </w:rPr>
            </w:pPr>
            <w:r>
              <w:rPr>
                <w:rFonts w:ascii="黑体" w:eastAsia="黑体" w:hint="eastAsia"/>
                <w:sz w:val="24"/>
              </w:rPr>
              <w:t>单纯实验室诊断但没有临床出血表现的或者在确诊之前已经死亡的不在本保障范围内。</w:t>
            </w:r>
          </w:p>
        </w:tc>
      </w:tr>
      <w:tr>
        <w:trPr>
          <w:trHeight w:val="2716" w:hRule="atLeast"/>
        </w:trPr>
        <w:tc>
          <w:tcPr>
            <w:tcW w:w="1936" w:type="dxa"/>
          </w:tcPr>
          <w:p>
            <w:pPr>
              <w:pStyle w:val="TableParagraph"/>
              <w:spacing w:line="204" w:lineRule="auto" w:before="67"/>
              <w:ind w:left="619" w:right="260" w:hanging="420"/>
              <w:rPr>
                <w:rFonts w:ascii="Microsoft JhengHei" w:eastAsia="Microsoft JhengHei" w:hint="eastAsia"/>
                <w:b/>
                <w:sz w:val="21"/>
              </w:rPr>
            </w:pPr>
            <w:r>
              <w:rPr>
                <w:rFonts w:ascii="Microsoft JhengHei" w:eastAsia="Microsoft JhengHei" w:hint="eastAsia"/>
                <w:b/>
                <w:sz w:val="21"/>
              </w:rPr>
              <w:t>57. 严重自身免疫性肝炎</w:t>
            </w:r>
          </w:p>
        </w:tc>
        <w:tc>
          <w:tcPr>
            <w:tcW w:w="8106" w:type="dxa"/>
          </w:tcPr>
          <w:p>
            <w:pPr>
              <w:pStyle w:val="TableParagraph"/>
              <w:spacing w:line="273" w:lineRule="auto" w:before="98"/>
              <w:ind w:left="107" w:right="306"/>
              <w:jc w:val="both"/>
              <w:rPr>
                <w:sz w:val="21"/>
              </w:rPr>
            </w:pPr>
            <w:r>
              <w:rPr>
                <w:color w:val="333333"/>
                <w:sz w:val="21"/>
              </w:rPr>
              <w:t>自身免疫性肝炎是一种原因不明的慢性肝脏的坏死性炎性疾病，机体免疫机制被破</w:t>
            </w:r>
            <w:r>
              <w:rPr>
                <w:color w:val="333333"/>
                <w:spacing w:val="-10"/>
                <w:sz w:val="21"/>
              </w:rPr>
              <w:t>坏，产生针对肝脏自身抗原的抗体导致自身免疫反应，从而破坏肝细胞造成肝脏炎症</w:t>
            </w:r>
            <w:r>
              <w:rPr>
                <w:color w:val="333333"/>
                <w:spacing w:val="-5"/>
                <w:sz w:val="21"/>
              </w:rPr>
              <w:t>坏死，进而发展为肝硬化。必须满足所有以下条件：</w:t>
            </w:r>
          </w:p>
          <w:p>
            <w:pPr>
              <w:pStyle w:val="TableParagraph"/>
              <w:spacing w:before="8"/>
              <w:ind w:left="107"/>
              <w:rPr>
                <w:sz w:val="21"/>
              </w:rPr>
            </w:pPr>
            <w:r>
              <w:rPr>
                <w:sz w:val="21"/>
              </w:rPr>
              <w:t>（1）高</w:t>
            </w:r>
            <w:r>
              <w:rPr>
                <w:rFonts w:ascii="Arial" w:hAnsi="Arial" w:eastAsia="Arial"/>
                <w:sz w:val="21"/>
              </w:rPr>
              <w:t>γ</w:t>
            </w:r>
            <w:r>
              <w:rPr>
                <w:rFonts w:ascii="Arial" w:hAnsi="Arial" w:eastAsia="Arial"/>
                <w:spacing w:val="52"/>
                <w:sz w:val="21"/>
              </w:rPr>
              <w:t> </w:t>
            </w:r>
            <w:r>
              <w:rPr>
                <w:spacing w:val="-3"/>
                <w:sz w:val="21"/>
              </w:rPr>
              <w:t>球蛋白血症；</w:t>
            </w:r>
          </w:p>
          <w:p>
            <w:pPr>
              <w:pStyle w:val="TableParagraph"/>
              <w:spacing w:line="273" w:lineRule="auto" w:before="22"/>
              <w:ind w:left="633" w:right="197" w:hanging="527"/>
              <w:rPr>
                <w:sz w:val="21"/>
              </w:rPr>
            </w:pPr>
            <w:r>
              <w:rPr>
                <w:spacing w:val="-10"/>
                <w:sz w:val="21"/>
              </w:rPr>
              <w:t>（2）</w:t>
            </w:r>
            <w:r>
              <w:rPr>
                <w:spacing w:val="-6"/>
                <w:sz w:val="21"/>
              </w:rPr>
              <w:t>血液中存在高水平的自身免疫抗体，如 </w:t>
            </w:r>
            <w:r>
              <w:rPr>
                <w:spacing w:val="-8"/>
                <w:sz w:val="21"/>
              </w:rPr>
              <w:t>ANA（</w:t>
            </w:r>
            <w:r>
              <w:rPr>
                <w:spacing w:val="-3"/>
                <w:sz w:val="21"/>
              </w:rPr>
              <w:t>抗核抗体</w:t>
            </w:r>
            <w:r>
              <w:rPr>
                <w:spacing w:val="-108"/>
                <w:sz w:val="21"/>
              </w:rPr>
              <w:t>）</w:t>
            </w:r>
            <w:r>
              <w:rPr>
                <w:spacing w:val="-27"/>
                <w:sz w:val="21"/>
              </w:rPr>
              <w:t>、</w:t>
            </w:r>
            <w:r>
              <w:rPr>
                <w:spacing w:val="-8"/>
                <w:sz w:val="21"/>
              </w:rPr>
              <w:t>SMA（</w:t>
            </w:r>
            <w:r>
              <w:rPr>
                <w:spacing w:val="-3"/>
                <w:sz w:val="21"/>
              </w:rPr>
              <w:t>抗平滑肌抗体</w:t>
            </w:r>
            <w:r>
              <w:rPr>
                <w:spacing w:val="-106"/>
                <w:sz w:val="21"/>
              </w:rPr>
              <w:t>）</w:t>
            </w:r>
            <w:r>
              <w:rPr>
                <w:sz w:val="21"/>
              </w:rPr>
              <w:t>、</w:t>
            </w:r>
            <w:r>
              <w:rPr>
                <w:spacing w:val="-26"/>
                <w:sz w:val="21"/>
              </w:rPr>
              <w:t>抗 </w:t>
            </w:r>
            <w:r>
              <w:rPr>
                <w:sz w:val="21"/>
              </w:rPr>
              <w:t>LKM1</w:t>
            </w:r>
            <w:r>
              <w:rPr>
                <w:spacing w:val="-12"/>
                <w:sz w:val="21"/>
              </w:rPr>
              <w:t> 抗体或抗</w:t>
            </w:r>
            <w:r>
              <w:rPr>
                <w:sz w:val="21"/>
              </w:rPr>
              <w:t>-SLA/LP</w:t>
            </w:r>
            <w:r>
              <w:rPr>
                <w:spacing w:val="-14"/>
                <w:sz w:val="21"/>
              </w:rPr>
              <w:t> 抗体；</w:t>
            </w:r>
          </w:p>
          <w:p>
            <w:pPr>
              <w:pStyle w:val="TableParagraph"/>
              <w:spacing w:before="7"/>
              <w:ind w:left="107"/>
              <w:jc w:val="both"/>
              <w:rPr>
                <w:sz w:val="21"/>
              </w:rPr>
            </w:pPr>
            <w:r>
              <w:rPr>
                <w:sz w:val="21"/>
              </w:rPr>
              <w:t>（3）肝脏活检证实免疫性肝炎；</w:t>
            </w:r>
          </w:p>
          <w:p>
            <w:pPr>
              <w:pStyle w:val="TableParagraph"/>
              <w:spacing w:before="36"/>
              <w:ind w:left="107"/>
              <w:jc w:val="both"/>
              <w:rPr>
                <w:sz w:val="21"/>
              </w:rPr>
            </w:pPr>
            <w:r>
              <w:rPr>
                <w:sz w:val="21"/>
              </w:rPr>
              <w:t>（4）临床已经出现腹水、食道静脉曲张和脾肿大等肝硬化表现。</w:t>
            </w:r>
          </w:p>
        </w:tc>
      </w:tr>
      <w:tr>
        <w:trPr>
          <w:trHeight w:val="1483" w:hRule="atLeast"/>
        </w:trPr>
        <w:tc>
          <w:tcPr>
            <w:tcW w:w="1936" w:type="dxa"/>
          </w:tcPr>
          <w:p>
            <w:pPr>
              <w:pStyle w:val="TableParagraph"/>
              <w:spacing w:line="204" w:lineRule="auto" w:before="73"/>
              <w:ind w:left="619" w:right="260" w:hanging="420"/>
              <w:rPr>
                <w:rFonts w:ascii="Microsoft JhengHei" w:eastAsia="Microsoft JhengHei" w:hint="eastAsia"/>
                <w:b/>
                <w:sz w:val="21"/>
              </w:rPr>
            </w:pPr>
            <w:r>
              <w:rPr>
                <w:rFonts w:ascii="Microsoft JhengHei" w:eastAsia="Microsoft JhengHei" w:hint="eastAsia"/>
                <w:b/>
                <w:sz w:val="21"/>
              </w:rPr>
              <w:t>58. 严重组织细胞增生症</w:t>
            </w:r>
          </w:p>
        </w:tc>
        <w:tc>
          <w:tcPr>
            <w:tcW w:w="8106" w:type="dxa"/>
          </w:tcPr>
          <w:p>
            <w:pPr>
              <w:pStyle w:val="TableParagraph"/>
              <w:spacing w:before="104"/>
              <w:ind w:left="107"/>
              <w:rPr>
                <w:sz w:val="21"/>
              </w:rPr>
            </w:pPr>
            <w:r>
              <w:rPr>
                <w:sz w:val="21"/>
              </w:rPr>
              <w:t>是指一组单核</w:t>
            </w:r>
            <w:r>
              <w:rPr>
                <w:rFonts w:ascii="Arial" w:eastAsia="Arial"/>
                <w:sz w:val="21"/>
              </w:rPr>
              <w:t>-</w:t>
            </w:r>
            <w:r>
              <w:rPr>
                <w:sz w:val="21"/>
              </w:rPr>
              <w:t>巨噬细胞（组织细胞）异常增生的疾病。理赔时须满足下列所有条件：</w:t>
            </w:r>
          </w:p>
          <w:p>
            <w:pPr>
              <w:pStyle w:val="TableParagraph"/>
              <w:spacing w:before="22"/>
              <w:ind w:left="107"/>
              <w:rPr>
                <w:sz w:val="21"/>
              </w:rPr>
            </w:pPr>
            <w:r>
              <w:rPr>
                <w:sz w:val="21"/>
              </w:rPr>
              <w:t>（</w:t>
            </w:r>
            <w:r>
              <w:rPr>
                <w:rFonts w:ascii="Arial" w:eastAsia="Arial"/>
                <w:sz w:val="21"/>
              </w:rPr>
              <w:t>1</w:t>
            </w:r>
            <w:r>
              <w:rPr>
                <w:sz w:val="21"/>
              </w:rPr>
              <w:t>）支气管镜活检或开胸肺活检病理检查证实；</w:t>
            </w:r>
          </w:p>
          <w:p>
            <w:pPr>
              <w:pStyle w:val="TableParagraph"/>
              <w:spacing w:before="22"/>
              <w:ind w:left="107"/>
              <w:rPr>
                <w:sz w:val="21"/>
              </w:rPr>
            </w:pPr>
            <w:r>
              <w:rPr>
                <w:sz w:val="21"/>
              </w:rPr>
              <w:t>（</w:t>
            </w:r>
            <w:r>
              <w:rPr>
                <w:rFonts w:ascii="Arial" w:eastAsia="Arial"/>
                <w:sz w:val="21"/>
              </w:rPr>
              <w:t>2</w:t>
            </w:r>
            <w:r>
              <w:rPr>
                <w:sz w:val="21"/>
              </w:rPr>
              <w:t>）已导致呼吸衰竭和右心衰竭；</w:t>
            </w:r>
          </w:p>
          <w:p>
            <w:pPr>
              <w:pStyle w:val="TableParagraph"/>
              <w:spacing w:before="22"/>
              <w:ind w:left="107"/>
              <w:rPr>
                <w:sz w:val="21"/>
              </w:rPr>
            </w:pPr>
            <w:r>
              <w:rPr>
                <w:sz w:val="21"/>
              </w:rPr>
              <w:t>（</w:t>
            </w:r>
            <w:r>
              <w:rPr>
                <w:rFonts w:ascii="Arial" w:eastAsia="Arial"/>
                <w:sz w:val="21"/>
              </w:rPr>
              <w:t>3</w:t>
            </w:r>
            <w:r>
              <w:rPr>
                <w:sz w:val="21"/>
              </w:rPr>
              <w:t>）影像学检查显示蜂窝肺。</w:t>
            </w:r>
          </w:p>
        </w:tc>
      </w:tr>
      <w:tr>
        <w:trPr>
          <w:trHeight w:val="3491" w:hRule="atLeast"/>
        </w:trPr>
        <w:tc>
          <w:tcPr>
            <w:tcW w:w="1936" w:type="dxa"/>
          </w:tcPr>
          <w:p>
            <w:pPr>
              <w:pStyle w:val="TableParagraph"/>
              <w:spacing w:line="206" w:lineRule="auto" w:before="61"/>
              <w:ind w:left="619" w:right="260" w:hanging="420"/>
              <w:rPr>
                <w:rFonts w:ascii="Microsoft JhengHei" w:eastAsia="Microsoft JhengHei" w:hint="eastAsia"/>
                <w:b/>
                <w:sz w:val="21"/>
              </w:rPr>
            </w:pPr>
            <w:r>
              <w:rPr>
                <w:rFonts w:ascii="Microsoft JhengHei" w:eastAsia="Microsoft JhengHei" w:hint="eastAsia"/>
                <w:b/>
                <w:sz w:val="21"/>
              </w:rPr>
              <w:t>59. 席汉氏综合征</w:t>
            </w:r>
          </w:p>
        </w:tc>
        <w:tc>
          <w:tcPr>
            <w:tcW w:w="8106" w:type="dxa"/>
          </w:tcPr>
          <w:p>
            <w:pPr>
              <w:pStyle w:val="TableParagraph"/>
              <w:spacing w:line="273" w:lineRule="auto" w:before="96"/>
              <w:ind w:left="107" w:right="303"/>
              <w:jc w:val="both"/>
              <w:rPr>
                <w:sz w:val="21"/>
              </w:rPr>
            </w:pPr>
            <w:r>
              <w:rPr>
                <w:spacing w:val="-9"/>
                <w:sz w:val="21"/>
              </w:rPr>
              <w:t>指因产后大出血并发休克、全身循环衰竭、弥漫性血管内凝血导致脑垂体缺血坏死和</w:t>
            </w:r>
            <w:r>
              <w:rPr>
                <w:spacing w:val="-12"/>
                <w:sz w:val="21"/>
              </w:rPr>
              <w:t>垂体分泌激素不足，造成性腺、甲状腺、肾上腺皮质功能减退。必须满足下列所有条件：</w:t>
            </w:r>
          </w:p>
          <w:p>
            <w:pPr>
              <w:pStyle w:val="TableParagraph"/>
              <w:numPr>
                <w:ilvl w:val="0"/>
                <w:numId w:val="10"/>
              </w:numPr>
              <w:tabs>
                <w:tab w:pos="739" w:val="left" w:leader="none"/>
              </w:tabs>
              <w:spacing w:line="240" w:lineRule="auto" w:before="7" w:after="0"/>
              <w:ind w:left="738" w:right="0" w:hanging="631"/>
              <w:jc w:val="both"/>
              <w:rPr>
                <w:sz w:val="21"/>
              </w:rPr>
            </w:pPr>
            <w:r>
              <w:rPr>
                <w:spacing w:val="-3"/>
                <w:sz w:val="21"/>
              </w:rPr>
              <w:t>产后大出血休克病史；</w:t>
            </w:r>
          </w:p>
          <w:p>
            <w:pPr>
              <w:pStyle w:val="TableParagraph"/>
              <w:numPr>
                <w:ilvl w:val="0"/>
                <w:numId w:val="10"/>
              </w:numPr>
              <w:tabs>
                <w:tab w:pos="739" w:val="left" w:leader="none"/>
              </w:tabs>
              <w:spacing w:line="240" w:lineRule="auto" w:before="37" w:after="0"/>
              <w:ind w:left="738" w:right="0" w:hanging="631"/>
              <w:jc w:val="both"/>
              <w:rPr>
                <w:sz w:val="21"/>
              </w:rPr>
            </w:pPr>
            <w:r>
              <w:rPr>
                <w:spacing w:val="-3"/>
                <w:sz w:val="21"/>
              </w:rPr>
              <w:t>严重腺垂体功能破坏，破坏程度&gt;</w:t>
            </w:r>
            <w:r>
              <w:rPr>
                <w:sz w:val="21"/>
              </w:rPr>
              <w:t>95%；</w:t>
            </w:r>
          </w:p>
          <w:p>
            <w:pPr>
              <w:pStyle w:val="TableParagraph"/>
              <w:numPr>
                <w:ilvl w:val="0"/>
                <w:numId w:val="10"/>
              </w:numPr>
              <w:tabs>
                <w:tab w:pos="739" w:val="left" w:leader="none"/>
              </w:tabs>
              <w:spacing w:line="240" w:lineRule="auto" w:before="37" w:after="0"/>
              <w:ind w:left="738" w:right="0" w:hanging="631"/>
              <w:jc w:val="both"/>
              <w:rPr>
                <w:sz w:val="21"/>
              </w:rPr>
            </w:pPr>
            <w:r>
              <w:rPr>
                <w:spacing w:val="-3"/>
                <w:sz w:val="21"/>
              </w:rPr>
              <w:t>影像学检查显示脑垂体严重萎缩或消失；</w:t>
            </w:r>
          </w:p>
          <w:p>
            <w:pPr>
              <w:pStyle w:val="TableParagraph"/>
              <w:numPr>
                <w:ilvl w:val="0"/>
                <w:numId w:val="10"/>
              </w:numPr>
              <w:tabs>
                <w:tab w:pos="739" w:val="left" w:leader="none"/>
              </w:tabs>
              <w:spacing w:line="240" w:lineRule="auto" w:before="37" w:after="0"/>
              <w:ind w:left="738" w:right="0" w:hanging="631"/>
              <w:jc w:val="both"/>
              <w:rPr>
                <w:sz w:val="21"/>
              </w:rPr>
            </w:pPr>
            <w:r>
              <w:rPr>
                <w:spacing w:val="-3"/>
                <w:sz w:val="21"/>
              </w:rPr>
              <w:t>实验室检查显示：</w:t>
            </w:r>
          </w:p>
          <w:p>
            <w:pPr>
              <w:pStyle w:val="TableParagraph"/>
              <w:spacing w:line="273" w:lineRule="auto" w:before="37"/>
              <w:ind w:left="842" w:right="306" w:hanging="209"/>
              <w:rPr>
                <w:sz w:val="21"/>
              </w:rPr>
            </w:pPr>
            <w:r>
              <w:rPr>
                <w:spacing w:val="-2"/>
                <w:sz w:val="21"/>
              </w:rPr>
              <w:t>①垂体前叶激素全面低下</w:t>
            </w:r>
            <w:r>
              <w:rPr>
                <w:sz w:val="21"/>
              </w:rPr>
              <w:t>（</w:t>
            </w:r>
            <w:r>
              <w:rPr>
                <w:spacing w:val="-3"/>
                <w:sz w:val="21"/>
              </w:rPr>
              <w:t>包括生长激素、促甲状腺素、促肾上腺皮质激素、</w:t>
            </w:r>
            <w:r>
              <w:rPr>
                <w:spacing w:val="-3"/>
                <w:w w:val="100"/>
                <w:sz w:val="21"/>
              </w:rPr>
              <w:t>卵泡刺激素和黄体生成素</w:t>
            </w:r>
            <w:r>
              <w:rPr>
                <w:spacing w:val="-108"/>
                <w:w w:val="100"/>
                <w:sz w:val="21"/>
              </w:rPr>
              <w:t>）</w:t>
            </w:r>
            <w:r>
              <w:rPr>
                <w:w w:val="100"/>
                <w:sz w:val="21"/>
              </w:rPr>
              <w:t>；和</w:t>
            </w:r>
          </w:p>
          <w:p>
            <w:pPr>
              <w:pStyle w:val="TableParagraph"/>
              <w:spacing w:before="7"/>
              <w:ind w:left="633"/>
              <w:rPr>
                <w:sz w:val="21"/>
              </w:rPr>
            </w:pPr>
            <w:r>
              <w:rPr>
                <w:sz w:val="21"/>
              </w:rPr>
              <w:t>②性激素、甲状腺素、肾上腺皮质激素全面低下；</w:t>
            </w:r>
          </w:p>
          <w:p>
            <w:pPr>
              <w:pStyle w:val="TableParagraph"/>
              <w:numPr>
                <w:ilvl w:val="0"/>
                <w:numId w:val="10"/>
              </w:numPr>
              <w:tabs>
                <w:tab w:pos="739" w:val="left" w:leader="none"/>
              </w:tabs>
              <w:spacing w:line="255" w:lineRule="exact" w:before="37" w:after="0"/>
              <w:ind w:left="738" w:right="0" w:hanging="631"/>
              <w:jc w:val="both"/>
              <w:rPr>
                <w:sz w:val="21"/>
              </w:rPr>
            </w:pPr>
            <w:r>
              <w:rPr>
                <w:spacing w:val="-3"/>
                <w:sz w:val="21"/>
              </w:rPr>
              <w:t>需要终身激素替代治疗以维持身体功能，持续服用各种替代激素超过一年。</w:t>
            </w:r>
          </w:p>
        </w:tc>
      </w:tr>
    </w:tbl>
    <w:p>
      <w:pPr>
        <w:spacing w:after="0" w:line="255" w:lineRule="exact"/>
        <w:jc w:val="both"/>
        <w:rPr>
          <w:sz w:val="21"/>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8091"/>
      </w:tblGrid>
      <w:tr>
        <w:trPr>
          <w:trHeight w:val="2568" w:hRule="atLeast"/>
        </w:trPr>
        <w:tc>
          <w:tcPr>
            <w:tcW w:w="1950" w:type="dxa"/>
          </w:tcPr>
          <w:p>
            <w:pPr>
              <w:pStyle w:val="TableParagraph"/>
              <w:spacing w:line="196" w:lineRule="exact"/>
              <w:ind w:left="233"/>
              <w:rPr>
                <w:rFonts w:ascii="Microsoft JhengHei" w:eastAsia="Microsoft JhengHei" w:hint="eastAsia"/>
                <w:b/>
                <w:sz w:val="21"/>
              </w:rPr>
            </w:pPr>
            <w:r>
              <w:rPr>
                <w:rFonts w:ascii="Microsoft JhengHei" w:eastAsia="Microsoft JhengHei" w:hint="eastAsia"/>
                <w:b/>
                <w:sz w:val="21"/>
              </w:rPr>
              <w:t>60.  原发性骨髓</w:t>
            </w:r>
          </w:p>
          <w:p>
            <w:pPr>
              <w:pStyle w:val="TableParagraph"/>
              <w:spacing w:line="339" w:lineRule="exact"/>
              <w:ind w:left="640" w:right="640"/>
              <w:jc w:val="center"/>
              <w:rPr>
                <w:rFonts w:ascii="Microsoft JhengHei" w:eastAsia="Microsoft JhengHei" w:hint="eastAsia"/>
                <w:b/>
                <w:sz w:val="21"/>
              </w:rPr>
            </w:pPr>
            <w:r>
              <w:rPr>
                <w:rFonts w:ascii="Microsoft JhengHei" w:eastAsia="Microsoft JhengHei" w:hint="eastAsia"/>
                <w:b/>
                <w:sz w:val="21"/>
              </w:rPr>
              <w:t>纤维化</w:t>
            </w:r>
          </w:p>
        </w:tc>
        <w:tc>
          <w:tcPr>
            <w:tcW w:w="8091" w:type="dxa"/>
          </w:tcPr>
          <w:p>
            <w:pPr>
              <w:pStyle w:val="TableParagraph"/>
              <w:spacing w:line="218" w:lineRule="exact"/>
              <w:ind w:left="93"/>
              <w:rPr>
                <w:sz w:val="21"/>
              </w:rPr>
            </w:pPr>
            <w:r>
              <w:rPr>
                <w:sz w:val="21"/>
              </w:rPr>
              <w:t>原发性骨髓纤维化以骨髓纤维增生和髓外造血为特点，表现为进行性贫血、脾肿大、</w:t>
            </w:r>
          </w:p>
          <w:p>
            <w:pPr>
              <w:pStyle w:val="TableParagraph"/>
              <w:spacing w:before="37"/>
              <w:ind w:left="93"/>
              <w:rPr>
                <w:sz w:val="21"/>
              </w:rPr>
            </w:pPr>
            <w:r>
              <w:rPr>
                <w:sz w:val="21"/>
              </w:rPr>
              <w:t>外周血幼稚细胞等等。</w:t>
            </w:r>
          </w:p>
          <w:p>
            <w:pPr>
              <w:pStyle w:val="TableParagraph"/>
              <w:spacing w:before="37"/>
              <w:ind w:left="93"/>
              <w:rPr>
                <w:sz w:val="21"/>
              </w:rPr>
            </w:pPr>
            <w:r>
              <w:rPr>
                <w:sz w:val="21"/>
              </w:rPr>
              <w:t>被保险人被明确诊断为原发性骨髓纤维化，并符合以下条件中的三项且持续 </w:t>
            </w:r>
            <w:r>
              <w:rPr>
                <w:rFonts w:ascii="Arial" w:eastAsia="Arial"/>
                <w:sz w:val="21"/>
              </w:rPr>
              <w:t>180 </w:t>
            </w:r>
            <w:r>
              <w:rPr>
                <w:sz w:val="21"/>
              </w:rPr>
              <w:t>天：</w:t>
            </w:r>
          </w:p>
          <w:p>
            <w:pPr>
              <w:pStyle w:val="TableParagraph"/>
              <w:spacing w:before="22"/>
              <w:ind w:left="93"/>
              <w:rPr>
                <w:sz w:val="21"/>
              </w:rPr>
            </w:pPr>
            <w:r>
              <w:rPr>
                <w:sz w:val="21"/>
              </w:rPr>
              <w:t>（1）血红蛋白</w:t>
            </w:r>
            <w:r>
              <w:rPr>
                <w:rFonts w:ascii="Arial" w:eastAsia="Arial"/>
                <w:sz w:val="21"/>
              </w:rPr>
              <w:t>&lt;100g/l</w:t>
            </w:r>
            <w:r>
              <w:rPr>
                <w:sz w:val="21"/>
              </w:rPr>
              <w:t>；</w:t>
            </w:r>
          </w:p>
          <w:p>
            <w:pPr>
              <w:pStyle w:val="TableParagraph"/>
              <w:spacing w:before="22"/>
              <w:ind w:left="93"/>
              <w:rPr>
                <w:sz w:val="21"/>
              </w:rPr>
            </w:pPr>
            <w:r>
              <w:rPr>
                <w:sz w:val="21"/>
              </w:rPr>
              <w:t>（2）白细胞计数</w:t>
            </w:r>
            <w:r>
              <w:rPr>
                <w:rFonts w:ascii="Arial" w:eastAsia="Arial"/>
                <w:sz w:val="21"/>
              </w:rPr>
              <w:t>&gt;25x10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1"/>
                <w:vertAlign w:val="baseline"/>
              </w:rPr>
              <w:t>；</w:t>
            </w:r>
          </w:p>
          <w:p>
            <w:pPr>
              <w:pStyle w:val="TableParagraph"/>
              <w:spacing w:before="22"/>
              <w:ind w:left="93"/>
              <w:rPr>
                <w:rFonts w:ascii="Arial" w:hAnsi="Arial" w:eastAsia="Arial"/>
                <w:sz w:val="21"/>
              </w:rPr>
            </w:pPr>
            <w:r>
              <w:rPr>
                <w:sz w:val="21"/>
              </w:rPr>
              <w:t>（3）外周血原始细胞</w:t>
            </w:r>
            <w:r>
              <w:rPr>
                <w:rFonts w:ascii="Arial" w:hAnsi="Arial" w:eastAsia="Arial"/>
                <w:sz w:val="21"/>
              </w:rPr>
              <w:t>≥1%;</w:t>
            </w:r>
          </w:p>
          <w:p>
            <w:pPr>
              <w:pStyle w:val="TableParagraph"/>
              <w:spacing w:line="287" w:lineRule="exact" w:before="22"/>
              <w:ind w:left="93"/>
              <w:rPr>
                <w:sz w:val="21"/>
              </w:rPr>
            </w:pPr>
            <w:r>
              <w:rPr>
                <w:sz w:val="21"/>
              </w:rPr>
              <w:t>（4）血小板计数</w:t>
            </w:r>
            <w:r>
              <w:rPr>
                <w:rFonts w:ascii="Arial" w:eastAsia="Arial"/>
                <w:sz w:val="21"/>
              </w:rPr>
              <w:t>&lt;100x10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1"/>
                <w:vertAlign w:val="baseline"/>
              </w:rPr>
              <w:t>；</w:t>
            </w:r>
          </w:p>
          <w:p>
            <w:pPr>
              <w:pStyle w:val="TableParagraph"/>
              <w:spacing w:line="311" w:lineRule="exact"/>
              <w:ind w:left="93"/>
              <w:rPr>
                <w:rFonts w:ascii="黑体" w:eastAsia="黑体" w:hint="eastAsia"/>
                <w:sz w:val="24"/>
              </w:rPr>
            </w:pPr>
            <w:r>
              <w:rPr>
                <w:rFonts w:ascii="黑体" w:eastAsia="黑体" w:hint="eastAsia"/>
                <w:sz w:val="24"/>
              </w:rPr>
              <w:t>恶性肿瘤、中毒、放射线和感染所致的继发性骨髓纤维化除外。</w:t>
            </w:r>
          </w:p>
        </w:tc>
      </w:tr>
      <w:tr>
        <w:trPr>
          <w:trHeight w:val="2406" w:hRule="atLeast"/>
        </w:trPr>
        <w:tc>
          <w:tcPr>
            <w:tcW w:w="1950" w:type="dxa"/>
          </w:tcPr>
          <w:p>
            <w:pPr>
              <w:pStyle w:val="TableParagraph"/>
              <w:spacing w:line="204" w:lineRule="auto" w:before="67"/>
              <w:ind w:left="619" w:right="274" w:hanging="420"/>
              <w:jc w:val="both"/>
              <w:rPr>
                <w:rFonts w:ascii="Microsoft JhengHei" w:eastAsia="Microsoft JhengHei" w:hint="eastAsia"/>
                <w:b/>
                <w:sz w:val="21"/>
              </w:rPr>
            </w:pPr>
            <w:r>
              <w:rPr>
                <w:rFonts w:ascii="Microsoft JhengHei" w:eastAsia="Microsoft JhengHei" w:hint="eastAsia"/>
                <w:b/>
                <w:sz w:val="21"/>
              </w:rPr>
              <w:t>61. 重症骨髓增生异常综合征</w:t>
            </w:r>
          </w:p>
        </w:tc>
        <w:tc>
          <w:tcPr>
            <w:tcW w:w="8091" w:type="dxa"/>
          </w:tcPr>
          <w:p>
            <w:pPr>
              <w:pStyle w:val="TableParagraph"/>
              <w:spacing w:line="273" w:lineRule="auto" w:before="98"/>
              <w:ind w:left="93" w:right="302"/>
              <w:rPr>
                <w:sz w:val="21"/>
              </w:rPr>
            </w:pPr>
            <w:r>
              <w:rPr>
                <w:spacing w:val="-6"/>
                <w:sz w:val="21"/>
              </w:rPr>
              <w:t>骨髓增生异常综合征是起源于造血干细胞的一组骨髓克隆异常的疾病，表现为无效造</w:t>
            </w:r>
            <w:r>
              <w:rPr>
                <w:spacing w:val="-4"/>
                <w:sz w:val="21"/>
              </w:rPr>
              <w:t>血、难治性血细胞减少，有转化为急性髓系白血病的风险。</w:t>
            </w:r>
          </w:p>
          <w:p>
            <w:pPr>
              <w:pStyle w:val="TableParagraph"/>
              <w:spacing w:line="273" w:lineRule="auto" w:before="7"/>
              <w:ind w:left="93" w:right="302"/>
              <w:rPr>
                <w:sz w:val="21"/>
              </w:rPr>
            </w:pPr>
            <w:r>
              <w:rPr>
                <w:spacing w:val="-6"/>
                <w:sz w:val="21"/>
              </w:rPr>
              <w:t>被保险人根据外周血和骨髓活检被明确诊断为骨髓增生异常综合征，并且符合所有以</w:t>
            </w:r>
            <w:r>
              <w:rPr>
                <w:spacing w:val="-4"/>
                <w:sz w:val="21"/>
              </w:rPr>
              <w:t>下条件：</w:t>
            </w:r>
          </w:p>
          <w:p>
            <w:pPr>
              <w:pStyle w:val="TableParagraph"/>
              <w:spacing w:before="8"/>
              <w:ind w:left="93"/>
              <w:rPr>
                <w:sz w:val="21"/>
              </w:rPr>
            </w:pPr>
            <w:r>
              <w:rPr>
                <w:w w:val="100"/>
                <w:sz w:val="21"/>
              </w:rPr>
              <w:t>（1</w:t>
            </w:r>
            <w:r>
              <w:rPr>
                <w:spacing w:val="-3"/>
                <w:w w:val="100"/>
                <w:sz w:val="21"/>
              </w:rPr>
              <w:t>）</w:t>
            </w:r>
            <w:r>
              <w:rPr>
                <w:rFonts w:ascii="Arial" w:eastAsia="Arial"/>
                <w:spacing w:val="-12"/>
                <w:w w:val="100"/>
                <w:sz w:val="21"/>
              </w:rPr>
              <w:t>F</w:t>
            </w:r>
            <w:r>
              <w:rPr>
                <w:rFonts w:ascii="Arial" w:eastAsia="Arial"/>
                <w:spacing w:val="-2"/>
                <w:w w:val="100"/>
                <w:sz w:val="21"/>
              </w:rPr>
              <w:t>A</w:t>
            </w:r>
            <w:r>
              <w:rPr>
                <w:rFonts w:ascii="Arial" w:eastAsia="Arial"/>
                <w:w w:val="100"/>
                <w:sz w:val="21"/>
              </w:rPr>
              <w:t>B</w:t>
            </w:r>
            <w:r>
              <w:rPr>
                <w:spacing w:val="-3"/>
                <w:w w:val="100"/>
                <w:sz w:val="21"/>
              </w:rPr>
              <w:t>分类为难治性贫血伴原始细胞增多（</w:t>
            </w:r>
            <w:r>
              <w:rPr>
                <w:rFonts w:ascii="Arial" w:eastAsia="Arial"/>
                <w:spacing w:val="-2"/>
                <w:w w:val="100"/>
                <w:sz w:val="21"/>
              </w:rPr>
              <w:t>R</w:t>
            </w:r>
            <w:r>
              <w:rPr>
                <w:rFonts w:ascii="Arial" w:eastAsia="Arial"/>
                <w:spacing w:val="-2"/>
                <w:w w:val="100"/>
                <w:sz w:val="21"/>
              </w:rPr>
              <w:t>AE</w:t>
            </w:r>
            <w:r>
              <w:rPr>
                <w:rFonts w:ascii="Arial" w:eastAsia="Arial"/>
                <w:spacing w:val="0"/>
                <w:w w:val="100"/>
                <w:sz w:val="21"/>
              </w:rPr>
              <w:t>B</w:t>
            </w:r>
            <w:r>
              <w:rPr>
                <w:spacing w:val="-106"/>
                <w:w w:val="100"/>
                <w:sz w:val="21"/>
              </w:rPr>
              <w:t>）；</w:t>
            </w:r>
          </w:p>
          <w:p>
            <w:pPr>
              <w:pStyle w:val="TableParagraph"/>
              <w:spacing w:line="259" w:lineRule="auto" w:before="22"/>
              <w:ind w:left="619" w:right="301" w:hanging="527"/>
              <w:rPr>
                <w:sz w:val="21"/>
              </w:rPr>
            </w:pPr>
            <w:r>
              <w:rPr>
                <w:sz w:val="21"/>
              </w:rPr>
              <w:t>（2）根据</w:t>
            </w:r>
            <w:r>
              <w:rPr>
                <w:rFonts w:ascii="Arial" w:hAnsi="Arial" w:eastAsia="Arial"/>
                <w:sz w:val="21"/>
              </w:rPr>
              <w:t>“</w:t>
            </w:r>
            <w:r>
              <w:rPr>
                <w:sz w:val="21"/>
              </w:rPr>
              <w:t>骨髓增生异常综合征修订国际预后积分系统（</w:t>
            </w:r>
            <w:r>
              <w:rPr>
                <w:rFonts w:ascii="Arial" w:hAnsi="Arial" w:eastAsia="Arial"/>
                <w:sz w:val="21"/>
              </w:rPr>
              <w:t>IPSS-R</w:t>
            </w:r>
            <w:r>
              <w:rPr>
                <w:sz w:val="21"/>
              </w:rPr>
              <w:t>）</w:t>
            </w:r>
            <w:r>
              <w:rPr>
                <w:rFonts w:ascii="Arial" w:hAnsi="Arial" w:eastAsia="Arial"/>
                <w:sz w:val="21"/>
              </w:rPr>
              <w:t>”</w:t>
            </w:r>
            <w:r>
              <w:rPr>
                <w:sz w:val="21"/>
              </w:rPr>
              <w:t>积分</w:t>
            </w:r>
            <w:r>
              <w:rPr>
                <w:rFonts w:ascii="Arial" w:hAnsi="Arial" w:eastAsia="Arial"/>
                <w:sz w:val="21"/>
              </w:rPr>
              <w:t>≥3</w:t>
            </w:r>
            <w:r>
              <w:rPr>
                <w:sz w:val="21"/>
              </w:rPr>
              <w:t>，属于中危及以上组。</w:t>
            </w:r>
          </w:p>
        </w:tc>
      </w:tr>
      <w:tr>
        <w:trPr>
          <w:trHeight w:val="851" w:hRule="atLeast"/>
        </w:trPr>
        <w:tc>
          <w:tcPr>
            <w:tcW w:w="1950" w:type="dxa"/>
          </w:tcPr>
          <w:p>
            <w:pPr>
              <w:pStyle w:val="TableParagraph"/>
              <w:spacing w:line="204" w:lineRule="auto" w:before="72"/>
              <w:ind w:left="619" w:right="274" w:hanging="420"/>
              <w:rPr>
                <w:rFonts w:ascii="Microsoft JhengHei" w:eastAsia="Microsoft JhengHei" w:hint="eastAsia"/>
                <w:b/>
                <w:sz w:val="21"/>
              </w:rPr>
            </w:pPr>
            <w:r>
              <w:rPr>
                <w:rFonts w:ascii="Microsoft JhengHei" w:eastAsia="Microsoft JhengHei" w:hint="eastAsia"/>
                <w:b/>
                <w:sz w:val="21"/>
              </w:rPr>
              <w:t>62. 进行性多灶性白质脑病</w:t>
            </w:r>
          </w:p>
        </w:tc>
        <w:tc>
          <w:tcPr>
            <w:tcW w:w="8091" w:type="dxa"/>
          </w:tcPr>
          <w:p>
            <w:pPr>
              <w:pStyle w:val="TableParagraph"/>
              <w:spacing w:before="104"/>
              <w:ind w:left="93"/>
              <w:rPr>
                <w:sz w:val="21"/>
              </w:rPr>
            </w:pPr>
            <w:r>
              <w:rPr>
                <w:sz w:val="21"/>
              </w:rPr>
              <w:t>是一种亚急性脱髓鞘脑病，常常发生于免疫缺陷病人。必须根据脑组织活检确诊。</w:t>
            </w:r>
          </w:p>
        </w:tc>
      </w:tr>
      <w:tr>
        <w:trPr>
          <w:trHeight w:val="2098" w:hRule="atLeast"/>
        </w:trPr>
        <w:tc>
          <w:tcPr>
            <w:tcW w:w="1950" w:type="dxa"/>
          </w:tcPr>
          <w:p>
            <w:pPr>
              <w:pStyle w:val="TableParagraph"/>
              <w:spacing w:line="204" w:lineRule="auto" w:before="71"/>
              <w:ind w:left="619" w:right="274" w:hanging="420"/>
              <w:rPr>
                <w:rFonts w:ascii="Microsoft JhengHei" w:eastAsia="Microsoft JhengHei" w:hint="eastAsia"/>
                <w:b/>
                <w:sz w:val="21"/>
              </w:rPr>
            </w:pPr>
            <w:r>
              <w:rPr>
                <w:rFonts w:ascii="Microsoft JhengHei" w:eastAsia="Microsoft JhengHei" w:hint="eastAsia"/>
                <w:b/>
                <w:sz w:val="21"/>
              </w:rPr>
              <w:t>63. 传染性心内膜炎</w:t>
            </w:r>
          </w:p>
        </w:tc>
        <w:tc>
          <w:tcPr>
            <w:tcW w:w="8091" w:type="dxa"/>
          </w:tcPr>
          <w:p>
            <w:pPr>
              <w:pStyle w:val="TableParagraph"/>
              <w:spacing w:line="273" w:lineRule="auto" w:before="102"/>
              <w:ind w:left="93" w:right="302"/>
              <w:rPr>
                <w:sz w:val="21"/>
              </w:rPr>
            </w:pPr>
            <w:r>
              <w:rPr>
                <w:spacing w:val="-10"/>
                <w:sz w:val="21"/>
              </w:rPr>
              <w:t>传染性心内膜炎是指因细菌、真菌和其他微生物制剂感染而产生心瓣膜或心室壁内膜</w:t>
            </w:r>
            <w:r>
              <w:rPr>
                <w:spacing w:val="-5"/>
                <w:sz w:val="21"/>
              </w:rPr>
              <w:t>的炎症，引起心脏瓣膜关闭不全。必须符合下列所有条件：</w:t>
            </w:r>
          </w:p>
          <w:p>
            <w:pPr>
              <w:pStyle w:val="TableParagraph"/>
              <w:numPr>
                <w:ilvl w:val="0"/>
                <w:numId w:val="11"/>
              </w:numPr>
              <w:tabs>
                <w:tab w:pos="737" w:val="left" w:leader="none"/>
              </w:tabs>
              <w:spacing w:line="240" w:lineRule="auto" w:before="7" w:after="0"/>
              <w:ind w:left="736" w:right="0" w:hanging="643"/>
              <w:jc w:val="left"/>
              <w:rPr>
                <w:sz w:val="21"/>
              </w:rPr>
            </w:pPr>
            <w:r>
              <w:rPr>
                <w:spacing w:val="-3"/>
                <w:sz w:val="21"/>
              </w:rPr>
              <w:t>急性或亚急性感染性心内膜炎临床表现；</w:t>
            </w:r>
          </w:p>
          <w:p>
            <w:pPr>
              <w:pStyle w:val="TableParagraph"/>
              <w:numPr>
                <w:ilvl w:val="0"/>
                <w:numId w:val="11"/>
              </w:numPr>
              <w:tabs>
                <w:tab w:pos="737" w:val="left" w:leader="none"/>
              </w:tabs>
              <w:spacing w:line="240" w:lineRule="auto" w:before="21" w:after="0"/>
              <w:ind w:left="736" w:right="0" w:hanging="643"/>
              <w:jc w:val="left"/>
              <w:rPr>
                <w:sz w:val="21"/>
              </w:rPr>
            </w:pPr>
            <w:r>
              <w:rPr>
                <w:spacing w:val="-3"/>
                <w:sz w:val="21"/>
              </w:rPr>
              <w:t>血培养病原体阳性；</w:t>
            </w:r>
          </w:p>
          <w:p>
            <w:pPr>
              <w:pStyle w:val="TableParagraph"/>
              <w:spacing w:line="259" w:lineRule="auto" w:before="21"/>
              <w:ind w:left="619" w:right="302" w:hanging="527"/>
              <w:rPr>
                <w:sz w:val="21"/>
              </w:rPr>
            </w:pPr>
            <w:r>
              <w:rPr>
                <w:sz w:val="21"/>
              </w:rPr>
              <w:t>（</w:t>
            </w:r>
            <w:r>
              <w:rPr>
                <w:rFonts w:ascii="Arial" w:eastAsia="Arial"/>
                <w:sz w:val="21"/>
              </w:rPr>
              <w:t>3</w:t>
            </w:r>
            <w:r>
              <w:rPr>
                <w:sz w:val="21"/>
              </w:rPr>
              <w:t>）心功能衰竭达到美国纽约心脏病学会心功能状态分级</w:t>
            </w:r>
            <w:r>
              <w:rPr>
                <w:rFonts w:ascii="Arial" w:eastAsia="Arial"/>
                <w:sz w:val="21"/>
              </w:rPr>
              <w:t>IV</w:t>
            </w:r>
            <w:r>
              <w:rPr>
                <w:sz w:val="21"/>
              </w:rPr>
              <w:t>级且持续</w:t>
            </w:r>
            <w:r>
              <w:rPr>
                <w:rFonts w:ascii="Arial" w:eastAsia="Arial"/>
                <w:sz w:val="21"/>
              </w:rPr>
              <w:t>180</w:t>
            </w:r>
            <w:r>
              <w:rPr>
                <w:sz w:val="21"/>
              </w:rPr>
              <w:t>天或接受了心脏瓣膜置换手术。</w:t>
            </w:r>
          </w:p>
        </w:tc>
      </w:tr>
      <w:tr>
        <w:trPr>
          <w:trHeight w:val="2098" w:hRule="atLeast"/>
        </w:trPr>
        <w:tc>
          <w:tcPr>
            <w:tcW w:w="1950" w:type="dxa"/>
          </w:tcPr>
          <w:p>
            <w:pPr>
              <w:pStyle w:val="TableParagraph"/>
              <w:spacing w:line="204" w:lineRule="auto" w:before="72"/>
              <w:ind w:left="619" w:right="274" w:hanging="420"/>
              <w:rPr>
                <w:rFonts w:ascii="Microsoft JhengHei" w:eastAsia="Microsoft JhengHei" w:hint="eastAsia"/>
                <w:b/>
                <w:sz w:val="21"/>
              </w:rPr>
            </w:pPr>
            <w:r>
              <w:rPr>
                <w:rFonts w:ascii="Microsoft JhengHei" w:eastAsia="Microsoft JhengHei" w:hint="eastAsia"/>
                <w:b/>
                <w:sz w:val="21"/>
              </w:rPr>
              <w:t>64. 完全性房室传导阻滞</w:t>
            </w:r>
          </w:p>
        </w:tc>
        <w:tc>
          <w:tcPr>
            <w:tcW w:w="8091" w:type="dxa"/>
          </w:tcPr>
          <w:p>
            <w:pPr>
              <w:pStyle w:val="TableParagraph"/>
              <w:spacing w:line="266" w:lineRule="auto" w:before="104"/>
              <w:ind w:left="93" w:right="147"/>
              <w:rPr>
                <w:sz w:val="21"/>
              </w:rPr>
            </w:pPr>
            <w:r>
              <w:rPr>
                <w:sz w:val="21"/>
              </w:rPr>
              <w:t>三度房室传导阻滞又称完全性房室传导阻滞是指心房的激动不能正常地传导到心室， 造成心室率过于缓慢，出现心力衰竭和因大脑供血不足导致的晕厥、阿</w:t>
            </w:r>
            <w:r>
              <w:rPr>
                <w:rFonts w:ascii="Arial" w:eastAsia="Arial"/>
                <w:sz w:val="21"/>
              </w:rPr>
              <w:t>-</w:t>
            </w:r>
            <w:r>
              <w:rPr>
                <w:sz w:val="21"/>
              </w:rPr>
              <w:t>斯综合征。必须由专科医生明确诊断并且满足下列所有条件：</w:t>
            </w:r>
          </w:p>
          <w:p>
            <w:pPr>
              <w:pStyle w:val="TableParagraph"/>
              <w:spacing w:before="14"/>
              <w:ind w:left="93"/>
              <w:rPr>
                <w:sz w:val="21"/>
              </w:rPr>
            </w:pPr>
            <w:r>
              <w:rPr>
                <w:sz w:val="21"/>
              </w:rPr>
              <w:t>（1）心电图表现为室性逸搏心律，心室率持续低于 </w:t>
            </w:r>
            <w:r>
              <w:rPr>
                <w:rFonts w:ascii="Arial" w:eastAsia="Arial"/>
                <w:sz w:val="21"/>
              </w:rPr>
              <w:t>40 </w:t>
            </w:r>
            <w:r>
              <w:rPr>
                <w:sz w:val="21"/>
              </w:rPr>
              <w:t>次</w:t>
            </w:r>
            <w:r>
              <w:rPr>
                <w:rFonts w:ascii="Arial" w:eastAsia="Arial"/>
                <w:sz w:val="21"/>
              </w:rPr>
              <w:t>/</w:t>
            </w:r>
            <w:r>
              <w:rPr>
                <w:sz w:val="21"/>
              </w:rPr>
              <w:t>分；</w:t>
            </w:r>
          </w:p>
          <w:p>
            <w:pPr>
              <w:pStyle w:val="TableParagraph"/>
              <w:spacing w:before="22"/>
              <w:ind w:left="93"/>
              <w:rPr>
                <w:sz w:val="21"/>
              </w:rPr>
            </w:pPr>
            <w:r>
              <w:rPr>
                <w:sz w:val="21"/>
              </w:rPr>
              <w:t>（2）曾经有晕厥、阿</w:t>
            </w:r>
            <w:r>
              <w:rPr>
                <w:rFonts w:ascii="Arial" w:eastAsia="Arial"/>
                <w:sz w:val="21"/>
              </w:rPr>
              <w:t>-</w:t>
            </w:r>
            <w:r>
              <w:rPr>
                <w:sz w:val="21"/>
              </w:rPr>
              <w:t>斯综合征发作；</w:t>
            </w:r>
          </w:p>
          <w:p>
            <w:pPr>
              <w:pStyle w:val="TableParagraph"/>
              <w:spacing w:before="22"/>
              <w:ind w:left="93"/>
              <w:rPr>
                <w:sz w:val="21"/>
              </w:rPr>
            </w:pPr>
            <w:r>
              <w:rPr>
                <w:sz w:val="21"/>
              </w:rPr>
              <w:t>（3）已经植入人工永久性心脏起搏器。</w:t>
            </w:r>
          </w:p>
        </w:tc>
      </w:tr>
      <w:tr>
        <w:trPr>
          <w:trHeight w:val="1168" w:hRule="atLeast"/>
        </w:trPr>
        <w:tc>
          <w:tcPr>
            <w:tcW w:w="1950"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65.  川崎病</w:t>
            </w:r>
          </w:p>
        </w:tc>
        <w:tc>
          <w:tcPr>
            <w:tcW w:w="8091" w:type="dxa"/>
          </w:tcPr>
          <w:p>
            <w:pPr>
              <w:pStyle w:val="TableParagraph"/>
              <w:spacing w:before="102"/>
              <w:ind w:left="93"/>
              <w:rPr>
                <w:sz w:val="21"/>
              </w:rPr>
            </w:pPr>
            <w:r>
              <w:rPr>
                <w:sz w:val="21"/>
              </w:rPr>
              <w:t>川崎病为一种病因不明的系统性血管炎。</w:t>
            </w:r>
          </w:p>
          <w:p>
            <w:pPr>
              <w:pStyle w:val="TableParagraph"/>
              <w:spacing w:line="237" w:lineRule="auto" w:before="11"/>
              <w:ind w:left="93" w:right="309"/>
              <w:rPr>
                <w:rFonts w:ascii="黑体" w:eastAsia="黑体" w:hint="eastAsia"/>
                <w:sz w:val="24"/>
              </w:rPr>
            </w:pPr>
            <w:r>
              <w:rPr>
                <w:rFonts w:ascii="黑体" w:eastAsia="黑体" w:hint="eastAsia"/>
                <w:sz w:val="24"/>
              </w:rPr>
              <w:t>本保单仅对诊断性检查证实川崎病并发冠状动脉瘤或其他心血管异常并且实际接受了手术治疗的情况予以理赔。</w:t>
            </w:r>
          </w:p>
        </w:tc>
      </w:tr>
      <w:tr>
        <w:trPr>
          <w:trHeight w:val="2880" w:hRule="atLeast"/>
        </w:trPr>
        <w:tc>
          <w:tcPr>
            <w:tcW w:w="1950" w:type="dxa"/>
          </w:tcPr>
          <w:p>
            <w:pPr>
              <w:pStyle w:val="TableParagraph"/>
              <w:spacing w:line="204" w:lineRule="auto" w:before="67"/>
              <w:ind w:left="619" w:right="274" w:hanging="420"/>
              <w:rPr>
                <w:rFonts w:ascii="Microsoft JhengHei" w:eastAsia="Microsoft JhengHei" w:hint="eastAsia"/>
                <w:b/>
                <w:sz w:val="21"/>
              </w:rPr>
            </w:pPr>
            <w:r>
              <w:rPr>
                <w:rFonts w:ascii="Microsoft JhengHei" w:eastAsia="Microsoft JhengHei" w:hint="eastAsia"/>
                <w:b/>
                <w:sz w:val="21"/>
              </w:rPr>
              <w:t>66. 严重慢性缩窄性心包炎</w:t>
            </w:r>
          </w:p>
        </w:tc>
        <w:tc>
          <w:tcPr>
            <w:tcW w:w="8091" w:type="dxa"/>
          </w:tcPr>
          <w:p>
            <w:pPr>
              <w:pStyle w:val="TableParagraph"/>
              <w:spacing w:line="273" w:lineRule="auto" w:before="98"/>
              <w:ind w:left="93" w:right="302"/>
              <w:rPr>
                <w:sz w:val="21"/>
              </w:rPr>
            </w:pPr>
            <w:r>
              <w:rPr>
                <w:spacing w:val="-7"/>
                <w:sz w:val="21"/>
              </w:rPr>
              <w:t>由于慢性心包炎症导致心包脏层和壁层广泛瘢痕粘连、增厚和钙化，心包腔闭塞，形</w:t>
            </w:r>
            <w:r>
              <w:rPr>
                <w:spacing w:val="-5"/>
                <w:sz w:val="21"/>
              </w:rPr>
              <w:t>成一个纤维瘢痕外壳，使心脏和大血管根部受压，妨碍心脏的扩张。</w:t>
            </w:r>
          </w:p>
          <w:p>
            <w:pPr>
              <w:pStyle w:val="TableParagraph"/>
              <w:spacing w:before="7"/>
              <w:ind w:left="93"/>
              <w:rPr>
                <w:sz w:val="21"/>
              </w:rPr>
            </w:pPr>
            <w:r>
              <w:rPr>
                <w:sz w:val="21"/>
              </w:rPr>
              <w:t>被保险人被明确诊断为慢性缩窄性心包炎，并符合所有以下条件：</w:t>
            </w:r>
          </w:p>
          <w:p>
            <w:pPr>
              <w:pStyle w:val="TableParagraph"/>
              <w:spacing w:before="37"/>
              <w:ind w:left="93"/>
              <w:rPr>
                <w:sz w:val="21"/>
              </w:rPr>
            </w:pPr>
            <w:r>
              <w:rPr>
                <w:sz w:val="21"/>
              </w:rPr>
              <w:t>（1）心功能</w:t>
            </w:r>
            <w:r>
              <w:rPr>
                <w:rFonts w:ascii="Arial" w:eastAsia="Arial"/>
                <w:sz w:val="21"/>
              </w:rPr>
              <w:t>IV</w:t>
            </w:r>
            <w:r>
              <w:rPr>
                <w:sz w:val="21"/>
              </w:rPr>
              <w:t>级持续</w:t>
            </w:r>
            <w:r>
              <w:rPr>
                <w:rFonts w:ascii="Arial" w:eastAsia="Arial"/>
                <w:sz w:val="21"/>
              </w:rPr>
              <w:t>180</w:t>
            </w:r>
            <w:r>
              <w:rPr>
                <w:sz w:val="21"/>
              </w:rPr>
              <w:t>天；</w:t>
            </w:r>
          </w:p>
          <w:p>
            <w:pPr>
              <w:pStyle w:val="TableParagraph"/>
              <w:spacing w:before="22"/>
              <w:ind w:left="93"/>
              <w:rPr>
                <w:sz w:val="21"/>
              </w:rPr>
            </w:pPr>
            <w:r>
              <w:rPr>
                <w:sz w:val="21"/>
              </w:rPr>
              <w:t>（2）实际接受了以下任何一种手术路径的心包剥脱或心包切除手术</w:t>
            </w:r>
            <w:r>
              <w:rPr>
                <w:color w:val="333333"/>
                <w:sz w:val="21"/>
              </w:rPr>
              <w:t>：</w:t>
            </w:r>
          </w:p>
          <w:p>
            <w:pPr>
              <w:pStyle w:val="TableParagraph"/>
              <w:spacing w:before="37"/>
              <w:ind w:left="513"/>
              <w:rPr>
                <w:sz w:val="21"/>
              </w:rPr>
            </w:pPr>
            <w:r>
              <w:rPr>
                <w:color w:val="333333"/>
                <w:sz w:val="21"/>
              </w:rPr>
              <w:t>①胸骨正中切口；</w:t>
            </w:r>
          </w:p>
          <w:p>
            <w:pPr>
              <w:pStyle w:val="TableParagraph"/>
              <w:spacing w:before="37"/>
              <w:ind w:left="513"/>
              <w:rPr>
                <w:sz w:val="21"/>
              </w:rPr>
            </w:pPr>
            <w:r>
              <w:rPr>
                <w:color w:val="333333"/>
                <w:sz w:val="21"/>
              </w:rPr>
              <w:t>②双侧前胸切口；</w:t>
            </w:r>
          </w:p>
          <w:p>
            <w:pPr>
              <w:pStyle w:val="TableParagraph"/>
              <w:spacing w:before="37"/>
              <w:ind w:left="513"/>
              <w:rPr>
                <w:sz w:val="21"/>
              </w:rPr>
            </w:pPr>
            <w:r>
              <w:rPr>
                <w:color w:val="333333"/>
                <w:sz w:val="21"/>
              </w:rPr>
              <w:t>③左前胸肋间切口。</w:t>
            </w:r>
          </w:p>
          <w:p>
            <w:pPr>
              <w:pStyle w:val="TableParagraph"/>
              <w:spacing w:line="294" w:lineRule="exact" w:before="9"/>
              <w:ind w:left="93"/>
              <w:rPr>
                <w:rFonts w:ascii="黑体" w:eastAsia="黑体" w:hint="eastAsia"/>
                <w:sz w:val="24"/>
              </w:rPr>
            </w:pPr>
            <w:r>
              <w:rPr>
                <w:rFonts w:ascii="黑体" w:eastAsia="黑体" w:hint="eastAsia"/>
                <w:sz w:val="24"/>
              </w:rPr>
              <w:t>经胸腔镜、胸壁打孔进行的手术，心包粘连松解手术除外。</w:t>
            </w:r>
          </w:p>
        </w:tc>
      </w:tr>
    </w:tbl>
    <w:p>
      <w:pPr>
        <w:spacing w:after="0" w:line="294" w:lineRule="exact"/>
        <w:rPr>
          <w:rFonts w:ascii="黑体" w:eastAsia="黑体" w:hint="eastAsia"/>
          <w:sz w:val="24"/>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8106"/>
      </w:tblGrid>
      <w:tr>
        <w:trPr>
          <w:trHeight w:val="2566" w:hRule="atLeast"/>
        </w:trPr>
        <w:tc>
          <w:tcPr>
            <w:tcW w:w="1936" w:type="dxa"/>
          </w:tcPr>
          <w:p>
            <w:pPr>
              <w:pStyle w:val="TableParagraph"/>
              <w:spacing w:line="195" w:lineRule="exact"/>
              <w:ind w:left="200"/>
              <w:rPr>
                <w:rFonts w:ascii="Microsoft JhengHei" w:hAnsi="Microsoft JhengHei" w:eastAsia="Microsoft JhengHei" w:hint="eastAsia"/>
                <w:b/>
                <w:sz w:val="21"/>
              </w:rPr>
            </w:pPr>
            <w:r>
              <w:rPr>
                <w:rFonts w:ascii="Microsoft JhengHei" w:hAnsi="Microsoft JhengHei" w:eastAsia="Microsoft JhengHei" w:hint="eastAsia"/>
                <w:b/>
                <w:sz w:val="21"/>
              </w:rPr>
              <w:t>67. 1 型糖尿病—</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严重并发症</w:t>
            </w:r>
          </w:p>
        </w:tc>
        <w:tc>
          <w:tcPr>
            <w:tcW w:w="8106" w:type="dxa"/>
          </w:tcPr>
          <w:p>
            <w:pPr>
              <w:pStyle w:val="TableParagraph"/>
              <w:spacing w:line="232" w:lineRule="exact"/>
              <w:ind w:left="107"/>
              <w:rPr>
                <w:sz w:val="21"/>
              </w:rPr>
            </w:pPr>
            <w:r>
              <w:rPr>
                <w:rFonts w:ascii="Arial" w:eastAsia="Arial"/>
                <w:sz w:val="21"/>
              </w:rPr>
              <w:t>1   </w:t>
            </w:r>
            <w:r>
              <w:rPr>
                <w:sz w:val="21"/>
              </w:rPr>
              <w:t>型糖尿病的特征为由于胰岛素分泌绝对不足引起严重胰岛素缺乏导致慢性血糖升</w:t>
            </w:r>
          </w:p>
          <w:p>
            <w:pPr>
              <w:pStyle w:val="TableParagraph"/>
              <w:spacing w:line="259" w:lineRule="auto" w:before="22"/>
              <w:ind w:left="107" w:right="302"/>
              <w:jc w:val="both"/>
              <w:rPr>
                <w:sz w:val="21"/>
              </w:rPr>
            </w:pPr>
            <w:r>
              <w:rPr>
                <w:spacing w:val="-11"/>
                <w:sz w:val="21"/>
              </w:rPr>
              <w:t>高，需要依赖外源性胰岛素进行机体的葡萄糖代谢和维持生命。被保险人的 </w:t>
            </w:r>
            <w:r>
              <w:rPr>
                <w:rFonts w:ascii="Arial" w:eastAsia="Arial"/>
                <w:sz w:val="21"/>
              </w:rPr>
              <w:t>1 </w:t>
            </w:r>
            <w:r>
              <w:rPr>
                <w:spacing w:val="-2"/>
                <w:sz w:val="21"/>
              </w:rPr>
              <w:t>型糖尿</w:t>
            </w:r>
            <w:r>
              <w:rPr>
                <w:spacing w:val="-5"/>
                <w:sz w:val="21"/>
              </w:rPr>
              <w:t>病必须明确诊断，而且有血胰岛素测定及血 </w:t>
            </w:r>
            <w:r>
              <w:rPr>
                <w:rFonts w:ascii="Arial" w:eastAsia="Arial"/>
                <w:sz w:val="21"/>
              </w:rPr>
              <w:t>C </w:t>
            </w:r>
            <w:r>
              <w:rPr>
                <w:spacing w:val="-11"/>
                <w:sz w:val="21"/>
              </w:rPr>
              <w:t>肽或尿 </w:t>
            </w:r>
            <w:r>
              <w:rPr>
                <w:rFonts w:ascii="Arial" w:eastAsia="Arial"/>
                <w:sz w:val="21"/>
              </w:rPr>
              <w:t>C </w:t>
            </w:r>
            <w:r>
              <w:rPr>
                <w:spacing w:val="-3"/>
                <w:sz w:val="21"/>
              </w:rPr>
              <w:t>肽测定结果支持诊断，并且满足下列全部条件：</w:t>
            </w:r>
          </w:p>
          <w:p>
            <w:pPr>
              <w:pStyle w:val="TableParagraph"/>
              <w:spacing w:before="20"/>
              <w:ind w:left="107"/>
              <w:jc w:val="both"/>
              <w:rPr>
                <w:sz w:val="21"/>
              </w:rPr>
            </w:pPr>
            <w:r>
              <w:rPr>
                <w:sz w:val="21"/>
              </w:rPr>
              <w:t>（1）已经持续性地接受外源性胰岛素注射治疗连续180天以上；</w:t>
            </w:r>
          </w:p>
          <w:p>
            <w:pPr>
              <w:pStyle w:val="TableParagraph"/>
              <w:spacing w:before="37"/>
              <w:ind w:left="107"/>
              <w:jc w:val="both"/>
              <w:rPr>
                <w:sz w:val="21"/>
              </w:rPr>
            </w:pPr>
            <w:r>
              <w:rPr>
                <w:sz w:val="21"/>
              </w:rPr>
              <w:t>（2）因需要已经接受了下列治疗：</w:t>
            </w:r>
          </w:p>
          <w:p>
            <w:pPr>
              <w:pStyle w:val="TableParagraph"/>
              <w:spacing w:before="37"/>
              <w:ind w:left="633"/>
              <w:rPr>
                <w:sz w:val="21"/>
              </w:rPr>
            </w:pPr>
            <w:r>
              <w:rPr>
                <w:color w:val="333333"/>
                <w:sz w:val="21"/>
              </w:rPr>
              <w:t>①因严重心律失常植入了心脏起搏器；或</w:t>
            </w:r>
          </w:p>
          <w:p>
            <w:pPr>
              <w:pStyle w:val="TableParagraph"/>
              <w:spacing w:before="37"/>
              <w:ind w:left="633"/>
              <w:rPr>
                <w:sz w:val="21"/>
              </w:rPr>
            </w:pPr>
            <w:r>
              <w:rPr>
                <w:color w:val="333333"/>
                <w:sz w:val="21"/>
              </w:rPr>
              <w:t>②</w:t>
            </w:r>
            <w:r>
              <w:rPr>
                <w:sz w:val="21"/>
              </w:rPr>
              <w:t>因坏疽自跖趾关节或以上切除了一趾或多趾。</w:t>
            </w:r>
          </w:p>
        </w:tc>
      </w:tr>
      <w:tr>
        <w:trPr>
          <w:trHeight w:val="1787" w:hRule="atLeast"/>
        </w:trPr>
        <w:tc>
          <w:tcPr>
            <w:tcW w:w="1936" w:type="dxa"/>
          </w:tcPr>
          <w:p>
            <w:pPr>
              <w:pStyle w:val="TableParagraph"/>
              <w:spacing w:before="14"/>
              <w:ind w:left="200"/>
              <w:rPr>
                <w:rFonts w:ascii="Microsoft JhengHei" w:eastAsia="Microsoft JhengHei" w:hint="eastAsia"/>
                <w:b/>
                <w:sz w:val="21"/>
              </w:rPr>
            </w:pPr>
            <w:r>
              <w:rPr>
                <w:rFonts w:ascii="Microsoft JhengHei" w:eastAsia="Microsoft JhengHei" w:hint="eastAsia"/>
                <w:b/>
                <w:sz w:val="21"/>
              </w:rPr>
              <w:t>68.  脊髓灰质炎</w:t>
            </w:r>
          </w:p>
        </w:tc>
        <w:tc>
          <w:tcPr>
            <w:tcW w:w="8106" w:type="dxa"/>
          </w:tcPr>
          <w:p>
            <w:pPr>
              <w:pStyle w:val="TableParagraph"/>
              <w:spacing w:line="268" w:lineRule="auto" w:before="100"/>
              <w:ind w:left="107" w:right="303"/>
              <w:jc w:val="both"/>
              <w:rPr>
                <w:sz w:val="21"/>
              </w:rPr>
            </w:pPr>
            <w:r>
              <w:rPr>
                <w:spacing w:val="-7"/>
                <w:sz w:val="21"/>
              </w:rPr>
              <w:t>脊髓灰质炎是由于脊髓灰质炎病毒感染所致的瘫痪性疾病，临床表现为运动功能损害</w:t>
            </w:r>
            <w:r>
              <w:rPr>
                <w:spacing w:val="-11"/>
                <w:sz w:val="21"/>
              </w:rPr>
              <w:t>或呼吸无力。脊髓灰质炎必须明确诊断。本保单仅对脊髓灰质炎造成的神经系统功能</w:t>
            </w:r>
            <w:r>
              <w:rPr>
                <w:spacing w:val="-9"/>
                <w:sz w:val="21"/>
              </w:rPr>
              <w:t>损害导致被保险人一肢或一肢以上肢体机能永久完全丧失的情况予以理赔。肢体机能</w:t>
            </w:r>
            <w:r>
              <w:rPr>
                <w:spacing w:val="-4"/>
                <w:sz w:val="21"/>
              </w:rPr>
              <w:t>永久完全丧失，指疾病确诊 </w:t>
            </w:r>
            <w:r>
              <w:rPr>
                <w:rFonts w:ascii="Arial" w:eastAsia="Arial"/>
                <w:sz w:val="21"/>
              </w:rPr>
              <w:t>180</w:t>
            </w:r>
            <w:r>
              <w:rPr>
                <w:rFonts w:ascii="Arial" w:eastAsia="Arial"/>
                <w:spacing w:val="56"/>
                <w:sz w:val="21"/>
              </w:rPr>
              <w:t> </w:t>
            </w:r>
            <w:r>
              <w:rPr>
                <w:spacing w:val="-3"/>
                <w:sz w:val="21"/>
              </w:rPr>
              <w:t>天后，每肢三大关节中的两大关节仍然完全僵硬， 或不能随意识活动。</w:t>
            </w:r>
          </w:p>
        </w:tc>
      </w:tr>
      <w:tr>
        <w:trPr>
          <w:trHeight w:val="1788" w:hRule="atLeast"/>
        </w:trPr>
        <w:tc>
          <w:tcPr>
            <w:tcW w:w="1936" w:type="dxa"/>
          </w:tcPr>
          <w:p>
            <w:pPr>
              <w:pStyle w:val="TableParagraph"/>
              <w:spacing w:line="204" w:lineRule="auto" w:before="70"/>
              <w:ind w:left="619" w:right="260" w:hanging="420"/>
              <w:rPr>
                <w:rFonts w:ascii="Microsoft JhengHei" w:eastAsia="Microsoft JhengHei" w:hint="eastAsia"/>
                <w:b/>
                <w:sz w:val="21"/>
              </w:rPr>
            </w:pPr>
            <w:r>
              <w:rPr>
                <w:rFonts w:ascii="Microsoft JhengHei" w:eastAsia="Microsoft JhengHei" w:hint="eastAsia"/>
                <w:b/>
                <w:sz w:val="21"/>
              </w:rPr>
              <w:t>69. 进行性核上性麻痹</w:t>
            </w:r>
          </w:p>
        </w:tc>
        <w:tc>
          <w:tcPr>
            <w:tcW w:w="8106" w:type="dxa"/>
          </w:tcPr>
          <w:p>
            <w:pPr>
              <w:pStyle w:val="TableParagraph"/>
              <w:spacing w:line="266" w:lineRule="auto" w:before="101"/>
              <w:ind w:left="107" w:right="303"/>
              <w:jc w:val="both"/>
              <w:rPr>
                <w:sz w:val="21"/>
              </w:rPr>
            </w:pPr>
            <w:r>
              <w:rPr>
                <w:color w:val="333333"/>
                <w:spacing w:val="-7"/>
                <w:sz w:val="21"/>
              </w:rPr>
              <w:t>进行性核上性麻痹</w:t>
            </w:r>
            <w:r>
              <w:rPr>
                <w:color w:val="333333"/>
                <w:spacing w:val="-8"/>
                <w:sz w:val="21"/>
              </w:rPr>
              <w:t>（</w:t>
            </w:r>
            <w:r>
              <w:rPr>
                <w:rFonts w:ascii="Arial" w:hAnsi="Arial" w:eastAsia="Arial"/>
                <w:color w:val="333333"/>
                <w:spacing w:val="-8"/>
                <w:sz w:val="21"/>
              </w:rPr>
              <w:t>PSP</w:t>
            </w:r>
            <w:r>
              <w:rPr>
                <w:color w:val="333333"/>
                <w:spacing w:val="-8"/>
                <w:sz w:val="21"/>
              </w:rPr>
              <w:t>）</w:t>
            </w:r>
            <w:r>
              <w:rPr>
                <w:color w:val="333333"/>
                <w:spacing w:val="-16"/>
                <w:sz w:val="21"/>
              </w:rPr>
              <w:t>又称 </w:t>
            </w:r>
            <w:r>
              <w:rPr>
                <w:rFonts w:ascii="Arial" w:hAnsi="Arial" w:eastAsia="Arial"/>
                <w:color w:val="333333"/>
                <w:sz w:val="21"/>
              </w:rPr>
              <w:t>Steele-Rchardson—Olszewski </w:t>
            </w:r>
            <w:r>
              <w:rPr>
                <w:color w:val="333333"/>
                <w:spacing w:val="-7"/>
                <w:sz w:val="21"/>
              </w:rPr>
              <w:t>综合征，是一种少见</w:t>
            </w:r>
            <w:r>
              <w:rPr>
                <w:color w:val="333333"/>
                <w:spacing w:val="-11"/>
                <w:sz w:val="21"/>
              </w:rPr>
              <w:t>的神经系统变性疾病，以假球麻痹、垂直性核上性眼肌麻痹、锥体外系肌僵直、步态</w:t>
            </w:r>
            <w:r>
              <w:rPr>
                <w:color w:val="333333"/>
                <w:spacing w:val="-8"/>
                <w:sz w:val="21"/>
              </w:rPr>
              <w:t>共济失调和轻度痴呆为主要临床特征。</w:t>
            </w:r>
            <w:r>
              <w:rPr>
                <w:rFonts w:ascii="Arial" w:hAnsi="Arial" w:eastAsia="Arial"/>
                <w:color w:val="333333"/>
                <w:sz w:val="21"/>
              </w:rPr>
              <w:t>PSP </w:t>
            </w:r>
            <w:r>
              <w:rPr>
                <w:color w:val="333333"/>
                <w:spacing w:val="-3"/>
                <w:sz w:val="21"/>
              </w:rPr>
              <w:t>必须由三级甲等医院的神经内科专科医</w:t>
            </w:r>
            <w:r>
              <w:rPr>
                <w:color w:val="333333"/>
                <w:spacing w:val="-9"/>
                <w:sz w:val="21"/>
              </w:rPr>
              <w:t>生确诊，并且被保险人</w:t>
            </w:r>
            <w:r>
              <w:rPr>
                <w:spacing w:val="-7"/>
                <w:sz w:val="21"/>
              </w:rPr>
              <w:t>自主生活能力完全丧失，无法独立完成六项基本日常生活活动</w:t>
            </w:r>
            <w:r>
              <w:rPr>
                <w:spacing w:val="-5"/>
                <w:sz w:val="21"/>
              </w:rPr>
              <w:t>中的三项或三项以上。</w:t>
            </w:r>
          </w:p>
        </w:tc>
      </w:tr>
      <w:tr>
        <w:trPr>
          <w:trHeight w:val="1475" w:hRule="atLeast"/>
        </w:trPr>
        <w:tc>
          <w:tcPr>
            <w:tcW w:w="1936" w:type="dxa"/>
          </w:tcPr>
          <w:p>
            <w:pPr>
              <w:pStyle w:val="TableParagraph"/>
              <w:spacing w:line="204" w:lineRule="auto" w:before="67"/>
              <w:ind w:left="619" w:right="260" w:hanging="420"/>
              <w:rPr>
                <w:rFonts w:ascii="Microsoft JhengHei" w:eastAsia="Microsoft JhengHei" w:hint="eastAsia"/>
                <w:b/>
                <w:sz w:val="21"/>
              </w:rPr>
            </w:pPr>
            <w:r>
              <w:rPr>
                <w:rFonts w:ascii="Microsoft JhengHei" w:eastAsia="Microsoft JhengHei" w:hint="eastAsia"/>
                <w:b/>
                <w:sz w:val="21"/>
              </w:rPr>
              <w:t>70. 严重幼年风湿关节炎</w:t>
            </w:r>
          </w:p>
        </w:tc>
        <w:tc>
          <w:tcPr>
            <w:tcW w:w="8106" w:type="dxa"/>
          </w:tcPr>
          <w:p>
            <w:pPr>
              <w:pStyle w:val="TableParagraph"/>
              <w:spacing w:line="259" w:lineRule="auto" w:before="89"/>
              <w:ind w:left="107" w:right="263"/>
              <w:rPr>
                <w:sz w:val="22"/>
              </w:rPr>
            </w:pPr>
            <w:r>
              <w:rPr>
                <w:sz w:val="22"/>
              </w:rPr>
              <w:t>幼年类风湿关节炎是一种儿童期发病的慢性关节炎，其特点为在高热和系统性病征出现数月后发生关节炎。</w:t>
            </w:r>
          </w:p>
          <w:p>
            <w:pPr>
              <w:pStyle w:val="TableParagraph"/>
              <w:spacing w:line="237" w:lineRule="auto"/>
              <w:ind w:left="107" w:right="310"/>
              <w:rPr>
                <w:rFonts w:ascii="黑体" w:eastAsia="黑体" w:hint="eastAsia"/>
                <w:sz w:val="24"/>
              </w:rPr>
            </w:pPr>
            <w:r>
              <w:rPr>
                <w:rFonts w:ascii="黑体" w:eastAsia="黑体" w:hint="eastAsia"/>
                <w:sz w:val="24"/>
              </w:rPr>
              <w:t>本保单仅对实际接受了膝关节或髋关节置换手术治疗的严重的幼年类风湿关节炎予以理赔。</w:t>
            </w:r>
          </w:p>
        </w:tc>
      </w:tr>
      <w:tr>
        <w:trPr>
          <w:trHeight w:val="847" w:hRule="atLeast"/>
        </w:trPr>
        <w:tc>
          <w:tcPr>
            <w:tcW w:w="1936" w:type="dxa"/>
          </w:tcPr>
          <w:p>
            <w:pPr>
              <w:pStyle w:val="TableParagraph"/>
              <w:spacing w:line="204" w:lineRule="auto" w:before="68"/>
              <w:ind w:left="619" w:right="104" w:hanging="420"/>
              <w:rPr>
                <w:rFonts w:ascii="Microsoft JhengHei" w:eastAsia="Microsoft JhengHei" w:hint="eastAsia"/>
                <w:b/>
                <w:sz w:val="21"/>
              </w:rPr>
            </w:pPr>
            <w:r>
              <w:rPr>
                <w:rFonts w:ascii="Microsoft JhengHei" w:eastAsia="Microsoft JhengHei" w:hint="eastAsia"/>
                <w:b/>
                <w:w w:val="95"/>
                <w:sz w:val="21"/>
              </w:rPr>
              <w:t>71. Brugada 综合</w:t>
            </w:r>
            <w:r>
              <w:rPr>
                <w:rFonts w:ascii="Microsoft JhengHei" w:eastAsia="Microsoft JhengHei" w:hint="eastAsia"/>
                <w:b/>
                <w:sz w:val="21"/>
              </w:rPr>
              <w:t>征</w:t>
            </w:r>
          </w:p>
        </w:tc>
        <w:tc>
          <w:tcPr>
            <w:tcW w:w="8106" w:type="dxa"/>
          </w:tcPr>
          <w:p>
            <w:pPr>
              <w:pStyle w:val="TableParagraph"/>
              <w:spacing w:line="247" w:lineRule="auto" w:before="90"/>
              <w:ind w:left="107" w:right="121"/>
              <w:rPr>
                <w:sz w:val="22"/>
              </w:rPr>
            </w:pPr>
            <w:r>
              <w:rPr>
                <w:sz w:val="22"/>
              </w:rPr>
              <w:t>由心脏科专科医生根据临床症状和典型心电图表现，明确诊断为</w:t>
            </w:r>
            <w:r>
              <w:rPr>
                <w:rFonts w:ascii="Arial" w:eastAsia="Arial"/>
                <w:sz w:val="22"/>
              </w:rPr>
              <w:t>Brugada</w:t>
            </w:r>
            <w:r>
              <w:rPr>
                <w:sz w:val="22"/>
              </w:rPr>
              <w:t>综合征。经医生判断认为医疗必须已安装永久性心脏除颤器。</w:t>
            </w:r>
          </w:p>
        </w:tc>
      </w:tr>
      <w:tr>
        <w:trPr>
          <w:trHeight w:val="1795" w:hRule="atLeast"/>
        </w:trPr>
        <w:tc>
          <w:tcPr>
            <w:tcW w:w="1936" w:type="dxa"/>
          </w:tcPr>
          <w:p>
            <w:pPr>
              <w:pStyle w:val="TableParagraph"/>
              <w:spacing w:line="204" w:lineRule="auto" w:before="70"/>
              <w:ind w:left="619" w:right="260" w:hanging="420"/>
              <w:rPr>
                <w:rFonts w:ascii="Microsoft JhengHei" w:eastAsia="Microsoft JhengHei" w:hint="eastAsia"/>
                <w:b/>
                <w:sz w:val="21"/>
              </w:rPr>
            </w:pPr>
            <w:r>
              <w:rPr>
                <w:rFonts w:ascii="Microsoft JhengHei" w:eastAsia="Microsoft JhengHei" w:hint="eastAsia"/>
                <w:b/>
                <w:sz w:val="21"/>
              </w:rPr>
              <w:t>72. 冠状动脉血管成形术</w:t>
            </w:r>
          </w:p>
        </w:tc>
        <w:tc>
          <w:tcPr>
            <w:tcW w:w="8106" w:type="dxa"/>
          </w:tcPr>
          <w:p>
            <w:pPr>
              <w:pStyle w:val="TableParagraph"/>
              <w:spacing w:line="247" w:lineRule="auto" w:before="92"/>
              <w:ind w:left="107" w:right="307"/>
              <w:jc w:val="both"/>
              <w:rPr>
                <w:sz w:val="22"/>
              </w:rPr>
            </w:pPr>
            <w:r>
              <w:rPr>
                <w:spacing w:val="-9"/>
                <w:sz w:val="22"/>
              </w:rPr>
              <w:t>是指有心绞痛等心脏不适症状，经过血管造影技术检查证实同时存在两支</w:t>
            </w:r>
            <w:r>
              <w:rPr>
                <w:rFonts w:ascii="Arial" w:eastAsia="Arial"/>
                <w:sz w:val="22"/>
              </w:rPr>
              <w:t>(</w:t>
            </w:r>
            <w:r>
              <w:rPr>
                <w:sz w:val="22"/>
              </w:rPr>
              <w:t>其中一</w:t>
            </w:r>
            <w:r>
              <w:rPr>
                <w:spacing w:val="-11"/>
                <w:sz w:val="22"/>
              </w:rPr>
              <w:t>支为左冠状动脉主干、左前降支或左回旋支</w:t>
            </w:r>
            <w:r>
              <w:rPr>
                <w:rFonts w:ascii="Arial" w:eastAsia="Arial"/>
                <w:sz w:val="22"/>
              </w:rPr>
              <w:t>)</w:t>
            </w:r>
            <w:r>
              <w:rPr>
                <w:spacing w:val="-3"/>
                <w:sz w:val="22"/>
              </w:rPr>
              <w:t>或更多支的冠状动脉血管发生严重的</w:t>
            </w:r>
            <w:r>
              <w:rPr>
                <w:spacing w:val="1"/>
                <w:w w:val="100"/>
                <w:sz w:val="22"/>
              </w:rPr>
              <w:t>狭窄</w:t>
            </w:r>
            <w:r>
              <w:rPr>
                <w:w w:val="100"/>
                <w:sz w:val="22"/>
              </w:rPr>
              <w:t>（狭窄程度在</w:t>
            </w:r>
            <w:r>
              <w:rPr>
                <w:rFonts w:ascii="Arial" w:eastAsia="Arial"/>
                <w:spacing w:val="-1"/>
                <w:w w:val="100"/>
                <w:sz w:val="22"/>
              </w:rPr>
              <w:t>7</w:t>
            </w:r>
            <w:r>
              <w:rPr>
                <w:rFonts w:ascii="Arial" w:eastAsia="Arial"/>
                <w:spacing w:val="1"/>
                <w:w w:val="100"/>
                <w:sz w:val="22"/>
              </w:rPr>
              <w:t>0</w:t>
            </w:r>
            <w:r>
              <w:rPr>
                <w:w w:val="100"/>
                <w:sz w:val="22"/>
              </w:rPr>
              <w:t>％以上</w:t>
            </w:r>
            <w:r>
              <w:rPr>
                <w:spacing w:val="-111"/>
                <w:w w:val="100"/>
                <w:sz w:val="22"/>
              </w:rPr>
              <w:t>）</w:t>
            </w:r>
            <w:r>
              <w:rPr>
                <w:w w:val="100"/>
                <w:sz w:val="22"/>
              </w:rPr>
              <w:t>，需要并且已实施冠状动脉粥样斑块切除术以改善</w:t>
            </w:r>
            <w:r>
              <w:rPr>
                <w:spacing w:val="-2"/>
                <w:sz w:val="22"/>
              </w:rPr>
              <w:t>血管的血流状况。</w:t>
            </w:r>
          </w:p>
          <w:p>
            <w:pPr>
              <w:pStyle w:val="TableParagraph"/>
              <w:spacing w:line="313" w:lineRule="exact"/>
              <w:ind w:left="107"/>
              <w:jc w:val="both"/>
              <w:rPr>
                <w:rFonts w:ascii="黑体" w:eastAsia="黑体" w:hint="eastAsia"/>
                <w:sz w:val="24"/>
              </w:rPr>
            </w:pPr>
            <w:r>
              <w:rPr>
                <w:rFonts w:ascii="黑体" w:eastAsia="黑体" w:hint="eastAsia"/>
                <w:sz w:val="24"/>
              </w:rPr>
              <w:t>索赔时必须提供血管造影的影像资料、报告、手术记录和病历。</w:t>
            </w:r>
          </w:p>
        </w:tc>
      </w:tr>
      <w:tr>
        <w:trPr>
          <w:trHeight w:val="1164" w:hRule="atLeast"/>
        </w:trPr>
        <w:tc>
          <w:tcPr>
            <w:tcW w:w="1936" w:type="dxa"/>
          </w:tcPr>
          <w:p>
            <w:pPr>
              <w:pStyle w:val="TableParagraph"/>
              <w:spacing w:line="204" w:lineRule="auto" w:before="63"/>
              <w:ind w:left="619" w:right="260" w:hanging="420"/>
              <w:rPr>
                <w:rFonts w:ascii="Microsoft JhengHei" w:eastAsia="Microsoft JhengHei" w:hint="eastAsia"/>
                <w:b/>
                <w:sz w:val="21"/>
              </w:rPr>
            </w:pPr>
            <w:r>
              <w:rPr>
                <w:rFonts w:ascii="Microsoft JhengHei" w:eastAsia="Microsoft JhengHei" w:hint="eastAsia"/>
                <w:b/>
                <w:sz w:val="21"/>
              </w:rPr>
              <w:t>73. 室壁瘤切除手术</w:t>
            </w:r>
          </w:p>
        </w:tc>
        <w:tc>
          <w:tcPr>
            <w:tcW w:w="8106" w:type="dxa"/>
          </w:tcPr>
          <w:p>
            <w:pPr>
              <w:pStyle w:val="TableParagraph"/>
              <w:spacing w:line="259" w:lineRule="auto" w:before="85"/>
              <w:ind w:left="107" w:right="263"/>
              <w:rPr>
                <w:sz w:val="22"/>
              </w:rPr>
            </w:pPr>
            <w:r>
              <w:rPr>
                <w:sz w:val="22"/>
              </w:rPr>
              <w:t>被保险人被明确诊断为左室室壁瘤，并且实际接受了开胸开心进行的室壁瘤切除手术治疗。</w:t>
            </w:r>
          </w:p>
          <w:p>
            <w:pPr>
              <w:pStyle w:val="TableParagraph"/>
              <w:spacing w:line="303" w:lineRule="exact"/>
              <w:ind w:left="107"/>
              <w:rPr>
                <w:rFonts w:ascii="黑体" w:eastAsia="黑体" w:hint="eastAsia"/>
                <w:sz w:val="24"/>
              </w:rPr>
            </w:pPr>
            <w:r>
              <w:rPr>
                <w:rFonts w:ascii="黑体" w:eastAsia="黑体" w:hint="eastAsia"/>
                <w:sz w:val="24"/>
              </w:rPr>
              <w:t>经导管心室内成型手术治疗不在本保障范围内。</w:t>
            </w:r>
          </w:p>
        </w:tc>
      </w:tr>
      <w:tr>
        <w:trPr>
          <w:trHeight w:val="1790" w:hRule="atLeast"/>
        </w:trPr>
        <w:tc>
          <w:tcPr>
            <w:tcW w:w="1936" w:type="dxa"/>
          </w:tcPr>
          <w:p>
            <w:pPr>
              <w:pStyle w:val="TableParagraph"/>
              <w:spacing w:line="204" w:lineRule="auto" w:before="63"/>
              <w:ind w:left="619" w:right="260" w:hanging="420"/>
              <w:rPr>
                <w:rFonts w:ascii="Microsoft JhengHei" w:eastAsia="Microsoft JhengHei" w:hint="eastAsia"/>
                <w:b/>
                <w:sz w:val="21"/>
              </w:rPr>
            </w:pPr>
            <w:r>
              <w:rPr>
                <w:rFonts w:ascii="Microsoft JhengHei" w:eastAsia="Microsoft JhengHei" w:hint="eastAsia"/>
                <w:b/>
                <w:sz w:val="21"/>
              </w:rPr>
              <w:t>74. 严重结核性脑膜炎</w:t>
            </w:r>
          </w:p>
        </w:tc>
        <w:tc>
          <w:tcPr>
            <w:tcW w:w="8106" w:type="dxa"/>
          </w:tcPr>
          <w:p>
            <w:pPr>
              <w:pStyle w:val="TableParagraph"/>
              <w:spacing w:before="85"/>
              <w:ind w:left="107"/>
              <w:rPr>
                <w:sz w:val="22"/>
              </w:rPr>
            </w:pPr>
            <w:r>
              <w:rPr>
                <w:sz w:val="22"/>
              </w:rPr>
              <w:t>由结核杆菌引起的脑膜和脊膜的非化脓性炎症性疾病。 需满足以下全部条件：</w:t>
            </w:r>
          </w:p>
          <w:p>
            <w:pPr>
              <w:pStyle w:val="TableParagraph"/>
              <w:numPr>
                <w:ilvl w:val="0"/>
                <w:numId w:val="12"/>
              </w:numPr>
              <w:tabs>
                <w:tab w:pos="783" w:val="left" w:leader="none"/>
              </w:tabs>
              <w:spacing w:line="240" w:lineRule="auto" w:before="24" w:after="0"/>
              <w:ind w:left="782" w:right="0" w:hanging="675"/>
              <w:jc w:val="left"/>
              <w:rPr>
                <w:sz w:val="22"/>
              </w:rPr>
            </w:pPr>
            <w:r>
              <w:rPr>
                <w:spacing w:val="-3"/>
                <w:sz w:val="22"/>
              </w:rPr>
              <w:t>出现颅内压明显增高，表现头痛、呕吐和视乳头水肿；</w:t>
            </w:r>
          </w:p>
          <w:p>
            <w:pPr>
              <w:pStyle w:val="TableParagraph"/>
              <w:numPr>
                <w:ilvl w:val="0"/>
                <w:numId w:val="12"/>
              </w:numPr>
              <w:tabs>
                <w:tab w:pos="783" w:val="left" w:leader="none"/>
              </w:tabs>
              <w:spacing w:line="240" w:lineRule="auto" w:before="8" w:after="0"/>
              <w:ind w:left="782" w:right="0" w:hanging="675"/>
              <w:jc w:val="left"/>
              <w:rPr>
                <w:sz w:val="22"/>
              </w:rPr>
            </w:pPr>
            <w:r>
              <w:rPr>
                <w:spacing w:val="-3"/>
                <w:sz w:val="22"/>
              </w:rPr>
              <w:t>出现部分性、全身性癫痫发作或癫痫持续状态；</w:t>
            </w:r>
          </w:p>
          <w:p>
            <w:pPr>
              <w:pStyle w:val="TableParagraph"/>
              <w:numPr>
                <w:ilvl w:val="0"/>
                <w:numId w:val="12"/>
              </w:numPr>
              <w:tabs>
                <w:tab w:pos="783" w:val="left" w:leader="none"/>
              </w:tabs>
              <w:spacing w:line="240" w:lineRule="auto" w:before="8" w:after="0"/>
              <w:ind w:left="782" w:right="0" w:hanging="675"/>
              <w:jc w:val="left"/>
              <w:rPr>
                <w:sz w:val="22"/>
              </w:rPr>
            </w:pPr>
            <w:r>
              <w:rPr>
                <w:spacing w:val="-3"/>
                <w:sz w:val="22"/>
              </w:rPr>
              <w:t>视力减退、复视和面神经麻痹。</w:t>
            </w:r>
          </w:p>
          <w:p>
            <w:pPr>
              <w:pStyle w:val="TableParagraph"/>
              <w:numPr>
                <w:ilvl w:val="0"/>
                <w:numId w:val="12"/>
              </w:numPr>
              <w:tabs>
                <w:tab w:pos="783" w:val="left" w:leader="none"/>
              </w:tabs>
              <w:spacing w:line="240" w:lineRule="auto" w:before="8" w:after="0"/>
              <w:ind w:left="782" w:right="0" w:hanging="675"/>
              <w:jc w:val="left"/>
              <w:rPr>
                <w:sz w:val="22"/>
              </w:rPr>
            </w:pPr>
            <w:r>
              <w:rPr>
                <w:spacing w:val="-3"/>
                <w:sz w:val="22"/>
              </w:rPr>
              <w:t>昏睡或意识模糊；</w:t>
            </w:r>
          </w:p>
        </w:tc>
      </w:tr>
      <w:tr>
        <w:trPr>
          <w:trHeight w:val="1011" w:hRule="atLeast"/>
        </w:trPr>
        <w:tc>
          <w:tcPr>
            <w:tcW w:w="1936" w:type="dxa"/>
          </w:tcPr>
          <w:p>
            <w:pPr>
              <w:pStyle w:val="TableParagraph"/>
              <w:spacing w:line="204" w:lineRule="auto" w:before="58"/>
              <w:ind w:left="619" w:right="260" w:hanging="420"/>
              <w:rPr>
                <w:rFonts w:ascii="Microsoft JhengHei" w:eastAsia="Microsoft JhengHei" w:hint="eastAsia"/>
                <w:b/>
                <w:sz w:val="21"/>
              </w:rPr>
            </w:pPr>
            <w:r>
              <w:rPr>
                <w:rFonts w:ascii="Microsoft JhengHei" w:eastAsia="Microsoft JhengHei" w:hint="eastAsia"/>
                <w:b/>
                <w:sz w:val="21"/>
              </w:rPr>
              <w:t>75. 脊髓小脑变性症</w:t>
            </w:r>
          </w:p>
        </w:tc>
        <w:tc>
          <w:tcPr>
            <w:tcW w:w="8106" w:type="dxa"/>
          </w:tcPr>
          <w:p>
            <w:pPr>
              <w:pStyle w:val="TableParagraph"/>
              <w:spacing w:line="259" w:lineRule="auto" w:before="79"/>
              <w:ind w:left="107" w:right="263"/>
              <w:rPr>
                <w:sz w:val="22"/>
              </w:rPr>
            </w:pPr>
            <w:r>
              <w:rPr>
                <w:sz w:val="22"/>
              </w:rPr>
              <w:t>脊髓小脑变性症为一组以小脑萎缩和共济失调为主要临床特点的疾病。必须符合所有以下条件：</w:t>
            </w:r>
          </w:p>
          <w:p>
            <w:pPr>
              <w:pStyle w:val="TableParagraph"/>
              <w:spacing w:line="288" w:lineRule="exact" w:before="5"/>
              <w:ind w:left="107"/>
              <w:rPr>
                <w:sz w:val="22"/>
              </w:rPr>
            </w:pPr>
            <w:r>
              <w:rPr>
                <w:sz w:val="22"/>
              </w:rPr>
              <w:t>（</w:t>
            </w:r>
            <w:r>
              <w:rPr>
                <w:rFonts w:ascii="Arial" w:eastAsia="Arial"/>
                <w:sz w:val="22"/>
              </w:rPr>
              <w:t>1</w:t>
            </w:r>
            <w:r>
              <w:rPr>
                <w:sz w:val="22"/>
              </w:rPr>
              <w:t>）脊髓小脑变性症必须由神经专科专家医生的诊断，并有以下证据支持：</w:t>
            </w:r>
          </w:p>
        </w:tc>
      </w:tr>
    </w:tbl>
    <w:p>
      <w:pPr>
        <w:spacing w:after="0" w:line="288" w:lineRule="exact"/>
        <w:rPr>
          <w:sz w:val="22"/>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95"/>
      </w:tblGrid>
      <w:tr>
        <w:trPr>
          <w:trHeight w:val="1330" w:hRule="atLeast"/>
        </w:trPr>
        <w:tc>
          <w:tcPr>
            <w:tcW w:w="1858" w:type="dxa"/>
          </w:tcPr>
          <w:p>
            <w:pPr>
              <w:pStyle w:val="TableParagraph"/>
              <w:ind w:left="0"/>
              <w:rPr>
                <w:rFonts w:ascii="Times New Roman"/>
                <w:sz w:val="22"/>
              </w:rPr>
            </w:pPr>
          </w:p>
        </w:tc>
        <w:tc>
          <w:tcPr>
            <w:tcW w:w="8195" w:type="dxa"/>
          </w:tcPr>
          <w:p>
            <w:pPr>
              <w:pStyle w:val="TableParagraph"/>
              <w:spacing w:line="239" w:lineRule="exact"/>
              <w:ind w:left="785"/>
              <w:rPr>
                <w:sz w:val="22"/>
              </w:rPr>
            </w:pPr>
            <w:r>
              <w:rPr>
                <w:color w:val="333333"/>
                <w:sz w:val="24"/>
              </w:rPr>
              <w:t>①</w:t>
            </w:r>
            <w:r>
              <w:rPr>
                <w:sz w:val="22"/>
              </w:rPr>
              <w:t>影像学检查证实存在小脑萎缩；</w:t>
            </w:r>
          </w:p>
          <w:p>
            <w:pPr>
              <w:pStyle w:val="TableParagraph"/>
              <w:spacing w:line="313" w:lineRule="exact"/>
              <w:ind w:left="785"/>
              <w:rPr>
                <w:sz w:val="22"/>
              </w:rPr>
            </w:pPr>
            <w:r>
              <w:rPr>
                <w:color w:val="333333"/>
                <w:sz w:val="24"/>
              </w:rPr>
              <w:t>②</w:t>
            </w:r>
            <w:r>
              <w:rPr>
                <w:sz w:val="22"/>
              </w:rPr>
              <w:t>临床表现存在共济失调、语言障碍和肌张力异常；</w:t>
            </w:r>
          </w:p>
          <w:p>
            <w:pPr>
              <w:pStyle w:val="TableParagraph"/>
              <w:spacing w:line="247" w:lineRule="auto" w:before="19"/>
              <w:ind w:left="735" w:right="322" w:hanging="551"/>
              <w:rPr>
                <w:sz w:val="22"/>
              </w:rPr>
            </w:pPr>
            <w:r>
              <w:rPr>
                <w:sz w:val="22"/>
              </w:rPr>
              <w:t>（</w:t>
            </w:r>
            <w:r>
              <w:rPr>
                <w:rFonts w:ascii="Arial" w:eastAsia="Arial"/>
                <w:sz w:val="22"/>
              </w:rPr>
              <w:t>2</w:t>
            </w:r>
            <w:r>
              <w:rPr>
                <w:sz w:val="22"/>
              </w:rPr>
              <w:t>）被保险人运动功能严重障碍，自主生活能力完全丧失，无法独立完成六项基本日常生活活动中的三项或三项以上。</w:t>
            </w:r>
          </w:p>
        </w:tc>
      </w:tr>
      <w:tr>
        <w:trPr>
          <w:trHeight w:val="1163" w:hRule="atLeast"/>
        </w:trPr>
        <w:tc>
          <w:tcPr>
            <w:tcW w:w="1858" w:type="dxa"/>
          </w:tcPr>
          <w:p>
            <w:pPr>
              <w:pStyle w:val="TableParagraph"/>
              <w:spacing w:line="204" w:lineRule="auto" w:before="71"/>
              <w:ind w:left="619" w:right="182" w:hanging="420"/>
              <w:rPr>
                <w:rFonts w:ascii="Microsoft JhengHei" w:eastAsia="Microsoft JhengHei" w:hint="eastAsia"/>
                <w:b/>
                <w:sz w:val="21"/>
              </w:rPr>
            </w:pPr>
            <w:r>
              <w:rPr>
                <w:rFonts w:ascii="Microsoft JhengHei" w:eastAsia="Microsoft JhengHei" w:hint="eastAsia"/>
                <w:b/>
                <w:sz w:val="21"/>
              </w:rPr>
              <w:t>76. 多处臂丛神经根性撕脱</w:t>
            </w:r>
          </w:p>
        </w:tc>
        <w:tc>
          <w:tcPr>
            <w:tcW w:w="8195" w:type="dxa"/>
          </w:tcPr>
          <w:p>
            <w:pPr>
              <w:pStyle w:val="TableParagraph"/>
              <w:spacing w:line="242" w:lineRule="auto" w:before="93"/>
              <w:ind w:right="320"/>
              <w:jc w:val="both"/>
              <w:rPr>
                <w:rFonts w:ascii="黑体" w:eastAsia="黑体" w:hint="eastAsia"/>
                <w:sz w:val="24"/>
              </w:rPr>
            </w:pPr>
            <w:r>
              <w:rPr>
                <w:spacing w:val="-4"/>
                <w:sz w:val="22"/>
              </w:rPr>
              <w:t>由于疾病或意外导致至少两根臂丛神经根性撕脱，所造成的手臂感觉功能与运动</w:t>
            </w:r>
            <w:r>
              <w:rPr>
                <w:spacing w:val="-5"/>
                <w:sz w:val="22"/>
              </w:rPr>
              <w:t>功能完全永久性丧失。</w:t>
            </w:r>
            <w:r>
              <w:rPr>
                <w:rFonts w:ascii="黑体" w:eastAsia="黑体" w:hint="eastAsia"/>
                <w:spacing w:val="-2"/>
                <w:sz w:val="24"/>
              </w:rPr>
              <w:t>该病必须由本公司认可的医院的专科医</w:t>
            </w:r>
            <w:r>
              <w:rPr>
                <w:rFonts w:ascii="黑体" w:eastAsia="黑体" w:hint="eastAsia"/>
                <w:sz w:val="24"/>
              </w:rPr>
              <w:t>Th</w:t>
            </w:r>
            <w:r>
              <w:rPr>
                <w:rFonts w:ascii="黑体" w:eastAsia="黑体" w:hint="eastAsia"/>
                <w:spacing w:val="-5"/>
                <w:sz w:val="24"/>
              </w:rPr>
              <w:t>确诊，并且有完整的电Th理检查结果证实。</w:t>
            </w:r>
          </w:p>
        </w:tc>
      </w:tr>
      <w:tr>
        <w:trPr>
          <w:trHeight w:val="2420"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77. 严重瑞氏综合征</w:t>
            </w:r>
          </w:p>
        </w:tc>
        <w:tc>
          <w:tcPr>
            <w:tcW w:w="8195" w:type="dxa"/>
          </w:tcPr>
          <w:p>
            <w:pPr>
              <w:pStyle w:val="TableParagraph"/>
              <w:spacing w:line="254" w:lineRule="auto" w:before="93"/>
              <w:ind w:right="318"/>
              <w:jc w:val="both"/>
              <w:rPr>
                <w:sz w:val="22"/>
              </w:rPr>
            </w:pPr>
            <w:r>
              <w:rPr>
                <w:spacing w:val="-6"/>
                <w:sz w:val="22"/>
              </w:rPr>
              <w:t>瑞氏综合征</w:t>
            </w:r>
            <w:r>
              <w:rPr>
                <w:sz w:val="22"/>
              </w:rPr>
              <w:t>（</w:t>
            </w:r>
            <w:r>
              <w:rPr>
                <w:rFonts w:ascii="Arial" w:eastAsia="Arial"/>
                <w:sz w:val="22"/>
              </w:rPr>
              <w:t>Reye</w:t>
            </w:r>
            <w:r>
              <w:rPr>
                <w:spacing w:val="-2"/>
                <w:sz w:val="22"/>
              </w:rPr>
              <w:t>综合征</w:t>
            </w:r>
            <w:r>
              <w:rPr>
                <w:spacing w:val="-22"/>
                <w:sz w:val="22"/>
              </w:rPr>
              <w:t>）</w:t>
            </w:r>
            <w:r>
              <w:rPr>
                <w:spacing w:val="-6"/>
                <w:sz w:val="22"/>
              </w:rPr>
              <w:t>是线粒体功能障碍性疾病。导致脂肪代谢障碍，引起</w:t>
            </w:r>
            <w:r>
              <w:rPr>
                <w:spacing w:val="-5"/>
                <w:sz w:val="22"/>
              </w:rPr>
              <w:t>短链脂肪酸、血氨升高，造成脑水肿。主要临床表现为急性发热、反复呕吐、惊</w:t>
            </w:r>
            <w:r>
              <w:rPr>
                <w:spacing w:val="-6"/>
                <w:sz w:val="22"/>
              </w:rPr>
              <w:t>厥及意识障碍等等。肝脏活检是确诊的重要手段。瑞氏综合征需由三级医院的专</w:t>
            </w:r>
            <w:r>
              <w:rPr>
                <w:spacing w:val="-5"/>
                <w:sz w:val="22"/>
              </w:rPr>
              <w:t>科医生确诊，并满足下列所有条件：</w:t>
            </w:r>
          </w:p>
          <w:p>
            <w:pPr>
              <w:pStyle w:val="TableParagraph"/>
              <w:numPr>
                <w:ilvl w:val="0"/>
                <w:numId w:val="13"/>
              </w:numPr>
              <w:tabs>
                <w:tab w:pos="568" w:val="left" w:leader="none"/>
              </w:tabs>
              <w:spacing w:line="240" w:lineRule="auto" w:before="10" w:after="0"/>
              <w:ind w:left="567" w:right="0" w:hanging="382"/>
              <w:jc w:val="both"/>
              <w:rPr>
                <w:sz w:val="22"/>
              </w:rPr>
            </w:pPr>
            <w:r>
              <w:rPr>
                <w:spacing w:val="-3"/>
                <w:sz w:val="22"/>
              </w:rPr>
              <w:t>有脑水肿和颅内压升高的脑脊液检查和影像学检查证据；</w:t>
            </w:r>
          </w:p>
          <w:p>
            <w:pPr>
              <w:pStyle w:val="TableParagraph"/>
              <w:numPr>
                <w:ilvl w:val="0"/>
                <w:numId w:val="13"/>
              </w:numPr>
              <w:tabs>
                <w:tab w:pos="568" w:val="left" w:leader="none"/>
              </w:tabs>
              <w:spacing w:line="240" w:lineRule="auto" w:before="7" w:after="0"/>
              <w:ind w:left="567" w:right="0" w:hanging="382"/>
              <w:jc w:val="both"/>
              <w:rPr>
                <w:sz w:val="22"/>
              </w:rPr>
            </w:pPr>
            <w:r>
              <w:rPr>
                <w:spacing w:val="-3"/>
                <w:sz w:val="22"/>
              </w:rPr>
              <w:t>血氨超过正常值的</w:t>
            </w:r>
            <w:r>
              <w:rPr>
                <w:rFonts w:ascii="Arial" w:eastAsia="Arial"/>
                <w:spacing w:val="-3"/>
                <w:sz w:val="22"/>
              </w:rPr>
              <w:t>3</w:t>
            </w:r>
            <w:r>
              <w:rPr>
                <w:sz w:val="22"/>
              </w:rPr>
              <w:t>倍；</w:t>
            </w:r>
          </w:p>
          <w:p>
            <w:pPr>
              <w:pStyle w:val="TableParagraph"/>
              <w:numPr>
                <w:ilvl w:val="0"/>
                <w:numId w:val="13"/>
              </w:numPr>
              <w:tabs>
                <w:tab w:pos="568" w:val="left" w:leader="none"/>
              </w:tabs>
              <w:spacing w:line="240" w:lineRule="auto" w:before="7" w:after="0"/>
              <w:ind w:left="567" w:right="0" w:hanging="382"/>
              <w:jc w:val="both"/>
              <w:rPr>
                <w:sz w:val="22"/>
              </w:rPr>
            </w:pPr>
            <w:r>
              <w:rPr>
                <w:spacing w:val="-3"/>
                <w:sz w:val="22"/>
              </w:rPr>
              <w:t>临床出现昏迷，病程至少达到疾病分期第</w:t>
            </w:r>
            <w:r>
              <w:rPr>
                <w:rFonts w:ascii="Arial" w:eastAsia="Arial"/>
                <w:sz w:val="22"/>
              </w:rPr>
              <w:t>3</w:t>
            </w:r>
            <w:r>
              <w:rPr>
                <w:spacing w:val="-3"/>
                <w:sz w:val="22"/>
              </w:rPr>
              <w:t>期。</w:t>
            </w:r>
          </w:p>
        </w:tc>
      </w:tr>
      <w:tr>
        <w:trPr>
          <w:trHeight w:val="2718" w:hRule="atLeast"/>
        </w:trPr>
        <w:tc>
          <w:tcPr>
            <w:tcW w:w="1858" w:type="dxa"/>
          </w:tcPr>
          <w:p>
            <w:pPr>
              <w:pStyle w:val="TableParagraph"/>
              <w:spacing w:line="204" w:lineRule="auto" w:before="62"/>
              <w:ind w:left="619" w:right="182" w:hanging="420"/>
              <w:rPr>
                <w:rFonts w:ascii="Microsoft JhengHei" w:eastAsia="Microsoft JhengHei" w:hint="eastAsia"/>
                <w:b/>
                <w:sz w:val="21"/>
              </w:rPr>
            </w:pPr>
            <w:r>
              <w:rPr>
                <w:rFonts w:ascii="Microsoft JhengHei" w:eastAsia="Microsoft JhengHei" w:hint="eastAsia"/>
                <w:b/>
                <w:sz w:val="21"/>
              </w:rPr>
              <w:t>78. 溶血性尿毒综合征</w:t>
            </w:r>
          </w:p>
        </w:tc>
        <w:tc>
          <w:tcPr>
            <w:tcW w:w="8195" w:type="dxa"/>
          </w:tcPr>
          <w:p>
            <w:pPr>
              <w:pStyle w:val="TableParagraph"/>
              <w:spacing w:line="259" w:lineRule="auto" w:before="83"/>
              <w:ind w:right="317"/>
              <w:jc w:val="both"/>
              <w:rPr>
                <w:sz w:val="22"/>
              </w:rPr>
            </w:pPr>
            <w:r>
              <w:rPr>
                <w:spacing w:val="-5"/>
                <w:sz w:val="22"/>
              </w:rPr>
              <w:t>溶血性尿毒综合征，一种由于感染导致的急性综合征，引起红细胞溶血，肾功能</w:t>
            </w:r>
            <w:r>
              <w:rPr>
                <w:spacing w:val="-6"/>
                <w:sz w:val="22"/>
              </w:rPr>
              <w:t>衰竭及尿毒症。溶血尿毒综合症必须由血液和肾脏专科医师诊断，并且符合下列</w:t>
            </w:r>
            <w:r>
              <w:rPr>
                <w:spacing w:val="-5"/>
                <w:sz w:val="22"/>
              </w:rPr>
              <w:t>所有条件：</w:t>
            </w:r>
          </w:p>
          <w:p>
            <w:pPr>
              <w:pStyle w:val="TableParagraph"/>
              <w:numPr>
                <w:ilvl w:val="0"/>
                <w:numId w:val="14"/>
              </w:numPr>
              <w:tabs>
                <w:tab w:pos="568" w:val="left" w:leader="none"/>
              </w:tabs>
              <w:spacing w:line="240" w:lineRule="auto" w:before="5" w:after="0"/>
              <w:ind w:left="567" w:right="0" w:hanging="382"/>
              <w:jc w:val="left"/>
              <w:rPr>
                <w:sz w:val="22"/>
              </w:rPr>
            </w:pPr>
            <w:r>
              <w:rPr>
                <w:spacing w:val="-3"/>
                <w:sz w:val="22"/>
              </w:rPr>
              <w:t>实验室检查确认有溶血性贫血、血尿、尿毒症、血小板减少性紫癜；</w:t>
            </w:r>
          </w:p>
          <w:p>
            <w:pPr>
              <w:pStyle w:val="TableParagraph"/>
              <w:numPr>
                <w:ilvl w:val="0"/>
                <w:numId w:val="14"/>
              </w:numPr>
              <w:tabs>
                <w:tab w:pos="568" w:val="left" w:leader="none"/>
              </w:tabs>
              <w:spacing w:line="299" w:lineRule="exact" w:before="7" w:after="0"/>
              <w:ind w:left="567" w:right="0" w:hanging="382"/>
              <w:jc w:val="left"/>
              <w:rPr>
                <w:sz w:val="22"/>
              </w:rPr>
            </w:pPr>
            <w:r>
              <w:rPr>
                <w:spacing w:val="-3"/>
                <w:sz w:val="22"/>
              </w:rPr>
              <w:t>因肾脏功能衰竭实施了肾脏透析治疗。</w:t>
            </w:r>
          </w:p>
          <w:p>
            <w:pPr>
              <w:pStyle w:val="TableParagraph"/>
              <w:spacing w:line="237" w:lineRule="auto"/>
              <w:ind w:right="321"/>
              <w:jc w:val="both"/>
              <w:rPr>
                <w:rFonts w:ascii="黑体" w:eastAsia="黑体" w:hint="eastAsia"/>
                <w:sz w:val="24"/>
              </w:rPr>
            </w:pPr>
            <w:r>
              <w:rPr>
                <w:rFonts w:ascii="黑体" w:eastAsia="黑体" w:hint="eastAsia"/>
                <w:sz w:val="24"/>
              </w:rPr>
              <w:t>任何非因感染导致的溶血性贫血，如：自身免疫性溶血性贫血、与红细胞末缺陷有关的溶血性贫血、红细胞酶病、血红蛋白病等，不在本保单保障范围内。</w:t>
            </w:r>
          </w:p>
        </w:tc>
      </w:tr>
      <w:tr>
        <w:trPr>
          <w:trHeight w:val="2103" w:hRule="atLeast"/>
        </w:trPr>
        <w:tc>
          <w:tcPr>
            <w:tcW w:w="1858" w:type="dxa"/>
          </w:tcPr>
          <w:p>
            <w:pPr>
              <w:pStyle w:val="TableParagraph"/>
              <w:spacing w:before="12"/>
              <w:ind w:left="200"/>
              <w:rPr>
                <w:rFonts w:ascii="Microsoft JhengHei" w:eastAsia="Microsoft JhengHei" w:hint="eastAsia"/>
                <w:b/>
                <w:sz w:val="21"/>
              </w:rPr>
            </w:pPr>
            <w:r>
              <w:rPr>
                <w:rFonts w:ascii="Microsoft JhengHei" w:eastAsia="Microsoft JhengHei" w:hint="eastAsia"/>
                <w:b/>
                <w:sz w:val="21"/>
              </w:rPr>
              <w:t>79.  脊髓空洞症</w:t>
            </w:r>
          </w:p>
        </w:tc>
        <w:tc>
          <w:tcPr>
            <w:tcW w:w="8195" w:type="dxa"/>
          </w:tcPr>
          <w:p>
            <w:pPr>
              <w:pStyle w:val="TableParagraph"/>
              <w:spacing w:line="259" w:lineRule="auto" w:before="89"/>
              <w:ind w:right="316"/>
              <w:jc w:val="both"/>
              <w:rPr>
                <w:sz w:val="22"/>
              </w:rPr>
            </w:pPr>
            <w:r>
              <w:rPr>
                <w:spacing w:val="-5"/>
                <w:sz w:val="22"/>
              </w:rPr>
              <w:t>脊髓空洞症为慢性进行性的脊髓变性性疾病，其特征为脊髓内空洞形成。表现为</w:t>
            </w:r>
            <w:r>
              <w:rPr>
                <w:spacing w:val="-7"/>
                <w:sz w:val="22"/>
              </w:rPr>
              <w:t>感觉异常、肌萎缩及神经营养障碍。脊髓空洞症累及延髓称为延髓空洞症，表现</w:t>
            </w:r>
            <w:r>
              <w:rPr>
                <w:spacing w:val="1"/>
                <w:sz w:val="22"/>
              </w:rPr>
              <w:t>为延髓麻痹。脊髓空洞症必须明确诊断并且造成永久不可逆的神经系统功能障</w:t>
            </w:r>
            <w:r>
              <w:rPr>
                <w:spacing w:val="-3"/>
                <w:sz w:val="22"/>
              </w:rPr>
              <w:t>碍，存在持续至少</w:t>
            </w:r>
            <w:r>
              <w:rPr>
                <w:rFonts w:ascii="Arial" w:eastAsia="Arial"/>
                <w:sz w:val="22"/>
              </w:rPr>
              <w:t>180</w:t>
            </w:r>
            <w:r>
              <w:rPr>
                <w:spacing w:val="-3"/>
                <w:sz w:val="22"/>
              </w:rPr>
              <w:t>天以上的神经系统功能缺失并满足下列任一条件：</w:t>
            </w:r>
          </w:p>
          <w:p>
            <w:pPr>
              <w:pStyle w:val="TableParagraph"/>
              <w:spacing w:line="292" w:lineRule="exact"/>
              <w:jc w:val="both"/>
              <w:rPr>
                <w:sz w:val="22"/>
              </w:rPr>
            </w:pPr>
            <w:r>
              <w:rPr>
                <w:sz w:val="22"/>
              </w:rPr>
              <w:t>（</w:t>
            </w:r>
            <w:r>
              <w:rPr>
                <w:rFonts w:ascii="Arial" w:eastAsia="Arial"/>
                <w:sz w:val="22"/>
              </w:rPr>
              <w:t>1</w:t>
            </w:r>
            <w:r>
              <w:rPr>
                <w:sz w:val="22"/>
              </w:rPr>
              <w:t>）延髓麻痹呈现显著舌肌萎缩、构音困难和吞咽困难；或</w:t>
            </w:r>
          </w:p>
          <w:p>
            <w:pPr>
              <w:pStyle w:val="TableParagraph"/>
              <w:spacing w:before="8"/>
              <w:jc w:val="both"/>
              <w:rPr>
                <w:sz w:val="22"/>
              </w:rPr>
            </w:pPr>
            <w:r>
              <w:rPr>
                <w:sz w:val="22"/>
              </w:rPr>
              <w:t>（</w:t>
            </w:r>
            <w:r>
              <w:rPr>
                <w:rFonts w:ascii="Arial" w:hAnsi="Arial" w:eastAsia="Arial"/>
                <w:sz w:val="22"/>
              </w:rPr>
              <w:t>2</w:t>
            </w:r>
            <w:r>
              <w:rPr>
                <w:sz w:val="22"/>
              </w:rPr>
              <w:t>）双手萎缩呈</w:t>
            </w:r>
            <w:r>
              <w:rPr>
                <w:rFonts w:ascii="Arial" w:hAnsi="Arial" w:eastAsia="Arial"/>
                <w:sz w:val="22"/>
              </w:rPr>
              <w:t>“</w:t>
            </w:r>
            <w:r>
              <w:rPr>
                <w:sz w:val="22"/>
              </w:rPr>
              <w:t>爪形手</w:t>
            </w:r>
            <w:r>
              <w:rPr>
                <w:rFonts w:ascii="Arial" w:hAnsi="Arial" w:eastAsia="Arial"/>
                <w:sz w:val="22"/>
              </w:rPr>
              <w:t>”</w:t>
            </w:r>
            <w:r>
              <w:rPr>
                <w:sz w:val="22"/>
              </w:rPr>
              <w:t>，肌力</w:t>
            </w:r>
            <w:r>
              <w:rPr>
                <w:rFonts w:ascii="Arial" w:hAnsi="Arial" w:eastAsia="Arial"/>
                <w:sz w:val="22"/>
              </w:rPr>
              <w:t>2</w:t>
            </w:r>
            <w:r>
              <w:rPr>
                <w:sz w:val="22"/>
              </w:rPr>
              <w:t>级或以下。</w:t>
            </w:r>
          </w:p>
        </w:tc>
      </w:tr>
      <w:tr>
        <w:trPr>
          <w:trHeight w:val="1470" w:hRule="atLeast"/>
        </w:trPr>
        <w:tc>
          <w:tcPr>
            <w:tcW w:w="1858" w:type="dxa"/>
          </w:tcPr>
          <w:p>
            <w:pPr>
              <w:pStyle w:val="TableParagraph"/>
              <w:spacing w:line="204" w:lineRule="auto" w:before="62"/>
              <w:ind w:left="619" w:right="182" w:hanging="420"/>
              <w:jc w:val="both"/>
              <w:rPr>
                <w:rFonts w:ascii="Microsoft JhengHei" w:eastAsia="Microsoft JhengHei" w:hint="eastAsia"/>
                <w:b/>
                <w:sz w:val="21"/>
              </w:rPr>
            </w:pPr>
            <w:r>
              <w:rPr>
                <w:rFonts w:ascii="Microsoft JhengHei" w:eastAsia="Microsoft JhengHei" w:hint="eastAsia"/>
                <w:b/>
                <w:sz w:val="21"/>
              </w:rPr>
              <w:t>80. 细菌性脑脊髓膜炎后遗症</w:t>
            </w:r>
          </w:p>
        </w:tc>
        <w:tc>
          <w:tcPr>
            <w:tcW w:w="8195" w:type="dxa"/>
          </w:tcPr>
          <w:p>
            <w:pPr>
              <w:pStyle w:val="TableParagraph"/>
              <w:spacing w:before="83"/>
              <w:rPr>
                <w:sz w:val="22"/>
              </w:rPr>
            </w:pPr>
            <w:r>
              <w:rPr>
                <w:sz w:val="22"/>
              </w:rPr>
              <w:t>指因脑膜炎双球菌感染引起脑脊髓膜化脓性病变，且导致永久性神经损害，持续</w:t>
            </w:r>
          </w:p>
          <w:p>
            <w:pPr>
              <w:pStyle w:val="TableParagraph"/>
              <w:spacing w:line="254" w:lineRule="auto" w:before="23"/>
              <w:ind w:right="317"/>
              <w:jc w:val="both"/>
              <w:rPr>
                <w:sz w:val="22"/>
              </w:rPr>
            </w:pPr>
            <w:r>
              <w:rPr>
                <w:rFonts w:ascii="Arial" w:eastAsia="Arial"/>
                <w:sz w:val="22"/>
              </w:rPr>
              <w:t>90</w:t>
            </w:r>
            <w:r>
              <w:rPr>
                <w:spacing w:val="-6"/>
                <w:sz w:val="22"/>
              </w:rPr>
              <w:t>日以上，并且脑脊液检查显示脑膜炎双球菌阳性。永久性神经损害是指由细菌</w:t>
            </w:r>
            <w:r>
              <w:rPr>
                <w:spacing w:val="-5"/>
                <w:sz w:val="22"/>
              </w:rPr>
              <w:t>性脑脊髓膜炎引起的耳聋、失明、动眼神经麻痹、瘫痪、脑积水的损害，且上述症状持续</w:t>
            </w:r>
            <w:r>
              <w:rPr>
                <w:rFonts w:ascii="Arial" w:eastAsia="Arial"/>
                <w:spacing w:val="-5"/>
                <w:sz w:val="22"/>
              </w:rPr>
              <w:t>180</w:t>
            </w:r>
            <w:r>
              <w:rPr>
                <w:rFonts w:ascii="Arial" w:eastAsia="Arial"/>
                <w:spacing w:val="55"/>
                <w:sz w:val="22"/>
              </w:rPr>
              <w:t> </w:t>
            </w:r>
            <w:r>
              <w:rPr>
                <w:spacing w:val="-3"/>
                <w:sz w:val="22"/>
              </w:rPr>
              <w:t>天以上仍无改善迹象。</w:t>
            </w:r>
          </w:p>
        </w:tc>
      </w:tr>
      <w:tr>
        <w:trPr>
          <w:trHeight w:val="1788" w:hRule="atLeast"/>
        </w:trPr>
        <w:tc>
          <w:tcPr>
            <w:tcW w:w="1858" w:type="dxa"/>
          </w:tcPr>
          <w:p>
            <w:pPr>
              <w:pStyle w:val="TableParagraph"/>
              <w:spacing w:before="13"/>
              <w:ind w:left="200"/>
              <w:rPr>
                <w:rFonts w:ascii="Microsoft JhengHei" w:eastAsia="Microsoft JhengHei" w:hint="eastAsia"/>
                <w:b/>
                <w:sz w:val="21"/>
              </w:rPr>
            </w:pPr>
            <w:r>
              <w:rPr>
                <w:rFonts w:ascii="Microsoft JhengHei" w:eastAsia="Microsoft JhengHei" w:hint="eastAsia"/>
                <w:b/>
                <w:sz w:val="21"/>
              </w:rPr>
              <w:t>81.  严重癫痫</w:t>
            </w:r>
          </w:p>
        </w:tc>
        <w:tc>
          <w:tcPr>
            <w:tcW w:w="8195" w:type="dxa"/>
          </w:tcPr>
          <w:p>
            <w:pPr>
              <w:pStyle w:val="TableParagraph"/>
              <w:spacing w:before="90"/>
              <w:rPr>
                <w:sz w:val="22"/>
              </w:rPr>
            </w:pPr>
            <w:r>
              <w:rPr>
                <w:spacing w:val="-2"/>
                <w:sz w:val="22"/>
              </w:rPr>
              <w:t>本病的诊断须由神经科或儿科专科医生根据典型临床症状和脑电图及</w:t>
            </w:r>
            <w:r>
              <w:rPr>
                <w:rFonts w:ascii="Arial" w:eastAsia="Arial"/>
                <w:spacing w:val="-2"/>
                <w:sz w:val="22"/>
              </w:rPr>
              <w:t>MRI</w:t>
            </w:r>
            <w:r>
              <w:rPr>
                <w:spacing w:val="-111"/>
                <w:sz w:val="22"/>
              </w:rPr>
              <w:t>、</w:t>
            </w:r>
            <w:r>
              <w:rPr>
                <w:rFonts w:ascii="Arial" w:eastAsia="Arial"/>
                <w:sz w:val="22"/>
              </w:rPr>
              <w:t>PET</w:t>
            </w:r>
            <w:r>
              <w:rPr>
                <w:sz w:val="22"/>
              </w:rPr>
              <w:t>、</w:t>
            </w:r>
          </w:p>
          <w:p>
            <w:pPr>
              <w:pStyle w:val="TableParagraph"/>
              <w:spacing w:line="254" w:lineRule="auto" w:before="8"/>
              <w:ind w:right="314"/>
              <w:jc w:val="both"/>
              <w:rPr>
                <w:sz w:val="22"/>
              </w:rPr>
            </w:pPr>
            <w:r>
              <w:rPr>
                <w:rFonts w:ascii="Arial" w:eastAsia="Arial"/>
                <w:sz w:val="22"/>
              </w:rPr>
              <w:t>CT </w:t>
            </w:r>
            <w:r>
              <w:rPr>
                <w:spacing w:val="-6"/>
                <w:sz w:val="22"/>
              </w:rPr>
              <w:t>等影相学检查做出。理赔时必须提供 </w:t>
            </w:r>
            <w:r>
              <w:rPr>
                <w:rFonts w:ascii="Arial" w:eastAsia="Arial"/>
                <w:sz w:val="22"/>
              </w:rPr>
              <w:t>6 </w:t>
            </w:r>
            <w:r>
              <w:rPr>
                <w:spacing w:val="-6"/>
                <w:sz w:val="22"/>
              </w:rPr>
              <w:t>个月内发作三次及以上和 </w:t>
            </w:r>
            <w:r>
              <w:rPr>
                <w:rFonts w:ascii="Arial" w:eastAsia="Arial"/>
                <w:sz w:val="22"/>
              </w:rPr>
              <w:t>6 </w:t>
            </w:r>
            <w:r>
              <w:rPr>
                <w:spacing w:val="-2"/>
                <w:sz w:val="22"/>
              </w:rPr>
              <w:t>个月以上</w:t>
            </w:r>
            <w:r>
              <w:rPr>
                <w:spacing w:val="1"/>
                <w:sz w:val="22"/>
              </w:rPr>
              <w:t>的相关病历记录证明被保险人存在经抗癫痫药物治疗无效而反复发作的强直阵</w:t>
            </w:r>
            <w:r>
              <w:rPr>
                <w:spacing w:val="-3"/>
                <w:sz w:val="22"/>
              </w:rPr>
              <w:t>挛性发作或癫痫大发作，或者已行神经外科手术以治疗反复发作的癫痫。</w:t>
            </w:r>
          </w:p>
          <w:p>
            <w:pPr>
              <w:pStyle w:val="TableParagraph"/>
              <w:spacing w:line="306" w:lineRule="exact"/>
              <w:jc w:val="both"/>
              <w:rPr>
                <w:rFonts w:ascii="黑体" w:eastAsia="黑体" w:hint="eastAsia"/>
                <w:sz w:val="24"/>
              </w:rPr>
            </w:pPr>
            <w:r>
              <w:rPr>
                <w:rFonts w:ascii="黑体" w:eastAsia="黑体" w:hint="eastAsia"/>
                <w:spacing w:val="-4"/>
                <w:sz w:val="24"/>
              </w:rPr>
              <w:t>热性惊厥或没有全身性发作的失神发作</w:t>
            </w:r>
            <w:r>
              <w:rPr>
                <w:rFonts w:ascii="黑体" w:eastAsia="黑体" w:hint="eastAsia"/>
                <w:sz w:val="24"/>
              </w:rPr>
              <w:t>（癫痫小发作</w:t>
            </w:r>
            <w:r>
              <w:rPr>
                <w:rFonts w:ascii="黑体" w:eastAsia="黑体" w:hint="eastAsia"/>
                <w:spacing w:val="-56"/>
                <w:sz w:val="24"/>
              </w:rPr>
              <w:t>）</w:t>
            </w:r>
            <w:r>
              <w:rPr>
                <w:rFonts w:ascii="黑体" w:eastAsia="黑体" w:hint="eastAsia"/>
                <w:sz w:val="24"/>
              </w:rPr>
              <w:t>不在保障范围之内。</w:t>
            </w:r>
          </w:p>
        </w:tc>
      </w:tr>
      <w:tr>
        <w:trPr>
          <w:trHeight w:val="1328"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82. 严重强直性脊柱炎</w:t>
            </w:r>
          </w:p>
        </w:tc>
        <w:tc>
          <w:tcPr>
            <w:tcW w:w="8195" w:type="dxa"/>
          </w:tcPr>
          <w:p>
            <w:pPr>
              <w:pStyle w:val="TableParagraph"/>
              <w:spacing w:line="259" w:lineRule="auto" w:before="89"/>
              <w:ind w:right="289"/>
              <w:rPr>
                <w:sz w:val="22"/>
              </w:rPr>
            </w:pPr>
            <w:r>
              <w:rPr>
                <w:sz w:val="22"/>
              </w:rPr>
              <w:t>强直性脊柱炎是一种慢性全身性炎性疾病，主要侵犯脊柱导致脊柱畸形。强直性脊柱炎必须明确诊断并且满足下列所有条件：</w:t>
            </w:r>
          </w:p>
          <w:p>
            <w:pPr>
              <w:pStyle w:val="TableParagraph"/>
              <w:spacing w:before="6"/>
              <w:rPr>
                <w:sz w:val="22"/>
              </w:rPr>
            </w:pPr>
            <w:r>
              <w:rPr>
                <w:sz w:val="22"/>
              </w:rPr>
              <w:t>（</w:t>
            </w:r>
            <w:r>
              <w:rPr>
                <w:rFonts w:ascii="Arial" w:eastAsia="Arial"/>
                <w:sz w:val="22"/>
              </w:rPr>
              <w:t>1</w:t>
            </w:r>
            <w:r>
              <w:rPr>
                <w:sz w:val="22"/>
              </w:rPr>
              <w:t>）严重脊柱畸形；</w:t>
            </w:r>
          </w:p>
          <w:p>
            <w:pPr>
              <w:pStyle w:val="TableParagraph"/>
              <w:spacing w:line="284" w:lineRule="exact" w:before="8"/>
              <w:rPr>
                <w:sz w:val="22"/>
              </w:rPr>
            </w:pPr>
            <w:r>
              <w:rPr>
                <w:sz w:val="22"/>
              </w:rPr>
              <w:t>（</w:t>
            </w:r>
            <w:r>
              <w:rPr>
                <w:rFonts w:ascii="Arial" w:eastAsia="Arial"/>
                <w:sz w:val="22"/>
              </w:rPr>
              <w:t>2</w:t>
            </w:r>
            <w:r>
              <w:rPr>
                <w:sz w:val="22"/>
              </w:rPr>
              <w:t>）自主生活能力完全丧失，无法独立完成六项基本日常生活活动中的三项或</w:t>
            </w:r>
          </w:p>
        </w:tc>
      </w:tr>
    </w:tbl>
    <w:p>
      <w:pPr>
        <w:spacing w:after="0" w:line="284" w:lineRule="exact"/>
        <w:rPr>
          <w:sz w:val="22"/>
        </w:rPr>
        <w:sectPr>
          <w:pgSz w:w="11910" w:h="16840"/>
          <w:pgMar w:header="0" w:footer="593" w:top="1140" w:bottom="7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92"/>
      </w:tblGrid>
      <w:tr>
        <w:trPr>
          <w:trHeight w:val="380" w:hRule="atLeast"/>
        </w:trPr>
        <w:tc>
          <w:tcPr>
            <w:tcW w:w="1858" w:type="dxa"/>
          </w:tcPr>
          <w:p>
            <w:pPr>
              <w:pStyle w:val="TableParagraph"/>
              <w:ind w:left="0"/>
              <w:rPr>
                <w:rFonts w:ascii="Times New Roman"/>
                <w:sz w:val="22"/>
              </w:rPr>
            </w:pPr>
          </w:p>
        </w:tc>
        <w:tc>
          <w:tcPr>
            <w:tcW w:w="8192" w:type="dxa"/>
          </w:tcPr>
          <w:p>
            <w:pPr>
              <w:pStyle w:val="TableParagraph"/>
              <w:spacing w:line="221" w:lineRule="exact"/>
              <w:ind w:left="735"/>
              <w:rPr>
                <w:sz w:val="22"/>
              </w:rPr>
            </w:pPr>
            <w:r>
              <w:rPr>
                <w:sz w:val="22"/>
              </w:rPr>
              <w:t>三项以上。</w:t>
            </w:r>
          </w:p>
        </w:tc>
      </w:tr>
      <w:tr>
        <w:trPr>
          <w:trHeight w:val="855" w:hRule="atLeast"/>
        </w:trPr>
        <w:tc>
          <w:tcPr>
            <w:tcW w:w="1858"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83.  小肠移植</w:t>
            </w:r>
          </w:p>
        </w:tc>
        <w:tc>
          <w:tcPr>
            <w:tcW w:w="8192" w:type="dxa"/>
          </w:tcPr>
          <w:p>
            <w:pPr>
              <w:pStyle w:val="TableParagraph"/>
              <w:spacing w:line="244" w:lineRule="auto" w:before="93"/>
              <w:ind w:right="317"/>
              <w:rPr>
                <w:rFonts w:ascii="黑体" w:eastAsia="黑体" w:hint="eastAsia"/>
                <w:sz w:val="24"/>
              </w:rPr>
            </w:pPr>
            <w:r>
              <w:rPr>
                <w:sz w:val="22"/>
              </w:rPr>
              <w:t>指因肠道疾病或外伤，已经实施了在全身麻醉下进行的小肠的异体器官移植手术。</w:t>
            </w:r>
            <w:r>
              <w:rPr>
                <w:rFonts w:ascii="黑体" w:eastAsia="黑体" w:hint="eastAsia"/>
                <w:sz w:val="24"/>
              </w:rPr>
              <w:t>此手术必须由专科医Th认为是医学上必需的情况下进行。</w:t>
            </w:r>
          </w:p>
        </w:tc>
      </w:tr>
      <w:tr>
        <w:trPr>
          <w:trHeight w:val="4283" w:hRule="atLeast"/>
        </w:trPr>
        <w:tc>
          <w:tcPr>
            <w:tcW w:w="1858" w:type="dxa"/>
          </w:tcPr>
          <w:p>
            <w:pPr>
              <w:pStyle w:val="TableParagraph"/>
              <w:spacing w:line="204" w:lineRule="auto" w:before="67"/>
              <w:ind w:left="619" w:right="182" w:hanging="420"/>
              <w:jc w:val="both"/>
              <w:rPr>
                <w:rFonts w:ascii="Microsoft JhengHei" w:eastAsia="Microsoft JhengHei" w:hint="eastAsia"/>
                <w:b/>
                <w:sz w:val="21"/>
              </w:rPr>
            </w:pPr>
            <w:r>
              <w:rPr>
                <w:rFonts w:ascii="Microsoft JhengHei" w:eastAsia="Microsoft JhengHei" w:hint="eastAsia"/>
                <w:b/>
                <w:sz w:val="21"/>
              </w:rPr>
              <w:t>84. 败血症导致的多器官功能障碍综合症</w:t>
            </w:r>
          </w:p>
        </w:tc>
        <w:tc>
          <w:tcPr>
            <w:tcW w:w="8192" w:type="dxa"/>
          </w:tcPr>
          <w:p>
            <w:pPr>
              <w:pStyle w:val="TableParagraph"/>
              <w:spacing w:line="259" w:lineRule="auto" w:before="89"/>
              <w:ind w:right="289"/>
              <w:rPr>
                <w:sz w:val="22"/>
              </w:rPr>
            </w:pPr>
            <w:r>
              <w:rPr>
                <w:sz w:val="22"/>
              </w:rPr>
              <w:t>多器官功能障碍指败血症导致的并发症，一个或多个器官系统生理功能障碍，因该疾病住院至少 </w:t>
            </w:r>
            <w:r>
              <w:rPr>
                <w:rFonts w:ascii="Arial" w:eastAsia="Arial"/>
                <w:sz w:val="22"/>
              </w:rPr>
              <w:t>96 </w:t>
            </w:r>
            <w:r>
              <w:rPr>
                <w:sz w:val="22"/>
              </w:rPr>
              <w:t>小时，并至少满足以下一条标准：</w:t>
            </w:r>
          </w:p>
          <w:p>
            <w:pPr>
              <w:pStyle w:val="TableParagraph"/>
              <w:spacing w:line="292" w:lineRule="exact"/>
              <w:rPr>
                <w:sz w:val="22"/>
              </w:rPr>
            </w:pPr>
            <w:r>
              <w:rPr>
                <w:sz w:val="22"/>
              </w:rPr>
              <w:t>（</w:t>
            </w:r>
            <w:r>
              <w:rPr>
                <w:rFonts w:ascii="Arial" w:eastAsia="Arial"/>
                <w:sz w:val="22"/>
              </w:rPr>
              <w:t>1</w:t>
            </w:r>
            <w:r>
              <w:rPr>
                <w:sz w:val="22"/>
              </w:rPr>
              <w:t>）呼吸衰竭，需要进行气管插管机械通气；</w:t>
            </w:r>
          </w:p>
          <w:p>
            <w:pPr>
              <w:pStyle w:val="TableParagraph"/>
              <w:spacing w:before="8"/>
              <w:rPr>
                <w:sz w:val="22"/>
              </w:rPr>
            </w:pPr>
            <w:r>
              <w:rPr>
                <w:sz w:val="22"/>
              </w:rPr>
              <w:t>（</w:t>
            </w:r>
            <w:r>
              <w:rPr>
                <w:rFonts w:ascii="Arial" w:hAnsi="Arial" w:eastAsia="Arial"/>
                <w:sz w:val="22"/>
              </w:rPr>
              <w:t>2</w:t>
            </w:r>
            <w:r>
              <w:rPr>
                <w:sz w:val="22"/>
              </w:rPr>
              <w:t>）凝血血小板计数</w:t>
            </w:r>
            <w:r>
              <w:rPr>
                <w:rFonts w:ascii="Arial" w:hAnsi="Arial" w:eastAsia="Arial"/>
                <w:sz w:val="22"/>
              </w:rPr>
              <w:t>&lt;50x10</w:t>
            </w:r>
            <w:r>
              <w:rPr>
                <w:sz w:val="22"/>
              </w:rPr>
              <w:t>³</w:t>
            </w:r>
            <w:r>
              <w:rPr>
                <w:rFonts w:ascii="Arial" w:hAnsi="Arial" w:eastAsia="Arial"/>
                <w:sz w:val="22"/>
              </w:rPr>
              <w:t>/</w:t>
            </w:r>
            <w:r>
              <w:rPr>
                <w:sz w:val="22"/>
              </w:rPr>
              <w:t>微升；</w:t>
            </w:r>
          </w:p>
          <w:p>
            <w:pPr>
              <w:pStyle w:val="TableParagraph"/>
              <w:spacing w:before="8"/>
              <w:rPr>
                <w:sz w:val="22"/>
              </w:rPr>
            </w:pPr>
            <w:r>
              <w:rPr>
                <w:sz w:val="22"/>
              </w:rPr>
              <w:t>（</w:t>
            </w:r>
            <w:r>
              <w:rPr>
                <w:rFonts w:ascii="Arial" w:hAnsi="Arial" w:eastAsia="Arial"/>
                <w:sz w:val="22"/>
              </w:rPr>
              <w:t>3</w:t>
            </w:r>
            <w:r>
              <w:rPr>
                <w:sz w:val="22"/>
              </w:rPr>
              <w:t>）肝功能不全，胆红素</w:t>
            </w:r>
            <w:r>
              <w:rPr>
                <w:rFonts w:ascii="Arial" w:hAnsi="Arial" w:eastAsia="Arial"/>
                <w:sz w:val="22"/>
              </w:rPr>
              <w:t>&gt; 6mg/ dl </w:t>
            </w:r>
            <w:r>
              <w:rPr>
                <w:sz w:val="22"/>
              </w:rPr>
              <w:t>或</w:t>
            </w:r>
            <w:r>
              <w:rPr>
                <w:rFonts w:ascii="Arial" w:hAnsi="Arial" w:eastAsia="Arial"/>
                <w:sz w:val="22"/>
              </w:rPr>
              <w:t>&gt; 102µmol/L</w:t>
            </w:r>
            <w:r>
              <w:rPr>
                <w:sz w:val="22"/>
              </w:rPr>
              <w:t>；</w:t>
            </w:r>
          </w:p>
          <w:p>
            <w:pPr>
              <w:pStyle w:val="TableParagraph"/>
              <w:spacing w:before="8"/>
              <w:rPr>
                <w:sz w:val="22"/>
              </w:rPr>
            </w:pPr>
            <w:r>
              <w:rPr>
                <w:sz w:val="22"/>
              </w:rPr>
              <w:t>（</w:t>
            </w:r>
            <w:r>
              <w:rPr>
                <w:rFonts w:ascii="Arial" w:eastAsia="Arial"/>
                <w:sz w:val="22"/>
              </w:rPr>
              <w:t>4</w:t>
            </w:r>
            <w:r>
              <w:rPr>
                <w:sz w:val="22"/>
              </w:rPr>
              <w:t>）需要用强心剂；</w:t>
            </w:r>
          </w:p>
          <w:p>
            <w:pPr>
              <w:pStyle w:val="TableParagraph"/>
              <w:spacing w:before="8"/>
              <w:rPr>
                <w:sz w:val="22"/>
              </w:rPr>
            </w:pPr>
            <w:r>
              <w:rPr>
                <w:sz w:val="22"/>
              </w:rPr>
              <w:t>（</w:t>
            </w:r>
            <w:r>
              <w:rPr>
                <w:rFonts w:ascii="Arial" w:eastAsia="Arial"/>
                <w:sz w:val="22"/>
              </w:rPr>
              <w:t>5</w:t>
            </w:r>
            <w:r>
              <w:rPr>
                <w:sz w:val="22"/>
              </w:rPr>
              <w:t>）昏迷格拉斯哥昏迷评分（</w:t>
            </w:r>
            <w:r>
              <w:rPr>
                <w:rFonts w:ascii="Arial" w:eastAsia="Arial"/>
                <w:sz w:val="22"/>
              </w:rPr>
              <w:t>GCS</w:t>
            </w:r>
            <w:r>
              <w:rPr>
                <w:sz w:val="22"/>
              </w:rPr>
              <w:t>）</w:t>
            </w:r>
            <w:r>
              <w:rPr>
                <w:rFonts w:ascii="Arial" w:eastAsia="Arial"/>
                <w:sz w:val="22"/>
              </w:rPr>
              <w:t>&lt;= 9</w:t>
            </w:r>
            <w:r>
              <w:rPr>
                <w:sz w:val="22"/>
              </w:rPr>
              <w:t>；</w:t>
            </w:r>
          </w:p>
          <w:p>
            <w:pPr>
              <w:pStyle w:val="TableParagraph"/>
              <w:spacing w:before="8"/>
              <w:rPr>
                <w:sz w:val="22"/>
              </w:rPr>
            </w:pPr>
            <w:r>
              <w:rPr>
                <w:sz w:val="22"/>
              </w:rPr>
              <w:t>（</w:t>
            </w:r>
            <w:r>
              <w:rPr>
                <w:rFonts w:ascii="Arial" w:hAnsi="Arial" w:eastAsia="Arial"/>
                <w:sz w:val="22"/>
              </w:rPr>
              <w:t>6</w:t>
            </w:r>
            <w:r>
              <w:rPr>
                <w:sz w:val="22"/>
              </w:rPr>
              <w:t>）肾功能衰竭，血清肌酐</w:t>
            </w:r>
            <w:r>
              <w:rPr>
                <w:rFonts w:ascii="Arial" w:hAnsi="Arial" w:eastAsia="Arial"/>
                <w:sz w:val="22"/>
              </w:rPr>
              <w:t>&gt;300μ mol/ L </w:t>
            </w:r>
            <w:r>
              <w:rPr>
                <w:sz w:val="22"/>
              </w:rPr>
              <w:t>或</w:t>
            </w:r>
            <w:r>
              <w:rPr>
                <w:rFonts w:ascii="Arial" w:hAnsi="Arial" w:eastAsia="Arial"/>
                <w:sz w:val="22"/>
              </w:rPr>
              <w:t>&gt;</w:t>
            </w:r>
            <w:r>
              <w:rPr>
                <w:sz w:val="22"/>
              </w:rPr>
              <w:t>为 </w:t>
            </w:r>
            <w:r>
              <w:rPr>
                <w:rFonts w:ascii="Arial" w:hAnsi="Arial" w:eastAsia="Arial"/>
                <w:sz w:val="22"/>
              </w:rPr>
              <w:t>3.5mg / dl </w:t>
            </w:r>
            <w:r>
              <w:rPr>
                <w:sz w:val="22"/>
              </w:rPr>
              <w:t>或尿量</w:t>
            </w:r>
            <w:r>
              <w:rPr>
                <w:rFonts w:ascii="Arial" w:hAnsi="Arial" w:eastAsia="Arial"/>
                <w:sz w:val="22"/>
              </w:rPr>
              <w:t>&lt;500ml/d</w:t>
            </w:r>
            <w:r>
              <w:rPr>
                <w:sz w:val="22"/>
              </w:rPr>
              <w:t>；</w:t>
            </w:r>
          </w:p>
          <w:p>
            <w:pPr>
              <w:pStyle w:val="TableParagraph"/>
              <w:spacing w:before="8"/>
              <w:rPr>
                <w:sz w:val="22"/>
              </w:rPr>
            </w:pPr>
            <w:r>
              <w:rPr>
                <w:sz w:val="22"/>
              </w:rPr>
              <w:t>（</w:t>
            </w:r>
            <w:r>
              <w:rPr>
                <w:rFonts w:ascii="Arial" w:eastAsia="Arial"/>
                <w:sz w:val="22"/>
              </w:rPr>
              <w:t>7</w:t>
            </w:r>
            <w:r>
              <w:rPr>
                <w:sz w:val="22"/>
              </w:rPr>
              <w:t>）败血症有血液和影像学检查证实；</w:t>
            </w:r>
          </w:p>
          <w:p>
            <w:pPr>
              <w:pStyle w:val="TableParagraph"/>
              <w:spacing w:before="8"/>
              <w:rPr>
                <w:sz w:val="22"/>
              </w:rPr>
            </w:pPr>
            <w:r>
              <w:rPr>
                <w:sz w:val="22"/>
              </w:rPr>
              <w:t>（</w:t>
            </w:r>
            <w:r>
              <w:rPr>
                <w:rFonts w:ascii="Arial" w:eastAsia="Arial"/>
                <w:sz w:val="22"/>
              </w:rPr>
              <w:t>8</w:t>
            </w:r>
            <w:r>
              <w:rPr>
                <w:sz w:val="22"/>
              </w:rPr>
              <w:t>）住院重症监护病房最低 </w:t>
            </w:r>
            <w:r>
              <w:rPr>
                <w:rFonts w:ascii="Arial" w:eastAsia="Arial"/>
                <w:sz w:val="22"/>
              </w:rPr>
              <w:t>96 </w:t>
            </w:r>
            <w:r>
              <w:rPr>
                <w:sz w:val="22"/>
              </w:rPr>
              <w:t>小时；</w:t>
            </w:r>
          </w:p>
          <w:p>
            <w:pPr>
              <w:pStyle w:val="TableParagraph"/>
              <w:spacing w:line="299" w:lineRule="exact" w:before="8"/>
              <w:rPr>
                <w:sz w:val="22"/>
              </w:rPr>
            </w:pPr>
            <w:r>
              <w:rPr>
                <w:sz w:val="22"/>
              </w:rPr>
              <w:t>（</w:t>
            </w:r>
            <w:r>
              <w:rPr>
                <w:rFonts w:ascii="Arial" w:eastAsia="Arial"/>
                <w:sz w:val="22"/>
              </w:rPr>
              <w:t>9</w:t>
            </w:r>
            <w:r>
              <w:rPr>
                <w:sz w:val="22"/>
              </w:rPr>
              <w:t>）器官功能障碍维持至少 </w:t>
            </w:r>
            <w:r>
              <w:rPr>
                <w:rFonts w:ascii="Arial" w:eastAsia="Arial"/>
                <w:sz w:val="22"/>
              </w:rPr>
              <w:t>15 </w:t>
            </w:r>
            <w:r>
              <w:rPr>
                <w:sz w:val="22"/>
              </w:rPr>
              <w:t>天。</w:t>
            </w:r>
          </w:p>
          <w:p>
            <w:pPr>
              <w:pStyle w:val="TableParagraph"/>
              <w:spacing w:line="237" w:lineRule="auto"/>
              <w:ind w:right="313"/>
              <w:rPr>
                <w:rFonts w:ascii="黑体" w:eastAsia="黑体" w:hint="eastAsia"/>
                <w:sz w:val="24"/>
              </w:rPr>
            </w:pPr>
            <w:r>
              <w:rPr>
                <w:rFonts w:ascii="黑体" w:eastAsia="黑体" w:hint="eastAsia"/>
                <w:spacing w:val="-9"/>
                <w:sz w:val="24"/>
              </w:rPr>
              <w:t>败血症引起的 </w:t>
            </w:r>
            <w:r>
              <w:rPr>
                <w:rFonts w:ascii="黑体" w:eastAsia="黑体" w:hint="eastAsia"/>
                <w:sz w:val="24"/>
              </w:rPr>
              <w:t>MODS</w:t>
            </w:r>
            <w:r>
              <w:rPr>
                <w:rFonts w:ascii="黑体" w:eastAsia="黑体" w:hint="eastAsia"/>
                <w:spacing w:val="-8"/>
                <w:sz w:val="24"/>
              </w:rPr>
              <w:t> 的诊断应由专科医</w:t>
            </w:r>
            <w:r>
              <w:rPr>
                <w:rFonts w:ascii="黑体" w:eastAsia="黑体" w:hint="eastAsia"/>
                <w:sz w:val="24"/>
              </w:rPr>
              <w:t>Th</w:t>
            </w:r>
            <w:r>
              <w:rPr>
                <w:rFonts w:ascii="黑体" w:eastAsia="黑体" w:hint="eastAsia"/>
                <w:spacing w:val="-6"/>
                <w:sz w:val="24"/>
              </w:rPr>
              <w:t>证实。非败血症引起的 </w:t>
            </w:r>
            <w:r>
              <w:rPr>
                <w:rFonts w:ascii="黑体" w:eastAsia="黑体" w:hint="eastAsia"/>
                <w:sz w:val="24"/>
              </w:rPr>
              <w:t>MODS</w:t>
            </w:r>
            <w:r>
              <w:rPr>
                <w:rFonts w:ascii="黑体" w:eastAsia="黑体" w:hint="eastAsia"/>
                <w:spacing w:val="-20"/>
                <w:sz w:val="24"/>
              </w:rPr>
              <w:t> 不在保障范围内</w:t>
            </w:r>
          </w:p>
        </w:tc>
      </w:tr>
      <w:tr>
        <w:trPr>
          <w:trHeight w:val="1474" w:hRule="atLeast"/>
        </w:trPr>
        <w:tc>
          <w:tcPr>
            <w:tcW w:w="1858" w:type="dxa"/>
          </w:tcPr>
          <w:p>
            <w:pPr>
              <w:pStyle w:val="TableParagraph"/>
              <w:spacing w:line="204" w:lineRule="auto" w:before="66"/>
              <w:ind w:left="619" w:right="182" w:hanging="420"/>
              <w:rPr>
                <w:rFonts w:ascii="Microsoft JhengHei" w:eastAsia="Microsoft JhengHei" w:hint="eastAsia"/>
                <w:b/>
                <w:sz w:val="21"/>
              </w:rPr>
            </w:pPr>
            <w:r>
              <w:rPr>
                <w:rFonts w:ascii="Microsoft JhengHei" w:eastAsia="Microsoft JhengHei" w:hint="eastAsia"/>
                <w:b/>
                <w:sz w:val="21"/>
              </w:rPr>
              <w:t>85. 自体造血干细胞移植</w:t>
            </w:r>
          </w:p>
        </w:tc>
        <w:tc>
          <w:tcPr>
            <w:tcW w:w="8192" w:type="dxa"/>
          </w:tcPr>
          <w:p>
            <w:pPr>
              <w:pStyle w:val="TableParagraph"/>
              <w:spacing w:line="259" w:lineRule="auto" w:before="88"/>
              <w:ind w:right="315"/>
              <w:jc w:val="both"/>
              <w:rPr>
                <w:sz w:val="22"/>
              </w:rPr>
            </w:pPr>
            <w:r>
              <w:rPr>
                <w:spacing w:val="-4"/>
                <w:sz w:val="22"/>
              </w:rPr>
              <w:t>指由于患者自身骨髓造血功能异常或为了达到治疗肿瘤的目的，采集患者自己的</w:t>
            </w:r>
            <w:r>
              <w:rPr>
                <w:spacing w:val="-6"/>
                <w:sz w:val="22"/>
              </w:rPr>
              <w:t>一部分造血干细胞，分离并深低温保存，再回输给患者使患者的造血功能和免疫</w:t>
            </w:r>
            <w:r>
              <w:rPr>
                <w:spacing w:val="-5"/>
                <w:sz w:val="22"/>
              </w:rPr>
              <w:t>功能重新恢复的一种治疗方法。</w:t>
            </w:r>
          </w:p>
          <w:p>
            <w:pPr>
              <w:pStyle w:val="TableParagraph"/>
              <w:spacing w:line="302" w:lineRule="exact"/>
              <w:jc w:val="both"/>
              <w:rPr>
                <w:rFonts w:ascii="黑体" w:eastAsia="黑体" w:hint="eastAsia"/>
                <w:sz w:val="24"/>
              </w:rPr>
            </w:pPr>
            <w:r>
              <w:rPr>
                <w:rFonts w:ascii="黑体" w:eastAsia="黑体" w:hint="eastAsia"/>
                <w:sz w:val="24"/>
              </w:rPr>
              <w:t>此治疗必须由通过认可的专科医Th认为是医学上必需的情况下进行。</w:t>
            </w:r>
          </w:p>
        </w:tc>
      </w:tr>
      <w:tr>
        <w:trPr>
          <w:trHeight w:val="1163"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86. 弥漫性血管内凝血</w:t>
            </w:r>
          </w:p>
        </w:tc>
        <w:tc>
          <w:tcPr>
            <w:tcW w:w="8192" w:type="dxa"/>
          </w:tcPr>
          <w:p>
            <w:pPr>
              <w:pStyle w:val="TableParagraph"/>
              <w:spacing w:line="261" w:lineRule="auto" w:before="89"/>
              <w:ind w:right="271"/>
              <w:rPr>
                <w:sz w:val="22"/>
              </w:rPr>
            </w:pPr>
            <w:r>
              <w:rPr>
                <w:sz w:val="22"/>
              </w:rPr>
              <w:t>指血液凝固系统和纤溶系统的过度活动导致微血管血栓形成、血小板及凝血因子耗竭和严重出血，需要输注血浆和浓缩血小板进行治疗</w:t>
            </w:r>
            <w:r>
              <w:rPr>
                <w:rFonts w:ascii="Arial" w:eastAsia="Arial"/>
                <w:sz w:val="22"/>
              </w:rPr>
              <w:t>,</w:t>
            </w:r>
            <w:r>
              <w:rPr>
                <w:sz w:val="22"/>
              </w:rPr>
              <w:t>。</w:t>
            </w:r>
          </w:p>
          <w:p>
            <w:pPr>
              <w:pStyle w:val="TableParagraph"/>
              <w:spacing w:line="282" w:lineRule="exact"/>
              <w:rPr>
                <w:rFonts w:ascii="黑体" w:eastAsia="黑体" w:hint="eastAsia"/>
                <w:sz w:val="24"/>
              </w:rPr>
            </w:pPr>
            <w:r>
              <w:rPr>
                <w:rFonts w:ascii="黑体" w:eastAsia="黑体" w:hint="eastAsia"/>
                <w:spacing w:val="-7"/>
                <w:sz w:val="24"/>
              </w:rPr>
              <w:t>被保险人已经接受 </w:t>
            </w:r>
            <w:r>
              <w:rPr>
                <w:rFonts w:ascii="黑体" w:eastAsia="黑体" w:hint="eastAsia"/>
                <w:sz w:val="24"/>
              </w:rPr>
              <w:t>ICU</w:t>
            </w:r>
            <w:r>
              <w:rPr>
                <w:rFonts w:ascii="黑体" w:eastAsia="黑体" w:hint="eastAsia"/>
                <w:spacing w:val="-14"/>
                <w:sz w:val="24"/>
              </w:rPr>
              <w:t> 重症监护病房的治疗，诊断必须由专科医</w:t>
            </w:r>
            <w:r>
              <w:rPr>
                <w:rFonts w:ascii="黑体" w:eastAsia="黑体" w:hint="eastAsia"/>
                <w:sz w:val="24"/>
              </w:rPr>
              <w:t>Th的确诊。</w:t>
            </w:r>
          </w:p>
        </w:tc>
      </w:tr>
      <w:tr>
        <w:trPr>
          <w:trHeight w:val="1162" w:hRule="atLeast"/>
        </w:trPr>
        <w:tc>
          <w:tcPr>
            <w:tcW w:w="1858" w:type="dxa"/>
          </w:tcPr>
          <w:p>
            <w:pPr>
              <w:pStyle w:val="TableParagraph"/>
              <w:spacing w:line="204" w:lineRule="auto" w:before="66"/>
              <w:ind w:left="619" w:right="182" w:hanging="420"/>
              <w:rPr>
                <w:rFonts w:ascii="Microsoft JhengHei" w:eastAsia="Microsoft JhengHei" w:hint="eastAsia"/>
                <w:b/>
                <w:sz w:val="21"/>
              </w:rPr>
            </w:pPr>
            <w:r>
              <w:rPr>
                <w:rFonts w:ascii="Microsoft JhengHei" w:eastAsia="Microsoft JhengHei" w:hint="eastAsia"/>
                <w:b/>
                <w:sz w:val="21"/>
              </w:rPr>
              <w:t>87. 胆道重建手术</w:t>
            </w:r>
          </w:p>
        </w:tc>
        <w:tc>
          <w:tcPr>
            <w:tcW w:w="8192" w:type="dxa"/>
          </w:tcPr>
          <w:p>
            <w:pPr>
              <w:pStyle w:val="TableParagraph"/>
              <w:spacing w:line="259" w:lineRule="auto" w:before="88"/>
              <w:ind w:right="271"/>
              <w:rPr>
                <w:sz w:val="22"/>
              </w:rPr>
            </w:pPr>
            <w:r>
              <w:rPr>
                <w:sz w:val="22"/>
              </w:rPr>
              <w:t>指因疾病或胆道创伤导致接受涉及胆总管小肠吻合术的胆道重建手术。手术必须在专科医生认为是医疗所需的情况下进</w:t>
            </w:r>
            <w:r>
              <w:rPr>
                <w:rFonts w:ascii="Arial" w:eastAsia="Arial"/>
                <w:w w:val="115"/>
                <w:sz w:val="22"/>
              </w:rPr>
              <w:t>行</w:t>
            </w:r>
            <w:r>
              <w:rPr>
                <w:sz w:val="22"/>
              </w:rPr>
              <w:t>。</w:t>
            </w:r>
          </w:p>
          <w:p>
            <w:pPr>
              <w:pStyle w:val="TableParagraph"/>
              <w:spacing w:line="284" w:lineRule="exact"/>
              <w:rPr>
                <w:rFonts w:ascii="黑体" w:eastAsia="黑体" w:hint="eastAsia"/>
                <w:sz w:val="24"/>
              </w:rPr>
            </w:pPr>
            <w:r>
              <w:rPr>
                <w:rFonts w:ascii="黑体" w:eastAsia="黑体" w:hint="eastAsia"/>
                <w:sz w:val="24"/>
              </w:rPr>
              <w:t>胆道闭锁并不在保障范围内。</w:t>
            </w:r>
          </w:p>
        </w:tc>
      </w:tr>
      <w:tr>
        <w:trPr>
          <w:trHeight w:val="1163"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88. 严重肠道疾病并发症</w:t>
            </w:r>
          </w:p>
        </w:tc>
        <w:tc>
          <w:tcPr>
            <w:tcW w:w="8192" w:type="dxa"/>
          </w:tcPr>
          <w:p>
            <w:pPr>
              <w:pStyle w:val="TableParagraph"/>
              <w:spacing w:before="89"/>
              <w:rPr>
                <w:sz w:val="22"/>
              </w:rPr>
            </w:pPr>
            <w:r>
              <w:rPr>
                <w:sz w:val="22"/>
              </w:rPr>
              <w:t>严重肠道疾病或外伤导致小肠损害并发症，满足以下所有条件：</w:t>
            </w:r>
          </w:p>
          <w:p>
            <w:pPr>
              <w:pStyle w:val="TableParagraph"/>
              <w:numPr>
                <w:ilvl w:val="0"/>
                <w:numId w:val="15"/>
              </w:numPr>
              <w:tabs>
                <w:tab w:pos="861" w:val="left" w:leader="none"/>
              </w:tabs>
              <w:spacing w:line="240" w:lineRule="auto" w:before="24" w:after="0"/>
              <w:ind w:left="860" w:right="0" w:hanging="675"/>
              <w:jc w:val="left"/>
              <w:rPr>
                <w:sz w:val="22"/>
              </w:rPr>
            </w:pPr>
            <w:r>
              <w:rPr>
                <w:spacing w:val="-3"/>
                <w:sz w:val="22"/>
              </w:rPr>
              <w:t>至少切除了三分之二小肠；</w:t>
            </w:r>
          </w:p>
          <w:p>
            <w:pPr>
              <w:pStyle w:val="TableParagraph"/>
              <w:numPr>
                <w:ilvl w:val="0"/>
                <w:numId w:val="15"/>
              </w:numPr>
              <w:tabs>
                <w:tab w:pos="861" w:val="left" w:leader="none"/>
              </w:tabs>
              <w:spacing w:line="240" w:lineRule="auto" w:before="8" w:after="0"/>
              <w:ind w:left="860" w:right="0" w:hanging="675"/>
              <w:jc w:val="left"/>
              <w:rPr>
                <w:sz w:val="22"/>
              </w:rPr>
            </w:pPr>
            <w:r>
              <w:rPr>
                <w:spacing w:val="-3"/>
                <w:sz w:val="22"/>
              </w:rPr>
              <w:t>完全场外营养支持三个月以上。</w:t>
            </w:r>
          </w:p>
        </w:tc>
      </w:tr>
      <w:tr>
        <w:trPr>
          <w:trHeight w:val="2091" w:hRule="atLeast"/>
        </w:trPr>
        <w:tc>
          <w:tcPr>
            <w:tcW w:w="1858" w:type="dxa"/>
          </w:tcPr>
          <w:p>
            <w:pPr>
              <w:pStyle w:val="TableParagraph"/>
              <w:spacing w:line="206" w:lineRule="auto" w:before="64"/>
              <w:ind w:left="619" w:right="182" w:hanging="420"/>
              <w:rPr>
                <w:rFonts w:ascii="Microsoft JhengHei" w:eastAsia="Microsoft JhengHei" w:hint="eastAsia"/>
                <w:b/>
                <w:sz w:val="21"/>
              </w:rPr>
            </w:pPr>
            <w:r>
              <w:rPr>
                <w:rFonts w:ascii="Microsoft JhengHei" w:eastAsia="Microsoft JhengHei" w:hint="eastAsia"/>
                <w:b/>
                <w:sz w:val="21"/>
              </w:rPr>
              <w:t>89. 进行性风疹性全脑炎</w:t>
            </w:r>
          </w:p>
        </w:tc>
        <w:tc>
          <w:tcPr>
            <w:tcW w:w="8192" w:type="dxa"/>
          </w:tcPr>
          <w:p>
            <w:pPr>
              <w:pStyle w:val="TableParagraph"/>
              <w:spacing w:line="247" w:lineRule="auto" w:before="89"/>
              <w:ind w:right="313"/>
              <w:rPr>
                <w:sz w:val="22"/>
              </w:rPr>
            </w:pPr>
            <w:r>
              <w:rPr>
                <w:spacing w:val="-5"/>
                <w:sz w:val="22"/>
              </w:rPr>
              <w:t>指由风疹病毒感染引起的儿童和青少年</w:t>
            </w:r>
            <w:r>
              <w:rPr>
                <w:sz w:val="22"/>
              </w:rPr>
              <w:t>（</w:t>
            </w:r>
            <w:r>
              <w:rPr>
                <w:rFonts w:ascii="Arial" w:eastAsia="Arial"/>
                <w:sz w:val="22"/>
              </w:rPr>
              <w:t>19 </w:t>
            </w:r>
            <w:r>
              <w:rPr>
                <w:spacing w:val="-2"/>
                <w:sz w:val="22"/>
              </w:rPr>
              <w:t>岁及以下人群</w:t>
            </w:r>
            <w:r>
              <w:rPr>
                <w:spacing w:val="-32"/>
                <w:sz w:val="22"/>
              </w:rPr>
              <w:t>）</w:t>
            </w:r>
            <w:r>
              <w:rPr>
                <w:spacing w:val="-6"/>
                <w:sz w:val="22"/>
              </w:rPr>
              <w:t>的慢性脑炎。疾病确</w:t>
            </w:r>
            <w:r>
              <w:rPr>
                <w:spacing w:val="-29"/>
                <w:sz w:val="22"/>
              </w:rPr>
              <w:t>诊 </w:t>
            </w:r>
            <w:r>
              <w:rPr>
                <w:rFonts w:ascii="Arial" w:eastAsia="Arial"/>
                <w:sz w:val="22"/>
              </w:rPr>
              <w:t>180</w:t>
            </w:r>
            <w:r>
              <w:rPr>
                <w:rFonts w:ascii="Arial" w:eastAsia="Arial"/>
                <w:spacing w:val="56"/>
                <w:sz w:val="22"/>
              </w:rPr>
              <w:t> </w:t>
            </w:r>
            <w:r>
              <w:rPr>
                <w:spacing w:val="-3"/>
                <w:sz w:val="22"/>
              </w:rPr>
              <w:t>天后，仍遗留下列一种或一种以上障碍：</w:t>
            </w:r>
          </w:p>
          <w:p>
            <w:pPr>
              <w:pStyle w:val="TableParagraph"/>
              <w:rPr>
                <w:sz w:val="22"/>
              </w:rPr>
            </w:pPr>
            <w:r>
              <w:rPr>
                <w:sz w:val="22"/>
              </w:rPr>
              <w:t>（</w:t>
            </w:r>
            <w:r>
              <w:rPr>
                <w:rFonts w:ascii="Arial" w:eastAsia="Arial"/>
                <w:sz w:val="22"/>
              </w:rPr>
              <w:t>1</w:t>
            </w:r>
            <w:r>
              <w:rPr>
                <w:sz w:val="22"/>
              </w:rPr>
              <w:t>）一肢或一肢以上肢体机能完全丧失；</w:t>
            </w:r>
          </w:p>
          <w:p>
            <w:pPr>
              <w:pStyle w:val="TableParagraph"/>
              <w:spacing w:before="8"/>
              <w:rPr>
                <w:sz w:val="22"/>
              </w:rPr>
            </w:pPr>
            <w:r>
              <w:rPr>
                <w:sz w:val="22"/>
              </w:rPr>
              <w:t>（</w:t>
            </w:r>
            <w:r>
              <w:rPr>
                <w:rFonts w:ascii="Arial" w:eastAsia="Arial"/>
                <w:sz w:val="22"/>
              </w:rPr>
              <w:t>2</w:t>
            </w:r>
            <w:r>
              <w:rPr>
                <w:sz w:val="22"/>
              </w:rPr>
              <w:t>）语言能力或咀嚼吞咽能力完全丧失；</w:t>
            </w:r>
          </w:p>
          <w:p>
            <w:pPr>
              <w:pStyle w:val="TableParagraph"/>
              <w:spacing w:line="247" w:lineRule="auto" w:before="8"/>
              <w:ind w:left="735" w:right="318" w:hanging="551"/>
              <w:rPr>
                <w:sz w:val="22"/>
              </w:rPr>
            </w:pPr>
            <w:r>
              <w:rPr>
                <w:sz w:val="22"/>
              </w:rPr>
              <w:t>（</w:t>
            </w:r>
            <w:r>
              <w:rPr>
                <w:rFonts w:ascii="Arial" w:eastAsia="Arial"/>
                <w:sz w:val="22"/>
              </w:rPr>
              <w:t>3</w:t>
            </w:r>
            <w:r>
              <w:rPr>
                <w:sz w:val="22"/>
              </w:rPr>
              <w:t>）自主生活能力完全丧失，无法独立完成六项基本日常生活活动中的三项或三项以上。</w:t>
            </w:r>
          </w:p>
        </w:tc>
      </w:tr>
      <w:tr>
        <w:trPr>
          <w:trHeight w:val="1167" w:hRule="atLeast"/>
        </w:trPr>
        <w:tc>
          <w:tcPr>
            <w:tcW w:w="1858" w:type="dxa"/>
          </w:tcPr>
          <w:p>
            <w:pPr>
              <w:pStyle w:val="TableParagraph"/>
              <w:spacing w:line="204" w:lineRule="auto" w:before="74"/>
              <w:ind w:left="619" w:right="182" w:hanging="420"/>
              <w:jc w:val="both"/>
              <w:rPr>
                <w:rFonts w:ascii="Microsoft JhengHei" w:eastAsia="Microsoft JhengHei" w:hint="eastAsia"/>
                <w:b/>
                <w:sz w:val="21"/>
              </w:rPr>
            </w:pPr>
            <w:r>
              <w:rPr>
                <w:rFonts w:ascii="Microsoft JhengHei" w:eastAsia="Microsoft JhengHei" w:hint="eastAsia"/>
                <w:b/>
                <w:sz w:val="21"/>
              </w:rPr>
              <w:t>90. 意外导致的重度面部烧伤</w:t>
            </w:r>
          </w:p>
        </w:tc>
        <w:tc>
          <w:tcPr>
            <w:tcW w:w="8192" w:type="dxa"/>
          </w:tcPr>
          <w:p>
            <w:pPr>
              <w:pStyle w:val="TableParagraph"/>
              <w:spacing w:before="96"/>
              <w:rPr>
                <w:sz w:val="22"/>
              </w:rPr>
            </w:pPr>
            <w:r>
              <w:rPr>
                <w:sz w:val="22"/>
              </w:rPr>
              <w:t>指面部Ⅲ度烧伤且烧伤面积达到面部表面积的 </w:t>
            </w:r>
            <w:r>
              <w:rPr>
                <w:rFonts w:ascii="Arial" w:hAnsi="Arial" w:eastAsia="Arial"/>
                <w:sz w:val="22"/>
              </w:rPr>
              <w:t>2/3 </w:t>
            </w:r>
            <w:r>
              <w:rPr>
                <w:sz w:val="22"/>
              </w:rPr>
              <w:t>或全身体表面积的 </w:t>
            </w:r>
            <w:r>
              <w:rPr>
                <w:rFonts w:ascii="Arial" w:hAnsi="Arial" w:eastAsia="Arial"/>
                <w:sz w:val="22"/>
              </w:rPr>
              <w:t>2%</w:t>
            </w:r>
            <w:r>
              <w:rPr>
                <w:sz w:val="22"/>
              </w:rPr>
              <w:t>。</w:t>
            </w:r>
          </w:p>
          <w:p>
            <w:pPr>
              <w:pStyle w:val="TableParagraph"/>
              <w:spacing w:line="247" w:lineRule="auto" w:before="8"/>
              <w:ind w:right="313"/>
              <w:rPr>
                <w:sz w:val="22"/>
              </w:rPr>
            </w:pPr>
            <w:r>
              <w:rPr>
                <w:spacing w:val="-7"/>
                <w:sz w:val="22"/>
              </w:rPr>
              <w:t>体表面积根据 《中国新九分法》计算，面部总面积为全身体表面积的 </w:t>
            </w:r>
            <w:r>
              <w:rPr>
                <w:rFonts w:ascii="Arial" w:eastAsia="Arial"/>
                <w:spacing w:val="-3"/>
                <w:sz w:val="22"/>
              </w:rPr>
              <w:t>3%</w:t>
            </w:r>
            <w:r>
              <w:rPr>
                <w:spacing w:val="-6"/>
                <w:sz w:val="22"/>
              </w:rPr>
              <w:t>。面部</w:t>
            </w:r>
            <w:r>
              <w:rPr>
                <w:spacing w:val="-5"/>
                <w:sz w:val="22"/>
              </w:rPr>
              <w:t>面积不包括发部和颈部。</w:t>
            </w:r>
          </w:p>
        </w:tc>
      </w:tr>
      <w:tr>
        <w:trPr>
          <w:trHeight w:val="692" w:hRule="atLeast"/>
        </w:trPr>
        <w:tc>
          <w:tcPr>
            <w:tcW w:w="1858" w:type="dxa"/>
          </w:tcPr>
          <w:p>
            <w:pPr>
              <w:pStyle w:val="TableParagraph"/>
              <w:spacing w:line="312" w:lineRule="exact" w:before="78"/>
              <w:ind w:left="619" w:right="182" w:hanging="420"/>
              <w:rPr>
                <w:rFonts w:ascii="Microsoft JhengHei" w:eastAsia="Microsoft JhengHei" w:hint="eastAsia"/>
                <w:b/>
                <w:sz w:val="21"/>
              </w:rPr>
            </w:pPr>
            <w:r>
              <w:rPr>
                <w:rFonts w:ascii="Microsoft JhengHei" w:eastAsia="Microsoft JhengHei" w:hint="eastAsia"/>
                <w:b/>
                <w:sz w:val="21"/>
              </w:rPr>
              <w:t>91. 失去一肢及一眼</w:t>
            </w:r>
          </w:p>
        </w:tc>
        <w:tc>
          <w:tcPr>
            <w:tcW w:w="8192" w:type="dxa"/>
          </w:tcPr>
          <w:p>
            <w:pPr>
              <w:pStyle w:val="TableParagraph"/>
              <w:spacing w:line="310" w:lineRule="atLeast" w:before="70"/>
              <w:ind w:right="271"/>
              <w:rPr>
                <w:sz w:val="22"/>
              </w:rPr>
            </w:pPr>
            <w:r>
              <w:rPr>
                <w:sz w:val="22"/>
              </w:rPr>
              <w:t>因疾病或意外伤害导致单眼视力丧失及任何一肢自腕关节或踝关节近端（靠近躯干端）以上完全性断离。</w:t>
            </w:r>
          </w:p>
        </w:tc>
      </w:tr>
    </w:tbl>
    <w:p>
      <w:pPr>
        <w:spacing w:after="0" w:line="310" w:lineRule="atLeast"/>
        <w:rPr>
          <w:sz w:val="22"/>
        </w:rPr>
        <w:sectPr>
          <w:pgSz w:w="11910" w:h="16840"/>
          <w:pgMar w:header="0" w:footer="593" w:top="1160" w:bottom="7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0"/>
        <w:gridCol w:w="8130"/>
      </w:tblGrid>
      <w:tr>
        <w:trPr>
          <w:trHeight w:val="1944" w:hRule="atLeast"/>
        </w:trPr>
        <w:tc>
          <w:tcPr>
            <w:tcW w:w="1910" w:type="dxa"/>
          </w:tcPr>
          <w:p>
            <w:pPr>
              <w:pStyle w:val="TableParagraph"/>
              <w:ind w:left="0"/>
              <w:rPr>
                <w:rFonts w:ascii="Times New Roman"/>
                <w:sz w:val="22"/>
              </w:rPr>
            </w:pPr>
          </w:p>
        </w:tc>
        <w:tc>
          <w:tcPr>
            <w:tcW w:w="8130" w:type="dxa"/>
          </w:tcPr>
          <w:p>
            <w:pPr>
              <w:pStyle w:val="TableParagraph"/>
              <w:spacing w:line="221" w:lineRule="exact"/>
              <w:ind w:left="133"/>
              <w:rPr>
                <w:sz w:val="22"/>
              </w:rPr>
            </w:pPr>
            <w:r>
              <w:rPr>
                <w:sz w:val="22"/>
              </w:rPr>
              <w:t>单眼视力丧失指单眼视力永久不可逆性丧失，患眼须满足下列至少一项条件：</w:t>
            </w:r>
          </w:p>
          <w:p>
            <w:pPr>
              <w:pStyle w:val="TableParagraph"/>
              <w:spacing w:before="24"/>
              <w:ind w:left="133"/>
              <w:rPr>
                <w:sz w:val="22"/>
              </w:rPr>
            </w:pPr>
            <w:r>
              <w:rPr>
                <w:sz w:val="22"/>
              </w:rPr>
              <w:t>（</w:t>
            </w:r>
            <w:r>
              <w:rPr>
                <w:rFonts w:ascii="Arial" w:eastAsia="Arial"/>
                <w:sz w:val="22"/>
              </w:rPr>
              <w:t>1</w:t>
            </w:r>
            <w:r>
              <w:rPr>
                <w:sz w:val="22"/>
              </w:rPr>
              <w:t>）眼球缺失或摘除；</w:t>
            </w:r>
          </w:p>
          <w:p>
            <w:pPr>
              <w:pStyle w:val="TableParagraph"/>
              <w:spacing w:line="247" w:lineRule="auto" w:before="8"/>
              <w:ind w:left="683" w:right="307" w:hanging="551"/>
              <w:rPr>
                <w:sz w:val="22"/>
              </w:rPr>
            </w:pPr>
            <w:r>
              <w:rPr>
                <w:sz w:val="22"/>
              </w:rPr>
              <w:t>（</w:t>
            </w:r>
            <w:r>
              <w:rPr>
                <w:rFonts w:ascii="Arial" w:eastAsia="Arial"/>
                <w:sz w:val="22"/>
              </w:rPr>
              <w:t>2</w:t>
            </w:r>
            <w:r>
              <w:rPr>
                <w:sz w:val="22"/>
              </w:rPr>
              <w:t>）</w:t>
            </w:r>
            <w:r>
              <w:rPr>
                <w:spacing w:val="-1"/>
                <w:sz w:val="22"/>
              </w:rPr>
              <w:t>矫正视力低于 </w:t>
            </w:r>
            <w:r>
              <w:rPr>
                <w:rFonts w:ascii="Arial" w:eastAsia="Arial"/>
                <w:sz w:val="22"/>
              </w:rPr>
              <w:t>0.02</w:t>
            </w:r>
            <w:r>
              <w:rPr>
                <w:sz w:val="22"/>
              </w:rPr>
              <w:t>（</w:t>
            </w:r>
            <w:r>
              <w:rPr>
                <w:spacing w:val="-3"/>
                <w:sz w:val="22"/>
              </w:rPr>
              <w:t>采用国际标准视力表，如果使用其它视力表应进行换</w:t>
            </w:r>
            <w:r>
              <w:rPr>
                <w:spacing w:val="-3"/>
                <w:w w:val="100"/>
                <w:sz w:val="22"/>
              </w:rPr>
              <w:t>算</w:t>
            </w:r>
            <w:r>
              <w:rPr>
                <w:spacing w:val="-111"/>
                <w:w w:val="100"/>
                <w:sz w:val="22"/>
              </w:rPr>
              <w:t>）</w:t>
            </w:r>
            <w:r>
              <w:rPr>
                <w:w w:val="100"/>
                <w:sz w:val="22"/>
              </w:rPr>
              <w:t>；</w:t>
            </w:r>
          </w:p>
          <w:p>
            <w:pPr>
              <w:pStyle w:val="TableParagraph"/>
              <w:spacing w:line="299" w:lineRule="exact" w:before="16"/>
              <w:ind w:left="133"/>
              <w:rPr>
                <w:sz w:val="22"/>
              </w:rPr>
            </w:pPr>
            <w:r>
              <w:rPr>
                <w:sz w:val="22"/>
              </w:rPr>
              <w:t>（</w:t>
            </w:r>
            <w:r>
              <w:rPr>
                <w:rFonts w:ascii="Arial" w:eastAsia="Arial"/>
                <w:sz w:val="22"/>
              </w:rPr>
              <w:t>3</w:t>
            </w:r>
            <w:r>
              <w:rPr>
                <w:sz w:val="22"/>
              </w:rPr>
              <w:t>）</w:t>
            </w:r>
            <w:r>
              <w:rPr>
                <w:spacing w:val="-11"/>
                <w:sz w:val="22"/>
              </w:rPr>
              <w:t>视野半径小于 </w:t>
            </w:r>
            <w:r>
              <w:rPr>
                <w:rFonts w:ascii="Arial" w:eastAsia="Arial"/>
                <w:sz w:val="22"/>
              </w:rPr>
              <w:t>5</w:t>
            </w:r>
            <w:r>
              <w:rPr>
                <w:rFonts w:ascii="Arial" w:eastAsia="Arial"/>
                <w:spacing w:val="53"/>
                <w:sz w:val="22"/>
              </w:rPr>
              <w:t> </w:t>
            </w:r>
            <w:r>
              <w:rPr>
                <w:spacing w:val="-3"/>
                <w:sz w:val="22"/>
              </w:rPr>
              <w:t>度。</w:t>
            </w:r>
          </w:p>
          <w:p>
            <w:pPr>
              <w:pStyle w:val="TableParagraph"/>
              <w:spacing w:line="309" w:lineRule="exact"/>
              <w:ind w:left="133"/>
              <w:rPr>
                <w:rFonts w:ascii="黑体" w:eastAsia="黑体" w:hint="eastAsia"/>
                <w:sz w:val="24"/>
              </w:rPr>
            </w:pPr>
            <w:r>
              <w:rPr>
                <w:rFonts w:ascii="黑体" w:eastAsia="黑体" w:hint="eastAsia"/>
                <w:sz w:val="24"/>
              </w:rPr>
              <w:t>被保险人在 3 周岁之前因疾病导致单眼视力丧失不在保障范围内。</w:t>
            </w:r>
          </w:p>
        </w:tc>
      </w:tr>
      <w:tr>
        <w:trPr>
          <w:trHeight w:val="1834" w:hRule="atLeast"/>
        </w:trPr>
        <w:tc>
          <w:tcPr>
            <w:tcW w:w="1910" w:type="dxa"/>
          </w:tcPr>
          <w:p>
            <w:pPr>
              <w:pStyle w:val="TableParagraph"/>
              <w:spacing w:line="204" w:lineRule="auto" w:before="67"/>
              <w:ind w:left="619" w:right="234" w:hanging="420"/>
              <w:rPr>
                <w:rFonts w:ascii="Microsoft JhengHei" w:eastAsia="Microsoft JhengHei" w:hint="eastAsia"/>
                <w:b/>
                <w:sz w:val="21"/>
              </w:rPr>
            </w:pPr>
            <w:r>
              <w:rPr>
                <w:rFonts w:ascii="Microsoft JhengHei" w:eastAsia="Microsoft JhengHei" w:hint="eastAsia"/>
                <w:b/>
                <w:w w:val="105"/>
                <w:sz w:val="21"/>
              </w:rPr>
              <w:t>92. 肺淋巴管ft </w:t>
            </w:r>
            <w:r>
              <w:rPr>
                <w:rFonts w:ascii="Microsoft JhengHei" w:eastAsia="Microsoft JhengHei" w:hint="eastAsia"/>
                <w:b/>
                <w:sz w:val="21"/>
              </w:rPr>
              <w:t>瘤病</w:t>
            </w:r>
          </w:p>
        </w:tc>
        <w:tc>
          <w:tcPr>
            <w:tcW w:w="8130" w:type="dxa"/>
          </w:tcPr>
          <w:p>
            <w:pPr>
              <w:pStyle w:val="TableParagraph"/>
              <w:spacing w:line="259" w:lineRule="auto" w:before="89"/>
              <w:ind w:left="133" w:right="276"/>
              <w:rPr>
                <w:sz w:val="22"/>
              </w:rPr>
            </w:pPr>
            <w:r>
              <w:rPr>
                <w:sz w:val="22"/>
              </w:rPr>
              <w:t>指一种弥漫性肺部疾病，主要病理改变为肺间质、支气管、血管和淋巴管内出现未成熟的平滑肌异常增生，同时需满足下列全部条件：</w:t>
            </w:r>
          </w:p>
          <w:p>
            <w:pPr>
              <w:pStyle w:val="TableParagraph"/>
              <w:spacing w:before="6"/>
              <w:ind w:left="133"/>
              <w:rPr>
                <w:sz w:val="22"/>
              </w:rPr>
            </w:pPr>
            <w:r>
              <w:rPr>
                <w:color w:val="333333"/>
                <w:sz w:val="21"/>
              </w:rPr>
              <w:t>（</w:t>
            </w:r>
            <w:r>
              <w:rPr>
                <w:rFonts w:ascii="Times New Roman" w:eastAsia="Times New Roman"/>
                <w:color w:val="333333"/>
                <w:sz w:val="21"/>
              </w:rPr>
              <w:t>1</w:t>
            </w:r>
            <w:r>
              <w:rPr>
                <w:color w:val="333333"/>
                <w:sz w:val="21"/>
              </w:rPr>
              <w:t>）</w:t>
            </w:r>
            <w:r>
              <w:rPr>
                <w:sz w:val="22"/>
              </w:rPr>
              <w:t>经组织病理学诊断；</w:t>
            </w:r>
          </w:p>
          <w:p>
            <w:pPr>
              <w:pStyle w:val="TableParagraph"/>
              <w:spacing w:before="9"/>
              <w:ind w:left="133"/>
              <w:rPr>
                <w:sz w:val="22"/>
              </w:rPr>
            </w:pPr>
            <w:r>
              <w:rPr>
                <w:color w:val="333333"/>
                <w:sz w:val="21"/>
              </w:rPr>
              <w:t>（</w:t>
            </w:r>
            <w:r>
              <w:rPr>
                <w:rFonts w:ascii="Times New Roman" w:eastAsia="Times New Roman"/>
                <w:color w:val="333333"/>
                <w:sz w:val="21"/>
              </w:rPr>
              <w:t>2</w:t>
            </w:r>
            <w:r>
              <w:rPr>
                <w:color w:val="333333"/>
                <w:sz w:val="21"/>
              </w:rPr>
              <w:t>）</w:t>
            </w:r>
            <w:r>
              <w:rPr>
                <w:rFonts w:ascii="Arial" w:eastAsia="Arial"/>
                <w:sz w:val="22"/>
              </w:rPr>
              <w:t>CT </w:t>
            </w:r>
            <w:r>
              <w:rPr>
                <w:sz w:val="22"/>
              </w:rPr>
              <w:t>显示双肺弥漫性囊性改变；</w:t>
            </w:r>
          </w:p>
          <w:p>
            <w:pPr>
              <w:pStyle w:val="TableParagraph"/>
              <w:spacing w:before="8"/>
              <w:ind w:left="133"/>
              <w:rPr>
                <w:sz w:val="22"/>
              </w:rPr>
            </w:pPr>
            <w:r>
              <w:rPr>
                <w:color w:val="333333"/>
                <w:sz w:val="21"/>
              </w:rPr>
              <w:t>（</w:t>
            </w:r>
            <w:r>
              <w:rPr>
                <w:rFonts w:ascii="Times New Roman" w:eastAsia="Times New Roman"/>
                <w:color w:val="333333"/>
                <w:sz w:val="21"/>
              </w:rPr>
              <w:t>3</w:t>
            </w:r>
            <w:r>
              <w:rPr>
                <w:color w:val="333333"/>
                <w:sz w:val="21"/>
              </w:rPr>
              <w:t>）</w:t>
            </w:r>
            <w:r>
              <w:rPr>
                <w:sz w:val="22"/>
              </w:rPr>
              <w:t>血气提示低氧血症，动脉血氧分压（</w:t>
            </w:r>
            <w:r>
              <w:rPr>
                <w:rFonts w:ascii="Arial" w:eastAsia="Arial"/>
                <w:sz w:val="22"/>
              </w:rPr>
              <w:t>PaO2</w:t>
            </w:r>
            <w:r>
              <w:rPr>
                <w:sz w:val="22"/>
              </w:rPr>
              <w:t>）持续</w:t>
            </w:r>
            <w:r>
              <w:rPr>
                <w:rFonts w:ascii="Arial" w:eastAsia="Arial"/>
                <w:sz w:val="22"/>
              </w:rPr>
              <w:t>&lt;50mmHg</w:t>
            </w:r>
            <w:r>
              <w:rPr>
                <w:sz w:val="22"/>
              </w:rPr>
              <w:t>。</w:t>
            </w:r>
          </w:p>
        </w:tc>
      </w:tr>
      <w:tr>
        <w:trPr>
          <w:trHeight w:val="1825" w:hRule="atLeast"/>
        </w:trPr>
        <w:tc>
          <w:tcPr>
            <w:tcW w:w="1910" w:type="dxa"/>
          </w:tcPr>
          <w:p>
            <w:pPr>
              <w:pStyle w:val="TableParagraph"/>
              <w:spacing w:line="204" w:lineRule="auto" w:before="105"/>
              <w:ind w:left="619" w:right="234" w:hanging="420"/>
              <w:jc w:val="both"/>
              <w:rPr>
                <w:rFonts w:ascii="Microsoft JhengHei" w:eastAsia="Microsoft JhengHei" w:hint="eastAsia"/>
                <w:b/>
                <w:sz w:val="21"/>
              </w:rPr>
            </w:pPr>
            <w:r>
              <w:rPr>
                <w:rFonts w:ascii="Microsoft JhengHei" w:eastAsia="Microsoft JhengHei" w:hint="eastAsia"/>
                <w:b/>
                <w:sz w:val="21"/>
              </w:rPr>
              <w:t>93. 严重获得性或继发性肺泡蛋白质沉积症</w:t>
            </w:r>
          </w:p>
        </w:tc>
        <w:tc>
          <w:tcPr>
            <w:tcW w:w="8130" w:type="dxa"/>
          </w:tcPr>
          <w:p>
            <w:pPr>
              <w:pStyle w:val="TableParagraph"/>
              <w:spacing w:line="259" w:lineRule="auto" w:before="127"/>
              <w:ind w:left="133" w:right="305"/>
              <w:rPr>
                <w:sz w:val="22"/>
              </w:rPr>
            </w:pPr>
            <w:r>
              <w:rPr>
                <w:spacing w:val="1"/>
                <w:sz w:val="22"/>
              </w:rPr>
              <w:t>因获得性或继发性原因或导致双肺肺泡和细支气管腔内充满不可溶性富磷脂蛋</w:t>
            </w:r>
            <w:r>
              <w:rPr>
                <w:spacing w:val="-3"/>
                <w:sz w:val="22"/>
              </w:rPr>
              <w:t>白的疾病。理赔时须满足下列所有条件：                               </w:t>
            </w:r>
            <w:r>
              <w:rPr>
                <w:rFonts w:ascii="Arial" w:eastAsia="Arial"/>
                <w:spacing w:val="-3"/>
                <w:sz w:val="22"/>
              </w:rPr>
              <w:t>(1</w:t>
            </w:r>
            <w:r>
              <w:rPr>
                <w:spacing w:val="-3"/>
                <w:sz w:val="22"/>
              </w:rPr>
              <w:t>）支气管镜活检或开胸肺活检病理检查证实肺泡内充满有过碘酸雪夫</w:t>
            </w:r>
            <w:r>
              <w:rPr>
                <w:spacing w:val="-4"/>
                <w:sz w:val="22"/>
              </w:rPr>
              <w:t>（</w:t>
            </w:r>
            <w:r>
              <w:rPr>
                <w:rFonts w:ascii="Arial" w:eastAsia="Arial"/>
                <w:spacing w:val="-4"/>
                <w:sz w:val="22"/>
              </w:rPr>
              <w:t>PAS</w:t>
            </w:r>
            <w:r>
              <w:rPr>
                <w:spacing w:val="-4"/>
                <w:sz w:val="22"/>
              </w:rPr>
              <w:t>）</w:t>
            </w:r>
          </w:p>
          <w:p>
            <w:pPr>
              <w:pStyle w:val="TableParagraph"/>
              <w:spacing w:line="277" w:lineRule="exact"/>
              <w:ind w:left="572"/>
              <w:rPr>
                <w:sz w:val="22"/>
              </w:rPr>
            </w:pPr>
            <w:r>
              <w:rPr>
                <w:sz w:val="22"/>
              </w:rPr>
              <w:t>染色阳性的蛋白样物质；</w:t>
            </w:r>
          </w:p>
          <w:p>
            <w:pPr>
              <w:pStyle w:val="TableParagraph"/>
              <w:spacing w:before="24"/>
              <w:ind w:left="133"/>
              <w:rPr>
                <w:sz w:val="22"/>
              </w:rPr>
            </w:pPr>
            <w:r>
              <w:rPr>
                <w:rFonts w:ascii="Arial" w:eastAsia="Arial"/>
                <w:w w:val="100"/>
                <w:sz w:val="22"/>
              </w:rPr>
              <w:t>(</w:t>
            </w:r>
            <w:r>
              <w:rPr>
                <w:rFonts w:ascii="Arial" w:eastAsia="Arial"/>
                <w:spacing w:val="-1"/>
                <w:w w:val="100"/>
                <w:sz w:val="22"/>
              </w:rPr>
              <w:t>2</w:t>
            </w:r>
            <w:r>
              <w:rPr>
                <w:spacing w:val="-99"/>
                <w:w w:val="100"/>
                <w:sz w:val="22"/>
              </w:rPr>
              <w:t>）</w:t>
            </w:r>
            <w:r>
              <w:rPr>
                <w:spacing w:val="-3"/>
                <w:w w:val="100"/>
                <w:sz w:val="22"/>
              </w:rPr>
              <w:t>被保人因中重度呼吸困难或低氧血症而实际已行全身麻醉下的全肺灌洗治疗。</w:t>
            </w:r>
          </w:p>
        </w:tc>
      </w:tr>
      <w:tr>
        <w:trPr>
          <w:trHeight w:val="3035" w:hRule="atLeast"/>
        </w:trPr>
        <w:tc>
          <w:tcPr>
            <w:tcW w:w="1910" w:type="dxa"/>
          </w:tcPr>
          <w:p>
            <w:pPr>
              <w:pStyle w:val="TableParagraph"/>
              <w:spacing w:line="204" w:lineRule="auto" w:before="67"/>
              <w:ind w:left="619" w:right="111" w:hanging="420"/>
              <w:rPr>
                <w:rFonts w:ascii="Microsoft JhengHei" w:eastAsia="Microsoft JhengHei" w:hint="eastAsia"/>
                <w:b/>
                <w:sz w:val="21"/>
              </w:rPr>
            </w:pPr>
            <w:r>
              <w:rPr>
                <w:rFonts w:ascii="Microsoft JhengHei" w:eastAsia="Microsoft JhengHei" w:hint="eastAsia"/>
                <w:b/>
                <w:sz w:val="21"/>
              </w:rPr>
              <w:t>94. 器官移植导致 的 HIV 感染</w:t>
            </w:r>
          </w:p>
        </w:tc>
        <w:tc>
          <w:tcPr>
            <w:tcW w:w="8130" w:type="dxa"/>
          </w:tcPr>
          <w:p>
            <w:pPr>
              <w:pStyle w:val="TableParagraph"/>
              <w:spacing w:before="89"/>
              <w:ind w:left="133"/>
              <w:rPr>
                <w:sz w:val="22"/>
              </w:rPr>
            </w:pPr>
            <w:r>
              <w:rPr>
                <w:spacing w:val="-3"/>
                <w:w w:val="100"/>
                <w:sz w:val="22"/>
              </w:rPr>
              <w:t>指因进行器官移植而感染上人类免疫缺陷病毒</w:t>
            </w:r>
            <w:r>
              <w:rPr>
                <w:spacing w:val="0"/>
                <w:w w:val="100"/>
                <w:sz w:val="22"/>
              </w:rPr>
              <w:t>（</w:t>
            </w:r>
            <w:r>
              <w:rPr>
                <w:rFonts w:ascii="Arial" w:eastAsia="Arial"/>
                <w:spacing w:val="-4"/>
                <w:w w:val="100"/>
                <w:sz w:val="22"/>
              </w:rPr>
              <w:t>H</w:t>
            </w:r>
            <w:r>
              <w:rPr>
                <w:rFonts w:ascii="Arial" w:eastAsia="Arial"/>
                <w:spacing w:val="-2"/>
                <w:w w:val="100"/>
                <w:sz w:val="22"/>
              </w:rPr>
              <w:t>I</w:t>
            </w:r>
            <w:r>
              <w:rPr>
                <w:rFonts w:ascii="Arial" w:eastAsia="Arial"/>
                <w:spacing w:val="-1"/>
                <w:w w:val="100"/>
                <w:sz w:val="22"/>
              </w:rPr>
              <w:t>V</w:t>
            </w:r>
            <w:r>
              <w:rPr>
                <w:spacing w:val="-111"/>
                <w:w w:val="100"/>
                <w:sz w:val="22"/>
              </w:rPr>
              <w:t>）</w:t>
            </w:r>
            <w:r>
              <w:rPr>
                <w:spacing w:val="-3"/>
                <w:w w:val="100"/>
                <w:sz w:val="22"/>
              </w:rPr>
              <w:t>，且须满足下列全部条件：</w:t>
            </w:r>
          </w:p>
          <w:p>
            <w:pPr>
              <w:pStyle w:val="TableParagraph"/>
              <w:spacing w:line="247" w:lineRule="auto" w:before="8"/>
              <w:ind w:left="683" w:right="308" w:hanging="551"/>
              <w:rPr>
                <w:sz w:val="22"/>
              </w:rPr>
            </w:pPr>
            <w:r>
              <w:rPr>
                <w:sz w:val="22"/>
              </w:rPr>
              <w:t>（</w:t>
            </w:r>
            <w:r>
              <w:rPr>
                <w:rFonts w:ascii="Arial" w:eastAsia="Arial"/>
                <w:sz w:val="22"/>
              </w:rPr>
              <w:t>1</w:t>
            </w:r>
            <w:r>
              <w:rPr>
                <w:sz w:val="22"/>
              </w:rPr>
              <w:t>）在保障起始日或复效日之后，被保险人因治疗必需而实施器官移植，并且因器官移植而感染人类免疫缺陷病毒；</w:t>
            </w:r>
          </w:p>
          <w:p>
            <w:pPr>
              <w:pStyle w:val="TableParagraph"/>
              <w:spacing w:line="254" w:lineRule="auto" w:before="17"/>
              <w:ind w:left="683" w:right="302" w:hanging="551"/>
              <w:jc w:val="both"/>
              <w:rPr>
                <w:sz w:val="22"/>
              </w:rPr>
            </w:pPr>
            <w:r>
              <w:rPr>
                <w:sz w:val="22"/>
              </w:rPr>
              <w:t>（</w:t>
            </w:r>
            <w:r>
              <w:rPr>
                <w:rFonts w:ascii="Arial" w:eastAsia="Arial"/>
                <w:sz w:val="22"/>
              </w:rPr>
              <w:t>2</w:t>
            </w:r>
            <w:r>
              <w:rPr>
                <w:sz w:val="22"/>
              </w:rPr>
              <w:t>）提供器官移植治疗的器官移植中心或医院出具的此次因器官移植感染人类免疫缺陷病毒，属于医疗事故的报告，或者法院终审裁定为医疗事故并且不准上诉；</w:t>
            </w:r>
          </w:p>
          <w:p>
            <w:pPr>
              <w:pStyle w:val="TableParagraph"/>
              <w:spacing w:line="299" w:lineRule="exact" w:before="10"/>
              <w:ind w:left="133"/>
              <w:rPr>
                <w:sz w:val="22"/>
              </w:rPr>
            </w:pPr>
            <w:r>
              <w:rPr>
                <w:sz w:val="22"/>
              </w:rPr>
              <w:t>（</w:t>
            </w:r>
            <w:r>
              <w:rPr>
                <w:rFonts w:ascii="Arial" w:eastAsia="Arial"/>
                <w:sz w:val="22"/>
              </w:rPr>
              <w:t>3</w:t>
            </w:r>
            <w:r>
              <w:rPr>
                <w:sz w:val="22"/>
              </w:rPr>
              <w:t>）提供器官移植治疗的器官移植中心或医院必须拥有合法经营执照。</w:t>
            </w:r>
          </w:p>
          <w:p>
            <w:pPr>
              <w:pStyle w:val="TableParagraph"/>
              <w:spacing w:line="237" w:lineRule="auto"/>
              <w:ind w:left="133" w:right="303"/>
              <w:rPr>
                <w:rFonts w:ascii="黑体" w:eastAsia="黑体" w:hint="eastAsia"/>
                <w:sz w:val="24"/>
              </w:rPr>
            </w:pPr>
            <w:r>
              <w:rPr>
                <w:rFonts w:ascii="黑体" w:eastAsia="黑体" w:hint="eastAsia"/>
                <w:spacing w:val="-2"/>
                <w:sz w:val="24"/>
              </w:rPr>
              <w:t>任何因其他传播方式</w:t>
            </w:r>
            <w:r>
              <w:rPr>
                <w:rFonts w:ascii="黑体" w:eastAsia="黑体" w:hint="eastAsia"/>
                <w:sz w:val="24"/>
              </w:rPr>
              <w:t>（</w:t>
            </w:r>
            <w:r>
              <w:rPr>
                <w:rFonts w:ascii="黑体" w:eastAsia="黑体" w:hint="eastAsia"/>
                <w:spacing w:val="-4"/>
                <w:sz w:val="24"/>
              </w:rPr>
              <w:t>包括：性传播或静脉注射毒品</w:t>
            </w:r>
            <w:r>
              <w:rPr>
                <w:rFonts w:ascii="黑体" w:eastAsia="黑体" w:hint="eastAsia"/>
                <w:spacing w:val="-17"/>
                <w:sz w:val="24"/>
              </w:rPr>
              <w:t>）</w:t>
            </w:r>
            <w:r>
              <w:rPr>
                <w:rFonts w:ascii="黑体" w:eastAsia="黑体" w:hint="eastAsia"/>
                <w:sz w:val="24"/>
              </w:rPr>
              <w:t>导致的 HIV</w:t>
            </w:r>
            <w:r>
              <w:rPr>
                <w:rFonts w:ascii="黑体" w:eastAsia="黑体" w:hint="eastAsia"/>
                <w:spacing w:val="-15"/>
                <w:sz w:val="24"/>
              </w:rPr>
              <w:t> 感染不在保障范围内。</w:t>
            </w:r>
          </w:p>
        </w:tc>
      </w:tr>
      <w:tr>
        <w:trPr>
          <w:trHeight w:val="1204" w:hRule="atLeast"/>
        </w:trPr>
        <w:tc>
          <w:tcPr>
            <w:tcW w:w="1910" w:type="dxa"/>
          </w:tcPr>
          <w:p>
            <w:pPr>
              <w:pStyle w:val="TableParagraph"/>
              <w:spacing w:before="11"/>
              <w:ind w:left="200"/>
              <w:rPr>
                <w:rFonts w:ascii="Microsoft JhengHei" w:eastAsia="Microsoft JhengHei" w:hint="eastAsia"/>
                <w:b/>
                <w:sz w:val="21"/>
              </w:rPr>
            </w:pPr>
            <w:r>
              <w:rPr>
                <w:rFonts w:ascii="Microsoft JhengHei" w:eastAsia="Microsoft JhengHei" w:hint="eastAsia"/>
                <w:b/>
                <w:sz w:val="21"/>
              </w:rPr>
              <w:t>95.  脑型疟疾</w:t>
            </w:r>
          </w:p>
        </w:tc>
        <w:tc>
          <w:tcPr>
            <w:tcW w:w="8130" w:type="dxa"/>
          </w:tcPr>
          <w:p>
            <w:pPr>
              <w:pStyle w:val="TableParagraph"/>
              <w:spacing w:line="259" w:lineRule="auto" w:before="88"/>
              <w:ind w:left="133" w:right="276"/>
              <w:rPr>
                <w:sz w:val="22"/>
              </w:rPr>
            </w:pPr>
            <w:r>
              <w:rPr>
                <w:sz w:val="22"/>
              </w:rPr>
              <w:t>恶性疟原虫严重感染导致的脑病或脑型疟疾，以昏迷为主要特征。脑型疟疾的诊断须由注册医生确认，且外周血涂片存在恶性疟原虫。</w:t>
            </w:r>
          </w:p>
          <w:p>
            <w:pPr>
              <w:pStyle w:val="TableParagraph"/>
              <w:spacing w:line="302" w:lineRule="exact"/>
              <w:ind w:left="133"/>
              <w:rPr>
                <w:rFonts w:ascii="黑体" w:eastAsia="黑体" w:hint="eastAsia"/>
                <w:sz w:val="24"/>
              </w:rPr>
            </w:pPr>
            <w:r>
              <w:rPr>
                <w:rFonts w:ascii="黑体" w:eastAsia="黑体" w:hint="eastAsia"/>
                <w:sz w:val="24"/>
              </w:rPr>
              <w:t>其他明确病因导致的脑病不在保障范围内。</w:t>
            </w:r>
          </w:p>
        </w:tc>
      </w:tr>
      <w:tr>
        <w:trPr>
          <w:trHeight w:val="1202" w:hRule="atLeast"/>
        </w:trPr>
        <w:tc>
          <w:tcPr>
            <w:tcW w:w="1910" w:type="dxa"/>
          </w:tcPr>
          <w:p>
            <w:pPr>
              <w:pStyle w:val="TableParagraph"/>
              <w:spacing w:before="54"/>
              <w:ind w:left="200"/>
              <w:rPr>
                <w:rFonts w:ascii="Microsoft JhengHei" w:eastAsia="Microsoft JhengHei" w:hint="eastAsia"/>
                <w:b/>
                <w:sz w:val="21"/>
              </w:rPr>
            </w:pPr>
            <w:r>
              <w:rPr>
                <w:rFonts w:ascii="Microsoft JhengHei" w:eastAsia="Microsoft JhengHei" w:hint="eastAsia"/>
                <w:b/>
                <w:sz w:val="21"/>
              </w:rPr>
              <w:t>96.  恶性葡萄胎</w:t>
            </w:r>
          </w:p>
        </w:tc>
        <w:tc>
          <w:tcPr>
            <w:tcW w:w="8130" w:type="dxa"/>
          </w:tcPr>
          <w:p>
            <w:pPr>
              <w:pStyle w:val="TableParagraph"/>
              <w:spacing w:line="259" w:lineRule="auto" w:before="131"/>
              <w:ind w:left="133" w:right="305"/>
              <w:jc w:val="both"/>
              <w:rPr>
                <w:sz w:val="22"/>
              </w:rPr>
            </w:pPr>
            <w:r>
              <w:rPr>
                <w:spacing w:val="1"/>
                <w:sz w:val="22"/>
              </w:rPr>
              <w:t>该类疾病是指异常增生的绒毛组织浸润性生长浸入子宫肌层或转移至其他器官</w:t>
            </w:r>
            <w:r>
              <w:rPr>
                <w:spacing w:val="-4"/>
                <w:sz w:val="22"/>
              </w:rPr>
              <w:t>或组织的葡萄胎，并已经进行化疗或手术治疗的，需要专家诊断并提供病理与血液检测以支持诊断。</w:t>
            </w:r>
          </w:p>
        </w:tc>
      </w:tr>
      <w:tr>
        <w:trPr>
          <w:trHeight w:val="2102" w:hRule="atLeast"/>
        </w:trPr>
        <w:tc>
          <w:tcPr>
            <w:tcW w:w="1910" w:type="dxa"/>
          </w:tcPr>
          <w:p>
            <w:pPr>
              <w:pStyle w:val="TableParagraph"/>
              <w:spacing w:line="204" w:lineRule="auto" w:before="71"/>
              <w:ind w:left="619" w:right="234" w:hanging="420"/>
              <w:jc w:val="both"/>
              <w:rPr>
                <w:rFonts w:ascii="Microsoft JhengHei" w:eastAsia="Microsoft JhengHei" w:hint="eastAsia"/>
                <w:b/>
                <w:sz w:val="21"/>
              </w:rPr>
            </w:pPr>
            <w:r>
              <w:rPr>
                <w:rFonts w:ascii="Microsoft JhengHei" w:eastAsia="Microsoft JhengHei" w:hint="eastAsia"/>
                <w:b/>
                <w:sz w:val="21"/>
              </w:rPr>
              <w:t>97. 湿性年龄相关性黄斑变性</w:t>
            </w:r>
          </w:p>
        </w:tc>
        <w:tc>
          <w:tcPr>
            <w:tcW w:w="8130" w:type="dxa"/>
          </w:tcPr>
          <w:p>
            <w:pPr>
              <w:pStyle w:val="TableParagraph"/>
              <w:spacing w:line="254" w:lineRule="auto" w:before="93"/>
              <w:ind w:left="133" w:right="304"/>
              <w:jc w:val="both"/>
              <w:rPr>
                <w:sz w:val="22"/>
              </w:rPr>
            </w:pPr>
            <w:r>
              <w:rPr>
                <w:spacing w:val="-6"/>
                <w:sz w:val="22"/>
              </w:rPr>
              <w:t>又称为新生血管性年龄相关性黄斑变性或“渗出性”年龄相关性黄斑变性，发生脉络膜新生血管</w:t>
            </w:r>
            <w:r>
              <w:rPr>
                <w:spacing w:val="-3"/>
                <w:sz w:val="22"/>
              </w:rPr>
              <w:t>（</w:t>
            </w:r>
            <w:r>
              <w:rPr>
                <w:rFonts w:ascii="Arial" w:hAnsi="Arial" w:eastAsia="Arial"/>
                <w:spacing w:val="-3"/>
                <w:sz w:val="22"/>
              </w:rPr>
              <w:t>CNV</w:t>
            </w:r>
            <w:r>
              <w:rPr>
                <w:spacing w:val="-3"/>
                <w:sz w:val="22"/>
              </w:rPr>
              <w:t>）</w:t>
            </w:r>
            <w:r>
              <w:rPr>
                <w:spacing w:val="-5"/>
                <w:sz w:val="22"/>
              </w:rPr>
              <w:t>异常生长穿透玻璃膜进入视网膜，新生血管渗漏，渗出</w:t>
            </w:r>
            <w:r>
              <w:rPr>
                <w:spacing w:val="-6"/>
                <w:sz w:val="22"/>
              </w:rPr>
              <w:t>及出血。该病必须由荧光素眼底血管造影检查提示黄斑区新生血管形成，并且必</w:t>
            </w:r>
            <w:r>
              <w:rPr>
                <w:spacing w:val="-5"/>
                <w:sz w:val="22"/>
              </w:rPr>
              <w:t>须由医院的眼科专科医生确诊为湿性年龄相关性黄斑变性。</w:t>
            </w:r>
          </w:p>
          <w:p>
            <w:pPr>
              <w:pStyle w:val="TableParagraph"/>
              <w:spacing w:line="237" w:lineRule="auto"/>
              <w:ind w:left="133" w:right="306"/>
              <w:jc w:val="both"/>
              <w:rPr>
                <w:rFonts w:ascii="黑体" w:eastAsia="黑体" w:hint="eastAsia"/>
                <w:sz w:val="24"/>
              </w:rPr>
            </w:pPr>
            <w:r>
              <w:rPr>
                <w:rFonts w:ascii="黑体" w:eastAsia="黑体" w:hint="eastAsia"/>
                <w:spacing w:val="-5"/>
                <w:sz w:val="24"/>
              </w:rPr>
              <w:t>被保险人申请理赔时须提供近 </w:t>
            </w:r>
            <w:r>
              <w:rPr>
                <w:rFonts w:ascii="黑体" w:eastAsia="黑体" w:hint="eastAsia"/>
                <w:sz w:val="24"/>
              </w:rPr>
              <w:t>3</w:t>
            </w:r>
            <w:r>
              <w:rPr>
                <w:rFonts w:ascii="黑体" w:eastAsia="黑体" w:hint="eastAsia"/>
                <w:spacing w:val="-8"/>
                <w:sz w:val="24"/>
              </w:rPr>
              <w:t> 个月内视力改变显示病情恶化的相关检查报告、诊断证明及病历报告。</w:t>
            </w:r>
          </w:p>
        </w:tc>
      </w:tr>
      <w:tr>
        <w:trPr>
          <w:trHeight w:val="1327" w:hRule="atLeast"/>
        </w:trPr>
        <w:tc>
          <w:tcPr>
            <w:tcW w:w="1910" w:type="dxa"/>
          </w:tcPr>
          <w:p>
            <w:pPr>
              <w:pStyle w:val="TableParagraph"/>
              <w:spacing w:line="204" w:lineRule="auto" w:before="66"/>
              <w:ind w:left="619" w:right="234" w:hanging="420"/>
              <w:rPr>
                <w:rFonts w:ascii="Microsoft JhengHei" w:eastAsia="Microsoft JhengHei" w:hint="eastAsia"/>
                <w:b/>
                <w:sz w:val="21"/>
              </w:rPr>
            </w:pPr>
            <w:r>
              <w:rPr>
                <w:rFonts w:ascii="Microsoft JhengHei" w:eastAsia="Microsoft JhengHei" w:hint="eastAsia"/>
                <w:b/>
                <w:sz w:val="21"/>
              </w:rPr>
              <w:t>98. 严重肺结节病</w:t>
            </w:r>
          </w:p>
        </w:tc>
        <w:tc>
          <w:tcPr>
            <w:tcW w:w="8130" w:type="dxa"/>
          </w:tcPr>
          <w:p>
            <w:pPr>
              <w:pStyle w:val="TableParagraph"/>
              <w:spacing w:line="259" w:lineRule="auto" w:before="88"/>
              <w:ind w:left="133" w:right="305"/>
              <w:jc w:val="both"/>
              <w:rPr>
                <w:sz w:val="22"/>
              </w:rPr>
            </w:pPr>
            <w:r>
              <w:rPr>
                <w:spacing w:val="-5"/>
                <w:sz w:val="22"/>
              </w:rPr>
              <w:t>结节病是一种原因未明的慢性肉芽肿病，可侵犯全身多个器官，以肺和淋巴结受</w:t>
            </w:r>
            <w:r>
              <w:rPr>
                <w:spacing w:val="-6"/>
                <w:sz w:val="22"/>
              </w:rPr>
              <w:t>累最为常见。严重肺结节病表现为肺的广泛纤维化导致慢性呼吸功能衰竭。必须</w:t>
            </w:r>
            <w:r>
              <w:rPr>
                <w:spacing w:val="-5"/>
                <w:sz w:val="22"/>
              </w:rPr>
              <w:t>满足下列所有条件：</w:t>
            </w:r>
          </w:p>
          <w:p>
            <w:pPr>
              <w:pStyle w:val="TableParagraph"/>
              <w:spacing w:line="284" w:lineRule="exact" w:before="6"/>
              <w:ind w:left="133"/>
              <w:jc w:val="both"/>
              <w:rPr>
                <w:sz w:val="22"/>
              </w:rPr>
            </w:pPr>
            <w:r>
              <w:rPr>
                <w:sz w:val="22"/>
              </w:rPr>
              <w:t>（</w:t>
            </w:r>
            <w:r>
              <w:rPr>
                <w:rFonts w:ascii="Arial" w:eastAsia="Arial"/>
                <w:sz w:val="22"/>
              </w:rPr>
              <w:t>1</w:t>
            </w:r>
            <w:r>
              <w:rPr>
                <w:sz w:val="22"/>
              </w:rPr>
              <w:t>） 肺结节病的 </w:t>
            </w:r>
            <w:r>
              <w:rPr>
                <w:rFonts w:ascii="Arial" w:eastAsia="Arial"/>
                <w:sz w:val="22"/>
              </w:rPr>
              <w:t>X </w:t>
            </w:r>
            <w:r>
              <w:rPr>
                <w:sz w:val="22"/>
              </w:rPr>
              <w:t>线分期为 </w:t>
            </w:r>
            <w:r>
              <w:rPr>
                <w:rFonts w:ascii="Arial" w:eastAsia="Arial"/>
                <w:sz w:val="22"/>
              </w:rPr>
              <w:t>IV </w:t>
            </w:r>
            <w:r>
              <w:rPr>
                <w:sz w:val="22"/>
              </w:rPr>
              <w:t>期，即广泛肺纤维化；</w:t>
            </w:r>
          </w:p>
        </w:tc>
      </w:tr>
    </w:tbl>
    <w:p>
      <w:pPr>
        <w:spacing w:after="0" w:line="284" w:lineRule="exact"/>
        <w:jc w:val="both"/>
        <w:rPr>
          <w:sz w:val="22"/>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8110"/>
      </w:tblGrid>
      <w:tr>
        <w:trPr>
          <w:trHeight w:val="710" w:hRule="atLeast"/>
        </w:trPr>
        <w:tc>
          <w:tcPr>
            <w:tcW w:w="1935" w:type="dxa"/>
          </w:tcPr>
          <w:p>
            <w:pPr>
              <w:pStyle w:val="TableParagraph"/>
              <w:ind w:left="0"/>
              <w:rPr>
                <w:rFonts w:ascii="Times New Roman"/>
                <w:sz w:val="20"/>
              </w:rPr>
            </w:pPr>
          </w:p>
        </w:tc>
        <w:tc>
          <w:tcPr>
            <w:tcW w:w="8110" w:type="dxa"/>
          </w:tcPr>
          <w:p>
            <w:pPr>
              <w:pStyle w:val="TableParagraph"/>
              <w:spacing w:line="247" w:lineRule="exact"/>
              <w:ind w:left="108"/>
              <w:rPr>
                <w:sz w:val="22"/>
              </w:rPr>
            </w:pPr>
            <w:r>
              <w:rPr>
                <w:spacing w:val="2"/>
                <w:sz w:val="22"/>
              </w:rPr>
              <w:t>（</w:t>
            </w:r>
            <w:r>
              <w:rPr>
                <w:rFonts w:ascii="Arial" w:eastAsia="Arial"/>
                <w:spacing w:val="2"/>
                <w:sz w:val="22"/>
              </w:rPr>
              <w:t>2</w:t>
            </w:r>
            <w:r>
              <w:rPr>
                <w:spacing w:val="2"/>
                <w:sz w:val="22"/>
              </w:rPr>
              <w:t>）</w:t>
            </w:r>
            <w:r>
              <w:rPr>
                <w:spacing w:val="-11"/>
                <w:sz w:val="22"/>
              </w:rPr>
              <w:t>永久不可逆性的慢性呼吸功能衰竭，临床持续 </w:t>
            </w:r>
            <w:r>
              <w:rPr>
                <w:rFonts w:ascii="Arial" w:eastAsia="Arial"/>
                <w:sz w:val="22"/>
              </w:rPr>
              <w:t>180 </w:t>
            </w:r>
            <w:r>
              <w:rPr>
                <w:spacing w:val="-17"/>
                <w:sz w:val="22"/>
              </w:rPr>
              <w:t>天动脉血氧分压</w:t>
            </w:r>
            <w:r>
              <w:rPr>
                <w:sz w:val="22"/>
              </w:rPr>
              <w:t>（</w:t>
            </w:r>
            <w:r>
              <w:rPr>
                <w:rFonts w:ascii="Arial" w:eastAsia="Arial"/>
                <w:sz w:val="22"/>
              </w:rPr>
              <w:t>PaO2</w:t>
            </w:r>
            <w:r>
              <w:rPr>
                <w:sz w:val="22"/>
              </w:rPr>
              <w:t>）</w:t>
            </w:r>
          </w:p>
          <w:p>
            <w:pPr>
              <w:pStyle w:val="TableParagraph"/>
              <w:spacing w:before="8"/>
              <w:ind w:left="658"/>
              <w:rPr>
                <w:sz w:val="22"/>
              </w:rPr>
            </w:pPr>
            <w:r>
              <w:rPr>
                <w:rFonts w:ascii="Arial" w:eastAsia="Arial"/>
                <w:sz w:val="22"/>
              </w:rPr>
              <w:t>&lt;50mmHg </w:t>
            </w:r>
            <w:r>
              <w:rPr>
                <w:sz w:val="22"/>
              </w:rPr>
              <w:t>和动脉血氧饱和度（</w:t>
            </w:r>
            <w:r>
              <w:rPr>
                <w:rFonts w:ascii="Arial" w:eastAsia="Arial"/>
                <w:sz w:val="22"/>
              </w:rPr>
              <w:t>SaO2</w:t>
            </w:r>
            <w:r>
              <w:rPr>
                <w:sz w:val="22"/>
              </w:rPr>
              <w:t>）</w:t>
            </w:r>
            <w:r>
              <w:rPr>
                <w:rFonts w:ascii="Arial" w:eastAsia="Arial"/>
                <w:sz w:val="22"/>
              </w:rPr>
              <w:t>&lt;80%</w:t>
            </w:r>
            <w:r>
              <w:rPr>
                <w:sz w:val="22"/>
              </w:rPr>
              <w:t>。</w:t>
            </w:r>
          </w:p>
        </w:tc>
      </w:tr>
      <w:tr>
        <w:trPr>
          <w:trHeight w:val="2412" w:hRule="atLeast"/>
        </w:trPr>
        <w:tc>
          <w:tcPr>
            <w:tcW w:w="1935" w:type="dxa"/>
          </w:tcPr>
          <w:p>
            <w:pPr>
              <w:pStyle w:val="TableParagraph"/>
              <w:spacing w:before="8"/>
              <w:ind w:left="200"/>
              <w:rPr>
                <w:rFonts w:ascii="Microsoft JhengHei" w:eastAsia="Microsoft JhengHei" w:hint="eastAsia"/>
                <w:b/>
                <w:sz w:val="21"/>
              </w:rPr>
            </w:pPr>
            <w:r>
              <w:rPr>
                <w:rFonts w:ascii="Microsoft JhengHei" w:eastAsia="Microsoft JhengHei" w:hint="eastAsia"/>
                <w:b/>
                <w:sz w:val="21"/>
              </w:rPr>
              <w:t>99.  神经白塞病</w:t>
            </w:r>
          </w:p>
        </w:tc>
        <w:tc>
          <w:tcPr>
            <w:tcW w:w="8110" w:type="dxa"/>
          </w:tcPr>
          <w:p>
            <w:pPr>
              <w:pStyle w:val="TableParagraph"/>
              <w:spacing w:line="259" w:lineRule="auto" w:before="85"/>
              <w:ind w:left="108" w:right="310"/>
              <w:jc w:val="both"/>
              <w:rPr>
                <w:sz w:val="22"/>
              </w:rPr>
            </w:pPr>
            <w:r>
              <w:rPr>
                <w:spacing w:val="-5"/>
                <w:sz w:val="22"/>
              </w:rPr>
              <w:t>白塞病是一种慢性全身性血管炎症性疾病，主要表现为复发性口腔溃疡、生殖器溃疡、眼炎及皮肤损害，并可累及大血管、神经系统、消化道、肺、肾等等。累</w:t>
            </w:r>
            <w:r>
              <w:rPr>
                <w:spacing w:val="-6"/>
                <w:sz w:val="22"/>
              </w:rPr>
              <w:t>及神经系统损害的白塞病称为神经白塞病。神经白塞病必须明确诊断，并且已经造成永久不可逆的神经系统功能损害。永久不可逆的神经系统损害指被保险人持</w:t>
            </w:r>
            <w:r>
              <w:rPr>
                <w:spacing w:val="-27"/>
                <w:sz w:val="22"/>
              </w:rPr>
              <w:t>续 </w:t>
            </w:r>
            <w:r>
              <w:rPr>
                <w:rFonts w:ascii="Arial" w:eastAsia="Arial"/>
                <w:sz w:val="22"/>
              </w:rPr>
              <w:t>180 </w:t>
            </w:r>
            <w:r>
              <w:rPr>
                <w:spacing w:val="-3"/>
                <w:sz w:val="22"/>
              </w:rPr>
              <w:t>天无法独立完成下列基本日常生活活动之一：</w:t>
            </w:r>
          </w:p>
          <w:p>
            <w:pPr>
              <w:pStyle w:val="TableParagraph"/>
              <w:spacing w:line="292" w:lineRule="exact"/>
              <w:ind w:left="108"/>
              <w:jc w:val="both"/>
              <w:rPr>
                <w:sz w:val="22"/>
              </w:rPr>
            </w:pPr>
            <w:r>
              <w:rPr>
                <w:sz w:val="22"/>
              </w:rPr>
              <w:t>（</w:t>
            </w:r>
            <w:r>
              <w:rPr>
                <w:rFonts w:ascii="Arial" w:eastAsia="Arial"/>
                <w:sz w:val="22"/>
              </w:rPr>
              <w:t>1</w:t>
            </w:r>
            <w:r>
              <w:rPr>
                <w:sz w:val="22"/>
              </w:rPr>
              <w:t>）移动：自己从一个房间到另一个房间；</w:t>
            </w:r>
          </w:p>
          <w:p>
            <w:pPr>
              <w:pStyle w:val="TableParagraph"/>
              <w:spacing w:before="8"/>
              <w:ind w:left="108"/>
              <w:jc w:val="both"/>
              <w:rPr>
                <w:sz w:val="22"/>
              </w:rPr>
            </w:pPr>
            <w:r>
              <w:rPr>
                <w:sz w:val="22"/>
              </w:rPr>
              <w:t>（</w:t>
            </w:r>
            <w:r>
              <w:rPr>
                <w:rFonts w:ascii="Arial" w:eastAsia="Arial"/>
                <w:sz w:val="22"/>
              </w:rPr>
              <w:t>2</w:t>
            </w:r>
            <w:r>
              <w:rPr>
                <w:sz w:val="22"/>
              </w:rPr>
              <w:t>）进食：自己从已准备好的碗或碟中取食物放入口中。</w:t>
            </w:r>
          </w:p>
        </w:tc>
      </w:tr>
      <w:tr>
        <w:trPr>
          <w:trHeight w:val="3038" w:hRule="atLeast"/>
        </w:trPr>
        <w:tc>
          <w:tcPr>
            <w:tcW w:w="1935" w:type="dxa"/>
          </w:tcPr>
          <w:p>
            <w:pPr>
              <w:pStyle w:val="TableParagraph"/>
              <w:spacing w:line="204" w:lineRule="auto" w:before="63"/>
              <w:ind w:left="619" w:right="180" w:hanging="420"/>
              <w:jc w:val="both"/>
              <w:rPr>
                <w:rFonts w:ascii="Microsoft JhengHei" w:eastAsia="Microsoft JhengHei" w:hint="eastAsia"/>
                <w:b/>
                <w:sz w:val="21"/>
              </w:rPr>
            </w:pPr>
            <w:r>
              <w:rPr>
                <w:rFonts w:ascii="Microsoft JhengHei" w:eastAsia="Microsoft JhengHei" w:hint="eastAsia"/>
                <w:b/>
                <w:sz w:val="21"/>
              </w:rPr>
              <w:t>100</w:t>
            </w:r>
            <w:r>
              <w:rPr>
                <w:rFonts w:ascii="Microsoft JhengHei" w:eastAsia="Microsoft JhengHei" w:hint="eastAsia"/>
                <w:b/>
                <w:spacing w:val="-6"/>
                <w:sz w:val="21"/>
              </w:rPr>
              <w:t>. 严重心脏衰</w:t>
            </w:r>
            <w:r>
              <w:rPr>
                <w:rFonts w:ascii="Microsoft JhengHei" w:eastAsia="Microsoft JhengHei" w:hint="eastAsia"/>
                <w:b/>
                <w:spacing w:val="-4"/>
                <w:sz w:val="21"/>
              </w:rPr>
              <w:t>竭 </w:t>
            </w:r>
            <w:r>
              <w:rPr>
                <w:rFonts w:ascii="Microsoft JhengHei" w:eastAsia="Microsoft JhengHei" w:hint="eastAsia"/>
                <w:b/>
                <w:sz w:val="21"/>
              </w:rPr>
              <w:t>CRT</w:t>
            </w:r>
            <w:r>
              <w:rPr>
                <w:rFonts w:ascii="Microsoft JhengHei" w:eastAsia="Microsoft JhengHei" w:hint="eastAsia"/>
                <w:b/>
                <w:spacing w:val="-3"/>
                <w:sz w:val="21"/>
              </w:rPr>
              <w:t> 心脏</w:t>
            </w:r>
            <w:r>
              <w:rPr>
                <w:rFonts w:ascii="Microsoft JhengHei" w:eastAsia="Microsoft JhengHei" w:hint="eastAsia"/>
                <w:b/>
                <w:spacing w:val="-1"/>
                <w:sz w:val="21"/>
              </w:rPr>
              <w:t>再同步治疗</w:t>
            </w:r>
          </w:p>
        </w:tc>
        <w:tc>
          <w:tcPr>
            <w:tcW w:w="8110" w:type="dxa"/>
          </w:tcPr>
          <w:p>
            <w:pPr>
              <w:pStyle w:val="TableParagraph"/>
              <w:spacing w:before="85"/>
              <w:ind w:left="108"/>
              <w:rPr>
                <w:sz w:val="22"/>
              </w:rPr>
            </w:pPr>
            <w:r>
              <w:rPr>
                <w:sz w:val="22"/>
              </w:rPr>
              <w:t>指因缺血性心脏病或扩张性心肌病导致慢性严重心脏衰竭，被保险人实际接受了</w:t>
            </w:r>
          </w:p>
          <w:p>
            <w:pPr>
              <w:pStyle w:val="TableParagraph"/>
              <w:spacing w:line="247" w:lineRule="auto" w:before="24"/>
              <w:ind w:left="108" w:right="268"/>
              <w:rPr>
                <w:sz w:val="22"/>
              </w:rPr>
            </w:pPr>
            <w:r>
              <w:rPr>
                <w:rFonts w:ascii="Arial" w:eastAsia="Arial"/>
                <w:sz w:val="22"/>
              </w:rPr>
              <w:t>CRT</w:t>
            </w:r>
            <w:r>
              <w:rPr>
                <w:sz w:val="22"/>
              </w:rPr>
              <w:t>治疗，以矫正心室收缩不协调和改善心脏功能。接受治疗之前必须满足下列所有条件：</w:t>
            </w:r>
          </w:p>
          <w:p>
            <w:pPr>
              <w:pStyle w:val="TableParagraph"/>
              <w:spacing w:before="17"/>
              <w:ind w:left="108"/>
              <w:rPr>
                <w:rFonts w:ascii="Arial" w:eastAsia="Arial"/>
                <w:sz w:val="22"/>
              </w:rPr>
            </w:pPr>
            <w:r>
              <w:rPr>
                <w:sz w:val="22"/>
              </w:rPr>
              <w:t>（</w:t>
            </w:r>
            <w:r>
              <w:rPr>
                <w:rFonts w:ascii="Arial" w:eastAsia="Arial"/>
                <w:sz w:val="22"/>
              </w:rPr>
              <w:t>1</w:t>
            </w:r>
            <w:r>
              <w:rPr>
                <w:sz w:val="22"/>
              </w:rPr>
              <w:t>）心功能衰竭程度达到纽约心脏病学会的心功能分级标准之心功能 </w:t>
            </w:r>
            <w:r>
              <w:rPr>
                <w:rFonts w:ascii="Arial" w:eastAsia="Arial"/>
                <w:sz w:val="22"/>
              </w:rPr>
              <w:t>III </w:t>
            </w:r>
            <w:r>
              <w:rPr>
                <w:sz w:val="22"/>
              </w:rPr>
              <w:t>级或 </w:t>
            </w:r>
            <w:r>
              <w:rPr>
                <w:rFonts w:ascii="Arial" w:eastAsia="Arial"/>
                <w:sz w:val="22"/>
              </w:rPr>
              <w:t>IV</w:t>
            </w:r>
          </w:p>
          <w:p>
            <w:pPr>
              <w:pStyle w:val="TableParagraph"/>
              <w:spacing w:before="8"/>
              <w:ind w:left="658"/>
              <w:rPr>
                <w:sz w:val="22"/>
              </w:rPr>
            </w:pPr>
            <w:r>
              <w:rPr>
                <w:sz w:val="22"/>
              </w:rPr>
              <w:t>级；</w:t>
            </w:r>
          </w:p>
          <w:p>
            <w:pPr>
              <w:pStyle w:val="TableParagraph"/>
              <w:spacing w:before="24"/>
              <w:ind w:left="108"/>
              <w:rPr>
                <w:sz w:val="22"/>
              </w:rPr>
            </w:pPr>
            <w:r>
              <w:rPr>
                <w:sz w:val="22"/>
              </w:rPr>
              <w:t>（</w:t>
            </w:r>
            <w:r>
              <w:rPr>
                <w:rFonts w:ascii="Arial" w:eastAsia="Arial"/>
                <w:sz w:val="22"/>
              </w:rPr>
              <w:t>2</w:t>
            </w:r>
            <w:r>
              <w:rPr>
                <w:sz w:val="22"/>
              </w:rPr>
              <w:t>）左室射血分数低于 </w:t>
            </w:r>
            <w:r>
              <w:rPr>
                <w:rFonts w:ascii="Arial" w:eastAsia="Arial"/>
                <w:sz w:val="22"/>
              </w:rPr>
              <w:t>35%</w:t>
            </w:r>
            <w:r>
              <w:rPr>
                <w:sz w:val="22"/>
              </w:rPr>
              <w:t>；</w:t>
            </w:r>
          </w:p>
          <w:p>
            <w:pPr>
              <w:pStyle w:val="TableParagraph"/>
              <w:spacing w:before="8"/>
              <w:ind w:left="108"/>
              <w:rPr>
                <w:sz w:val="22"/>
              </w:rPr>
            </w:pPr>
            <w:r>
              <w:rPr>
                <w:sz w:val="22"/>
              </w:rPr>
              <w:t>（</w:t>
            </w:r>
            <w:r>
              <w:rPr>
                <w:rFonts w:ascii="Arial" w:hAnsi="Arial" w:eastAsia="Arial"/>
                <w:sz w:val="22"/>
              </w:rPr>
              <w:t>3</w:t>
            </w:r>
            <w:r>
              <w:rPr>
                <w:sz w:val="22"/>
              </w:rPr>
              <w:t>）左室舒张末期内径</w:t>
            </w:r>
            <w:r>
              <w:rPr>
                <w:rFonts w:ascii="Arial" w:hAnsi="Arial" w:eastAsia="Arial"/>
                <w:sz w:val="22"/>
              </w:rPr>
              <w:t>≥55mm</w:t>
            </w:r>
            <w:r>
              <w:rPr>
                <w:sz w:val="22"/>
              </w:rPr>
              <w:t>；</w:t>
            </w:r>
          </w:p>
          <w:p>
            <w:pPr>
              <w:pStyle w:val="TableParagraph"/>
              <w:spacing w:before="8"/>
              <w:ind w:left="108"/>
              <w:rPr>
                <w:sz w:val="22"/>
              </w:rPr>
            </w:pPr>
            <w:r>
              <w:rPr>
                <w:sz w:val="22"/>
              </w:rPr>
              <w:t>（</w:t>
            </w:r>
            <w:r>
              <w:rPr>
                <w:rFonts w:ascii="Arial" w:hAnsi="Arial" w:eastAsia="Arial"/>
                <w:sz w:val="22"/>
              </w:rPr>
              <w:t>4</w:t>
            </w:r>
            <w:r>
              <w:rPr>
                <w:sz w:val="22"/>
              </w:rPr>
              <w:t>）</w:t>
            </w:r>
            <w:r>
              <w:rPr>
                <w:rFonts w:ascii="Arial" w:hAnsi="Arial" w:eastAsia="Arial"/>
                <w:sz w:val="22"/>
              </w:rPr>
              <w:t>QRS </w:t>
            </w:r>
            <w:r>
              <w:rPr>
                <w:sz w:val="22"/>
              </w:rPr>
              <w:t>时间</w:t>
            </w:r>
            <w:r>
              <w:rPr>
                <w:rFonts w:ascii="Arial" w:hAnsi="Arial" w:eastAsia="Arial"/>
                <w:sz w:val="22"/>
              </w:rPr>
              <w:t>≥130msec</w:t>
            </w:r>
            <w:r>
              <w:rPr>
                <w:sz w:val="22"/>
              </w:rPr>
              <w:t>；</w:t>
            </w:r>
          </w:p>
          <w:p>
            <w:pPr>
              <w:pStyle w:val="TableParagraph"/>
              <w:spacing w:before="8"/>
              <w:ind w:left="108"/>
              <w:rPr>
                <w:sz w:val="22"/>
              </w:rPr>
            </w:pPr>
            <w:r>
              <w:rPr>
                <w:sz w:val="22"/>
              </w:rPr>
              <w:t>（</w:t>
            </w:r>
            <w:r>
              <w:rPr>
                <w:rFonts w:ascii="Arial" w:eastAsia="Arial"/>
                <w:sz w:val="22"/>
              </w:rPr>
              <w:t>5</w:t>
            </w:r>
            <w:r>
              <w:rPr>
                <w:sz w:val="22"/>
              </w:rPr>
              <w:t>）药物治疗效果不佳，仍有症状。</w:t>
            </w:r>
          </w:p>
        </w:tc>
      </w:tr>
      <w:tr>
        <w:trPr>
          <w:trHeight w:val="5205" w:hRule="atLeast"/>
        </w:trPr>
        <w:tc>
          <w:tcPr>
            <w:tcW w:w="1935" w:type="dxa"/>
          </w:tcPr>
          <w:p>
            <w:pPr>
              <w:pStyle w:val="TableParagraph"/>
              <w:spacing w:before="89"/>
              <w:ind w:left="0" w:right="105"/>
              <w:jc w:val="right"/>
              <w:rPr>
                <w:b/>
                <w:sz w:val="21"/>
              </w:rPr>
            </w:pPr>
            <w:r>
              <w:rPr>
                <w:b/>
                <w:sz w:val="21"/>
              </w:rPr>
              <w:t>注：</w:t>
            </w:r>
          </w:p>
        </w:tc>
        <w:tc>
          <w:tcPr>
            <w:tcW w:w="8110" w:type="dxa"/>
          </w:tcPr>
          <w:p>
            <w:pPr>
              <w:pStyle w:val="TableParagraph"/>
              <w:spacing w:before="89"/>
              <w:ind w:left="108"/>
              <w:rPr>
                <w:sz w:val="21"/>
              </w:rPr>
            </w:pPr>
            <w:r>
              <w:rPr>
                <w:sz w:val="21"/>
              </w:rPr>
              <w:t>1、六项基本日常生活活动</w:t>
            </w:r>
          </w:p>
          <w:p>
            <w:pPr>
              <w:pStyle w:val="TableParagraph"/>
              <w:spacing w:before="36"/>
              <w:ind w:left="108"/>
              <w:rPr>
                <w:sz w:val="21"/>
              </w:rPr>
            </w:pPr>
            <w:r>
              <w:rPr>
                <w:sz w:val="21"/>
              </w:rPr>
              <w:t>六项基本日常生活活动是指：</w:t>
            </w:r>
          </w:p>
          <w:p>
            <w:pPr>
              <w:pStyle w:val="TableParagraph"/>
              <w:spacing w:before="36"/>
              <w:ind w:left="108"/>
              <w:rPr>
                <w:sz w:val="21"/>
              </w:rPr>
            </w:pPr>
            <w:r>
              <w:rPr>
                <w:sz w:val="21"/>
              </w:rPr>
              <w:t>（</w:t>
            </w:r>
            <w:r>
              <w:rPr>
                <w:rFonts w:ascii="Arial" w:eastAsia="Arial"/>
                <w:sz w:val="21"/>
              </w:rPr>
              <w:t>1</w:t>
            </w:r>
            <w:r>
              <w:rPr>
                <w:sz w:val="21"/>
              </w:rPr>
              <w:t>）穿衣：自己能够穿衣及脱衣；</w:t>
            </w:r>
          </w:p>
          <w:p>
            <w:pPr>
              <w:pStyle w:val="TableParagraph"/>
              <w:spacing w:before="21"/>
              <w:ind w:left="108"/>
              <w:rPr>
                <w:sz w:val="21"/>
              </w:rPr>
            </w:pPr>
            <w:r>
              <w:rPr>
                <w:sz w:val="21"/>
              </w:rPr>
              <w:t>（</w:t>
            </w:r>
            <w:r>
              <w:rPr>
                <w:rFonts w:ascii="Arial" w:eastAsia="Arial"/>
                <w:sz w:val="21"/>
              </w:rPr>
              <w:t>2</w:t>
            </w:r>
            <w:r>
              <w:rPr>
                <w:sz w:val="21"/>
              </w:rPr>
              <w:t>）移动：自己从一个房间到另一个房间；</w:t>
            </w:r>
          </w:p>
          <w:p>
            <w:pPr>
              <w:pStyle w:val="TableParagraph"/>
              <w:spacing w:before="22"/>
              <w:ind w:left="108"/>
              <w:rPr>
                <w:sz w:val="21"/>
              </w:rPr>
            </w:pPr>
            <w:r>
              <w:rPr>
                <w:sz w:val="21"/>
              </w:rPr>
              <w:t>（</w:t>
            </w:r>
            <w:r>
              <w:rPr>
                <w:rFonts w:ascii="Arial" w:eastAsia="Arial"/>
                <w:sz w:val="21"/>
              </w:rPr>
              <w:t>3</w:t>
            </w:r>
            <w:r>
              <w:rPr>
                <w:sz w:val="21"/>
              </w:rPr>
              <w:t>）行动：自己上下床或上下轮椅；</w:t>
            </w:r>
          </w:p>
          <w:p>
            <w:pPr>
              <w:pStyle w:val="TableParagraph"/>
              <w:spacing w:before="22"/>
              <w:ind w:left="108"/>
              <w:rPr>
                <w:sz w:val="21"/>
              </w:rPr>
            </w:pPr>
            <w:r>
              <w:rPr>
                <w:sz w:val="21"/>
              </w:rPr>
              <w:t>（</w:t>
            </w:r>
            <w:r>
              <w:rPr>
                <w:rFonts w:ascii="Arial" w:eastAsia="Arial"/>
                <w:sz w:val="21"/>
              </w:rPr>
              <w:t>4</w:t>
            </w:r>
            <w:r>
              <w:rPr>
                <w:sz w:val="21"/>
              </w:rPr>
              <w:t>）如厕：自己控制进行大小便；</w:t>
            </w:r>
          </w:p>
          <w:p>
            <w:pPr>
              <w:pStyle w:val="TableParagraph"/>
              <w:spacing w:before="22"/>
              <w:ind w:left="108"/>
              <w:rPr>
                <w:sz w:val="21"/>
              </w:rPr>
            </w:pPr>
            <w:r>
              <w:rPr>
                <w:sz w:val="21"/>
              </w:rPr>
              <w:t>（</w:t>
            </w:r>
            <w:r>
              <w:rPr>
                <w:rFonts w:ascii="Arial" w:eastAsia="Arial"/>
                <w:sz w:val="21"/>
              </w:rPr>
              <w:t>5</w:t>
            </w:r>
            <w:r>
              <w:rPr>
                <w:sz w:val="21"/>
              </w:rPr>
              <w:t>）进食：自己从已准备好的碗或碟中取食物放入口中；</w:t>
            </w:r>
          </w:p>
          <w:p>
            <w:pPr>
              <w:pStyle w:val="TableParagraph"/>
              <w:spacing w:before="22"/>
              <w:ind w:left="108"/>
              <w:rPr>
                <w:sz w:val="21"/>
              </w:rPr>
            </w:pPr>
            <w:r>
              <w:rPr>
                <w:sz w:val="21"/>
              </w:rPr>
              <w:t>（</w:t>
            </w:r>
            <w:r>
              <w:rPr>
                <w:rFonts w:ascii="Arial" w:eastAsia="Arial"/>
                <w:sz w:val="21"/>
              </w:rPr>
              <w:t>6</w:t>
            </w:r>
            <w:r>
              <w:rPr>
                <w:sz w:val="21"/>
              </w:rPr>
              <w:t>）洗澡：自己进行淋浴或盆浴。</w:t>
            </w:r>
          </w:p>
          <w:p>
            <w:pPr>
              <w:pStyle w:val="TableParagraph"/>
              <w:spacing w:before="22"/>
              <w:ind w:left="108"/>
              <w:rPr>
                <w:sz w:val="21"/>
              </w:rPr>
            </w:pPr>
            <w:r>
              <w:rPr>
                <w:sz w:val="21"/>
              </w:rPr>
              <w:t>2、肢体机能完全丧失</w:t>
            </w:r>
          </w:p>
          <w:p>
            <w:pPr>
              <w:pStyle w:val="TableParagraph"/>
              <w:spacing w:line="273" w:lineRule="auto" w:before="37"/>
              <w:ind w:left="108" w:right="309"/>
              <w:rPr>
                <w:sz w:val="21"/>
              </w:rPr>
            </w:pPr>
            <w:r>
              <w:rPr>
                <w:spacing w:val="-8"/>
                <w:sz w:val="21"/>
              </w:rPr>
              <w:t>指肢体的三大关节中的两大关节僵硬，或不能随意识活动。肢体是指包括肩关节的整</w:t>
            </w:r>
            <w:r>
              <w:rPr>
                <w:spacing w:val="-5"/>
                <w:sz w:val="21"/>
              </w:rPr>
              <w:t>个上肢或包括髋关节的整个下肢。</w:t>
            </w:r>
          </w:p>
          <w:p>
            <w:pPr>
              <w:pStyle w:val="TableParagraph"/>
              <w:spacing w:before="7"/>
              <w:ind w:left="108"/>
              <w:rPr>
                <w:sz w:val="21"/>
              </w:rPr>
            </w:pPr>
            <w:r>
              <w:rPr>
                <w:sz w:val="21"/>
              </w:rPr>
              <w:t>3、语言能力或咀嚼吞咽能力完全丧失</w:t>
            </w:r>
          </w:p>
          <w:p>
            <w:pPr>
              <w:pStyle w:val="TableParagraph"/>
              <w:spacing w:line="273" w:lineRule="auto" w:before="36"/>
              <w:ind w:left="108" w:right="222"/>
              <w:rPr>
                <w:sz w:val="21"/>
              </w:rPr>
            </w:pPr>
            <w:r>
              <w:rPr>
                <w:spacing w:val="-3"/>
                <w:sz w:val="21"/>
              </w:rPr>
              <w:t>语言能力完全丧失，指无法发出四种语音</w:t>
            </w:r>
            <w:r>
              <w:rPr>
                <w:sz w:val="21"/>
              </w:rPr>
              <w:t>（</w:t>
            </w:r>
            <w:r>
              <w:rPr>
                <w:spacing w:val="-3"/>
                <w:sz w:val="21"/>
              </w:rPr>
              <w:t>包括口唇音、齿舌音、口盖音和喉头音</w:t>
            </w:r>
            <w:r>
              <w:rPr>
                <w:sz w:val="21"/>
              </w:rPr>
              <w:t>） </w:t>
            </w:r>
            <w:r>
              <w:rPr>
                <w:spacing w:val="-3"/>
                <w:sz w:val="21"/>
              </w:rPr>
              <w:t>中的任何三种、或声带全部切除，或因大脑语言中枢受伤害而患失语症。 咀嚼吞咽</w:t>
            </w:r>
            <w:r>
              <w:rPr>
                <w:spacing w:val="-10"/>
                <w:sz w:val="21"/>
              </w:rPr>
              <w:t>能力完全丧失，指因牙齿以外的原因导致器质障碍或机能障碍，以致不能作咀嚼吞咽</w:t>
            </w:r>
            <w:r>
              <w:rPr>
                <w:spacing w:val="-5"/>
                <w:sz w:val="21"/>
              </w:rPr>
              <w:t>运动，除流质食物外不能摄取或吞咽的状态。</w:t>
            </w:r>
          </w:p>
        </w:tc>
      </w:tr>
      <w:tr>
        <w:trPr>
          <w:trHeight w:val="2892" w:hRule="atLeast"/>
        </w:trPr>
        <w:tc>
          <w:tcPr>
            <w:tcW w:w="1935" w:type="dxa"/>
          </w:tcPr>
          <w:p>
            <w:pPr>
              <w:pStyle w:val="TableParagraph"/>
              <w:spacing w:before="129"/>
              <w:ind w:left="200"/>
              <w:rPr>
                <w:b/>
                <w:sz w:val="21"/>
              </w:rPr>
            </w:pPr>
            <w:r>
              <w:rPr>
                <w:b/>
                <w:sz w:val="21"/>
              </w:rPr>
              <w:t>少儿特定疾病</w:t>
            </w:r>
          </w:p>
        </w:tc>
        <w:tc>
          <w:tcPr>
            <w:tcW w:w="8110" w:type="dxa"/>
          </w:tcPr>
          <w:p>
            <w:pPr>
              <w:pStyle w:val="TableParagraph"/>
              <w:spacing w:line="259" w:lineRule="auto" w:before="105"/>
              <w:ind w:left="108" w:right="305"/>
              <w:rPr>
                <w:sz w:val="21"/>
              </w:rPr>
            </w:pPr>
            <w:r>
              <w:rPr>
                <w:spacing w:val="-3"/>
                <w:w w:val="100"/>
                <w:sz w:val="21"/>
              </w:rPr>
              <w:t>指被保险人发生符合第六部分名词释义“重大疾病”中的以下疾病</w:t>
            </w:r>
            <w:r>
              <w:rPr>
                <w:spacing w:val="-1"/>
                <w:w w:val="100"/>
                <w:sz w:val="21"/>
              </w:rPr>
              <w:t>（</w:t>
            </w:r>
            <w:r>
              <w:rPr>
                <w:w w:val="100"/>
                <w:sz w:val="21"/>
              </w:rPr>
              <w:t>共</w:t>
            </w:r>
            <w:r>
              <w:rPr>
                <w:sz w:val="21"/>
              </w:rPr>
              <w:t> </w:t>
            </w:r>
            <w:r>
              <w:rPr>
                <w:rFonts w:ascii="Arial" w:hAnsi="Arial" w:eastAsia="Arial"/>
                <w:w w:val="100"/>
                <w:sz w:val="21"/>
              </w:rPr>
              <w:t>8</w:t>
            </w:r>
            <w:r>
              <w:rPr>
                <w:rFonts w:ascii="Arial" w:hAnsi="Arial" w:eastAsia="Arial"/>
                <w:sz w:val="21"/>
              </w:rPr>
              <w:t> </w:t>
            </w:r>
            <w:r>
              <w:rPr>
                <w:spacing w:val="-2"/>
                <w:w w:val="100"/>
                <w:sz w:val="21"/>
              </w:rPr>
              <w:t>种</w:t>
            </w:r>
            <w:r>
              <w:rPr>
                <w:spacing w:val="-108"/>
                <w:w w:val="100"/>
                <w:sz w:val="21"/>
              </w:rPr>
              <w:t>）</w:t>
            </w:r>
            <w:r>
              <w:rPr>
                <w:w w:val="100"/>
                <w:sz w:val="21"/>
              </w:rPr>
              <w:t>，应当</w:t>
            </w:r>
            <w:r>
              <w:rPr>
                <w:spacing w:val="-3"/>
                <w:sz w:val="21"/>
              </w:rPr>
              <w:t>由专科医生明确诊断：</w:t>
            </w:r>
          </w:p>
          <w:p>
            <w:pPr>
              <w:pStyle w:val="TableParagraph"/>
              <w:numPr>
                <w:ilvl w:val="0"/>
                <w:numId w:val="16"/>
              </w:numPr>
              <w:tabs>
                <w:tab w:pos="740" w:val="left" w:leader="none"/>
              </w:tabs>
              <w:spacing w:line="240" w:lineRule="auto" w:before="20" w:after="0"/>
              <w:ind w:left="739" w:right="0" w:hanging="631"/>
              <w:jc w:val="left"/>
              <w:rPr>
                <w:sz w:val="21"/>
              </w:rPr>
            </w:pPr>
            <w:r>
              <w:rPr>
                <w:spacing w:val="-21"/>
                <w:sz w:val="21"/>
              </w:rPr>
              <w:t>第 </w:t>
            </w:r>
            <w:r>
              <w:rPr>
                <w:rFonts w:ascii="Times New Roman" w:eastAsia="Times New Roman"/>
                <w:sz w:val="21"/>
              </w:rPr>
              <w:t>4</w:t>
            </w:r>
            <w:r>
              <w:rPr>
                <w:rFonts w:ascii="Times New Roman" w:eastAsia="Times New Roman"/>
                <w:spacing w:val="10"/>
                <w:sz w:val="21"/>
              </w:rPr>
              <w:t> </w:t>
            </w:r>
            <w:r>
              <w:rPr>
                <w:spacing w:val="-3"/>
                <w:sz w:val="21"/>
              </w:rPr>
              <w:t>种</w:t>
            </w:r>
            <w:r>
              <w:rPr>
                <w:sz w:val="21"/>
              </w:rPr>
              <w:t>（</w:t>
            </w:r>
            <w:r>
              <w:rPr>
                <w:spacing w:val="-3"/>
                <w:sz w:val="21"/>
              </w:rPr>
              <w:t>重大器官移植术或造血干细胞移植术</w:t>
            </w:r>
            <w:r>
              <w:rPr>
                <w:sz w:val="21"/>
              </w:rPr>
              <w:t>）</w:t>
            </w:r>
          </w:p>
          <w:p>
            <w:pPr>
              <w:pStyle w:val="TableParagraph"/>
              <w:numPr>
                <w:ilvl w:val="0"/>
                <w:numId w:val="16"/>
              </w:numPr>
              <w:tabs>
                <w:tab w:pos="740" w:val="left" w:leader="none"/>
              </w:tabs>
              <w:spacing w:line="240" w:lineRule="auto" w:before="21" w:after="0"/>
              <w:ind w:left="739" w:right="0" w:hanging="631"/>
              <w:jc w:val="left"/>
              <w:rPr>
                <w:sz w:val="21"/>
              </w:rPr>
            </w:pPr>
            <w:r>
              <w:rPr>
                <w:spacing w:val="-23"/>
                <w:sz w:val="21"/>
              </w:rPr>
              <w:t>第 </w:t>
            </w:r>
            <w:r>
              <w:rPr>
                <w:rFonts w:ascii="Times New Roman" w:eastAsia="Times New Roman"/>
                <w:sz w:val="21"/>
              </w:rPr>
              <w:t>37</w:t>
            </w:r>
            <w:r>
              <w:rPr>
                <w:rFonts w:ascii="Times New Roman" w:eastAsia="Times New Roman"/>
                <w:spacing w:val="5"/>
                <w:sz w:val="21"/>
              </w:rPr>
              <w:t> </w:t>
            </w:r>
            <w:r>
              <w:rPr>
                <w:sz w:val="21"/>
              </w:rPr>
              <w:t>种</w:t>
            </w:r>
            <w:r>
              <w:rPr>
                <w:spacing w:val="-3"/>
                <w:sz w:val="21"/>
              </w:rPr>
              <w:t>（严重类风湿性关节炎</w:t>
            </w:r>
            <w:r>
              <w:rPr>
                <w:sz w:val="21"/>
              </w:rPr>
              <w:t>）</w:t>
            </w:r>
          </w:p>
          <w:p>
            <w:pPr>
              <w:pStyle w:val="TableParagraph"/>
              <w:numPr>
                <w:ilvl w:val="0"/>
                <w:numId w:val="16"/>
              </w:numPr>
              <w:tabs>
                <w:tab w:pos="740" w:val="left" w:leader="none"/>
              </w:tabs>
              <w:spacing w:line="240" w:lineRule="auto" w:before="21" w:after="0"/>
              <w:ind w:left="739" w:right="0" w:hanging="631"/>
              <w:jc w:val="left"/>
              <w:rPr>
                <w:sz w:val="21"/>
              </w:rPr>
            </w:pPr>
            <w:r>
              <w:rPr>
                <w:spacing w:val="-24"/>
                <w:sz w:val="21"/>
              </w:rPr>
              <w:t>第 </w:t>
            </w:r>
            <w:r>
              <w:rPr>
                <w:rFonts w:ascii="Times New Roman" w:eastAsia="Times New Roman"/>
                <w:sz w:val="21"/>
              </w:rPr>
              <w:t>48</w:t>
            </w:r>
            <w:r>
              <w:rPr>
                <w:rFonts w:ascii="Times New Roman" w:eastAsia="Times New Roman"/>
                <w:spacing w:val="1"/>
                <w:sz w:val="21"/>
              </w:rPr>
              <w:t> </w:t>
            </w:r>
            <w:r>
              <w:rPr>
                <w:sz w:val="21"/>
              </w:rPr>
              <w:t>种</w:t>
            </w:r>
            <w:r>
              <w:rPr>
                <w:spacing w:val="-3"/>
                <w:sz w:val="21"/>
              </w:rPr>
              <w:t>（严重心肌炎</w:t>
            </w:r>
            <w:r>
              <w:rPr>
                <w:sz w:val="21"/>
              </w:rPr>
              <w:t>）</w:t>
            </w:r>
          </w:p>
          <w:p>
            <w:pPr>
              <w:pStyle w:val="TableParagraph"/>
              <w:numPr>
                <w:ilvl w:val="0"/>
                <w:numId w:val="16"/>
              </w:numPr>
              <w:tabs>
                <w:tab w:pos="740" w:val="left" w:leader="none"/>
              </w:tabs>
              <w:spacing w:line="240" w:lineRule="auto" w:before="21" w:after="0"/>
              <w:ind w:left="739" w:right="0" w:hanging="631"/>
              <w:jc w:val="left"/>
              <w:rPr>
                <w:sz w:val="21"/>
              </w:rPr>
            </w:pPr>
            <w:r>
              <w:rPr>
                <w:spacing w:val="-23"/>
                <w:sz w:val="21"/>
              </w:rPr>
              <w:t>第 </w:t>
            </w:r>
            <w:r>
              <w:rPr>
                <w:rFonts w:ascii="Times New Roman" w:eastAsia="Times New Roman"/>
                <w:sz w:val="21"/>
              </w:rPr>
              <w:t>57</w:t>
            </w:r>
            <w:r>
              <w:rPr>
                <w:rFonts w:ascii="Times New Roman" w:eastAsia="Times New Roman"/>
                <w:spacing w:val="5"/>
                <w:sz w:val="21"/>
              </w:rPr>
              <w:t> </w:t>
            </w:r>
            <w:r>
              <w:rPr>
                <w:sz w:val="21"/>
              </w:rPr>
              <w:t>种</w:t>
            </w:r>
            <w:r>
              <w:rPr>
                <w:spacing w:val="-3"/>
                <w:sz w:val="21"/>
              </w:rPr>
              <w:t>（严重自身免疫性肝炎</w:t>
            </w:r>
            <w:r>
              <w:rPr>
                <w:sz w:val="21"/>
              </w:rPr>
              <w:t>）</w:t>
            </w:r>
          </w:p>
          <w:p>
            <w:pPr>
              <w:pStyle w:val="TableParagraph"/>
              <w:numPr>
                <w:ilvl w:val="0"/>
                <w:numId w:val="16"/>
              </w:numPr>
              <w:tabs>
                <w:tab w:pos="740" w:val="left" w:leader="none"/>
              </w:tabs>
              <w:spacing w:line="240" w:lineRule="auto" w:before="21" w:after="0"/>
              <w:ind w:left="739" w:right="0" w:hanging="631"/>
              <w:jc w:val="left"/>
              <w:rPr>
                <w:sz w:val="21"/>
              </w:rPr>
            </w:pPr>
            <w:r>
              <w:rPr>
                <w:spacing w:val="-25"/>
                <w:sz w:val="21"/>
              </w:rPr>
              <w:t>第 </w:t>
            </w:r>
            <w:r>
              <w:rPr>
                <w:rFonts w:ascii="Times New Roman" w:eastAsia="Times New Roman"/>
                <w:sz w:val="21"/>
              </w:rPr>
              <w:t>65</w:t>
            </w:r>
            <w:r>
              <w:rPr>
                <w:rFonts w:ascii="Times New Roman" w:eastAsia="Times New Roman"/>
                <w:spacing w:val="0"/>
                <w:sz w:val="21"/>
              </w:rPr>
              <w:t> </w:t>
            </w:r>
            <w:r>
              <w:rPr>
                <w:sz w:val="21"/>
              </w:rPr>
              <w:t>种</w:t>
            </w:r>
            <w:r>
              <w:rPr>
                <w:spacing w:val="-3"/>
                <w:sz w:val="21"/>
              </w:rPr>
              <w:t>（</w:t>
            </w:r>
            <w:r>
              <w:rPr>
                <w:spacing w:val="-2"/>
                <w:sz w:val="21"/>
              </w:rPr>
              <w:t>川崎病</w:t>
            </w:r>
            <w:r>
              <w:rPr>
                <w:sz w:val="21"/>
              </w:rPr>
              <w:t>）</w:t>
            </w:r>
          </w:p>
          <w:p>
            <w:pPr>
              <w:pStyle w:val="TableParagraph"/>
              <w:numPr>
                <w:ilvl w:val="0"/>
                <w:numId w:val="16"/>
              </w:numPr>
              <w:tabs>
                <w:tab w:pos="740" w:val="left" w:leader="none"/>
              </w:tabs>
              <w:spacing w:line="240" w:lineRule="auto" w:before="21" w:after="0"/>
              <w:ind w:left="739" w:right="0" w:hanging="631"/>
              <w:jc w:val="left"/>
              <w:rPr>
                <w:sz w:val="21"/>
              </w:rPr>
            </w:pPr>
            <w:r>
              <w:rPr>
                <w:spacing w:val="-25"/>
                <w:sz w:val="21"/>
              </w:rPr>
              <w:t>第 </w:t>
            </w:r>
            <w:r>
              <w:rPr>
                <w:rFonts w:ascii="Times New Roman" w:hAnsi="Times New Roman" w:eastAsia="Times New Roman"/>
                <w:sz w:val="21"/>
              </w:rPr>
              <w:t>67</w:t>
            </w:r>
            <w:r>
              <w:rPr>
                <w:rFonts w:ascii="Times New Roman" w:hAnsi="Times New Roman" w:eastAsia="Times New Roman"/>
                <w:spacing w:val="0"/>
                <w:sz w:val="21"/>
              </w:rPr>
              <w:t> </w:t>
            </w:r>
            <w:r>
              <w:rPr>
                <w:sz w:val="21"/>
              </w:rPr>
              <w:t>种（</w:t>
            </w:r>
            <w:r>
              <w:rPr>
                <w:rFonts w:ascii="Times New Roman" w:hAnsi="Times New Roman" w:eastAsia="Times New Roman"/>
                <w:sz w:val="21"/>
              </w:rPr>
              <w:t>1</w:t>
            </w:r>
            <w:r>
              <w:rPr>
                <w:rFonts w:ascii="Times New Roman" w:hAnsi="Times New Roman" w:eastAsia="Times New Roman"/>
                <w:spacing w:val="5"/>
                <w:sz w:val="21"/>
              </w:rPr>
              <w:t> </w:t>
            </w:r>
            <w:r>
              <w:rPr>
                <w:spacing w:val="-3"/>
                <w:sz w:val="21"/>
              </w:rPr>
              <w:t>型糖尿病—严重并发症</w:t>
            </w:r>
            <w:r>
              <w:rPr>
                <w:sz w:val="21"/>
              </w:rPr>
              <w:t>）</w:t>
            </w:r>
          </w:p>
          <w:p>
            <w:pPr>
              <w:pStyle w:val="TableParagraph"/>
              <w:numPr>
                <w:ilvl w:val="0"/>
                <w:numId w:val="16"/>
              </w:numPr>
              <w:tabs>
                <w:tab w:pos="740" w:val="left" w:leader="none"/>
              </w:tabs>
              <w:spacing w:line="271" w:lineRule="exact" w:before="21" w:after="0"/>
              <w:ind w:left="739" w:right="0" w:hanging="631"/>
              <w:jc w:val="left"/>
              <w:rPr>
                <w:sz w:val="21"/>
              </w:rPr>
            </w:pPr>
            <w:r>
              <w:rPr>
                <w:spacing w:val="-24"/>
                <w:sz w:val="21"/>
              </w:rPr>
              <w:t>第 </w:t>
            </w:r>
            <w:r>
              <w:rPr>
                <w:rFonts w:ascii="Times New Roman" w:eastAsia="Times New Roman"/>
                <w:sz w:val="21"/>
              </w:rPr>
              <w:t>81</w:t>
            </w:r>
            <w:r>
              <w:rPr>
                <w:rFonts w:ascii="Times New Roman" w:eastAsia="Times New Roman"/>
                <w:spacing w:val="1"/>
                <w:sz w:val="21"/>
              </w:rPr>
              <w:t> </w:t>
            </w:r>
            <w:r>
              <w:rPr>
                <w:sz w:val="21"/>
              </w:rPr>
              <w:t>种</w:t>
            </w:r>
            <w:r>
              <w:rPr>
                <w:spacing w:val="-3"/>
                <w:sz w:val="21"/>
              </w:rPr>
              <w:t>（严重癫痫</w:t>
            </w:r>
            <w:r>
              <w:rPr>
                <w:sz w:val="21"/>
              </w:rPr>
              <w:t>）</w:t>
            </w:r>
          </w:p>
        </w:tc>
      </w:tr>
    </w:tbl>
    <w:p>
      <w:pPr>
        <w:spacing w:after="0" w:line="271" w:lineRule="exact"/>
        <w:jc w:val="left"/>
        <w:rPr>
          <w:sz w:val="21"/>
        </w:rPr>
        <w:sectPr>
          <w:pgSz w:w="11910" w:h="16840"/>
          <w:pgMar w:header="0" w:footer="593" w:top="114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4"/>
        <w:gridCol w:w="8475"/>
      </w:tblGrid>
      <w:tr>
        <w:trPr>
          <w:trHeight w:val="390" w:hRule="atLeast"/>
        </w:trPr>
        <w:tc>
          <w:tcPr>
            <w:tcW w:w="1544" w:type="dxa"/>
          </w:tcPr>
          <w:p>
            <w:pPr>
              <w:pStyle w:val="TableParagraph"/>
              <w:ind w:left="0"/>
              <w:rPr>
                <w:rFonts w:ascii="Times New Roman"/>
                <w:sz w:val="20"/>
              </w:rPr>
            </w:pPr>
          </w:p>
        </w:tc>
        <w:tc>
          <w:tcPr>
            <w:tcW w:w="8475" w:type="dxa"/>
          </w:tcPr>
          <w:p>
            <w:pPr>
              <w:pStyle w:val="TableParagraph"/>
              <w:spacing w:line="234" w:lineRule="exact"/>
              <w:ind w:left="499"/>
              <w:rPr>
                <w:sz w:val="21"/>
              </w:rPr>
            </w:pPr>
            <w:r>
              <w:rPr>
                <w:sz w:val="21"/>
              </w:rPr>
              <w:t>（</w:t>
            </w:r>
            <w:r>
              <w:rPr>
                <w:rFonts w:ascii="Times New Roman" w:eastAsia="Times New Roman"/>
                <w:sz w:val="21"/>
              </w:rPr>
              <w:t>8</w:t>
            </w:r>
            <w:r>
              <w:rPr>
                <w:sz w:val="21"/>
              </w:rPr>
              <w:t>） 第 </w:t>
            </w:r>
            <w:r>
              <w:rPr>
                <w:rFonts w:ascii="Times New Roman" w:eastAsia="Times New Roman"/>
                <w:sz w:val="21"/>
              </w:rPr>
              <w:t>89 </w:t>
            </w:r>
            <w:r>
              <w:rPr>
                <w:sz w:val="21"/>
              </w:rPr>
              <w:t>种（进行性风疹性全脑炎）</w:t>
            </w:r>
          </w:p>
        </w:tc>
      </w:tr>
      <w:tr>
        <w:trPr>
          <w:trHeight w:val="1631" w:hRule="atLeast"/>
        </w:trPr>
        <w:tc>
          <w:tcPr>
            <w:tcW w:w="1544" w:type="dxa"/>
          </w:tcPr>
          <w:p>
            <w:pPr>
              <w:pStyle w:val="TableParagraph"/>
              <w:spacing w:before="117"/>
              <w:ind w:left="200"/>
              <w:rPr>
                <w:b/>
                <w:sz w:val="21"/>
              </w:rPr>
            </w:pPr>
            <w:r>
              <w:rPr>
                <w:b/>
                <w:sz w:val="21"/>
              </w:rPr>
              <w:t>专科医生</w:t>
            </w:r>
          </w:p>
        </w:tc>
        <w:tc>
          <w:tcPr>
            <w:tcW w:w="8475" w:type="dxa"/>
          </w:tcPr>
          <w:p>
            <w:pPr>
              <w:pStyle w:val="TableParagraph"/>
              <w:spacing w:before="93"/>
              <w:ind w:left="499"/>
              <w:rPr>
                <w:sz w:val="21"/>
              </w:rPr>
            </w:pPr>
            <w:r>
              <w:rPr>
                <w:sz w:val="21"/>
              </w:rPr>
              <w:t>专科医生应当同时满足以下四项资格条件：</w:t>
            </w:r>
          </w:p>
          <w:p>
            <w:pPr>
              <w:pStyle w:val="TableParagraph"/>
              <w:spacing w:before="37"/>
              <w:ind w:left="499"/>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21"/>
              <w:ind w:left="499"/>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before="21"/>
              <w:ind w:left="499"/>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line="271" w:lineRule="exact" w:before="21"/>
              <w:ind w:left="499"/>
              <w:rPr>
                <w:sz w:val="21"/>
              </w:rPr>
            </w:pPr>
            <w:r>
              <w:rPr>
                <w:sz w:val="21"/>
              </w:rPr>
              <w:t>（</w:t>
            </w:r>
            <w:r>
              <w:rPr>
                <w:rFonts w:ascii="Times New Roman" w:eastAsia="Times New Roman"/>
                <w:sz w:val="21"/>
              </w:rPr>
              <w:t>4</w:t>
            </w:r>
            <w:r>
              <w:rPr>
                <w:sz w:val="21"/>
              </w:rPr>
              <w:t>）在二级或二级以上医院的相应科室从事临床工作三年以上。</w:t>
            </w:r>
          </w:p>
        </w:tc>
      </w:tr>
    </w:tbl>
    <w:sectPr>
      <w:pgSz w:w="11910" w:h="16840"/>
      <w:pgMar w:header="0" w:footer="593" w:top="1160" w:bottom="780" w:left="9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64.130005pt;margin-top:797.259949pt;width:67.1pt;height:12pt;mso-position-horizontal-relative:page;mso-position-vertical-relative:page;z-index:-5137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11</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32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477" w:hanging="632"/>
      </w:pPr>
      <w:rPr>
        <w:rFonts w:hint="default"/>
      </w:rPr>
    </w:lvl>
    <w:lvl w:ilvl="2">
      <w:start w:val="0"/>
      <w:numFmt w:val="bullet"/>
      <w:lvlText w:val="•"/>
      <w:lvlJc w:val="left"/>
      <w:pPr>
        <w:ind w:left="2214" w:hanging="632"/>
      </w:pPr>
      <w:rPr>
        <w:rFonts w:hint="default"/>
      </w:rPr>
    </w:lvl>
    <w:lvl w:ilvl="3">
      <w:start w:val="0"/>
      <w:numFmt w:val="bullet"/>
      <w:lvlText w:val="•"/>
      <w:lvlJc w:val="left"/>
      <w:pPr>
        <w:ind w:left="2951" w:hanging="632"/>
      </w:pPr>
      <w:rPr>
        <w:rFonts w:hint="default"/>
      </w:rPr>
    </w:lvl>
    <w:lvl w:ilvl="4">
      <w:start w:val="0"/>
      <w:numFmt w:val="bullet"/>
      <w:lvlText w:val="•"/>
      <w:lvlJc w:val="left"/>
      <w:pPr>
        <w:ind w:left="3688" w:hanging="632"/>
      </w:pPr>
      <w:rPr>
        <w:rFonts w:hint="default"/>
      </w:rPr>
    </w:lvl>
    <w:lvl w:ilvl="5">
      <w:start w:val="0"/>
      <w:numFmt w:val="bullet"/>
      <w:lvlText w:val="•"/>
      <w:lvlJc w:val="left"/>
      <w:pPr>
        <w:ind w:left="4425" w:hanging="632"/>
      </w:pPr>
      <w:rPr>
        <w:rFonts w:hint="default"/>
      </w:rPr>
    </w:lvl>
    <w:lvl w:ilvl="6">
      <w:start w:val="0"/>
      <w:numFmt w:val="bullet"/>
      <w:lvlText w:val="•"/>
      <w:lvlJc w:val="left"/>
      <w:pPr>
        <w:ind w:left="5162" w:hanging="632"/>
      </w:pPr>
      <w:rPr>
        <w:rFonts w:hint="default"/>
      </w:rPr>
    </w:lvl>
    <w:lvl w:ilvl="7">
      <w:start w:val="0"/>
      <w:numFmt w:val="bullet"/>
      <w:lvlText w:val="•"/>
      <w:lvlJc w:val="left"/>
      <w:pPr>
        <w:ind w:left="5899" w:hanging="632"/>
      </w:pPr>
      <w:rPr>
        <w:rFonts w:hint="default"/>
      </w:rPr>
    </w:lvl>
    <w:lvl w:ilvl="8">
      <w:start w:val="0"/>
      <w:numFmt w:val="bullet"/>
      <w:lvlText w:val="•"/>
      <w:lvlJc w:val="left"/>
      <w:pPr>
        <w:ind w:left="6636" w:hanging="632"/>
      </w:pPr>
      <w:rPr>
        <w:rFonts w:hint="default"/>
      </w:rPr>
    </w:lvl>
  </w:abstractNum>
  <w:abstractNum w:abstractNumId="14">
    <w:multiLevelType w:val="hybridMultilevel"/>
    <w:lvl w:ilvl="0">
      <w:start w:val="1"/>
      <w:numFmt w:val="decimal"/>
      <w:lvlText w:val="（%1）"/>
      <w:lvlJc w:val="left"/>
      <w:pPr>
        <w:ind w:left="860" w:hanging="675"/>
        <w:jc w:val="left"/>
      </w:pPr>
      <w:rPr>
        <w:rFonts w:hint="default" w:ascii="宋体" w:hAnsi="宋体" w:eastAsia="宋体" w:cs="宋体"/>
        <w:w w:val="100"/>
        <w:sz w:val="22"/>
        <w:szCs w:val="22"/>
      </w:rPr>
    </w:lvl>
    <w:lvl w:ilvl="1">
      <w:start w:val="0"/>
      <w:numFmt w:val="bullet"/>
      <w:lvlText w:val="•"/>
      <w:lvlJc w:val="left"/>
      <w:pPr>
        <w:ind w:left="1593" w:hanging="675"/>
      </w:pPr>
      <w:rPr>
        <w:rFonts w:hint="default"/>
      </w:rPr>
    </w:lvl>
    <w:lvl w:ilvl="2">
      <w:start w:val="0"/>
      <w:numFmt w:val="bullet"/>
      <w:lvlText w:val="•"/>
      <w:lvlJc w:val="left"/>
      <w:pPr>
        <w:ind w:left="2326" w:hanging="675"/>
      </w:pPr>
      <w:rPr>
        <w:rFonts w:hint="default"/>
      </w:rPr>
    </w:lvl>
    <w:lvl w:ilvl="3">
      <w:start w:val="0"/>
      <w:numFmt w:val="bullet"/>
      <w:lvlText w:val="•"/>
      <w:lvlJc w:val="left"/>
      <w:pPr>
        <w:ind w:left="3059" w:hanging="675"/>
      </w:pPr>
      <w:rPr>
        <w:rFonts w:hint="default"/>
      </w:rPr>
    </w:lvl>
    <w:lvl w:ilvl="4">
      <w:start w:val="0"/>
      <w:numFmt w:val="bullet"/>
      <w:lvlText w:val="•"/>
      <w:lvlJc w:val="left"/>
      <w:pPr>
        <w:ind w:left="3792" w:hanging="675"/>
      </w:pPr>
      <w:rPr>
        <w:rFonts w:hint="default"/>
      </w:rPr>
    </w:lvl>
    <w:lvl w:ilvl="5">
      <w:start w:val="0"/>
      <w:numFmt w:val="bullet"/>
      <w:lvlText w:val="•"/>
      <w:lvlJc w:val="left"/>
      <w:pPr>
        <w:ind w:left="4526" w:hanging="675"/>
      </w:pPr>
      <w:rPr>
        <w:rFonts w:hint="default"/>
      </w:rPr>
    </w:lvl>
    <w:lvl w:ilvl="6">
      <w:start w:val="0"/>
      <w:numFmt w:val="bullet"/>
      <w:lvlText w:val="•"/>
      <w:lvlJc w:val="left"/>
      <w:pPr>
        <w:ind w:left="5259" w:hanging="675"/>
      </w:pPr>
      <w:rPr>
        <w:rFonts w:hint="default"/>
      </w:rPr>
    </w:lvl>
    <w:lvl w:ilvl="7">
      <w:start w:val="0"/>
      <w:numFmt w:val="bullet"/>
      <w:lvlText w:val="•"/>
      <w:lvlJc w:val="left"/>
      <w:pPr>
        <w:ind w:left="5992" w:hanging="675"/>
      </w:pPr>
      <w:rPr>
        <w:rFonts w:hint="default"/>
      </w:rPr>
    </w:lvl>
    <w:lvl w:ilvl="8">
      <w:start w:val="0"/>
      <w:numFmt w:val="bullet"/>
      <w:lvlText w:val="•"/>
      <w:lvlJc w:val="left"/>
      <w:pPr>
        <w:ind w:left="6725" w:hanging="675"/>
      </w:pPr>
      <w:rPr>
        <w:rFonts w:hint="default"/>
      </w:rPr>
    </w:lvl>
  </w:abstractNum>
  <w:abstractNum w:abstractNumId="13">
    <w:multiLevelType w:val="hybridMultilevel"/>
    <w:lvl w:ilvl="0">
      <w:start w:val="1"/>
      <w:numFmt w:val="decimal"/>
      <w:lvlText w:val="(%1)"/>
      <w:lvlJc w:val="left"/>
      <w:pPr>
        <w:ind w:left="567" w:hanging="383"/>
        <w:jc w:val="left"/>
      </w:pPr>
      <w:rPr>
        <w:rFonts w:hint="default" w:ascii="Arial" w:hAnsi="Arial" w:eastAsia="Arial" w:cs="Arial"/>
        <w:w w:val="100"/>
        <w:sz w:val="22"/>
        <w:szCs w:val="22"/>
      </w:rPr>
    </w:lvl>
    <w:lvl w:ilvl="1">
      <w:start w:val="0"/>
      <w:numFmt w:val="bullet"/>
      <w:lvlText w:val="•"/>
      <w:lvlJc w:val="left"/>
      <w:pPr>
        <w:ind w:left="1323" w:hanging="383"/>
      </w:pPr>
      <w:rPr>
        <w:rFonts w:hint="default"/>
      </w:rPr>
    </w:lvl>
    <w:lvl w:ilvl="2">
      <w:start w:val="0"/>
      <w:numFmt w:val="bullet"/>
      <w:lvlText w:val="•"/>
      <w:lvlJc w:val="left"/>
      <w:pPr>
        <w:ind w:left="2087" w:hanging="383"/>
      </w:pPr>
      <w:rPr>
        <w:rFonts w:hint="default"/>
      </w:rPr>
    </w:lvl>
    <w:lvl w:ilvl="3">
      <w:start w:val="0"/>
      <w:numFmt w:val="bullet"/>
      <w:lvlText w:val="•"/>
      <w:lvlJc w:val="left"/>
      <w:pPr>
        <w:ind w:left="2850" w:hanging="383"/>
      </w:pPr>
      <w:rPr>
        <w:rFonts w:hint="default"/>
      </w:rPr>
    </w:lvl>
    <w:lvl w:ilvl="4">
      <w:start w:val="0"/>
      <w:numFmt w:val="bullet"/>
      <w:lvlText w:val="•"/>
      <w:lvlJc w:val="left"/>
      <w:pPr>
        <w:ind w:left="3614" w:hanging="383"/>
      </w:pPr>
      <w:rPr>
        <w:rFonts w:hint="default"/>
      </w:rPr>
    </w:lvl>
    <w:lvl w:ilvl="5">
      <w:start w:val="0"/>
      <w:numFmt w:val="bullet"/>
      <w:lvlText w:val="•"/>
      <w:lvlJc w:val="left"/>
      <w:pPr>
        <w:ind w:left="4377" w:hanging="383"/>
      </w:pPr>
      <w:rPr>
        <w:rFonts w:hint="default"/>
      </w:rPr>
    </w:lvl>
    <w:lvl w:ilvl="6">
      <w:start w:val="0"/>
      <w:numFmt w:val="bullet"/>
      <w:lvlText w:val="•"/>
      <w:lvlJc w:val="left"/>
      <w:pPr>
        <w:ind w:left="5141" w:hanging="383"/>
      </w:pPr>
      <w:rPr>
        <w:rFonts w:hint="default"/>
      </w:rPr>
    </w:lvl>
    <w:lvl w:ilvl="7">
      <w:start w:val="0"/>
      <w:numFmt w:val="bullet"/>
      <w:lvlText w:val="•"/>
      <w:lvlJc w:val="left"/>
      <w:pPr>
        <w:ind w:left="5904" w:hanging="383"/>
      </w:pPr>
      <w:rPr>
        <w:rFonts w:hint="default"/>
      </w:rPr>
    </w:lvl>
    <w:lvl w:ilvl="8">
      <w:start w:val="0"/>
      <w:numFmt w:val="bullet"/>
      <w:lvlText w:val="•"/>
      <w:lvlJc w:val="left"/>
      <w:pPr>
        <w:ind w:left="6668" w:hanging="383"/>
      </w:pPr>
      <w:rPr>
        <w:rFonts w:hint="default"/>
      </w:rPr>
    </w:lvl>
  </w:abstractNum>
  <w:abstractNum w:abstractNumId="12">
    <w:multiLevelType w:val="hybridMultilevel"/>
    <w:lvl w:ilvl="0">
      <w:start w:val="1"/>
      <w:numFmt w:val="decimal"/>
      <w:lvlText w:val="(%1)"/>
      <w:lvlJc w:val="left"/>
      <w:pPr>
        <w:ind w:left="567" w:hanging="383"/>
        <w:jc w:val="left"/>
      </w:pPr>
      <w:rPr>
        <w:rFonts w:hint="default" w:ascii="Arial" w:hAnsi="Arial" w:eastAsia="Arial" w:cs="Arial"/>
        <w:spacing w:val="-1"/>
        <w:w w:val="100"/>
        <w:sz w:val="22"/>
        <w:szCs w:val="22"/>
      </w:rPr>
    </w:lvl>
    <w:lvl w:ilvl="1">
      <w:start w:val="0"/>
      <w:numFmt w:val="bullet"/>
      <w:lvlText w:val="•"/>
      <w:lvlJc w:val="left"/>
      <w:pPr>
        <w:ind w:left="1323" w:hanging="383"/>
      </w:pPr>
      <w:rPr>
        <w:rFonts w:hint="default"/>
      </w:rPr>
    </w:lvl>
    <w:lvl w:ilvl="2">
      <w:start w:val="0"/>
      <w:numFmt w:val="bullet"/>
      <w:lvlText w:val="•"/>
      <w:lvlJc w:val="left"/>
      <w:pPr>
        <w:ind w:left="2087" w:hanging="383"/>
      </w:pPr>
      <w:rPr>
        <w:rFonts w:hint="default"/>
      </w:rPr>
    </w:lvl>
    <w:lvl w:ilvl="3">
      <w:start w:val="0"/>
      <w:numFmt w:val="bullet"/>
      <w:lvlText w:val="•"/>
      <w:lvlJc w:val="left"/>
      <w:pPr>
        <w:ind w:left="2850" w:hanging="383"/>
      </w:pPr>
      <w:rPr>
        <w:rFonts w:hint="default"/>
      </w:rPr>
    </w:lvl>
    <w:lvl w:ilvl="4">
      <w:start w:val="0"/>
      <w:numFmt w:val="bullet"/>
      <w:lvlText w:val="•"/>
      <w:lvlJc w:val="left"/>
      <w:pPr>
        <w:ind w:left="3614" w:hanging="383"/>
      </w:pPr>
      <w:rPr>
        <w:rFonts w:hint="default"/>
      </w:rPr>
    </w:lvl>
    <w:lvl w:ilvl="5">
      <w:start w:val="0"/>
      <w:numFmt w:val="bullet"/>
      <w:lvlText w:val="•"/>
      <w:lvlJc w:val="left"/>
      <w:pPr>
        <w:ind w:left="4377" w:hanging="383"/>
      </w:pPr>
      <w:rPr>
        <w:rFonts w:hint="default"/>
      </w:rPr>
    </w:lvl>
    <w:lvl w:ilvl="6">
      <w:start w:val="0"/>
      <w:numFmt w:val="bullet"/>
      <w:lvlText w:val="•"/>
      <w:lvlJc w:val="left"/>
      <w:pPr>
        <w:ind w:left="5141" w:hanging="383"/>
      </w:pPr>
      <w:rPr>
        <w:rFonts w:hint="default"/>
      </w:rPr>
    </w:lvl>
    <w:lvl w:ilvl="7">
      <w:start w:val="0"/>
      <w:numFmt w:val="bullet"/>
      <w:lvlText w:val="•"/>
      <w:lvlJc w:val="left"/>
      <w:pPr>
        <w:ind w:left="5904" w:hanging="383"/>
      </w:pPr>
      <w:rPr>
        <w:rFonts w:hint="default"/>
      </w:rPr>
    </w:lvl>
    <w:lvl w:ilvl="8">
      <w:start w:val="0"/>
      <w:numFmt w:val="bullet"/>
      <w:lvlText w:val="•"/>
      <w:lvlJc w:val="left"/>
      <w:pPr>
        <w:ind w:left="6668" w:hanging="383"/>
      </w:pPr>
      <w:rPr>
        <w:rFonts w:hint="default"/>
      </w:rPr>
    </w:lvl>
  </w:abstractNum>
  <w:abstractNum w:abstractNumId="11">
    <w:multiLevelType w:val="hybridMultilevel"/>
    <w:lvl w:ilvl="0">
      <w:start w:val="1"/>
      <w:numFmt w:val="decimal"/>
      <w:lvlText w:val="（%1）"/>
      <w:lvlJc w:val="left"/>
      <w:pPr>
        <w:ind w:left="782" w:hanging="675"/>
        <w:jc w:val="left"/>
      </w:pPr>
      <w:rPr>
        <w:rFonts w:hint="default" w:ascii="宋体" w:hAnsi="宋体" w:eastAsia="宋体" w:cs="宋体"/>
        <w:w w:val="100"/>
        <w:sz w:val="22"/>
        <w:szCs w:val="22"/>
      </w:rPr>
    </w:lvl>
    <w:lvl w:ilvl="1">
      <w:start w:val="0"/>
      <w:numFmt w:val="bullet"/>
      <w:lvlText w:val="•"/>
      <w:lvlJc w:val="left"/>
      <w:pPr>
        <w:ind w:left="1512" w:hanging="675"/>
      </w:pPr>
      <w:rPr>
        <w:rFonts w:hint="default"/>
      </w:rPr>
    </w:lvl>
    <w:lvl w:ilvl="2">
      <w:start w:val="0"/>
      <w:numFmt w:val="bullet"/>
      <w:lvlText w:val="•"/>
      <w:lvlJc w:val="left"/>
      <w:pPr>
        <w:ind w:left="2245" w:hanging="675"/>
      </w:pPr>
      <w:rPr>
        <w:rFonts w:hint="default"/>
      </w:rPr>
    </w:lvl>
    <w:lvl w:ilvl="3">
      <w:start w:val="0"/>
      <w:numFmt w:val="bullet"/>
      <w:lvlText w:val="•"/>
      <w:lvlJc w:val="left"/>
      <w:pPr>
        <w:ind w:left="2977" w:hanging="675"/>
      </w:pPr>
      <w:rPr>
        <w:rFonts w:hint="default"/>
      </w:rPr>
    </w:lvl>
    <w:lvl w:ilvl="4">
      <w:start w:val="0"/>
      <w:numFmt w:val="bullet"/>
      <w:lvlText w:val="•"/>
      <w:lvlJc w:val="left"/>
      <w:pPr>
        <w:ind w:left="3710" w:hanging="675"/>
      </w:pPr>
      <w:rPr>
        <w:rFonts w:hint="default"/>
      </w:rPr>
    </w:lvl>
    <w:lvl w:ilvl="5">
      <w:start w:val="0"/>
      <w:numFmt w:val="bullet"/>
      <w:lvlText w:val="•"/>
      <w:lvlJc w:val="left"/>
      <w:pPr>
        <w:ind w:left="4443" w:hanging="675"/>
      </w:pPr>
      <w:rPr>
        <w:rFonts w:hint="default"/>
      </w:rPr>
    </w:lvl>
    <w:lvl w:ilvl="6">
      <w:start w:val="0"/>
      <w:numFmt w:val="bullet"/>
      <w:lvlText w:val="•"/>
      <w:lvlJc w:val="left"/>
      <w:pPr>
        <w:ind w:left="5175" w:hanging="675"/>
      </w:pPr>
      <w:rPr>
        <w:rFonts w:hint="default"/>
      </w:rPr>
    </w:lvl>
    <w:lvl w:ilvl="7">
      <w:start w:val="0"/>
      <w:numFmt w:val="bullet"/>
      <w:lvlText w:val="•"/>
      <w:lvlJc w:val="left"/>
      <w:pPr>
        <w:ind w:left="5908" w:hanging="675"/>
      </w:pPr>
      <w:rPr>
        <w:rFonts w:hint="default"/>
      </w:rPr>
    </w:lvl>
    <w:lvl w:ilvl="8">
      <w:start w:val="0"/>
      <w:numFmt w:val="bullet"/>
      <w:lvlText w:val="•"/>
      <w:lvlJc w:val="left"/>
      <w:pPr>
        <w:ind w:left="6640" w:hanging="675"/>
      </w:pPr>
      <w:rPr>
        <w:rFonts w:hint="default"/>
      </w:rPr>
    </w:lvl>
  </w:abstractNum>
  <w:abstractNum w:abstractNumId="10">
    <w:multiLevelType w:val="hybridMultilevel"/>
    <w:lvl w:ilvl="0">
      <w:start w:val="1"/>
      <w:numFmt w:val="decimal"/>
      <w:lvlText w:val="（%1）"/>
      <w:lvlJc w:val="left"/>
      <w:pPr>
        <w:ind w:left="736" w:hanging="644"/>
        <w:jc w:val="left"/>
      </w:pPr>
      <w:rPr>
        <w:rFonts w:hint="default" w:ascii="宋体" w:hAnsi="宋体" w:eastAsia="宋体" w:cs="宋体"/>
        <w:w w:val="100"/>
        <w:sz w:val="21"/>
        <w:szCs w:val="21"/>
      </w:rPr>
    </w:lvl>
    <w:lvl w:ilvl="1">
      <w:start w:val="0"/>
      <w:numFmt w:val="bullet"/>
      <w:lvlText w:val="•"/>
      <w:lvlJc w:val="left"/>
      <w:pPr>
        <w:ind w:left="1475" w:hanging="644"/>
      </w:pPr>
      <w:rPr>
        <w:rFonts w:hint="default"/>
      </w:rPr>
    </w:lvl>
    <w:lvl w:ilvl="2">
      <w:start w:val="0"/>
      <w:numFmt w:val="bullet"/>
      <w:lvlText w:val="•"/>
      <w:lvlJc w:val="left"/>
      <w:pPr>
        <w:ind w:left="2210" w:hanging="644"/>
      </w:pPr>
      <w:rPr>
        <w:rFonts w:hint="default"/>
      </w:rPr>
    </w:lvl>
    <w:lvl w:ilvl="3">
      <w:start w:val="0"/>
      <w:numFmt w:val="bullet"/>
      <w:lvlText w:val="•"/>
      <w:lvlJc w:val="left"/>
      <w:pPr>
        <w:ind w:left="2945" w:hanging="644"/>
      </w:pPr>
      <w:rPr>
        <w:rFonts w:hint="default"/>
      </w:rPr>
    </w:lvl>
    <w:lvl w:ilvl="4">
      <w:start w:val="0"/>
      <w:numFmt w:val="bullet"/>
      <w:lvlText w:val="•"/>
      <w:lvlJc w:val="left"/>
      <w:pPr>
        <w:ind w:left="3680" w:hanging="644"/>
      </w:pPr>
      <w:rPr>
        <w:rFonts w:hint="default"/>
      </w:rPr>
    </w:lvl>
    <w:lvl w:ilvl="5">
      <w:start w:val="0"/>
      <w:numFmt w:val="bullet"/>
      <w:lvlText w:val="•"/>
      <w:lvlJc w:val="left"/>
      <w:pPr>
        <w:ind w:left="4415" w:hanging="644"/>
      </w:pPr>
      <w:rPr>
        <w:rFonts w:hint="default"/>
      </w:rPr>
    </w:lvl>
    <w:lvl w:ilvl="6">
      <w:start w:val="0"/>
      <w:numFmt w:val="bullet"/>
      <w:lvlText w:val="•"/>
      <w:lvlJc w:val="left"/>
      <w:pPr>
        <w:ind w:left="5150" w:hanging="644"/>
      </w:pPr>
      <w:rPr>
        <w:rFonts w:hint="default"/>
      </w:rPr>
    </w:lvl>
    <w:lvl w:ilvl="7">
      <w:start w:val="0"/>
      <w:numFmt w:val="bullet"/>
      <w:lvlText w:val="•"/>
      <w:lvlJc w:val="left"/>
      <w:pPr>
        <w:ind w:left="5885" w:hanging="644"/>
      </w:pPr>
      <w:rPr>
        <w:rFonts w:hint="default"/>
      </w:rPr>
    </w:lvl>
    <w:lvl w:ilvl="8">
      <w:start w:val="0"/>
      <w:numFmt w:val="bullet"/>
      <w:lvlText w:val="•"/>
      <w:lvlJc w:val="left"/>
      <w:pPr>
        <w:ind w:left="6620" w:hanging="644"/>
      </w:pPr>
      <w:rPr>
        <w:rFonts w:hint="default"/>
      </w:rPr>
    </w:lvl>
  </w:abstractNum>
  <w:abstractNum w:abstractNumId="9">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76" w:hanging="632"/>
      </w:pPr>
      <w:rPr>
        <w:rFonts w:hint="default"/>
      </w:rPr>
    </w:lvl>
    <w:lvl w:ilvl="2">
      <w:start w:val="0"/>
      <w:numFmt w:val="bullet"/>
      <w:lvlText w:val="•"/>
      <w:lvlJc w:val="left"/>
      <w:pPr>
        <w:ind w:left="2213" w:hanging="632"/>
      </w:pPr>
      <w:rPr>
        <w:rFonts w:hint="default"/>
      </w:rPr>
    </w:lvl>
    <w:lvl w:ilvl="3">
      <w:start w:val="0"/>
      <w:numFmt w:val="bullet"/>
      <w:lvlText w:val="•"/>
      <w:lvlJc w:val="left"/>
      <w:pPr>
        <w:ind w:left="2949" w:hanging="632"/>
      </w:pPr>
      <w:rPr>
        <w:rFonts w:hint="default"/>
      </w:rPr>
    </w:lvl>
    <w:lvl w:ilvl="4">
      <w:start w:val="0"/>
      <w:numFmt w:val="bullet"/>
      <w:lvlText w:val="•"/>
      <w:lvlJc w:val="left"/>
      <w:pPr>
        <w:ind w:left="3686" w:hanging="632"/>
      </w:pPr>
      <w:rPr>
        <w:rFonts w:hint="default"/>
      </w:rPr>
    </w:lvl>
    <w:lvl w:ilvl="5">
      <w:start w:val="0"/>
      <w:numFmt w:val="bullet"/>
      <w:lvlText w:val="•"/>
      <w:lvlJc w:val="left"/>
      <w:pPr>
        <w:ind w:left="4423" w:hanging="632"/>
      </w:pPr>
      <w:rPr>
        <w:rFonts w:hint="default"/>
      </w:rPr>
    </w:lvl>
    <w:lvl w:ilvl="6">
      <w:start w:val="0"/>
      <w:numFmt w:val="bullet"/>
      <w:lvlText w:val="•"/>
      <w:lvlJc w:val="left"/>
      <w:pPr>
        <w:ind w:left="5159" w:hanging="632"/>
      </w:pPr>
      <w:rPr>
        <w:rFonts w:hint="default"/>
      </w:rPr>
    </w:lvl>
    <w:lvl w:ilvl="7">
      <w:start w:val="0"/>
      <w:numFmt w:val="bullet"/>
      <w:lvlText w:val="•"/>
      <w:lvlJc w:val="left"/>
      <w:pPr>
        <w:ind w:left="5896" w:hanging="632"/>
      </w:pPr>
      <w:rPr>
        <w:rFonts w:hint="default"/>
      </w:rPr>
    </w:lvl>
    <w:lvl w:ilvl="8">
      <w:start w:val="0"/>
      <w:numFmt w:val="bullet"/>
      <w:lvlText w:val="•"/>
      <w:lvlJc w:val="left"/>
      <w:pPr>
        <w:ind w:left="6632" w:hanging="632"/>
      </w:pPr>
      <w:rPr>
        <w:rFonts w:hint="default"/>
      </w:rPr>
    </w:lvl>
  </w:abstractNum>
  <w:abstractNum w:abstractNumId="8">
    <w:multiLevelType w:val="hybridMultilevel"/>
    <w:lvl w:ilvl="0">
      <w:start w:val="30"/>
      <w:numFmt w:val="decimal"/>
      <w:lvlText w:val="%1."/>
      <w:lvlJc w:val="left"/>
      <w:pPr>
        <w:ind w:left="521" w:hanging="420"/>
        <w:jc w:val="left"/>
      </w:pPr>
      <w:rPr>
        <w:rFonts w:hint="default" w:ascii="Microsoft JhengHei" w:hAnsi="Microsoft JhengHei" w:eastAsia="Microsoft JhengHei" w:cs="Microsoft JhengHei"/>
        <w:b/>
        <w:bCs/>
        <w:w w:val="100"/>
        <w:sz w:val="21"/>
        <w:szCs w:val="21"/>
      </w:rPr>
    </w:lvl>
    <w:lvl w:ilvl="1">
      <w:start w:val="0"/>
      <w:numFmt w:val="bullet"/>
      <w:lvlText w:val="•"/>
      <w:lvlJc w:val="left"/>
      <w:pPr>
        <w:ind w:left="625" w:hanging="420"/>
      </w:pPr>
      <w:rPr>
        <w:rFonts w:hint="default"/>
      </w:rPr>
    </w:lvl>
    <w:lvl w:ilvl="2">
      <w:start w:val="0"/>
      <w:numFmt w:val="bullet"/>
      <w:lvlText w:val="•"/>
      <w:lvlJc w:val="left"/>
      <w:pPr>
        <w:ind w:left="730" w:hanging="420"/>
      </w:pPr>
      <w:rPr>
        <w:rFonts w:hint="default"/>
      </w:rPr>
    </w:lvl>
    <w:lvl w:ilvl="3">
      <w:start w:val="0"/>
      <w:numFmt w:val="bullet"/>
      <w:lvlText w:val="•"/>
      <w:lvlJc w:val="left"/>
      <w:pPr>
        <w:ind w:left="836" w:hanging="420"/>
      </w:pPr>
      <w:rPr>
        <w:rFonts w:hint="default"/>
      </w:rPr>
    </w:lvl>
    <w:lvl w:ilvl="4">
      <w:start w:val="0"/>
      <w:numFmt w:val="bullet"/>
      <w:lvlText w:val="•"/>
      <w:lvlJc w:val="left"/>
      <w:pPr>
        <w:ind w:left="941" w:hanging="420"/>
      </w:pPr>
      <w:rPr>
        <w:rFonts w:hint="default"/>
      </w:rPr>
    </w:lvl>
    <w:lvl w:ilvl="5">
      <w:start w:val="0"/>
      <w:numFmt w:val="bullet"/>
      <w:lvlText w:val="•"/>
      <w:lvlJc w:val="left"/>
      <w:pPr>
        <w:ind w:left="1047" w:hanging="420"/>
      </w:pPr>
      <w:rPr>
        <w:rFonts w:hint="default"/>
      </w:rPr>
    </w:lvl>
    <w:lvl w:ilvl="6">
      <w:start w:val="0"/>
      <w:numFmt w:val="bullet"/>
      <w:lvlText w:val="•"/>
      <w:lvlJc w:val="left"/>
      <w:pPr>
        <w:ind w:left="1152" w:hanging="420"/>
      </w:pPr>
      <w:rPr>
        <w:rFonts w:hint="default"/>
      </w:rPr>
    </w:lvl>
    <w:lvl w:ilvl="7">
      <w:start w:val="0"/>
      <w:numFmt w:val="bullet"/>
      <w:lvlText w:val="•"/>
      <w:lvlJc w:val="left"/>
      <w:pPr>
        <w:ind w:left="1258" w:hanging="420"/>
      </w:pPr>
      <w:rPr>
        <w:rFonts w:hint="default"/>
      </w:rPr>
    </w:lvl>
    <w:lvl w:ilvl="8">
      <w:start w:val="0"/>
      <w:numFmt w:val="bullet"/>
      <w:lvlText w:val="•"/>
      <w:lvlJc w:val="left"/>
      <w:pPr>
        <w:ind w:left="1363" w:hanging="420"/>
      </w:pPr>
      <w:rPr>
        <w:rFonts w:hint="default"/>
      </w:rPr>
    </w:lvl>
  </w:abstractNum>
  <w:abstractNum w:abstractNumId="7">
    <w:multiLevelType w:val="hybridMultilevel"/>
    <w:lvl w:ilvl="0">
      <w:start w:val="1"/>
      <w:numFmt w:val="decimal"/>
      <w:lvlText w:val="（%1）"/>
      <w:lvlJc w:val="left"/>
      <w:pPr>
        <w:ind w:left="711" w:hanging="591"/>
        <w:jc w:val="left"/>
      </w:pPr>
      <w:rPr>
        <w:rFonts w:hint="default" w:ascii="宋体" w:hAnsi="宋体" w:eastAsia="宋体" w:cs="宋体"/>
        <w:spacing w:val="-2"/>
        <w:w w:val="100"/>
        <w:sz w:val="21"/>
        <w:szCs w:val="21"/>
      </w:rPr>
    </w:lvl>
    <w:lvl w:ilvl="1">
      <w:start w:val="0"/>
      <w:numFmt w:val="bullet"/>
      <w:lvlText w:val="•"/>
      <w:lvlJc w:val="left"/>
      <w:pPr>
        <w:ind w:left="1467" w:hanging="591"/>
      </w:pPr>
      <w:rPr>
        <w:rFonts w:hint="default"/>
      </w:rPr>
    </w:lvl>
    <w:lvl w:ilvl="2">
      <w:start w:val="0"/>
      <w:numFmt w:val="bullet"/>
      <w:lvlText w:val="•"/>
      <w:lvlJc w:val="left"/>
      <w:pPr>
        <w:ind w:left="2214" w:hanging="591"/>
      </w:pPr>
      <w:rPr>
        <w:rFonts w:hint="default"/>
      </w:rPr>
    </w:lvl>
    <w:lvl w:ilvl="3">
      <w:start w:val="0"/>
      <w:numFmt w:val="bullet"/>
      <w:lvlText w:val="•"/>
      <w:lvlJc w:val="left"/>
      <w:pPr>
        <w:ind w:left="2961" w:hanging="591"/>
      </w:pPr>
      <w:rPr>
        <w:rFonts w:hint="default"/>
      </w:rPr>
    </w:lvl>
    <w:lvl w:ilvl="4">
      <w:start w:val="0"/>
      <w:numFmt w:val="bullet"/>
      <w:lvlText w:val="•"/>
      <w:lvlJc w:val="left"/>
      <w:pPr>
        <w:ind w:left="3708" w:hanging="591"/>
      </w:pPr>
      <w:rPr>
        <w:rFonts w:hint="default"/>
      </w:rPr>
    </w:lvl>
    <w:lvl w:ilvl="5">
      <w:start w:val="0"/>
      <w:numFmt w:val="bullet"/>
      <w:lvlText w:val="•"/>
      <w:lvlJc w:val="left"/>
      <w:pPr>
        <w:ind w:left="4456" w:hanging="591"/>
      </w:pPr>
      <w:rPr>
        <w:rFonts w:hint="default"/>
      </w:rPr>
    </w:lvl>
    <w:lvl w:ilvl="6">
      <w:start w:val="0"/>
      <w:numFmt w:val="bullet"/>
      <w:lvlText w:val="•"/>
      <w:lvlJc w:val="left"/>
      <w:pPr>
        <w:ind w:left="5203" w:hanging="591"/>
      </w:pPr>
      <w:rPr>
        <w:rFonts w:hint="default"/>
      </w:rPr>
    </w:lvl>
    <w:lvl w:ilvl="7">
      <w:start w:val="0"/>
      <w:numFmt w:val="bullet"/>
      <w:lvlText w:val="•"/>
      <w:lvlJc w:val="left"/>
      <w:pPr>
        <w:ind w:left="5950" w:hanging="591"/>
      </w:pPr>
      <w:rPr>
        <w:rFonts w:hint="default"/>
      </w:rPr>
    </w:lvl>
    <w:lvl w:ilvl="8">
      <w:start w:val="0"/>
      <w:numFmt w:val="bullet"/>
      <w:lvlText w:val="•"/>
      <w:lvlJc w:val="left"/>
      <w:pPr>
        <w:ind w:left="6697" w:hanging="591"/>
      </w:pPr>
      <w:rPr>
        <w:rFonts w:hint="default"/>
      </w:rPr>
    </w:lvl>
  </w:abstractNum>
  <w:abstractNum w:abstractNumId="6">
    <w:multiLevelType w:val="hybridMultilevel"/>
    <w:lvl w:ilvl="0">
      <w:start w:val="1"/>
      <w:numFmt w:val="decimal"/>
      <w:lvlText w:val="（%1）"/>
      <w:lvlJc w:val="left"/>
      <w:pPr>
        <w:ind w:left="711" w:hanging="565"/>
        <w:jc w:val="left"/>
      </w:pPr>
      <w:rPr>
        <w:rFonts w:hint="default" w:ascii="宋体" w:hAnsi="宋体" w:eastAsia="宋体" w:cs="宋体"/>
        <w:w w:val="100"/>
        <w:sz w:val="21"/>
        <w:szCs w:val="21"/>
      </w:rPr>
    </w:lvl>
    <w:lvl w:ilvl="1">
      <w:start w:val="0"/>
      <w:numFmt w:val="bullet"/>
      <w:lvlText w:val="•"/>
      <w:lvlJc w:val="left"/>
      <w:pPr>
        <w:ind w:left="1467" w:hanging="565"/>
      </w:pPr>
      <w:rPr>
        <w:rFonts w:hint="default"/>
      </w:rPr>
    </w:lvl>
    <w:lvl w:ilvl="2">
      <w:start w:val="0"/>
      <w:numFmt w:val="bullet"/>
      <w:lvlText w:val="•"/>
      <w:lvlJc w:val="left"/>
      <w:pPr>
        <w:ind w:left="2214" w:hanging="565"/>
      </w:pPr>
      <w:rPr>
        <w:rFonts w:hint="default"/>
      </w:rPr>
    </w:lvl>
    <w:lvl w:ilvl="3">
      <w:start w:val="0"/>
      <w:numFmt w:val="bullet"/>
      <w:lvlText w:val="•"/>
      <w:lvlJc w:val="left"/>
      <w:pPr>
        <w:ind w:left="2961" w:hanging="565"/>
      </w:pPr>
      <w:rPr>
        <w:rFonts w:hint="default"/>
      </w:rPr>
    </w:lvl>
    <w:lvl w:ilvl="4">
      <w:start w:val="0"/>
      <w:numFmt w:val="bullet"/>
      <w:lvlText w:val="•"/>
      <w:lvlJc w:val="left"/>
      <w:pPr>
        <w:ind w:left="3708" w:hanging="565"/>
      </w:pPr>
      <w:rPr>
        <w:rFonts w:hint="default"/>
      </w:rPr>
    </w:lvl>
    <w:lvl w:ilvl="5">
      <w:start w:val="0"/>
      <w:numFmt w:val="bullet"/>
      <w:lvlText w:val="•"/>
      <w:lvlJc w:val="left"/>
      <w:pPr>
        <w:ind w:left="4456" w:hanging="565"/>
      </w:pPr>
      <w:rPr>
        <w:rFonts w:hint="default"/>
      </w:rPr>
    </w:lvl>
    <w:lvl w:ilvl="6">
      <w:start w:val="0"/>
      <w:numFmt w:val="bullet"/>
      <w:lvlText w:val="•"/>
      <w:lvlJc w:val="left"/>
      <w:pPr>
        <w:ind w:left="5203" w:hanging="565"/>
      </w:pPr>
      <w:rPr>
        <w:rFonts w:hint="default"/>
      </w:rPr>
    </w:lvl>
    <w:lvl w:ilvl="7">
      <w:start w:val="0"/>
      <w:numFmt w:val="bullet"/>
      <w:lvlText w:val="•"/>
      <w:lvlJc w:val="left"/>
      <w:pPr>
        <w:ind w:left="5950" w:hanging="565"/>
      </w:pPr>
      <w:rPr>
        <w:rFonts w:hint="default"/>
      </w:rPr>
    </w:lvl>
    <w:lvl w:ilvl="8">
      <w:start w:val="0"/>
      <w:numFmt w:val="bullet"/>
      <w:lvlText w:val="•"/>
      <w:lvlJc w:val="left"/>
      <w:pPr>
        <w:ind w:left="6697" w:hanging="565"/>
      </w:pPr>
      <w:rPr>
        <w:rFonts w:hint="default"/>
      </w:rPr>
    </w:lvl>
  </w:abstractNum>
  <w:abstractNum w:abstractNumId="5">
    <w:multiLevelType w:val="hybridMultilevel"/>
    <w:lvl w:ilvl="0">
      <w:start w:val="1"/>
      <w:numFmt w:val="decimal"/>
      <w:lvlText w:val="(%1)"/>
      <w:lvlJc w:val="left"/>
      <w:pPr>
        <w:ind w:left="536"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05" w:hanging="351"/>
      </w:pPr>
      <w:rPr>
        <w:rFonts w:hint="default"/>
      </w:rPr>
    </w:lvl>
    <w:lvl w:ilvl="2">
      <w:start w:val="0"/>
      <w:numFmt w:val="bullet"/>
      <w:lvlText w:val="•"/>
      <w:lvlJc w:val="left"/>
      <w:pPr>
        <w:ind w:left="2070" w:hanging="351"/>
      </w:pPr>
      <w:rPr>
        <w:rFonts w:hint="default"/>
      </w:rPr>
    </w:lvl>
    <w:lvl w:ilvl="3">
      <w:start w:val="0"/>
      <w:numFmt w:val="bullet"/>
      <w:lvlText w:val="•"/>
      <w:lvlJc w:val="left"/>
      <w:pPr>
        <w:ind w:left="2835" w:hanging="351"/>
      </w:pPr>
      <w:rPr>
        <w:rFonts w:hint="default"/>
      </w:rPr>
    </w:lvl>
    <w:lvl w:ilvl="4">
      <w:start w:val="0"/>
      <w:numFmt w:val="bullet"/>
      <w:lvlText w:val="•"/>
      <w:lvlJc w:val="left"/>
      <w:pPr>
        <w:ind w:left="3600" w:hanging="351"/>
      </w:pPr>
      <w:rPr>
        <w:rFonts w:hint="default"/>
      </w:rPr>
    </w:lvl>
    <w:lvl w:ilvl="5">
      <w:start w:val="0"/>
      <w:numFmt w:val="bullet"/>
      <w:lvlText w:val="•"/>
      <w:lvlJc w:val="left"/>
      <w:pPr>
        <w:ind w:left="4366" w:hanging="351"/>
      </w:pPr>
      <w:rPr>
        <w:rFonts w:hint="default"/>
      </w:rPr>
    </w:lvl>
    <w:lvl w:ilvl="6">
      <w:start w:val="0"/>
      <w:numFmt w:val="bullet"/>
      <w:lvlText w:val="•"/>
      <w:lvlJc w:val="left"/>
      <w:pPr>
        <w:ind w:left="5131" w:hanging="351"/>
      </w:pPr>
      <w:rPr>
        <w:rFonts w:hint="default"/>
      </w:rPr>
    </w:lvl>
    <w:lvl w:ilvl="7">
      <w:start w:val="0"/>
      <w:numFmt w:val="bullet"/>
      <w:lvlText w:val="•"/>
      <w:lvlJc w:val="left"/>
      <w:pPr>
        <w:ind w:left="5896" w:hanging="351"/>
      </w:pPr>
      <w:rPr>
        <w:rFonts w:hint="default"/>
      </w:rPr>
    </w:lvl>
    <w:lvl w:ilvl="8">
      <w:start w:val="0"/>
      <w:numFmt w:val="bullet"/>
      <w:lvlText w:val="•"/>
      <w:lvlJc w:val="left"/>
      <w:pPr>
        <w:ind w:left="6661" w:hanging="351"/>
      </w:pPr>
      <w:rPr>
        <w:rFonts w:hint="default"/>
      </w:rPr>
    </w:lvl>
  </w:abstractNum>
  <w:abstractNum w:abstractNumId="4">
    <w:multiLevelType w:val="hybridMultilevel"/>
    <w:lvl w:ilvl="0">
      <w:start w:val="1"/>
      <w:numFmt w:val="decimal"/>
      <w:lvlText w:val="%1."/>
      <w:lvlJc w:val="left"/>
      <w:pPr>
        <w:ind w:left="802" w:hanging="269"/>
        <w:jc w:val="left"/>
      </w:pPr>
      <w:rPr>
        <w:rFonts w:hint="default" w:ascii="宋体" w:hAnsi="宋体" w:eastAsia="宋体" w:cs="宋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3">
    <w:multiLevelType w:val="hybridMultilevel"/>
    <w:lvl w:ilvl="0">
      <w:start w:val="1"/>
      <w:numFmt w:val="decimal"/>
      <w:lvlText w:val="%1."/>
      <w:lvlJc w:val="left"/>
      <w:pPr>
        <w:ind w:left="802" w:hanging="269"/>
        <w:jc w:val="left"/>
      </w:pPr>
      <w:rPr>
        <w:rFonts w:hint="default" w:ascii="宋体" w:hAnsi="宋体" w:eastAsia="宋体" w:cs="宋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2">
    <w:multiLevelType w:val="hybridMultilevel"/>
    <w:lvl w:ilvl="0">
      <w:start w:val="1"/>
      <w:numFmt w:val="decimal"/>
      <w:lvlText w:val="%1."/>
      <w:lvlJc w:val="left"/>
      <w:pPr>
        <w:ind w:left="802" w:hanging="269"/>
        <w:jc w:val="left"/>
      </w:pPr>
      <w:rPr>
        <w:rFonts w:hint="default" w:ascii="黑体" w:hAnsi="黑体" w:eastAsia="黑体" w:cs="黑体"/>
        <w:w w:val="100"/>
        <w:sz w:val="21"/>
        <w:szCs w:val="21"/>
      </w:rPr>
    </w:lvl>
    <w:lvl w:ilvl="1">
      <w:start w:val="0"/>
      <w:numFmt w:val="bullet"/>
      <w:lvlText w:val="•"/>
      <w:lvlJc w:val="left"/>
      <w:pPr>
        <w:ind w:left="1698" w:hanging="269"/>
      </w:pPr>
      <w:rPr>
        <w:rFonts w:hint="default"/>
      </w:rPr>
    </w:lvl>
    <w:lvl w:ilvl="2">
      <w:start w:val="0"/>
      <w:numFmt w:val="bullet"/>
      <w:lvlText w:val="•"/>
      <w:lvlJc w:val="left"/>
      <w:pPr>
        <w:ind w:left="2597" w:hanging="269"/>
      </w:pPr>
      <w:rPr>
        <w:rFonts w:hint="default"/>
      </w:rPr>
    </w:lvl>
    <w:lvl w:ilvl="3">
      <w:start w:val="0"/>
      <w:numFmt w:val="bullet"/>
      <w:lvlText w:val="•"/>
      <w:lvlJc w:val="left"/>
      <w:pPr>
        <w:ind w:left="3495" w:hanging="269"/>
      </w:pPr>
      <w:rPr>
        <w:rFonts w:hint="default"/>
      </w:rPr>
    </w:lvl>
    <w:lvl w:ilvl="4">
      <w:start w:val="0"/>
      <w:numFmt w:val="bullet"/>
      <w:lvlText w:val="•"/>
      <w:lvlJc w:val="left"/>
      <w:pPr>
        <w:ind w:left="4394" w:hanging="269"/>
      </w:pPr>
      <w:rPr>
        <w:rFonts w:hint="default"/>
      </w:rPr>
    </w:lvl>
    <w:lvl w:ilvl="5">
      <w:start w:val="0"/>
      <w:numFmt w:val="bullet"/>
      <w:lvlText w:val="•"/>
      <w:lvlJc w:val="left"/>
      <w:pPr>
        <w:ind w:left="5293" w:hanging="269"/>
      </w:pPr>
      <w:rPr>
        <w:rFonts w:hint="default"/>
      </w:rPr>
    </w:lvl>
    <w:lvl w:ilvl="6">
      <w:start w:val="0"/>
      <w:numFmt w:val="bullet"/>
      <w:lvlText w:val="•"/>
      <w:lvlJc w:val="left"/>
      <w:pPr>
        <w:ind w:left="6191" w:hanging="269"/>
      </w:pPr>
      <w:rPr>
        <w:rFonts w:hint="default"/>
      </w:rPr>
    </w:lvl>
    <w:lvl w:ilvl="7">
      <w:start w:val="0"/>
      <w:numFmt w:val="bullet"/>
      <w:lvlText w:val="•"/>
      <w:lvlJc w:val="left"/>
      <w:pPr>
        <w:ind w:left="7090" w:hanging="269"/>
      </w:pPr>
      <w:rPr>
        <w:rFonts w:hint="default"/>
      </w:rPr>
    </w:lvl>
    <w:lvl w:ilvl="8">
      <w:start w:val="0"/>
      <w:numFmt w:val="bullet"/>
      <w:lvlText w:val="•"/>
      <w:lvlJc w:val="left"/>
      <w:pPr>
        <w:ind w:left="7989" w:hanging="269"/>
      </w:pPr>
      <w:rPr>
        <w:rFonts w:hint="default"/>
      </w:rPr>
    </w:lvl>
  </w:abstractNum>
  <w:abstractNum w:abstractNumId="1">
    <w:multiLevelType w:val="hybridMultilevel"/>
    <w:lvl w:ilvl="0">
      <w:start w:val="1"/>
      <w:numFmt w:val="decimal"/>
      <w:lvlText w:val="%1."/>
      <w:lvlJc w:val="left"/>
      <w:pPr>
        <w:ind w:left="799" w:hanging="269"/>
        <w:jc w:val="left"/>
      </w:pPr>
      <w:rPr>
        <w:rFonts w:hint="default" w:ascii="黑体" w:hAnsi="黑体" w:eastAsia="黑体" w:cs="黑体"/>
        <w:w w:val="100"/>
        <w:sz w:val="21"/>
        <w:szCs w:val="21"/>
      </w:rPr>
    </w:lvl>
    <w:lvl w:ilvl="1">
      <w:start w:val="0"/>
      <w:numFmt w:val="bullet"/>
      <w:lvlText w:val="•"/>
      <w:lvlJc w:val="left"/>
      <w:pPr>
        <w:ind w:left="1698" w:hanging="269"/>
      </w:pPr>
      <w:rPr>
        <w:rFonts w:hint="default"/>
      </w:rPr>
    </w:lvl>
    <w:lvl w:ilvl="2">
      <w:start w:val="0"/>
      <w:numFmt w:val="bullet"/>
      <w:lvlText w:val="•"/>
      <w:lvlJc w:val="left"/>
      <w:pPr>
        <w:ind w:left="2597" w:hanging="269"/>
      </w:pPr>
      <w:rPr>
        <w:rFonts w:hint="default"/>
      </w:rPr>
    </w:lvl>
    <w:lvl w:ilvl="3">
      <w:start w:val="0"/>
      <w:numFmt w:val="bullet"/>
      <w:lvlText w:val="•"/>
      <w:lvlJc w:val="left"/>
      <w:pPr>
        <w:ind w:left="3495" w:hanging="269"/>
      </w:pPr>
      <w:rPr>
        <w:rFonts w:hint="default"/>
      </w:rPr>
    </w:lvl>
    <w:lvl w:ilvl="4">
      <w:start w:val="0"/>
      <w:numFmt w:val="bullet"/>
      <w:lvlText w:val="•"/>
      <w:lvlJc w:val="left"/>
      <w:pPr>
        <w:ind w:left="4394" w:hanging="269"/>
      </w:pPr>
      <w:rPr>
        <w:rFonts w:hint="default"/>
      </w:rPr>
    </w:lvl>
    <w:lvl w:ilvl="5">
      <w:start w:val="0"/>
      <w:numFmt w:val="bullet"/>
      <w:lvlText w:val="•"/>
      <w:lvlJc w:val="left"/>
      <w:pPr>
        <w:ind w:left="5293" w:hanging="269"/>
      </w:pPr>
      <w:rPr>
        <w:rFonts w:hint="default"/>
      </w:rPr>
    </w:lvl>
    <w:lvl w:ilvl="6">
      <w:start w:val="0"/>
      <w:numFmt w:val="bullet"/>
      <w:lvlText w:val="•"/>
      <w:lvlJc w:val="left"/>
      <w:pPr>
        <w:ind w:left="6191" w:hanging="269"/>
      </w:pPr>
      <w:rPr>
        <w:rFonts w:hint="default"/>
      </w:rPr>
    </w:lvl>
    <w:lvl w:ilvl="7">
      <w:start w:val="0"/>
      <w:numFmt w:val="bullet"/>
      <w:lvlText w:val="•"/>
      <w:lvlJc w:val="left"/>
      <w:pPr>
        <w:ind w:left="7090" w:hanging="269"/>
      </w:pPr>
      <w:rPr>
        <w:rFonts w:hint="default"/>
      </w:rPr>
    </w:lvl>
    <w:lvl w:ilvl="8">
      <w:start w:val="0"/>
      <w:numFmt w:val="bullet"/>
      <w:lvlText w:val="•"/>
      <w:lvlJc w:val="left"/>
      <w:pPr>
        <w:ind w:left="7989" w:hanging="269"/>
      </w:pPr>
      <w:rPr>
        <w:rFonts w:hint="default"/>
      </w:rPr>
    </w:lvl>
  </w:abstractNum>
  <w:abstractNum w:abstractNumId="0">
    <w:multiLevelType w:val="hybridMultilevel"/>
    <w:lvl w:ilvl="0">
      <w:start w:val="1"/>
      <w:numFmt w:val="decimal"/>
      <w:lvlText w:val="%1."/>
      <w:lvlJc w:val="left"/>
      <w:pPr>
        <w:ind w:left="802" w:hanging="269"/>
        <w:jc w:val="left"/>
      </w:pPr>
      <w:rPr>
        <w:rFonts w:hint="default" w:ascii="黑体" w:hAnsi="黑体" w:eastAsia="黑体" w:cs="黑体"/>
        <w:b/>
        <w:bCs/>
        <w:w w:val="99"/>
        <w:sz w:val="21"/>
        <w:szCs w:val="21"/>
      </w:rPr>
    </w:lvl>
    <w:lvl w:ilvl="1">
      <w:start w:val="0"/>
      <w:numFmt w:val="bullet"/>
      <w:lvlText w:val="•"/>
      <w:lvlJc w:val="left"/>
      <w:pPr>
        <w:ind w:left="1698" w:hanging="269"/>
      </w:pPr>
      <w:rPr>
        <w:rFonts w:hint="default"/>
      </w:rPr>
    </w:lvl>
    <w:lvl w:ilvl="2">
      <w:start w:val="0"/>
      <w:numFmt w:val="bullet"/>
      <w:lvlText w:val="•"/>
      <w:lvlJc w:val="left"/>
      <w:pPr>
        <w:ind w:left="2597" w:hanging="269"/>
      </w:pPr>
      <w:rPr>
        <w:rFonts w:hint="default"/>
      </w:rPr>
    </w:lvl>
    <w:lvl w:ilvl="3">
      <w:start w:val="0"/>
      <w:numFmt w:val="bullet"/>
      <w:lvlText w:val="•"/>
      <w:lvlJc w:val="left"/>
      <w:pPr>
        <w:ind w:left="3495" w:hanging="269"/>
      </w:pPr>
      <w:rPr>
        <w:rFonts w:hint="default"/>
      </w:rPr>
    </w:lvl>
    <w:lvl w:ilvl="4">
      <w:start w:val="0"/>
      <w:numFmt w:val="bullet"/>
      <w:lvlText w:val="•"/>
      <w:lvlJc w:val="left"/>
      <w:pPr>
        <w:ind w:left="4394" w:hanging="269"/>
      </w:pPr>
      <w:rPr>
        <w:rFonts w:hint="default"/>
      </w:rPr>
    </w:lvl>
    <w:lvl w:ilvl="5">
      <w:start w:val="0"/>
      <w:numFmt w:val="bullet"/>
      <w:lvlText w:val="•"/>
      <w:lvlJc w:val="left"/>
      <w:pPr>
        <w:ind w:left="5293" w:hanging="269"/>
      </w:pPr>
      <w:rPr>
        <w:rFonts w:hint="default"/>
      </w:rPr>
    </w:lvl>
    <w:lvl w:ilvl="6">
      <w:start w:val="0"/>
      <w:numFmt w:val="bullet"/>
      <w:lvlText w:val="•"/>
      <w:lvlJc w:val="left"/>
      <w:pPr>
        <w:ind w:left="6191" w:hanging="269"/>
      </w:pPr>
      <w:rPr>
        <w:rFonts w:hint="default"/>
      </w:rPr>
    </w:lvl>
    <w:lvl w:ilvl="7">
      <w:start w:val="0"/>
      <w:numFmt w:val="bullet"/>
      <w:lvlText w:val="•"/>
      <w:lvlJc w:val="left"/>
      <w:pPr>
        <w:ind w:left="7090" w:hanging="269"/>
      </w:pPr>
      <w:rPr>
        <w:rFonts w:hint="default"/>
      </w:rPr>
    </w:lvl>
    <w:lvl w:ilvl="8">
      <w:start w:val="0"/>
      <w:numFmt w:val="bullet"/>
      <w:lvlText w:val="•"/>
      <w:lvlJc w:val="left"/>
      <w:pPr>
        <w:ind w:left="7989" w:hanging="269"/>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44"/>
      <w:ind w:left="113"/>
    </w:pPr>
    <w:rPr>
      <w:rFonts w:ascii="宋体" w:hAnsi="宋体" w:eastAsia="宋体" w:cs="宋体"/>
      <w:b/>
      <w:bCs/>
      <w:sz w:val="20"/>
      <w:szCs w:val="20"/>
    </w:rPr>
  </w:style>
  <w:style w:styleId="TOC2" w:type="paragraph">
    <w:name w:val="TOC 2"/>
    <w:basedOn w:val="Normal"/>
    <w:uiPriority w:val="1"/>
    <w:qFormat/>
    <w:pPr>
      <w:spacing w:before="24"/>
      <w:ind w:left="324"/>
    </w:pPr>
    <w:rPr>
      <w:rFonts w:ascii="宋体" w:hAnsi="宋体" w:eastAsia="宋体" w:cs="宋体"/>
      <w:sz w:val="20"/>
      <w:szCs w:val="20"/>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2943"/>
      <w:outlineLvl w:val="1"/>
    </w:pPr>
    <w:rPr>
      <w:rFonts w:ascii="宋体" w:hAnsi="宋体" w:eastAsia="宋体" w:cs="宋体"/>
      <w:b/>
      <w:bCs/>
      <w:sz w:val="28"/>
      <w:szCs w:val="28"/>
    </w:rPr>
  </w:style>
  <w:style w:styleId="Heading2" w:type="paragraph">
    <w:name w:val="Heading 2"/>
    <w:basedOn w:val="Normal"/>
    <w:uiPriority w:val="1"/>
    <w:qFormat/>
    <w:pPr>
      <w:ind w:left="113"/>
      <w:outlineLvl w:val="2"/>
    </w:pPr>
    <w:rPr>
      <w:rFonts w:ascii="黑体" w:hAnsi="黑体" w:eastAsia="黑体" w:cs="黑体"/>
      <w:b/>
      <w:bCs/>
      <w:sz w:val="21"/>
      <w:szCs w:val="21"/>
    </w:rPr>
  </w:style>
  <w:style w:styleId="ListParagraph" w:type="paragraph">
    <w:name w:val="List Paragraph"/>
    <w:basedOn w:val="Normal"/>
    <w:uiPriority w:val="1"/>
    <w:qFormat/>
    <w:pPr>
      <w:spacing w:before="85"/>
      <w:ind w:left="802" w:hanging="269"/>
    </w:pPr>
    <w:rPr>
      <w:rFonts w:ascii="黑体" w:hAnsi="黑体" w:eastAsia="黑体" w:cs="黑体"/>
    </w:rPr>
  </w:style>
  <w:style w:styleId="TableParagraph" w:type="paragraph">
    <w:name w:val="Table Paragraph"/>
    <w:basedOn w:val="Normal"/>
    <w:uiPriority w:val="1"/>
    <w:qFormat/>
    <w:pPr>
      <w:ind w:left="18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马文婕</dc:creator>
  <dcterms:created xsi:type="dcterms:W3CDTF">2018-10-19T23:43:14Z</dcterms:created>
  <dcterms:modified xsi:type="dcterms:W3CDTF">2018-10-19T23:43:14Z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2017-05-16T00:00:00Z</vt:filetime>
  </property>
  <property fmtid="{D5CDD505-2E9C-101B-9397-08002B2CF9AE}" pid="3" name="Creator">
    <vt:lpwstr>Microsoft® Office Word 2007</vt:lpwstr>
  </property>
  <property fmtid="{D5CDD505-2E9C-101B-9397-08002B2CF9AE}" pid="4" name="LastSaved">
    <vt:filetime>2018-10-19T00:00:00Z</vt:filetime>
  </property>
</Properties>
</file>