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[2014]</w:t>
      </w:r>
      <w:r>
        <w:rPr/>
        <w:t>疾病保险 </w:t>
      </w:r>
      <w:r>
        <w:rPr>
          <w:rFonts w:ascii="Times New Roman" w:eastAsia="Times New Roman"/>
        </w:rPr>
        <w:t>012 </w:t>
      </w:r>
      <w:r>
        <w:rPr/>
        <w:t>号</w:t>
      </w:r>
    </w:p>
    <w:p>
      <w:pPr>
        <w:pStyle w:val="BodyText"/>
        <w:ind w:left="5846"/>
      </w:pPr>
      <w:r>
        <w:rPr/>
        <w:t>请扫描以查询验证条款</w:t>
      </w:r>
    </w:p>
    <w:p>
      <w:pPr>
        <w:pStyle w:val="BodyText"/>
        <w:rPr>
          <w:sz w:val="20"/>
        </w:rPr>
      </w:pPr>
    </w:p>
    <w:p>
      <w:pPr>
        <w:pStyle w:val="Heading1"/>
        <w:spacing w:before="1"/>
      </w:pPr>
      <w:r>
        <w:rPr/>
        <w:t>中英人寿附加优选缘福提前给付重大疾病保险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22"/>
      </w:pPr>
      <w:r>
        <w:rPr/>
        <w:t>您享有的重要权益</w:t>
      </w:r>
    </w:p>
    <w:p>
      <w:pPr>
        <w:pStyle w:val="BodyText"/>
        <w:spacing w:before="7"/>
        <w:rPr>
          <w:sz w:val="14"/>
        </w:rPr>
      </w:pPr>
    </w:p>
    <w:p>
      <w:pPr>
        <w:pStyle w:val="BodyText"/>
        <w:tabs>
          <w:tab w:pos="7168" w:val="left" w:leader="none"/>
          <w:tab w:pos="7797" w:val="left" w:leader="none"/>
        </w:tabs>
        <w:spacing w:line="386" w:lineRule="auto"/>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6 </w:t>
      </w:r>
      <w:r>
        <w:rPr/>
        <w:t>章</w:t>
      </w:r>
    </w:p>
    <w:p>
      <w:pPr>
        <w:pStyle w:val="BodyText"/>
        <w:rPr>
          <w:sz w:val="22"/>
        </w:rPr>
      </w:pPr>
    </w:p>
    <w:p>
      <w:pPr>
        <w:pStyle w:val="BodyText"/>
        <w:spacing w:before="7"/>
        <w:rPr>
          <w:sz w:val="16"/>
        </w:rPr>
      </w:pPr>
    </w:p>
    <w:p>
      <w:pPr>
        <w:pStyle w:val="BodyText"/>
        <w:spacing w:before="1"/>
        <w:ind w:left="122"/>
      </w:pPr>
      <w:r>
        <w:rPr/>
        <w:t>您应当特别注意的事项</w:t>
      </w:r>
    </w:p>
    <w:p>
      <w:pPr>
        <w:pStyle w:val="BodyText"/>
        <w:spacing w:before="7"/>
        <w:rPr>
          <w:sz w:val="14"/>
        </w:rPr>
      </w:pPr>
    </w:p>
    <w:p>
      <w:pPr>
        <w:pStyle w:val="BodyText"/>
        <w:tabs>
          <w:tab w:pos="7161" w:val="left" w:leader="none"/>
          <w:tab w:pos="7795"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2"/>
        </w:rPr>
        <w:t> </w:t>
      </w:r>
      <w:r>
        <w:rPr>
          <w:rFonts w:ascii="Times New Roman" w:eastAsia="Times New Roman"/>
        </w:rPr>
        <w:t>5</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tab/>
      </w:r>
      <w:r>
        <w:rPr/>
        <w:t>第</w:t>
      </w:r>
      <w:r>
        <w:rPr>
          <w:spacing w:val="-52"/>
        </w:rPr>
        <w:t> </w:t>
      </w:r>
      <w:r>
        <w:rPr>
          <w:rFonts w:ascii="Times New Roman" w:eastAsia="Times New Roman"/>
        </w:rPr>
        <w:t>6</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tab/>
      </w:r>
      <w:r>
        <w:rPr/>
        <w:t>第</w:t>
      </w:r>
      <w:r>
        <w:rPr>
          <w:spacing w:val="-54"/>
        </w:rPr>
        <w:t> </w:t>
      </w:r>
      <w:r>
        <w:rPr>
          <w:rFonts w:ascii="Times New Roman" w:eastAsia="Times New Roman"/>
        </w:rPr>
        <w:t>7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756" w:right="3683"/>
        <w:jc w:val="center"/>
      </w:pPr>
      <w:r>
        <w:rPr/>
        <w:t>条款目录</w:t>
      </w:r>
    </w:p>
    <w:p>
      <w:pPr>
        <w:pStyle w:val="BodyText"/>
        <w:rPr>
          <w:sz w:val="28"/>
        </w:rPr>
      </w:pPr>
    </w:p>
    <w:p>
      <w:pPr>
        <w:pStyle w:val="BodyText"/>
        <w:spacing w:before="10"/>
        <w:rPr>
          <w:sz w:val="32"/>
        </w:rPr>
      </w:pPr>
    </w:p>
    <w:p>
      <w:pPr>
        <w:pStyle w:val="Heading2"/>
        <w:numPr>
          <w:ilvl w:val="0"/>
          <w:numId w:val="1"/>
        </w:numPr>
        <w:tabs>
          <w:tab w:pos="351" w:val="left" w:leader="none"/>
          <w:tab w:pos="4528" w:val="left" w:leader="none"/>
        </w:tabs>
        <w:spacing w:line="240" w:lineRule="auto" w:before="1" w:after="0"/>
        <w:ind w:left="350" w:right="0" w:hanging="242"/>
        <w:jc w:val="left"/>
      </w:pPr>
      <w:r>
        <w:rPr/>
        <w:t>您与我们的保险合同</w:t>
        <w:tab/>
      </w:r>
      <w:r>
        <w:rPr>
          <w:rFonts w:ascii="Times New Roman" w:eastAsia="Times New Roman"/>
          <w:b/>
        </w:rPr>
        <w:t>4 </w:t>
      </w:r>
      <w:r>
        <w:rPr>
          <w:rFonts w:ascii="Times New Roman" w:eastAsia="Times New Roman"/>
          <w:b/>
          <w:spacing w:val="2"/>
        </w:rPr>
        <w:t> </w:t>
      </w:r>
      <w:r>
        <w:rPr/>
        <w:t>保险金的给付</w:t>
      </w:r>
    </w:p>
    <w:p>
      <w:pPr>
        <w:pStyle w:val="ListParagraph"/>
        <w:numPr>
          <w:ilvl w:val="1"/>
          <w:numId w:val="1"/>
        </w:numPr>
        <w:tabs>
          <w:tab w:pos="636" w:val="left" w:leader="none"/>
          <w:tab w:pos="4739" w:val="left" w:leader="none"/>
        </w:tabs>
        <w:spacing w:line="240" w:lineRule="auto" w:before="89"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105"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104"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81" w:after="0"/>
        <w:ind w:left="636"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w:t>
      </w:r>
      <w:r>
        <w:rPr>
          <w:position w:val="1"/>
          <w:sz w:val="21"/>
        </w:rPr>
        <w:t>减</w:t>
      </w:r>
      <w:r>
        <w:rPr>
          <w:spacing w:val="-3"/>
          <w:position w:val="1"/>
          <w:sz w:val="21"/>
        </w:rPr>
        <w:t>少保</w:t>
      </w:r>
      <w:r>
        <w:rPr>
          <w:position w:val="1"/>
          <w:sz w:val="21"/>
        </w:rPr>
        <w:t>险金额</w:t>
        <w:tab/>
      </w:r>
      <w:r>
        <w:rPr>
          <w:rFonts w:ascii="Times New Roman" w:eastAsia="Times New Roman"/>
          <w:b/>
          <w:sz w:val="24"/>
        </w:rPr>
        <w:t>5 </w:t>
      </w:r>
      <w:r>
        <w:rPr>
          <w:rFonts w:ascii="Times New Roman" w:eastAsia="Times New Roman"/>
          <w:b/>
          <w:spacing w:val="2"/>
          <w:sz w:val="24"/>
        </w:rPr>
        <w:t> </w:t>
      </w:r>
      <w:r>
        <w:rPr>
          <w:sz w:val="24"/>
        </w:rPr>
        <w:t>欠款的扣除</w:t>
      </w:r>
    </w:p>
    <w:p>
      <w:pPr>
        <w:pStyle w:val="BodyText"/>
        <w:spacing w:before="3"/>
        <w:rPr>
          <w:sz w:val="35"/>
        </w:rPr>
      </w:pPr>
    </w:p>
    <w:p>
      <w:pPr>
        <w:pStyle w:val="Heading2"/>
        <w:numPr>
          <w:ilvl w:val="0"/>
          <w:numId w:val="1"/>
        </w:numPr>
        <w:tabs>
          <w:tab w:pos="351" w:val="left" w:leader="none"/>
          <w:tab w:pos="4528" w:val="left" w:leader="none"/>
        </w:tabs>
        <w:spacing w:line="240" w:lineRule="auto" w:before="0" w:after="0"/>
        <w:ind w:left="350" w:right="0" w:hanging="242"/>
        <w:jc w:val="left"/>
      </w:pPr>
      <w:r>
        <w:rPr/>
        <w:t>保障范围</w:t>
        <w:tab/>
      </w:r>
      <w:r>
        <w:rPr>
          <w:rFonts w:ascii="Times New Roman" w:eastAsia="Times New Roman"/>
          <w:b/>
        </w:rPr>
        <w:t>6 </w:t>
      </w:r>
      <w:r>
        <w:rPr>
          <w:rFonts w:ascii="Times New Roman" w:eastAsia="Times New Roman"/>
          <w:b/>
          <w:spacing w:val="1"/>
        </w:rPr>
        <w:t> </w:t>
      </w:r>
      <w:r>
        <w:rPr/>
        <w:t>附加合同效力的终止</w:t>
      </w:r>
    </w:p>
    <w:p>
      <w:pPr>
        <w:pStyle w:val="ListParagraph"/>
        <w:numPr>
          <w:ilvl w:val="1"/>
          <w:numId w:val="1"/>
        </w:numPr>
        <w:tabs>
          <w:tab w:pos="636" w:val="left" w:leader="none"/>
        </w:tabs>
        <w:spacing w:line="240" w:lineRule="auto" w:before="88" w:after="0"/>
        <w:ind w:left="635" w:right="0" w:hanging="316"/>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81" w:after="0"/>
        <w:ind w:left="635" w:right="0" w:hanging="316"/>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0"/>
          <w:sz w:val="24"/>
        </w:rPr>
        <w:t> </w:t>
      </w:r>
      <w:r>
        <w:rPr>
          <w:sz w:val="24"/>
        </w:rPr>
        <w:t>名词释义</w:t>
      </w:r>
    </w:p>
    <w:p>
      <w:pPr>
        <w:pStyle w:val="BodyText"/>
        <w:spacing w:before="3"/>
        <w:rPr>
          <w:sz w:val="35"/>
        </w:rPr>
      </w:pPr>
    </w:p>
    <w:p>
      <w:pPr>
        <w:pStyle w:val="Heading2"/>
        <w:numPr>
          <w:ilvl w:val="0"/>
          <w:numId w:val="1"/>
        </w:numPr>
        <w:tabs>
          <w:tab w:pos="351" w:val="left" w:leader="none"/>
          <w:tab w:pos="4531" w:val="left" w:leader="none"/>
        </w:tabs>
        <w:spacing w:line="240" w:lineRule="auto" w:before="0" w:after="0"/>
        <w:ind w:left="350" w:right="0" w:hanging="242"/>
        <w:jc w:val="left"/>
      </w:pPr>
      <w:r>
        <w:rPr/>
        <w:t>保险费</w:t>
        <w:tab/>
        <w:t>附表一：重大疾病列表</w:t>
      </w:r>
    </w:p>
    <w:p>
      <w:pPr>
        <w:spacing w:before="63"/>
        <w:ind w:left="4531" w:right="0" w:firstLine="0"/>
        <w:jc w:val="left"/>
        <w:rPr>
          <w:sz w:val="24"/>
        </w:rPr>
      </w:pPr>
      <w:r>
        <w:rPr>
          <w:sz w:val="24"/>
        </w:rPr>
        <w:t>附表二：轻症疾病列表</w:t>
      </w:r>
    </w:p>
    <w:p>
      <w:pPr>
        <w:spacing w:after="0"/>
        <w:jc w:val="left"/>
        <w:rPr>
          <w:sz w:val="24"/>
        </w:rPr>
        <w:sectPr>
          <w:pgSz w:w="11900" w:h="16840"/>
          <w:pgMar w:top="1600" w:bottom="280" w:left="1620" w:right="1680"/>
        </w:sectPr>
      </w:pPr>
    </w:p>
    <w:p>
      <w:pPr>
        <w:spacing w:line="355" w:lineRule="exact" w:before="0"/>
        <w:ind w:left="2030" w:right="0" w:firstLine="0"/>
        <w:jc w:val="left"/>
        <w:rPr>
          <w:sz w:val="28"/>
        </w:rPr>
      </w:pPr>
      <w:r>
        <w:rPr>
          <w:sz w:val="28"/>
        </w:rPr>
        <w:t>中英人寿附加优选缘福提前给付重大疾病保险</w:t>
      </w:r>
    </w:p>
    <w:p>
      <w:pPr>
        <w:pStyle w:val="BodyText"/>
        <w:tabs>
          <w:tab w:pos="950" w:val="left" w:leader="none"/>
        </w:tabs>
        <w:spacing w:line="758" w:lineRule="exact" w:before="69"/>
        <w:ind w:left="100" w:right="1546" w:firstLine="1087"/>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spacing w:after="0" w:line="758" w:lineRule="exact"/>
        <w:sectPr>
          <w:pgSz w:w="11900" w:h="16840"/>
          <w:pgMar w:top="1580" w:bottom="280" w:left="1320" w:right="980"/>
        </w:sectPr>
      </w:pPr>
    </w:p>
    <w:p>
      <w:pPr>
        <w:pStyle w:val="ListParagraph"/>
        <w:numPr>
          <w:ilvl w:val="1"/>
          <w:numId w:val="2"/>
        </w:numPr>
        <w:tabs>
          <w:tab w:pos="950" w:val="left" w:leader="none"/>
          <w:tab w:pos="951" w:val="left" w:leader="none"/>
        </w:tabs>
        <w:spacing w:line="240" w:lineRule="auto" w:before="116" w:after="0"/>
        <w:ind w:left="950" w:right="0" w:hanging="480"/>
        <w:jc w:val="left"/>
        <w:rPr>
          <w:sz w:val="21"/>
        </w:rPr>
      </w:pPr>
      <w:r>
        <w:rPr>
          <w:spacing w:val="-1"/>
          <w:sz w:val="21"/>
        </w:rPr>
        <w:t>保险合同的构成</w:t>
      </w:r>
    </w:p>
    <w:p>
      <w:pPr>
        <w:pStyle w:val="BodyText"/>
        <w:spacing w:line="237" w:lineRule="auto" w:before="116"/>
        <w:ind w:left="372" w:right="223"/>
        <w:jc w:val="both"/>
      </w:pPr>
      <w:r>
        <w:rPr/>
        <w:br w:type="column"/>
      </w:r>
      <w:r>
        <w:rPr/>
        <w:t>《中英人寿附加优选缘福提前给付重大疾病保险》合同（以下简称本附加合同）由《中英人寿优选缘福两全保险》合同（以下简称主合同）的投保人向我们提出申请，经我们审核同意后订立。</w:t>
      </w:r>
    </w:p>
    <w:p>
      <w:pPr>
        <w:pStyle w:val="BodyText"/>
        <w:spacing w:before="7"/>
        <w:rPr>
          <w:sz w:val="18"/>
        </w:rPr>
      </w:pPr>
    </w:p>
    <w:p>
      <w:pPr>
        <w:pStyle w:val="BodyText"/>
        <w:spacing w:line="237" w:lineRule="auto"/>
        <w:ind w:left="372" w:right="223"/>
        <w:jc w:val="both"/>
      </w:pPr>
      <w:r>
        <w:rPr/>
        <w:t>本附加合同由保险单、保险条款、投保书及与本附加合同有关的其它投保文件、合法有效的声明、批注、批单及其它书面协议构成。</w:t>
      </w:r>
    </w:p>
    <w:p>
      <w:pPr>
        <w:pStyle w:val="BodyText"/>
        <w:spacing w:before="7"/>
        <w:rPr>
          <w:sz w:val="18"/>
        </w:rPr>
      </w:pPr>
    </w:p>
    <w:p>
      <w:pPr>
        <w:pStyle w:val="BodyText"/>
        <w:spacing w:line="237" w:lineRule="auto"/>
        <w:ind w:left="372" w:right="223"/>
        <w:jc w:val="both"/>
      </w:pPr>
      <w:r>
        <w:rPr/>
        <w:t>主合同的条款适用于本附加合同。如果主合同的条款与本附加合同冲突， 则以本附加合同为准。</w:t>
      </w:r>
    </w:p>
    <w:p>
      <w:pPr>
        <w:spacing w:after="0" w:line="237" w:lineRule="auto"/>
        <w:jc w:val="both"/>
        <w:sectPr>
          <w:type w:val="continuous"/>
          <w:pgSz w:w="11900" w:h="16840"/>
          <w:pgMar w:top="1220" w:bottom="280" w:left="1320" w:right="980"/>
          <w:cols w:num="2" w:equalWidth="0">
            <w:col w:w="2216" w:space="40"/>
            <w:col w:w="7344"/>
          </w:cols>
        </w:sectPr>
      </w:pPr>
    </w:p>
    <w:p>
      <w:pPr>
        <w:pStyle w:val="BodyText"/>
        <w:spacing w:before="10"/>
        <w:rPr>
          <w:sz w:val="13"/>
        </w:rPr>
      </w:pPr>
    </w:p>
    <w:p>
      <w:pPr>
        <w:pStyle w:val="ListParagraph"/>
        <w:numPr>
          <w:ilvl w:val="1"/>
          <w:numId w:val="2"/>
        </w:numPr>
        <w:tabs>
          <w:tab w:pos="950" w:val="left" w:leader="none"/>
          <w:tab w:pos="951" w:val="left" w:leader="none"/>
          <w:tab w:pos="2627" w:val="left" w:leader="none"/>
        </w:tabs>
        <w:spacing w:line="280" w:lineRule="exact" w:before="63" w:after="0"/>
        <w:ind w:left="950" w:right="0" w:hanging="480"/>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60</w:t>
      </w:r>
      <w:r>
        <w:rPr>
          <w:rFonts w:ascii="Times New Roman" w:eastAsia="Times New Roman"/>
          <w:spacing w:val="1"/>
          <w:sz w:val="21"/>
        </w:rPr>
        <w:t> </w:t>
      </w:r>
      <w:r>
        <w:rPr>
          <w:sz w:val="21"/>
        </w:rPr>
        <w:t>周</w:t>
      </w:r>
      <w:r>
        <w:rPr>
          <w:spacing w:val="-63"/>
          <w:sz w:val="21"/>
        </w:rPr>
        <w:t>岁</w:t>
      </w:r>
      <w:r>
        <w:rPr>
          <w:spacing w:val="-3"/>
          <w:sz w:val="21"/>
        </w:rPr>
        <w:t>（</w:t>
      </w:r>
      <w:r>
        <w:rPr>
          <w:sz w:val="21"/>
        </w:rPr>
        <w:t>见</w:t>
      </w:r>
    </w:p>
    <w:p>
      <w:pPr>
        <w:pStyle w:val="BodyText"/>
        <w:spacing w:line="280" w:lineRule="exact"/>
        <w:ind w:left="2627"/>
      </w:pPr>
      <w:r>
        <w:rPr>
          <w:rFonts w:ascii="Times New Roman" w:eastAsia="Times New Roman"/>
          <w:w w:val="100"/>
        </w:rPr>
        <w:t>7.1</w:t>
      </w:r>
      <w:r>
        <w:rPr>
          <w:spacing w:val="-106"/>
          <w:w w:val="100"/>
        </w:rPr>
        <w:t>）</w:t>
      </w:r>
      <w:r>
        <w:rPr>
          <w:w w:val="100"/>
        </w:rPr>
        <w:t>。</w:t>
      </w:r>
    </w:p>
    <w:p>
      <w:pPr>
        <w:pStyle w:val="BodyText"/>
        <w:spacing w:before="10"/>
        <w:rPr>
          <w:sz w:val="26"/>
        </w:rPr>
      </w:pPr>
    </w:p>
    <w:p>
      <w:pPr>
        <w:pStyle w:val="ListParagraph"/>
        <w:numPr>
          <w:ilvl w:val="1"/>
          <w:numId w:val="2"/>
        </w:numPr>
        <w:tabs>
          <w:tab w:pos="951" w:val="left" w:leader="none"/>
        </w:tabs>
        <w:spacing w:line="237" w:lineRule="auto" w:before="0" w:after="0"/>
        <w:ind w:left="2628" w:right="223" w:hanging="2158"/>
        <w:jc w:val="both"/>
        <w:rPr>
          <w:sz w:val="21"/>
        </w:rPr>
      </w:pPr>
      <w:r>
        <w:rPr>
          <w:spacing w:val="-3"/>
          <w:sz w:val="21"/>
        </w:rPr>
        <w:t>合同的生效日   本附加合同的生效日经我们同意承保，自您缴纳首期保险费当日的二十四时开始。本附加合同必须与主合同同时投保，主合同的生效日为本附加合同的生效日。</w:t>
      </w:r>
    </w:p>
    <w:p>
      <w:pPr>
        <w:pStyle w:val="BodyText"/>
        <w:spacing w:before="5"/>
        <w:rPr>
          <w:sz w:val="18"/>
        </w:rPr>
      </w:pPr>
    </w:p>
    <w:p>
      <w:pPr>
        <w:pStyle w:val="ListParagraph"/>
        <w:numPr>
          <w:ilvl w:val="1"/>
          <w:numId w:val="2"/>
        </w:numPr>
        <w:tabs>
          <w:tab w:pos="950" w:val="left" w:leader="none"/>
          <w:tab w:pos="951" w:val="left" w:leader="none"/>
          <w:tab w:pos="2627" w:val="left" w:leader="none"/>
        </w:tabs>
        <w:spacing w:line="240" w:lineRule="auto" w:before="0" w:after="0"/>
        <w:ind w:left="950" w:right="0" w:hanging="480"/>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8"/>
        <w:rPr>
          <w:sz w:val="13"/>
        </w:rPr>
      </w:pPr>
    </w:p>
    <w:p>
      <w:pPr>
        <w:spacing w:after="0"/>
        <w:rPr>
          <w:sz w:val="13"/>
        </w:rPr>
        <w:sectPr>
          <w:type w:val="continuous"/>
          <w:pgSz w:w="11900" w:h="16840"/>
          <w:pgMar w:top="1220" w:bottom="280" w:left="1320" w:right="980"/>
        </w:sectPr>
      </w:pPr>
    </w:p>
    <w:p>
      <w:pPr>
        <w:pStyle w:val="ListParagraph"/>
        <w:numPr>
          <w:ilvl w:val="1"/>
          <w:numId w:val="2"/>
        </w:numPr>
        <w:tabs>
          <w:tab w:pos="951" w:val="left" w:leader="none"/>
        </w:tabs>
        <w:spacing w:line="237" w:lineRule="auto" w:before="66" w:after="0"/>
        <w:ind w:left="950" w:right="0" w:hanging="480"/>
        <w:jc w:val="both"/>
        <w:rPr>
          <w:sz w:val="21"/>
        </w:rPr>
      </w:pPr>
      <w:r>
        <w:rPr>
          <w:spacing w:val="-1"/>
          <w:sz w:val="21"/>
        </w:rPr>
        <w:t>保险金额与申</w:t>
      </w:r>
      <w:r>
        <w:rPr>
          <w:spacing w:val="-2"/>
          <w:sz w:val="21"/>
        </w:rPr>
        <w:t>请减少保险金额</w:t>
      </w:r>
    </w:p>
    <w:p>
      <w:pPr>
        <w:pStyle w:val="BodyText"/>
        <w:spacing w:before="60"/>
        <w:ind w:left="372" w:right="223"/>
      </w:pPr>
      <w:r>
        <w:rPr/>
        <w:br w:type="column"/>
      </w:r>
      <w:r>
        <w:rPr/>
        <w:t>本附加合同的保险金额为主合同的保险金额，由您和我们约定并在保险单上载明。</w:t>
      </w:r>
    </w:p>
    <w:p>
      <w:pPr>
        <w:pStyle w:val="BodyText"/>
        <w:spacing w:before="2"/>
        <w:rPr>
          <w:sz w:val="18"/>
        </w:rPr>
      </w:pPr>
    </w:p>
    <w:p>
      <w:pPr>
        <w:pStyle w:val="BodyText"/>
        <w:spacing w:before="1"/>
        <w:ind w:left="372" w:right="115"/>
      </w:pPr>
      <w:r>
        <w:rPr>
          <w:spacing w:val="-7"/>
        </w:rPr>
        <w:t>主合同减少保险金额条款同样适用于本附加合同。主合同减少保险金额时， </w:t>
      </w:r>
      <w:r>
        <w:rPr>
          <w:spacing w:val="-5"/>
        </w:rPr>
        <w:t>本附加合同必须同时申请减少保险金额。</w:t>
      </w:r>
    </w:p>
    <w:p>
      <w:pPr>
        <w:pStyle w:val="BodyText"/>
        <w:spacing w:before="3"/>
        <w:rPr>
          <w:sz w:val="18"/>
        </w:rPr>
      </w:pPr>
    </w:p>
    <w:p>
      <w:pPr>
        <w:pStyle w:val="BodyText"/>
        <w:ind w:left="372"/>
      </w:pPr>
      <w:r>
        <w:rPr/>
        <w:t>本附加合同不能单独申请减少保险金额。</w:t>
      </w:r>
    </w:p>
    <w:p>
      <w:pPr>
        <w:spacing w:after="0"/>
        <w:sectPr>
          <w:type w:val="continuous"/>
          <w:pgSz w:w="11900" w:h="16840"/>
          <w:pgMar w:top="1220" w:bottom="280" w:left="1320" w:right="980"/>
          <w:cols w:num="2" w:equalWidth="0">
            <w:col w:w="2216" w:space="40"/>
            <w:col w:w="7344"/>
          </w:cols>
        </w:sectPr>
      </w:pPr>
    </w:p>
    <w:p>
      <w:pPr>
        <w:pStyle w:val="BodyText"/>
        <w:rPr>
          <w:sz w:val="20"/>
        </w:rPr>
      </w:pPr>
    </w:p>
    <w:p>
      <w:pPr>
        <w:pStyle w:val="BodyText"/>
        <w:spacing w:before="12"/>
        <w:rPr>
          <w:sz w:val="16"/>
        </w:rPr>
      </w:pPr>
    </w:p>
    <w:p>
      <w:pPr>
        <w:pStyle w:val="BodyText"/>
        <w:tabs>
          <w:tab w:pos="950" w:val="left" w:leader="none"/>
        </w:tabs>
        <w:ind w:left="103"/>
      </w:pPr>
      <w:r>
        <w:rPr/>
        <w:t>第</w:t>
      </w:r>
      <w:r>
        <w:rPr>
          <w:spacing w:val="-55"/>
        </w:rPr>
        <w:t> </w:t>
      </w:r>
      <w:r>
        <w:rPr>
          <w:rFonts w:ascii="Times New Roman" w:eastAsia="Times New Roman"/>
          <w:b/>
        </w:rPr>
        <w:t>2 </w:t>
      </w:r>
      <w:r>
        <w:rPr/>
        <w:t>章</w:t>
        <w:tab/>
        <w:t>保障</w:t>
      </w:r>
      <w:r>
        <w:rPr>
          <w:spacing w:val="-3"/>
        </w:rPr>
        <w:t>范</w:t>
      </w:r>
      <w:r>
        <w:rPr/>
        <w:t>围</w:t>
      </w:r>
    </w:p>
    <w:p>
      <w:pPr>
        <w:pStyle w:val="BodyText"/>
        <w:rPr>
          <w:sz w:val="17"/>
        </w:rPr>
      </w:pPr>
    </w:p>
    <w:p>
      <w:pPr>
        <w:pStyle w:val="ListParagraph"/>
        <w:numPr>
          <w:ilvl w:val="1"/>
          <w:numId w:val="3"/>
        </w:numPr>
        <w:tabs>
          <w:tab w:pos="950" w:val="left" w:leader="none"/>
          <w:tab w:pos="951" w:val="left" w:leader="none"/>
          <w:tab w:pos="2627" w:val="left" w:leader="none"/>
        </w:tabs>
        <w:spacing w:line="240" w:lineRule="auto" w:before="0" w:after="0"/>
        <w:ind w:left="2627" w:right="0" w:hanging="2157"/>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3"/>
        <w:rPr>
          <w:sz w:val="18"/>
        </w:rPr>
      </w:pPr>
    </w:p>
    <w:p>
      <w:pPr>
        <w:pStyle w:val="BodyText"/>
        <w:spacing w:line="237" w:lineRule="auto"/>
        <w:ind w:left="2627" w:right="221"/>
        <w:jc w:val="both"/>
      </w:pPr>
      <w:r>
        <w:rPr>
          <w:spacing w:val="-2"/>
        </w:rPr>
        <w:t>自本附加合同</w:t>
      </w:r>
      <w:r>
        <w:rPr/>
        <w:t>Th</w:t>
      </w:r>
      <w:r>
        <w:rPr>
          <w:spacing w:val="-2"/>
        </w:rPr>
        <w:t>效日</w:t>
      </w:r>
      <w:r>
        <w:rPr/>
        <w:t>（</w:t>
      </w:r>
      <w:r>
        <w:rPr>
          <w:spacing w:val="-3"/>
        </w:rPr>
        <w:t>或最后复效日</w:t>
      </w:r>
      <w:r>
        <w:rPr/>
        <w:t>）</w:t>
      </w:r>
      <w:r>
        <w:rPr>
          <w:spacing w:val="-21"/>
        </w:rPr>
        <w:t>起 </w:t>
      </w:r>
      <w:r>
        <w:rPr/>
        <w:t>90</w:t>
      </w:r>
      <w:r>
        <w:rPr>
          <w:spacing w:val="-15"/>
        </w:rPr>
        <w:t> 天内</w:t>
      </w:r>
      <w:r>
        <w:rPr>
          <w:spacing w:val="-3"/>
        </w:rPr>
        <w:t>（</w:t>
      </w:r>
      <w:r>
        <w:rPr>
          <w:spacing w:val="-14"/>
        </w:rPr>
        <w:t>含第 </w:t>
      </w:r>
      <w:r>
        <w:rPr/>
        <w:t>90</w:t>
      </w:r>
      <w:r>
        <w:rPr>
          <w:spacing w:val="-22"/>
        </w:rPr>
        <w:t> 天</w:t>
      </w:r>
      <w:r>
        <w:rPr/>
        <w:t>）</w:t>
      </w:r>
      <w:r>
        <w:rPr>
          <w:spacing w:val="-3"/>
        </w:rPr>
        <w:t>的期间为等待期。如果被保险人在等待期内发</w:t>
      </w:r>
      <w:r>
        <w:rPr/>
        <w:t>Th</w:t>
      </w:r>
      <w:r>
        <w:rPr>
          <w:spacing w:val="-3"/>
        </w:rPr>
        <w:t>或确诊患本附加合同附表一所列任</w:t>
      </w:r>
      <w:r>
        <w:rPr>
          <w:spacing w:val="-3"/>
          <w:w w:val="100"/>
        </w:rPr>
        <w:t>何一种重大疾病</w:t>
      </w:r>
      <w:r>
        <w:rPr>
          <w:w w:val="100"/>
        </w:rPr>
        <w:t>（见</w:t>
      </w:r>
      <w:r>
        <w:rPr>
          <w:spacing w:val="-43"/>
        </w:rPr>
        <w:t> </w:t>
      </w:r>
      <w:r>
        <w:rPr>
          <w:w w:val="100"/>
        </w:rPr>
        <w:t>7.</w:t>
      </w:r>
      <w:r>
        <w:rPr>
          <w:spacing w:val="-3"/>
          <w:w w:val="100"/>
        </w:rPr>
        <w:t>2</w:t>
      </w:r>
      <w:r>
        <w:rPr>
          <w:w w:val="100"/>
        </w:rPr>
        <w:t>）</w:t>
      </w:r>
      <w:r>
        <w:rPr>
          <w:spacing w:val="-3"/>
          <w:w w:val="100"/>
        </w:rPr>
        <w:t>或附表二所列任何一种轻症疾病（</w:t>
      </w:r>
      <w:r>
        <w:rPr>
          <w:w w:val="100"/>
        </w:rPr>
        <w:t>见</w:t>
      </w:r>
      <w:r>
        <w:rPr>
          <w:spacing w:val="-41"/>
        </w:rPr>
        <w:t> </w:t>
      </w:r>
      <w:r>
        <w:rPr>
          <w:w w:val="100"/>
        </w:rPr>
        <w:t>7</w:t>
      </w:r>
      <w:r>
        <w:rPr>
          <w:spacing w:val="-3"/>
          <w:w w:val="100"/>
        </w:rPr>
        <w:t>.</w:t>
      </w:r>
      <w:r>
        <w:rPr>
          <w:w w:val="100"/>
        </w:rPr>
        <w:t>3</w:t>
      </w:r>
      <w:r>
        <w:rPr>
          <w:spacing w:val="-106"/>
          <w:w w:val="100"/>
        </w:rPr>
        <w:t>）</w:t>
      </w:r>
      <w:r>
        <w:rPr>
          <w:spacing w:val="-2"/>
          <w:w w:val="100"/>
        </w:rPr>
        <w:t>，我</w:t>
      </w:r>
      <w:r>
        <w:rPr>
          <w:spacing w:val="-3"/>
        </w:rPr>
        <w:t>们将无息退回您已缴纳的本附加合同及其所依附的主合同的保险费，同时</w:t>
      </w:r>
      <w:r>
        <w:rPr>
          <w:spacing w:val="-12"/>
        </w:rPr>
        <w:t>本附加合同及其所依附的主合同终止。但如果被保险人因意外伤害事故</w:t>
      </w:r>
      <w:r>
        <w:rPr>
          <w:spacing w:val="-3"/>
        </w:rPr>
        <w:t>（</w:t>
      </w:r>
      <w:r>
        <w:rPr/>
        <w:t>见</w:t>
      </w:r>
    </w:p>
    <w:p>
      <w:pPr>
        <w:pStyle w:val="BodyText"/>
        <w:spacing w:line="225" w:lineRule="auto" w:before="16"/>
        <w:ind w:left="2627" w:right="221"/>
        <w:jc w:val="both"/>
      </w:pPr>
      <w:r>
        <w:rPr>
          <w:rFonts w:ascii="Times New Roman" w:eastAsia="Times New Roman"/>
          <w:spacing w:val="-8"/>
        </w:rPr>
        <w:t>7.4</w:t>
      </w:r>
      <w:r>
        <w:rPr>
          <w:spacing w:val="-8"/>
        </w:rPr>
        <w:t>）</w:t>
      </w:r>
      <w:r>
        <w:rPr>
          <w:spacing w:val="-3"/>
        </w:rPr>
        <w:t>导致患本附加合同附表一所列任何一种重大疾病或附表二所列任何一种轻症疾病，则无等待期。</w:t>
      </w:r>
    </w:p>
    <w:p>
      <w:pPr>
        <w:pStyle w:val="BodyText"/>
        <w:spacing w:before="3"/>
        <w:rPr>
          <w:sz w:val="18"/>
        </w:rPr>
      </w:pPr>
    </w:p>
    <w:p>
      <w:pPr>
        <w:pStyle w:val="BodyText"/>
        <w:ind w:left="2627"/>
      </w:pPr>
      <w:r>
        <w:rPr>
          <w:rFonts w:ascii="Times New Roman" w:eastAsia="Times New Roman"/>
        </w:rPr>
        <w:t>1</w:t>
      </w:r>
      <w:r>
        <w:rPr/>
        <w:t>、重大疾病保险金</w:t>
      </w:r>
    </w:p>
    <w:p>
      <w:pPr>
        <w:pStyle w:val="BodyText"/>
        <w:spacing w:before="4"/>
        <w:rPr>
          <w:sz w:val="18"/>
        </w:rPr>
      </w:pPr>
    </w:p>
    <w:p>
      <w:pPr>
        <w:pStyle w:val="BodyText"/>
        <w:spacing w:line="225" w:lineRule="auto"/>
        <w:ind w:left="2627" w:right="221" w:hanging="1"/>
        <w:jc w:val="both"/>
      </w:pPr>
      <w:r>
        <w:rPr>
          <w:spacing w:val="-3"/>
        </w:rPr>
        <w:t>如果被保险人在等待期后初次发生并被专科医</w:t>
      </w:r>
      <w:r>
        <w:rPr>
          <w:spacing w:val="-29"/>
        </w:rPr>
        <w:t>Th（</w:t>
      </w:r>
      <w:r>
        <w:rPr>
          <w:spacing w:val="-18"/>
        </w:rPr>
        <w:t>见 </w:t>
      </w:r>
      <w:r>
        <w:rPr>
          <w:rFonts w:ascii="Times New Roman" w:eastAsia="Times New Roman"/>
          <w:spacing w:val="-11"/>
        </w:rPr>
        <w:t>7.5</w:t>
      </w:r>
      <w:r>
        <w:rPr>
          <w:spacing w:val="-11"/>
        </w:rPr>
        <w:t>）</w:t>
      </w:r>
      <w:r>
        <w:rPr>
          <w:spacing w:val="-3"/>
        </w:rPr>
        <w:t>确诊患本附加合</w:t>
      </w:r>
      <w:r>
        <w:rPr>
          <w:spacing w:val="-3"/>
          <w:w w:val="100"/>
        </w:rPr>
        <w:t>同附表一所列任何一种重大疾病</w:t>
      </w:r>
      <w:r>
        <w:rPr>
          <w:w w:val="100"/>
        </w:rPr>
        <w:t>（见</w:t>
      </w:r>
      <w:r>
        <w:rPr/>
        <w:t> </w:t>
      </w:r>
      <w:r>
        <w:rPr>
          <w:rFonts w:ascii="Times New Roman" w:eastAsia="Times New Roman"/>
          <w:spacing w:val="-3"/>
          <w:w w:val="100"/>
        </w:rPr>
        <w:t>7</w:t>
      </w:r>
      <w:r>
        <w:rPr>
          <w:rFonts w:ascii="Times New Roman" w:eastAsia="Times New Roman"/>
          <w:w w:val="100"/>
        </w:rPr>
        <w:t>.2</w:t>
      </w:r>
      <w:r>
        <w:rPr>
          <w:spacing w:val="-108"/>
          <w:w w:val="100"/>
        </w:rPr>
        <w:t>）</w:t>
      </w:r>
      <w:r>
        <w:rPr>
          <w:spacing w:val="-3"/>
          <w:w w:val="100"/>
        </w:rPr>
        <w:t>，我们将按本附加合同保险金额</w:t>
      </w:r>
    </w:p>
    <w:p>
      <w:pPr>
        <w:spacing w:after="0" w:line="225" w:lineRule="auto"/>
        <w:jc w:val="both"/>
        <w:sectPr>
          <w:type w:val="continuous"/>
          <w:pgSz w:w="11900" w:h="16840"/>
          <w:pgMar w:top="1220" w:bottom="280" w:left="1320" w:right="980"/>
        </w:sectPr>
      </w:pPr>
    </w:p>
    <w:p>
      <w:pPr>
        <w:pStyle w:val="BodyText"/>
        <w:spacing w:line="237" w:lineRule="auto" w:before="9"/>
        <w:ind w:left="2627" w:right="223"/>
      </w:pPr>
      <w:r>
        <w:rPr/>
        <w:t>给付重大疾病保险金，同时主合同保险金额减少为零，本附加合同及所依附的主合同终止。</w:t>
      </w:r>
    </w:p>
    <w:p>
      <w:pPr>
        <w:pStyle w:val="BodyText"/>
        <w:spacing w:before="7"/>
        <w:rPr>
          <w:sz w:val="18"/>
        </w:rPr>
      </w:pPr>
    </w:p>
    <w:p>
      <w:pPr>
        <w:pStyle w:val="BodyText"/>
        <w:spacing w:line="237" w:lineRule="auto" w:before="1"/>
        <w:ind w:left="2627" w:right="223"/>
        <w:jc w:val="both"/>
      </w:pPr>
      <w:r>
        <w:rPr/>
        <w:t>被保险人在申请重大疾病保险金前已经申请并获得轻症疾病保险金赔付的，如果该轻症疾病的确诊在重大疾病的确诊之后，则我们在依照约定给付重大疾病保险金时，将把已经给付的轻症疾病保险金扣除。</w:t>
      </w:r>
    </w:p>
    <w:p>
      <w:pPr>
        <w:pStyle w:val="BodyText"/>
        <w:spacing w:before="3"/>
        <w:rPr>
          <w:sz w:val="18"/>
        </w:rPr>
      </w:pPr>
    </w:p>
    <w:p>
      <w:pPr>
        <w:pStyle w:val="BodyText"/>
        <w:ind w:left="2627"/>
      </w:pPr>
      <w:r>
        <w:rPr/>
        <w:t>本附加合同重大疾病保险金的给付以一次为限。</w:t>
      </w:r>
    </w:p>
    <w:p>
      <w:pPr>
        <w:pStyle w:val="BodyText"/>
        <w:spacing w:before="5"/>
        <w:rPr>
          <w:sz w:val="18"/>
        </w:rPr>
      </w:pPr>
    </w:p>
    <w:p>
      <w:pPr>
        <w:pStyle w:val="BodyText"/>
        <w:ind w:left="2627"/>
      </w:pPr>
      <w:r>
        <w:rPr>
          <w:rFonts w:ascii="Times New Roman" w:eastAsia="Times New Roman"/>
        </w:rPr>
        <w:t>2</w:t>
      </w:r>
      <w:r>
        <w:rPr/>
        <w:t>、轻症疾病保险金</w:t>
      </w:r>
    </w:p>
    <w:p>
      <w:pPr>
        <w:pStyle w:val="BodyText"/>
        <w:spacing w:before="11"/>
        <w:rPr>
          <w:sz w:val="17"/>
        </w:rPr>
      </w:pPr>
    </w:p>
    <w:p>
      <w:pPr>
        <w:pStyle w:val="BodyText"/>
        <w:spacing w:line="230" w:lineRule="auto"/>
        <w:ind w:left="2628" w:right="220" w:hanging="1"/>
        <w:jc w:val="both"/>
      </w:pPr>
      <w:r>
        <w:rPr>
          <w:spacing w:val="-3"/>
        </w:rPr>
        <w:t>如果被保险人在等待期后初次发生并被专科医生确诊患本附加合同附表二</w:t>
      </w:r>
      <w:r>
        <w:rPr>
          <w:spacing w:val="-3"/>
          <w:w w:val="100"/>
        </w:rPr>
        <w:t>所列任何一种轻症疾病（</w:t>
      </w:r>
      <w:r>
        <w:rPr>
          <w:w w:val="100"/>
        </w:rPr>
        <w:t>见</w:t>
      </w:r>
      <w:r>
        <w:rPr/>
        <w:t> </w:t>
      </w:r>
      <w:r>
        <w:rPr>
          <w:rFonts w:ascii="Times New Roman" w:eastAsia="Times New Roman"/>
          <w:w w:val="100"/>
        </w:rPr>
        <w:t>7.3</w:t>
      </w:r>
      <w:r>
        <w:rPr>
          <w:spacing w:val="-108"/>
          <w:w w:val="100"/>
        </w:rPr>
        <w:t>）</w:t>
      </w:r>
      <w:r>
        <w:rPr>
          <w:spacing w:val="-3"/>
          <w:w w:val="100"/>
        </w:rPr>
        <w:t>，并且在轻症疾病确诊前未确诊患本附加</w:t>
      </w:r>
      <w:r>
        <w:rPr>
          <w:spacing w:val="-4"/>
        </w:rPr>
        <w:t>合同附表一所列任何一种重大疾病，我们将按本附加合同保险金额的 </w:t>
      </w:r>
      <w:r>
        <w:rPr>
          <w:rFonts w:ascii="Times New Roman" w:eastAsia="Times New Roman"/>
        </w:rPr>
        <w:t>20% </w:t>
      </w:r>
      <w:r>
        <w:rPr>
          <w:spacing w:val="-3"/>
        </w:rPr>
        <w:t>给付轻症疾病保险金。</w:t>
      </w:r>
    </w:p>
    <w:p>
      <w:pPr>
        <w:pStyle w:val="BodyText"/>
        <w:spacing w:before="12"/>
        <w:rPr>
          <w:sz w:val="19"/>
        </w:rPr>
      </w:pPr>
    </w:p>
    <w:p>
      <w:pPr>
        <w:pStyle w:val="BodyText"/>
        <w:spacing w:line="223" w:lineRule="auto"/>
        <w:ind w:left="2627" w:right="115"/>
      </w:pPr>
      <w:r>
        <w:rPr>
          <w:spacing w:val="-9"/>
        </w:rPr>
        <w:t>同一轻症疾病仅给付一次轻症疾病保险金，轻症疾病保险金最多给付 </w:t>
      </w:r>
      <w:r>
        <w:rPr>
          <w:rFonts w:ascii="Times New Roman" w:eastAsia="Times New Roman"/>
        </w:rPr>
        <w:t>3 </w:t>
      </w:r>
      <w:r>
        <w:rPr>
          <w:spacing w:val="-2"/>
        </w:rPr>
        <w:t>次， </w:t>
      </w:r>
      <w:r>
        <w:rPr>
          <w:spacing w:val="-7"/>
        </w:rPr>
        <w:t>轻症疾病保险金给付满 </w:t>
      </w:r>
      <w:r>
        <w:rPr>
          <w:rFonts w:ascii="Times New Roman" w:eastAsia="Times New Roman"/>
        </w:rPr>
        <w:t>3 </w:t>
      </w:r>
      <w:r>
        <w:rPr>
          <w:spacing w:val="-3"/>
        </w:rPr>
        <w:t>次后，本项保险责任终止。</w:t>
      </w:r>
    </w:p>
    <w:p>
      <w:pPr>
        <w:pStyle w:val="BodyText"/>
        <w:spacing w:before="7"/>
        <w:rPr>
          <w:sz w:val="17"/>
        </w:rPr>
      </w:pPr>
    </w:p>
    <w:p>
      <w:pPr>
        <w:pStyle w:val="ListParagraph"/>
        <w:numPr>
          <w:ilvl w:val="1"/>
          <w:numId w:val="3"/>
        </w:numPr>
        <w:tabs>
          <w:tab w:pos="951" w:val="left" w:leader="none"/>
        </w:tabs>
        <w:spacing w:line="237" w:lineRule="auto" w:before="0" w:after="0"/>
        <w:ind w:left="2627" w:right="223" w:hanging="2157"/>
        <w:jc w:val="both"/>
        <w:rPr>
          <w:sz w:val="21"/>
        </w:rPr>
      </w:pPr>
      <w:r>
        <w:rPr>
          <w:spacing w:val="-3"/>
          <w:sz w:val="21"/>
        </w:rPr>
        <w:t>责任免除       如果由于以下任何一种情形，导致被保险人患本附加合同附表一所列任何一种重大疾病或附表二所列任何一种轻症疾病，我们不承担保险责任，本附加合同及其所依附的主合同同时终止：</w:t>
      </w:r>
    </w:p>
    <w:p>
      <w:pPr>
        <w:pStyle w:val="BodyText"/>
        <w:spacing w:before="2"/>
        <w:rPr>
          <w:sz w:val="18"/>
        </w:rPr>
      </w:pPr>
    </w:p>
    <w:p>
      <w:pPr>
        <w:pStyle w:val="ListParagraph"/>
        <w:numPr>
          <w:ilvl w:val="2"/>
          <w:numId w:val="3"/>
        </w:numPr>
        <w:tabs>
          <w:tab w:pos="3048" w:val="left" w:leader="none"/>
        </w:tabs>
        <w:spacing w:line="274" w:lineRule="exact" w:before="0" w:after="0"/>
        <w:ind w:left="3048" w:right="0" w:hanging="421"/>
        <w:jc w:val="both"/>
        <w:rPr>
          <w:sz w:val="21"/>
        </w:rPr>
      </w:pPr>
      <w:r>
        <w:rPr>
          <w:spacing w:val="-3"/>
          <w:sz w:val="21"/>
        </w:rPr>
        <w:t>投保人对被保险人的故意杀害、故意伤害；</w:t>
      </w:r>
    </w:p>
    <w:p>
      <w:pPr>
        <w:pStyle w:val="ListParagraph"/>
        <w:numPr>
          <w:ilvl w:val="2"/>
          <w:numId w:val="3"/>
        </w:numPr>
        <w:tabs>
          <w:tab w:pos="3048" w:val="left" w:leader="none"/>
        </w:tabs>
        <w:spacing w:line="274" w:lineRule="exact" w:before="0" w:after="0"/>
        <w:ind w:left="3048" w:right="0" w:hanging="421"/>
        <w:jc w:val="both"/>
        <w:rPr>
          <w:sz w:val="21"/>
        </w:rPr>
      </w:pPr>
      <w:r>
        <w:rPr>
          <w:spacing w:val="-3"/>
          <w:sz w:val="21"/>
        </w:rPr>
        <w:t>被保险人故意犯罪或抗拒依法采取的刑事强制措施；</w:t>
      </w:r>
    </w:p>
    <w:p>
      <w:pPr>
        <w:pStyle w:val="ListParagraph"/>
        <w:numPr>
          <w:ilvl w:val="2"/>
          <w:numId w:val="3"/>
        </w:numPr>
        <w:tabs>
          <w:tab w:pos="3048" w:val="left" w:leader="none"/>
        </w:tabs>
        <w:spacing w:line="274" w:lineRule="exact" w:before="0" w:after="0"/>
        <w:ind w:left="3048" w:right="0" w:hanging="421"/>
        <w:jc w:val="both"/>
        <w:rPr>
          <w:sz w:val="21"/>
        </w:rPr>
      </w:pPr>
      <w:r>
        <w:rPr>
          <w:spacing w:val="-2"/>
          <w:sz w:val="21"/>
        </w:rPr>
        <w:t>被保险人自伤；</w:t>
      </w:r>
    </w:p>
    <w:p>
      <w:pPr>
        <w:pStyle w:val="ListParagraph"/>
        <w:numPr>
          <w:ilvl w:val="2"/>
          <w:numId w:val="3"/>
        </w:numPr>
        <w:tabs>
          <w:tab w:pos="3048" w:val="left" w:leader="none"/>
        </w:tabs>
        <w:spacing w:line="280" w:lineRule="exact" w:before="0" w:after="0"/>
        <w:ind w:left="3048" w:right="0" w:hanging="421"/>
        <w:jc w:val="both"/>
        <w:rPr>
          <w:sz w:val="21"/>
        </w:rPr>
      </w:pPr>
      <w:r>
        <w:rPr>
          <w:spacing w:val="-3"/>
          <w:w w:val="100"/>
          <w:sz w:val="21"/>
        </w:rPr>
        <w:t>被保险人主动吸食或注射毒品（</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6</w:t>
      </w:r>
      <w:r>
        <w:rPr>
          <w:spacing w:val="-106"/>
          <w:w w:val="100"/>
          <w:sz w:val="21"/>
        </w:rPr>
        <w:t>）</w:t>
      </w:r>
      <w:r>
        <w:rPr>
          <w:w w:val="100"/>
          <w:sz w:val="21"/>
        </w:rPr>
        <w:t>；</w:t>
      </w:r>
    </w:p>
    <w:p>
      <w:pPr>
        <w:pStyle w:val="ListParagraph"/>
        <w:numPr>
          <w:ilvl w:val="2"/>
          <w:numId w:val="3"/>
        </w:numPr>
        <w:tabs>
          <w:tab w:pos="3047" w:val="left" w:leader="none"/>
          <w:tab w:pos="3048" w:val="left" w:leader="none"/>
        </w:tabs>
        <w:spacing w:line="225" w:lineRule="auto" w:before="8" w:after="0"/>
        <w:ind w:left="3048" w:right="221" w:hanging="421"/>
        <w:jc w:val="left"/>
        <w:rPr>
          <w:sz w:val="21"/>
        </w:rPr>
      </w:pPr>
      <w:r>
        <w:rPr>
          <w:spacing w:val="-3"/>
          <w:w w:val="100"/>
          <w:sz w:val="21"/>
        </w:rPr>
        <w:t>被保险人酒后驾驶（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7</w:t>
      </w:r>
      <w:r>
        <w:rPr>
          <w:spacing w:val="-106"/>
          <w:w w:val="100"/>
          <w:sz w:val="21"/>
        </w:rPr>
        <w:t>）</w:t>
      </w:r>
      <w:r>
        <w:rPr>
          <w:spacing w:val="-3"/>
          <w:w w:val="100"/>
          <w:sz w:val="21"/>
        </w:rPr>
        <w:t>，无合法有效驾驶证驾驶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8</w:t>
      </w:r>
      <w:r>
        <w:rPr>
          <w:spacing w:val="-106"/>
          <w:w w:val="100"/>
          <w:sz w:val="21"/>
        </w:rPr>
        <w:t>）</w:t>
      </w:r>
      <w:r>
        <w:rPr>
          <w:spacing w:val="-2"/>
          <w:w w:val="100"/>
          <w:sz w:val="21"/>
        </w:rPr>
        <w:t>，或驾</w:t>
      </w:r>
      <w:r>
        <w:rPr>
          <w:spacing w:val="-3"/>
          <w:sz w:val="21"/>
        </w:rPr>
        <w:t>驶无有效行驶证（</w:t>
      </w:r>
      <w:r>
        <w:rPr>
          <w:spacing w:val="-21"/>
          <w:sz w:val="21"/>
        </w:rPr>
        <w:t>见 </w:t>
      </w:r>
      <w:r>
        <w:rPr>
          <w:rFonts w:ascii="Times New Roman" w:eastAsia="Times New Roman"/>
          <w:sz w:val="21"/>
        </w:rPr>
        <w:t>7.9</w:t>
      </w:r>
      <w:r>
        <w:rPr>
          <w:sz w:val="21"/>
        </w:rPr>
        <w:t>）</w:t>
      </w:r>
      <w:r>
        <w:rPr>
          <w:spacing w:val="-1"/>
          <w:sz w:val="21"/>
        </w:rPr>
        <w:t>的机动车；</w:t>
      </w:r>
    </w:p>
    <w:p>
      <w:pPr>
        <w:pStyle w:val="ListParagraph"/>
        <w:numPr>
          <w:ilvl w:val="2"/>
          <w:numId w:val="3"/>
        </w:numPr>
        <w:tabs>
          <w:tab w:pos="3047" w:val="left" w:leader="none"/>
          <w:tab w:pos="3048" w:val="left" w:leader="none"/>
        </w:tabs>
        <w:spacing w:line="257" w:lineRule="exact" w:before="0" w:after="0"/>
        <w:ind w:left="3048" w:right="0" w:hanging="421"/>
        <w:jc w:val="left"/>
        <w:rPr>
          <w:sz w:val="21"/>
        </w:rPr>
      </w:pPr>
      <w:r>
        <w:rPr>
          <w:spacing w:val="-3"/>
          <w:sz w:val="21"/>
        </w:rPr>
        <w:t>战争、军事冲突、暴乱或武装叛乱；</w:t>
      </w:r>
    </w:p>
    <w:p>
      <w:pPr>
        <w:pStyle w:val="ListParagraph"/>
        <w:numPr>
          <w:ilvl w:val="2"/>
          <w:numId w:val="3"/>
        </w:numPr>
        <w:tabs>
          <w:tab w:pos="3047" w:val="left" w:leader="none"/>
          <w:tab w:pos="3048" w:val="left" w:leader="none"/>
        </w:tabs>
        <w:spacing w:line="272" w:lineRule="exact" w:before="0" w:after="0"/>
        <w:ind w:left="3048" w:right="0" w:hanging="421"/>
        <w:jc w:val="left"/>
        <w:rPr>
          <w:sz w:val="21"/>
        </w:rPr>
      </w:pPr>
      <w:r>
        <w:rPr>
          <w:spacing w:val="-3"/>
          <w:sz w:val="21"/>
        </w:rPr>
        <w:t>核爆炸、核辐射或核污染；</w:t>
      </w:r>
    </w:p>
    <w:p>
      <w:pPr>
        <w:pStyle w:val="ListParagraph"/>
        <w:numPr>
          <w:ilvl w:val="2"/>
          <w:numId w:val="3"/>
        </w:numPr>
        <w:tabs>
          <w:tab w:pos="3047" w:val="left" w:leader="none"/>
          <w:tab w:pos="3048" w:val="left" w:leader="none"/>
        </w:tabs>
        <w:spacing w:line="225" w:lineRule="auto" w:before="15" w:after="0"/>
        <w:ind w:left="3048" w:right="221" w:hanging="421"/>
        <w:jc w:val="left"/>
        <w:rPr>
          <w:sz w:val="21"/>
        </w:rPr>
      </w:pPr>
      <w:r>
        <w:rPr>
          <w:spacing w:val="-3"/>
          <w:w w:val="100"/>
          <w:sz w:val="21"/>
        </w:rPr>
        <w:t>被保险人感染艾滋病病毒</w:t>
      </w:r>
      <w:r>
        <w:rPr>
          <w:w w:val="100"/>
          <w:sz w:val="21"/>
        </w:rPr>
        <w:t>（</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3"/>
          <w:w w:val="100"/>
          <w:sz w:val="21"/>
        </w:rPr>
        <w:t>）或患艾滋病（</w:t>
      </w:r>
      <w:r>
        <w:rPr>
          <w:rFonts w:ascii="Times New Roman" w:eastAsia="Times New Roman"/>
          <w:spacing w:val="0"/>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w w:val="100"/>
          <w:sz w:val="21"/>
        </w:rPr>
        <w:t>S</w:t>
      </w:r>
      <w:r>
        <w:rPr>
          <w:spacing w:val="-106"/>
          <w:w w:val="100"/>
          <w:sz w:val="21"/>
        </w:rPr>
        <w:t>）</w:t>
      </w:r>
      <w:r>
        <w:rPr>
          <w:spacing w:val="-3"/>
          <w:w w:val="100"/>
          <w:sz w:val="21"/>
        </w:rPr>
        <w:t>（</w:t>
      </w:r>
      <w:r>
        <w:rPr>
          <w:w w:val="100"/>
          <w:sz w:val="21"/>
        </w:rPr>
        <w:t>见</w:t>
      </w:r>
      <w:r>
        <w:rPr>
          <w:spacing w:val="-50"/>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10</w:t>
      </w:r>
      <w:r>
        <w:rPr>
          <w:spacing w:val="-108"/>
          <w:w w:val="100"/>
          <w:sz w:val="21"/>
        </w:rPr>
        <w:t>）</w:t>
      </w:r>
      <w:r>
        <w:rPr>
          <w:w w:val="100"/>
          <w:sz w:val="21"/>
        </w:rPr>
        <w:t>（因</w:t>
      </w:r>
      <w:r>
        <w:rPr>
          <w:spacing w:val="-3"/>
          <w:w w:val="100"/>
          <w:sz w:val="21"/>
        </w:rPr>
        <w:t>本附加合同附表一所列第</w:t>
      </w:r>
      <w:r>
        <w:rPr>
          <w:spacing w:val="-55"/>
          <w:sz w:val="21"/>
        </w:rPr>
        <w:t> </w:t>
      </w:r>
      <w:r>
        <w:rPr>
          <w:rFonts w:ascii="Times New Roman" w:eastAsia="Times New Roman"/>
          <w:w w:val="100"/>
          <w:sz w:val="21"/>
        </w:rPr>
        <w:t>35</w:t>
      </w:r>
      <w:r>
        <w:rPr>
          <w:rFonts w:ascii="Times New Roman" w:eastAsia="Times New Roman"/>
          <w:sz w:val="21"/>
        </w:rPr>
        <w:t> </w:t>
      </w:r>
      <w:r>
        <w:rPr>
          <w:spacing w:val="-2"/>
          <w:w w:val="100"/>
          <w:sz w:val="21"/>
        </w:rPr>
        <w:t>项和第</w:t>
      </w:r>
      <w:r>
        <w:rPr>
          <w:spacing w:val="-53"/>
          <w:sz w:val="21"/>
        </w:rPr>
        <w:t> </w:t>
      </w:r>
      <w:r>
        <w:rPr>
          <w:rFonts w:ascii="Times New Roman" w:eastAsia="Times New Roman"/>
          <w:spacing w:val="-3"/>
          <w:w w:val="100"/>
          <w:sz w:val="21"/>
        </w:rPr>
        <w:t>3</w:t>
      </w:r>
      <w:r>
        <w:rPr>
          <w:rFonts w:ascii="Times New Roman" w:eastAsia="Times New Roman"/>
          <w:w w:val="100"/>
          <w:sz w:val="21"/>
        </w:rPr>
        <w:t>6</w:t>
      </w:r>
      <w:r>
        <w:rPr>
          <w:rFonts w:ascii="Times New Roman" w:eastAsia="Times New Roman"/>
          <w:sz w:val="21"/>
        </w:rPr>
        <w:t> </w:t>
      </w:r>
      <w:r>
        <w:rPr>
          <w:spacing w:val="-3"/>
          <w:w w:val="100"/>
          <w:sz w:val="21"/>
        </w:rPr>
        <w:t>项所导致的除外</w:t>
      </w:r>
      <w:r>
        <w:rPr>
          <w:spacing w:val="-108"/>
          <w:w w:val="100"/>
          <w:sz w:val="21"/>
        </w:rPr>
        <w:t>）</w:t>
      </w:r>
      <w:r>
        <w:rPr>
          <w:w w:val="100"/>
          <w:sz w:val="21"/>
        </w:rPr>
        <w:t>；</w:t>
      </w:r>
    </w:p>
    <w:p>
      <w:pPr>
        <w:pStyle w:val="ListParagraph"/>
        <w:numPr>
          <w:ilvl w:val="2"/>
          <w:numId w:val="3"/>
        </w:numPr>
        <w:tabs>
          <w:tab w:pos="3047" w:val="left" w:leader="none"/>
          <w:tab w:pos="3048" w:val="left" w:leader="none"/>
        </w:tabs>
        <w:spacing w:line="274" w:lineRule="exact" w:before="0" w:after="0"/>
        <w:ind w:left="3048" w:right="0" w:hanging="421"/>
        <w:jc w:val="left"/>
        <w:rPr>
          <w:sz w:val="21"/>
        </w:rPr>
      </w:pPr>
      <w:r>
        <w:rPr>
          <w:spacing w:val="-2"/>
          <w:w w:val="100"/>
          <w:sz w:val="21"/>
        </w:rPr>
        <w:t>遗传性疾病</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10"/>
          <w:w w:val="100"/>
          <w:sz w:val="21"/>
        </w:rPr>
        <w:t>1</w:t>
      </w:r>
      <w:r>
        <w:rPr>
          <w:rFonts w:ascii="Times New Roman" w:eastAsia="Times New Roman"/>
          <w:w w:val="100"/>
          <w:sz w:val="21"/>
        </w:rPr>
        <w:t>1</w:t>
      </w:r>
      <w:r>
        <w:rPr>
          <w:spacing w:val="-106"/>
          <w:w w:val="100"/>
          <w:sz w:val="21"/>
        </w:rPr>
        <w:t>）</w:t>
      </w:r>
      <w:r>
        <w:rPr>
          <w:spacing w:val="-3"/>
          <w:w w:val="100"/>
          <w:sz w:val="21"/>
        </w:rPr>
        <w:t>，先天性畸形、变形或染色体异常（</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12</w:t>
      </w:r>
      <w:r>
        <w:rPr>
          <w:spacing w:val="-108"/>
          <w:w w:val="100"/>
          <w:sz w:val="21"/>
        </w:rPr>
        <w:t>）</w:t>
      </w:r>
      <w:r>
        <w:rPr>
          <w:w w:val="100"/>
          <w:sz w:val="21"/>
        </w:rPr>
        <w:t>。</w:t>
      </w:r>
    </w:p>
    <w:p>
      <w:pPr>
        <w:pStyle w:val="BodyText"/>
        <w:spacing w:before="12"/>
        <w:rPr>
          <w:sz w:val="17"/>
        </w:rPr>
      </w:pPr>
    </w:p>
    <w:p>
      <w:pPr>
        <w:pStyle w:val="BodyText"/>
        <w:spacing w:line="230" w:lineRule="auto"/>
        <w:ind w:left="2627" w:right="221"/>
        <w:jc w:val="both"/>
      </w:pPr>
      <w:r>
        <w:rPr>
          <w:spacing w:val="-6"/>
        </w:rPr>
        <w:t>发生上述第 </w:t>
      </w:r>
      <w:r>
        <w:rPr>
          <w:rFonts w:ascii="Times New Roman" w:eastAsia="Times New Roman"/>
        </w:rPr>
        <w:t>1 </w:t>
      </w:r>
      <w:r>
        <w:rPr>
          <w:spacing w:val="-3"/>
        </w:rPr>
        <w:t>种情形导致本附加合同及其所依附的主合同终止的，如果您已缴足二年保险费，我们将退还本附加合同及其所依附的主合同终止时的现金价值（见 </w:t>
      </w:r>
      <w:r>
        <w:rPr>
          <w:rFonts w:ascii="Times New Roman" w:eastAsia="Times New Roman"/>
        </w:rPr>
        <w:t>7.13</w:t>
      </w:r>
      <w:r>
        <w:rPr/>
        <w:t>）</w:t>
      </w:r>
      <w:r>
        <w:rPr>
          <w:spacing w:val="-3"/>
        </w:rPr>
        <w:t>给被保险人；如果被保险人身故的，该现金价值将作为被保险人的遗产处理。</w:t>
      </w:r>
    </w:p>
    <w:p>
      <w:pPr>
        <w:pStyle w:val="BodyText"/>
        <w:spacing w:before="3"/>
        <w:rPr>
          <w:sz w:val="19"/>
        </w:rPr>
      </w:pPr>
    </w:p>
    <w:p>
      <w:pPr>
        <w:pStyle w:val="BodyText"/>
        <w:spacing w:line="230" w:lineRule="auto" w:before="1"/>
        <w:ind w:left="2627" w:right="221"/>
        <w:jc w:val="both"/>
      </w:pPr>
      <w:r>
        <w:rPr>
          <w:spacing w:val="-6"/>
        </w:rPr>
        <w:t>发生上述第 </w:t>
      </w:r>
      <w:r>
        <w:rPr>
          <w:rFonts w:ascii="Times New Roman" w:eastAsia="Times New Roman"/>
        </w:rPr>
        <w:t>2 </w:t>
      </w:r>
      <w:r>
        <w:rPr>
          <w:spacing w:val="-3"/>
        </w:rPr>
        <w:t>种情形导致本附加合同及其所依附的主合同终止的，如果您已缴足二年保险费，我们将退还本附加合同及其所依附的主合同终止时的现金价值给您。</w:t>
      </w:r>
    </w:p>
    <w:p>
      <w:pPr>
        <w:pStyle w:val="BodyText"/>
        <w:spacing w:before="13"/>
        <w:rPr>
          <w:sz w:val="19"/>
        </w:rPr>
      </w:pPr>
    </w:p>
    <w:p>
      <w:pPr>
        <w:pStyle w:val="BodyText"/>
        <w:spacing w:line="223" w:lineRule="auto"/>
        <w:ind w:left="2627" w:right="115"/>
      </w:pPr>
      <w:r>
        <w:rPr/>
        <w:t>发生上述第</w:t>
      </w:r>
      <w:r>
        <w:rPr>
          <w:rFonts w:ascii="Times New Roman" w:eastAsia="Times New Roman"/>
        </w:rPr>
        <w:t>3 </w:t>
      </w:r>
      <w:r>
        <w:rPr/>
        <w:t>种至第</w:t>
      </w:r>
      <w:r>
        <w:rPr>
          <w:rFonts w:ascii="Times New Roman" w:eastAsia="Times New Roman"/>
        </w:rPr>
        <w:t>9 </w:t>
      </w:r>
      <w:r>
        <w:rPr/>
        <w:t>种情形导致本附加合同及其所依附的主合同终止的， 我们将退还本附加合同及其所依附的主合同终止时的现金价值给您。</w:t>
      </w:r>
    </w:p>
    <w:p>
      <w:pPr>
        <w:pStyle w:val="BodyText"/>
        <w:rPr>
          <w:sz w:val="20"/>
        </w:rPr>
      </w:pPr>
    </w:p>
    <w:p>
      <w:pPr>
        <w:pStyle w:val="BodyText"/>
        <w:spacing w:before="12"/>
        <w:rPr>
          <w:sz w:val="16"/>
        </w:rPr>
      </w:pPr>
    </w:p>
    <w:p>
      <w:pPr>
        <w:pStyle w:val="BodyText"/>
        <w:tabs>
          <w:tab w:pos="950" w:val="left" w:leader="none"/>
          <w:tab w:pos="2627" w:val="left" w:leader="none"/>
        </w:tabs>
        <w:spacing w:line="422" w:lineRule="auto"/>
        <w:ind w:left="2627" w:right="665" w:hanging="2525"/>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单</w:t>
      </w:r>
      <w:r>
        <w:rPr>
          <w:spacing w:val="-3"/>
        </w:rPr>
        <w:t>上</w:t>
      </w:r>
      <w:r>
        <w:rPr/>
        <w:t>载</w:t>
      </w:r>
      <w:r>
        <w:rPr>
          <w:spacing w:val="-3"/>
        </w:rPr>
        <w:t>明</w:t>
      </w:r>
      <w:r>
        <w:rPr/>
        <w:t>。 本附</w:t>
      </w:r>
      <w:r>
        <w:rPr>
          <w:spacing w:val="-3"/>
        </w:rPr>
        <w:t>加</w:t>
      </w:r>
      <w:r>
        <w:rPr/>
        <w:t>合</w:t>
      </w:r>
      <w:r>
        <w:rPr>
          <w:spacing w:val="-3"/>
        </w:rPr>
        <w:t>同</w:t>
      </w:r>
      <w:r>
        <w:rPr/>
        <w:t>的</w:t>
      </w:r>
      <w:r>
        <w:rPr>
          <w:spacing w:val="-3"/>
        </w:rPr>
        <w:t>缴</w:t>
      </w:r>
      <w:r>
        <w:rPr/>
        <w:t>费</w:t>
      </w:r>
      <w:r>
        <w:rPr>
          <w:spacing w:val="-3"/>
        </w:rPr>
        <w:t>期</w:t>
      </w:r>
      <w:r>
        <w:rPr/>
        <w:t>间</w:t>
      </w:r>
      <w:r>
        <w:rPr>
          <w:spacing w:val="-3"/>
        </w:rPr>
        <w:t>和</w:t>
      </w:r>
      <w:r>
        <w:rPr/>
        <w:t>缴费</w:t>
      </w:r>
      <w:r>
        <w:rPr>
          <w:spacing w:val="-3"/>
        </w:rPr>
        <w:t>方</w:t>
      </w:r>
      <w:r>
        <w:rPr/>
        <w:t>式</w:t>
      </w:r>
      <w:r>
        <w:rPr>
          <w:spacing w:val="-3"/>
        </w:rPr>
        <w:t>与</w:t>
      </w:r>
      <w:r>
        <w:rPr/>
        <w:t>所</w:t>
      </w:r>
      <w:r>
        <w:rPr>
          <w:spacing w:val="-3"/>
        </w:rPr>
        <w:t>依</w:t>
      </w:r>
      <w:r>
        <w:rPr/>
        <w:t>附</w:t>
      </w:r>
      <w:r>
        <w:rPr>
          <w:spacing w:val="-3"/>
        </w:rPr>
        <w:t>的</w:t>
      </w:r>
      <w:r>
        <w:rPr/>
        <w:t>主</w:t>
      </w:r>
      <w:r>
        <w:rPr>
          <w:spacing w:val="-3"/>
        </w:rPr>
        <w:t>合</w:t>
      </w:r>
      <w:r>
        <w:rPr/>
        <w:t>同相</w:t>
      </w:r>
      <w:r>
        <w:rPr>
          <w:spacing w:val="-3"/>
        </w:rPr>
        <w:t>同</w:t>
      </w:r>
      <w:r>
        <w:rPr/>
        <w:t>。</w:t>
      </w:r>
    </w:p>
    <w:p>
      <w:pPr>
        <w:pStyle w:val="BodyText"/>
        <w:spacing w:before="81"/>
        <w:ind w:left="2627"/>
        <w:jc w:val="both"/>
      </w:pPr>
      <w:r>
        <w:rPr/>
        <w:t>保险费按照我们核定的保险费率计算，根据您与我们约定的保险金额确定。</w:t>
      </w:r>
    </w:p>
    <w:p>
      <w:pPr>
        <w:spacing w:after="0"/>
        <w:jc w:val="both"/>
        <w:sectPr>
          <w:pgSz w:w="11900" w:h="16840"/>
          <w:pgMar w:top="1260" w:bottom="280" w:left="1320" w:right="980"/>
        </w:sectPr>
      </w:pPr>
    </w:p>
    <w:p>
      <w:pPr>
        <w:pStyle w:val="BodyText"/>
        <w:spacing w:before="6"/>
        <w:ind w:left="2687"/>
      </w:pPr>
      <w:r>
        <w:rPr/>
        <w:t>您应于保险费到期日或之前向我们缴纳保险费。</w:t>
      </w:r>
    </w:p>
    <w:p>
      <w:pPr>
        <w:pStyle w:val="BodyText"/>
        <w:rPr>
          <w:sz w:val="20"/>
        </w:rPr>
      </w:pPr>
    </w:p>
    <w:p>
      <w:pPr>
        <w:pStyle w:val="BodyText"/>
        <w:spacing w:before="11"/>
        <w:rPr>
          <w:sz w:val="16"/>
        </w:rPr>
      </w:pPr>
    </w:p>
    <w:p>
      <w:pPr>
        <w:pStyle w:val="BodyText"/>
        <w:tabs>
          <w:tab w:pos="1010" w:val="left" w:leader="none"/>
        </w:tabs>
        <w:ind w:left="163"/>
      </w:pPr>
      <w:r>
        <w:rPr/>
        <w:t>第</w:t>
      </w:r>
      <w:r>
        <w:rPr>
          <w:spacing w:val="-55"/>
        </w:rPr>
        <w:t> </w:t>
      </w:r>
      <w:r>
        <w:rPr>
          <w:rFonts w:ascii="Times New Roman" w:eastAsia="Times New Roman"/>
          <w:b/>
        </w:rPr>
        <w:t>4 </w:t>
      </w:r>
      <w:r>
        <w:rPr/>
        <w:t>章</w:t>
        <w:tab/>
        <w:t>保险</w:t>
      </w:r>
      <w:r>
        <w:rPr>
          <w:spacing w:val="-3"/>
        </w:rPr>
        <w:t>金</w:t>
      </w:r>
      <w:r>
        <w:rPr/>
        <w:t>的给付</w:t>
      </w:r>
    </w:p>
    <w:p>
      <w:pPr>
        <w:pStyle w:val="BodyText"/>
        <w:spacing w:before="2"/>
        <w:rPr>
          <w:sz w:val="12"/>
        </w:rPr>
      </w:pPr>
    </w:p>
    <w:p>
      <w:pPr>
        <w:spacing w:after="0"/>
        <w:rPr>
          <w:sz w:val="12"/>
        </w:rPr>
        <w:sectPr>
          <w:pgSz w:w="11900" w:h="16840"/>
          <w:pgMar w:top="1500" w:bottom="280" w:left="1260" w:right="940"/>
        </w:sectPr>
      </w:pPr>
    </w:p>
    <w:p>
      <w:pPr>
        <w:pStyle w:val="ListParagraph"/>
        <w:numPr>
          <w:ilvl w:val="1"/>
          <w:numId w:val="4"/>
        </w:numPr>
        <w:tabs>
          <w:tab w:pos="1010" w:val="left" w:leader="none"/>
          <w:tab w:pos="1011" w:val="left" w:leader="none"/>
        </w:tabs>
        <w:spacing w:line="240" w:lineRule="auto" w:before="63" w:after="0"/>
        <w:ind w:left="1010" w:right="0" w:hanging="480"/>
        <w:jc w:val="left"/>
        <w:rPr>
          <w:sz w:val="21"/>
        </w:rPr>
      </w:pPr>
      <w:r>
        <w:rPr>
          <w:spacing w:val="-1"/>
          <w:sz w:val="21"/>
        </w:rPr>
        <w:t>请求给付保险</w:t>
      </w:r>
      <w:r>
        <w:rPr>
          <w:spacing w:val="-2"/>
          <w:sz w:val="21"/>
        </w:rPr>
        <w:t>金的诉讼时效</w:t>
      </w:r>
    </w:p>
    <w:p>
      <w:pPr>
        <w:pStyle w:val="BodyText"/>
        <w:spacing w:before="60"/>
        <w:ind w:left="372" w:right="263"/>
      </w:pPr>
      <w:r>
        <w:rPr/>
        <w:br w:type="column"/>
      </w:r>
      <w:r>
        <w:rPr/>
        <w:t>本附加合同受益人向我们请求给付保险金的诉讼时效期间为二年，自其知道或应当知道保险事故发生之日起计算。</w:t>
      </w:r>
    </w:p>
    <w:p>
      <w:pPr>
        <w:spacing w:after="0"/>
        <w:sectPr>
          <w:type w:val="continuous"/>
          <w:pgSz w:w="11900" w:h="16840"/>
          <w:pgMar w:top="1220" w:bottom="280" w:left="1260" w:right="940"/>
          <w:cols w:num="2" w:equalWidth="0">
            <w:col w:w="2276" w:space="40"/>
            <w:col w:w="7384"/>
          </w:cols>
        </w:sectPr>
      </w:pPr>
    </w:p>
    <w:p>
      <w:pPr>
        <w:pStyle w:val="BodyText"/>
        <w:spacing w:before="6"/>
        <w:rPr>
          <w:sz w:val="13"/>
        </w:rPr>
      </w:pPr>
    </w:p>
    <w:p>
      <w:pPr>
        <w:spacing w:after="0"/>
        <w:rPr>
          <w:sz w:val="13"/>
        </w:rPr>
        <w:sectPr>
          <w:type w:val="continuous"/>
          <w:pgSz w:w="11900" w:h="16840"/>
          <w:pgMar w:top="1220" w:bottom="280" w:left="1260" w:right="940"/>
        </w:sectPr>
      </w:pPr>
    </w:p>
    <w:p>
      <w:pPr>
        <w:pStyle w:val="ListParagraph"/>
        <w:numPr>
          <w:ilvl w:val="1"/>
          <w:numId w:val="4"/>
        </w:numPr>
        <w:tabs>
          <w:tab w:pos="1010" w:val="left" w:leader="none"/>
          <w:tab w:pos="1011" w:val="left" w:leader="none"/>
        </w:tabs>
        <w:spacing w:line="240" w:lineRule="auto" w:before="62" w:after="0"/>
        <w:ind w:left="1010" w:right="0" w:hanging="480"/>
        <w:jc w:val="left"/>
        <w:rPr>
          <w:sz w:val="21"/>
        </w:rPr>
      </w:pPr>
      <w:r>
        <w:rPr>
          <w:spacing w:val="-1"/>
          <w:sz w:val="21"/>
        </w:rPr>
        <w:t>保险金受益人的指定</w:t>
      </w:r>
    </w:p>
    <w:p>
      <w:pPr>
        <w:pStyle w:val="ListParagraph"/>
        <w:numPr>
          <w:ilvl w:val="1"/>
          <w:numId w:val="4"/>
        </w:numPr>
        <w:tabs>
          <w:tab w:pos="1010" w:val="left" w:leader="none"/>
          <w:tab w:pos="1011" w:val="left" w:leader="none"/>
        </w:tabs>
        <w:spacing w:line="240" w:lineRule="auto" w:before="118" w:after="0"/>
        <w:ind w:left="1010" w:right="0" w:hanging="480"/>
        <w:jc w:val="left"/>
        <w:rPr>
          <w:sz w:val="21"/>
        </w:rPr>
      </w:pPr>
      <w:r>
        <w:rPr>
          <w:spacing w:val="-1"/>
          <w:sz w:val="21"/>
        </w:rPr>
        <w:t>如何申请保险金</w:t>
      </w:r>
    </w:p>
    <w:p>
      <w:pPr>
        <w:pStyle w:val="BodyText"/>
        <w:spacing w:before="60"/>
        <w:ind w:left="372"/>
      </w:pPr>
      <w:r>
        <w:rPr/>
        <w:br w:type="column"/>
      </w:r>
      <w:r>
        <w:rPr/>
        <w:t>本附加合同重大疾病保险金、轻症疾病保险金的受益人是被保险人本人。</w:t>
      </w:r>
    </w:p>
    <w:p>
      <w:pPr>
        <w:pStyle w:val="BodyText"/>
        <w:spacing w:before="12"/>
        <w:rPr>
          <w:sz w:val="29"/>
        </w:rPr>
      </w:pPr>
    </w:p>
    <w:p>
      <w:pPr>
        <w:pStyle w:val="BodyText"/>
        <w:ind w:left="372" w:right="263"/>
      </w:pPr>
      <w:r>
        <w:rPr/>
        <w:t>申请重大疾病保险金、轻症疾病保险金时，申请人须填写理赔申请书，并提供下列证明和资料原件：</w:t>
      </w:r>
    </w:p>
    <w:p>
      <w:pPr>
        <w:pStyle w:val="ListParagraph"/>
        <w:numPr>
          <w:ilvl w:val="0"/>
          <w:numId w:val="5"/>
        </w:numPr>
        <w:tabs>
          <w:tab w:pos="1093" w:val="left" w:leader="none"/>
        </w:tabs>
        <w:spacing w:line="279" w:lineRule="exact" w:before="0" w:after="0"/>
        <w:ind w:left="1092" w:right="0" w:hanging="720"/>
        <w:jc w:val="left"/>
        <w:rPr>
          <w:sz w:val="21"/>
        </w:rPr>
      </w:pPr>
      <w:r>
        <w:rPr>
          <w:spacing w:val="-1"/>
          <w:sz w:val="21"/>
        </w:rPr>
        <w:t>保险合同；</w:t>
      </w:r>
    </w:p>
    <w:p>
      <w:pPr>
        <w:pStyle w:val="ListParagraph"/>
        <w:numPr>
          <w:ilvl w:val="0"/>
          <w:numId w:val="5"/>
        </w:numPr>
        <w:tabs>
          <w:tab w:pos="1093" w:val="left" w:leader="none"/>
        </w:tabs>
        <w:spacing w:line="274" w:lineRule="exact" w:before="0" w:after="0"/>
        <w:ind w:left="1092" w:right="0" w:hanging="720"/>
        <w:jc w:val="left"/>
        <w:rPr>
          <w:sz w:val="21"/>
        </w:rPr>
      </w:pPr>
      <w:r>
        <w:rPr>
          <w:spacing w:val="-3"/>
          <w:sz w:val="21"/>
        </w:rPr>
        <w:t>被保险人的有效身份证件；</w:t>
      </w:r>
    </w:p>
    <w:p>
      <w:pPr>
        <w:pStyle w:val="ListParagraph"/>
        <w:numPr>
          <w:ilvl w:val="0"/>
          <w:numId w:val="5"/>
        </w:numPr>
        <w:tabs>
          <w:tab w:pos="1093" w:val="left" w:leader="none"/>
        </w:tabs>
        <w:spacing w:line="225" w:lineRule="auto" w:before="8" w:after="0"/>
        <w:ind w:left="1092" w:right="261" w:hanging="720"/>
        <w:jc w:val="left"/>
        <w:rPr>
          <w:sz w:val="21"/>
        </w:rPr>
      </w:pPr>
      <w:r>
        <w:rPr>
          <w:spacing w:val="-9"/>
          <w:sz w:val="21"/>
        </w:rPr>
        <w:t>医院</w:t>
      </w:r>
      <w:r>
        <w:rPr>
          <w:spacing w:val="-3"/>
          <w:sz w:val="21"/>
        </w:rPr>
        <w:t>（</w:t>
      </w:r>
      <w:r>
        <w:rPr>
          <w:spacing w:val="-15"/>
          <w:sz w:val="21"/>
        </w:rPr>
        <w:t>见 </w:t>
      </w:r>
      <w:r>
        <w:rPr>
          <w:rFonts w:ascii="Times New Roman" w:eastAsia="Times New Roman"/>
          <w:spacing w:val="-4"/>
          <w:sz w:val="21"/>
        </w:rPr>
        <w:t>7.14</w:t>
      </w:r>
      <w:r>
        <w:rPr>
          <w:spacing w:val="-4"/>
          <w:sz w:val="21"/>
        </w:rPr>
        <w:t>）</w:t>
      </w:r>
      <w:r>
        <w:rPr>
          <w:spacing w:val="-8"/>
          <w:sz w:val="21"/>
        </w:rPr>
        <w:t>诊断证明</w:t>
      </w:r>
      <w:r>
        <w:rPr>
          <w:sz w:val="21"/>
        </w:rPr>
        <w:t>（</w:t>
      </w:r>
      <w:r>
        <w:rPr>
          <w:spacing w:val="-5"/>
          <w:sz w:val="21"/>
        </w:rPr>
        <w:t>包括完整的门诊病历、出院小结或出院</w:t>
      </w:r>
      <w:r>
        <w:rPr>
          <w:spacing w:val="-4"/>
          <w:w w:val="100"/>
          <w:sz w:val="21"/>
        </w:rPr>
        <w:t>证明、相关的检查检验报告等</w:t>
      </w:r>
      <w:r>
        <w:rPr>
          <w:spacing w:val="-108"/>
          <w:w w:val="100"/>
          <w:sz w:val="21"/>
        </w:rPr>
        <w:t>）</w:t>
      </w:r>
      <w:r>
        <w:rPr>
          <w:w w:val="100"/>
          <w:sz w:val="21"/>
        </w:rPr>
        <w:t>；</w:t>
      </w:r>
    </w:p>
    <w:p>
      <w:pPr>
        <w:pStyle w:val="ListParagraph"/>
        <w:numPr>
          <w:ilvl w:val="0"/>
          <w:numId w:val="5"/>
        </w:numPr>
        <w:tabs>
          <w:tab w:pos="1093" w:val="left" w:leader="none"/>
        </w:tabs>
        <w:spacing w:line="225" w:lineRule="auto" w:before="13" w:after="0"/>
        <w:ind w:left="1092" w:right="263" w:hanging="720"/>
        <w:jc w:val="left"/>
        <w:rPr>
          <w:sz w:val="21"/>
        </w:rPr>
      </w:pPr>
      <w:r>
        <w:rPr>
          <w:sz w:val="21"/>
        </w:rPr>
        <w:t>本附加合同附表一所列相应重大疾病和附表二所列相应轻症疾病</w:t>
      </w:r>
      <w:r>
        <w:rPr>
          <w:spacing w:val="-3"/>
          <w:sz w:val="21"/>
        </w:rPr>
        <w:t>中明确要求的其它医疗证明；</w:t>
      </w:r>
    </w:p>
    <w:p>
      <w:pPr>
        <w:pStyle w:val="ListParagraph"/>
        <w:numPr>
          <w:ilvl w:val="0"/>
          <w:numId w:val="5"/>
        </w:numPr>
        <w:tabs>
          <w:tab w:pos="1104" w:val="left" w:leader="none"/>
          <w:tab w:pos="1105" w:val="left" w:leader="none"/>
        </w:tabs>
        <w:spacing w:line="225" w:lineRule="auto" w:before="15" w:after="0"/>
        <w:ind w:left="1104" w:right="263" w:hanging="732"/>
        <w:jc w:val="left"/>
        <w:rPr>
          <w:sz w:val="21"/>
        </w:rPr>
      </w:pPr>
      <w:r>
        <w:rPr>
          <w:sz w:val="21"/>
        </w:rPr>
        <w:t>所能提供的与确认保险事故的性质、原因等有关的其它证明和资料。</w:t>
      </w:r>
    </w:p>
    <w:p>
      <w:pPr>
        <w:pStyle w:val="BodyText"/>
        <w:spacing w:before="2"/>
        <w:rPr>
          <w:sz w:val="18"/>
        </w:rPr>
      </w:pPr>
    </w:p>
    <w:p>
      <w:pPr>
        <w:pStyle w:val="BodyText"/>
        <w:ind w:left="372" w:right="263"/>
      </w:pPr>
      <w:r>
        <w:rPr/>
        <w:t>以上证明和资料不完整的，我们将及时一次性通知申请人补充提供有关证明和资料。</w:t>
      </w:r>
    </w:p>
    <w:p>
      <w:pPr>
        <w:spacing w:after="0"/>
        <w:sectPr>
          <w:type w:val="continuous"/>
          <w:pgSz w:w="11900" w:h="16840"/>
          <w:pgMar w:top="1220" w:bottom="280" w:left="1260" w:right="940"/>
          <w:cols w:num="2" w:equalWidth="0">
            <w:col w:w="2276" w:space="40"/>
            <w:col w:w="7384"/>
          </w:cols>
        </w:sectPr>
      </w:pPr>
    </w:p>
    <w:p>
      <w:pPr>
        <w:pStyle w:val="BodyText"/>
        <w:rPr>
          <w:sz w:val="20"/>
        </w:rPr>
      </w:pPr>
    </w:p>
    <w:p>
      <w:pPr>
        <w:pStyle w:val="BodyText"/>
        <w:spacing w:before="7"/>
        <w:rPr>
          <w:sz w:val="17"/>
        </w:rPr>
      </w:pPr>
    </w:p>
    <w:p>
      <w:pPr>
        <w:pStyle w:val="BodyText"/>
        <w:spacing w:line="230" w:lineRule="auto" w:before="1"/>
        <w:ind w:left="2687" w:right="263" w:hanging="2525"/>
        <w:jc w:val="both"/>
      </w:pPr>
      <w:r>
        <w:rPr>
          <w:spacing w:val="-27"/>
        </w:rPr>
        <w:t>第 </w:t>
      </w:r>
      <w:r>
        <w:rPr>
          <w:rFonts w:ascii="Times New Roman" w:eastAsia="Times New Roman"/>
          <w:b/>
        </w:rPr>
        <w:t>5 </w:t>
      </w:r>
      <w:r>
        <w:rPr>
          <w:spacing w:val="-3"/>
        </w:rPr>
        <w:t>章 欠款的扣除      我们在给付保险金、退还本附加合同现金价值或保险费时，如果您有任何尚未偿清的保单借款、自动垫缴的保险费等款项的本金和利息或欠缴的保险费，我们有权先行扣除上述欠款。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type w:val="continuous"/>
          <w:pgSz w:w="11900" w:h="16840"/>
          <w:pgMar w:top="1220" w:bottom="280" w:left="1260" w:right="940"/>
        </w:sectPr>
      </w:pPr>
    </w:p>
    <w:p>
      <w:pPr>
        <w:pStyle w:val="BodyText"/>
        <w:spacing w:before="12"/>
        <w:rPr>
          <w:sz w:val="16"/>
        </w:rPr>
      </w:pPr>
    </w:p>
    <w:p>
      <w:pPr>
        <w:pStyle w:val="BodyText"/>
        <w:spacing w:line="282" w:lineRule="exact"/>
        <w:ind w:left="163"/>
      </w:pPr>
      <w:r>
        <w:rPr/>
        <w:t>第 </w:t>
      </w:r>
      <w:r>
        <w:rPr>
          <w:rFonts w:ascii="Times New Roman" w:eastAsia="Times New Roman"/>
          <w:b/>
        </w:rPr>
        <w:t>6 </w:t>
      </w:r>
      <w:r>
        <w:rPr/>
        <w:t>章 附加合同效力的</w:t>
      </w:r>
    </w:p>
    <w:p>
      <w:pPr>
        <w:pStyle w:val="BodyText"/>
        <w:spacing w:line="266" w:lineRule="exact"/>
        <w:ind w:left="902" w:right="1113"/>
        <w:jc w:val="center"/>
      </w:pPr>
      <w:r>
        <w:rPr/>
        <w:t>终止</w:t>
      </w:r>
    </w:p>
    <w:p>
      <w:pPr>
        <w:pStyle w:val="BodyText"/>
        <w:spacing w:before="10"/>
        <w:rPr>
          <w:sz w:val="16"/>
        </w:rPr>
      </w:pPr>
      <w:r>
        <w:rPr/>
        <w:br w:type="column"/>
      </w:r>
      <w:r>
        <w:rPr>
          <w:sz w:val="16"/>
        </w:rPr>
      </w:r>
    </w:p>
    <w:p>
      <w:pPr>
        <w:pStyle w:val="BodyText"/>
        <w:ind w:left="120"/>
      </w:pPr>
      <w:r>
        <w:rPr/>
        <w:t>发生下列任何一种情形时，本附加合同终止：</w:t>
      </w:r>
    </w:p>
    <w:p>
      <w:pPr>
        <w:pStyle w:val="BodyText"/>
        <w:spacing w:before="1"/>
        <w:rPr>
          <w:sz w:val="19"/>
        </w:rPr>
      </w:pPr>
    </w:p>
    <w:p>
      <w:pPr>
        <w:pStyle w:val="BodyText"/>
        <w:spacing w:line="230" w:lineRule="auto"/>
        <w:ind w:left="545" w:right="261" w:hanging="372"/>
        <w:jc w:val="both"/>
      </w:pPr>
      <w:r>
        <w:rPr>
          <w:rFonts w:ascii="Times New Roman" w:eastAsia="Times New Roman"/>
        </w:rPr>
        <w:t>1</w:t>
      </w:r>
      <w:r>
        <w:rPr/>
        <w:t>、 在本附加合同有效期内，您不能单独申请终止本附加合同，但如果您以书面形式申请解除主合同，自我们收到解除合同申请书时起，主合</w:t>
      </w:r>
      <w:r>
        <w:rPr>
          <w:spacing w:val="-8"/>
        </w:rPr>
        <w:t>同和本附加合同同时终止。我们自收到解除合同申请书之日起 </w:t>
      </w:r>
      <w:r>
        <w:rPr>
          <w:rFonts w:ascii="Times New Roman" w:eastAsia="Times New Roman"/>
        </w:rPr>
        <w:t>30 </w:t>
      </w:r>
      <w:r>
        <w:rPr/>
        <w:t>日内</w:t>
      </w:r>
      <w:r>
        <w:rPr>
          <w:spacing w:val="-3"/>
        </w:rPr>
        <w:t>按合同约定向您退还本附加合同终止时的现金价值；</w:t>
      </w:r>
    </w:p>
    <w:p>
      <w:pPr>
        <w:pStyle w:val="BodyText"/>
        <w:spacing w:line="232" w:lineRule="auto" w:before="7"/>
        <w:ind w:left="545" w:right="263" w:hanging="372"/>
        <w:jc w:val="both"/>
      </w:pPr>
      <w:r>
        <w:rPr>
          <w:rFonts w:ascii="Times New Roman" w:eastAsia="Times New Roman"/>
        </w:rPr>
        <w:t>2</w:t>
      </w:r>
      <w:r>
        <w:rPr/>
        <w:t>、 当主合同的保险金额扣除本附加合同所有已给付的保险金后的余额， 再扣除任何您尚未偿清的保单借款、自动垫缴的保险费等款项的本金和利息以及您欠缴的保险费后为零时；</w:t>
      </w:r>
    </w:p>
    <w:p>
      <w:pPr>
        <w:spacing w:after="0" w:line="232" w:lineRule="auto"/>
        <w:jc w:val="both"/>
        <w:sectPr>
          <w:type w:val="continuous"/>
          <w:pgSz w:w="11900" w:h="16840"/>
          <w:pgMar w:top="1220" w:bottom="280" w:left="1260" w:right="940"/>
          <w:cols w:num="2" w:equalWidth="0">
            <w:col w:w="2475" w:space="40"/>
            <w:col w:w="7185"/>
          </w:cols>
        </w:sectPr>
      </w:pPr>
    </w:p>
    <w:p>
      <w:pPr>
        <w:pStyle w:val="BodyText"/>
        <w:spacing w:before="1"/>
        <w:rPr>
          <w:sz w:val="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473"/>
        <w:gridCol w:w="7216"/>
      </w:tblGrid>
      <w:tr>
        <w:trPr>
          <w:trHeight w:val="253" w:hRule="atLeast"/>
        </w:trPr>
        <w:tc>
          <w:tcPr>
            <w:tcW w:w="2262" w:type="dxa"/>
            <w:gridSpan w:val="2"/>
            <w:vMerge w:val="restart"/>
          </w:tcPr>
          <w:p>
            <w:pPr>
              <w:pStyle w:val="TableParagraph"/>
              <w:rPr>
                <w:rFonts w:ascii="Times New Roman"/>
                <w:sz w:val="20"/>
              </w:rPr>
            </w:pPr>
          </w:p>
        </w:tc>
        <w:tc>
          <w:tcPr>
            <w:tcW w:w="7216" w:type="dxa"/>
          </w:tcPr>
          <w:p>
            <w:pPr>
              <w:pStyle w:val="TableParagraph"/>
              <w:spacing w:line="234" w:lineRule="exact"/>
              <w:ind w:left="312"/>
              <w:rPr>
                <w:sz w:val="21"/>
              </w:rPr>
            </w:pPr>
            <w:r>
              <w:rPr>
                <w:rFonts w:ascii="Times New Roman" w:eastAsia="Times New Roman"/>
                <w:sz w:val="21"/>
              </w:rPr>
              <w:t>3</w:t>
            </w:r>
            <w:r>
              <w:rPr>
                <w:sz w:val="21"/>
              </w:rPr>
              <w:t>、 主合同终止；</w:t>
            </w:r>
          </w:p>
        </w:tc>
      </w:tr>
      <w:tr>
        <w:trPr>
          <w:trHeight w:val="514" w:hRule="atLeast"/>
        </w:trPr>
        <w:tc>
          <w:tcPr>
            <w:tcW w:w="2262" w:type="dxa"/>
            <w:gridSpan w:val="2"/>
            <w:vMerge/>
            <w:tcBorders>
              <w:top w:val="nil"/>
            </w:tcBorders>
          </w:tcPr>
          <w:p>
            <w:pPr>
              <w:rPr>
                <w:sz w:val="2"/>
                <w:szCs w:val="2"/>
              </w:rPr>
            </w:pPr>
          </w:p>
        </w:tc>
        <w:tc>
          <w:tcPr>
            <w:tcW w:w="7216" w:type="dxa"/>
          </w:tcPr>
          <w:p>
            <w:pPr>
              <w:pStyle w:val="TableParagraph"/>
              <w:spacing w:line="253" w:lineRule="exact"/>
              <w:ind w:left="312"/>
              <w:rPr>
                <w:sz w:val="21"/>
              </w:rPr>
            </w:pPr>
            <w:r>
              <w:rPr>
                <w:rFonts w:ascii="Times New Roman" w:eastAsia="Times New Roman"/>
                <w:sz w:val="21"/>
              </w:rPr>
              <w:t>4</w:t>
            </w:r>
            <w:r>
              <w:rPr>
                <w:sz w:val="21"/>
              </w:rPr>
              <w:t>、 因本附加合同其它条款或主合同条款所列情况而终止。</w:t>
            </w:r>
          </w:p>
        </w:tc>
      </w:tr>
      <w:tr>
        <w:trPr>
          <w:trHeight w:val="626" w:hRule="atLeast"/>
        </w:trPr>
        <w:tc>
          <w:tcPr>
            <w:tcW w:w="789" w:type="dxa"/>
          </w:tcPr>
          <w:p>
            <w:pPr>
              <w:pStyle w:val="TableParagraph"/>
              <w:spacing w:before="10"/>
              <w:rPr>
                <w:sz w:val="15"/>
              </w:rPr>
            </w:pPr>
          </w:p>
          <w:p>
            <w:pPr>
              <w:pStyle w:val="TableParagraph"/>
              <w:ind w:right="105"/>
              <w:jc w:val="right"/>
              <w:rPr>
                <w:sz w:val="21"/>
              </w:rPr>
            </w:pPr>
            <w:r>
              <w:rPr>
                <w:sz w:val="21"/>
              </w:rPr>
              <w:t>第 </w:t>
            </w:r>
            <w:r>
              <w:rPr>
                <w:rFonts w:ascii="Times New Roman" w:eastAsia="Times New Roman"/>
                <w:b/>
                <w:sz w:val="21"/>
              </w:rPr>
              <w:t>7 </w:t>
            </w:r>
            <w:r>
              <w:rPr>
                <w:sz w:val="21"/>
              </w:rPr>
              <w:t>章</w:t>
            </w:r>
          </w:p>
        </w:tc>
        <w:tc>
          <w:tcPr>
            <w:tcW w:w="1473" w:type="dxa"/>
          </w:tcPr>
          <w:p>
            <w:pPr>
              <w:pStyle w:val="TableParagraph"/>
              <w:spacing w:before="10"/>
              <w:rPr>
                <w:sz w:val="15"/>
              </w:rPr>
            </w:pPr>
          </w:p>
          <w:p>
            <w:pPr>
              <w:pStyle w:val="TableParagraph"/>
              <w:ind w:left="108"/>
              <w:rPr>
                <w:sz w:val="21"/>
              </w:rPr>
            </w:pPr>
            <w:r>
              <w:rPr>
                <w:sz w:val="21"/>
              </w:rPr>
              <w:t>名词释义</w:t>
            </w:r>
          </w:p>
        </w:tc>
        <w:tc>
          <w:tcPr>
            <w:tcW w:w="7216" w:type="dxa"/>
          </w:tcPr>
          <w:p>
            <w:pPr>
              <w:pStyle w:val="TableParagraph"/>
              <w:rPr>
                <w:rFonts w:ascii="Times New Roman"/>
                <w:sz w:val="20"/>
              </w:rPr>
            </w:pPr>
          </w:p>
        </w:tc>
      </w:tr>
      <w:tr>
        <w:trPr>
          <w:trHeight w:val="779" w:hRule="atLeast"/>
        </w:trPr>
        <w:tc>
          <w:tcPr>
            <w:tcW w:w="789" w:type="dxa"/>
          </w:tcPr>
          <w:p>
            <w:pPr>
              <w:pStyle w:val="TableParagraph"/>
              <w:spacing w:before="123"/>
              <w:ind w:right="105"/>
              <w:jc w:val="right"/>
              <w:rPr>
                <w:rFonts w:ascii="Times New Roman"/>
                <w:b/>
                <w:sz w:val="21"/>
              </w:rPr>
            </w:pPr>
            <w:r>
              <w:rPr>
                <w:rFonts w:ascii="Times New Roman"/>
                <w:b/>
                <w:sz w:val="21"/>
              </w:rPr>
              <w:t>7.1</w:t>
            </w:r>
          </w:p>
        </w:tc>
        <w:tc>
          <w:tcPr>
            <w:tcW w:w="1473" w:type="dxa"/>
          </w:tcPr>
          <w:p>
            <w:pPr>
              <w:pStyle w:val="TableParagraph"/>
              <w:spacing w:before="93"/>
              <w:ind w:left="108"/>
              <w:rPr>
                <w:sz w:val="21"/>
              </w:rPr>
            </w:pPr>
            <w:r>
              <w:rPr>
                <w:sz w:val="21"/>
              </w:rPr>
              <w:t>周岁：</w:t>
            </w:r>
          </w:p>
        </w:tc>
        <w:tc>
          <w:tcPr>
            <w:tcW w:w="7216" w:type="dxa"/>
          </w:tcPr>
          <w:p>
            <w:pPr>
              <w:pStyle w:val="TableParagraph"/>
              <w:spacing w:before="91"/>
              <w:ind w:left="312" w:right="46"/>
              <w:rPr>
                <w:sz w:val="21"/>
              </w:rPr>
            </w:pPr>
            <w:r>
              <w:rPr>
                <w:spacing w:val="-7"/>
                <w:sz w:val="21"/>
              </w:rPr>
              <w:t>指按有效身份证件中记载的出生日期计算的年龄，自出生之日起为零周岁， </w:t>
            </w:r>
            <w:r>
              <w:rPr>
                <w:spacing w:val="-5"/>
                <w:sz w:val="21"/>
              </w:rPr>
              <w:t>每经过一年增加一岁，不足一年的不计。</w:t>
            </w:r>
          </w:p>
        </w:tc>
      </w:tr>
      <w:tr>
        <w:trPr>
          <w:trHeight w:val="514" w:hRule="atLeast"/>
        </w:trPr>
        <w:tc>
          <w:tcPr>
            <w:tcW w:w="789" w:type="dxa"/>
          </w:tcPr>
          <w:p>
            <w:pPr>
              <w:pStyle w:val="TableParagraph"/>
              <w:spacing w:before="131"/>
              <w:ind w:right="105"/>
              <w:jc w:val="right"/>
              <w:rPr>
                <w:rFonts w:ascii="Times New Roman"/>
                <w:b/>
                <w:sz w:val="21"/>
              </w:rPr>
            </w:pPr>
            <w:r>
              <w:rPr>
                <w:rFonts w:ascii="Times New Roman"/>
                <w:b/>
                <w:sz w:val="21"/>
              </w:rPr>
              <w:t>7.2</w:t>
            </w:r>
          </w:p>
        </w:tc>
        <w:tc>
          <w:tcPr>
            <w:tcW w:w="1473" w:type="dxa"/>
          </w:tcPr>
          <w:p>
            <w:pPr>
              <w:pStyle w:val="TableParagraph"/>
              <w:spacing w:before="101"/>
              <w:ind w:left="108"/>
              <w:rPr>
                <w:sz w:val="21"/>
              </w:rPr>
            </w:pPr>
            <w:r>
              <w:rPr>
                <w:sz w:val="21"/>
              </w:rPr>
              <w:t>重大疾病：</w:t>
            </w:r>
          </w:p>
        </w:tc>
        <w:tc>
          <w:tcPr>
            <w:tcW w:w="7216" w:type="dxa"/>
          </w:tcPr>
          <w:p>
            <w:pPr>
              <w:pStyle w:val="TableParagraph"/>
              <w:spacing w:before="99"/>
              <w:ind w:left="322"/>
              <w:rPr>
                <w:sz w:val="21"/>
              </w:rPr>
            </w:pPr>
            <w:r>
              <w:rPr>
                <w:sz w:val="21"/>
              </w:rPr>
              <w:t>指符合本附加合同附表一中所列的任何一种疾病定义所述条件的疾病。</w:t>
            </w:r>
          </w:p>
        </w:tc>
      </w:tr>
      <w:tr>
        <w:trPr>
          <w:trHeight w:val="375" w:hRule="atLeast"/>
        </w:trPr>
        <w:tc>
          <w:tcPr>
            <w:tcW w:w="789" w:type="dxa"/>
          </w:tcPr>
          <w:p>
            <w:pPr>
              <w:pStyle w:val="TableParagraph"/>
              <w:spacing w:line="225" w:lineRule="exact" w:before="130"/>
              <w:ind w:right="105"/>
              <w:jc w:val="right"/>
              <w:rPr>
                <w:rFonts w:ascii="Times New Roman"/>
                <w:b/>
                <w:sz w:val="21"/>
              </w:rPr>
            </w:pPr>
            <w:r>
              <w:rPr>
                <w:rFonts w:ascii="Times New Roman"/>
                <w:b/>
                <w:sz w:val="21"/>
              </w:rPr>
              <w:t>7.3</w:t>
            </w:r>
          </w:p>
        </w:tc>
        <w:tc>
          <w:tcPr>
            <w:tcW w:w="1473" w:type="dxa"/>
          </w:tcPr>
          <w:p>
            <w:pPr>
              <w:pStyle w:val="TableParagraph"/>
              <w:spacing w:line="255" w:lineRule="exact" w:before="100"/>
              <w:ind w:left="108"/>
              <w:rPr>
                <w:sz w:val="21"/>
              </w:rPr>
            </w:pPr>
            <w:r>
              <w:rPr>
                <w:sz w:val="21"/>
              </w:rPr>
              <w:t>轻症疾病：</w:t>
            </w:r>
          </w:p>
        </w:tc>
        <w:tc>
          <w:tcPr>
            <w:tcW w:w="7216" w:type="dxa"/>
          </w:tcPr>
          <w:p>
            <w:pPr>
              <w:pStyle w:val="TableParagraph"/>
              <w:spacing w:line="257" w:lineRule="exact" w:before="98"/>
              <w:ind w:left="322"/>
              <w:rPr>
                <w:sz w:val="21"/>
              </w:rPr>
            </w:pPr>
            <w:r>
              <w:rPr>
                <w:sz w:val="21"/>
              </w:rPr>
              <w:t>指符合本附加合同附表二中所列的任何一种疾病定义所述条件的疾病。</w:t>
            </w:r>
          </w:p>
        </w:tc>
      </w:tr>
    </w:tbl>
    <w:p>
      <w:pPr>
        <w:spacing w:after="0" w:line="257" w:lineRule="exact"/>
        <w:rPr>
          <w:sz w:val="21"/>
        </w:rPr>
        <w:sectPr>
          <w:type w:val="continuous"/>
          <w:pgSz w:w="11900" w:h="16840"/>
          <w:pgMar w:top="1220" w:bottom="280" w:left="1260" w:right="9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659"/>
        <w:gridCol w:w="6927"/>
      </w:tblGrid>
      <w:tr>
        <w:trPr>
          <w:trHeight w:val="265" w:hRule="atLeast"/>
        </w:trPr>
        <w:tc>
          <w:tcPr>
            <w:tcW w:w="528" w:type="dxa"/>
          </w:tcPr>
          <w:p>
            <w:pPr>
              <w:pStyle w:val="TableParagraph"/>
              <w:spacing w:line="234" w:lineRule="exact"/>
              <w:ind w:right="106"/>
              <w:jc w:val="right"/>
              <w:rPr>
                <w:rFonts w:ascii="Times New Roman"/>
                <w:b/>
                <w:sz w:val="21"/>
              </w:rPr>
            </w:pPr>
            <w:r>
              <w:rPr>
                <w:rFonts w:ascii="Times New Roman"/>
                <w:b/>
                <w:sz w:val="21"/>
              </w:rPr>
              <w:t>7.4</w:t>
            </w:r>
          </w:p>
        </w:tc>
        <w:tc>
          <w:tcPr>
            <w:tcW w:w="1659" w:type="dxa"/>
          </w:tcPr>
          <w:p>
            <w:pPr>
              <w:pStyle w:val="TableParagraph"/>
              <w:spacing w:line="237" w:lineRule="exact"/>
              <w:ind w:left="107"/>
              <w:rPr>
                <w:sz w:val="21"/>
              </w:rPr>
            </w:pPr>
            <w:r>
              <w:rPr>
                <w:sz w:val="21"/>
              </w:rPr>
              <w:t>意外伤害事故：</w:t>
            </w:r>
          </w:p>
        </w:tc>
        <w:tc>
          <w:tcPr>
            <w:tcW w:w="6927" w:type="dxa"/>
          </w:tcPr>
          <w:p>
            <w:pPr>
              <w:pStyle w:val="TableParagraph"/>
              <w:spacing w:line="235" w:lineRule="exact"/>
              <w:ind w:left="126"/>
              <w:rPr>
                <w:sz w:val="21"/>
              </w:rPr>
            </w:pPr>
            <w:r>
              <w:rPr>
                <w:sz w:val="21"/>
              </w:rPr>
              <w:t>指外来的、不可预知的、突发的、非本意的、非由疾病引起的使身体受到</w:t>
            </w:r>
          </w:p>
        </w:tc>
      </w:tr>
      <w:tr>
        <w:trPr>
          <w:trHeight w:val="380"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6927" w:type="dxa"/>
          </w:tcPr>
          <w:p>
            <w:pPr>
              <w:pStyle w:val="TableParagraph"/>
              <w:spacing w:line="240" w:lineRule="exact"/>
              <w:ind w:left="126"/>
              <w:rPr>
                <w:sz w:val="21"/>
              </w:rPr>
            </w:pPr>
            <w:r>
              <w:rPr>
                <w:sz w:val="21"/>
              </w:rPr>
              <w:t>伤害的客观事件。</w:t>
            </w:r>
          </w:p>
        </w:tc>
      </w:tr>
      <w:tr>
        <w:trPr>
          <w:trHeight w:val="1232" w:hRule="atLeast"/>
        </w:trPr>
        <w:tc>
          <w:tcPr>
            <w:tcW w:w="528" w:type="dxa"/>
          </w:tcPr>
          <w:p>
            <w:pPr>
              <w:pStyle w:val="TableParagraph"/>
              <w:spacing w:before="132"/>
              <w:ind w:right="106"/>
              <w:jc w:val="right"/>
              <w:rPr>
                <w:rFonts w:ascii="Times New Roman"/>
                <w:b/>
                <w:sz w:val="21"/>
              </w:rPr>
            </w:pPr>
            <w:r>
              <w:rPr>
                <w:rFonts w:ascii="Times New Roman"/>
                <w:b/>
                <w:sz w:val="21"/>
              </w:rPr>
              <w:t>7.5</w:t>
            </w:r>
          </w:p>
        </w:tc>
        <w:tc>
          <w:tcPr>
            <w:tcW w:w="1659" w:type="dxa"/>
          </w:tcPr>
          <w:p>
            <w:pPr>
              <w:pStyle w:val="TableParagraph"/>
              <w:spacing w:before="102"/>
              <w:ind w:left="107"/>
              <w:rPr>
                <w:sz w:val="21"/>
              </w:rPr>
            </w:pPr>
            <w:r>
              <w:rPr>
                <w:sz w:val="21"/>
              </w:rPr>
              <w:t>专科医生：</w:t>
            </w:r>
          </w:p>
        </w:tc>
        <w:tc>
          <w:tcPr>
            <w:tcW w:w="6927" w:type="dxa"/>
          </w:tcPr>
          <w:p>
            <w:pPr>
              <w:pStyle w:val="TableParagraph"/>
              <w:spacing w:line="225" w:lineRule="auto" w:before="118"/>
              <w:ind w:left="126" w:right="50"/>
              <w:jc w:val="both"/>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20"/>
                <w:w w:val="100"/>
                <w:sz w:val="21"/>
              </w:rPr>
              <w:t>主治医师以上职称的《医师职称证书》；</w:t>
            </w:r>
            <w:r>
              <w:rPr>
                <w:spacing w:val="-3"/>
                <w:w w:val="100"/>
                <w:sz w:val="21"/>
              </w:rPr>
              <w:t>（</w:t>
            </w:r>
            <w:r>
              <w:rPr>
                <w:rFonts w:ascii="Times New Roman" w:eastAsia="Times New Roman"/>
                <w:w w:val="100"/>
                <w:sz w:val="21"/>
              </w:rPr>
              <w:t>4</w:t>
            </w:r>
            <w:r>
              <w:rPr>
                <w:spacing w:val="-41"/>
                <w:w w:val="100"/>
                <w:sz w:val="21"/>
              </w:rPr>
              <w:t>）</w:t>
            </w:r>
            <w:r>
              <w:rPr>
                <w:spacing w:val="-3"/>
                <w:w w:val="100"/>
                <w:sz w:val="21"/>
              </w:rPr>
              <w:t>在二级或二级以上医院的相应</w:t>
            </w:r>
          </w:p>
        </w:tc>
      </w:tr>
      <w:tr>
        <w:trPr>
          <w:trHeight w:val="373"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6927" w:type="dxa"/>
          </w:tcPr>
          <w:p>
            <w:pPr>
              <w:pStyle w:val="TableParagraph"/>
              <w:spacing w:line="234" w:lineRule="exact"/>
              <w:ind w:left="126"/>
              <w:rPr>
                <w:sz w:val="21"/>
              </w:rPr>
            </w:pPr>
            <w:r>
              <w:rPr>
                <w:sz w:val="21"/>
              </w:rPr>
              <w:t>科室从事临床工作三年以上。</w:t>
            </w:r>
          </w:p>
        </w:tc>
      </w:tr>
      <w:tr>
        <w:trPr>
          <w:trHeight w:val="406" w:hRule="atLeast"/>
        </w:trPr>
        <w:tc>
          <w:tcPr>
            <w:tcW w:w="528" w:type="dxa"/>
          </w:tcPr>
          <w:p>
            <w:pPr>
              <w:pStyle w:val="TableParagraph"/>
              <w:spacing w:before="131"/>
              <w:ind w:right="106"/>
              <w:jc w:val="right"/>
              <w:rPr>
                <w:rFonts w:ascii="Times New Roman"/>
                <w:b/>
                <w:sz w:val="21"/>
              </w:rPr>
            </w:pPr>
            <w:r>
              <w:rPr>
                <w:rFonts w:ascii="Times New Roman"/>
                <w:b/>
                <w:sz w:val="21"/>
              </w:rPr>
              <w:t>7.6</w:t>
            </w:r>
          </w:p>
        </w:tc>
        <w:tc>
          <w:tcPr>
            <w:tcW w:w="1659" w:type="dxa"/>
          </w:tcPr>
          <w:p>
            <w:pPr>
              <w:pStyle w:val="TableParagraph"/>
              <w:spacing w:before="101"/>
              <w:ind w:left="107"/>
              <w:rPr>
                <w:sz w:val="21"/>
              </w:rPr>
            </w:pPr>
            <w:r>
              <w:rPr>
                <w:sz w:val="21"/>
              </w:rPr>
              <w:t>毒品：</w:t>
            </w:r>
          </w:p>
        </w:tc>
        <w:tc>
          <w:tcPr>
            <w:tcW w:w="6927" w:type="dxa"/>
          </w:tcPr>
          <w:p>
            <w:pPr>
              <w:pStyle w:val="TableParagraph"/>
              <w:spacing w:before="99"/>
              <w:ind w:left="126"/>
              <w:rPr>
                <w:sz w:val="21"/>
              </w:rPr>
            </w:pPr>
            <w:r>
              <w:rPr>
                <w:spacing w:val="-9"/>
                <w:sz w:val="21"/>
              </w:rPr>
              <w:t>指《中华人民共和国刑法》规定的鸦片、海洛因、甲基苯丙胺</w:t>
            </w:r>
            <w:r>
              <w:rPr>
                <w:sz w:val="21"/>
              </w:rPr>
              <w:t>（</w:t>
            </w:r>
            <w:r>
              <w:rPr>
                <w:spacing w:val="-2"/>
                <w:sz w:val="21"/>
              </w:rPr>
              <w:t>冰毒</w:t>
            </w:r>
            <w:r>
              <w:rPr>
                <w:spacing w:val="-106"/>
                <w:sz w:val="21"/>
              </w:rPr>
              <w:t>）</w:t>
            </w:r>
            <w:r>
              <w:rPr>
                <w:spacing w:val="-8"/>
                <w:sz w:val="21"/>
              </w:rPr>
              <w:t>、吗</w:t>
            </w:r>
          </w:p>
        </w:tc>
      </w:tr>
      <w:tr>
        <w:trPr>
          <w:trHeight w:val="271"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6927" w:type="dxa"/>
          </w:tcPr>
          <w:p>
            <w:pPr>
              <w:pStyle w:val="TableParagraph"/>
              <w:spacing w:line="241" w:lineRule="exact"/>
              <w:ind w:left="126"/>
              <w:rPr>
                <w:sz w:val="21"/>
              </w:rPr>
            </w:pPr>
            <w:r>
              <w:rPr>
                <w:sz w:val="21"/>
              </w:rPr>
              <w:t>啡、大麻、可卡因以及国家规定管制的其它能够使人形成瘾癖的麻醉药品</w:t>
            </w:r>
          </w:p>
        </w:tc>
      </w:tr>
      <w:tr>
        <w:trPr>
          <w:trHeight w:val="272"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6927" w:type="dxa"/>
          </w:tcPr>
          <w:p>
            <w:pPr>
              <w:pStyle w:val="TableParagraph"/>
              <w:spacing w:line="241" w:lineRule="exact"/>
              <w:ind w:left="126"/>
              <w:rPr>
                <w:sz w:val="21"/>
              </w:rPr>
            </w:pPr>
            <w:r>
              <w:rPr>
                <w:sz w:val="21"/>
              </w:rPr>
              <w:t>和精神药品，但不包括由医生开具并遵医嘱使用的用于治疗疾病但含有毒</w:t>
            </w:r>
          </w:p>
        </w:tc>
      </w:tr>
      <w:tr>
        <w:trPr>
          <w:trHeight w:val="383"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6927" w:type="dxa"/>
          </w:tcPr>
          <w:p>
            <w:pPr>
              <w:pStyle w:val="TableParagraph"/>
              <w:spacing w:line="242" w:lineRule="exact"/>
              <w:ind w:left="126"/>
              <w:rPr>
                <w:sz w:val="21"/>
              </w:rPr>
            </w:pPr>
            <w:r>
              <w:rPr>
                <w:sz w:val="21"/>
              </w:rPr>
              <w:t>品成分的处方药品。</w:t>
            </w:r>
          </w:p>
        </w:tc>
      </w:tr>
      <w:tr>
        <w:trPr>
          <w:trHeight w:val="406" w:hRule="atLeast"/>
        </w:trPr>
        <w:tc>
          <w:tcPr>
            <w:tcW w:w="528" w:type="dxa"/>
          </w:tcPr>
          <w:p>
            <w:pPr>
              <w:pStyle w:val="TableParagraph"/>
              <w:spacing w:before="132"/>
              <w:ind w:right="106"/>
              <w:jc w:val="right"/>
              <w:rPr>
                <w:rFonts w:ascii="Times New Roman"/>
                <w:b/>
                <w:sz w:val="21"/>
              </w:rPr>
            </w:pPr>
            <w:r>
              <w:rPr>
                <w:rFonts w:ascii="Times New Roman"/>
                <w:b/>
                <w:sz w:val="21"/>
              </w:rPr>
              <w:t>7.7</w:t>
            </w:r>
          </w:p>
        </w:tc>
        <w:tc>
          <w:tcPr>
            <w:tcW w:w="1659" w:type="dxa"/>
          </w:tcPr>
          <w:p>
            <w:pPr>
              <w:pStyle w:val="TableParagraph"/>
              <w:spacing w:before="102"/>
              <w:ind w:left="107"/>
              <w:rPr>
                <w:sz w:val="21"/>
              </w:rPr>
            </w:pPr>
            <w:r>
              <w:rPr>
                <w:sz w:val="21"/>
              </w:rPr>
              <w:t>酒后驾驶：</w:t>
            </w:r>
          </w:p>
        </w:tc>
        <w:tc>
          <w:tcPr>
            <w:tcW w:w="6927" w:type="dxa"/>
          </w:tcPr>
          <w:p>
            <w:pPr>
              <w:pStyle w:val="TableParagraph"/>
              <w:spacing w:before="100"/>
              <w:ind w:left="126"/>
              <w:rPr>
                <w:sz w:val="21"/>
              </w:rPr>
            </w:pPr>
            <w:r>
              <w:rPr>
                <w:sz w:val="21"/>
              </w:rPr>
              <w:t>指经检测或鉴定，发生事故时车辆驾驶人员每百毫升血液中的酒精含量达</w:t>
            </w:r>
          </w:p>
        </w:tc>
      </w:tr>
      <w:tr>
        <w:trPr>
          <w:trHeight w:val="271"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6927" w:type="dxa"/>
          </w:tcPr>
          <w:p>
            <w:pPr>
              <w:pStyle w:val="TableParagraph"/>
              <w:spacing w:line="240" w:lineRule="exact"/>
              <w:ind w:left="126"/>
              <w:rPr>
                <w:sz w:val="21"/>
              </w:rPr>
            </w:pPr>
            <w:r>
              <w:rPr>
                <w:sz w:val="21"/>
              </w:rPr>
              <w:t>到或超过一定的标准，公安机关交通管理部门依据《中华人民共和国道路</w:t>
            </w:r>
          </w:p>
        </w:tc>
      </w:tr>
      <w:tr>
        <w:trPr>
          <w:trHeight w:val="381"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6927" w:type="dxa"/>
          </w:tcPr>
          <w:p>
            <w:pPr>
              <w:pStyle w:val="TableParagraph"/>
              <w:spacing w:line="242" w:lineRule="exact"/>
              <w:ind w:left="126"/>
              <w:rPr>
                <w:sz w:val="21"/>
              </w:rPr>
            </w:pPr>
            <w:r>
              <w:rPr>
                <w:sz w:val="21"/>
              </w:rPr>
              <w:t>交通安全法》的规定认定为饮酒后驾驶或醉酒后驾驶。</w:t>
            </w:r>
          </w:p>
        </w:tc>
      </w:tr>
      <w:tr>
        <w:trPr>
          <w:trHeight w:val="403" w:hRule="atLeast"/>
        </w:trPr>
        <w:tc>
          <w:tcPr>
            <w:tcW w:w="528" w:type="dxa"/>
          </w:tcPr>
          <w:p>
            <w:pPr>
              <w:pStyle w:val="TableParagraph"/>
              <w:spacing w:before="131"/>
              <w:ind w:right="106"/>
              <w:jc w:val="right"/>
              <w:rPr>
                <w:rFonts w:ascii="Times New Roman"/>
                <w:b/>
                <w:sz w:val="21"/>
              </w:rPr>
            </w:pPr>
            <w:r>
              <w:rPr>
                <w:rFonts w:ascii="Times New Roman"/>
                <w:b/>
                <w:sz w:val="21"/>
              </w:rPr>
              <w:t>7.8</w:t>
            </w:r>
          </w:p>
        </w:tc>
        <w:tc>
          <w:tcPr>
            <w:tcW w:w="1659" w:type="dxa"/>
          </w:tcPr>
          <w:p>
            <w:pPr>
              <w:pStyle w:val="TableParagraph"/>
              <w:spacing w:before="101"/>
              <w:ind w:left="107"/>
              <w:rPr>
                <w:sz w:val="21"/>
              </w:rPr>
            </w:pPr>
            <w:r>
              <w:rPr>
                <w:spacing w:val="-33"/>
                <w:sz w:val="21"/>
              </w:rPr>
              <w:t>无 合 法 有 效 驾</w:t>
            </w:r>
          </w:p>
        </w:tc>
        <w:tc>
          <w:tcPr>
            <w:tcW w:w="6927" w:type="dxa"/>
          </w:tcPr>
          <w:p>
            <w:pPr>
              <w:pStyle w:val="TableParagraph"/>
              <w:spacing w:before="99"/>
              <w:ind w:left="126"/>
              <w:rPr>
                <w:sz w:val="21"/>
              </w:rPr>
            </w:pPr>
            <w:r>
              <w:rPr>
                <w:sz w:val="21"/>
              </w:rPr>
              <w:t>指下列情形之一：</w:t>
            </w:r>
          </w:p>
        </w:tc>
      </w:tr>
      <w:tr>
        <w:trPr>
          <w:trHeight w:val="1102" w:hRule="atLeast"/>
        </w:trPr>
        <w:tc>
          <w:tcPr>
            <w:tcW w:w="528" w:type="dxa"/>
          </w:tcPr>
          <w:p>
            <w:pPr>
              <w:pStyle w:val="TableParagraph"/>
              <w:rPr>
                <w:rFonts w:ascii="Times New Roman"/>
                <w:sz w:val="20"/>
              </w:rPr>
            </w:pPr>
          </w:p>
        </w:tc>
        <w:tc>
          <w:tcPr>
            <w:tcW w:w="1659" w:type="dxa"/>
          </w:tcPr>
          <w:p>
            <w:pPr>
              <w:pStyle w:val="TableParagraph"/>
              <w:spacing w:line="247" w:lineRule="exact"/>
              <w:ind w:left="107"/>
              <w:rPr>
                <w:sz w:val="21"/>
              </w:rPr>
            </w:pPr>
            <w:r>
              <w:rPr>
                <w:sz w:val="21"/>
              </w:rPr>
              <w:t>驶证驾驶：</w:t>
            </w:r>
          </w:p>
        </w:tc>
        <w:tc>
          <w:tcPr>
            <w:tcW w:w="6927" w:type="dxa"/>
          </w:tcPr>
          <w:p>
            <w:pPr>
              <w:pStyle w:val="TableParagraph"/>
              <w:spacing w:line="252" w:lineRule="exact"/>
              <w:ind w:left="126"/>
              <w:rPr>
                <w:sz w:val="21"/>
              </w:rPr>
            </w:pPr>
            <w:r>
              <w:rPr>
                <w:rFonts w:ascii="Times New Roman" w:eastAsia="Times New Roman"/>
                <w:sz w:val="21"/>
              </w:rPr>
              <w:t>1</w:t>
            </w:r>
            <w:r>
              <w:rPr>
                <w:sz w:val="21"/>
              </w:rPr>
              <w:t>、没有取得驾驶资格；</w:t>
            </w:r>
          </w:p>
          <w:p>
            <w:pPr>
              <w:pStyle w:val="TableParagraph"/>
              <w:spacing w:line="274" w:lineRule="exact"/>
              <w:ind w:left="126"/>
              <w:rPr>
                <w:sz w:val="21"/>
              </w:rPr>
            </w:pPr>
            <w:r>
              <w:rPr>
                <w:rFonts w:ascii="Times New Roman" w:eastAsia="Times New Roman"/>
                <w:sz w:val="21"/>
              </w:rPr>
              <w:t>2</w:t>
            </w:r>
            <w:r>
              <w:rPr>
                <w:sz w:val="21"/>
              </w:rPr>
              <w:t>、驾驶与驾驶证准驾车型不相符合的车辆；</w:t>
            </w:r>
          </w:p>
          <w:p>
            <w:pPr>
              <w:pStyle w:val="TableParagraph"/>
              <w:spacing w:line="272" w:lineRule="exact"/>
              <w:ind w:left="126"/>
              <w:rPr>
                <w:sz w:val="21"/>
              </w:rPr>
            </w:pPr>
            <w:r>
              <w:rPr>
                <w:rFonts w:ascii="Times New Roman" w:eastAsia="Times New Roman"/>
                <w:sz w:val="21"/>
              </w:rPr>
              <w:t>3</w:t>
            </w:r>
            <w:r>
              <w:rPr>
                <w:sz w:val="21"/>
              </w:rPr>
              <w:t>、持审验不合格的驾驶证驾驶；</w:t>
            </w:r>
          </w:p>
          <w:p>
            <w:pPr>
              <w:pStyle w:val="TableParagraph"/>
              <w:spacing w:line="281" w:lineRule="exact"/>
              <w:ind w:left="126"/>
              <w:rPr>
                <w:sz w:val="21"/>
              </w:rPr>
            </w:pPr>
            <w:r>
              <w:rPr>
                <w:rFonts w:ascii="Times New Roman" w:eastAsia="Times New Roman"/>
                <w:sz w:val="21"/>
              </w:rPr>
              <w:t>4</w:t>
            </w:r>
            <w:r>
              <w:rPr>
                <w:spacing w:val="-10"/>
                <w:sz w:val="21"/>
              </w:rPr>
              <w:t>、持学习驾驶证学习驾车时，无教练员随车指导，或不按指定时间、路线</w:t>
            </w:r>
          </w:p>
        </w:tc>
      </w:tr>
      <w:tr>
        <w:trPr>
          <w:trHeight w:val="373"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6927" w:type="dxa"/>
          </w:tcPr>
          <w:p>
            <w:pPr>
              <w:pStyle w:val="TableParagraph"/>
              <w:spacing w:line="234" w:lineRule="exact"/>
              <w:ind w:left="440"/>
              <w:rPr>
                <w:sz w:val="21"/>
              </w:rPr>
            </w:pPr>
            <w:r>
              <w:rPr>
                <w:sz w:val="21"/>
              </w:rPr>
              <w:t>学习驾车。</w:t>
            </w:r>
          </w:p>
        </w:tc>
      </w:tr>
      <w:tr>
        <w:trPr>
          <w:trHeight w:val="403" w:hRule="atLeast"/>
        </w:trPr>
        <w:tc>
          <w:tcPr>
            <w:tcW w:w="528" w:type="dxa"/>
          </w:tcPr>
          <w:p>
            <w:pPr>
              <w:pStyle w:val="TableParagraph"/>
              <w:spacing w:before="131"/>
              <w:ind w:right="106"/>
              <w:jc w:val="right"/>
              <w:rPr>
                <w:rFonts w:ascii="Times New Roman"/>
                <w:b/>
                <w:sz w:val="21"/>
              </w:rPr>
            </w:pPr>
            <w:r>
              <w:rPr>
                <w:rFonts w:ascii="Times New Roman"/>
                <w:b/>
                <w:sz w:val="21"/>
              </w:rPr>
              <w:t>7.9</w:t>
            </w:r>
          </w:p>
        </w:tc>
        <w:tc>
          <w:tcPr>
            <w:tcW w:w="1659" w:type="dxa"/>
          </w:tcPr>
          <w:p>
            <w:pPr>
              <w:pStyle w:val="TableParagraph"/>
              <w:spacing w:before="101"/>
              <w:ind w:left="107"/>
              <w:rPr>
                <w:sz w:val="21"/>
              </w:rPr>
            </w:pPr>
            <w:r>
              <w:rPr>
                <w:sz w:val="21"/>
              </w:rPr>
              <w:t>无有效行驶证：</w:t>
            </w:r>
          </w:p>
        </w:tc>
        <w:tc>
          <w:tcPr>
            <w:tcW w:w="6927" w:type="dxa"/>
          </w:tcPr>
          <w:p>
            <w:pPr>
              <w:pStyle w:val="TableParagraph"/>
              <w:spacing w:before="99"/>
              <w:ind w:left="126"/>
              <w:rPr>
                <w:sz w:val="21"/>
              </w:rPr>
            </w:pPr>
            <w:r>
              <w:rPr>
                <w:sz w:val="21"/>
              </w:rPr>
              <w:t>指下列情形之一：</w:t>
            </w:r>
          </w:p>
        </w:tc>
      </w:tr>
      <w:tr>
        <w:trPr>
          <w:trHeight w:val="665" w:hRule="atLeast"/>
        </w:trPr>
        <w:tc>
          <w:tcPr>
            <w:tcW w:w="528" w:type="dxa"/>
          </w:tcPr>
          <w:p>
            <w:pPr>
              <w:pStyle w:val="TableParagraph"/>
              <w:rPr>
                <w:rFonts w:ascii="Times New Roman"/>
                <w:sz w:val="20"/>
              </w:rPr>
            </w:pPr>
          </w:p>
        </w:tc>
        <w:tc>
          <w:tcPr>
            <w:tcW w:w="1659" w:type="dxa"/>
          </w:tcPr>
          <w:p>
            <w:pPr>
              <w:pStyle w:val="TableParagraph"/>
              <w:rPr>
                <w:rFonts w:ascii="Times New Roman"/>
                <w:sz w:val="20"/>
              </w:rPr>
            </w:pPr>
          </w:p>
        </w:tc>
        <w:tc>
          <w:tcPr>
            <w:tcW w:w="6927" w:type="dxa"/>
          </w:tcPr>
          <w:p>
            <w:pPr>
              <w:pStyle w:val="TableParagraph"/>
              <w:spacing w:line="252" w:lineRule="exact"/>
              <w:ind w:left="126"/>
              <w:rPr>
                <w:sz w:val="21"/>
              </w:rPr>
            </w:pPr>
            <w:r>
              <w:rPr>
                <w:rFonts w:ascii="Times New Roman" w:eastAsia="Times New Roman"/>
                <w:sz w:val="21"/>
              </w:rPr>
              <w:t>1</w:t>
            </w:r>
            <w:r>
              <w:rPr>
                <w:sz w:val="21"/>
              </w:rPr>
              <w:t>、机动车被依法注销登记的；</w:t>
            </w:r>
          </w:p>
          <w:p>
            <w:pPr>
              <w:pStyle w:val="TableParagraph"/>
              <w:spacing w:line="282" w:lineRule="exact"/>
              <w:ind w:left="126"/>
              <w:rPr>
                <w:sz w:val="21"/>
              </w:rPr>
            </w:pPr>
            <w:r>
              <w:rPr>
                <w:rFonts w:ascii="Times New Roman" w:eastAsia="Times New Roman"/>
                <w:sz w:val="21"/>
              </w:rPr>
              <w:t>2</w:t>
            </w:r>
            <w:r>
              <w:rPr>
                <w:sz w:val="21"/>
              </w:rPr>
              <w:t>、未依法按时进行或通过机动车安全技术检验。</w:t>
            </w:r>
          </w:p>
        </w:tc>
      </w:tr>
      <w:tr>
        <w:trPr>
          <w:trHeight w:val="655" w:hRule="atLeast"/>
        </w:trPr>
        <w:tc>
          <w:tcPr>
            <w:tcW w:w="528" w:type="dxa"/>
          </w:tcPr>
          <w:p>
            <w:pPr>
              <w:pStyle w:val="TableParagraph"/>
              <w:spacing w:before="123"/>
              <w:ind w:right="106"/>
              <w:jc w:val="right"/>
              <w:rPr>
                <w:rFonts w:ascii="Times New Roman"/>
                <w:b/>
                <w:sz w:val="21"/>
              </w:rPr>
            </w:pPr>
            <w:r>
              <w:rPr>
                <w:rFonts w:ascii="Times New Roman"/>
                <w:b/>
                <w:sz w:val="21"/>
              </w:rPr>
              <w:t>7.10</w:t>
            </w:r>
          </w:p>
        </w:tc>
        <w:tc>
          <w:tcPr>
            <w:tcW w:w="1659" w:type="dxa"/>
          </w:tcPr>
          <w:p>
            <w:pPr>
              <w:pStyle w:val="TableParagraph"/>
              <w:spacing w:line="274" w:lineRule="exact" w:before="119"/>
              <w:ind w:left="107" w:right="83"/>
              <w:rPr>
                <w:sz w:val="21"/>
              </w:rPr>
            </w:pPr>
            <w:r>
              <w:rPr>
                <w:spacing w:val="-33"/>
                <w:sz w:val="21"/>
              </w:rPr>
              <w:t>感 染 艾 滋 病 病毒（</w:t>
            </w:r>
            <w:r>
              <w:rPr>
                <w:rFonts w:ascii="Times New Roman" w:eastAsia="Times New Roman"/>
                <w:b/>
                <w:spacing w:val="-33"/>
                <w:sz w:val="21"/>
              </w:rPr>
              <w:t>HIV</w:t>
            </w:r>
            <w:r>
              <w:rPr>
                <w:spacing w:val="-33"/>
                <w:sz w:val="21"/>
              </w:rPr>
              <w:t>）或患</w:t>
            </w:r>
          </w:p>
        </w:tc>
        <w:tc>
          <w:tcPr>
            <w:tcW w:w="6927" w:type="dxa"/>
          </w:tcPr>
          <w:p>
            <w:pPr>
              <w:pStyle w:val="TableParagraph"/>
              <w:spacing w:line="274" w:lineRule="exact" w:before="117"/>
              <w:ind w:left="73" w:right="50"/>
              <w:rPr>
                <w:sz w:val="21"/>
              </w:rPr>
            </w:pPr>
            <w:r>
              <w:rPr>
                <w:spacing w:val="-2"/>
                <w:sz w:val="21"/>
              </w:rPr>
              <w:t>艾滋病病毒指人类免疫缺陷病毒，英文缩写为 </w:t>
            </w:r>
            <w:r>
              <w:rPr>
                <w:rFonts w:ascii="Times New Roman" w:eastAsia="Times New Roman"/>
                <w:sz w:val="21"/>
              </w:rPr>
              <w:t>HIV</w:t>
            </w:r>
            <w:r>
              <w:rPr>
                <w:spacing w:val="-2"/>
                <w:sz w:val="21"/>
              </w:rPr>
              <w:t>。艾滋病指人类免疫缺</w:t>
            </w:r>
            <w:r>
              <w:rPr>
                <w:spacing w:val="-6"/>
                <w:sz w:val="21"/>
              </w:rPr>
              <w:t>陷病毒引起的获得性免疫缺陷综合征，英文缩写为 </w:t>
            </w:r>
            <w:r>
              <w:rPr>
                <w:rFonts w:ascii="Times New Roman" w:eastAsia="Times New Roman"/>
                <w:sz w:val="21"/>
              </w:rPr>
              <w:t>AIDS</w:t>
            </w:r>
            <w:r>
              <w:rPr>
                <w:spacing w:val="-6"/>
                <w:sz w:val="21"/>
              </w:rPr>
              <w:t>。在人体血液或其</w:t>
            </w:r>
          </w:p>
        </w:tc>
      </w:tr>
    </w:tbl>
    <w:p>
      <w:pPr>
        <w:pStyle w:val="BodyText"/>
        <w:spacing w:line="220" w:lineRule="auto" w:before="15"/>
        <w:ind w:left="2375" w:right="115" w:hanging="1625"/>
      </w:pPr>
      <w:r>
        <w:rPr>
          <w:spacing w:val="-31"/>
          <w:w w:val="100"/>
        </w:rPr>
        <w:t>艾滋病</w:t>
      </w:r>
      <w:r>
        <w:rPr>
          <w:spacing w:val="-3"/>
          <w:w w:val="100"/>
        </w:rPr>
        <w:t>（</w:t>
      </w:r>
      <w:r>
        <w:rPr>
          <w:rFonts w:ascii="Times New Roman" w:eastAsia="Times New Roman"/>
          <w:b/>
          <w:spacing w:val="-2"/>
          <w:w w:val="100"/>
        </w:rPr>
        <w:t>A</w:t>
      </w:r>
      <w:r>
        <w:rPr>
          <w:rFonts w:ascii="Times New Roman" w:eastAsia="Times New Roman"/>
          <w:b/>
          <w:spacing w:val="-3"/>
          <w:w w:val="100"/>
        </w:rPr>
        <w:t>I</w:t>
      </w:r>
      <w:r>
        <w:rPr>
          <w:rFonts w:ascii="Times New Roman" w:eastAsia="Times New Roman"/>
          <w:b/>
          <w:spacing w:val="0"/>
          <w:w w:val="100"/>
        </w:rPr>
        <w:t>D</w:t>
      </w:r>
      <w:r>
        <w:rPr>
          <w:rFonts w:ascii="Times New Roman" w:eastAsia="Times New Roman"/>
          <w:b/>
          <w:w w:val="100"/>
        </w:rPr>
        <w:t>S</w:t>
      </w:r>
      <w:r>
        <w:rPr>
          <w:spacing w:val="-106"/>
          <w:w w:val="100"/>
        </w:rPr>
        <w:t>）</w:t>
      </w:r>
      <w:r>
        <w:rPr>
          <w:w w:val="100"/>
        </w:rPr>
        <w:t>：</w:t>
      </w:r>
      <w:r>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pStyle w:val="BodyText"/>
        <w:rPr>
          <w:sz w:val="19"/>
        </w:rPr>
      </w:pPr>
    </w:p>
    <w:p>
      <w:pPr>
        <w:pStyle w:val="ListParagraph"/>
        <w:numPr>
          <w:ilvl w:val="1"/>
          <w:numId w:val="6"/>
        </w:numPr>
        <w:tabs>
          <w:tab w:pos="750" w:val="left" w:leader="none"/>
          <w:tab w:pos="751" w:val="left" w:leader="none"/>
          <w:tab w:pos="2375" w:val="left" w:leader="none"/>
        </w:tabs>
        <w:spacing w:line="235" w:lineRule="auto" w:before="0" w:after="0"/>
        <w:ind w:left="2375" w:right="223" w:hanging="2199"/>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10"/>
        <w:rPr>
          <w:sz w:val="13"/>
        </w:rPr>
      </w:pPr>
    </w:p>
    <w:p>
      <w:pPr>
        <w:spacing w:after="0"/>
        <w:rPr>
          <w:sz w:val="13"/>
        </w:rPr>
        <w:sectPr>
          <w:pgSz w:w="11900" w:h="16840"/>
          <w:pgMar w:top="1300" w:bottom="280" w:left="1520" w:right="980"/>
        </w:sectPr>
      </w:pPr>
    </w:p>
    <w:p>
      <w:pPr>
        <w:pStyle w:val="ListParagraph"/>
        <w:numPr>
          <w:ilvl w:val="1"/>
          <w:numId w:val="6"/>
        </w:numPr>
        <w:tabs>
          <w:tab w:pos="751" w:val="left" w:leader="none"/>
        </w:tabs>
        <w:spacing w:line="237" w:lineRule="auto" w:before="65" w:after="0"/>
        <w:ind w:left="750" w:right="0" w:hanging="586"/>
        <w:jc w:val="both"/>
        <w:rPr>
          <w:sz w:val="21"/>
        </w:rPr>
      </w:pPr>
      <w:r>
        <w:rPr>
          <w:spacing w:val="-3"/>
          <w:sz w:val="21"/>
        </w:rPr>
        <w:t>先天性畸形、变</w:t>
      </w:r>
      <w:r>
        <w:rPr>
          <w:spacing w:val="-33"/>
          <w:sz w:val="21"/>
        </w:rPr>
        <w:t>形 或 染 色 体 异常：</w:t>
      </w:r>
    </w:p>
    <w:p>
      <w:pPr>
        <w:pStyle w:val="BodyText"/>
        <w:spacing w:line="237" w:lineRule="auto" w:before="63"/>
        <w:ind w:left="118" w:right="115"/>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18"/>
      </w:pPr>
      <w:r>
        <w:rPr/>
        <w:t>（</w:t>
      </w:r>
      <w:r>
        <w:rPr>
          <w:rFonts w:ascii="Times New Roman" w:eastAsia="Times New Roman"/>
        </w:rPr>
        <w:t>ICD-10</w:t>
      </w:r>
      <w:r>
        <w:rPr/>
        <w:t>）确定。</w:t>
      </w:r>
    </w:p>
    <w:p>
      <w:pPr>
        <w:spacing w:after="0" w:line="289" w:lineRule="exact"/>
        <w:sectPr>
          <w:type w:val="continuous"/>
          <w:pgSz w:w="11900" w:h="16840"/>
          <w:pgMar w:top="1220" w:bottom="280" w:left="1520" w:right="980"/>
          <w:cols w:num="2" w:equalWidth="0">
            <w:col w:w="2217" w:space="40"/>
            <w:col w:w="7143"/>
          </w:cols>
        </w:sectPr>
      </w:pPr>
    </w:p>
    <w:p>
      <w:pPr>
        <w:pStyle w:val="BodyText"/>
        <w:spacing w:before="6"/>
        <w:rPr>
          <w:sz w:val="12"/>
        </w:rPr>
      </w:pPr>
    </w:p>
    <w:p>
      <w:pPr>
        <w:pStyle w:val="ListParagraph"/>
        <w:numPr>
          <w:ilvl w:val="1"/>
          <w:numId w:val="6"/>
        </w:numPr>
        <w:tabs>
          <w:tab w:pos="751" w:val="left" w:leader="none"/>
        </w:tabs>
        <w:spacing w:line="237" w:lineRule="auto" w:before="65" w:after="0"/>
        <w:ind w:left="2427" w:right="223" w:hanging="2263"/>
        <w:jc w:val="both"/>
        <w:rPr>
          <w:sz w:val="21"/>
        </w:rPr>
      </w:pPr>
      <w:r>
        <w:rPr>
          <w:spacing w:val="-3"/>
          <w:sz w:val="21"/>
        </w:rPr>
        <w:t>现金价值：     指本附加合同所具有的价值，通常体现为解除合同时，根据精算原理计算的，由我们退还的那部分金额。</w:t>
      </w:r>
    </w:p>
    <w:p>
      <w:pPr>
        <w:pStyle w:val="BodyText"/>
        <w:spacing w:before="10"/>
        <w:rPr>
          <w:sz w:val="18"/>
        </w:rPr>
      </w:pPr>
    </w:p>
    <w:p>
      <w:pPr>
        <w:pStyle w:val="ListParagraph"/>
        <w:numPr>
          <w:ilvl w:val="1"/>
          <w:numId w:val="6"/>
        </w:numPr>
        <w:tabs>
          <w:tab w:pos="751" w:val="left" w:leader="none"/>
        </w:tabs>
        <w:spacing w:line="237" w:lineRule="auto" w:before="0" w:after="0"/>
        <w:ind w:left="2375" w:right="223" w:hanging="2211"/>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2"/>
        <w:rPr>
          <w:sz w:val="18"/>
        </w:rPr>
      </w:pPr>
    </w:p>
    <w:p>
      <w:pPr>
        <w:pStyle w:val="BodyText"/>
        <w:ind w:left="2427"/>
      </w:pPr>
      <w:r>
        <w:rPr/>
        <w:t>医生是指领有执业医师执照、在医院内行医并拥有处方权的医生，且非您</w:t>
      </w:r>
    </w:p>
    <w:p>
      <w:pPr>
        <w:spacing w:after="0"/>
        <w:sectPr>
          <w:type w:val="continuous"/>
          <w:pgSz w:w="11900" w:h="16840"/>
          <w:pgMar w:top="1220" w:bottom="280" w:left="1520" w:right="980"/>
        </w:sectPr>
      </w:pPr>
    </w:p>
    <w:p>
      <w:pPr>
        <w:pStyle w:val="BodyText"/>
        <w:spacing w:before="6"/>
        <w:ind w:left="2847"/>
      </w:pPr>
      <w:r>
        <w:rPr/>
        <w:t>或被保险人以及您或被保险人的配偶、父母、子女。</w:t>
      </w:r>
    </w:p>
    <w:p>
      <w:pPr>
        <w:pStyle w:val="BodyText"/>
        <w:spacing w:before="8"/>
        <w:rPr>
          <w:sz w:val="13"/>
        </w:rPr>
      </w:pPr>
    </w:p>
    <w:p>
      <w:pPr>
        <w:spacing w:after="0"/>
        <w:rPr>
          <w:sz w:val="13"/>
        </w:rPr>
        <w:sectPr>
          <w:pgSz w:w="11900" w:h="16840"/>
          <w:pgMar w:top="1260" w:bottom="280" w:left="1100" w:right="980"/>
        </w:sectPr>
      </w:pPr>
    </w:p>
    <w:p>
      <w:pPr>
        <w:pStyle w:val="ListParagraph"/>
        <w:numPr>
          <w:ilvl w:val="1"/>
          <w:numId w:val="6"/>
        </w:numPr>
        <w:tabs>
          <w:tab w:pos="1170" w:val="left" w:leader="none"/>
          <w:tab w:pos="1171" w:val="left" w:leader="none"/>
        </w:tabs>
        <w:spacing w:line="240" w:lineRule="auto" w:before="62" w:after="0"/>
        <w:ind w:left="1170" w:right="0" w:hanging="586"/>
        <w:jc w:val="left"/>
        <w:rPr>
          <w:sz w:val="21"/>
        </w:rPr>
      </w:pPr>
      <w:r>
        <w:rPr>
          <w:spacing w:val="-33"/>
          <w:sz w:val="21"/>
        </w:rPr>
        <w:t>肢 体 机 能 完 全丧失：</w:t>
      </w:r>
    </w:p>
    <w:p>
      <w:pPr>
        <w:pStyle w:val="BodyText"/>
        <w:spacing w:before="60"/>
        <w:ind w:left="171" w:right="223"/>
      </w:pPr>
      <w:r>
        <w:rPr/>
        <w:br w:type="column"/>
      </w:r>
      <w:r>
        <w:rPr/>
        <w:t>指肢体的三大关节中的两大关节僵硬，或不能随意识活动。肢体是指包括肩关节的整个上肢或包括髋关节的整个下肢。</w:t>
      </w:r>
    </w:p>
    <w:p>
      <w:pPr>
        <w:spacing w:after="0"/>
        <w:sectPr>
          <w:type w:val="continuous"/>
          <w:pgSz w:w="11900" w:h="16840"/>
          <w:pgMar w:top="1220" w:bottom="280" w:left="1100" w:right="980"/>
          <w:cols w:num="2" w:equalWidth="0">
            <w:col w:w="2637" w:space="40"/>
            <w:col w:w="7143"/>
          </w:cols>
        </w:sectPr>
      </w:pPr>
    </w:p>
    <w:p>
      <w:pPr>
        <w:pStyle w:val="BodyText"/>
        <w:spacing w:before="6"/>
        <w:rPr>
          <w:sz w:val="13"/>
        </w:rPr>
      </w:pPr>
    </w:p>
    <w:p>
      <w:pPr>
        <w:spacing w:after="0"/>
        <w:rPr>
          <w:sz w:val="13"/>
        </w:rPr>
        <w:sectPr>
          <w:type w:val="continuous"/>
          <w:pgSz w:w="11900" w:h="16840"/>
          <w:pgMar w:top="1220" w:bottom="280" w:left="1100" w:right="980"/>
        </w:sectPr>
      </w:pPr>
    </w:p>
    <w:p>
      <w:pPr>
        <w:pStyle w:val="ListParagraph"/>
        <w:numPr>
          <w:ilvl w:val="1"/>
          <w:numId w:val="6"/>
        </w:numPr>
        <w:tabs>
          <w:tab w:pos="1170" w:val="left" w:leader="none"/>
          <w:tab w:pos="1171" w:val="left" w:leader="none"/>
        </w:tabs>
        <w:spacing w:line="240" w:lineRule="auto" w:before="62" w:after="0"/>
        <w:ind w:left="1170" w:right="0" w:hanging="586"/>
        <w:jc w:val="left"/>
        <w:rPr>
          <w:sz w:val="21"/>
        </w:rPr>
      </w:pPr>
      <w:r>
        <w:rPr>
          <w:spacing w:val="-33"/>
          <w:sz w:val="21"/>
        </w:rPr>
        <w:t>语 言 能 力 完 全丧失：</w:t>
      </w:r>
    </w:p>
    <w:p>
      <w:pPr>
        <w:pStyle w:val="BodyText"/>
        <w:spacing w:before="60"/>
        <w:ind w:left="171" w:right="223"/>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1100" w:right="980"/>
          <w:cols w:num="2" w:equalWidth="0">
            <w:col w:w="2637" w:space="40"/>
            <w:col w:w="7143"/>
          </w:cols>
        </w:sectPr>
      </w:pPr>
    </w:p>
    <w:p>
      <w:pPr>
        <w:pStyle w:val="BodyText"/>
        <w:spacing w:before="6"/>
        <w:rPr>
          <w:sz w:val="13"/>
        </w:rPr>
      </w:pPr>
    </w:p>
    <w:p>
      <w:pPr>
        <w:spacing w:after="0"/>
        <w:rPr>
          <w:sz w:val="13"/>
        </w:rPr>
        <w:sectPr>
          <w:type w:val="continuous"/>
          <w:pgSz w:w="11900" w:h="16840"/>
          <w:pgMar w:top="1220" w:bottom="280" w:left="1100" w:right="980"/>
        </w:sectPr>
      </w:pPr>
    </w:p>
    <w:p>
      <w:pPr>
        <w:pStyle w:val="ListParagraph"/>
        <w:numPr>
          <w:ilvl w:val="1"/>
          <w:numId w:val="6"/>
        </w:numPr>
        <w:tabs>
          <w:tab w:pos="1170" w:val="left" w:leader="none"/>
          <w:tab w:pos="1171" w:val="left" w:leader="none"/>
        </w:tabs>
        <w:spacing w:line="240" w:lineRule="auto" w:before="62" w:after="0"/>
        <w:ind w:left="1170" w:right="0" w:hanging="586"/>
        <w:jc w:val="left"/>
        <w:rPr>
          <w:sz w:val="21"/>
        </w:rPr>
      </w:pPr>
      <w:r>
        <w:rPr>
          <w:spacing w:val="-33"/>
          <w:sz w:val="21"/>
        </w:rPr>
        <w:t>咀 嚼 吞 咽 能 力</w:t>
      </w:r>
      <w:r>
        <w:rPr>
          <w:spacing w:val="-15"/>
          <w:sz w:val="21"/>
        </w:rPr>
        <w:t>完全丧失：</w:t>
      </w:r>
    </w:p>
    <w:p>
      <w:pPr>
        <w:pStyle w:val="BodyText"/>
        <w:spacing w:before="60"/>
        <w:ind w:left="171" w:right="115"/>
      </w:pPr>
      <w:r>
        <w:rPr/>
        <w:br w:type="column"/>
      </w:r>
      <w:r>
        <w:rPr>
          <w:spacing w:val="-7"/>
        </w:rPr>
        <w:t>指因牙齿以外的原因导致器质障碍或机能障碍，以致不能作咀嚼吞咽运动， </w:t>
      </w:r>
      <w:r>
        <w:rPr>
          <w:spacing w:val="-5"/>
        </w:rPr>
        <w:t>除流质食物外不能摄取或吞咽的状态。</w:t>
      </w:r>
    </w:p>
    <w:p>
      <w:pPr>
        <w:spacing w:after="0"/>
        <w:sectPr>
          <w:type w:val="continuous"/>
          <w:pgSz w:w="11900" w:h="16840"/>
          <w:pgMar w:top="1220" w:bottom="280" w:left="1100" w:right="980"/>
          <w:cols w:num="2" w:equalWidth="0">
            <w:col w:w="2637" w:space="40"/>
            <w:col w:w="7143"/>
          </w:cols>
        </w:sectPr>
      </w:pPr>
    </w:p>
    <w:p>
      <w:pPr>
        <w:pStyle w:val="BodyText"/>
        <w:spacing w:before="6"/>
        <w:rPr>
          <w:sz w:val="13"/>
        </w:rPr>
      </w:pPr>
    </w:p>
    <w:p>
      <w:pPr>
        <w:spacing w:after="0"/>
        <w:rPr>
          <w:sz w:val="13"/>
        </w:rPr>
        <w:sectPr>
          <w:type w:val="continuous"/>
          <w:pgSz w:w="11900" w:h="16840"/>
          <w:pgMar w:top="1220" w:bottom="280" w:left="1100" w:right="980"/>
        </w:sectPr>
      </w:pPr>
    </w:p>
    <w:p>
      <w:pPr>
        <w:pStyle w:val="ListParagraph"/>
        <w:numPr>
          <w:ilvl w:val="1"/>
          <w:numId w:val="6"/>
        </w:numPr>
        <w:tabs>
          <w:tab w:pos="1170" w:val="left" w:leader="none"/>
          <w:tab w:pos="1171" w:val="left" w:leader="none"/>
        </w:tabs>
        <w:spacing w:line="240" w:lineRule="auto" w:before="62" w:after="0"/>
        <w:ind w:left="1170" w:right="0" w:hanging="586"/>
        <w:jc w:val="left"/>
        <w:rPr>
          <w:sz w:val="21"/>
        </w:rPr>
      </w:pPr>
      <w:r>
        <w:rPr>
          <w:spacing w:val="-33"/>
          <w:sz w:val="21"/>
        </w:rPr>
        <w:t>六 项 基 本 日 常</w:t>
      </w:r>
      <w:r>
        <w:rPr>
          <w:spacing w:val="-15"/>
          <w:sz w:val="21"/>
        </w:rPr>
        <w:t>生活活动：</w:t>
      </w:r>
    </w:p>
    <w:p>
      <w:pPr>
        <w:pStyle w:val="BodyText"/>
        <w:spacing w:line="225" w:lineRule="auto" w:before="77"/>
        <w:ind w:left="171" w:right="115"/>
      </w:pPr>
      <w:r>
        <w:rPr/>
        <w:br w:type="column"/>
      </w:r>
      <w:r>
        <w:rPr>
          <w:spacing w:val="-11"/>
          <w:w w:val="100"/>
        </w:rPr>
        <w:t>六项基本日常生活活动是指：</w:t>
      </w:r>
      <w:r>
        <w:rPr>
          <w:w w:val="100"/>
        </w:rPr>
        <w:t>（</w:t>
      </w:r>
      <w:r>
        <w:rPr>
          <w:rFonts w:ascii="Times New Roman" w:eastAsia="Times New Roman"/>
          <w:spacing w:val="-3"/>
          <w:w w:val="100"/>
        </w:rPr>
        <w:t>1</w:t>
      </w:r>
      <w:r>
        <w:rPr>
          <w:spacing w:val="-29"/>
          <w:w w:val="100"/>
        </w:rPr>
        <w:t>）</w:t>
      </w:r>
      <w:r>
        <w:rPr>
          <w:spacing w:val="-15"/>
          <w:w w:val="100"/>
        </w:rPr>
        <w:t>穿衣：自己能够穿衣及脱衣；</w:t>
      </w:r>
      <w:r>
        <w:rPr>
          <w:w w:val="100"/>
        </w:rPr>
        <w:t>（</w:t>
      </w:r>
      <w:r>
        <w:rPr>
          <w:rFonts w:ascii="Times New Roman" w:eastAsia="Times New Roman"/>
          <w:spacing w:val="-3"/>
          <w:w w:val="100"/>
        </w:rPr>
        <w:t>2</w:t>
      </w:r>
      <w:r>
        <w:rPr>
          <w:spacing w:val="-29"/>
          <w:w w:val="100"/>
        </w:rPr>
        <w:t>）</w:t>
      </w:r>
      <w:r>
        <w:rPr>
          <w:w w:val="100"/>
        </w:rPr>
        <w:t>移动：</w:t>
      </w:r>
      <w:r>
        <w:rPr>
          <w:spacing w:val="-10"/>
          <w:w w:val="100"/>
        </w:rPr>
        <w:t>自己从一个房间到另一个房间；</w:t>
      </w:r>
      <w:r>
        <w:rPr>
          <w:w w:val="100"/>
        </w:rPr>
        <w:t>（</w:t>
      </w:r>
      <w:r>
        <w:rPr>
          <w:rFonts w:ascii="Times New Roman" w:eastAsia="Times New Roman"/>
          <w:spacing w:val="-3"/>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100" w:right="980"/>
          <w:cols w:num="2" w:equalWidth="0">
            <w:col w:w="2637" w:space="40"/>
            <w:col w:w="7143"/>
          </w:cols>
        </w:sectPr>
      </w:pPr>
    </w:p>
    <w:p>
      <w:pPr>
        <w:pStyle w:val="BodyText"/>
        <w:spacing w:before="8"/>
        <w:rPr>
          <w:sz w:val="12"/>
        </w:rPr>
      </w:pPr>
    </w:p>
    <w:p>
      <w:pPr>
        <w:pStyle w:val="ListParagraph"/>
        <w:numPr>
          <w:ilvl w:val="1"/>
          <w:numId w:val="6"/>
        </w:numPr>
        <w:tabs>
          <w:tab w:pos="1170" w:val="left" w:leader="none"/>
          <w:tab w:pos="1171" w:val="left" w:leader="none"/>
          <w:tab w:pos="2847" w:val="left" w:leader="none"/>
        </w:tabs>
        <w:spacing w:line="220" w:lineRule="auto" w:before="85" w:after="0"/>
        <w:ind w:left="2848" w:right="221" w:hanging="2264"/>
        <w:jc w:val="left"/>
        <w:rPr>
          <w:sz w:val="21"/>
        </w:rPr>
      </w:pPr>
      <w:r>
        <w:rPr>
          <w:sz w:val="21"/>
        </w:rPr>
        <w:t>永久</w:t>
      </w:r>
      <w:r>
        <w:rPr>
          <w:spacing w:val="-3"/>
          <w:sz w:val="21"/>
        </w:rPr>
        <w:t>不</w:t>
      </w:r>
      <w:r>
        <w:rPr>
          <w:sz w:val="21"/>
        </w:rPr>
        <w:t>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极治疗</w:t>
      </w:r>
      <w:r>
        <w:rPr>
          <w:spacing w:val="-26"/>
          <w:sz w:val="21"/>
        </w:rPr>
        <w:t> </w:t>
      </w:r>
      <w:r>
        <w:rPr>
          <w:rFonts w:ascii="Times New Roman" w:eastAsia="Times New Roman"/>
          <w:sz w:val="21"/>
        </w:rPr>
        <w:t>180</w:t>
      </w:r>
      <w:r>
        <w:rPr>
          <w:rFonts w:ascii="Times New Roman" w:eastAsia="Times New Roman"/>
          <w:spacing w:val="25"/>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rPr>
          <w:sz w:val="20"/>
        </w:rPr>
      </w:pPr>
    </w:p>
    <w:p>
      <w:pPr>
        <w:pStyle w:val="BodyText"/>
        <w:rPr>
          <w:sz w:val="20"/>
        </w:rPr>
      </w:pPr>
    </w:p>
    <w:p>
      <w:pPr>
        <w:pStyle w:val="BodyText"/>
        <w:spacing w:line="223" w:lineRule="auto" w:before="179"/>
        <w:ind w:left="2847" w:right="221" w:hanging="2734"/>
        <w:jc w:val="both"/>
      </w:pPr>
      <w:r>
        <w:rPr>
          <w:spacing w:val="-7"/>
        </w:rPr>
        <w:t>附表一： 重大疾病列表    本附加合同所指重大疾病包括以下疾病、疾病状态或手术。其中第 </w:t>
      </w:r>
      <w:r>
        <w:rPr>
          <w:rFonts w:ascii="Times New Roman" w:eastAsia="Times New Roman"/>
        </w:rPr>
        <w:t>1-25 </w:t>
      </w:r>
      <w:r>
        <w:rPr/>
        <w:t>项</w:t>
      </w:r>
      <w:r>
        <w:rPr>
          <w:spacing w:val="-4"/>
        </w:rPr>
        <w:t>为中国保险行业协会与中国医师协会共同制定的疾病定义，第 </w:t>
      </w:r>
      <w:r>
        <w:rPr>
          <w:rFonts w:ascii="Times New Roman" w:eastAsia="Times New Roman"/>
        </w:rPr>
        <w:t>26-38 </w:t>
      </w:r>
      <w:r>
        <w:rPr/>
        <w:t>项为</w:t>
      </w:r>
      <w:r>
        <w:rPr>
          <w:spacing w:val="-3"/>
        </w:rPr>
        <w:t>我们增加的疾病种类并自行制定的疾病定义。</w:t>
      </w:r>
    </w:p>
    <w:p>
      <w:pPr>
        <w:pStyle w:val="BodyText"/>
        <w:spacing w:before="3"/>
        <w:rPr>
          <w:sz w:val="19"/>
        </w:rPr>
      </w:pPr>
    </w:p>
    <w:p>
      <w:pPr>
        <w:pStyle w:val="BodyText"/>
        <w:spacing w:line="232" w:lineRule="auto"/>
        <w:ind w:left="2847" w:right="223" w:hanging="1680"/>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spacing w:before="13"/>
        <w:rPr>
          <w:sz w:val="16"/>
        </w:rPr>
      </w:pPr>
    </w:p>
    <w:p>
      <w:pPr>
        <w:pStyle w:val="BodyText"/>
        <w:spacing w:line="274" w:lineRule="exact"/>
        <w:ind w:left="2847"/>
      </w:pPr>
      <w:r>
        <w:rPr/>
        <w:t>下列疾病不在保障范围内：</w:t>
      </w:r>
    </w:p>
    <w:p>
      <w:pPr>
        <w:pStyle w:val="BodyText"/>
        <w:spacing w:line="282" w:lineRule="exact"/>
        <w:ind w:left="2847"/>
      </w:pPr>
      <w:r>
        <w:rPr/>
        <w:t>（</w:t>
      </w:r>
      <w:r>
        <w:rPr>
          <w:rFonts w:ascii="Times New Roman" w:eastAsia="Times New Roman"/>
        </w:rPr>
        <w:t>1</w:t>
      </w:r>
      <w:r>
        <w:rPr/>
        <w:t>）原位癌；</w:t>
      </w:r>
    </w:p>
    <w:p>
      <w:pPr>
        <w:pStyle w:val="BodyText"/>
        <w:spacing w:line="274" w:lineRule="exact"/>
        <w:ind w:left="2847"/>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284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847"/>
      </w:pPr>
      <w:r>
        <w:rPr/>
        <w:t>（</w:t>
      </w:r>
      <w:r>
        <w:rPr>
          <w:rFonts w:ascii="Times New Roman" w:eastAsia="Times New Roman"/>
        </w:rPr>
        <w:t>4</w:t>
      </w:r>
      <w:r>
        <w:rPr/>
        <w:t>）皮肤癌（不包括恶性黑色素瘤及已发Th转移的皮肤癌）；</w:t>
      </w:r>
    </w:p>
    <w:p>
      <w:pPr>
        <w:pStyle w:val="BodyText"/>
        <w:spacing w:line="274" w:lineRule="exact"/>
        <w:ind w:left="2847"/>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2847"/>
      </w:pPr>
      <w:r>
        <w:rPr/>
        <w:t>（</w:t>
      </w:r>
      <w:r>
        <w:rPr>
          <w:rFonts w:ascii="Times New Roman" w:eastAsia="Times New Roman"/>
        </w:rPr>
        <w:t>6</w:t>
      </w:r>
      <w:r>
        <w:rPr/>
        <w:t>）感染艾滋病病毒或患艾滋病期间所患恶性肿瘤。</w:t>
      </w:r>
    </w:p>
    <w:p>
      <w:pPr>
        <w:pStyle w:val="BodyText"/>
        <w:spacing w:before="10"/>
        <w:rPr>
          <w:sz w:val="18"/>
        </w:rPr>
      </w:pPr>
    </w:p>
    <w:p>
      <w:pPr>
        <w:pStyle w:val="BodyText"/>
        <w:spacing w:line="223" w:lineRule="auto"/>
        <w:ind w:left="2847" w:right="223" w:hanging="1680"/>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80" w:lineRule="exact"/>
        <w:ind w:left="2847"/>
      </w:pPr>
      <w:r>
        <w:rPr/>
        <w:t>（</w:t>
      </w:r>
      <w:r>
        <w:rPr>
          <w:rFonts w:ascii="Times New Roman" w:eastAsia="Times New Roman"/>
        </w:rPr>
        <w:t>1</w:t>
      </w:r>
      <w:r>
        <w:rPr/>
        <w:t>）典型临床表现，例如急性胸痛等；</w:t>
      </w:r>
    </w:p>
    <w:p>
      <w:pPr>
        <w:pStyle w:val="BodyText"/>
        <w:spacing w:line="272" w:lineRule="exact"/>
        <w:ind w:left="2847"/>
      </w:pPr>
      <w:r>
        <w:rPr/>
        <w:t>（</w:t>
      </w:r>
      <w:r>
        <w:rPr>
          <w:rFonts w:ascii="Times New Roman" w:eastAsia="Times New Roman"/>
        </w:rPr>
        <w:t>2</w:t>
      </w:r>
      <w:r>
        <w:rPr/>
        <w:t>）新近的心电图改变提示急性心肌梗塞；</w:t>
      </w:r>
    </w:p>
    <w:p>
      <w:pPr>
        <w:pStyle w:val="BodyText"/>
        <w:spacing w:line="225" w:lineRule="auto" w:before="8"/>
        <w:ind w:left="2847" w:right="221"/>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80" w:lineRule="exact"/>
        <w:ind w:left="2847"/>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1" w:lineRule="exact"/>
        <w:ind w:left="2847"/>
      </w:pPr>
      <w:r>
        <w:rPr>
          <w:rFonts w:ascii="Times New Roman" w:eastAsia="Times New Roman"/>
        </w:rPr>
        <w:t>50%</w:t>
      </w:r>
      <w:r>
        <w:rPr/>
        <w:t>。</w:t>
      </w:r>
    </w:p>
    <w:p>
      <w:pPr>
        <w:pStyle w:val="BodyText"/>
        <w:spacing w:before="11"/>
        <w:rPr>
          <w:sz w:val="18"/>
        </w:rPr>
      </w:pPr>
    </w:p>
    <w:p>
      <w:pPr>
        <w:pStyle w:val="BodyText"/>
        <w:spacing w:line="223" w:lineRule="auto"/>
        <w:ind w:left="2847" w:right="221" w:hanging="1680"/>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1" w:lineRule="exact"/>
        <w:ind w:left="2847"/>
      </w:pPr>
      <w:r>
        <w:rPr/>
        <w:t>（</w:t>
      </w:r>
      <w:r>
        <w:rPr>
          <w:rFonts w:ascii="Times New Roman" w:eastAsia="Times New Roman"/>
        </w:rPr>
        <w:t>1</w:t>
      </w:r>
      <w:r>
        <w:rPr/>
        <w:t>）一肢或一肢以上肢体机能完全丧失（见 </w:t>
      </w:r>
      <w:r>
        <w:rPr>
          <w:rFonts w:ascii="Times New Roman" w:eastAsia="Times New Roman"/>
        </w:rPr>
        <w:t>7.15</w:t>
      </w:r>
      <w:r>
        <w:rPr/>
        <w:t>）；</w:t>
      </w:r>
    </w:p>
    <w:p>
      <w:pPr>
        <w:pStyle w:val="BodyText"/>
        <w:spacing w:line="272" w:lineRule="exact"/>
        <w:ind w:left="2847"/>
      </w:pPr>
      <w:r>
        <w:rPr/>
        <w:t>（</w:t>
      </w:r>
      <w:r>
        <w:rPr>
          <w:rFonts w:ascii="Times New Roman" w:eastAsia="Times New Roman"/>
        </w:rPr>
        <w:t>2</w:t>
      </w:r>
      <w:r>
        <w:rPr/>
        <w:t>）语言能力完全丧失（见 </w:t>
      </w:r>
      <w:r>
        <w:rPr>
          <w:rFonts w:ascii="Times New Roman" w:eastAsia="Times New Roman"/>
        </w:rPr>
        <w:t>7.16</w:t>
      </w:r>
      <w:r>
        <w:rPr/>
        <w:t>）或咀嚼吞咽能力完全丧失（见 </w:t>
      </w:r>
      <w:r>
        <w:rPr>
          <w:rFonts w:ascii="Times New Roman" w:eastAsia="Times New Roman"/>
        </w:rPr>
        <w:t>7.17</w:t>
      </w:r>
      <w:r>
        <w:rPr/>
        <w:t>）；</w:t>
      </w:r>
    </w:p>
    <w:p>
      <w:pPr>
        <w:pStyle w:val="BodyText"/>
        <w:spacing w:line="281" w:lineRule="exact"/>
        <w:ind w:left="2847"/>
      </w:pPr>
      <w:r>
        <w:rPr/>
        <w:t>（</w:t>
      </w:r>
      <w:r>
        <w:rPr>
          <w:rFonts w:ascii="Times New Roman" w:eastAsia="Times New Roman"/>
        </w:rPr>
        <w:t>3</w:t>
      </w:r>
      <w:r>
        <w:rPr/>
        <w:t>）自主生活能力完全丧失，无法独立完成六项基本日常Th活活动（见</w:t>
      </w:r>
    </w:p>
    <w:p>
      <w:pPr>
        <w:spacing w:after="0" w:line="281" w:lineRule="exact"/>
        <w:sectPr>
          <w:type w:val="continuous"/>
          <w:pgSz w:w="11900" w:h="16840"/>
          <w:pgMar w:top="1220" w:bottom="280" w:left="1100" w:right="980"/>
        </w:sectPr>
      </w:pPr>
    </w:p>
    <w:p>
      <w:pPr>
        <w:pStyle w:val="BodyText"/>
        <w:spacing w:before="26"/>
        <w:ind w:left="2267"/>
      </w:pPr>
      <w:r>
        <w:rPr>
          <w:rFonts w:ascii="Times New Roman" w:eastAsia="Times New Roman"/>
        </w:rPr>
        <w:t>7.18</w:t>
      </w:r>
      <w:r>
        <w:rPr/>
        <w:t>）中的三项或三项以上。</w:t>
      </w:r>
    </w:p>
    <w:p>
      <w:pPr>
        <w:pStyle w:val="BodyText"/>
        <w:spacing w:before="9"/>
        <w:rPr>
          <w:sz w:val="13"/>
        </w:rPr>
      </w:pPr>
    </w:p>
    <w:p>
      <w:pPr>
        <w:spacing w:after="0"/>
        <w:rPr>
          <w:sz w:val="13"/>
        </w:rPr>
        <w:sectPr>
          <w:pgSz w:w="11900" w:h="16840"/>
          <w:pgMar w:top="1240" w:bottom="280" w:left="1680" w:right="980"/>
        </w:sectPr>
      </w:pPr>
    </w:p>
    <w:p>
      <w:pPr>
        <w:pStyle w:val="BodyText"/>
        <w:spacing w:line="230" w:lineRule="auto" w:before="57"/>
        <w:ind w:left="590" w:hanging="3"/>
        <w:jc w:val="both"/>
      </w:pPr>
      <w:r>
        <w:rPr>
          <w:rFonts w:ascii="Times New Roman" w:eastAsia="Times New Roman"/>
          <w:b/>
          <w:spacing w:val="2"/>
        </w:rPr>
        <w:t>4.</w:t>
      </w:r>
      <w:r>
        <w:rPr>
          <w:spacing w:val="3"/>
        </w:rPr>
        <w:t>重大器官移植</w:t>
      </w:r>
      <w:r>
        <w:rPr>
          <w:spacing w:val="-32"/>
        </w:rPr>
        <w:t>术 或 造 血 干 细</w:t>
      </w:r>
      <w:r>
        <w:rPr>
          <w:spacing w:val="-18"/>
        </w:rPr>
        <w:t>胞移植术</w:t>
      </w:r>
    </w:p>
    <w:p>
      <w:pPr>
        <w:pStyle w:val="BodyText"/>
        <w:spacing w:before="43"/>
        <w:ind w:left="171" w:right="223"/>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before="1"/>
        <w:ind w:left="171"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1680" w:right="980"/>
          <w:cols w:num="2" w:equalWidth="0">
            <w:col w:w="2057" w:space="40"/>
            <w:col w:w="7143"/>
          </w:cols>
        </w:sectPr>
      </w:pPr>
    </w:p>
    <w:p>
      <w:pPr>
        <w:pStyle w:val="BodyText"/>
        <w:spacing w:before="2"/>
        <w:rPr>
          <w:sz w:val="15"/>
        </w:rPr>
      </w:pPr>
    </w:p>
    <w:p>
      <w:pPr>
        <w:spacing w:after="0"/>
        <w:rPr>
          <w:sz w:val="15"/>
        </w:rPr>
        <w:sectPr>
          <w:type w:val="continuous"/>
          <w:pgSz w:w="11900" w:h="16840"/>
          <w:pgMar w:top="1220" w:bottom="280" w:left="1680" w:right="980"/>
        </w:sectPr>
      </w:pPr>
    </w:p>
    <w:p>
      <w:pPr>
        <w:pStyle w:val="BodyText"/>
        <w:spacing w:line="230" w:lineRule="auto" w:before="57"/>
        <w:ind w:left="590" w:hanging="3"/>
        <w:jc w:val="both"/>
      </w:pPr>
      <w:r>
        <w:rPr>
          <w:rFonts w:ascii="Times New Roman" w:eastAsia="Times New Roman"/>
          <w:b/>
        </w:rPr>
        <w:t>5.</w:t>
      </w:r>
      <w:r>
        <w:rPr/>
        <w:t>冠状动脉搭桥术（或称冠状动脉旁路移植术）</w:t>
      </w:r>
    </w:p>
    <w:p>
      <w:pPr>
        <w:pStyle w:val="BodyText"/>
        <w:spacing w:before="43"/>
        <w:ind w:left="161" w:right="223"/>
      </w:pPr>
      <w:r>
        <w:rPr/>
        <w:br w:type="column"/>
      </w:r>
      <w:r>
        <w:rPr/>
        <w:t>指为治疗严重的冠心病，实际实施了开胸进行的冠状动脉血管旁路移植的手术。</w:t>
      </w:r>
    </w:p>
    <w:p>
      <w:pPr>
        <w:pStyle w:val="BodyText"/>
        <w:spacing w:before="3"/>
        <w:rPr>
          <w:sz w:val="18"/>
        </w:rPr>
      </w:pPr>
    </w:p>
    <w:p>
      <w:pPr>
        <w:pStyle w:val="BodyText"/>
        <w:ind w:left="161" w:right="223"/>
      </w:pPr>
      <w:r>
        <w:rPr/>
        <w:t>冠状动脉支架植入术、心导管球囊扩张术、激光射频技术及其它非开胸的介入手术、腔镜手术不在保障范围内。</w:t>
      </w:r>
    </w:p>
    <w:p>
      <w:pPr>
        <w:spacing w:after="0"/>
        <w:sectPr>
          <w:type w:val="continuous"/>
          <w:pgSz w:w="11900" w:h="16840"/>
          <w:pgMar w:top="1220" w:bottom="280" w:left="1680" w:right="980"/>
          <w:cols w:num="2" w:equalWidth="0">
            <w:col w:w="2067" w:space="40"/>
            <w:col w:w="7133"/>
          </w:cols>
        </w:sectPr>
      </w:pPr>
    </w:p>
    <w:p>
      <w:pPr>
        <w:pStyle w:val="BodyText"/>
        <w:spacing w:before="12"/>
        <w:rPr>
          <w:sz w:val="14"/>
        </w:rPr>
      </w:pPr>
    </w:p>
    <w:p>
      <w:pPr>
        <w:spacing w:after="0"/>
        <w:rPr>
          <w:sz w:val="14"/>
        </w:rPr>
        <w:sectPr>
          <w:type w:val="continuous"/>
          <w:pgSz w:w="11900" w:h="16840"/>
          <w:pgMar w:top="1220" w:bottom="280" w:left="1680" w:right="980"/>
        </w:sectPr>
      </w:pPr>
    </w:p>
    <w:p>
      <w:pPr>
        <w:spacing w:line="282" w:lineRule="exact" w:before="45"/>
        <w:ind w:left="587"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590"/>
        <w:jc w:val="both"/>
      </w:pPr>
      <w:r>
        <w:rPr/>
        <w:t>（</w:t>
      </w:r>
      <w:r>
        <w:rPr>
          <w:spacing w:val="-36"/>
        </w:rPr>
        <w:t> 或 称 慢 性 肾</w:t>
      </w:r>
      <w:r>
        <w:rPr>
          <w:spacing w:val="-34"/>
        </w:rPr>
        <w:t>功 能 衰 竭 尿 毒症期）</w:t>
      </w:r>
    </w:p>
    <w:p>
      <w:pPr>
        <w:pStyle w:val="BodyText"/>
        <w:spacing w:line="274" w:lineRule="exact" w:before="43"/>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980"/>
          <w:cols w:num="2" w:equalWidth="0">
            <w:col w:w="2057" w:space="40"/>
            <w:col w:w="7143"/>
          </w:cols>
        </w:sectPr>
      </w:pPr>
    </w:p>
    <w:p>
      <w:pPr>
        <w:pStyle w:val="BodyText"/>
        <w:spacing w:before="3"/>
        <w:rPr>
          <w:sz w:val="15"/>
        </w:rPr>
      </w:pPr>
    </w:p>
    <w:p>
      <w:pPr>
        <w:pStyle w:val="BodyText"/>
        <w:tabs>
          <w:tab w:pos="2267" w:val="left" w:leader="none"/>
        </w:tabs>
        <w:spacing w:line="223" w:lineRule="auto" w:before="66"/>
        <w:ind w:left="2267" w:right="223" w:hanging="1680"/>
      </w:pPr>
      <w:r>
        <w:rPr>
          <w:rFonts w:ascii="Times New Roman" w:eastAsia="Times New Roman"/>
          <w:b/>
        </w:rPr>
        <w:t>7.</w:t>
      </w:r>
      <w:r>
        <w:rPr/>
        <w:t>多个肢体</w:t>
      </w:r>
      <w:r>
        <w:rPr>
          <w:spacing w:val="-3"/>
        </w:rPr>
        <w:t>缺</w:t>
      </w:r>
      <w:r>
        <w:rPr/>
        <w:t>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2"/>
        <w:rPr>
          <w:sz w:val="14"/>
        </w:rPr>
      </w:pPr>
    </w:p>
    <w:p>
      <w:pPr>
        <w:spacing w:after="0"/>
        <w:rPr>
          <w:sz w:val="14"/>
        </w:rPr>
        <w:sectPr>
          <w:type w:val="continuous"/>
          <w:pgSz w:w="11900" w:h="16840"/>
          <w:pgMar w:top="1220" w:bottom="280" w:left="1680" w:right="980"/>
        </w:sectPr>
      </w:pPr>
    </w:p>
    <w:p>
      <w:pPr>
        <w:pStyle w:val="BodyText"/>
        <w:spacing w:line="225" w:lineRule="auto" w:before="63"/>
        <w:ind w:left="590" w:hanging="3"/>
      </w:pPr>
      <w:r>
        <w:rPr>
          <w:rFonts w:ascii="Times New Roman" w:eastAsia="Times New Roman"/>
          <w:b/>
        </w:rPr>
        <w:t>8.</w:t>
      </w:r>
      <w:r>
        <w:rPr/>
        <w:t>急性或亚急性重症肝炎</w:t>
      </w:r>
    </w:p>
    <w:p>
      <w:pPr>
        <w:pStyle w:val="BodyText"/>
        <w:spacing w:before="43"/>
        <w:ind w:left="171" w:right="223"/>
      </w:pPr>
      <w:r>
        <w:rPr/>
        <w:br w:type="column"/>
      </w:r>
      <w:r>
        <w:rPr/>
        <w:t>指因肝炎病毒感染引起肝脏组织弥漫性坏死，导致急性肝功能衰竭，且经血清学或病毒学检查证实，并须满足下列全部条件：</w:t>
      </w:r>
    </w:p>
    <w:p>
      <w:pPr>
        <w:pStyle w:val="BodyText"/>
        <w:spacing w:line="281" w:lineRule="exact"/>
        <w:ind w:left="171"/>
      </w:pPr>
      <w:r>
        <w:rPr/>
        <w:t>（</w:t>
      </w:r>
      <w:r>
        <w:rPr>
          <w:rFonts w:ascii="Times New Roman" w:eastAsia="Times New Roman"/>
        </w:rPr>
        <w:t>1</w:t>
      </w:r>
      <w:r>
        <w:rPr/>
        <w:t>）重度黄疸或黄疸迅速加重；</w:t>
      </w:r>
    </w:p>
    <w:p>
      <w:pPr>
        <w:pStyle w:val="BodyText"/>
        <w:spacing w:line="272" w:lineRule="exact"/>
        <w:ind w:left="171"/>
      </w:pPr>
      <w:r>
        <w:rPr/>
        <w:t>（</w:t>
      </w:r>
      <w:r>
        <w:rPr>
          <w:rFonts w:ascii="Times New Roman" w:eastAsia="Times New Roman"/>
        </w:rPr>
        <w:t>2</w:t>
      </w:r>
      <w:r>
        <w:rPr/>
        <w:t>）肝性脑病；</w:t>
      </w:r>
    </w:p>
    <w:p>
      <w:pPr>
        <w:pStyle w:val="BodyText"/>
        <w:spacing w:line="272"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71"/>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80" w:right="980"/>
          <w:cols w:num="2" w:equalWidth="0">
            <w:col w:w="2057" w:space="40"/>
            <w:col w:w="7143"/>
          </w:cols>
        </w:sectPr>
      </w:pPr>
    </w:p>
    <w:p>
      <w:pPr>
        <w:pStyle w:val="BodyText"/>
        <w:spacing w:before="9"/>
        <w:rPr>
          <w:sz w:val="13"/>
        </w:rPr>
      </w:pPr>
    </w:p>
    <w:p>
      <w:pPr>
        <w:pStyle w:val="BodyText"/>
        <w:tabs>
          <w:tab w:pos="2267" w:val="left" w:leader="none"/>
        </w:tabs>
        <w:spacing w:line="225" w:lineRule="auto" w:before="63"/>
        <w:ind w:left="2267" w:right="115" w:hanging="1680"/>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79" w:lineRule="exact"/>
        <w:ind w:left="2268"/>
      </w:pPr>
      <w:r>
        <w:rPr/>
        <w:t>（</w:t>
      </w:r>
      <w:r>
        <w:rPr>
          <w:rFonts w:ascii="Times New Roman" w:eastAsia="Times New Roman"/>
        </w:rPr>
        <w:t>1</w:t>
      </w:r>
      <w:r>
        <w:rPr/>
        <w:t>）实际实施了开颅进行的脑肿瘤完全切除或部分切除的手术；</w:t>
      </w:r>
    </w:p>
    <w:p>
      <w:pPr>
        <w:pStyle w:val="BodyText"/>
        <w:spacing w:line="282" w:lineRule="exact"/>
        <w:ind w:left="2267"/>
      </w:pPr>
      <w:r>
        <w:rPr/>
        <w:t>（</w:t>
      </w:r>
      <w:r>
        <w:rPr>
          <w:rFonts w:ascii="Times New Roman" w:eastAsia="Times New Roman"/>
        </w:rPr>
        <w:t>2</w:t>
      </w:r>
      <w:r>
        <w:rPr/>
        <w:t>）实际实施了对脑肿瘤进行的放射治疗。</w:t>
      </w:r>
    </w:p>
    <w:p>
      <w:pPr>
        <w:pStyle w:val="BodyText"/>
        <w:rPr>
          <w:sz w:val="17"/>
        </w:rPr>
      </w:pPr>
    </w:p>
    <w:p>
      <w:pPr>
        <w:pStyle w:val="BodyText"/>
        <w:ind w:left="2268"/>
      </w:pPr>
      <w:r>
        <w:rPr/>
        <w:t>脑垂体瘤、脑囊肿、脑血管性疾病不在保障范围内。</w:t>
      </w:r>
    </w:p>
    <w:p>
      <w:pPr>
        <w:pStyle w:val="BodyText"/>
        <w:spacing w:before="1"/>
        <w:rPr>
          <w:sz w:val="15"/>
        </w:rPr>
      </w:pPr>
    </w:p>
    <w:p>
      <w:pPr>
        <w:spacing w:after="0"/>
        <w:rPr>
          <w:sz w:val="15"/>
        </w:rPr>
        <w:sectPr>
          <w:type w:val="continuous"/>
          <w:pgSz w:w="11900" w:h="16840"/>
          <w:pgMar w:top="1220" w:bottom="280" w:left="1680" w:right="980"/>
        </w:sectPr>
      </w:pPr>
    </w:p>
    <w:p>
      <w:pPr>
        <w:pStyle w:val="ListParagraph"/>
        <w:numPr>
          <w:ilvl w:val="0"/>
          <w:numId w:val="7"/>
        </w:numPr>
        <w:tabs>
          <w:tab w:pos="884" w:val="left" w:leader="none"/>
        </w:tabs>
        <w:spacing w:line="225" w:lineRule="auto" w:before="63" w:after="0"/>
        <w:ind w:left="590" w:right="0" w:hanging="2"/>
        <w:jc w:val="left"/>
        <w:rPr>
          <w:sz w:val="21"/>
        </w:rPr>
      </w:pPr>
      <w:r>
        <w:rPr>
          <w:spacing w:val="20"/>
          <w:sz w:val="21"/>
        </w:rPr>
        <w:t>慢性肝功能</w:t>
      </w:r>
      <w:r>
        <w:rPr>
          <w:spacing w:val="5"/>
          <w:sz w:val="21"/>
        </w:rPr>
        <w:t>衰竭失代偿期</w:t>
      </w:r>
    </w:p>
    <w:p>
      <w:pPr>
        <w:pStyle w:val="BodyText"/>
        <w:spacing w:line="274" w:lineRule="exact" w:before="44"/>
        <w:ind w:left="173"/>
      </w:pPr>
      <w:r>
        <w:rPr/>
        <w:br w:type="column"/>
      </w:r>
      <w:r>
        <w:rPr/>
        <w:t>指因慢性肝脏疾病导致肝功能衰竭，须满足下列全部条件：</w:t>
      </w:r>
    </w:p>
    <w:p>
      <w:pPr>
        <w:pStyle w:val="BodyText"/>
        <w:spacing w:line="280" w:lineRule="exact"/>
        <w:ind w:left="173"/>
      </w:pPr>
      <w:r>
        <w:rPr/>
        <w:t>（</w:t>
      </w:r>
      <w:r>
        <w:rPr>
          <w:rFonts w:ascii="Times New Roman" w:eastAsia="Times New Roman"/>
        </w:rPr>
        <w:t>1</w:t>
      </w:r>
      <w:r>
        <w:rPr/>
        <w:t>）持续性黄疸；</w:t>
      </w:r>
    </w:p>
    <w:p>
      <w:pPr>
        <w:pStyle w:val="BodyText"/>
        <w:spacing w:line="272" w:lineRule="exact"/>
        <w:ind w:left="173"/>
      </w:pPr>
      <w:r>
        <w:rPr/>
        <w:t>（</w:t>
      </w:r>
      <w:r>
        <w:rPr>
          <w:rFonts w:ascii="Times New Roman" w:eastAsia="Times New Roman"/>
        </w:rPr>
        <w:t>2</w:t>
      </w:r>
      <w:r>
        <w:rPr/>
        <w:t>）腹水；</w:t>
      </w:r>
    </w:p>
    <w:p>
      <w:pPr>
        <w:pStyle w:val="BodyText"/>
        <w:spacing w:line="274" w:lineRule="exact"/>
        <w:ind w:left="173"/>
      </w:pPr>
      <w:r>
        <w:rPr/>
        <w:t>（</w:t>
      </w:r>
      <w:r>
        <w:rPr>
          <w:rFonts w:ascii="Times New Roman" w:eastAsia="Times New Roman"/>
        </w:rPr>
        <w:t>3</w:t>
      </w:r>
      <w:r>
        <w:rPr/>
        <w:t>）肝性脑病；</w:t>
      </w:r>
    </w:p>
    <w:p>
      <w:pPr>
        <w:pStyle w:val="BodyText"/>
        <w:spacing w:line="282" w:lineRule="exact"/>
        <w:ind w:left="173"/>
      </w:pPr>
      <w:r>
        <w:rPr/>
        <w:t>（</w:t>
      </w:r>
      <w:r>
        <w:rPr>
          <w:rFonts w:ascii="Times New Roman" w:eastAsia="Times New Roman"/>
        </w:rPr>
        <w:t>4</w:t>
      </w:r>
      <w:r>
        <w:rPr/>
        <w:t>）充血性脾大伴脾功能亢进或食管胃底静脉曲张。</w:t>
      </w:r>
    </w:p>
    <w:p>
      <w:pPr>
        <w:pStyle w:val="BodyText"/>
        <w:rPr>
          <w:sz w:val="17"/>
        </w:rPr>
      </w:pPr>
    </w:p>
    <w:p>
      <w:pPr>
        <w:pStyle w:val="BodyText"/>
        <w:ind w:left="173"/>
      </w:pPr>
      <w:r>
        <w:rPr/>
        <w:t>因酗酒或药物滥用导致的肝功能衰竭不在保障范围内。</w:t>
      </w:r>
    </w:p>
    <w:p>
      <w:pPr>
        <w:spacing w:after="0"/>
        <w:sectPr>
          <w:type w:val="continuous"/>
          <w:pgSz w:w="11900" w:h="16840"/>
          <w:pgMar w:top="1220" w:bottom="280" w:left="1680" w:right="980"/>
          <w:cols w:num="2" w:equalWidth="0">
            <w:col w:w="2055" w:space="40"/>
            <w:col w:w="7145"/>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ListParagraph"/>
        <w:numPr>
          <w:ilvl w:val="0"/>
          <w:numId w:val="7"/>
        </w:numPr>
        <w:tabs>
          <w:tab w:pos="874" w:val="left" w:leader="none"/>
        </w:tabs>
        <w:spacing w:line="232" w:lineRule="auto" w:before="54" w:after="0"/>
        <w:ind w:left="590" w:right="0" w:hanging="2"/>
        <w:jc w:val="both"/>
        <w:rPr>
          <w:sz w:val="21"/>
        </w:rPr>
      </w:pPr>
      <w:r>
        <w:rPr>
          <w:spacing w:val="23"/>
          <w:sz w:val="21"/>
        </w:rPr>
        <w:t>脑炎后遗症</w:t>
      </w:r>
      <w:r>
        <w:rPr>
          <w:spacing w:val="-30"/>
          <w:sz w:val="21"/>
        </w:rPr>
        <w:t>或 脑 膜 炎 后 遗症</w:t>
      </w:r>
    </w:p>
    <w:p>
      <w:pPr>
        <w:pStyle w:val="BodyText"/>
        <w:spacing w:before="43"/>
        <w:ind w:left="171" w:right="22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5" w:lineRule="exact"/>
        <w:ind w:left="171"/>
      </w:pPr>
      <w:r>
        <w:rPr/>
        <w:t>（</w:t>
      </w:r>
      <w:r>
        <w:rPr>
          <w:rFonts w:ascii="Times New Roman" w:eastAsia="Times New Roman"/>
        </w:rPr>
        <w:t>1</w:t>
      </w:r>
      <w:r>
        <w:rPr/>
        <w:t>）一肢或一肢以上肢体机能完全丧失；</w:t>
      </w:r>
    </w:p>
    <w:p>
      <w:pPr>
        <w:pStyle w:val="BodyText"/>
        <w:spacing w:line="272" w:lineRule="exact"/>
        <w:ind w:left="171"/>
      </w:pPr>
      <w:r>
        <w:rPr/>
        <w:t>（</w:t>
      </w:r>
      <w:r>
        <w:rPr>
          <w:rFonts w:ascii="Times New Roman" w:eastAsia="Times New Roman"/>
        </w:rPr>
        <w:t>2</w:t>
      </w:r>
      <w:r>
        <w:rPr/>
        <w:t>）语言能力或咀嚼吞咽能力完全丧失；</w:t>
      </w:r>
    </w:p>
    <w:p>
      <w:pPr>
        <w:pStyle w:val="BodyText"/>
        <w:spacing w:line="225" w:lineRule="auto" w:before="7"/>
        <w:ind w:left="171" w:right="22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80" w:right="980"/>
          <w:cols w:num="2" w:equalWidth="0">
            <w:col w:w="2057" w:space="40"/>
            <w:col w:w="7143"/>
          </w:cols>
        </w:sectPr>
      </w:pPr>
    </w:p>
    <w:p>
      <w:pPr>
        <w:pStyle w:val="BodyText"/>
        <w:spacing w:line="223" w:lineRule="auto" w:before="128"/>
        <w:ind w:left="2267" w:right="101" w:hanging="1680"/>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spacing w:before="2"/>
        <w:rPr>
          <w:sz w:val="17"/>
        </w:rPr>
      </w:pPr>
    </w:p>
    <w:p>
      <w:pPr>
        <w:pStyle w:val="BodyText"/>
        <w:ind w:left="2268"/>
      </w:pPr>
      <w:r>
        <w:rPr/>
        <w:t>因酗酒或药物滥用导致的深度昏迷不在保障范围内。</w:t>
      </w:r>
    </w:p>
    <w:p>
      <w:pPr>
        <w:pStyle w:val="BodyText"/>
        <w:spacing w:before="9"/>
        <w:rPr>
          <w:sz w:val="19"/>
        </w:rPr>
      </w:pPr>
    </w:p>
    <w:p>
      <w:pPr>
        <w:pStyle w:val="BodyText"/>
        <w:spacing w:line="225" w:lineRule="auto" w:before="1"/>
        <w:ind w:left="2267" w:right="101" w:hanging="1680"/>
        <w:jc w:val="both"/>
      </w:pPr>
      <w:r>
        <w:rPr>
          <w:rFonts w:ascii="Times New Roman" w:eastAsia="Times New Roman"/>
          <w:b/>
        </w:rPr>
        <w:t>13.</w:t>
      </w:r>
      <w:r>
        <w:rPr>
          <w:spacing w:val="-3"/>
        </w:rPr>
        <w:t>双耳失聪    指因疾病或意外伤害导致双耳听力永久不可逆</w:t>
      </w:r>
      <w:r>
        <w:rPr/>
        <w:t>（</w:t>
      </w:r>
      <w:r>
        <w:rPr>
          <w:spacing w:val="-7"/>
        </w:rPr>
        <w:t>见 </w:t>
      </w:r>
      <w:r>
        <w:rPr>
          <w:rFonts w:ascii="Times New Roman" w:eastAsia="Times New Roman"/>
        </w:rPr>
        <w:t>7.19</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7"/>
        <w:rPr>
          <w:sz w:val="19"/>
        </w:rPr>
      </w:pPr>
    </w:p>
    <w:p>
      <w:pPr>
        <w:pStyle w:val="BodyText"/>
        <w:spacing w:line="225" w:lineRule="auto"/>
        <w:ind w:left="2267" w:right="50"/>
      </w:pPr>
      <w:r>
        <w:rPr/>
        <w:t>申请理赔时被保险人年龄必须在 </w:t>
      </w:r>
      <w:r>
        <w:rPr>
          <w:rFonts w:ascii="Times New Roman" w:eastAsia="Times New Roman"/>
        </w:rPr>
        <w:t>3 </w:t>
      </w:r>
      <w:r>
        <w:rPr/>
        <w:t>周岁以上，并且提供理赔当时的听力丧失诊断及检查证明。</w:t>
      </w:r>
    </w:p>
    <w:p>
      <w:pPr>
        <w:pStyle w:val="BodyText"/>
        <w:spacing w:before="12"/>
        <w:rPr>
          <w:sz w:val="19"/>
        </w:rPr>
      </w:pPr>
    </w:p>
    <w:p>
      <w:pPr>
        <w:pStyle w:val="BodyText"/>
        <w:spacing w:line="223" w:lineRule="auto"/>
        <w:ind w:left="2267" w:right="103" w:hanging="1680"/>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79" w:lineRule="exact"/>
        <w:ind w:left="2267"/>
      </w:pPr>
      <w:r>
        <w:rPr/>
        <w:t>（</w:t>
      </w:r>
      <w:r>
        <w:rPr>
          <w:rFonts w:ascii="Times New Roman" w:eastAsia="Times New Roman"/>
        </w:rPr>
        <w:t>1</w:t>
      </w:r>
      <w:r>
        <w:rPr/>
        <w:t>）眼球缺失或摘除；</w:t>
      </w:r>
    </w:p>
    <w:p>
      <w:pPr>
        <w:pStyle w:val="BodyText"/>
        <w:spacing w:line="225" w:lineRule="auto" w:before="9"/>
        <w:ind w:left="2268" w:right="103"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2268"/>
      </w:pPr>
      <w:r>
        <w:rPr/>
        <w:t>（</w:t>
      </w:r>
      <w:r>
        <w:rPr>
          <w:rFonts w:ascii="Times New Roman" w:eastAsia="Times New Roman"/>
        </w:rPr>
        <w:t>3</w:t>
      </w:r>
      <w:r>
        <w:rPr/>
        <w:t>）视野半径小于 </w:t>
      </w:r>
      <w:r>
        <w:rPr>
          <w:rFonts w:ascii="Times New Roman" w:eastAsia="Times New Roman"/>
        </w:rPr>
        <w:t>5 </w:t>
      </w:r>
      <w:r>
        <w:rPr/>
        <w:t>度。</w:t>
      </w:r>
    </w:p>
    <w:p>
      <w:pPr>
        <w:pStyle w:val="BodyText"/>
        <w:spacing w:before="4"/>
        <w:rPr>
          <w:sz w:val="18"/>
        </w:rPr>
      </w:pPr>
    </w:p>
    <w:p>
      <w:pPr>
        <w:pStyle w:val="BodyText"/>
        <w:spacing w:line="225" w:lineRule="auto" w:before="1"/>
        <w:ind w:left="2268" w:right="49"/>
      </w:pPr>
      <w:r>
        <w:rPr/>
        <w:t>申请理赔时被保险人年龄必须在 </w:t>
      </w:r>
      <w:r>
        <w:rPr>
          <w:rFonts w:ascii="Times New Roman" w:eastAsia="Times New Roman"/>
        </w:rPr>
        <w:t>3 </w:t>
      </w:r>
      <w:r>
        <w:rPr/>
        <w:t>周岁以上，并且提供理赔当时的视力丧失诊断及检查证明。</w:t>
      </w:r>
    </w:p>
    <w:p>
      <w:pPr>
        <w:pStyle w:val="BodyText"/>
        <w:spacing w:before="13"/>
        <w:rPr>
          <w:sz w:val="19"/>
        </w:rPr>
      </w:pPr>
    </w:p>
    <w:p>
      <w:pPr>
        <w:pStyle w:val="BodyText"/>
        <w:spacing w:line="223" w:lineRule="auto"/>
        <w:ind w:left="2267" w:right="101" w:hanging="1680"/>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
        <w:rPr>
          <w:sz w:val="15"/>
        </w:rPr>
      </w:pPr>
    </w:p>
    <w:p>
      <w:pPr>
        <w:spacing w:after="0"/>
        <w:rPr>
          <w:sz w:val="15"/>
        </w:rPr>
        <w:sectPr>
          <w:pgSz w:w="11900" w:h="16840"/>
          <w:pgMar w:top="1600" w:bottom="280" w:left="1680" w:right="1100"/>
        </w:sectPr>
      </w:pPr>
    </w:p>
    <w:p>
      <w:pPr>
        <w:pStyle w:val="ListParagraph"/>
        <w:numPr>
          <w:ilvl w:val="0"/>
          <w:numId w:val="8"/>
        </w:numPr>
        <w:tabs>
          <w:tab w:pos="884" w:val="left" w:leader="none"/>
        </w:tabs>
        <w:spacing w:line="223" w:lineRule="auto" w:before="66" w:after="0"/>
        <w:ind w:left="590" w:right="0" w:hanging="2"/>
        <w:jc w:val="left"/>
        <w:rPr>
          <w:sz w:val="21"/>
        </w:rPr>
      </w:pPr>
      <w:r>
        <w:rPr>
          <w:spacing w:val="20"/>
          <w:sz w:val="21"/>
        </w:rPr>
        <w:t>心脏瓣膜手术</w:t>
      </w:r>
    </w:p>
    <w:p>
      <w:pPr>
        <w:pStyle w:val="BodyText"/>
        <w:spacing w:line="237" w:lineRule="auto" w:before="46"/>
        <w:ind w:left="173" w:right="103"/>
      </w:pPr>
      <w:r>
        <w:rPr/>
        <w:br w:type="column"/>
      </w:r>
      <w:r>
        <w:rPr/>
        <w:t>指为治疗心脏瓣膜疾病，实际实施了开胸进行的心脏瓣膜置换或修复的手术。</w:t>
      </w:r>
    </w:p>
    <w:p>
      <w:pPr>
        <w:spacing w:after="0" w:line="237" w:lineRule="auto"/>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8"/>
        </w:numPr>
        <w:tabs>
          <w:tab w:pos="884" w:val="left" w:leader="none"/>
        </w:tabs>
        <w:spacing w:line="225" w:lineRule="auto" w:before="63" w:after="0"/>
        <w:ind w:left="590" w:right="0" w:hanging="2"/>
        <w:jc w:val="left"/>
        <w:rPr>
          <w:sz w:val="21"/>
        </w:rPr>
      </w:pPr>
      <w:r>
        <w:rPr>
          <w:spacing w:val="20"/>
          <w:sz w:val="21"/>
        </w:rPr>
        <w:t>严重阿尔茨海默病</w:t>
      </w:r>
    </w:p>
    <w:p>
      <w:pPr>
        <w:pStyle w:val="BodyText"/>
        <w:spacing w:line="232" w:lineRule="auto" w:before="51"/>
        <w:ind w:left="173" w:right="101"/>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2"/>
        <w:rPr>
          <w:sz w:val="18"/>
        </w:rPr>
      </w:pPr>
    </w:p>
    <w:p>
      <w:pPr>
        <w:pStyle w:val="BodyText"/>
        <w:spacing w:before="1"/>
        <w:ind w:left="173"/>
        <w:jc w:val="both"/>
      </w:pPr>
      <w:r>
        <w:rPr/>
        <w:t>神经官能症和精神病不在保障范围内。</w:t>
      </w:r>
    </w:p>
    <w:p>
      <w:pPr>
        <w:spacing w:after="0"/>
        <w:jc w:val="both"/>
        <w:sectPr>
          <w:type w:val="continuous"/>
          <w:pgSz w:w="11900" w:h="16840"/>
          <w:pgMar w:top="1220" w:bottom="280" w:left="1680" w:right="1100"/>
          <w:cols w:num="2" w:equalWidth="0">
            <w:col w:w="2055" w:space="40"/>
            <w:col w:w="7025"/>
          </w:cols>
        </w:sectPr>
      </w:pPr>
    </w:p>
    <w:p>
      <w:pPr>
        <w:pStyle w:val="BodyText"/>
        <w:spacing w:before="12"/>
        <w:rPr>
          <w:sz w:val="14"/>
        </w:rPr>
      </w:pPr>
    </w:p>
    <w:p>
      <w:pPr>
        <w:pStyle w:val="BodyText"/>
        <w:spacing w:line="225" w:lineRule="auto" w:before="63"/>
        <w:ind w:left="2267" w:right="101" w:hanging="1680"/>
        <w:jc w:val="both"/>
      </w:pPr>
      <w:r>
        <w:rPr>
          <w:rFonts w:ascii="Times New Roman" w:eastAsia="Times New Roman"/>
          <w:b/>
        </w:rPr>
        <w:t>18.</w:t>
      </w:r>
      <w:r>
        <w:rPr>
          <w:spacing w:val="-3"/>
        </w:rPr>
        <w:t>严重脑损伤  指因头部遭受机械性外力，引起脑重要部位损伤，导致神经系统永久性的功能障碍。须由头颅断层扫描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）等影像学检查证实。神经系统永久性的功能障碍，指</w:t>
      </w:r>
      <w:r>
        <w:rPr>
          <w:spacing w:val="-12"/>
        </w:rPr>
        <w:t>脑损伤 </w:t>
      </w:r>
      <w:r>
        <w:rPr>
          <w:rFonts w:ascii="Times New Roman" w:eastAsia="Times New Roman"/>
        </w:rPr>
        <w:t>180 </w:t>
      </w:r>
      <w:r>
        <w:rPr>
          <w:spacing w:val="-3"/>
        </w:rPr>
        <w:t>天后，仍遗留下列一种或一种以上障碍：</w:t>
      </w:r>
    </w:p>
    <w:p>
      <w:pPr>
        <w:pStyle w:val="BodyText"/>
        <w:spacing w:line="263" w:lineRule="exact"/>
        <w:ind w:left="2268"/>
      </w:pPr>
      <w:r>
        <w:rPr/>
        <w:t>（</w:t>
      </w:r>
      <w:r>
        <w:rPr>
          <w:rFonts w:ascii="Times New Roman" w:eastAsia="Times New Roman"/>
        </w:rPr>
        <w:t>1</w:t>
      </w:r>
      <w:r>
        <w:rPr/>
        <w:t>）一肢或一肢以上肢体机能完全丧失；</w:t>
      </w:r>
    </w:p>
    <w:p>
      <w:pPr>
        <w:pStyle w:val="BodyText"/>
        <w:spacing w:line="274" w:lineRule="exact"/>
        <w:ind w:left="2267"/>
      </w:pPr>
      <w:r>
        <w:rPr/>
        <w:t>（</w:t>
      </w:r>
      <w:r>
        <w:rPr>
          <w:rFonts w:ascii="Times New Roman" w:eastAsia="Times New Roman"/>
        </w:rPr>
        <w:t>2</w:t>
      </w:r>
      <w:r>
        <w:rPr/>
        <w:t>）语言能力或咀嚼吞咽能力完全丧失；</w:t>
      </w:r>
    </w:p>
    <w:p>
      <w:pPr>
        <w:pStyle w:val="BodyText"/>
        <w:spacing w:line="225" w:lineRule="auto" w:before="8"/>
        <w:ind w:left="2267" w:right="10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严重帕金森病</w:t>
      </w:r>
    </w:p>
    <w:p>
      <w:pPr>
        <w:pStyle w:val="BodyText"/>
        <w:spacing w:before="43"/>
        <w:ind w:left="173" w:right="103"/>
      </w:pPr>
      <w:r>
        <w:rPr/>
        <w:br w:type="column"/>
      </w:r>
      <w:r>
        <w:rPr/>
        <w:t>是一种中枢神经系统的退行性疾病，临床表现为震颤麻痹、共济失调等。须满足下列全部条件：</w:t>
      </w:r>
    </w:p>
    <w:p>
      <w:pPr>
        <w:pStyle w:val="BodyText"/>
        <w:spacing w:line="279" w:lineRule="exact"/>
        <w:ind w:left="173"/>
      </w:pPr>
      <w:r>
        <w:rPr/>
        <w:t>（</w:t>
      </w:r>
      <w:r>
        <w:rPr>
          <w:rFonts w:ascii="Times New Roman" w:eastAsia="Times New Roman"/>
        </w:rPr>
        <w:t>1</w:t>
      </w:r>
      <w:r>
        <w:rPr/>
        <w:t>）药物治疗无法控制病情；</w:t>
      </w:r>
    </w:p>
    <w:p>
      <w:pPr>
        <w:pStyle w:val="BodyText"/>
        <w:spacing w:line="282" w:lineRule="exact"/>
        <w:ind w:left="173"/>
      </w:pPr>
      <w:r>
        <w:rPr/>
        <w:t>（</w:t>
      </w:r>
      <w:r>
        <w:rPr>
          <w:rFonts w:ascii="Times New Roman" w:eastAsia="Times New Roman"/>
        </w:rPr>
        <w:t>2</w:t>
      </w:r>
      <w:r>
        <w:rPr/>
        <w:t>）自主生活能力完全丧失，无法独立完成六项基本日常生活活动中的三</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6"/>
        <w:ind w:left="2267"/>
      </w:pPr>
      <w:r>
        <w:rPr/>
        <w:t>项或三项以上。</w:t>
      </w:r>
    </w:p>
    <w:p>
      <w:pPr>
        <w:pStyle w:val="BodyText"/>
        <w:spacing w:before="2"/>
        <w:rPr>
          <w:sz w:val="18"/>
        </w:rPr>
      </w:pPr>
    </w:p>
    <w:p>
      <w:pPr>
        <w:pStyle w:val="BodyText"/>
        <w:ind w:left="2267"/>
      </w:pPr>
      <w:r>
        <w:rPr/>
        <w:t>继发性帕金森综合症不在保障范围内。</w:t>
      </w:r>
    </w:p>
    <w:p>
      <w:pPr>
        <w:pStyle w:val="BodyText"/>
        <w:spacing w:before="12"/>
        <w:rPr>
          <w:sz w:val="14"/>
        </w:rPr>
      </w:pPr>
    </w:p>
    <w:p>
      <w:pPr>
        <w:spacing w:after="0"/>
        <w:rPr>
          <w:sz w:val="14"/>
        </w:rPr>
        <w:sectPr>
          <w:pgSz w:w="11900" w:h="16840"/>
          <w:pgMar w:top="126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z w:val="21"/>
        </w:rPr>
        <w:t>严重Ⅲ 度烧伤</w:t>
      </w:r>
    </w:p>
    <w:p>
      <w:pPr>
        <w:pStyle w:val="BodyText"/>
        <w:spacing w:line="225" w:lineRule="auto" w:before="60"/>
        <w:ind w:left="173" w:right="10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 《中国新九分法》计算。</w:t>
      </w:r>
    </w:p>
    <w:p>
      <w:pPr>
        <w:spacing w:after="0" w:line="225" w:lineRule="auto"/>
        <w:sectPr>
          <w:type w:val="continuous"/>
          <w:pgSz w:w="11900" w:h="16840"/>
          <w:pgMar w:top="1220" w:bottom="280" w:left="1680" w:right="1100"/>
          <w:cols w:num="2" w:equalWidth="0">
            <w:col w:w="2055" w:space="40"/>
            <w:col w:w="7025"/>
          </w:cols>
        </w:sectPr>
      </w:pPr>
    </w:p>
    <w:p>
      <w:pPr>
        <w:pStyle w:val="BodyText"/>
        <w:spacing w:before="10"/>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严重原发性</w:t>
      </w:r>
      <w:r>
        <w:rPr>
          <w:spacing w:val="6"/>
          <w:sz w:val="21"/>
        </w:rPr>
        <w:t>肺动脉高压</w:t>
      </w:r>
    </w:p>
    <w:p>
      <w:pPr>
        <w:pStyle w:val="BodyText"/>
        <w:spacing w:before="43"/>
        <w:ind w:left="173" w:right="103"/>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jc w:val="both"/>
        <w:sectPr>
          <w:type w:val="continuous"/>
          <w:pgSz w:w="11900" w:h="16840"/>
          <w:pgMar w:top="1220" w:bottom="280" w:left="1680" w:right="1100"/>
          <w:cols w:num="2" w:equalWidth="0">
            <w:col w:w="2055" w:space="40"/>
            <w:col w:w="7025"/>
          </w:cols>
        </w:sectPr>
      </w:pPr>
    </w:p>
    <w:p>
      <w:pPr>
        <w:pStyle w:val="BodyText"/>
        <w:spacing w:before="9"/>
        <w:rPr>
          <w:sz w:val="13"/>
        </w:rPr>
      </w:pPr>
    </w:p>
    <w:p>
      <w:pPr>
        <w:spacing w:after="0"/>
        <w:rPr>
          <w:sz w:val="13"/>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严重运动神经元病</w:t>
      </w:r>
    </w:p>
    <w:p>
      <w:pPr>
        <w:pStyle w:val="BodyText"/>
        <w:spacing w:line="237" w:lineRule="auto" w:before="46"/>
        <w:ind w:left="173" w:right="10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100"/>
          <w:cols w:num="2" w:equalWidth="0">
            <w:col w:w="2055" w:space="40"/>
            <w:col w:w="7025"/>
          </w:cols>
        </w:sectPr>
      </w:pPr>
    </w:p>
    <w:p>
      <w:pPr>
        <w:pStyle w:val="BodyText"/>
        <w:spacing w:before="1"/>
        <w:rPr>
          <w:sz w:val="15"/>
        </w:rPr>
      </w:pPr>
    </w:p>
    <w:p>
      <w:pPr>
        <w:spacing w:after="0"/>
        <w:rPr>
          <w:sz w:val="15"/>
        </w:rPr>
        <w:sectPr>
          <w:type w:val="continuous"/>
          <w:pgSz w:w="11900" w:h="16840"/>
          <w:pgMar w:top="1220" w:bottom="280" w:left="1680" w:right="1100"/>
        </w:sectPr>
      </w:pPr>
    </w:p>
    <w:p>
      <w:pPr>
        <w:pStyle w:val="ListParagraph"/>
        <w:numPr>
          <w:ilvl w:val="0"/>
          <w:numId w:val="9"/>
        </w:numPr>
        <w:tabs>
          <w:tab w:pos="884" w:val="left" w:leader="none"/>
        </w:tabs>
        <w:spacing w:line="223" w:lineRule="auto" w:before="66" w:after="0"/>
        <w:ind w:left="590" w:right="0" w:hanging="2"/>
        <w:jc w:val="left"/>
        <w:rPr>
          <w:sz w:val="21"/>
        </w:rPr>
      </w:pPr>
      <w:r>
        <w:rPr>
          <w:spacing w:val="20"/>
          <w:sz w:val="21"/>
        </w:rPr>
        <w:t>语言能力丧失</w:t>
      </w:r>
    </w:p>
    <w:p>
      <w:pPr>
        <w:pStyle w:val="BodyText"/>
        <w:spacing w:line="281" w:lineRule="exact" w:before="43"/>
        <w:ind w:left="173"/>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5" w:lineRule="exact"/>
        <w:ind w:left="173"/>
      </w:pPr>
      <w:r>
        <w:rPr/>
        <w:t>（声带完全切除不受此时间限制），仍无法通过现有医疗手段恢复。</w:t>
      </w:r>
    </w:p>
    <w:p>
      <w:pPr>
        <w:pStyle w:val="BodyText"/>
        <w:spacing w:before="6"/>
        <w:rPr>
          <w:sz w:val="18"/>
        </w:rPr>
      </w:pPr>
    </w:p>
    <w:p>
      <w:pPr>
        <w:pStyle w:val="BodyText"/>
        <w:ind w:left="173"/>
      </w:pPr>
      <w:r>
        <w:rPr/>
        <w:t>精神心理因素所致的语言能力丧失不在保障范围内。</w:t>
      </w:r>
    </w:p>
    <w:p>
      <w:pPr>
        <w:pStyle w:val="BodyText"/>
        <w:spacing w:before="7"/>
        <w:rPr>
          <w:sz w:val="19"/>
        </w:rPr>
      </w:pPr>
    </w:p>
    <w:p>
      <w:pPr>
        <w:pStyle w:val="BodyText"/>
        <w:spacing w:line="225" w:lineRule="auto"/>
        <w:ind w:left="173" w:right="49"/>
      </w:pPr>
      <w:r>
        <w:rPr/>
        <w:t>申请理赔时被保险人年龄必须在 </w:t>
      </w:r>
      <w:r>
        <w:rPr>
          <w:rFonts w:ascii="Times New Roman" w:eastAsia="Times New Roman"/>
        </w:rPr>
        <w:t>3 </w:t>
      </w:r>
      <w:r>
        <w:rPr/>
        <w:t>周岁以上，并且提供理赔当时的语言能力丧失诊断及检查证明。</w:t>
      </w:r>
    </w:p>
    <w:p>
      <w:pPr>
        <w:spacing w:after="0" w:line="225" w:lineRule="auto"/>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重型再生障</w:t>
      </w:r>
      <w:r>
        <w:rPr>
          <w:spacing w:val="8"/>
          <w:sz w:val="21"/>
        </w:rPr>
        <w:t>碍性贫血</w:t>
      </w:r>
    </w:p>
    <w:p>
      <w:pPr>
        <w:pStyle w:val="BodyText"/>
        <w:spacing w:before="43"/>
        <w:ind w:left="173" w:right="103"/>
      </w:pPr>
      <w:r>
        <w:rPr/>
        <w:br w:type="column"/>
      </w:r>
      <w:r>
        <w:rPr/>
        <w:t>指因骨髓造血功能慢性持续性衰竭导致的贫血、中性粒细胞减少及血小板减少。须满足以下全部条件：</w:t>
      </w:r>
    </w:p>
    <w:p>
      <w:pPr>
        <w:pStyle w:val="BodyText"/>
        <w:spacing w:line="279" w:lineRule="exact"/>
        <w:ind w:left="173"/>
      </w:pPr>
      <w:r>
        <w:rPr/>
        <w:t>（</w:t>
      </w:r>
      <w:r>
        <w:rPr>
          <w:rFonts w:ascii="Times New Roman" w:eastAsia="Times New Roman"/>
        </w:rPr>
        <w:t>1</w:t>
      </w:r>
      <w:r>
        <w:rPr/>
        <w:t>）骨髓穿刺检查或骨髓活检结果支持诊断；</w:t>
      </w:r>
    </w:p>
    <w:p>
      <w:pPr>
        <w:pStyle w:val="BodyText"/>
        <w:spacing w:line="274" w:lineRule="exact"/>
        <w:ind w:left="173"/>
      </w:pPr>
      <w:r>
        <w:rPr/>
        <w:t>（</w:t>
      </w:r>
      <w:r>
        <w:rPr>
          <w:rFonts w:ascii="Times New Roman" w:eastAsia="Times New Roman"/>
        </w:rPr>
        <w:t>2</w:t>
      </w:r>
      <w:r>
        <w:rPr/>
        <w:t>）外周血象必须具备以下三项条件：</w:t>
      </w:r>
    </w:p>
    <w:p>
      <w:pPr>
        <w:pStyle w:val="BodyText"/>
        <w:spacing w:line="274" w:lineRule="exact"/>
        <w:ind w:left="699"/>
      </w:pPr>
      <w:r>
        <w:rPr>
          <w:spacing w:val="-3"/>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rFonts w:ascii="Times New Roman" w:hAnsi="Times New Roman" w:eastAsia="Times New Roman"/>
          <w:spacing w:val="51"/>
          <w:vertAlign w:val="baseline"/>
        </w:rPr>
        <w:t> </w:t>
      </w:r>
      <w:r>
        <w:rPr>
          <w:vertAlign w:val="baseline"/>
        </w:rPr>
        <w:t>；</w:t>
      </w:r>
    </w:p>
    <w:p>
      <w:pPr>
        <w:pStyle w:val="BodyText"/>
        <w:spacing w:line="272" w:lineRule="exact"/>
        <w:ind w:left="699"/>
      </w:pPr>
      <w:r>
        <w:rPr/>
        <w:t>② 网织红细胞＜</w:t>
      </w:r>
      <w:r>
        <w:rPr>
          <w:rFonts w:ascii="Times New Roman" w:hAnsi="Times New Roman" w:eastAsia="Times New Roman"/>
        </w:rPr>
        <w:t>1%</w:t>
      </w:r>
      <w:r>
        <w:rPr/>
        <w:t>；</w:t>
      </w:r>
    </w:p>
    <w:p>
      <w:pPr>
        <w:pStyle w:val="BodyText"/>
        <w:spacing w:line="281" w:lineRule="exact"/>
        <w:ind w:left="699"/>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1" w:lineRule="exact"/>
        <w:sectPr>
          <w:type w:val="continuous"/>
          <w:pgSz w:w="11900" w:h="16840"/>
          <w:pgMar w:top="1220" w:bottom="280" w:left="1680" w:right="1100"/>
          <w:cols w:num="2" w:equalWidth="0">
            <w:col w:w="2055" w:space="40"/>
            <w:col w:w="7025"/>
          </w:cols>
        </w:sectPr>
      </w:pPr>
    </w:p>
    <w:p>
      <w:pPr>
        <w:pStyle w:val="BodyText"/>
        <w:spacing w:before="12"/>
        <w:rPr>
          <w:sz w:val="13"/>
        </w:rPr>
      </w:pPr>
    </w:p>
    <w:p>
      <w:pPr>
        <w:pStyle w:val="BodyText"/>
        <w:spacing w:line="230" w:lineRule="auto" w:before="57"/>
        <w:ind w:left="2267" w:right="103" w:hanging="1680"/>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5"/>
        <w:rPr>
          <w:sz w:val="18"/>
        </w:rPr>
      </w:pPr>
    </w:p>
    <w:p>
      <w:pPr>
        <w:pStyle w:val="BodyText"/>
        <w:ind w:left="2267"/>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多发性硬化症</w:t>
      </w:r>
    </w:p>
    <w:p>
      <w:pPr>
        <w:pStyle w:val="BodyText"/>
        <w:spacing w:line="230" w:lineRule="auto" w:before="54"/>
        <w:ind w:left="173" w:right="103"/>
        <w:jc w:val="both"/>
      </w:pPr>
      <w:r>
        <w:rPr/>
        <w:br w:type="column"/>
      </w:r>
      <w:r>
        <w:rPr>
          <w:spacing w:val="-3"/>
        </w:rPr>
        <w:t>指因中枢神经系统脱髓鞘而导致的不可逆的身体部位的功能障碍，需由神经专科医生提供确诊，并有计算机断层扫描（</w:t>
      </w:r>
      <w:r>
        <w:rPr>
          <w:rFonts w:ascii="Times New Roman" w:eastAsia="Times New Roman"/>
          <w:spacing w:val="-3"/>
        </w:rPr>
        <w:t>CT</w:t>
      </w:r>
      <w:r>
        <w:rPr>
          <w:spacing w:val="-3"/>
        </w:rPr>
        <w:t>）</w:t>
      </w:r>
      <w:r>
        <w:rPr>
          <w:spacing w:val="-2"/>
        </w:rPr>
        <w:t>或核磁共振</w:t>
      </w:r>
      <w:r>
        <w:rPr/>
        <w:t>（</w:t>
      </w:r>
      <w:r>
        <w:rPr>
          <w:rFonts w:ascii="Times New Roman" w:eastAsia="Times New Roman"/>
        </w:rPr>
        <w:t>MRI</w:t>
      </w:r>
      <w:r>
        <w:rPr/>
        <w:t>）结</w:t>
      </w:r>
      <w:r>
        <w:rPr>
          <w:spacing w:val="-5"/>
        </w:rPr>
        <w:t>果报告支持本诊断。此不可逆的身体部位功能障碍需持续 </w:t>
      </w:r>
      <w:r>
        <w:rPr>
          <w:rFonts w:ascii="Times New Roman" w:eastAsia="Times New Roman"/>
        </w:rPr>
        <w:t>180 </w:t>
      </w:r>
      <w:r>
        <w:rPr>
          <w:spacing w:val="-2"/>
        </w:rPr>
        <w:t>天以上。</w:t>
      </w:r>
    </w:p>
    <w:p>
      <w:pPr>
        <w:pStyle w:val="BodyText"/>
        <w:spacing w:before="2"/>
        <w:rPr>
          <w:sz w:val="17"/>
        </w:rPr>
      </w:pPr>
    </w:p>
    <w:p>
      <w:pPr>
        <w:pStyle w:val="BodyText"/>
        <w:spacing w:line="273" w:lineRule="exact"/>
        <w:ind w:left="173"/>
        <w:jc w:val="both"/>
      </w:pPr>
      <w:r>
        <w:rPr/>
        <w:t>由神经科专家提供确诊必须包含下列内容：</w:t>
      </w:r>
    </w:p>
    <w:p>
      <w:pPr>
        <w:pStyle w:val="BodyText"/>
        <w:spacing w:line="280" w:lineRule="exact"/>
        <w:ind w:left="173"/>
        <w:jc w:val="both"/>
      </w:pPr>
      <w:r>
        <w:rPr/>
        <w:t>（</w:t>
      </w:r>
      <w:r>
        <w:rPr>
          <w:rFonts w:ascii="Times New Roman" w:eastAsia="Times New Roman"/>
        </w:rPr>
        <w:t>1</w:t>
      </w:r>
      <w:r>
        <w:rPr/>
        <w:t>）明确出现因视神经、脑干或脊髓损伤而导致的临床表现；</w:t>
      </w:r>
    </w:p>
    <w:p>
      <w:pPr>
        <w:pStyle w:val="BodyText"/>
        <w:spacing w:line="274" w:lineRule="exact"/>
        <w:ind w:left="173"/>
        <w:jc w:val="both"/>
      </w:pPr>
      <w:r>
        <w:rPr/>
        <w:t>（</w:t>
      </w:r>
      <w:r>
        <w:rPr>
          <w:rFonts w:ascii="Times New Roman" w:eastAsia="Times New Roman"/>
        </w:rPr>
        <w:t>2</w:t>
      </w:r>
      <w:r>
        <w:rPr/>
        <w:t>）散在的身体损伤的多样性；</w:t>
      </w:r>
    </w:p>
    <w:p>
      <w:pPr>
        <w:pStyle w:val="BodyText"/>
        <w:spacing w:line="282" w:lineRule="exact"/>
        <w:ind w:left="173"/>
        <w:jc w:val="both"/>
      </w:pPr>
      <w:r>
        <w:rPr/>
        <w:t>（</w:t>
      </w:r>
      <w:r>
        <w:rPr>
          <w:rFonts w:ascii="Times New Roman" w:eastAsia="Times New Roman"/>
        </w:rPr>
        <w:t>3</w:t>
      </w:r>
      <w:r>
        <w:rPr/>
        <w:t>）有明确的上述症状及神经损伤反复恶化与减轻的病史记录。</w:t>
      </w:r>
    </w:p>
    <w:p>
      <w:pPr>
        <w:spacing w:after="0" w:line="282" w:lineRule="exact"/>
        <w:jc w:val="both"/>
        <w:sectPr>
          <w:type w:val="continuous"/>
          <w:pgSz w:w="11900" w:h="16840"/>
          <w:pgMar w:top="1220" w:bottom="280" w:left="1680" w:right="1100"/>
          <w:cols w:num="2" w:equalWidth="0">
            <w:col w:w="2055" w:space="40"/>
            <w:col w:w="7025"/>
          </w:cols>
        </w:sectPr>
      </w:pPr>
    </w:p>
    <w:p>
      <w:pPr>
        <w:pStyle w:val="BodyText"/>
        <w:spacing w:before="10"/>
        <w:rPr>
          <w:sz w:val="13"/>
        </w:rPr>
      </w:pPr>
    </w:p>
    <w:p>
      <w:pPr>
        <w:spacing w:after="0"/>
        <w:rPr>
          <w:sz w:val="13"/>
        </w:rPr>
        <w:sectPr>
          <w:type w:val="continuous"/>
          <w:pgSz w:w="11900" w:h="16840"/>
          <w:pgMar w:top="1220" w:bottom="280" w:left="1680" w:right="1100"/>
        </w:sectPr>
      </w:pPr>
    </w:p>
    <w:p>
      <w:pPr>
        <w:pStyle w:val="ListParagraph"/>
        <w:numPr>
          <w:ilvl w:val="0"/>
          <w:numId w:val="10"/>
        </w:numPr>
        <w:tabs>
          <w:tab w:pos="884" w:val="left" w:leader="none"/>
        </w:tabs>
        <w:spacing w:line="225" w:lineRule="auto" w:before="63" w:after="0"/>
        <w:ind w:left="590" w:right="0" w:hanging="2"/>
        <w:jc w:val="both"/>
        <w:rPr>
          <w:sz w:val="21"/>
        </w:rPr>
      </w:pPr>
      <w:r>
        <w:rPr>
          <w:spacing w:val="20"/>
          <w:sz w:val="21"/>
        </w:rPr>
        <w:t>胰岛素依赖</w:t>
      </w:r>
      <w:r>
        <w:rPr>
          <w:spacing w:val="8"/>
          <w:sz w:val="21"/>
        </w:rPr>
        <w:t>型糖尿病</w:t>
      </w:r>
      <w:r>
        <w:rPr>
          <w:sz w:val="21"/>
        </w:rPr>
        <w:t>（</w:t>
      </w:r>
      <w:r>
        <w:rPr>
          <w:rFonts w:ascii="Times New Roman" w:eastAsia="Times New Roman"/>
          <w:b/>
          <w:sz w:val="21"/>
        </w:rPr>
        <w:t>1</w:t>
      </w:r>
      <w:r>
        <w:rPr>
          <w:rFonts w:ascii="Times New Roman" w:eastAsia="Times New Roman"/>
          <w:b/>
          <w:spacing w:val="45"/>
          <w:sz w:val="21"/>
        </w:rPr>
        <w:t> </w:t>
      </w:r>
      <w:r>
        <w:rPr>
          <w:sz w:val="21"/>
        </w:rPr>
        <w:t>型</w:t>
      </w:r>
      <w:r>
        <w:rPr>
          <w:spacing w:val="-1"/>
          <w:sz w:val="21"/>
        </w:rPr>
        <w:t>糖尿病</w:t>
      </w:r>
      <w:r>
        <w:rPr>
          <w:sz w:val="21"/>
        </w:rPr>
        <w:t>）</w:t>
      </w:r>
    </w:p>
    <w:p>
      <w:pPr>
        <w:pStyle w:val="BodyText"/>
        <w:spacing w:line="232" w:lineRule="auto" w:before="51"/>
        <w:ind w:left="173" w:right="134"/>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异常，由内分泌科医生确诊，并在本附加合同有效期内，满足下述至少一</w:t>
      </w:r>
      <w:r>
        <w:rPr>
          <w:spacing w:val="-3"/>
        </w:rPr>
        <w:t>个条件：</w:t>
      </w:r>
    </w:p>
    <w:p>
      <w:pPr>
        <w:pStyle w:val="BodyText"/>
        <w:spacing w:line="281" w:lineRule="exact"/>
        <w:ind w:left="173"/>
        <w:jc w:val="both"/>
      </w:pPr>
      <w:r>
        <w:rPr/>
        <w:t>（</w:t>
      </w:r>
      <w:r>
        <w:rPr>
          <w:rFonts w:ascii="Times New Roman" w:eastAsia="Times New Roman"/>
        </w:rPr>
        <w:t>1</w:t>
      </w:r>
      <w:r>
        <w:rPr/>
        <w:t>）已出现增殖性视网膜病变；</w:t>
      </w:r>
    </w:p>
    <w:p>
      <w:pPr>
        <w:pStyle w:val="BodyText"/>
        <w:spacing w:line="282" w:lineRule="exact"/>
        <w:ind w:left="173"/>
        <w:jc w:val="both"/>
      </w:pPr>
      <w:r>
        <w:rPr/>
        <w:t>（</w:t>
      </w:r>
      <w:r>
        <w:rPr>
          <w:rFonts w:ascii="Times New Roman" w:eastAsia="Times New Roman"/>
        </w:rPr>
        <w:t>2</w:t>
      </w:r>
      <w:r>
        <w:rPr/>
        <w:t>）须植入心脏起搏器治疗心脏病；</w:t>
      </w:r>
    </w:p>
    <w:p>
      <w:pPr>
        <w:spacing w:after="0" w:line="282" w:lineRule="exact"/>
        <w:jc w:val="both"/>
        <w:sectPr>
          <w:type w:val="continuous"/>
          <w:pgSz w:w="11900" w:h="16840"/>
          <w:pgMar w:top="1220" w:bottom="280" w:left="1680" w:right="1100"/>
          <w:cols w:num="2" w:equalWidth="0">
            <w:col w:w="2055" w:space="40"/>
            <w:col w:w="7025"/>
          </w:cols>
        </w:sectPr>
      </w:pPr>
    </w:p>
    <w:p>
      <w:pPr>
        <w:pStyle w:val="BodyText"/>
        <w:spacing w:before="26"/>
        <w:ind w:left="2267"/>
      </w:pPr>
      <w:r>
        <w:rPr/>
        <w:t>（</w:t>
      </w:r>
      <w:r>
        <w:rPr>
          <w:rFonts w:ascii="Times New Roman" w:eastAsia="Times New Roman"/>
        </w:rPr>
        <w:t>3</w:t>
      </w:r>
      <w:r>
        <w:rPr/>
        <w:t>）因坏疽需切除一只或以上脚趾。</w:t>
      </w:r>
    </w:p>
    <w:p>
      <w:pPr>
        <w:pStyle w:val="BodyText"/>
        <w:spacing w:before="9"/>
        <w:rPr>
          <w:sz w:val="13"/>
        </w:rPr>
      </w:pPr>
    </w:p>
    <w:p>
      <w:pPr>
        <w:spacing w:after="0"/>
        <w:rPr>
          <w:sz w:val="13"/>
        </w:rPr>
        <w:sectPr>
          <w:pgSz w:w="11900" w:h="16840"/>
          <w:pgMar w:top="1240" w:bottom="280" w:left="1680" w:right="100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肺源性心脏病</w:t>
      </w:r>
    </w:p>
    <w:p>
      <w:pPr>
        <w:pStyle w:val="BodyText"/>
        <w:spacing w:line="274" w:lineRule="exact" w:before="43"/>
        <w:ind w:left="173"/>
      </w:pPr>
      <w:r>
        <w:rPr/>
        <w:br w:type="column"/>
      </w:r>
      <w:r>
        <w:rPr/>
        <w:t>由呼吸科医生确诊为肺源性心脏病，必须同时满足如下诊断标准：</w:t>
      </w:r>
    </w:p>
    <w:p>
      <w:pPr>
        <w:pStyle w:val="BodyText"/>
        <w:spacing w:line="280" w:lineRule="exact"/>
        <w:ind w:left="173"/>
      </w:pPr>
      <w:r>
        <w:rPr/>
        <w:t>（</w:t>
      </w:r>
      <w:r>
        <w:rPr>
          <w:rFonts w:ascii="Times New Roman" w:eastAsia="Times New Roman"/>
        </w:rPr>
        <w:t>1</w:t>
      </w:r>
      <w:r>
        <w:rPr/>
        <w:t>）左心房压力增高（不低于 </w:t>
      </w:r>
      <w:r>
        <w:rPr>
          <w:rFonts w:ascii="Times New Roman" w:eastAsia="Times New Roman"/>
        </w:rPr>
        <w:t>20 </w:t>
      </w:r>
      <w:r>
        <w:rPr/>
        <w:t>个单位）；</w:t>
      </w:r>
    </w:p>
    <w:p>
      <w:pPr>
        <w:pStyle w:val="BodyText"/>
        <w:spacing w:line="272" w:lineRule="exact"/>
        <w:ind w:left="173"/>
      </w:pPr>
      <w:r>
        <w:rPr/>
        <w:t>（</w:t>
      </w:r>
      <w:r>
        <w:rPr>
          <w:rFonts w:ascii="Times New Roman" w:eastAsia="Times New Roman"/>
        </w:rPr>
        <w:t>2</w:t>
      </w:r>
      <w:r>
        <w:rPr/>
        <w:t>）肺血管阻力（</w:t>
      </w:r>
      <w:r>
        <w:rPr>
          <w:rFonts w:ascii="Times New Roman" w:eastAsia="Times New Roman"/>
        </w:rPr>
        <w:t>Pulmonary Resistance</w:t>
      </w:r>
      <w:r>
        <w:rPr/>
        <w:t>）高于正常值 </w:t>
      </w:r>
      <w:r>
        <w:rPr>
          <w:rFonts w:ascii="Times New Roman" w:eastAsia="Times New Roman"/>
        </w:rPr>
        <w:t>3 </w:t>
      </w:r>
      <w:r>
        <w:rPr/>
        <w:t>个单位；</w:t>
      </w:r>
    </w:p>
    <w:p>
      <w:pPr>
        <w:pStyle w:val="BodyText"/>
        <w:spacing w:line="274" w:lineRule="exact"/>
        <w:ind w:left="173"/>
      </w:pPr>
      <w:r>
        <w:rPr/>
        <w:t>（</w:t>
      </w:r>
      <w:r>
        <w:rPr>
          <w:rFonts w:ascii="Times New Roman" w:eastAsia="Times New Roman"/>
        </w:rPr>
        <w:t>3</w:t>
      </w:r>
      <w:r>
        <w:rPr/>
        <w:t>）肺动脉血压不低于 </w:t>
      </w:r>
      <w:r>
        <w:rPr>
          <w:rFonts w:ascii="Times New Roman" w:eastAsia="Times New Roman"/>
        </w:rPr>
        <w:t>40 mmHg</w:t>
      </w:r>
      <w:r>
        <w:rPr/>
        <w:t>；</w:t>
      </w:r>
    </w:p>
    <w:p>
      <w:pPr>
        <w:pStyle w:val="BodyText"/>
        <w:spacing w:line="274" w:lineRule="exact"/>
        <w:ind w:left="173"/>
      </w:pPr>
      <w:r>
        <w:rPr/>
        <w:t>（</w:t>
      </w:r>
      <w:r>
        <w:rPr>
          <w:rFonts w:ascii="Times New Roman" w:eastAsia="Times New Roman"/>
        </w:rPr>
        <w:t>4</w:t>
      </w:r>
      <w:r>
        <w:rPr/>
        <w:t>）肺动脉楔压不低于 </w:t>
      </w:r>
      <w:r>
        <w:rPr>
          <w:rFonts w:ascii="Times New Roman" w:eastAsia="Times New Roman"/>
        </w:rPr>
        <w:t>6 mmHg</w:t>
      </w:r>
      <w:r>
        <w:rPr/>
        <w:t>；</w:t>
      </w:r>
    </w:p>
    <w:p>
      <w:pPr>
        <w:pStyle w:val="BodyText"/>
        <w:spacing w:line="272" w:lineRule="exact"/>
        <w:ind w:left="173"/>
      </w:pPr>
      <w:r>
        <w:rPr/>
        <w:t>（</w:t>
      </w:r>
      <w:r>
        <w:rPr>
          <w:rFonts w:ascii="Times New Roman" w:eastAsia="Times New Roman"/>
        </w:rPr>
        <w:t>5</w:t>
      </w:r>
      <w:r>
        <w:rPr/>
        <w:t>）右心室心脏舒张期末压力不低于 </w:t>
      </w:r>
      <w:r>
        <w:rPr>
          <w:rFonts w:ascii="Times New Roman" w:eastAsia="Times New Roman"/>
        </w:rPr>
        <w:t>8 mmHg</w:t>
      </w:r>
      <w:r>
        <w:rPr/>
        <w:t>；</w:t>
      </w:r>
    </w:p>
    <w:p>
      <w:pPr>
        <w:pStyle w:val="BodyText"/>
        <w:spacing w:line="281" w:lineRule="exact"/>
        <w:ind w:left="173"/>
      </w:pPr>
      <w:r>
        <w:rPr/>
        <w:t>（</w:t>
      </w:r>
      <w:r>
        <w:rPr>
          <w:rFonts w:ascii="Times New Roman" w:eastAsia="Times New Roman"/>
        </w:rPr>
        <w:t>6</w:t>
      </w:r>
      <w:r>
        <w:rPr/>
        <w:t>）右心室过度肥大、扩张，出现右心衰竭和呼吸困难。</w:t>
      </w:r>
    </w:p>
    <w:p>
      <w:pPr>
        <w:spacing w:after="0" w:line="281" w:lineRule="exact"/>
        <w:sectPr>
          <w:type w:val="continuous"/>
          <w:pgSz w:w="11900" w:h="16840"/>
          <w:pgMar w:top="1220" w:bottom="280" w:left="1680" w:right="1000"/>
          <w:cols w:num="2" w:equalWidth="0">
            <w:col w:w="2055" w:space="40"/>
            <w:col w:w="7125"/>
          </w:cols>
        </w:sectPr>
      </w:pPr>
    </w:p>
    <w:p>
      <w:pPr>
        <w:pStyle w:val="BodyText"/>
        <w:spacing w:before="12"/>
        <w:rPr>
          <w:sz w:val="13"/>
        </w:rPr>
      </w:pPr>
    </w:p>
    <w:p>
      <w:pPr>
        <w:pStyle w:val="BodyText"/>
        <w:spacing w:line="232" w:lineRule="auto" w:before="54"/>
        <w:ind w:left="2267" w:right="234" w:hanging="1680"/>
        <w:jc w:val="both"/>
      </w:pPr>
      <w:r>
        <w:rPr>
          <w:rFonts w:ascii="Times New Roman" w:eastAsia="Times New Roman"/>
          <w:b/>
        </w:rPr>
        <w:t>29.</w:t>
      </w:r>
      <w:r>
        <w:rPr>
          <w:spacing w:val="-4"/>
        </w:rPr>
        <w:t>脊髓灰质炎  是指被保险人被脊髓灰质炎病毒感染，因脊髓前角细胞或相应的脑干细胞受到破坏而引致的局部或广泛的肌肉无力为特征的疾病。疾病未导致不可</w:t>
      </w:r>
      <w:r>
        <w:rPr>
          <w:spacing w:val="-6"/>
        </w:rPr>
        <w:t>恢复的、永久性的麻痹者不在本保单保障范围内。诊断必须经神经专科医</w:t>
      </w:r>
      <w:r>
        <w:rPr>
          <w:spacing w:val="-5"/>
        </w:rPr>
        <w:t>生确诊为急性脊髓灰质炎病毒感染导致瘫痪，此种瘫痪必须有明显运动功</w:t>
      </w:r>
      <w:r>
        <w:rPr>
          <w:spacing w:val="-4"/>
        </w:rPr>
        <w:t>能损害或呼吸衰弱瘫痪，并且至少持续 </w:t>
      </w:r>
      <w:r>
        <w:rPr>
          <w:rFonts w:ascii="Times New Roman" w:eastAsia="Times New Roman"/>
        </w:rPr>
        <w:t>90 </w:t>
      </w:r>
      <w:r>
        <w:rPr>
          <w:spacing w:val="-3"/>
        </w:rPr>
        <w:t>天。必须有明确证据证明脊髓灰质炎病毒为病因。未引起瘫痪者保险公司不承担给付保险金的责任。</w:t>
      </w:r>
    </w:p>
    <w:p>
      <w:pPr>
        <w:pStyle w:val="BodyText"/>
        <w:spacing w:before="1"/>
        <w:rPr>
          <w:sz w:val="20"/>
        </w:rPr>
      </w:pPr>
    </w:p>
    <w:p>
      <w:pPr>
        <w:pStyle w:val="BodyText"/>
        <w:spacing w:line="223" w:lineRule="auto" w:before="1"/>
        <w:ind w:left="2267" w:right="203" w:hanging="1680"/>
        <w:jc w:val="both"/>
      </w:pPr>
      <w:r>
        <w:rPr>
          <w:rFonts w:ascii="Times New Roman" w:eastAsia="Times New Roman"/>
          <w:b/>
        </w:rPr>
        <w:t>30.</w:t>
      </w:r>
      <w:r>
        <w:rPr>
          <w:spacing w:val="-3"/>
        </w:rPr>
        <w:t>终末期肺病  因终末期肺病而出现的慢性呼吸功能衰竭，其诊断须由呼吸科医生确认并同时符合以下标准：</w:t>
      </w:r>
    </w:p>
    <w:p>
      <w:pPr>
        <w:pStyle w:val="BodyText"/>
        <w:spacing w:line="279" w:lineRule="exact"/>
        <w:ind w:left="2267"/>
      </w:pPr>
      <w:r>
        <w:rPr/>
        <w:t>（</w:t>
      </w:r>
      <w:r>
        <w:rPr>
          <w:rFonts w:ascii="Times New Roman" w:eastAsia="Times New Roman"/>
        </w:rPr>
        <w:t>1</w:t>
      </w:r>
      <w:r>
        <w:rPr/>
        <w:t>）肺功能测试其第一秒钟末用力呼气量（</w:t>
      </w:r>
      <w:r>
        <w:rPr>
          <w:rFonts w:ascii="Times New Roman" w:eastAsia="Times New Roman"/>
        </w:rPr>
        <w:t>FEV1</w:t>
      </w:r>
      <w:r>
        <w:rPr/>
        <w:t>）持续低于 </w:t>
      </w:r>
      <w:r>
        <w:rPr>
          <w:rFonts w:ascii="Times New Roman" w:eastAsia="Times New Roman"/>
        </w:rPr>
        <w:t>1 </w:t>
      </w:r>
      <w:r>
        <w:rPr/>
        <w:t>升；</w:t>
      </w:r>
    </w:p>
    <w:p>
      <w:pPr>
        <w:pStyle w:val="BodyText"/>
        <w:spacing w:line="274" w:lineRule="exact"/>
        <w:ind w:left="2268"/>
      </w:pPr>
      <w:r>
        <w:rPr/>
        <w:t>（</w:t>
      </w:r>
      <w:r>
        <w:rPr>
          <w:rFonts w:ascii="Times New Roman" w:eastAsia="Times New Roman"/>
        </w:rPr>
        <w:t>2</w:t>
      </w:r>
      <w:r>
        <w:rPr/>
        <w:t>）病人缺氧必须持续地进行输氧治疗；</w:t>
      </w:r>
    </w:p>
    <w:p>
      <w:pPr>
        <w:pStyle w:val="BodyText"/>
        <w:spacing w:line="282" w:lineRule="exact"/>
        <w:ind w:left="2267"/>
      </w:pPr>
      <w:r>
        <w:rPr/>
        <w:t>（</w:t>
      </w:r>
      <w:r>
        <w:rPr>
          <w:rFonts w:ascii="Times New Roman" w:eastAsia="Times New Roman"/>
        </w:rPr>
        <w:t>3</w:t>
      </w:r>
      <w:r>
        <w:rPr/>
        <w:t>）动脉血气分析氧分压低于 </w:t>
      </w:r>
      <w:r>
        <w:rPr>
          <w:rFonts w:ascii="Times New Roman" w:eastAsia="Times New Roman"/>
        </w:rPr>
        <w:t>55mmHg</w:t>
      </w:r>
      <w:r>
        <w:rPr/>
        <w:t>。</w:t>
      </w:r>
    </w:p>
    <w:p>
      <w:pPr>
        <w:pStyle w:val="BodyText"/>
        <w:spacing w:before="1"/>
        <w:rPr>
          <w:sz w:val="18"/>
        </w:rPr>
      </w:pPr>
    </w:p>
    <w:p>
      <w:pPr>
        <w:pStyle w:val="BodyText"/>
        <w:spacing w:line="230" w:lineRule="auto"/>
        <w:ind w:left="2267" w:right="201" w:hanging="1680"/>
        <w:jc w:val="both"/>
      </w:pPr>
      <w:r>
        <w:rPr>
          <w:rFonts w:ascii="Times New Roman" w:eastAsia="Times New Roman"/>
          <w:b/>
        </w:rPr>
        <w:t>31.</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我们认可的医院</w:t>
      </w:r>
      <w:r>
        <w:rPr>
          <w:spacing w:val="-11"/>
        </w:rPr>
        <w:t>使用辅助机器维持生命。申请理赔需被保险人因植物人状态住院 </w:t>
      </w:r>
      <w:r>
        <w:rPr>
          <w:rFonts w:ascii="Times New Roman" w:eastAsia="Times New Roman"/>
        </w:rPr>
        <w:t>30 </w:t>
      </w:r>
      <w:r>
        <w:rPr>
          <w:spacing w:val="-2"/>
        </w:rPr>
        <w:t>天以上</w:t>
      </w:r>
      <w:r>
        <w:rPr>
          <w:spacing w:val="-3"/>
        </w:rPr>
        <w:t>并且必须有神经专科医生的医学诊断证明。</w:t>
      </w:r>
    </w:p>
    <w:p>
      <w:pPr>
        <w:pStyle w:val="BodyText"/>
        <w:spacing w:before="2"/>
        <w:rPr>
          <w:sz w:val="18"/>
        </w:rPr>
      </w:pPr>
    </w:p>
    <w:p>
      <w:pPr>
        <w:pStyle w:val="BodyText"/>
        <w:spacing w:before="1"/>
        <w:ind w:left="2268"/>
      </w:pPr>
      <w:r>
        <w:rPr/>
        <w:t>由于酗酒或滥用药物所致的植物人状态除外。</w:t>
      </w:r>
    </w:p>
    <w:p>
      <w:pPr>
        <w:pStyle w:val="BodyText"/>
        <w:rPr>
          <w:sz w:val="16"/>
        </w:rPr>
      </w:pPr>
    </w:p>
    <w:p>
      <w:pPr>
        <w:spacing w:after="0"/>
        <w:rPr>
          <w:sz w:val="16"/>
        </w:rPr>
        <w:sectPr>
          <w:type w:val="continuous"/>
          <w:pgSz w:w="11900" w:h="16840"/>
          <w:pgMar w:top="1220" w:bottom="280" w:left="1680" w:right="1000"/>
        </w:sectPr>
      </w:pPr>
    </w:p>
    <w:p>
      <w:pPr>
        <w:pStyle w:val="ListParagraph"/>
        <w:numPr>
          <w:ilvl w:val="0"/>
          <w:numId w:val="11"/>
        </w:numPr>
        <w:tabs>
          <w:tab w:pos="840" w:val="left" w:leader="none"/>
        </w:tabs>
        <w:spacing w:line="230" w:lineRule="auto" w:before="58" w:after="0"/>
        <w:ind w:left="537" w:right="0" w:hanging="2"/>
        <w:jc w:val="left"/>
        <w:rPr>
          <w:sz w:val="21"/>
        </w:rPr>
      </w:pPr>
      <w:r>
        <w:rPr>
          <w:spacing w:val="-32"/>
          <w:sz w:val="21"/>
        </w:rPr>
        <w:t>慢 性 呼 吸 功能衰竭</w:t>
      </w:r>
    </w:p>
    <w:p>
      <w:pPr>
        <w:pStyle w:val="BodyText"/>
        <w:spacing w:line="242" w:lineRule="auto" w:before="44"/>
        <w:ind w:left="171" w:right="203"/>
      </w:pPr>
      <w:r>
        <w:rPr/>
        <w:br w:type="column"/>
      </w:r>
      <w:r>
        <w:rPr/>
        <w:t>慢性肺部疾病导致永久不可逆性的慢性呼吸功能衰竭。慢性呼吸功能衰竭必须明确诊断并满足下列全部条件：</w:t>
      </w:r>
    </w:p>
    <w:p>
      <w:pPr>
        <w:pStyle w:val="BodyText"/>
        <w:spacing w:line="286" w:lineRule="exact" w:before="4"/>
        <w:ind w:left="171"/>
      </w:pPr>
      <w:r>
        <w:rPr/>
        <w:t>（</w:t>
      </w:r>
      <w:r>
        <w:rPr>
          <w:rFonts w:ascii="Times New Roman" w:eastAsia="Times New Roman"/>
        </w:rPr>
        <w:t>1</w:t>
      </w:r>
      <w:r>
        <w:rPr/>
        <w:t>）休息时出现呼吸困难；</w:t>
      </w:r>
    </w:p>
    <w:p>
      <w:pPr>
        <w:pStyle w:val="BodyText"/>
        <w:spacing w:line="280" w:lineRule="exact"/>
        <w:ind w:left="171"/>
      </w:pPr>
      <w:r>
        <w:rPr/>
        <w:t>（</w:t>
      </w:r>
      <w:r>
        <w:rPr>
          <w:rFonts w:ascii="Times New Roman" w:eastAsia="Times New Roman"/>
        </w:rPr>
        <w:t>2</w:t>
      </w:r>
      <w:r>
        <w:rPr/>
        <w:t>）动脉血氧分压（</w:t>
      </w:r>
      <w:r>
        <w:rPr>
          <w:rFonts w:ascii="Times New Roman" w:eastAsia="Times New Roman"/>
        </w:rPr>
        <w:t>PaO 2</w:t>
      </w:r>
      <w:r>
        <w:rPr/>
        <w:t>）</w:t>
      </w:r>
      <w:r>
        <w:rPr>
          <w:rFonts w:ascii="Times New Roman" w:eastAsia="Times New Roman"/>
        </w:rPr>
        <w:t>&lt; 50mmHg</w:t>
      </w:r>
      <w:r>
        <w:rPr/>
        <w:t>；</w:t>
      </w:r>
    </w:p>
    <w:p>
      <w:pPr>
        <w:pStyle w:val="BodyText"/>
        <w:spacing w:line="280" w:lineRule="exact"/>
        <w:ind w:left="171"/>
      </w:pPr>
      <w:r>
        <w:rPr/>
        <w:t>（</w:t>
      </w:r>
      <w:r>
        <w:rPr>
          <w:rFonts w:ascii="Times New Roman" w:eastAsia="Times New Roman"/>
        </w:rPr>
        <w:t>3</w:t>
      </w:r>
      <w:r>
        <w:rPr/>
        <w:t>）动脉血氧饱和度（</w:t>
      </w:r>
      <w:r>
        <w:rPr>
          <w:rFonts w:ascii="Times New Roman" w:eastAsia="Times New Roman"/>
        </w:rPr>
        <w:t>SaO 2</w:t>
      </w:r>
      <w:r>
        <w:rPr/>
        <w:t>）</w:t>
      </w:r>
      <w:r>
        <w:rPr>
          <w:rFonts w:ascii="Times New Roman" w:eastAsia="Times New Roman"/>
        </w:rPr>
        <w:t>&lt; 80</w:t>
      </w:r>
      <w:r>
        <w:rPr/>
        <w:t>％；</w:t>
      </w:r>
    </w:p>
    <w:p>
      <w:pPr>
        <w:pStyle w:val="BodyText"/>
        <w:spacing w:line="286" w:lineRule="exact"/>
        <w:ind w:left="171"/>
      </w:pPr>
      <w:r>
        <w:rPr/>
        <w:t>（</w:t>
      </w:r>
      <w:r>
        <w:rPr>
          <w:rFonts w:ascii="Times New Roman" w:eastAsia="Times New Roman"/>
        </w:rPr>
        <w:t>4</w:t>
      </w:r>
      <w:r>
        <w:rPr/>
        <w:t>）因缺氧必须接受持续的输氧治疗。</w:t>
      </w:r>
    </w:p>
    <w:p>
      <w:pPr>
        <w:spacing w:after="0" w:line="286" w:lineRule="exact"/>
        <w:sectPr>
          <w:type w:val="continuous"/>
          <w:pgSz w:w="11900" w:h="16840"/>
          <w:pgMar w:top="1220" w:bottom="280" w:left="1680" w:right="1000"/>
          <w:cols w:num="2" w:equalWidth="0">
            <w:col w:w="2057" w:space="40"/>
            <w:col w:w="7123"/>
          </w:cols>
        </w:sectPr>
      </w:pPr>
    </w:p>
    <w:p>
      <w:pPr>
        <w:pStyle w:val="BodyText"/>
        <w:spacing w:before="3"/>
        <w:rPr>
          <w:sz w:val="17"/>
        </w:rPr>
      </w:pPr>
    </w:p>
    <w:p>
      <w:pPr>
        <w:pStyle w:val="BodyText"/>
        <w:spacing w:line="230" w:lineRule="auto" w:before="57"/>
        <w:ind w:left="2267" w:right="98" w:hanging="1733"/>
        <w:jc w:val="both"/>
      </w:pPr>
      <w:r>
        <w:rPr>
          <w:rFonts w:ascii="Times New Roman" w:eastAsia="Times New Roman"/>
          <w:b/>
        </w:rPr>
        <w:t>33.</w:t>
      </w:r>
      <w:r>
        <w:rPr/>
        <w:t>严重心肌病    指被保险人因心肌病导致慢性心功能损害造成永久不可逆性的心功能衰竭。心功能衰竭程度达到纽约心脏病学会的心功能分级标准之心功能 </w:t>
      </w:r>
      <w:r>
        <w:rPr>
          <w:rFonts w:ascii="Times New Roman" w:eastAsia="Times New Roman"/>
        </w:rPr>
        <w:t>IV </w:t>
      </w:r>
      <w:r>
        <w:rPr/>
        <w:t>级。被保险人永久不可逆性的体力活动能力受限，不能从事任何体力活动。</w:t>
      </w:r>
    </w:p>
    <w:p>
      <w:pPr>
        <w:pStyle w:val="BodyText"/>
        <w:spacing w:before="8"/>
      </w:pPr>
    </w:p>
    <w:p>
      <w:pPr>
        <w:pStyle w:val="BodyText"/>
        <w:spacing w:line="232" w:lineRule="auto"/>
        <w:ind w:left="2267" w:right="203" w:hanging="1680"/>
        <w:jc w:val="both"/>
      </w:pPr>
      <w:r>
        <w:rPr>
          <w:rFonts w:ascii="Times New Roman" w:eastAsia="Times New Roman"/>
          <w:b/>
        </w:rPr>
        <w:t>34.</w:t>
      </w:r>
      <w:r>
        <w:rPr>
          <w:spacing w:val="-3"/>
        </w:rPr>
        <w:t>重症肌无力  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BodyText"/>
        <w:spacing w:line="281" w:lineRule="exact"/>
        <w:ind w:left="2267"/>
      </w:pPr>
      <w:r>
        <w:rPr/>
        <w:t>（</w:t>
      </w:r>
      <w:r>
        <w:rPr>
          <w:rFonts w:ascii="Times New Roman" w:eastAsia="Times New Roman"/>
        </w:rPr>
        <w:t>1</w:t>
      </w:r>
      <w:r>
        <w:rPr/>
        <w:t>）经药物、胸腺手术治疗一年以上无法控制病情，丧失正常工作能力；</w:t>
      </w:r>
    </w:p>
    <w:p>
      <w:pPr>
        <w:pStyle w:val="BodyText"/>
        <w:spacing w:line="230" w:lineRule="auto" w:before="3"/>
        <w:ind w:left="2267" w:right="201"/>
        <w:jc w:val="both"/>
      </w:pPr>
      <w:r>
        <w:rPr>
          <w:spacing w:val="-8"/>
        </w:rPr>
        <w:t>（</w:t>
      </w:r>
      <w:r>
        <w:rPr>
          <w:rFonts w:ascii="Times New Roman" w:eastAsia="Times New Roman"/>
          <w:spacing w:val="-8"/>
        </w:rPr>
        <w:t>2</w:t>
      </w:r>
      <w:r>
        <w:rPr>
          <w:spacing w:val="-8"/>
        </w:rPr>
        <w:t>）出现眼睑下垂，或延髓肌受累引起的构音困难、进食呛咳，或由于肌无力累及延髓肌、呼吸肌而致机体呼吸功能不正常的危急状态即肌无力危象；</w:t>
      </w:r>
    </w:p>
    <w:p>
      <w:pPr>
        <w:pStyle w:val="BodyText"/>
        <w:spacing w:line="225" w:lineRule="auto" w:before="15"/>
        <w:ind w:left="2267" w:right="203"/>
        <w:jc w:val="both"/>
      </w:pPr>
      <w:r>
        <w:rPr>
          <w:spacing w:val="-10"/>
        </w:rPr>
        <w:t>（</w:t>
      </w:r>
      <w:r>
        <w:rPr>
          <w:rFonts w:ascii="Times New Roman" w:eastAsia="Times New Roman"/>
          <w:spacing w:val="-10"/>
        </w:rPr>
        <w:t>3</w:t>
      </w:r>
      <w:r>
        <w:rPr>
          <w:spacing w:val="-10"/>
        </w:rPr>
        <w:t>）</w:t>
      </w:r>
      <w:r>
        <w:rPr>
          <w:spacing w:val="-9"/>
        </w:rPr>
        <w:t>症状缓解、复发及恶化交替出现，临床接受新斯的明等抗胆碱酯酶药</w:t>
      </w:r>
      <w:r>
        <w:rPr>
          <w:spacing w:val="-5"/>
        </w:rPr>
        <w:t>物治疗的病史。</w:t>
      </w:r>
    </w:p>
    <w:p>
      <w:pPr>
        <w:spacing w:after="0" w:line="225" w:lineRule="auto"/>
        <w:jc w:val="both"/>
        <w:sectPr>
          <w:type w:val="continuous"/>
          <w:pgSz w:w="11900" w:h="16840"/>
          <w:pgMar w:top="1220" w:bottom="280" w:left="1680" w:right="1000"/>
        </w:sectPr>
      </w:pPr>
    </w:p>
    <w:p>
      <w:pPr>
        <w:pStyle w:val="ListParagraph"/>
        <w:numPr>
          <w:ilvl w:val="1"/>
          <w:numId w:val="11"/>
        </w:numPr>
        <w:tabs>
          <w:tab w:pos="1464" w:val="left" w:leader="none"/>
        </w:tabs>
        <w:spacing w:line="230" w:lineRule="auto" w:before="120" w:after="0"/>
        <w:ind w:left="1170" w:right="0" w:hanging="2"/>
        <w:jc w:val="both"/>
        <w:rPr>
          <w:sz w:val="21"/>
        </w:rPr>
      </w:pPr>
      <w:r>
        <w:rPr>
          <w:spacing w:val="20"/>
          <w:sz w:val="21"/>
        </w:rPr>
        <w:t>因职业关系</w:t>
      </w:r>
      <w:r>
        <w:rPr>
          <w:spacing w:val="-30"/>
          <w:sz w:val="21"/>
        </w:rPr>
        <w:t>导 致 的 人 类 免</w:t>
      </w:r>
      <w:r>
        <w:rPr>
          <w:spacing w:val="-24"/>
          <w:sz w:val="21"/>
        </w:rPr>
        <w:t>疫 缺 陷 病 毒</w:t>
      </w:r>
    </w:p>
    <w:p>
      <w:pPr>
        <w:spacing w:line="289" w:lineRule="exact" w:before="0"/>
        <w:ind w:left="1170" w:right="0" w:firstLine="0"/>
        <w:jc w:val="both"/>
        <w:rPr>
          <w:sz w:val="21"/>
        </w:rPr>
      </w:pPr>
      <w:r>
        <w:rPr>
          <w:sz w:val="21"/>
        </w:rPr>
        <w:t>（</w:t>
      </w:r>
      <w:r>
        <w:rPr>
          <w:rFonts w:ascii="Times New Roman" w:eastAsia="Times New Roman"/>
          <w:b/>
          <w:sz w:val="21"/>
        </w:rPr>
        <w:t>HIV</w:t>
      </w:r>
      <w:r>
        <w:rPr>
          <w:sz w:val="21"/>
        </w:rPr>
        <w:t>）感染</w:t>
      </w:r>
    </w:p>
    <w:p>
      <w:pPr>
        <w:pStyle w:val="BodyText"/>
        <w:spacing w:before="106"/>
        <w:ind w:left="171" w:right="203"/>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171" w:right="123"/>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81" w:lineRule="exact" w:before="2"/>
        <w:ind w:left="171"/>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9"/>
        <w:ind w:left="171" w:right="201" w:hanging="1"/>
        <w:jc w:val="both"/>
      </w:pPr>
      <w:r>
        <w:rPr/>
        <w:t>（</w:t>
      </w:r>
      <w:r>
        <w:rPr>
          <w:rFonts w:ascii="Times New Roman" w:eastAsia="Times New Roman"/>
        </w:rPr>
        <w:t>3</w:t>
      </w:r>
      <w:r>
        <w:rPr/>
        <w:t>）必须提供被保险人在所报事故发生后的 </w:t>
      </w:r>
      <w:r>
        <w:rPr>
          <w:rFonts w:ascii="Times New Roman" w:eastAsia="Times New Roman"/>
        </w:rPr>
        <w:t>5 </w:t>
      </w:r>
      <w:r>
        <w:rPr/>
        <w:t>天以内进行的检查报告， 该报告必须显示被保险人血液人类免疫缺陷病毒（</w:t>
      </w:r>
      <w:r>
        <w:rPr>
          <w:rFonts w:ascii="Times New Roman" w:eastAsia="Times New Roman"/>
        </w:rPr>
        <w:t>HIV</w:t>
      </w:r>
      <w:r>
        <w:rPr/>
        <w:t>）阴性和</w:t>
      </w:r>
      <w:r>
        <w:rPr>
          <w:rFonts w:ascii="Times New Roman" w:eastAsia="Times New Roman"/>
        </w:rPr>
        <w:t>/</w:t>
      </w:r>
      <w:r>
        <w:rPr/>
        <w:t>或人类免疫缺陷病毒（</w:t>
      </w:r>
      <w:r>
        <w:rPr>
          <w:rFonts w:ascii="Times New Roman" w:eastAsia="Times New Roman"/>
        </w:rPr>
        <w:t>HIV  </w:t>
      </w:r>
      <w:r>
        <w:rPr/>
        <w:t>）抗体阴性；</w:t>
      </w:r>
    </w:p>
    <w:p>
      <w:pPr>
        <w:pStyle w:val="BodyText"/>
        <w:spacing w:line="225" w:lineRule="auto"/>
        <w:ind w:left="171" w:right="150"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  </w:t>
      </w:r>
      <w:r>
        <w:rPr/>
        <w:t>）或人类免疫缺陷病毒（</w:t>
      </w:r>
      <w:r>
        <w:rPr>
          <w:rFonts w:ascii="Times New Roman" w:eastAsia="Times New Roman"/>
        </w:rPr>
        <w:t>HIV</w:t>
      </w:r>
      <w:r>
        <w:rPr/>
        <w:t>）抗体。</w:t>
      </w:r>
    </w:p>
    <w:p>
      <w:pPr>
        <w:pStyle w:val="BodyText"/>
        <w:rPr>
          <w:sz w:val="17"/>
        </w:rPr>
      </w:pPr>
    </w:p>
    <w:p>
      <w:pPr>
        <w:pStyle w:val="BodyText"/>
        <w:spacing w:line="274" w:lineRule="exact"/>
        <w:ind w:left="171"/>
      </w:pPr>
      <w:r>
        <w:rPr/>
        <w:t>限定职业：</w:t>
      </w:r>
    </w:p>
    <w:p>
      <w:pPr>
        <w:pStyle w:val="BodyText"/>
        <w:ind w:left="171" w:right="203"/>
      </w:pPr>
      <w:r>
        <w:rPr/>
        <w:t>医Th和牙科医Th、护士、实验室工作人员、医院护工、医Th助理和牙医助理、 救护车工作人员、助产士、消防队员、警察、狱警。</w:t>
      </w:r>
    </w:p>
    <w:p>
      <w:pPr>
        <w:spacing w:after="0"/>
        <w:sectPr>
          <w:pgSz w:w="11900" w:h="16840"/>
          <w:pgMar w:top="1600" w:bottom="280" w:left="1100" w:right="1000"/>
          <w:cols w:num="2" w:equalWidth="0">
            <w:col w:w="2637" w:space="40"/>
            <w:col w:w="7123"/>
          </w:cols>
        </w:sectPr>
      </w:pPr>
    </w:p>
    <w:p>
      <w:pPr>
        <w:pStyle w:val="BodyText"/>
        <w:rPr>
          <w:sz w:val="15"/>
        </w:rPr>
      </w:pPr>
    </w:p>
    <w:p>
      <w:pPr>
        <w:spacing w:after="0"/>
        <w:rPr>
          <w:sz w:val="15"/>
        </w:rPr>
        <w:sectPr>
          <w:type w:val="continuous"/>
          <w:pgSz w:w="11900" w:h="16840"/>
          <w:pgMar w:top="1220" w:bottom="280" w:left="1100" w:right="1000"/>
        </w:sectPr>
      </w:pPr>
    </w:p>
    <w:p>
      <w:pPr>
        <w:pStyle w:val="ListParagraph"/>
        <w:numPr>
          <w:ilvl w:val="1"/>
          <w:numId w:val="11"/>
        </w:numPr>
        <w:tabs>
          <w:tab w:pos="1464" w:val="left" w:leader="none"/>
        </w:tabs>
        <w:spacing w:line="230" w:lineRule="auto" w:before="57" w:after="0"/>
        <w:ind w:left="1170" w:right="0" w:hanging="2"/>
        <w:jc w:val="both"/>
        <w:rPr>
          <w:sz w:val="21"/>
        </w:rPr>
      </w:pPr>
      <w:r>
        <w:rPr>
          <w:spacing w:val="20"/>
          <w:sz w:val="21"/>
        </w:rPr>
        <w:t>经输血导致</w:t>
      </w:r>
      <w:r>
        <w:rPr>
          <w:spacing w:val="-30"/>
          <w:sz w:val="21"/>
        </w:rPr>
        <w:t>的 人 类 免 疫 缺陷病毒（</w:t>
      </w:r>
      <w:r>
        <w:rPr>
          <w:rFonts w:ascii="Times New Roman" w:eastAsia="Times New Roman"/>
          <w:b/>
          <w:spacing w:val="-30"/>
          <w:sz w:val="21"/>
        </w:rPr>
        <w:t>HIV</w:t>
      </w:r>
      <w:r>
        <w:rPr>
          <w:spacing w:val="-30"/>
          <w:sz w:val="21"/>
        </w:rPr>
        <w:t>） 感染</w:t>
      </w:r>
    </w:p>
    <w:p>
      <w:pPr>
        <w:pStyle w:val="BodyText"/>
        <w:spacing w:line="282" w:lineRule="exact" w:before="43"/>
        <w:ind w:left="171"/>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71"/>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8"/>
        <w:ind w:left="171" w:right="123"/>
      </w:pPr>
      <w:r>
        <w:rPr/>
        <w:t>（</w:t>
      </w:r>
      <w:r>
        <w:rPr>
          <w:rFonts w:ascii="Times New Roman" w:eastAsia="Times New Roman"/>
        </w:rPr>
        <w:t>2</w:t>
      </w:r>
      <w:r>
        <w:rPr/>
        <w:t>）提供输血治疗的输血中心或医院出具该项输血感染属医疗责任事故的报告，或经法院终审判决为医疗责任；</w:t>
      </w:r>
    </w:p>
    <w:p>
      <w:pPr>
        <w:pStyle w:val="BodyText"/>
        <w:spacing w:line="289" w:lineRule="exact"/>
        <w:ind w:left="171"/>
      </w:pPr>
      <w:r>
        <w:rPr/>
        <w:t>（</w:t>
      </w:r>
      <w:r>
        <w:rPr>
          <w:rFonts w:ascii="Times New Roman" w:eastAsia="Times New Roman"/>
        </w:rPr>
        <w:t>3</w:t>
      </w:r>
      <w:r>
        <w:rPr/>
        <w:t>）受感染的被保险人不是血友病患者。</w:t>
      </w:r>
    </w:p>
    <w:p>
      <w:pPr>
        <w:pStyle w:val="BodyText"/>
        <w:spacing w:before="4"/>
        <w:rPr>
          <w:sz w:val="18"/>
        </w:rPr>
      </w:pPr>
    </w:p>
    <w:p>
      <w:pPr>
        <w:pStyle w:val="BodyText"/>
        <w:spacing w:line="225" w:lineRule="auto"/>
        <w:ind w:left="171" w:right="98"/>
      </w:pPr>
      <w:r>
        <w:rPr>
          <w:spacing w:val="-3"/>
        </w:rPr>
        <w:t>在任何治愈艾滋病</w:t>
      </w:r>
      <w:r>
        <w:rPr/>
        <w:t>（</w:t>
      </w:r>
      <w:r>
        <w:rPr>
          <w:rFonts w:ascii="Times New Roman" w:eastAsia="Times New Roman"/>
        </w:rPr>
        <w:t>AIDS</w:t>
      </w:r>
      <w:r>
        <w:rPr/>
        <w:t>）</w:t>
      </w:r>
      <w:r>
        <w:rPr>
          <w:spacing w:val="-3"/>
        </w:rPr>
        <w:t>或阻止人类免疫缺陷病毒</w:t>
      </w:r>
      <w:r>
        <w:rPr/>
        <w:t>（</w:t>
      </w:r>
      <w:r>
        <w:rPr>
          <w:rFonts w:ascii="Times New Roman" w:eastAsia="Times New Roman"/>
        </w:rPr>
        <w:t>HIV</w:t>
      </w:r>
      <w:r>
        <w:rPr/>
        <w:t>）</w:t>
      </w:r>
      <w:r>
        <w:rPr>
          <w:spacing w:val="-3"/>
        </w:rPr>
        <w:t>作用的疗法</w:t>
      </w:r>
      <w:r>
        <w:rPr>
          <w:spacing w:val="-7"/>
        </w:rPr>
        <w:t>被发现以后，或能防止艾滋病</w:t>
      </w:r>
      <w:r>
        <w:rPr/>
        <w:t>（</w:t>
      </w:r>
      <w:r>
        <w:rPr>
          <w:rFonts w:ascii="Times New Roman" w:eastAsia="Times New Roman"/>
        </w:rPr>
        <w:t>AIDS</w:t>
      </w:r>
      <w:r>
        <w:rPr/>
        <w:t>）</w:t>
      </w:r>
      <w:r>
        <w:rPr>
          <w:spacing w:val="-3"/>
        </w:rPr>
        <w:t> 发生的医疗方法被研究出来以后， 本保障将不再予以赔付。</w:t>
      </w:r>
    </w:p>
    <w:p>
      <w:pPr>
        <w:pStyle w:val="BodyText"/>
        <w:rPr>
          <w:sz w:val="19"/>
        </w:rPr>
      </w:pPr>
    </w:p>
    <w:p>
      <w:pPr>
        <w:pStyle w:val="BodyText"/>
        <w:spacing w:line="230" w:lineRule="auto"/>
        <w:ind w:left="171" w:right="201"/>
        <w:jc w:val="both"/>
      </w:pPr>
      <w:r>
        <w:rPr/>
        <w:t>任何因其它传播方式（包括：性传播或静脉注射毒品）导致的人类免疫缺陷病毒（</w:t>
      </w:r>
      <w:r>
        <w:rPr>
          <w:rFonts w:ascii="Times New Roman" w:eastAsia="Times New Roman"/>
        </w:rPr>
        <w:t>HIV</w:t>
      </w:r>
      <w:r>
        <w:rPr/>
        <w:t>）感染不在本附加合同保障范围内。我们必须拥有获得使用被保险人的所有血液样本的权利和能够对这些样本进行独立检验的权利。</w:t>
      </w:r>
    </w:p>
    <w:p>
      <w:pPr>
        <w:spacing w:after="0" w:line="230" w:lineRule="auto"/>
        <w:jc w:val="both"/>
        <w:sectPr>
          <w:type w:val="continuous"/>
          <w:pgSz w:w="11900" w:h="16840"/>
          <w:pgMar w:top="1220" w:bottom="280" w:left="1100" w:right="1000"/>
          <w:cols w:num="2" w:equalWidth="0">
            <w:col w:w="2637" w:space="40"/>
            <w:col w:w="7123"/>
          </w:cols>
        </w:sectPr>
      </w:pPr>
    </w:p>
    <w:p>
      <w:pPr>
        <w:pStyle w:val="BodyText"/>
        <w:spacing w:before="1"/>
        <w:rPr>
          <w:sz w:val="15"/>
        </w:rPr>
      </w:pPr>
    </w:p>
    <w:p>
      <w:pPr>
        <w:spacing w:after="0"/>
        <w:rPr>
          <w:sz w:val="15"/>
        </w:rPr>
        <w:sectPr>
          <w:type w:val="continuous"/>
          <w:pgSz w:w="11900" w:h="16840"/>
          <w:pgMar w:top="1220" w:bottom="280" w:left="1100" w:right="1000"/>
        </w:sectPr>
      </w:pPr>
    </w:p>
    <w:p>
      <w:pPr>
        <w:pStyle w:val="ListParagraph"/>
        <w:numPr>
          <w:ilvl w:val="1"/>
          <w:numId w:val="11"/>
        </w:numPr>
        <w:tabs>
          <w:tab w:pos="1464" w:val="left" w:leader="none"/>
        </w:tabs>
        <w:spacing w:line="223" w:lineRule="auto" w:before="66" w:after="0"/>
        <w:ind w:left="1170" w:right="0" w:hanging="2"/>
        <w:jc w:val="left"/>
        <w:rPr>
          <w:sz w:val="21"/>
        </w:rPr>
      </w:pPr>
      <w:r>
        <w:rPr>
          <w:spacing w:val="20"/>
          <w:sz w:val="21"/>
        </w:rPr>
        <w:t>严重类风湿</w:t>
      </w:r>
      <w:r>
        <w:rPr>
          <w:spacing w:val="8"/>
          <w:sz w:val="21"/>
        </w:rPr>
        <w:t>性关节炎</w:t>
      </w:r>
    </w:p>
    <w:p>
      <w:pPr>
        <w:pStyle w:val="BodyText"/>
        <w:spacing w:line="235" w:lineRule="auto" w:before="49"/>
        <w:ind w:left="173" w:right="201"/>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 </w:t>
      </w:r>
      <w:r>
        <w:rPr>
          <w:rFonts w:ascii="Times New Roman" w:eastAsia="Times New Roman"/>
        </w:rPr>
        <w:t>IV </w:t>
      </w:r>
      <w:r>
        <w:rPr>
          <w:spacing w:val="-2"/>
        </w:rPr>
        <w:t>级的永久不可逆性关节</w:t>
      </w:r>
      <w:r>
        <w:rPr>
          <w:spacing w:val="-3"/>
        </w:rPr>
        <w:t>功能障碍（生活不能自理，且丧失工作能力）并且满足下列全部条件：</w:t>
      </w:r>
    </w:p>
    <w:p>
      <w:pPr>
        <w:pStyle w:val="BodyText"/>
        <w:spacing w:line="279" w:lineRule="exact"/>
        <w:ind w:left="173"/>
        <w:jc w:val="both"/>
      </w:pPr>
      <w:r>
        <w:rPr/>
        <w:t>（</w:t>
      </w:r>
      <w:r>
        <w:rPr>
          <w:rFonts w:ascii="Times New Roman" w:eastAsia="Times New Roman"/>
        </w:rPr>
        <w:t>1</w:t>
      </w:r>
      <w:r>
        <w:rPr/>
        <w:t>）晨僵；</w:t>
      </w:r>
    </w:p>
    <w:p>
      <w:pPr>
        <w:pStyle w:val="BodyText"/>
        <w:spacing w:line="274" w:lineRule="exact"/>
        <w:ind w:left="173"/>
        <w:jc w:val="both"/>
      </w:pPr>
      <w:r>
        <w:rPr/>
        <w:t>（</w:t>
      </w:r>
      <w:r>
        <w:rPr>
          <w:rFonts w:ascii="Times New Roman" w:eastAsia="Times New Roman"/>
        </w:rPr>
        <w:t>2</w:t>
      </w:r>
      <w:r>
        <w:rPr/>
        <w:t>）对称性关节炎；</w:t>
      </w:r>
    </w:p>
    <w:p>
      <w:pPr>
        <w:pStyle w:val="BodyText"/>
        <w:spacing w:line="274" w:lineRule="exact"/>
        <w:ind w:left="173"/>
        <w:jc w:val="both"/>
      </w:pPr>
      <w:r>
        <w:rPr/>
        <w:t>（</w:t>
      </w:r>
      <w:r>
        <w:rPr>
          <w:rFonts w:ascii="Times New Roman" w:eastAsia="Times New Roman"/>
        </w:rPr>
        <w:t>3</w:t>
      </w:r>
      <w:r>
        <w:rPr/>
        <w:t>）类风湿性皮下结节；</w:t>
      </w:r>
    </w:p>
    <w:p>
      <w:pPr>
        <w:pStyle w:val="BodyText"/>
        <w:spacing w:line="272" w:lineRule="exact"/>
        <w:ind w:left="173"/>
        <w:jc w:val="both"/>
      </w:pPr>
      <w:r>
        <w:rPr/>
        <w:t>（</w:t>
      </w:r>
      <w:r>
        <w:rPr>
          <w:rFonts w:ascii="Times New Roman" w:eastAsia="Times New Roman"/>
        </w:rPr>
        <w:t>4</w:t>
      </w:r>
      <w:r>
        <w:rPr/>
        <w:t>）类风湿因子滴度升高；</w:t>
      </w:r>
    </w:p>
    <w:p>
      <w:pPr>
        <w:pStyle w:val="BodyText"/>
        <w:spacing w:line="281" w:lineRule="exact"/>
        <w:ind w:left="17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1" w:lineRule="exact"/>
        <w:jc w:val="both"/>
        <w:sectPr>
          <w:type w:val="continuous"/>
          <w:pgSz w:w="11900" w:h="16840"/>
          <w:pgMar w:top="1220" w:bottom="280" w:left="1100" w:right="1000"/>
          <w:cols w:num="2" w:equalWidth="0">
            <w:col w:w="2635" w:space="40"/>
            <w:col w:w="7125"/>
          </w:cols>
        </w:sectPr>
      </w:pPr>
    </w:p>
    <w:p>
      <w:pPr>
        <w:pStyle w:val="BodyText"/>
        <w:spacing w:before="12"/>
        <w:rPr>
          <w:sz w:val="13"/>
        </w:rPr>
      </w:pPr>
    </w:p>
    <w:p>
      <w:pPr>
        <w:pStyle w:val="BodyText"/>
        <w:spacing w:line="230" w:lineRule="auto" w:before="57"/>
        <w:ind w:left="2847" w:right="203" w:hanging="1680"/>
        <w:jc w:val="both"/>
      </w:pPr>
      <w:r>
        <w:rPr>
          <w:rFonts w:ascii="Times New Roman" w:eastAsia="Times New Roman"/>
          <w:b/>
        </w:rPr>
        <w:t>38.</w:t>
      </w:r>
      <w:r>
        <w:rPr>
          <w:spacing w:val="-3"/>
        </w:rPr>
        <w:t>疾病末期    被保险人经医生诊断确定为严重疾病末期，并经专科医生认定其所患疾病依现有医疗技术无法治愈且根据医学及临床经验其平均存活期间在六个月以下。</w:t>
      </w:r>
    </w:p>
    <w:p>
      <w:pPr>
        <w:pStyle w:val="BodyText"/>
        <w:rPr>
          <w:sz w:val="20"/>
        </w:rPr>
      </w:pPr>
    </w:p>
    <w:p>
      <w:pPr>
        <w:pStyle w:val="BodyText"/>
        <w:spacing w:before="12"/>
        <w:rPr>
          <w:sz w:val="16"/>
        </w:rPr>
      </w:pPr>
    </w:p>
    <w:p>
      <w:pPr>
        <w:pStyle w:val="BodyText"/>
        <w:tabs>
          <w:tab w:pos="1170" w:val="left" w:leader="none"/>
          <w:tab w:pos="2847" w:val="left" w:leader="none"/>
        </w:tabs>
        <w:ind w:left="114"/>
      </w:pPr>
      <w:r>
        <w:rPr/>
        <w:t>附表</w:t>
      </w:r>
      <w:r>
        <w:rPr>
          <w:spacing w:val="-3"/>
        </w:rPr>
        <w:t>二</w:t>
      </w:r>
      <w:r>
        <w:rPr/>
        <w:t>：</w:t>
        <w:tab/>
        <w:t>轻症</w:t>
      </w:r>
      <w:r>
        <w:rPr>
          <w:spacing w:val="-3"/>
        </w:rPr>
        <w:t>疾</w:t>
      </w:r>
      <w:r>
        <w:rPr/>
        <w:t>病列表</w:t>
        <w:tab/>
        <w:t>本附</w:t>
      </w:r>
      <w:r>
        <w:rPr>
          <w:spacing w:val="-3"/>
        </w:rPr>
        <w:t>加</w:t>
      </w:r>
      <w:r>
        <w:rPr/>
        <w:t>合</w:t>
      </w:r>
      <w:r>
        <w:rPr>
          <w:spacing w:val="-3"/>
        </w:rPr>
        <w:t>同</w:t>
      </w:r>
      <w:r>
        <w:rPr/>
        <w:t>所</w:t>
      </w:r>
      <w:r>
        <w:rPr>
          <w:spacing w:val="-3"/>
        </w:rPr>
        <w:t>指</w:t>
      </w:r>
      <w:r>
        <w:rPr/>
        <w:t>轻</w:t>
      </w:r>
      <w:r>
        <w:rPr>
          <w:spacing w:val="-3"/>
        </w:rPr>
        <w:t>症</w:t>
      </w:r>
      <w:r>
        <w:rPr/>
        <w:t>疾</w:t>
      </w:r>
      <w:r>
        <w:rPr>
          <w:spacing w:val="-3"/>
        </w:rPr>
        <w:t>病</w:t>
      </w:r>
      <w:r>
        <w:rPr/>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p>
    <w:p>
      <w:pPr>
        <w:pStyle w:val="BodyText"/>
        <w:rPr>
          <w:sz w:val="9"/>
        </w:rPr>
      </w:pPr>
    </w:p>
    <w:p>
      <w:pPr>
        <w:spacing w:after="0"/>
        <w:rPr>
          <w:sz w:val="9"/>
        </w:rPr>
        <w:sectPr>
          <w:type w:val="continuous"/>
          <w:pgSz w:w="11900" w:h="16840"/>
          <w:pgMar w:top="1220" w:bottom="280" w:left="1100" w:right="1000"/>
        </w:sectPr>
      </w:pPr>
    </w:p>
    <w:p>
      <w:pPr>
        <w:pStyle w:val="BodyText"/>
        <w:spacing w:line="232" w:lineRule="auto" w:before="55"/>
        <w:ind w:left="1170" w:hanging="3"/>
        <w:jc w:val="both"/>
      </w:pPr>
      <w:r>
        <w:rPr>
          <w:rFonts w:ascii="Times New Roman" w:eastAsia="Times New Roman"/>
          <w:b/>
          <w:spacing w:val="2"/>
        </w:rPr>
        <w:t>1.</w:t>
      </w:r>
      <w:r>
        <w:rPr>
          <w:spacing w:val="3"/>
        </w:rPr>
        <w:t>极早期的恶性</w:t>
      </w:r>
      <w:r>
        <w:rPr>
          <w:spacing w:val="-32"/>
        </w:rPr>
        <w:t>肿 瘤 或 恶 性 病变</w:t>
      </w:r>
    </w:p>
    <w:p>
      <w:pPr>
        <w:pStyle w:val="BodyText"/>
        <w:spacing w:line="244" w:lineRule="auto" w:before="55"/>
        <w:ind w:left="171" w:right="237"/>
      </w:pPr>
      <w:r>
        <w:rPr/>
        <w:br w:type="column"/>
      </w:r>
      <w:r>
        <w:rPr/>
        <w:t>指经组织病理学检查被明确诊断为下列恶性病变，并且接受了相应的治疗。</w:t>
      </w:r>
    </w:p>
    <w:p>
      <w:pPr>
        <w:pStyle w:val="BodyText"/>
        <w:spacing w:line="285" w:lineRule="exact" w:before="1"/>
        <w:ind w:left="171"/>
      </w:pPr>
      <w:r>
        <w:rPr/>
        <w:t>（</w:t>
      </w:r>
      <w:r>
        <w:rPr>
          <w:rFonts w:ascii="Times New Roman" w:eastAsia="Times New Roman"/>
        </w:rPr>
        <w:t>1</w:t>
      </w:r>
      <w:r>
        <w:rPr/>
        <w:t>）原位癌；</w:t>
      </w:r>
    </w:p>
    <w:p>
      <w:pPr>
        <w:pStyle w:val="BodyText"/>
        <w:spacing w:line="285" w:lineRule="exact"/>
        <w:ind w:left="17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spacing w:after="0" w:line="285" w:lineRule="exact"/>
        <w:sectPr>
          <w:type w:val="continuous"/>
          <w:pgSz w:w="11900" w:h="16840"/>
          <w:pgMar w:top="1220" w:bottom="280" w:left="1100" w:right="1000"/>
          <w:cols w:num="2" w:equalWidth="0">
            <w:col w:w="2637" w:space="40"/>
            <w:col w:w="7123"/>
          </w:cols>
        </w:sectPr>
      </w:pPr>
    </w:p>
    <w:p>
      <w:pPr>
        <w:pStyle w:val="BodyText"/>
        <w:spacing w:line="285" w:lineRule="exact" w:before="18"/>
        <w:ind w:left="226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0" w:lineRule="exact"/>
        <w:ind w:left="2268"/>
      </w:pPr>
      <w:r>
        <w:rPr/>
        <w:t>（</w:t>
      </w:r>
      <w:r>
        <w:rPr>
          <w:rFonts w:ascii="Times New Roman" w:eastAsia="Times New Roman"/>
        </w:rPr>
        <w:t>4</w:t>
      </w:r>
      <w:r>
        <w:rPr/>
        <w:t>）皮肤癌（不包括恶性黑色素瘤及已发Th转移的皮肤癌）；</w:t>
      </w:r>
    </w:p>
    <w:p>
      <w:pPr>
        <w:pStyle w:val="BodyText"/>
        <w:spacing w:line="286" w:lineRule="exact"/>
        <w:ind w:left="2268"/>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7"/>
        <w:rPr>
          <w:sz w:val="19"/>
        </w:rPr>
      </w:pPr>
    </w:p>
    <w:p>
      <w:pPr>
        <w:pStyle w:val="BodyText"/>
        <w:ind w:left="2268" w:right="103"/>
        <w:jc w:val="both"/>
      </w:pPr>
      <w:r>
        <w:rPr/>
        <w:t>原位癌指恶性细胞局限于上皮内尚未穿破基底膜浸润周围正常组织的癌细胞新生物。原位癌必须经对固定活组织的组织病理学检查确诊。被保险人必须已经接受了针对原位癌病灶的积极治疗。</w:t>
      </w:r>
    </w:p>
    <w:p>
      <w:pPr>
        <w:pStyle w:val="BodyText"/>
        <w:spacing w:before="11"/>
        <w:rPr>
          <w:sz w:val="17"/>
        </w:rPr>
      </w:pPr>
    </w:p>
    <w:p>
      <w:pPr>
        <w:spacing w:after="0"/>
        <w:rPr>
          <w:sz w:val="17"/>
        </w:rPr>
        <w:sectPr>
          <w:pgSz w:w="11900" w:h="16840"/>
          <w:pgMar w:top="1260" w:bottom="280" w:left="1680" w:right="1100"/>
        </w:sectPr>
      </w:pPr>
    </w:p>
    <w:p>
      <w:pPr>
        <w:pStyle w:val="BodyText"/>
        <w:spacing w:line="225" w:lineRule="auto" w:before="63"/>
        <w:ind w:left="590" w:hanging="3"/>
      </w:pPr>
      <w:r>
        <w:rPr>
          <w:rFonts w:ascii="Times New Roman" w:eastAsia="Times New Roman"/>
          <w:b/>
        </w:rPr>
        <w:t>2.</w:t>
      </w:r>
      <w:r>
        <w:rPr/>
        <w:t>不典型的急性心肌梗塞</w:t>
      </w:r>
    </w:p>
    <w:p>
      <w:pPr>
        <w:pStyle w:val="BodyText"/>
        <w:spacing w:line="244" w:lineRule="auto" w:before="55"/>
        <w:ind w:left="171" w:right="92"/>
      </w:pPr>
      <w:r>
        <w:rPr/>
        <w:br w:type="column"/>
      </w: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70" w:lineRule="exact"/>
        <w:ind w:left="171"/>
      </w:pPr>
      <w:r>
        <w:rPr/>
        <w:t>（</w:t>
      </w:r>
      <w:r>
        <w:rPr>
          <w:rFonts w:ascii="Times New Roman" w:eastAsia="Times New Roman"/>
        </w:rPr>
        <w:t>1</w:t>
      </w:r>
      <w:r>
        <w:rPr/>
        <w:t>）肌钙蛋白有诊断意义的升高；</w:t>
      </w:r>
    </w:p>
    <w:p>
      <w:pPr>
        <w:pStyle w:val="BodyText"/>
        <w:spacing w:line="285" w:lineRule="exact"/>
        <w:ind w:left="171"/>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spacing w:after="0" w:line="285" w:lineRule="exact"/>
        <w:sectPr>
          <w:type w:val="continuous"/>
          <w:pgSz w:w="11900" w:h="16840"/>
          <w:pgMar w:top="1220" w:bottom="280" w:left="1680" w:right="1100"/>
          <w:cols w:num="2" w:equalWidth="0">
            <w:col w:w="2057" w:space="40"/>
            <w:col w:w="7023"/>
          </w:cols>
        </w:sectPr>
      </w:pPr>
    </w:p>
    <w:p>
      <w:pPr>
        <w:pStyle w:val="BodyText"/>
        <w:spacing w:before="5"/>
        <w:rPr>
          <w:sz w:val="16"/>
        </w:rPr>
      </w:pPr>
    </w:p>
    <w:p>
      <w:pPr>
        <w:spacing w:after="0"/>
        <w:rPr>
          <w:sz w:val="16"/>
        </w:rPr>
        <w:sectPr>
          <w:type w:val="continuous"/>
          <w:pgSz w:w="11900" w:h="16840"/>
          <w:pgMar w:top="1220" w:bottom="280" w:left="1680" w:right="1100"/>
        </w:sectPr>
      </w:pPr>
    </w:p>
    <w:p>
      <w:pPr>
        <w:pStyle w:val="BodyText"/>
        <w:spacing w:line="223" w:lineRule="auto" w:before="66"/>
        <w:ind w:left="590" w:hanging="3"/>
      </w:pPr>
      <w:r>
        <w:rPr>
          <w:rFonts w:ascii="Times New Roman" w:eastAsia="Times New Roman"/>
          <w:b/>
        </w:rPr>
        <w:t>3.</w:t>
      </w:r>
      <w:r>
        <w:rPr/>
        <w:t>冠状动脉介入手术</w:t>
      </w:r>
    </w:p>
    <w:p>
      <w:pPr>
        <w:pStyle w:val="BodyText"/>
        <w:spacing w:line="242" w:lineRule="auto" w:before="56"/>
        <w:ind w:left="171" w:right="137"/>
      </w:pPr>
      <w:r>
        <w:rPr/>
        <w:br w:type="column"/>
      </w:r>
      <w:r>
        <w:rPr/>
        <w:t>为了治疗明显的冠状动脉狭窄性疾病，首次实际实施了心导管球囊扩张术、冠状动脉支架植入术或激光冠状动脉成形术。</w:t>
      </w:r>
    </w:p>
    <w:p>
      <w:pPr>
        <w:spacing w:after="0" w:line="242" w:lineRule="auto"/>
        <w:sectPr>
          <w:type w:val="continuous"/>
          <w:pgSz w:w="11900" w:h="16840"/>
          <w:pgMar w:top="1220" w:bottom="280" w:left="1680" w:right="1100"/>
          <w:cols w:num="2" w:equalWidth="0">
            <w:col w:w="2057" w:space="40"/>
            <w:col w:w="7023"/>
          </w:cols>
        </w:sectPr>
      </w:pPr>
    </w:p>
    <w:p>
      <w:pPr>
        <w:pStyle w:val="BodyText"/>
        <w:spacing w:before="7"/>
        <w:rPr>
          <w:sz w:val="17"/>
        </w:rPr>
      </w:pPr>
    </w:p>
    <w:p>
      <w:pPr>
        <w:pStyle w:val="BodyText"/>
        <w:spacing w:line="232" w:lineRule="auto" w:before="54"/>
        <w:ind w:left="2267" w:right="134" w:hanging="1680"/>
        <w:jc w:val="both"/>
      </w:pPr>
      <w:r>
        <w:rPr>
          <w:rFonts w:ascii="Times New Roman" w:hAnsi="Times New Roman" w:eastAsia="Times New Roman"/>
          <w:b/>
          <w:position w:val="1"/>
        </w:rPr>
        <w:t>4.</w:t>
      </w:r>
      <w:r>
        <w:rPr>
          <w:spacing w:val="12"/>
          <w:position w:val="1"/>
        </w:rPr>
        <w:t>轻微脑中风 </w:t>
      </w:r>
      <w:r>
        <w:rPr>
          <w:spacing w:val="-4"/>
        </w:rPr>
        <w:t>指实际发生了脑血管的突发病变出现神经系统功能障碍表现，头颅断层扫</w:t>
      </w:r>
      <w:r>
        <w:rPr>
          <w:spacing w:val="1"/>
          <w:w w:val="100"/>
        </w:rPr>
        <w:t>描</w:t>
      </w:r>
      <w:r>
        <w:rPr>
          <w:w w:val="100"/>
        </w:rPr>
        <w:t>（</w:t>
      </w:r>
      <w:r>
        <w:rPr>
          <w:rFonts w:ascii="Times New Roman" w:hAnsi="Times New Roman" w:eastAsia="Times New Roman"/>
          <w:spacing w:val="-2"/>
          <w:w w:val="100"/>
        </w:rPr>
        <w:t>C</w:t>
      </w:r>
      <w:r>
        <w:rPr>
          <w:rFonts w:ascii="Times New Roman" w:hAnsi="Times New Roman" w:eastAsia="Times New Roman"/>
          <w:spacing w:val="2"/>
          <w:w w:val="100"/>
        </w:rPr>
        <w:t>T</w:t>
      </w:r>
      <w:r>
        <w:rPr>
          <w:spacing w:val="-106"/>
          <w:w w:val="100"/>
        </w:rPr>
        <w:t>）</w:t>
      </w:r>
      <w:r>
        <w:rPr>
          <w:w w:val="100"/>
        </w:rPr>
        <w:t>、核磁共振</w:t>
      </w:r>
      <w:r>
        <w:rPr>
          <w:spacing w:val="1"/>
          <w:w w:val="100"/>
        </w:rPr>
        <w:t>（</w:t>
      </w:r>
      <w:r>
        <w:rPr>
          <w:rFonts w:ascii="Times New Roman" w:hAnsi="Times New Roman" w:eastAsia="Times New Roman"/>
          <w:spacing w:val="-3"/>
          <w:w w:val="100"/>
        </w:rPr>
        <w:t>M</w:t>
      </w:r>
      <w:r>
        <w:rPr>
          <w:rFonts w:ascii="Times New Roman" w:hAnsi="Times New Roman" w:eastAsia="Times New Roman"/>
          <w:spacing w:val="-2"/>
          <w:w w:val="100"/>
        </w:rPr>
        <w:t>R</w:t>
      </w:r>
      <w:r>
        <w:rPr>
          <w:rFonts w:ascii="Times New Roman" w:hAnsi="Times New Roman" w:eastAsia="Times New Roman"/>
          <w:spacing w:val="-1"/>
          <w:w w:val="100"/>
        </w:rPr>
        <w:t>I</w:t>
      </w:r>
      <w:r>
        <w:rPr>
          <w:spacing w:val="1"/>
          <w:w w:val="100"/>
        </w:rPr>
        <w:t>）</w:t>
      </w:r>
      <w:r>
        <w:rPr>
          <w:w w:val="100"/>
        </w:rPr>
        <w:t>等影像学检查证实存在对应病灶，确诊为脑</w:t>
      </w:r>
      <w:r>
        <w:rPr/>
        <w:t>出</w:t>
      </w:r>
      <w:r>
        <w:rPr>
          <w:spacing w:val="-13"/>
        </w:rPr>
        <w:t>血、脑栓塞或脑梗塞，在确诊 </w:t>
      </w:r>
      <w:r>
        <w:rPr>
          <w:rFonts w:ascii="Times New Roman" w:hAnsi="Times New Roman" w:eastAsia="Times New Roman"/>
        </w:rPr>
        <w:t>180 </w:t>
      </w:r>
      <w:r>
        <w:rPr>
          <w:spacing w:val="-3"/>
        </w:rPr>
        <w:t>天后未遗留神经系统功能障碍或后遗的神经系统功能障碍程度未达到重大疾病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spacing w:val="-3"/>
        </w:rPr>
        <w:t>”</w:t>
      </w:r>
      <w:r>
        <w:rPr>
          <w:spacing w:val="-3"/>
        </w:rPr>
        <w:t>的给付标准。</w:t>
      </w:r>
    </w:p>
    <w:p>
      <w:pPr>
        <w:pStyle w:val="BodyText"/>
        <w:spacing w:before="6"/>
        <w:rPr>
          <w:sz w:val="20"/>
        </w:rPr>
      </w:pPr>
    </w:p>
    <w:p>
      <w:pPr>
        <w:pStyle w:val="BodyText"/>
        <w:ind w:left="2268"/>
      </w:pPr>
      <w:r>
        <w:rPr/>
        <w:t>短暂性脑缺血发作(TIA) 和腔隙性脑梗塞不在保障范围内。</w:t>
      </w:r>
    </w:p>
    <w:p>
      <w:pPr>
        <w:pStyle w:val="BodyText"/>
        <w:spacing w:before="6"/>
        <w:rPr>
          <w:sz w:val="17"/>
        </w:rPr>
      </w:pPr>
    </w:p>
    <w:p>
      <w:pPr>
        <w:spacing w:after="0"/>
        <w:rPr>
          <w:sz w:val="17"/>
        </w:rPr>
        <w:sectPr>
          <w:type w:val="continuous"/>
          <w:pgSz w:w="11900" w:h="16840"/>
          <w:pgMar w:top="1220" w:bottom="280" w:left="1680" w:right="1100"/>
        </w:sectPr>
      </w:pPr>
    </w:p>
    <w:p>
      <w:pPr>
        <w:pStyle w:val="BodyText"/>
        <w:spacing w:line="225" w:lineRule="auto" w:before="63"/>
        <w:ind w:left="590" w:hanging="3"/>
      </w:pPr>
      <w:r>
        <w:rPr>
          <w:rFonts w:ascii="Times New Roman" w:eastAsia="Times New Roman"/>
          <w:b/>
        </w:rPr>
        <w:t>5.</w:t>
      </w:r>
      <w:r>
        <w:rPr/>
        <w:t>心脏瓣膜介入手术</w:t>
      </w:r>
    </w:p>
    <w:p>
      <w:pPr>
        <w:pStyle w:val="BodyText"/>
        <w:spacing w:line="244" w:lineRule="auto" w:before="55"/>
        <w:ind w:left="171" w:right="94"/>
      </w:pPr>
      <w:r>
        <w:rPr/>
        <w:br w:type="column"/>
      </w:r>
      <w:r>
        <w:rPr/>
        <w:t>为了治疗心脏瓣膜疾病，实际实施了非开胸的经胸壁打孔内镜手术或经皮经导管介入手术进行的心脏瓣膜置换或修复手术。</w:t>
      </w:r>
    </w:p>
    <w:p>
      <w:pPr>
        <w:spacing w:after="0" w:line="244" w:lineRule="auto"/>
        <w:sectPr>
          <w:type w:val="continuous"/>
          <w:pgSz w:w="11900" w:h="16840"/>
          <w:pgMar w:top="1220" w:bottom="280" w:left="1680" w:right="1100"/>
          <w:cols w:num="2" w:equalWidth="0">
            <w:col w:w="2057" w:space="40"/>
            <w:col w:w="7023"/>
          </w:cols>
        </w:sectPr>
      </w:pPr>
    </w:p>
    <w:p>
      <w:pPr>
        <w:pStyle w:val="BodyText"/>
        <w:spacing w:before="2"/>
        <w:rPr>
          <w:sz w:val="17"/>
        </w:rPr>
      </w:pPr>
    </w:p>
    <w:p>
      <w:pPr>
        <w:pStyle w:val="BodyText"/>
        <w:tabs>
          <w:tab w:pos="2267" w:val="left" w:leader="none"/>
        </w:tabs>
        <w:spacing w:before="45"/>
        <w:ind w:left="2267" w:right="134" w:hanging="1680"/>
      </w:pPr>
      <w:r>
        <w:rPr>
          <w:rFonts w:ascii="Times New Roman" w:hAnsi="Times New Roman" w:eastAsia="Times New Roman"/>
          <w:b/>
          <w:position w:val="1"/>
        </w:rPr>
        <w:t>6.</w:t>
      </w:r>
      <w:r>
        <w:rPr>
          <w:position w:val="1"/>
        </w:rPr>
        <w:t>视力严重</w:t>
      </w:r>
      <w:r>
        <w:rPr>
          <w:spacing w:val="-3"/>
          <w:position w:val="1"/>
        </w:rPr>
        <w:t>受</w:t>
      </w:r>
      <w:r>
        <w:rPr>
          <w:position w:val="1"/>
        </w:rPr>
        <w:t>损</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双目</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2"/>
        </w:rPr>
        <w:t>，</w:t>
      </w:r>
      <w:r>
        <w:rPr/>
        <w:t>虽</w:t>
      </w:r>
      <w:r>
        <w:rPr>
          <w:spacing w:val="-3"/>
        </w:rPr>
        <w:t>然</w:t>
      </w:r>
      <w:r>
        <w:rPr/>
        <w:t>未</w:t>
      </w:r>
      <w:r>
        <w:rPr>
          <w:spacing w:val="-3"/>
        </w:rPr>
        <w:t>达</w:t>
      </w:r>
      <w:r>
        <w:rPr/>
        <w:t>到</w:t>
      </w:r>
      <w:r>
        <w:rPr>
          <w:spacing w:val="-3"/>
        </w:rPr>
        <w:t>重</w:t>
      </w:r>
      <w:r>
        <w:rPr/>
        <w:t>大疾 </w:t>
      </w:r>
      <w:r>
        <w:rPr>
          <w:spacing w:val="-1"/>
        </w:rPr>
        <w:t>病</w:t>
      </w:r>
      <w:r>
        <w:rPr>
          <w:rFonts w:ascii="Times New Roman" w:hAnsi="Times New Roman" w:eastAsia="Times New Roman"/>
          <w:spacing w:val="-1"/>
        </w:rPr>
        <w:t>“</w:t>
      </w:r>
      <w:r>
        <w:rPr>
          <w:spacing w:val="-3"/>
        </w:rPr>
        <w:t>双</w:t>
      </w:r>
      <w:r>
        <w:rPr/>
        <w:t>目</w:t>
      </w:r>
      <w:r>
        <w:rPr>
          <w:spacing w:val="-3"/>
        </w:rPr>
        <w:t>失</w:t>
      </w:r>
      <w:r>
        <w:rPr/>
        <w:t>明</w:t>
      </w:r>
      <w:r>
        <w:rPr>
          <w:rFonts w:ascii="Times New Roman" w:hAnsi="Times New Roman" w:eastAsia="Times New Roman"/>
        </w:rPr>
        <w:t>”</w:t>
      </w:r>
      <w:r>
        <w:rPr>
          <w:spacing w:val="-3"/>
        </w:rPr>
        <w:t>的</w:t>
      </w:r>
      <w:r>
        <w:rPr/>
        <w:t>给</w:t>
      </w:r>
      <w:r>
        <w:rPr>
          <w:spacing w:val="-3"/>
        </w:rPr>
        <w:t>付</w:t>
      </w:r>
      <w:r>
        <w:rPr/>
        <w:t>标</w:t>
      </w:r>
      <w:r>
        <w:rPr>
          <w:spacing w:val="-3"/>
        </w:rPr>
        <w:t>准</w:t>
      </w:r>
      <w:r>
        <w:rPr/>
        <w:t>，但</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line="230" w:lineRule="auto" w:before="1"/>
        <w:ind w:left="2268" w:right="137"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5"/>
        <w:ind w:left="2268"/>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6"/>
        <w:rPr>
          <w:sz w:val="20"/>
        </w:rPr>
      </w:pPr>
    </w:p>
    <w:p>
      <w:pPr>
        <w:pStyle w:val="BodyText"/>
        <w:spacing w:line="244" w:lineRule="auto"/>
        <w:ind w:left="2267" w:right="139"/>
      </w:pPr>
      <w:r>
        <w:rPr>
          <w:spacing w:val="-6"/>
        </w:rPr>
        <w:t>申请理赔时，被保险人年龄必须在 </w:t>
      </w:r>
      <w:r>
        <w:rPr/>
        <w:t>3</w:t>
      </w:r>
      <w:r>
        <w:rPr>
          <w:spacing w:val="-8"/>
        </w:rPr>
        <w:t> 周岁以上，并且须提供理赔当时的视</w:t>
      </w:r>
      <w:r>
        <w:rPr>
          <w:spacing w:val="-5"/>
        </w:rPr>
        <w:t>力丧失诊断及检查证据。</w:t>
      </w:r>
    </w:p>
    <w:p>
      <w:pPr>
        <w:pStyle w:val="BodyText"/>
        <w:spacing w:before="2"/>
        <w:rPr>
          <w:sz w:val="17"/>
        </w:rPr>
      </w:pPr>
    </w:p>
    <w:p>
      <w:pPr>
        <w:spacing w:after="0"/>
        <w:rPr>
          <w:sz w:val="17"/>
        </w:rPr>
        <w:sectPr>
          <w:type w:val="continuous"/>
          <w:pgSz w:w="11900" w:h="16840"/>
          <w:pgMar w:top="1220" w:bottom="280" w:left="1680" w:right="1100"/>
        </w:sectPr>
      </w:pPr>
    </w:p>
    <w:p>
      <w:pPr>
        <w:spacing w:line="282" w:lineRule="exact" w:before="46"/>
        <w:ind w:left="587" w:right="0" w:firstLine="0"/>
        <w:jc w:val="left"/>
        <w:rPr>
          <w:sz w:val="21"/>
        </w:rPr>
      </w:pPr>
      <w:r>
        <w:rPr>
          <w:rFonts w:ascii="Times New Roman" w:hAnsi="Times New Roman" w:eastAsia="Times New Roman"/>
          <w:b/>
          <w:sz w:val="21"/>
        </w:rPr>
        <w:t>7. </w:t>
      </w:r>
      <w:r>
        <w:rPr>
          <w:spacing w:val="-25"/>
          <w:sz w:val="21"/>
        </w:rPr>
        <w:t>较 小 面 积 Ⅲ</w:t>
      </w:r>
    </w:p>
    <w:p>
      <w:pPr>
        <w:pStyle w:val="BodyText"/>
        <w:spacing w:line="266" w:lineRule="exact"/>
        <w:ind w:left="590"/>
      </w:pPr>
      <w:r>
        <w:rPr/>
        <w:t>度烧伤</w:t>
      </w:r>
    </w:p>
    <w:p>
      <w:pPr>
        <w:pStyle w:val="BodyText"/>
        <w:spacing w:line="232" w:lineRule="auto" w:before="64"/>
        <w:ind w:left="173" w:right="91"/>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2" w:lineRule="auto"/>
        <w:sectPr>
          <w:type w:val="continuous"/>
          <w:pgSz w:w="11900" w:h="16840"/>
          <w:pgMar w:top="1220" w:bottom="280" w:left="1680" w:right="1100"/>
          <w:cols w:num="2" w:equalWidth="0">
            <w:col w:w="2055" w:space="40"/>
            <w:col w:w="7025"/>
          </w:cols>
        </w:sectPr>
      </w:pPr>
    </w:p>
    <w:p>
      <w:pPr>
        <w:pStyle w:val="BodyText"/>
        <w:spacing w:before="6"/>
        <w:rPr>
          <w:sz w:val="17"/>
        </w:rPr>
      </w:pPr>
    </w:p>
    <w:p>
      <w:pPr>
        <w:pStyle w:val="BodyText"/>
        <w:tabs>
          <w:tab w:pos="2267" w:val="left" w:leader="none"/>
        </w:tabs>
        <w:spacing w:before="45"/>
        <w:ind w:left="587"/>
      </w:pPr>
      <w:r>
        <w:rPr>
          <w:rFonts w:ascii="Times New Roman" w:eastAsia="Times New Roman"/>
          <w:b/>
          <w:position w:val="1"/>
        </w:rPr>
        <w:t>8.</w:t>
      </w:r>
      <w:r>
        <w:rPr>
          <w:position w:val="1"/>
        </w:rPr>
        <w:t>主动脉内</w:t>
      </w:r>
      <w:r>
        <w:rPr>
          <w:spacing w:val="-3"/>
          <w:position w:val="1"/>
        </w:rPr>
        <w:t>手</w:t>
      </w:r>
      <w:r>
        <w:rPr>
          <w:position w:val="1"/>
        </w:rPr>
        <w:t>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5"/>
      </w:pPr>
    </w:p>
    <w:p>
      <w:pPr>
        <w:pStyle w:val="BodyText"/>
        <w:ind w:left="2267"/>
      </w:pPr>
      <w:r>
        <w:rPr/>
        <w:t>主动脉指胸主动脉和腹主动脉，不包括胸主动脉和腹主动脉的分支血管。</w:t>
      </w:r>
    </w:p>
    <w:p>
      <w:pPr>
        <w:pStyle w:val="BodyText"/>
        <w:spacing w:before="6"/>
        <w:rPr>
          <w:sz w:val="17"/>
        </w:rPr>
      </w:pPr>
    </w:p>
    <w:p>
      <w:pPr>
        <w:spacing w:after="0"/>
        <w:rPr>
          <w:sz w:val="17"/>
        </w:rPr>
        <w:sectPr>
          <w:type w:val="continuous"/>
          <w:pgSz w:w="11900" w:h="16840"/>
          <w:pgMar w:top="1220" w:bottom="280" w:left="1680" w:right="1100"/>
        </w:sectPr>
      </w:pPr>
    </w:p>
    <w:p>
      <w:pPr>
        <w:pStyle w:val="BodyText"/>
        <w:spacing w:line="230" w:lineRule="auto" w:before="57"/>
        <w:ind w:left="590" w:hanging="3"/>
        <w:jc w:val="both"/>
      </w:pPr>
      <w:r>
        <w:rPr>
          <w:rFonts w:ascii="Times New Roman" w:eastAsia="Times New Roman"/>
          <w:b/>
          <w:spacing w:val="2"/>
        </w:rPr>
        <w:t>9.</w:t>
      </w:r>
      <w:r>
        <w:rPr>
          <w:spacing w:val="3"/>
        </w:rPr>
        <w:t>脑垂体瘤、脑</w:t>
      </w:r>
      <w:r>
        <w:rPr>
          <w:spacing w:val="-2"/>
        </w:rPr>
        <w:t>囊肿、脑动脉瘤</w:t>
      </w:r>
      <w:r>
        <w:rPr>
          <w:spacing w:val="-3"/>
        </w:rPr>
        <w:t>及脑血管瘤</w:t>
      </w:r>
    </w:p>
    <w:p>
      <w:pPr>
        <w:pStyle w:val="BodyText"/>
        <w:spacing w:line="232" w:lineRule="auto" w:before="64"/>
        <w:ind w:left="171" w:right="137"/>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6" w:lineRule="exact" w:before="3"/>
        <w:ind w:left="171"/>
      </w:pPr>
      <w:r>
        <w:rPr/>
        <w:t>（</w:t>
      </w:r>
      <w:r>
        <w:rPr>
          <w:rFonts w:ascii="Times New Roman" w:eastAsia="Times New Roman"/>
        </w:rPr>
        <w:t>1</w:t>
      </w:r>
      <w:r>
        <w:rPr/>
        <w:t>）脑垂体瘤；</w:t>
      </w:r>
    </w:p>
    <w:p>
      <w:pPr>
        <w:pStyle w:val="BodyText"/>
        <w:spacing w:line="281" w:lineRule="exact"/>
        <w:ind w:left="171"/>
      </w:pPr>
      <w:r>
        <w:rPr/>
        <w:t>（</w:t>
      </w:r>
      <w:r>
        <w:rPr>
          <w:rFonts w:ascii="Times New Roman" w:eastAsia="Times New Roman"/>
        </w:rPr>
        <w:t>2</w:t>
      </w:r>
      <w:r>
        <w:rPr/>
        <w:t>）脑囊肿；</w:t>
      </w:r>
    </w:p>
    <w:p>
      <w:pPr>
        <w:pStyle w:val="BodyText"/>
        <w:spacing w:line="286" w:lineRule="exact"/>
        <w:ind w:left="171"/>
      </w:pPr>
      <w:r>
        <w:rPr/>
        <w:t>（</w:t>
      </w:r>
      <w:r>
        <w:rPr>
          <w:rFonts w:ascii="Times New Roman" w:eastAsia="Times New Roman"/>
        </w:rPr>
        <w:t>3</w:t>
      </w:r>
      <w:r>
        <w:rPr/>
        <w:t>）脑动脉瘤、脑血管瘤。</w:t>
      </w:r>
    </w:p>
    <w:p>
      <w:pPr>
        <w:spacing w:after="0" w:line="286" w:lineRule="exact"/>
        <w:sectPr>
          <w:type w:val="continuous"/>
          <w:pgSz w:w="11900" w:h="16840"/>
          <w:pgMar w:top="1220" w:bottom="280" w:left="1680" w:right="1100"/>
          <w:cols w:num="2" w:equalWidth="0">
            <w:col w:w="2057" w:space="40"/>
            <w:col w:w="7023"/>
          </w:cols>
        </w:sectPr>
      </w:pPr>
    </w:p>
    <w:p>
      <w:pPr>
        <w:pStyle w:val="BodyText"/>
        <w:spacing w:before="3"/>
        <w:rPr>
          <w:sz w:val="16"/>
        </w:rPr>
      </w:pPr>
    </w:p>
    <w:p>
      <w:pPr>
        <w:spacing w:after="0"/>
        <w:rPr>
          <w:sz w:val="16"/>
        </w:rPr>
        <w:sectPr>
          <w:type w:val="continuous"/>
          <w:pgSz w:w="11900" w:h="16840"/>
          <w:pgMar w:top="1220" w:bottom="280" w:left="1680" w:right="1100"/>
        </w:sectPr>
      </w:pPr>
    </w:p>
    <w:p>
      <w:pPr>
        <w:spacing w:line="225" w:lineRule="auto" w:before="63"/>
        <w:ind w:left="590" w:right="0" w:hanging="3"/>
        <w:jc w:val="left"/>
        <w:rPr>
          <w:sz w:val="21"/>
        </w:rPr>
      </w:pPr>
      <w:r>
        <w:rPr>
          <w:rFonts w:ascii="Times New Roman" w:eastAsia="Times New Roman"/>
          <w:b/>
          <w:sz w:val="21"/>
        </w:rPr>
        <w:t>10. </w:t>
      </w:r>
      <w:r>
        <w:rPr>
          <w:sz w:val="21"/>
        </w:rPr>
        <w:t>重度头部外伤</w:t>
      </w:r>
    </w:p>
    <w:p>
      <w:pPr>
        <w:pStyle w:val="BodyText"/>
        <w:spacing w:line="244" w:lineRule="auto" w:before="56"/>
        <w:ind w:left="173" w:right="137"/>
      </w:pPr>
      <w:r>
        <w:rPr/>
        <w:br w:type="column"/>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w w:val="100"/>
        </w:rPr>
        <w:t>）或正电子发</w:t>
      </w:r>
    </w:p>
    <w:p>
      <w:pPr>
        <w:spacing w:after="0" w:line="244" w:lineRule="auto"/>
        <w:sectPr>
          <w:type w:val="continuous"/>
          <w:pgSz w:w="11900" w:h="16840"/>
          <w:pgMar w:top="1220" w:bottom="280" w:left="1680" w:right="1100"/>
          <w:cols w:num="2" w:equalWidth="0">
            <w:col w:w="2055" w:space="40"/>
            <w:col w:w="7025"/>
          </w:cols>
        </w:sectPr>
      </w:pPr>
    </w:p>
    <w:p>
      <w:pPr>
        <w:pStyle w:val="BodyText"/>
        <w:spacing w:line="230" w:lineRule="auto" w:before="30"/>
        <w:ind w:left="2267" w:right="117"/>
        <w:jc w:val="both"/>
      </w:pPr>
      <w:r>
        <w:rPr/>
        <w:t>射断层扫描（</w:t>
      </w:r>
      <w:r>
        <w:rPr>
          <w:rFonts w:ascii="Times New Roman" w:eastAsia="Times New Roman"/>
        </w:rPr>
        <w:t>PET</w:t>
      </w:r>
      <w:r>
        <w:rPr/>
        <w:t>）等影像学检查证实。神经系统永久性的功能障碍，指</w:t>
      </w:r>
      <w:r>
        <w:rPr>
          <w:spacing w:val="-13"/>
        </w:rPr>
        <w:t>脑损伤 </w:t>
      </w:r>
      <w:r>
        <w:rPr>
          <w:rFonts w:ascii="Times New Roman" w:eastAsia="Times New Roman"/>
        </w:rPr>
        <w:t>180 </w:t>
      </w:r>
      <w:r>
        <w:rPr>
          <w:spacing w:val="-9"/>
        </w:rPr>
        <w:t>天后，仍完全丧失自主生活能力，无法独立完成六项基本日常</w:t>
      </w:r>
      <w:r>
        <w:rPr>
          <w:spacing w:val="-5"/>
        </w:rPr>
        <w:t>生活活动中的二项或以上。</w:t>
      </w:r>
    </w:p>
    <w:sectPr>
      <w:pgSz w:w="11900" w:h="16840"/>
      <w:pgMar w:top="1260" w:bottom="280" w:left="16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2"/>
      <w:numFmt w:val="decimal"/>
      <w:lvlText w:val="%1."/>
      <w:lvlJc w:val="left"/>
      <w:pPr>
        <w:ind w:left="537" w:hanging="305"/>
        <w:jc w:val="left"/>
      </w:pPr>
      <w:rPr>
        <w:rFonts w:hint="default" w:ascii="Times New Roman" w:hAnsi="Times New Roman" w:eastAsia="Times New Roman" w:cs="Times New Roman"/>
        <w:b/>
        <w:bCs/>
        <w:w w:val="100"/>
        <w:sz w:val="21"/>
        <w:szCs w:val="21"/>
      </w:rPr>
    </w:lvl>
    <w:lvl w:ilvl="1">
      <w:start w:val="35"/>
      <w:numFmt w:val="decimal"/>
      <w:lvlText w:val="%2."/>
      <w:lvlJc w:val="left"/>
      <w:pPr>
        <w:ind w:left="1170" w:hanging="296"/>
        <w:jc w:val="left"/>
      </w:pPr>
      <w:rPr>
        <w:rFonts w:hint="default" w:ascii="Times New Roman" w:hAnsi="Times New Roman" w:eastAsia="Times New Roman" w:cs="Times New Roman"/>
        <w:b/>
        <w:bCs/>
        <w:w w:val="100"/>
        <w:sz w:val="21"/>
        <w:szCs w:val="21"/>
      </w:rPr>
    </w:lvl>
    <w:lvl w:ilvl="2">
      <w:start w:val="0"/>
      <w:numFmt w:val="bullet"/>
      <w:lvlText w:val="•"/>
      <w:lvlJc w:val="left"/>
      <w:pPr>
        <w:ind w:left="1277" w:hanging="296"/>
      </w:pPr>
      <w:rPr>
        <w:rFonts w:hint="default"/>
      </w:rPr>
    </w:lvl>
    <w:lvl w:ilvl="3">
      <w:start w:val="0"/>
      <w:numFmt w:val="bullet"/>
      <w:lvlText w:val="•"/>
      <w:lvlJc w:val="left"/>
      <w:pPr>
        <w:ind w:left="1374" w:hanging="296"/>
      </w:pPr>
      <w:rPr>
        <w:rFonts w:hint="default"/>
      </w:rPr>
    </w:lvl>
    <w:lvl w:ilvl="4">
      <w:start w:val="0"/>
      <w:numFmt w:val="bullet"/>
      <w:lvlText w:val="•"/>
      <w:lvlJc w:val="left"/>
      <w:pPr>
        <w:ind w:left="1472" w:hanging="296"/>
      </w:pPr>
      <w:rPr>
        <w:rFonts w:hint="default"/>
      </w:rPr>
    </w:lvl>
    <w:lvl w:ilvl="5">
      <w:start w:val="0"/>
      <w:numFmt w:val="bullet"/>
      <w:lvlText w:val="•"/>
      <w:lvlJc w:val="left"/>
      <w:pPr>
        <w:ind w:left="1569" w:hanging="296"/>
      </w:pPr>
      <w:rPr>
        <w:rFonts w:hint="default"/>
      </w:rPr>
    </w:lvl>
    <w:lvl w:ilvl="6">
      <w:start w:val="0"/>
      <w:numFmt w:val="bullet"/>
      <w:lvlText w:val="•"/>
      <w:lvlJc w:val="left"/>
      <w:pPr>
        <w:ind w:left="1667" w:hanging="296"/>
      </w:pPr>
      <w:rPr>
        <w:rFonts w:hint="default"/>
      </w:rPr>
    </w:lvl>
    <w:lvl w:ilvl="7">
      <w:start w:val="0"/>
      <w:numFmt w:val="bullet"/>
      <w:lvlText w:val="•"/>
      <w:lvlJc w:val="left"/>
      <w:pPr>
        <w:ind w:left="1764" w:hanging="296"/>
      </w:pPr>
      <w:rPr>
        <w:rFonts w:hint="default"/>
      </w:rPr>
    </w:lvl>
    <w:lvl w:ilvl="8">
      <w:start w:val="0"/>
      <w:numFmt w:val="bullet"/>
      <w:lvlText w:val="•"/>
      <w:lvlJc w:val="left"/>
      <w:pPr>
        <w:ind w:left="1861" w:hanging="296"/>
      </w:pPr>
      <w:rPr>
        <w:rFonts w:hint="default"/>
      </w:rPr>
    </w:lvl>
  </w:abstractNum>
  <w:abstractNum w:abstractNumId="9">
    <w:multiLevelType w:val="hybridMultilevel"/>
    <w:lvl w:ilvl="0">
      <w:start w:val="2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8">
    <w:multiLevelType w:val="hybridMultilevel"/>
    <w:lvl w:ilvl="0">
      <w:start w:val="19"/>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7">
    <w:multiLevelType w:val="hybridMultilevel"/>
    <w:lvl w:ilvl="0">
      <w:start w:val="1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6">
    <w:multiLevelType w:val="hybridMultilevel"/>
    <w:lvl w:ilvl="0">
      <w:start w:val="1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5">
    <w:multiLevelType w:val="hybridMultilevel"/>
    <w:lvl w:ilvl="0">
      <w:start w:val="7"/>
      <w:numFmt w:val="decimal"/>
      <w:lvlText w:val="%1"/>
      <w:lvlJc w:val="left"/>
      <w:pPr>
        <w:ind w:left="2375" w:hanging="574"/>
        <w:jc w:val="left"/>
      </w:pPr>
      <w:rPr>
        <w:rFonts w:hint="default"/>
      </w:rPr>
    </w:lvl>
    <w:lvl w:ilvl="1">
      <w:start w:val="11"/>
      <w:numFmt w:val="decimal"/>
      <w:lvlText w:val="%1.%2"/>
      <w:lvlJc w:val="left"/>
      <w:pPr>
        <w:ind w:left="2375" w:hanging="574"/>
        <w:jc w:val="righ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3784" w:hanging="574"/>
      </w:pPr>
      <w:rPr>
        <w:rFonts w:hint="default"/>
      </w:rPr>
    </w:lvl>
    <w:lvl w:ilvl="3">
      <w:start w:val="0"/>
      <w:numFmt w:val="bullet"/>
      <w:lvlText w:val="•"/>
      <w:lvlJc w:val="left"/>
      <w:pPr>
        <w:ind w:left="4486" w:hanging="574"/>
      </w:pPr>
      <w:rPr>
        <w:rFonts w:hint="default"/>
      </w:rPr>
    </w:lvl>
    <w:lvl w:ilvl="4">
      <w:start w:val="0"/>
      <w:numFmt w:val="bullet"/>
      <w:lvlText w:val="•"/>
      <w:lvlJc w:val="left"/>
      <w:pPr>
        <w:ind w:left="5188" w:hanging="574"/>
      </w:pPr>
      <w:rPr>
        <w:rFonts w:hint="default"/>
      </w:rPr>
    </w:lvl>
    <w:lvl w:ilvl="5">
      <w:start w:val="0"/>
      <w:numFmt w:val="bullet"/>
      <w:lvlText w:val="•"/>
      <w:lvlJc w:val="left"/>
      <w:pPr>
        <w:ind w:left="5890" w:hanging="574"/>
      </w:pPr>
      <w:rPr>
        <w:rFonts w:hint="default"/>
      </w:rPr>
    </w:lvl>
    <w:lvl w:ilvl="6">
      <w:start w:val="0"/>
      <w:numFmt w:val="bullet"/>
      <w:lvlText w:val="•"/>
      <w:lvlJc w:val="left"/>
      <w:pPr>
        <w:ind w:left="6592" w:hanging="574"/>
      </w:pPr>
      <w:rPr>
        <w:rFonts w:hint="default"/>
      </w:rPr>
    </w:lvl>
    <w:lvl w:ilvl="7">
      <w:start w:val="0"/>
      <w:numFmt w:val="bullet"/>
      <w:lvlText w:val="•"/>
      <w:lvlJc w:val="left"/>
      <w:pPr>
        <w:ind w:left="7294" w:hanging="574"/>
      </w:pPr>
      <w:rPr>
        <w:rFonts w:hint="default"/>
      </w:rPr>
    </w:lvl>
    <w:lvl w:ilvl="8">
      <w:start w:val="0"/>
      <w:numFmt w:val="bullet"/>
      <w:lvlText w:val="•"/>
      <w:lvlJc w:val="left"/>
      <w:pPr>
        <w:ind w:left="7996" w:hanging="574"/>
      </w:pPr>
      <w:rPr>
        <w:rFonts w:hint="default"/>
      </w:rPr>
    </w:lvl>
  </w:abstractNum>
  <w:abstractNum w:abstractNumId="4">
    <w:multiLevelType w:val="hybridMultilevel"/>
    <w:lvl w:ilvl="0">
      <w:start w:val="1"/>
      <w:numFmt w:val="decimal"/>
      <w:lvlText w:val="（%1）"/>
      <w:lvlJc w:val="left"/>
      <w:pPr>
        <w:ind w:left="1092" w:hanging="720"/>
        <w:jc w:val="left"/>
      </w:pPr>
      <w:rPr>
        <w:rFonts w:hint="default" w:ascii="宋体" w:hAnsi="宋体" w:eastAsia="宋体" w:cs="宋体"/>
        <w:w w:val="100"/>
        <w:sz w:val="21"/>
        <w:szCs w:val="21"/>
      </w:rPr>
    </w:lvl>
    <w:lvl w:ilvl="1">
      <w:start w:val="0"/>
      <w:numFmt w:val="bullet"/>
      <w:lvlText w:val="•"/>
      <w:lvlJc w:val="left"/>
      <w:pPr>
        <w:ind w:left="2800" w:hanging="720"/>
      </w:pPr>
      <w:rPr>
        <w:rFonts w:hint="default"/>
      </w:rPr>
    </w:lvl>
    <w:lvl w:ilvl="2">
      <w:start w:val="0"/>
      <w:numFmt w:val="bullet"/>
      <w:lvlText w:val="•"/>
      <w:lvlJc w:val="left"/>
      <w:pPr>
        <w:ind w:left="3380" w:hanging="720"/>
      </w:pPr>
      <w:rPr>
        <w:rFonts w:hint="default"/>
      </w:rPr>
    </w:lvl>
    <w:lvl w:ilvl="3">
      <w:start w:val="0"/>
      <w:numFmt w:val="bullet"/>
      <w:lvlText w:val="•"/>
      <w:lvlJc w:val="left"/>
      <w:pPr>
        <w:ind w:left="3860" w:hanging="720"/>
      </w:pPr>
      <w:rPr>
        <w:rFonts w:hint="default"/>
      </w:rPr>
    </w:lvl>
    <w:lvl w:ilvl="4">
      <w:start w:val="0"/>
      <w:numFmt w:val="bullet"/>
      <w:lvlText w:val="•"/>
      <w:lvlJc w:val="left"/>
      <w:pPr>
        <w:ind w:left="4341" w:hanging="720"/>
      </w:pPr>
      <w:rPr>
        <w:rFonts w:hint="default"/>
      </w:rPr>
    </w:lvl>
    <w:lvl w:ilvl="5">
      <w:start w:val="0"/>
      <w:numFmt w:val="bullet"/>
      <w:lvlText w:val="•"/>
      <w:lvlJc w:val="left"/>
      <w:pPr>
        <w:ind w:left="4821" w:hanging="720"/>
      </w:pPr>
      <w:rPr>
        <w:rFonts w:hint="default"/>
      </w:rPr>
    </w:lvl>
    <w:lvl w:ilvl="6">
      <w:start w:val="0"/>
      <w:numFmt w:val="bullet"/>
      <w:lvlText w:val="•"/>
      <w:lvlJc w:val="left"/>
      <w:pPr>
        <w:ind w:left="5302" w:hanging="720"/>
      </w:pPr>
      <w:rPr>
        <w:rFonts w:hint="default"/>
      </w:rPr>
    </w:lvl>
    <w:lvl w:ilvl="7">
      <w:start w:val="0"/>
      <w:numFmt w:val="bullet"/>
      <w:lvlText w:val="•"/>
      <w:lvlJc w:val="left"/>
      <w:pPr>
        <w:ind w:left="5783" w:hanging="720"/>
      </w:pPr>
      <w:rPr>
        <w:rFonts w:hint="default"/>
      </w:rPr>
    </w:lvl>
    <w:lvl w:ilvl="8">
      <w:start w:val="0"/>
      <w:numFmt w:val="bullet"/>
      <w:lvlText w:val="•"/>
      <w:lvlJc w:val="left"/>
      <w:pPr>
        <w:ind w:left="6263" w:hanging="720"/>
      </w:pPr>
      <w:rPr>
        <w:rFonts w:hint="default"/>
      </w:rPr>
    </w:lvl>
  </w:abstractNum>
  <w:abstractNum w:abstractNumId="3">
    <w:multiLevelType w:val="hybridMultilevel"/>
    <w:lvl w:ilvl="0">
      <w:start w:val="4"/>
      <w:numFmt w:val="decimal"/>
      <w:lvlText w:val="%1"/>
      <w:lvlJc w:val="left"/>
      <w:pPr>
        <w:ind w:left="1010" w:hanging="481"/>
        <w:jc w:val="left"/>
      </w:pPr>
      <w:rPr>
        <w:rFonts w:hint="default"/>
      </w:rPr>
    </w:lvl>
    <w:lvl w:ilvl="1">
      <w:start w:val="1"/>
      <w:numFmt w:val="decimal"/>
      <w:lvlText w:val="%1.%2"/>
      <w:lvlJc w:val="left"/>
      <w:pPr>
        <w:ind w:left="1010"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71" w:hanging="481"/>
      </w:pPr>
      <w:rPr>
        <w:rFonts w:hint="default"/>
      </w:rPr>
    </w:lvl>
    <w:lvl w:ilvl="3">
      <w:start w:val="0"/>
      <w:numFmt w:val="bullet"/>
      <w:lvlText w:val="•"/>
      <w:lvlJc w:val="left"/>
      <w:pPr>
        <w:ind w:left="1396" w:hanging="481"/>
      </w:pPr>
      <w:rPr>
        <w:rFonts w:hint="default"/>
      </w:rPr>
    </w:lvl>
    <w:lvl w:ilvl="4">
      <w:start w:val="0"/>
      <w:numFmt w:val="bullet"/>
      <w:lvlText w:val="•"/>
      <w:lvlJc w:val="left"/>
      <w:pPr>
        <w:ind w:left="1522" w:hanging="481"/>
      </w:pPr>
      <w:rPr>
        <w:rFonts w:hint="default"/>
      </w:rPr>
    </w:lvl>
    <w:lvl w:ilvl="5">
      <w:start w:val="0"/>
      <w:numFmt w:val="bullet"/>
      <w:lvlText w:val="•"/>
      <w:lvlJc w:val="left"/>
      <w:pPr>
        <w:ind w:left="1647" w:hanging="481"/>
      </w:pPr>
      <w:rPr>
        <w:rFonts w:hint="default"/>
      </w:rPr>
    </w:lvl>
    <w:lvl w:ilvl="6">
      <w:start w:val="0"/>
      <w:numFmt w:val="bullet"/>
      <w:lvlText w:val="•"/>
      <w:lvlJc w:val="left"/>
      <w:pPr>
        <w:ind w:left="1773" w:hanging="481"/>
      </w:pPr>
      <w:rPr>
        <w:rFonts w:hint="default"/>
      </w:rPr>
    </w:lvl>
    <w:lvl w:ilvl="7">
      <w:start w:val="0"/>
      <w:numFmt w:val="bullet"/>
      <w:lvlText w:val="•"/>
      <w:lvlJc w:val="left"/>
      <w:pPr>
        <w:ind w:left="1898" w:hanging="481"/>
      </w:pPr>
      <w:rPr>
        <w:rFonts w:hint="default"/>
      </w:rPr>
    </w:lvl>
    <w:lvl w:ilvl="8">
      <w:start w:val="0"/>
      <w:numFmt w:val="bullet"/>
      <w:lvlText w:val="•"/>
      <w:lvlJc w:val="left"/>
      <w:pPr>
        <w:ind w:left="2024" w:hanging="481"/>
      </w:pPr>
      <w:rPr>
        <w:rFonts w:hint="default"/>
      </w:rPr>
    </w:lvl>
  </w:abstractNum>
  <w:abstractNum w:abstractNumId="2">
    <w:multiLevelType w:val="hybridMultilevel"/>
    <w:lvl w:ilvl="0">
      <w:start w:val="2"/>
      <w:numFmt w:val="decimal"/>
      <w:lvlText w:val="%1"/>
      <w:lvlJc w:val="left"/>
      <w:pPr>
        <w:ind w:left="2627" w:hanging="481"/>
        <w:jc w:val="left"/>
      </w:pPr>
      <w:rPr>
        <w:rFonts w:hint="default"/>
      </w:rPr>
    </w:lvl>
    <w:lvl w:ilvl="1">
      <w:start w:val="1"/>
      <w:numFmt w:val="decimal"/>
      <w:lvlText w:val="%1.%2"/>
      <w:lvlJc w:val="left"/>
      <w:pPr>
        <w:ind w:left="2627" w:hanging="481"/>
        <w:jc w:val="lef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3048" w:hanging="420"/>
        <w:jc w:val="left"/>
      </w:pPr>
      <w:rPr>
        <w:rFonts w:hint="default" w:ascii="宋体" w:hAnsi="宋体" w:eastAsia="宋体" w:cs="宋体"/>
        <w:w w:val="100"/>
        <w:sz w:val="21"/>
        <w:szCs w:val="21"/>
      </w:rPr>
    </w:lvl>
    <w:lvl w:ilvl="3">
      <w:start w:val="0"/>
      <w:numFmt w:val="bullet"/>
      <w:lvlText w:val="•"/>
      <w:lvlJc w:val="left"/>
      <w:pPr>
        <w:ind w:left="4497" w:hanging="420"/>
      </w:pPr>
      <w:rPr>
        <w:rFonts w:hint="default"/>
      </w:rPr>
    </w:lvl>
    <w:lvl w:ilvl="4">
      <w:start w:val="0"/>
      <w:numFmt w:val="bullet"/>
      <w:lvlText w:val="•"/>
      <w:lvlJc w:val="left"/>
      <w:pPr>
        <w:ind w:left="5226" w:hanging="420"/>
      </w:pPr>
      <w:rPr>
        <w:rFonts w:hint="default"/>
      </w:rPr>
    </w:lvl>
    <w:lvl w:ilvl="5">
      <w:start w:val="0"/>
      <w:numFmt w:val="bullet"/>
      <w:lvlText w:val="•"/>
      <w:lvlJc w:val="left"/>
      <w:pPr>
        <w:ind w:left="5955" w:hanging="420"/>
      </w:pPr>
      <w:rPr>
        <w:rFonts w:hint="default"/>
      </w:rPr>
    </w:lvl>
    <w:lvl w:ilvl="6">
      <w:start w:val="0"/>
      <w:numFmt w:val="bullet"/>
      <w:lvlText w:val="•"/>
      <w:lvlJc w:val="left"/>
      <w:pPr>
        <w:ind w:left="6684" w:hanging="420"/>
      </w:pPr>
      <w:rPr>
        <w:rFonts w:hint="default"/>
      </w:rPr>
    </w:lvl>
    <w:lvl w:ilvl="7">
      <w:start w:val="0"/>
      <w:numFmt w:val="bullet"/>
      <w:lvlText w:val="•"/>
      <w:lvlJc w:val="left"/>
      <w:pPr>
        <w:ind w:left="7413" w:hanging="420"/>
      </w:pPr>
      <w:rPr>
        <w:rFonts w:hint="default"/>
      </w:rPr>
    </w:lvl>
    <w:lvl w:ilvl="8">
      <w:start w:val="0"/>
      <w:numFmt w:val="bullet"/>
      <w:lvlText w:val="•"/>
      <w:lvlJc w:val="left"/>
      <w:pPr>
        <w:ind w:left="8142" w:hanging="420"/>
      </w:pPr>
      <w:rPr>
        <w:rFonts w:hint="default"/>
      </w:rPr>
    </w:lvl>
  </w:abstractNum>
  <w:abstractNum w:abstractNumId="1">
    <w:multiLevelType w:val="hybridMultilevel"/>
    <w:lvl w:ilvl="0">
      <w:start w:val="1"/>
      <w:numFmt w:val="decimal"/>
      <w:lvlText w:val="%1"/>
      <w:lvlJc w:val="left"/>
      <w:pPr>
        <w:ind w:left="950" w:hanging="480"/>
        <w:jc w:val="left"/>
      </w:pPr>
      <w:rPr>
        <w:rFonts w:hint="default"/>
      </w:rPr>
    </w:lvl>
    <w:lvl w:ilvl="1">
      <w:start w:val="1"/>
      <w:numFmt w:val="decimal"/>
      <w:lvlText w:val="%1.%2"/>
      <w:lvlJc w:val="left"/>
      <w:pPr>
        <w:ind w:left="950"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0"/>
      </w:pPr>
      <w:rPr>
        <w:rFonts w:hint="default"/>
      </w:rPr>
    </w:lvl>
    <w:lvl w:ilvl="3">
      <w:start w:val="0"/>
      <w:numFmt w:val="bullet"/>
      <w:lvlText w:val="•"/>
      <w:lvlJc w:val="left"/>
      <w:pPr>
        <w:ind w:left="1336" w:hanging="480"/>
      </w:pPr>
      <w:rPr>
        <w:rFonts w:hint="default"/>
      </w:rPr>
    </w:lvl>
    <w:lvl w:ilvl="4">
      <w:start w:val="0"/>
      <w:numFmt w:val="bullet"/>
      <w:lvlText w:val="•"/>
      <w:lvlJc w:val="left"/>
      <w:pPr>
        <w:ind w:left="1462" w:hanging="480"/>
      </w:pPr>
      <w:rPr>
        <w:rFonts w:hint="default"/>
      </w:rPr>
    </w:lvl>
    <w:lvl w:ilvl="5">
      <w:start w:val="0"/>
      <w:numFmt w:val="bullet"/>
      <w:lvlText w:val="•"/>
      <w:lvlJc w:val="left"/>
      <w:pPr>
        <w:ind w:left="1587" w:hanging="480"/>
      </w:pPr>
      <w:rPr>
        <w:rFonts w:hint="default"/>
      </w:rPr>
    </w:lvl>
    <w:lvl w:ilvl="6">
      <w:start w:val="0"/>
      <w:numFmt w:val="bullet"/>
      <w:lvlText w:val="•"/>
      <w:lvlJc w:val="left"/>
      <w:pPr>
        <w:ind w:left="1713" w:hanging="480"/>
      </w:pPr>
      <w:rPr>
        <w:rFonts w:hint="default"/>
      </w:rPr>
    </w:lvl>
    <w:lvl w:ilvl="7">
      <w:start w:val="0"/>
      <w:numFmt w:val="bullet"/>
      <w:lvlText w:val="•"/>
      <w:lvlJc w:val="left"/>
      <w:pPr>
        <w:ind w:left="1838" w:hanging="480"/>
      </w:pPr>
      <w:rPr>
        <w:rFonts w:hint="default"/>
      </w:rPr>
    </w:lvl>
    <w:lvl w:ilvl="8">
      <w:start w:val="0"/>
      <w:numFmt w:val="bullet"/>
      <w:lvlText w:val="•"/>
      <w:lvlJc w:val="left"/>
      <w:pPr>
        <w:ind w:left="1964"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82"/>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590" w:hanging="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中英人寿附加优选缘福提前给付重大疾病保险条款（不含批注）--Final</dc:title>
  <dcterms:created xsi:type="dcterms:W3CDTF">2018-10-19T23:45:23Z</dcterms:created>
  <dcterms:modified xsi:type="dcterms:W3CDTF">2018-10-19T23:45:23Z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2014-12-01T00:00:00Z</vt:filetime>
  </property>
  <property fmtid="{D5CDD505-2E9C-101B-9397-08002B2CF9AE}" pid="3" name="Creator">
    <vt:lpwstr>PDFCreator 1.9.1.0</vt:lpwstr>
  </property>
  <property fmtid="{D5CDD505-2E9C-101B-9397-08002B2CF9AE}" pid="4" name="LastSaved">
    <vt:filetime>2018-10-19T00:00:00Z</vt:filetime>
  </property>
</Properties>
</file>