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439" w:firstLine="0"/>
        <w:jc w:val="right"/>
        <w:rPr>
          <w:sz w:val="15"/>
        </w:rPr>
      </w:pPr>
      <w:r>
        <w:rPr/>
        <w:pict>
          <v:group style="position:absolute;margin-left:442.320007pt;margin-top:4.24979pt;width:138.4pt;height:83.05pt;mso-position-horizontal-relative:page;mso-position-vertical-relative:paragraph;z-index:-29344" coordorigin="8846,85" coordsize="2768,1661">
            <v:shape style="position:absolute;left:8846;top:84;width:2768;height:1661" type="#_x0000_t75" stroked="false">
              <v:imagedata r:id="rId5" o:title=""/>
            </v:shape>
            <v:shape style="position:absolute;left:9662;top:300;width:1138;height:1138" type="#_x0000_t75" stroked="false">
              <v:imagedata r:id="rId6" o:title=""/>
            </v:shape>
            <w10:wrap type="none"/>
          </v:group>
        </w:pict>
      </w:r>
      <w:r>
        <w:rPr>
          <w:sz w:val="15"/>
        </w:rPr>
        <w:t>东吴人寿[2016]疾病保险 007 号</w:t>
      </w:r>
    </w:p>
    <w:p>
      <w:pPr>
        <w:pStyle w:val="BodyText"/>
        <w:spacing w:before="2"/>
        <w:ind w:left="0"/>
        <w:rPr>
          <w:sz w:val="28"/>
        </w:rPr>
      </w:pPr>
    </w:p>
    <w:p>
      <w:pPr>
        <w:pStyle w:val="Heading1"/>
        <w:ind w:left="1198"/>
      </w:pPr>
      <w:r>
        <w:rPr/>
        <w:t>东吴附加福瑞一生豁免保险费重大疾病保险 A 款条款</w:t>
      </w:r>
    </w:p>
    <w:p>
      <w:pPr>
        <w:pStyle w:val="BodyText"/>
        <w:spacing w:before="4"/>
        <w:ind w:left="0"/>
        <w:rPr>
          <w:rFonts w:ascii="Microsoft JhengHei UI"/>
          <w:b/>
          <w:sz w:val="7"/>
        </w:rPr>
      </w:pPr>
    </w:p>
    <w:p>
      <w:pPr>
        <w:spacing w:after="0"/>
        <w:rPr>
          <w:rFonts w:ascii="Microsoft JhengHei UI"/>
          <w:sz w:val="7"/>
        </w:rPr>
        <w:sectPr>
          <w:type w:val="continuous"/>
          <w:pgSz w:w="11910" w:h="16840"/>
          <w:pgMar w:top="720" w:bottom="280" w:left="940" w:right="180"/>
        </w:sectPr>
      </w:pPr>
    </w:p>
    <w:p>
      <w:pPr>
        <w:spacing w:line="504" w:lineRule="exact" w:before="0"/>
        <w:ind w:left="0" w:right="0" w:firstLine="0"/>
        <w:jc w:val="right"/>
        <w:rPr>
          <w:rFonts w:ascii="Microsoft JhengHei UI" w:eastAsia="Microsoft JhengHei UI" w:hint="eastAsia"/>
          <w:b/>
          <w:sz w:val="32"/>
        </w:rPr>
      </w:pPr>
      <w:r>
        <w:rPr>
          <w:rFonts w:ascii="Microsoft JhengHei UI" w:eastAsia="Microsoft JhengHei UI" w:hint="eastAsia"/>
          <w:b/>
          <w:sz w:val="32"/>
        </w:rPr>
        <w:t>阅  读  指  引</w:t>
      </w:r>
    </w:p>
    <w:p>
      <w:pPr>
        <w:pStyle w:val="BodyText"/>
        <w:spacing w:before="4"/>
        <w:ind w:left="0"/>
        <w:rPr>
          <w:rFonts w:ascii="Microsoft JhengHei UI"/>
          <w:b/>
          <w:sz w:val="13"/>
        </w:rPr>
      </w:pPr>
      <w:r>
        <w:rPr/>
        <w:br w:type="column"/>
      </w:r>
      <w:r>
        <w:rPr>
          <w:rFonts w:ascii="Microsoft JhengHei UI"/>
          <w:b/>
          <w:sz w:val="13"/>
        </w:rPr>
      </w:r>
    </w:p>
    <w:p>
      <w:pPr>
        <w:spacing w:before="0"/>
        <w:ind w:left="2710" w:right="0" w:firstLine="0"/>
        <w:jc w:val="left"/>
        <w:rPr>
          <w:sz w:val="15"/>
        </w:rPr>
      </w:pPr>
      <w:r>
        <w:rPr>
          <w:sz w:val="15"/>
        </w:rPr>
        <w:t>请扫描以查询验证条款</w:t>
      </w:r>
    </w:p>
    <w:p>
      <w:pPr>
        <w:spacing w:after="0"/>
        <w:jc w:val="left"/>
        <w:rPr>
          <w:sz w:val="15"/>
        </w:rPr>
        <w:sectPr>
          <w:type w:val="continuous"/>
          <w:pgSz w:w="11910" w:h="16840"/>
          <w:pgMar w:top="720" w:bottom="280" w:left="940" w:right="180"/>
          <w:cols w:num="2" w:equalWidth="0">
            <w:col w:w="5792" w:space="40"/>
            <w:col w:w="4958"/>
          </w:cols>
        </w:sectPr>
      </w:pPr>
    </w:p>
    <w:p>
      <w:pPr>
        <w:pStyle w:val="BodyText"/>
        <w:spacing w:before="6"/>
        <w:ind w:left="0"/>
        <w:rPr>
          <w:sz w:val="11"/>
        </w:rPr>
      </w:pPr>
    </w:p>
    <w:p>
      <w:pPr>
        <w:pStyle w:val="Heading2"/>
        <w:spacing w:before="37"/>
        <w:ind w:left="1743"/>
      </w:pPr>
      <w:r>
        <w:rPr/>
        <w:t>本阅读指引有助于您理解条款，对本附加合同内容的解释以条款为准。</w:t>
      </w:r>
    </w:p>
    <w:p>
      <w:pPr>
        <w:tabs>
          <w:tab w:pos="1256" w:val="left" w:leader="none"/>
        </w:tabs>
        <w:spacing w:before="176"/>
        <w:ind w:left="245" w:right="0" w:firstLine="0"/>
        <w:jc w:val="left"/>
        <w:rPr>
          <w:b/>
          <w:sz w:val="21"/>
        </w:rPr>
      </w:pPr>
      <w:r>
        <w:rPr/>
        <w:drawing>
          <wp:anchor distT="0" distB="0" distL="0" distR="0" allowOverlap="1" layoutInCell="1" locked="0" behindDoc="1" simplePos="0" relativeHeight="268406087">
            <wp:simplePos x="0" y="0"/>
            <wp:positionH relativeFrom="page">
              <wp:posOffset>664463</wp:posOffset>
            </wp:positionH>
            <wp:positionV relativeFrom="paragraph">
              <wp:posOffset>81631</wp:posOffset>
            </wp:positionV>
            <wp:extent cx="6335268" cy="7941309"/>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6335268" cy="7941309"/>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37" w:val="left" w:leader="none"/>
          <w:tab w:pos="1638" w:val="left" w:leader="none"/>
        </w:tabs>
        <w:spacing w:line="240" w:lineRule="auto" w:before="25" w:after="0"/>
        <w:ind w:left="1638" w:right="0" w:hanging="420"/>
        <w:jc w:val="left"/>
        <w:rPr>
          <w:sz w:val="21"/>
        </w:rPr>
      </w:pPr>
      <w:r>
        <w:rPr>
          <w:spacing w:val="-3"/>
          <w:w w:val="110"/>
          <w:sz w:val="21"/>
        </w:rPr>
        <w:t>被保险人可以享受本附加合同提供的保障</w:t>
      </w:r>
      <w:r>
        <w:rPr>
          <w:spacing w:val="-1"/>
          <w:w w:val="170"/>
          <w:sz w:val="21"/>
        </w:rPr>
        <w:t>„„„„„„„„„„„„„„„„„„2.2</w:t>
      </w:r>
    </w:p>
    <w:p>
      <w:pPr>
        <w:pStyle w:val="ListParagraph"/>
        <w:numPr>
          <w:ilvl w:val="0"/>
          <w:numId w:val="1"/>
        </w:numPr>
        <w:tabs>
          <w:tab w:pos="1637" w:val="left" w:leader="none"/>
          <w:tab w:pos="1638" w:val="left" w:leader="none"/>
        </w:tabs>
        <w:spacing w:line="240" w:lineRule="auto" w:before="21" w:after="0"/>
        <w:ind w:left="1638" w:right="0" w:hanging="420"/>
        <w:jc w:val="left"/>
        <w:rPr>
          <w:sz w:val="21"/>
        </w:rPr>
      </w:pPr>
      <w:r>
        <w:rPr>
          <w:spacing w:val="-3"/>
          <w:w w:val="100"/>
          <w:sz w:val="21"/>
        </w:rPr>
        <w:t>您有退保的权利</w:t>
      </w:r>
      <w:r>
        <w:rPr>
          <w:spacing w:val="-3"/>
          <w:w w:val="201"/>
          <w:sz w:val="21"/>
        </w:rPr>
        <w:t>„„„„„„„„„„„„„„„„„„„„„„„„„„„„„</w:t>
      </w:r>
      <w:r>
        <w:rPr>
          <w:w w:val="100"/>
          <w:sz w:val="21"/>
        </w:rPr>
        <w:t>5.1</w:t>
      </w:r>
    </w:p>
    <w:p>
      <w:pPr>
        <w:pStyle w:val="Heading2"/>
        <w:tabs>
          <w:tab w:pos="1256" w:val="left" w:leader="none"/>
        </w:tabs>
        <w:spacing w:before="21"/>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s>
        <w:spacing w:line="240" w:lineRule="auto" w:before="26" w:after="0"/>
        <w:ind w:left="1638" w:right="0" w:hanging="420"/>
        <w:jc w:val="left"/>
        <w:rPr>
          <w:sz w:val="21"/>
        </w:rPr>
      </w:pPr>
      <w:r>
        <w:rPr>
          <w:spacing w:val="-3"/>
          <w:w w:val="110"/>
          <w:sz w:val="21"/>
        </w:rPr>
        <w:t>在某些情况下，我们不承担保险责任</w:t>
      </w:r>
      <w:r>
        <w:rPr>
          <w:spacing w:val="-1"/>
          <w:w w:val="170"/>
          <w:sz w:val="21"/>
        </w:rPr>
        <w:t>„„„„„„„„„„„„„„„„„„„„2.3</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00"/>
          <w:sz w:val="21"/>
        </w:rPr>
        <w:t>退保会给您造成一定的损失，请您慎重决</w:t>
      </w:r>
      <w:r>
        <w:rPr>
          <w:spacing w:val="-2"/>
          <w:w w:val="134"/>
          <w:sz w:val="21"/>
        </w:rPr>
        <w:t>策„</w:t>
      </w:r>
      <w:r>
        <w:rPr>
          <w:spacing w:val="-3"/>
          <w:w w:val="201"/>
          <w:sz w:val="21"/>
        </w:rPr>
        <w:t>„„„„„„„„„„„„„„„„</w:t>
      </w:r>
      <w:r>
        <w:rPr>
          <w:w w:val="100"/>
          <w:sz w:val="21"/>
        </w:rPr>
        <w:t>5.1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主合同的某些变动会导致本附加合同效力终止</w:t>
      </w:r>
      <w:r>
        <w:rPr>
          <w:spacing w:val="-1"/>
          <w:w w:val="165"/>
          <w:sz w:val="21"/>
        </w:rPr>
        <w:t>„„„„„„„„„„„„„„„„6.2</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我们对一些重要术语进行了解释，并作了显著标识，请您注意</w:t>
      </w:r>
      <w:r>
        <w:rPr>
          <w:w w:val="140"/>
          <w:sz w:val="21"/>
        </w:rPr>
        <w:t>„„„„„„„„„7</w:t>
      </w:r>
    </w:p>
    <w:p>
      <w:pPr>
        <w:pStyle w:val="BodyText"/>
        <w:spacing w:before="6"/>
        <w:ind w:left="0"/>
        <w:rPr>
          <w:sz w:val="25"/>
        </w:rPr>
      </w:pPr>
    </w:p>
    <w:p>
      <w:pPr>
        <w:pStyle w:val="Heading2"/>
        <w:tabs>
          <w:tab w:pos="1256" w:val="left" w:leader="none"/>
        </w:tabs>
        <w:ind w:left="245"/>
      </w:pPr>
      <w:r>
        <w:rPr>
          <w:rFonts w:ascii="Arial" w:hAnsi="Arial" w:eastAsia="Arial"/>
          <w:w w:val="105"/>
          <w:position w:val="-11"/>
          <w:sz w:val="52"/>
        </w:rPr>
        <w:t></w:t>
        <w:tab/>
      </w:r>
      <w:r>
        <w:rPr>
          <w:spacing w:val="-3"/>
        </w:rPr>
        <w:t>条款是保险合同的重要内容，为充分保障您的权益，请您仔细阅读本条款。</w:t>
      </w:r>
    </w:p>
    <w:p>
      <w:pPr>
        <w:tabs>
          <w:tab w:pos="1256" w:val="left" w:leader="none"/>
        </w:tabs>
        <w:spacing w:before="25"/>
        <w:ind w:left="245" w:right="0" w:firstLine="0"/>
        <w:jc w:val="left"/>
        <w:rPr>
          <w:b/>
          <w:sz w:val="21"/>
        </w:rPr>
      </w:pPr>
      <w:r>
        <w:rPr>
          <w:rFonts w:ascii="Arial" w:hAnsi="Arial" w:eastAsia="Arial"/>
          <w:b/>
          <w:w w:val="110"/>
          <w:position w:val="-11"/>
          <w:sz w:val="52"/>
        </w:rPr>
        <w:t></w:t>
        <w:tab/>
      </w:r>
      <w:r>
        <w:rPr>
          <w:b/>
          <w:sz w:val="21"/>
        </w:rPr>
        <w:t>条款目录</w:t>
      </w:r>
    </w:p>
    <w:p>
      <w:pPr>
        <w:pStyle w:val="BodyText"/>
        <w:spacing w:before="10"/>
        <w:ind w:left="0"/>
        <w:rPr>
          <w:b/>
          <w:sz w:val="26"/>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8"/>
        <w:gridCol w:w="3258"/>
        <w:gridCol w:w="3698"/>
      </w:tblGrid>
      <w:tr>
        <w:trPr>
          <w:trHeight w:val="335" w:hRule="atLeast"/>
        </w:trPr>
        <w:tc>
          <w:tcPr>
            <w:tcW w:w="2708" w:type="dxa"/>
            <w:tcBorders>
              <w:top w:val="single" w:sz="4" w:space="0" w:color="000000"/>
              <w:left w:val="single" w:sz="4" w:space="0" w:color="000000"/>
            </w:tcBorders>
          </w:tcPr>
          <w:p>
            <w:pPr>
              <w:pStyle w:val="TableParagraph"/>
              <w:spacing w:line="272" w:lineRule="exact"/>
              <w:ind w:left="71"/>
              <w:rPr>
                <w:b/>
                <w:sz w:val="21"/>
              </w:rPr>
            </w:pPr>
            <w:r>
              <w:rPr>
                <w:b/>
                <w:sz w:val="21"/>
              </w:rPr>
              <w:t>1.您与我们的合同</w:t>
            </w:r>
          </w:p>
        </w:tc>
        <w:tc>
          <w:tcPr>
            <w:tcW w:w="3258" w:type="dxa"/>
            <w:tcBorders>
              <w:top w:val="single" w:sz="4" w:space="0" w:color="000000"/>
            </w:tcBorders>
          </w:tcPr>
          <w:p>
            <w:pPr>
              <w:pStyle w:val="TableParagraph"/>
              <w:spacing w:line="262" w:lineRule="exact"/>
              <w:ind w:left="345"/>
              <w:rPr>
                <w:sz w:val="21"/>
              </w:rPr>
            </w:pPr>
            <w:r>
              <w:rPr>
                <w:sz w:val="21"/>
              </w:rPr>
              <w:t>4.1 保障成本</w:t>
            </w:r>
          </w:p>
        </w:tc>
        <w:tc>
          <w:tcPr>
            <w:tcW w:w="3698" w:type="dxa"/>
            <w:tcBorders>
              <w:top w:val="single" w:sz="4" w:space="0" w:color="000000"/>
              <w:right w:val="single" w:sz="4" w:space="0" w:color="000000"/>
            </w:tcBorders>
          </w:tcPr>
          <w:p>
            <w:pPr>
              <w:pStyle w:val="TableParagraph"/>
              <w:spacing w:line="272" w:lineRule="exact"/>
              <w:ind w:left="238"/>
              <w:rPr>
                <w:sz w:val="21"/>
              </w:rPr>
            </w:pPr>
            <w:r>
              <w:rPr>
                <w:sz w:val="21"/>
              </w:rPr>
              <w:t>7.7 身故或全残之日</w:t>
            </w:r>
          </w:p>
        </w:tc>
      </w:tr>
      <w:tr>
        <w:trPr>
          <w:trHeight w:val="333" w:hRule="atLeast"/>
        </w:trPr>
        <w:tc>
          <w:tcPr>
            <w:tcW w:w="2708" w:type="dxa"/>
            <w:tcBorders>
              <w:left w:val="single" w:sz="4" w:space="0" w:color="000000"/>
            </w:tcBorders>
          </w:tcPr>
          <w:p>
            <w:pPr>
              <w:pStyle w:val="TableParagraph"/>
              <w:ind w:left="208"/>
              <w:rPr>
                <w:sz w:val="21"/>
              </w:rPr>
            </w:pPr>
            <w:r>
              <w:rPr>
                <w:sz w:val="21"/>
              </w:rPr>
              <w:t>1.1 保险合同构成</w:t>
            </w:r>
          </w:p>
        </w:tc>
        <w:tc>
          <w:tcPr>
            <w:tcW w:w="3258" w:type="dxa"/>
          </w:tcPr>
          <w:p>
            <w:pPr>
              <w:pStyle w:val="TableParagraph"/>
              <w:ind w:left="345"/>
              <w:rPr>
                <w:sz w:val="21"/>
              </w:rPr>
            </w:pPr>
            <w:r>
              <w:rPr>
                <w:sz w:val="21"/>
              </w:rPr>
              <w:t>4.2 宽限期</w:t>
            </w:r>
          </w:p>
        </w:tc>
        <w:tc>
          <w:tcPr>
            <w:tcW w:w="3698" w:type="dxa"/>
            <w:tcBorders>
              <w:right w:val="single" w:sz="4" w:space="0" w:color="000000"/>
            </w:tcBorders>
          </w:tcPr>
          <w:p>
            <w:pPr>
              <w:pStyle w:val="TableParagraph"/>
              <w:ind w:left="238"/>
              <w:rPr>
                <w:sz w:val="21"/>
              </w:rPr>
            </w:pPr>
            <w:r>
              <w:rPr>
                <w:sz w:val="21"/>
              </w:rPr>
              <w:t>7.8 初次发生</w:t>
            </w:r>
          </w:p>
        </w:tc>
      </w:tr>
      <w:tr>
        <w:trPr>
          <w:trHeight w:val="342" w:hRule="atLeast"/>
        </w:trPr>
        <w:tc>
          <w:tcPr>
            <w:tcW w:w="2708" w:type="dxa"/>
            <w:tcBorders>
              <w:left w:val="single" w:sz="4" w:space="0" w:color="000000"/>
            </w:tcBorders>
          </w:tcPr>
          <w:p>
            <w:pPr>
              <w:pStyle w:val="TableParagraph"/>
              <w:spacing w:before="9"/>
              <w:ind w:left="213"/>
              <w:rPr>
                <w:sz w:val="21"/>
              </w:rPr>
            </w:pPr>
            <w:r>
              <w:rPr>
                <w:sz w:val="21"/>
              </w:rPr>
              <w:t>1.2 保险合同成立与生效</w:t>
            </w:r>
          </w:p>
        </w:tc>
        <w:tc>
          <w:tcPr>
            <w:tcW w:w="3258" w:type="dxa"/>
          </w:tcPr>
          <w:p>
            <w:pPr>
              <w:pStyle w:val="TableParagraph"/>
              <w:spacing w:before="9"/>
              <w:ind w:left="239"/>
              <w:rPr>
                <w:b/>
                <w:sz w:val="21"/>
              </w:rPr>
            </w:pPr>
            <w:r>
              <w:rPr>
                <w:b/>
                <w:sz w:val="21"/>
              </w:rPr>
              <w:t>5.如何解除保险合同</w:t>
            </w:r>
          </w:p>
        </w:tc>
        <w:tc>
          <w:tcPr>
            <w:tcW w:w="3698" w:type="dxa"/>
            <w:tcBorders>
              <w:right w:val="single" w:sz="4" w:space="0" w:color="000000"/>
            </w:tcBorders>
          </w:tcPr>
          <w:p>
            <w:pPr>
              <w:pStyle w:val="TableParagraph"/>
              <w:spacing w:line="270" w:lineRule="exact"/>
              <w:ind w:left="238"/>
              <w:rPr>
                <w:sz w:val="21"/>
              </w:rPr>
            </w:pPr>
            <w:r>
              <w:rPr>
                <w:sz w:val="21"/>
              </w:rPr>
              <w:t>7.9 医院</w:t>
            </w:r>
          </w:p>
        </w:tc>
      </w:tr>
      <w:tr>
        <w:trPr>
          <w:trHeight w:val="343" w:hRule="atLeast"/>
        </w:trPr>
        <w:tc>
          <w:tcPr>
            <w:tcW w:w="2708" w:type="dxa"/>
            <w:tcBorders>
              <w:left w:val="single" w:sz="4" w:space="0" w:color="000000"/>
            </w:tcBorders>
          </w:tcPr>
          <w:p>
            <w:pPr>
              <w:pStyle w:val="TableParagraph"/>
              <w:spacing w:before="10"/>
              <w:ind w:left="213"/>
              <w:rPr>
                <w:sz w:val="21"/>
              </w:rPr>
            </w:pPr>
            <w:r>
              <w:rPr>
                <w:sz w:val="21"/>
              </w:rPr>
              <w:t>1.3 投保对象</w:t>
            </w:r>
          </w:p>
        </w:tc>
        <w:tc>
          <w:tcPr>
            <w:tcW w:w="3258" w:type="dxa"/>
          </w:tcPr>
          <w:p>
            <w:pPr>
              <w:pStyle w:val="TableParagraph"/>
              <w:spacing w:before="10"/>
              <w:ind w:left="345"/>
              <w:rPr>
                <w:sz w:val="21"/>
              </w:rPr>
            </w:pPr>
            <w:r>
              <w:rPr>
                <w:sz w:val="21"/>
              </w:rPr>
              <w:t>5.1 您解除合同的手续及风险</w:t>
            </w:r>
          </w:p>
        </w:tc>
        <w:tc>
          <w:tcPr>
            <w:tcW w:w="3698" w:type="dxa"/>
            <w:tcBorders>
              <w:right w:val="single" w:sz="4" w:space="0" w:color="000000"/>
            </w:tcBorders>
          </w:tcPr>
          <w:p>
            <w:pPr>
              <w:pStyle w:val="TableParagraph"/>
              <w:spacing w:line="269" w:lineRule="exact"/>
              <w:ind w:left="238"/>
              <w:rPr>
                <w:sz w:val="21"/>
              </w:rPr>
            </w:pPr>
            <w:r>
              <w:rPr>
                <w:sz w:val="21"/>
              </w:rPr>
              <w:t>7.10 专科医生</w:t>
            </w:r>
          </w:p>
        </w:tc>
      </w:tr>
      <w:tr>
        <w:trPr>
          <w:trHeight w:val="343" w:hRule="atLeast"/>
        </w:trPr>
        <w:tc>
          <w:tcPr>
            <w:tcW w:w="2708" w:type="dxa"/>
            <w:tcBorders>
              <w:left w:val="single" w:sz="4" w:space="0" w:color="000000"/>
            </w:tcBorders>
          </w:tcPr>
          <w:p>
            <w:pPr>
              <w:pStyle w:val="TableParagraph"/>
              <w:spacing w:before="10"/>
              <w:ind w:left="213"/>
              <w:rPr>
                <w:sz w:val="21"/>
              </w:rPr>
            </w:pPr>
            <w:r>
              <w:rPr>
                <w:sz w:val="21"/>
              </w:rPr>
              <w:t>1.4 投保年龄</w:t>
            </w:r>
          </w:p>
        </w:tc>
        <w:tc>
          <w:tcPr>
            <w:tcW w:w="3258" w:type="dxa"/>
          </w:tcPr>
          <w:p>
            <w:pPr>
              <w:pStyle w:val="TableParagraph"/>
              <w:spacing w:before="10"/>
              <w:ind w:left="239"/>
              <w:rPr>
                <w:b/>
                <w:sz w:val="21"/>
              </w:rPr>
            </w:pPr>
            <w:r>
              <w:rPr>
                <w:b/>
                <w:sz w:val="21"/>
              </w:rPr>
              <w:t>6.其他需要关注的事项</w:t>
            </w:r>
          </w:p>
        </w:tc>
        <w:tc>
          <w:tcPr>
            <w:tcW w:w="3698" w:type="dxa"/>
            <w:tcBorders>
              <w:right w:val="single" w:sz="4" w:space="0" w:color="000000"/>
            </w:tcBorders>
          </w:tcPr>
          <w:p>
            <w:pPr>
              <w:pStyle w:val="TableParagraph"/>
              <w:spacing w:line="269" w:lineRule="exact"/>
              <w:ind w:left="238"/>
              <w:rPr>
                <w:sz w:val="21"/>
              </w:rPr>
            </w:pPr>
            <w:r>
              <w:rPr>
                <w:sz w:val="21"/>
              </w:rPr>
              <w:t>7.11 确诊日</w:t>
            </w:r>
          </w:p>
        </w:tc>
      </w:tr>
      <w:tr>
        <w:trPr>
          <w:trHeight w:val="343" w:hRule="atLeast"/>
        </w:trPr>
        <w:tc>
          <w:tcPr>
            <w:tcW w:w="2708" w:type="dxa"/>
            <w:tcBorders>
              <w:left w:val="single" w:sz="4" w:space="0" w:color="000000"/>
            </w:tcBorders>
          </w:tcPr>
          <w:p>
            <w:pPr>
              <w:pStyle w:val="TableParagraph"/>
              <w:spacing w:before="10"/>
              <w:ind w:left="213"/>
              <w:rPr>
                <w:sz w:val="21"/>
              </w:rPr>
            </w:pPr>
            <w:r>
              <w:rPr>
                <w:sz w:val="21"/>
              </w:rPr>
              <w:t>1.5 犹豫期</w:t>
            </w:r>
          </w:p>
        </w:tc>
        <w:tc>
          <w:tcPr>
            <w:tcW w:w="3258" w:type="dxa"/>
          </w:tcPr>
          <w:p>
            <w:pPr>
              <w:pStyle w:val="TableParagraph"/>
              <w:spacing w:before="10"/>
              <w:ind w:left="345"/>
              <w:rPr>
                <w:sz w:val="21"/>
              </w:rPr>
            </w:pPr>
            <w:r>
              <w:rPr>
                <w:sz w:val="21"/>
              </w:rPr>
              <w:t>6.1 年龄错误</w:t>
            </w:r>
          </w:p>
        </w:tc>
        <w:tc>
          <w:tcPr>
            <w:tcW w:w="3698" w:type="dxa"/>
            <w:tcBorders>
              <w:right w:val="single" w:sz="4" w:space="0" w:color="000000"/>
            </w:tcBorders>
          </w:tcPr>
          <w:p>
            <w:pPr>
              <w:pStyle w:val="TableParagraph"/>
              <w:spacing w:line="269" w:lineRule="exact"/>
              <w:ind w:left="238"/>
              <w:rPr>
                <w:sz w:val="21"/>
              </w:rPr>
            </w:pPr>
            <w:r>
              <w:rPr>
                <w:sz w:val="21"/>
              </w:rPr>
              <w:t>7.12 毒品</w:t>
            </w:r>
          </w:p>
        </w:tc>
      </w:tr>
      <w:tr>
        <w:trPr>
          <w:trHeight w:val="343" w:hRule="atLeast"/>
        </w:trPr>
        <w:tc>
          <w:tcPr>
            <w:tcW w:w="2708" w:type="dxa"/>
            <w:tcBorders>
              <w:left w:val="single" w:sz="4" w:space="0" w:color="000000"/>
            </w:tcBorders>
          </w:tcPr>
          <w:p>
            <w:pPr>
              <w:pStyle w:val="TableParagraph"/>
              <w:spacing w:before="10"/>
              <w:ind w:left="107"/>
              <w:rPr>
                <w:b/>
                <w:sz w:val="21"/>
              </w:rPr>
            </w:pPr>
            <w:r>
              <w:rPr>
                <w:b/>
                <w:sz w:val="21"/>
              </w:rPr>
              <w:t>2.我们提供的保障</w:t>
            </w:r>
          </w:p>
        </w:tc>
        <w:tc>
          <w:tcPr>
            <w:tcW w:w="3258" w:type="dxa"/>
          </w:tcPr>
          <w:p>
            <w:pPr>
              <w:pStyle w:val="TableParagraph"/>
              <w:spacing w:before="10"/>
              <w:ind w:left="345"/>
              <w:rPr>
                <w:sz w:val="21"/>
              </w:rPr>
            </w:pPr>
            <w:r>
              <w:rPr>
                <w:sz w:val="21"/>
              </w:rPr>
              <w:t>6.2 效力终止</w:t>
            </w:r>
          </w:p>
        </w:tc>
        <w:tc>
          <w:tcPr>
            <w:tcW w:w="3698" w:type="dxa"/>
            <w:tcBorders>
              <w:right w:val="single" w:sz="4" w:space="0" w:color="000000"/>
            </w:tcBorders>
          </w:tcPr>
          <w:p>
            <w:pPr>
              <w:pStyle w:val="TableParagraph"/>
              <w:spacing w:line="269" w:lineRule="exact"/>
              <w:ind w:left="238"/>
              <w:rPr>
                <w:sz w:val="21"/>
              </w:rPr>
            </w:pPr>
            <w:r>
              <w:rPr>
                <w:sz w:val="21"/>
              </w:rPr>
              <w:t>7.13 酒后驾驶</w:t>
            </w:r>
          </w:p>
        </w:tc>
      </w:tr>
      <w:tr>
        <w:trPr>
          <w:trHeight w:val="343" w:hRule="atLeast"/>
        </w:trPr>
        <w:tc>
          <w:tcPr>
            <w:tcW w:w="2708" w:type="dxa"/>
            <w:tcBorders>
              <w:left w:val="single" w:sz="4" w:space="0" w:color="000000"/>
            </w:tcBorders>
          </w:tcPr>
          <w:p>
            <w:pPr>
              <w:pStyle w:val="TableParagraph"/>
              <w:spacing w:before="10"/>
              <w:ind w:left="208"/>
              <w:rPr>
                <w:sz w:val="21"/>
              </w:rPr>
            </w:pPr>
            <w:r>
              <w:rPr>
                <w:sz w:val="21"/>
              </w:rPr>
              <w:t>2.1 保险期间和续保</w:t>
            </w:r>
          </w:p>
        </w:tc>
        <w:tc>
          <w:tcPr>
            <w:tcW w:w="3258" w:type="dxa"/>
          </w:tcPr>
          <w:p>
            <w:pPr>
              <w:pStyle w:val="TableParagraph"/>
              <w:spacing w:before="10"/>
              <w:ind w:left="345"/>
              <w:rPr>
                <w:sz w:val="21"/>
              </w:rPr>
            </w:pPr>
            <w:r>
              <w:rPr>
                <w:sz w:val="21"/>
              </w:rPr>
              <w:t>6.3 适用主合同条款</w:t>
            </w:r>
          </w:p>
        </w:tc>
        <w:tc>
          <w:tcPr>
            <w:tcW w:w="3698" w:type="dxa"/>
            <w:tcBorders>
              <w:right w:val="single" w:sz="4" w:space="0" w:color="000000"/>
            </w:tcBorders>
          </w:tcPr>
          <w:p>
            <w:pPr>
              <w:pStyle w:val="TableParagraph"/>
              <w:spacing w:line="269" w:lineRule="exact"/>
              <w:ind w:left="238"/>
              <w:rPr>
                <w:sz w:val="21"/>
              </w:rPr>
            </w:pPr>
            <w:r>
              <w:rPr>
                <w:sz w:val="21"/>
              </w:rPr>
              <w:t>7.14 无合法有效驾驶证驾驶</w:t>
            </w:r>
          </w:p>
        </w:tc>
      </w:tr>
      <w:tr>
        <w:trPr>
          <w:trHeight w:val="341" w:hRule="atLeast"/>
        </w:trPr>
        <w:tc>
          <w:tcPr>
            <w:tcW w:w="2708" w:type="dxa"/>
            <w:tcBorders>
              <w:left w:val="single" w:sz="4" w:space="0" w:color="000000"/>
            </w:tcBorders>
          </w:tcPr>
          <w:p>
            <w:pPr>
              <w:pStyle w:val="TableParagraph"/>
              <w:spacing w:before="8"/>
              <w:ind w:left="213"/>
              <w:rPr>
                <w:sz w:val="21"/>
              </w:rPr>
            </w:pPr>
            <w:r>
              <w:rPr>
                <w:sz w:val="21"/>
              </w:rPr>
              <w:t>2.2 保险责任</w:t>
            </w:r>
          </w:p>
        </w:tc>
        <w:tc>
          <w:tcPr>
            <w:tcW w:w="3258" w:type="dxa"/>
          </w:tcPr>
          <w:p>
            <w:pPr>
              <w:pStyle w:val="TableParagraph"/>
              <w:spacing w:before="8"/>
              <w:ind w:left="239"/>
              <w:rPr>
                <w:b/>
                <w:sz w:val="21"/>
              </w:rPr>
            </w:pPr>
            <w:r>
              <w:rPr>
                <w:b/>
                <w:sz w:val="21"/>
              </w:rPr>
              <w:t>7.释义</w:t>
            </w:r>
          </w:p>
        </w:tc>
        <w:tc>
          <w:tcPr>
            <w:tcW w:w="3698" w:type="dxa"/>
            <w:tcBorders>
              <w:right w:val="single" w:sz="4" w:space="0" w:color="000000"/>
            </w:tcBorders>
          </w:tcPr>
          <w:p>
            <w:pPr>
              <w:pStyle w:val="TableParagraph"/>
              <w:spacing w:line="269" w:lineRule="exact"/>
              <w:ind w:left="238"/>
              <w:rPr>
                <w:sz w:val="21"/>
              </w:rPr>
            </w:pPr>
            <w:r>
              <w:rPr>
                <w:sz w:val="21"/>
              </w:rPr>
              <w:t>7.15 无有效行驶证</w:t>
            </w:r>
          </w:p>
        </w:tc>
      </w:tr>
      <w:tr>
        <w:trPr>
          <w:trHeight w:val="343" w:hRule="atLeast"/>
        </w:trPr>
        <w:tc>
          <w:tcPr>
            <w:tcW w:w="2708" w:type="dxa"/>
            <w:tcBorders>
              <w:left w:val="single" w:sz="4" w:space="0" w:color="000000"/>
            </w:tcBorders>
          </w:tcPr>
          <w:p>
            <w:pPr>
              <w:pStyle w:val="TableParagraph"/>
              <w:spacing w:before="9"/>
              <w:ind w:left="213"/>
              <w:rPr>
                <w:sz w:val="21"/>
              </w:rPr>
            </w:pPr>
            <w:r>
              <w:rPr>
                <w:sz w:val="21"/>
              </w:rPr>
              <w:t>2.3 责任免除</w:t>
            </w:r>
          </w:p>
        </w:tc>
        <w:tc>
          <w:tcPr>
            <w:tcW w:w="3258" w:type="dxa"/>
          </w:tcPr>
          <w:p>
            <w:pPr>
              <w:pStyle w:val="TableParagraph"/>
              <w:spacing w:before="9"/>
              <w:ind w:left="345"/>
              <w:rPr>
                <w:sz w:val="21"/>
              </w:rPr>
            </w:pPr>
            <w:r>
              <w:rPr>
                <w:sz w:val="21"/>
              </w:rPr>
              <w:t>7.1 周岁</w:t>
            </w:r>
          </w:p>
        </w:tc>
        <w:tc>
          <w:tcPr>
            <w:tcW w:w="3698" w:type="dxa"/>
            <w:tcBorders>
              <w:right w:val="single" w:sz="4" w:space="0" w:color="000000"/>
            </w:tcBorders>
          </w:tcPr>
          <w:p>
            <w:pPr>
              <w:pStyle w:val="TableParagraph"/>
              <w:spacing w:line="270" w:lineRule="exact"/>
              <w:ind w:left="238"/>
              <w:rPr>
                <w:sz w:val="21"/>
              </w:rPr>
            </w:pPr>
            <w:r>
              <w:rPr>
                <w:sz w:val="21"/>
              </w:rPr>
              <w:t>7.16 感染艾滋病病毒或患艾滋病</w:t>
            </w:r>
          </w:p>
        </w:tc>
      </w:tr>
      <w:tr>
        <w:trPr>
          <w:trHeight w:val="343" w:hRule="atLeast"/>
        </w:trPr>
        <w:tc>
          <w:tcPr>
            <w:tcW w:w="2708" w:type="dxa"/>
            <w:tcBorders>
              <w:left w:val="single" w:sz="4" w:space="0" w:color="000000"/>
            </w:tcBorders>
          </w:tcPr>
          <w:p>
            <w:pPr>
              <w:pStyle w:val="TableParagraph"/>
              <w:spacing w:before="9"/>
              <w:ind w:left="107"/>
              <w:rPr>
                <w:b/>
                <w:sz w:val="21"/>
              </w:rPr>
            </w:pPr>
            <w:r>
              <w:rPr>
                <w:b/>
                <w:sz w:val="21"/>
              </w:rPr>
              <w:t>3.如何申请豁免保险费</w:t>
            </w:r>
          </w:p>
        </w:tc>
        <w:tc>
          <w:tcPr>
            <w:tcW w:w="3258" w:type="dxa"/>
          </w:tcPr>
          <w:p>
            <w:pPr>
              <w:pStyle w:val="TableParagraph"/>
              <w:spacing w:before="9"/>
              <w:ind w:left="345"/>
              <w:rPr>
                <w:sz w:val="21"/>
              </w:rPr>
            </w:pPr>
            <w:r>
              <w:rPr>
                <w:sz w:val="21"/>
              </w:rPr>
              <w:t>7.2 有效身份证件</w:t>
            </w:r>
          </w:p>
        </w:tc>
        <w:tc>
          <w:tcPr>
            <w:tcW w:w="3698" w:type="dxa"/>
            <w:tcBorders>
              <w:right w:val="single" w:sz="4" w:space="0" w:color="000000"/>
            </w:tcBorders>
          </w:tcPr>
          <w:p>
            <w:pPr>
              <w:pStyle w:val="TableParagraph"/>
              <w:spacing w:line="270" w:lineRule="exact"/>
              <w:ind w:left="238"/>
              <w:rPr>
                <w:sz w:val="21"/>
              </w:rPr>
            </w:pPr>
            <w:r>
              <w:rPr>
                <w:sz w:val="21"/>
              </w:rPr>
              <w:t>7.17 遗传性疾病</w:t>
            </w:r>
          </w:p>
        </w:tc>
      </w:tr>
      <w:tr>
        <w:trPr>
          <w:trHeight w:val="350" w:hRule="atLeast"/>
        </w:trPr>
        <w:tc>
          <w:tcPr>
            <w:tcW w:w="2708" w:type="dxa"/>
            <w:tcBorders>
              <w:left w:val="single" w:sz="4" w:space="0" w:color="000000"/>
            </w:tcBorders>
          </w:tcPr>
          <w:p>
            <w:pPr>
              <w:pStyle w:val="TableParagraph"/>
              <w:spacing w:before="9"/>
              <w:ind w:left="213"/>
              <w:rPr>
                <w:sz w:val="21"/>
              </w:rPr>
            </w:pPr>
            <w:r>
              <w:rPr>
                <w:sz w:val="21"/>
              </w:rPr>
              <w:t>3.1 豁免保险费申请</w:t>
            </w:r>
          </w:p>
        </w:tc>
        <w:tc>
          <w:tcPr>
            <w:tcW w:w="3258" w:type="dxa"/>
          </w:tcPr>
          <w:p>
            <w:pPr>
              <w:pStyle w:val="TableParagraph"/>
              <w:spacing w:before="9"/>
              <w:ind w:left="345"/>
              <w:rPr>
                <w:sz w:val="21"/>
              </w:rPr>
            </w:pPr>
            <w:r>
              <w:rPr>
                <w:sz w:val="21"/>
              </w:rPr>
              <w:t>7.3 连续投保</w:t>
            </w:r>
          </w:p>
        </w:tc>
        <w:tc>
          <w:tcPr>
            <w:tcW w:w="3698" w:type="dxa"/>
            <w:tcBorders>
              <w:right w:val="single" w:sz="4" w:space="0" w:color="000000"/>
            </w:tcBorders>
          </w:tcPr>
          <w:p>
            <w:pPr>
              <w:pStyle w:val="TableParagraph"/>
              <w:spacing w:line="270" w:lineRule="exact"/>
              <w:ind w:left="238"/>
              <w:rPr>
                <w:sz w:val="21"/>
              </w:rPr>
            </w:pPr>
            <w:r>
              <w:rPr>
                <w:sz w:val="21"/>
              </w:rPr>
              <w:t>7.18</w:t>
            </w:r>
            <w:r>
              <w:rPr>
                <w:spacing w:val="-11"/>
                <w:sz w:val="21"/>
              </w:rPr>
              <w:t> 先天性畸形、变形或染色体异常</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3.2 保险费的豁免</w:t>
            </w:r>
          </w:p>
        </w:tc>
        <w:tc>
          <w:tcPr>
            <w:tcW w:w="3258" w:type="dxa"/>
          </w:tcPr>
          <w:p>
            <w:pPr>
              <w:pStyle w:val="TableParagraph"/>
              <w:spacing w:before="2"/>
              <w:ind w:left="345"/>
              <w:rPr>
                <w:sz w:val="21"/>
              </w:rPr>
            </w:pPr>
            <w:r>
              <w:rPr>
                <w:sz w:val="21"/>
              </w:rPr>
              <w:t>7.4 意外伤害事故</w:t>
            </w:r>
          </w:p>
        </w:tc>
        <w:tc>
          <w:tcPr>
            <w:tcW w:w="3698" w:type="dxa"/>
            <w:tcBorders>
              <w:right w:val="single" w:sz="4" w:space="0" w:color="000000"/>
            </w:tcBorders>
          </w:tcPr>
          <w:p>
            <w:pPr>
              <w:pStyle w:val="TableParagraph"/>
              <w:spacing w:before="2"/>
              <w:ind w:left="238"/>
              <w:rPr>
                <w:sz w:val="21"/>
              </w:rPr>
            </w:pPr>
            <w:r>
              <w:rPr>
                <w:sz w:val="21"/>
              </w:rPr>
              <w:t>7.19 危险保额</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3.3 诉讼时效</w:t>
            </w:r>
          </w:p>
        </w:tc>
        <w:tc>
          <w:tcPr>
            <w:tcW w:w="3258" w:type="dxa"/>
          </w:tcPr>
          <w:p>
            <w:pPr>
              <w:pStyle w:val="TableParagraph"/>
              <w:spacing w:before="2"/>
              <w:ind w:left="345"/>
              <w:rPr>
                <w:sz w:val="21"/>
              </w:rPr>
            </w:pPr>
            <w:r>
              <w:rPr>
                <w:sz w:val="21"/>
              </w:rPr>
              <w:t>7.5 全残</w:t>
            </w:r>
          </w:p>
        </w:tc>
        <w:tc>
          <w:tcPr>
            <w:tcW w:w="3698" w:type="dxa"/>
            <w:tcBorders>
              <w:right w:val="single" w:sz="4" w:space="0" w:color="000000"/>
            </w:tcBorders>
          </w:tcPr>
          <w:p>
            <w:pPr>
              <w:pStyle w:val="TableParagraph"/>
              <w:spacing w:before="2"/>
              <w:ind w:left="238"/>
              <w:rPr>
                <w:sz w:val="21"/>
              </w:rPr>
            </w:pPr>
            <w:r>
              <w:rPr>
                <w:sz w:val="21"/>
              </w:rPr>
              <w:t>7.20 保险费约定支付日</w:t>
            </w:r>
          </w:p>
        </w:tc>
      </w:tr>
      <w:tr>
        <w:trPr>
          <w:trHeight w:val="343" w:hRule="atLeast"/>
        </w:trPr>
        <w:tc>
          <w:tcPr>
            <w:tcW w:w="2708" w:type="dxa"/>
            <w:tcBorders>
              <w:left w:val="single" w:sz="4" w:space="0" w:color="000000"/>
              <w:bottom w:val="single" w:sz="4" w:space="0" w:color="000000"/>
            </w:tcBorders>
          </w:tcPr>
          <w:p>
            <w:pPr>
              <w:pStyle w:val="TableParagraph"/>
              <w:spacing w:before="2"/>
              <w:ind w:left="107"/>
              <w:rPr>
                <w:b/>
                <w:sz w:val="21"/>
              </w:rPr>
            </w:pPr>
            <w:r>
              <w:rPr>
                <w:b/>
                <w:sz w:val="21"/>
              </w:rPr>
              <w:t>4.如何支付保障成本</w:t>
            </w:r>
          </w:p>
        </w:tc>
        <w:tc>
          <w:tcPr>
            <w:tcW w:w="3258" w:type="dxa"/>
            <w:tcBorders>
              <w:bottom w:val="single" w:sz="4" w:space="0" w:color="000000"/>
            </w:tcBorders>
          </w:tcPr>
          <w:p>
            <w:pPr>
              <w:pStyle w:val="TableParagraph"/>
              <w:spacing w:before="2"/>
              <w:ind w:left="345"/>
              <w:rPr>
                <w:sz w:val="21"/>
              </w:rPr>
            </w:pPr>
            <w:r>
              <w:rPr>
                <w:sz w:val="21"/>
              </w:rPr>
              <w:t>7.6 重大疾病</w:t>
            </w:r>
          </w:p>
        </w:tc>
        <w:tc>
          <w:tcPr>
            <w:tcW w:w="3698"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720" w:bottom="280" w:left="940" w:right="180"/>
        </w:sectPr>
      </w:pPr>
    </w:p>
    <w:p>
      <w:pPr>
        <w:pStyle w:val="BodyText"/>
        <w:spacing w:before="0"/>
        <w:ind w:left="1481"/>
        <w:rPr>
          <w:sz w:val="20"/>
        </w:rPr>
      </w:pPr>
      <w:r>
        <w:rPr>
          <w:sz w:val="20"/>
        </w:rPr>
        <w:drawing>
          <wp:inline distT="0" distB="0" distL="0" distR="0">
            <wp:extent cx="4197209" cy="595122"/>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4197209" cy="595122"/>
                    </a:xfrm>
                    <a:prstGeom prst="rect">
                      <a:avLst/>
                    </a:prstGeom>
                  </pic:spPr>
                </pic:pic>
              </a:graphicData>
            </a:graphic>
          </wp:inline>
        </w:drawing>
      </w:r>
      <w:r>
        <w:rPr>
          <w:sz w:val="20"/>
        </w:rPr>
      </w:r>
    </w:p>
    <w:p>
      <w:pPr>
        <w:pStyle w:val="BodyText"/>
        <w:spacing w:before="12"/>
        <w:ind w:left="0"/>
        <w:rPr>
          <w:b/>
          <w:sz w:val="11"/>
        </w:rPr>
      </w:pPr>
    </w:p>
    <w:p>
      <w:pPr>
        <w:pStyle w:val="Heading1"/>
        <w:spacing w:line="503" w:lineRule="exact"/>
        <w:ind w:left="1338"/>
      </w:pPr>
      <w:r>
        <w:rPr/>
        <w:t>东吴附加福瑞一生豁免保险费重大疾病保险 A 款条款</w:t>
      </w:r>
    </w:p>
    <w:p>
      <w:pPr>
        <w:pStyle w:val="BodyText"/>
        <w:spacing w:before="6"/>
        <w:ind w:left="0"/>
        <w:rPr>
          <w:rFonts w:ascii="Microsoft JhengHei UI"/>
          <w:b/>
          <w:sz w:val="25"/>
        </w:rPr>
      </w:pPr>
    </w:p>
    <w:p>
      <w:pPr>
        <w:pStyle w:val="BodyText"/>
        <w:spacing w:before="0"/>
        <w:ind w:left="220"/>
      </w:pPr>
      <w:r>
        <w:rPr>
          <w:spacing w:val="-23"/>
          <w:w w:val="100"/>
        </w:rPr>
        <w:t>在本条款中，“您”指投保人，“我们”、“本公司”均指东吴人寿保险股份有限公司。</w:t>
      </w:r>
    </w:p>
    <w:p>
      <w:pPr>
        <w:pStyle w:val="BodyText"/>
        <w:spacing w:before="0"/>
        <w:ind w:left="0"/>
        <w:rPr>
          <w:sz w:val="20"/>
        </w:rPr>
      </w:pPr>
    </w:p>
    <w:p>
      <w:pPr>
        <w:pStyle w:val="BodyText"/>
        <w:spacing w:before="4"/>
        <w:ind w:left="0"/>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
        <w:gridCol w:w="1915"/>
        <w:gridCol w:w="7320"/>
      </w:tblGrid>
      <w:tr>
        <w:trPr>
          <w:trHeight w:val="522" w:hRule="atLeast"/>
        </w:trPr>
        <w:tc>
          <w:tcPr>
            <w:tcW w:w="846" w:type="dxa"/>
            <w:tcBorders>
              <w:bottom w:val="single" w:sz="8" w:space="0" w:color="000000"/>
            </w:tcBorders>
          </w:tcPr>
          <w:p>
            <w:pPr>
              <w:pStyle w:val="TableParagraph"/>
              <w:spacing w:line="423" w:lineRule="exact"/>
              <w:ind w:left="273"/>
              <w:rPr>
                <w:rFonts w:ascii="Arial" w:hAnsi="Arial"/>
                <w:b/>
                <w:sz w:val="40"/>
              </w:rPr>
            </w:pPr>
            <w:r>
              <w:rPr>
                <w:rFonts w:ascii="Arial" w:hAnsi="Arial"/>
                <w:b/>
                <w:w w:val="119"/>
                <w:sz w:val="40"/>
              </w:rPr>
              <w:t></w:t>
            </w:r>
          </w:p>
        </w:tc>
        <w:tc>
          <w:tcPr>
            <w:tcW w:w="1915" w:type="dxa"/>
            <w:tcBorders>
              <w:bottom w:val="single" w:sz="8" w:space="0" w:color="000000"/>
            </w:tcBorders>
          </w:tcPr>
          <w:p>
            <w:pPr>
              <w:pStyle w:val="TableParagraph"/>
              <w:spacing w:before="14"/>
              <w:ind w:left="114"/>
              <w:rPr>
                <w:b/>
                <w:sz w:val="24"/>
              </w:rPr>
            </w:pPr>
            <w:r>
              <w:rPr>
                <w:b/>
                <w:w w:val="95"/>
                <w:sz w:val="24"/>
              </w:rPr>
              <w:t>您与我们的合同</w:t>
            </w:r>
          </w:p>
        </w:tc>
        <w:tc>
          <w:tcPr>
            <w:tcW w:w="7320" w:type="dxa"/>
            <w:tcBorders>
              <w:bottom w:val="single" w:sz="8" w:space="0" w:color="000000"/>
            </w:tcBorders>
          </w:tcPr>
          <w:p>
            <w:pPr>
              <w:pStyle w:val="TableParagraph"/>
              <w:rPr>
                <w:rFonts w:ascii="Times New Roman"/>
                <w:sz w:val="20"/>
              </w:rPr>
            </w:pPr>
          </w:p>
        </w:tc>
      </w:tr>
      <w:tr>
        <w:trPr>
          <w:trHeight w:val="1717" w:hRule="atLeast"/>
        </w:trPr>
        <w:tc>
          <w:tcPr>
            <w:tcW w:w="846" w:type="dxa"/>
            <w:tcBorders>
              <w:top w:val="single" w:sz="8" w:space="0" w:color="000000"/>
            </w:tcBorders>
          </w:tcPr>
          <w:p>
            <w:pPr>
              <w:pStyle w:val="TableParagraph"/>
              <w:spacing w:before="11"/>
              <w:rPr>
                <w:sz w:val="22"/>
              </w:rPr>
            </w:pPr>
          </w:p>
          <w:p>
            <w:pPr>
              <w:pStyle w:val="TableParagraph"/>
              <w:spacing w:before="1"/>
              <w:ind w:right="111"/>
              <w:jc w:val="right"/>
              <w:rPr>
                <w:b/>
                <w:sz w:val="21"/>
              </w:rPr>
            </w:pPr>
            <w:r>
              <w:rPr>
                <w:b/>
                <w:w w:val="95"/>
                <w:sz w:val="21"/>
              </w:rPr>
              <w:t>1.1</w:t>
            </w:r>
          </w:p>
        </w:tc>
        <w:tc>
          <w:tcPr>
            <w:tcW w:w="1915" w:type="dxa"/>
            <w:tcBorders>
              <w:top w:val="single" w:sz="8" w:space="0" w:color="000000"/>
            </w:tcBorders>
          </w:tcPr>
          <w:p>
            <w:pPr>
              <w:pStyle w:val="TableParagraph"/>
              <w:spacing w:before="11"/>
              <w:rPr>
                <w:sz w:val="22"/>
              </w:rPr>
            </w:pPr>
          </w:p>
          <w:p>
            <w:pPr>
              <w:pStyle w:val="TableParagraph"/>
              <w:spacing w:before="1"/>
              <w:ind w:left="114"/>
              <w:rPr>
                <w:b/>
                <w:sz w:val="21"/>
              </w:rPr>
            </w:pPr>
            <w:r>
              <w:rPr>
                <w:b/>
                <w:sz w:val="21"/>
              </w:rPr>
              <w:t>保险合同构成</w:t>
            </w:r>
          </w:p>
        </w:tc>
        <w:tc>
          <w:tcPr>
            <w:tcW w:w="7320" w:type="dxa"/>
            <w:tcBorders>
              <w:top w:val="single" w:sz="8" w:space="0" w:color="000000"/>
            </w:tcBorders>
          </w:tcPr>
          <w:p>
            <w:pPr>
              <w:pStyle w:val="TableParagraph"/>
              <w:spacing w:before="11"/>
              <w:rPr>
                <w:sz w:val="22"/>
              </w:rPr>
            </w:pPr>
          </w:p>
          <w:p>
            <w:pPr>
              <w:pStyle w:val="TableParagraph"/>
              <w:spacing w:line="273" w:lineRule="auto" w:before="1"/>
              <w:ind w:left="112" w:right="104"/>
              <w:jc w:val="both"/>
              <w:rPr>
                <w:sz w:val="21"/>
              </w:rPr>
            </w:pPr>
            <w:r>
              <w:rPr>
                <w:spacing w:val="-8"/>
                <w:sz w:val="21"/>
              </w:rPr>
              <w:t>本附加保险合同</w:t>
            </w:r>
            <w:r>
              <w:rPr>
                <w:spacing w:val="-3"/>
                <w:sz w:val="21"/>
              </w:rPr>
              <w:t>（</w:t>
            </w:r>
            <w:r>
              <w:rPr>
                <w:spacing w:val="-14"/>
                <w:sz w:val="21"/>
              </w:rPr>
              <w:t>以下简称“本附加合同”</w:t>
            </w:r>
            <w:r>
              <w:rPr>
                <w:spacing w:val="-73"/>
                <w:sz w:val="21"/>
              </w:rPr>
              <w:t>）</w:t>
            </w:r>
            <w:r>
              <w:rPr>
                <w:spacing w:val="-6"/>
                <w:sz w:val="21"/>
              </w:rPr>
              <w:t>附加于我们规定的主保险合同</w:t>
            </w:r>
            <w:r>
              <w:rPr>
                <w:spacing w:val="-3"/>
                <w:sz w:val="21"/>
              </w:rPr>
              <w:t>（</w:t>
            </w:r>
            <w:r>
              <w:rPr>
                <w:sz w:val="21"/>
              </w:rPr>
              <w:t>以</w:t>
            </w:r>
            <w:r>
              <w:rPr>
                <w:spacing w:val="-16"/>
                <w:w w:val="100"/>
                <w:sz w:val="21"/>
              </w:rPr>
              <w:t>下简称“主合同”</w:t>
            </w:r>
            <w:r>
              <w:rPr>
                <w:spacing w:val="-3"/>
                <w:w w:val="100"/>
                <w:sz w:val="21"/>
              </w:rPr>
              <w:t>）上。主合同所附条款、投保单及与本附加合同有关的其他</w:t>
            </w:r>
            <w:r>
              <w:rPr>
                <w:spacing w:val="-8"/>
                <w:sz w:val="21"/>
              </w:rPr>
              <w:t>投保文件、合法有效的声明、批注、批单和其他书面协议，凡与本附加合同相</w:t>
            </w:r>
            <w:r>
              <w:rPr>
                <w:spacing w:val="-5"/>
                <w:sz w:val="21"/>
              </w:rPr>
              <w:t>关者，均为本附加合同的构成部分。</w:t>
            </w:r>
          </w:p>
        </w:tc>
      </w:tr>
      <w:tr>
        <w:trPr>
          <w:trHeight w:val="2184" w:hRule="atLeast"/>
        </w:trPr>
        <w:tc>
          <w:tcPr>
            <w:tcW w:w="846" w:type="dxa"/>
          </w:tcPr>
          <w:p>
            <w:pPr>
              <w:pStyle w:val="TableParagraph"/>
              <w:spacing w:before="142"/>
              <w:ind w:right="111"/>
              <w:jc w:val="right"/>
              <w:rPr>
                <w:b/>
                <w:sz w:val="21"/>
              </w:rPr>
            </w:pPr>
            <w:r>
              <w:rPr>
                <w:b/>
                <w:sz w:val="21"/>
              </w:rPr>
              <w:t>1.2</w:t>
            </w:r>
          </w:p>
        </w:tc>
        <w:tc>
          <w:tcPr>
            <w:tcW w:w="1915" w:type="dxa"/>
          </w:tcPr>
          <w:p>
            <w:pPr>
              <w:pStyle w:val="TableParagraph"/>
              <w:spacing w:line="273" w:lineRule="auto" w:before="142"/>
              <w:ind w:left="114" w:right="108"/>
              <w:rPr>
                <w:b/>
                <w:sz w:val="21"/>
              </w:rPr>
            </w:pPr>
            <w:r>
              <w:rPr>
                <w:b/>
                <w:sz w:val="21"/>
              </w:rPr>
              <w:t>保险合同成立与生效</w:t>
            </w:r>
          </w:p>
        </w:tc>
        <w:tc>
          <w:tcPr>
            <w:tcW w:w="7320" w:type="dxa"/>
          </w:tcPr>
          <w:p>
            <w:pPr>
              <w:pStyle w:val="TableParagraph"/>
              <w:spacing w:before="142"/>
              <w:ind w:left="112"/>
              <w:rPr>
                <w:sz w:val="21"/>
              </w:rPr>
            </w:pPr>
            <w:r>
              <w:rPr>
                <w:sz w:val="21"/>
              </w:rPr>
              <w:t>您提出保险申请、我们同意承保，本附加合同成立。</w:t>
            </w:r>
          </w:p>
          <w:p>
            <w:pPr>
              <w:pStyle w:val="TableParagraph"/>
              <w:spacing w:before="8"/>
              <w:rPr>
                <w:sz w:val="26"/>
              </w:rPr>
            </w:pPr>
          </w:p>
          <w:p>
            <w:pPr>
              <w:pStyle w:val="TableParagraph"/>
              <w:ind w:left="112"/>
              <w:rPr>
                <w:sz w:val="21"/>
              </w:rPr>
            </w:pPr>
            <w:r>
              <w:rPr>
                <w:sz w:val="21"/>
              </w:rPr>
              <w:t>如果本附加合同与主合同同时投保，本附加合同的生效日与主合同相同。</w:t>
            </w:r>
          </w:p>
          <w:p>
            <w:pPr>
              <w:pStyle w:val="TableParagraph"/>
              <w:spacing w:before="8"/>
              <w:rPr>
                <w:sz w:val="26"/>
              </w:rPr>
            </w:pPr>
          </w:p>
          <w:p>
            <w:pPr>
              <w:pStyle w:val="TableParagraph"/>
              <w:spacing w:line="273" w:lineRule="auto"/>
              <w:ind w:left="112" w:right="49"/>
              <w:rPr>
                <w:sz w:val="21"/>
              </w:rPr>
            </w:pPr>
            <w:r>
              <w:rPr>
                <w:sz w:val="21"/>
              </w:rPr>
              <w:t>如果您在主合同有效期内投保本附加合同，本附加合同自我们同意承保、收取首期保险费并签发保险单开始生效，具体生效日以保险单所载的日期为准。</w:t>
            </w:r>
          </w:p>
        </w:tc>
      </w:tr>
      <w:tr>
        <w:trPr>
          <w:trHeight w:val="936" w:hRule="atLeast"/>
        </w:trPr>
        <w:tc>
          <w:tcPr>
            <w:tcW w:w="846" w:type="dxa"/>
          </w:tcPr>
          <w:p>
            <w:pPr>
              <w:pStyle w:val="TableParagraph"/>
              <w:spacing w:before="143"/>
              <w:ind w:right="111"/>
              <w:jc w:val="right"/>
              <w:rPr>
                <w:b/>
                <w:sz w:val="21"/>
              </w:rPr>
            </w:pPr>
            <w:r>
              <w:rPr>
                <w:b/>
                <w:sz w:val="21"/>
              </w:rPr>
              <w:t>1.3</w:t>
            </w:r>
          </w:p>
        </w:tc>
        <w:tc>
          <w:tcPr>
            <w:tcW w:w="1915" w:type="dxa"/>
          </w:tcPr>
          <w:p>
            <w:pPr>
              <w:pStyle w:val="TableParagraph"/>
              <w:spacing w:before="143"/>
              <w:ind w:left="114"/>
              <w:rPr>
                <w:b/>
                <w:sz w:val="21"/>
              </w:rPr>
            </w:pPr>
            <w:r>
              <w:rPr>
                <w:b/>
                <w:sz w:val="21"/>
              </w:rPr>
              <w:t>投保对象</w:t>
            </w:r>
          </w:p>
        </w:tc>
        <w:tc>
          <w:tcPr>
            <w:tcW w:w="7320" w:type="dxa"/>
          </w:tcPr>
          <w:p>
            <w:pPr>
              <w:pStyle w:val="TableParagraph"/>
              <w:spacing w:line="273" w:lineRule="auto" w:before="143"/>
              <w:ind w:left="112" w:right="64"/>
              <w:rPr>
                <w:sz w:val="21"/>
              </w:rPr>
            </w:pPr>
            <w:r>
              <w:rPr>
                <w:sz w:val="21"/>
              </w:rPr>
              <w:t>若主合同的被保险人与投保人不为同一人时，主合同的投保人可作为本附加合</w:t>
            </w:r>
            <w:r>
              <w:rPr>
                <w:w w:val="100"/>
                <w:sz w:val="21"/>
              </w:rPr>
              <w:t>同的被保险人（以下简称“被保险人”）投保本附加合同。</w:t>
            </w:r>
          </w:p>
        </w:tc>
      </w:tr>
      <w:tr>
        <w:trPr>
          <w:trHeight w:val="935" w:hRule="atLeast"/>
        </w:trPr>
        <w:tc>
          <w:tcPr>
            <w:tcW w:w="846" w:type="dxa"/>
          </w:tcPr>
          <w:p>
            <w:pPr>
              <w:pStyle w:val="TableParagraph"/>
              <w:spacing w:before="142"/>
              <w:ind w:right="111"/>
              <w:jc w:val="right"/>
              <w:rPr>
                <w:b/>
                <w:sz w:val="21"/>
              </w:rPr>
            </w:pPr>
            <w:r>
              <w:rPr>
                <w:b/>
                <w:sz w:val="21"/>
              </w:rPr>
              <w:t>1.4</w:t>
            </w:r>
          </w:p>
        </w:tc>
        <w:tc>
          <w:tcPr>
            <w:tcW w:w="1915" w:type="dxa"/>
          </w:tcPr>
          <w:p>
            <w:pPr>
              <w:pStyle w:val="TableParagraph"/>
              <w:spacing w:before="142"/>
              <w:ind w:left="114"/>
              <w:rPr>
                <w:b/>
                <w:sz w:val="21"/>
              </w:rPr>
            </w:pPr>
            <w:r>
              <w:rPr>
                <w:b/>
                <w:sz w:val="21"/>
              </w:rPr>
              <w:t>投保年龄</w:t>
            </w:r>
          </w:p>
        </w:tc>
        <w:tc>
          <w:tcPr>
            <w:tcW w:w="7320" w:type="dxa"/>
          </w:tcPr>
          <w:p>
            <w:pPr>
              <w:pStyle w:val="TableParagraph"/>
              <w:spacing w:before="142"/>
              <w:ind w:left="112"/>
              <w:rPr>
                <w:b/>
                <w:sz w:val="21"/>
              </w:rPr>
            </w:pPr>
            <w:r>
              <w:rPr>
                <w:sz w:val="21"/>
              </w:rPr>
              <w:t>指您投保时被保险人的年龄，本附加合同接受的投保年龄范围为18至60</w:t>
            </w:r>
            <w:r>
              <w:rPr>
                <w:b/>
                <w:sz w:val="21"/>
              </w:rPr>
              <w:t>周岁</w:t>
            </w:r>
          </w:p>
          <w:p>
            <w:pPr>
              <w:pStyle w:val="TableParagraph"/>
              <w:spacing w:before="36"/>
              <w:ind w:left="112"/>
              <w:rPr>
                <w:sz w:val="21"/>
              </w:rPr>
            </w:pPr>
            <w:r>
              <w:rPr>
                <w:w w:val="100"/>
                <w:sz w:val="21"/>
              </w:rPr>
              <w:t>（见7</w:t>
            </w:r>
            <w:r>
              <w:rPr>
                <w:spacing w:val="-3"/>
                <w:w w:val="100"/>
                <w:sz w:val="21"/>
              </w:rPr>
              <w:t>.</w:t>
            </w:r>
            <w:r>
              <w:rPr>
                <w:w w:val="100"/>
                <w:sz w:val="21"/>
              </w:rPr>
              <w:t>1</w:t>
            </w:r>
            <w:r>
              <w:rPr>
                <w:spacing w:val="-106"/>
                <w:w w:val="100"/>
                <w:sz w:val="21"/>
              </w:rPr>
              <w:t>）</w:t>
            </w:r>
            <w:r>
              <w:rPr>
                <w:spacing w:val="-3"/>
                <w:w w:val="100"/>
                <w:sz w:val="21"/>
              </w:rPr>
              <w:t>，可续保至</w:t>
            </w:r>
            <w:r>
              <w:rPr>
                <w:w w:val="100"/>
                <w:sz w:val="21"/>
              </w:rPr>
              <w:t>80</w:t>
            </w:r>
            <w:r>
              <w:rPr>
                <w:spacing w:val="-2"/>
                <w:w w:val="100"/>
                <w:sz w:val="21"/>
              </w:rPr>
              <w:t>周岁。</w:t>
            </w:r>
          </w:p>
        </w:tc>
      </w:tr>
      <w:tr>
        <w:trPr>
          <w:trHeight w:val="2833" w:hRule="atLeast"/>
        </w:trPr>
        <w:tc>
          <w:tcPr>
            <w:tcW w:w="846" w:type="dxa"/>
          </w:tcPr>
          <w:p>
            <w:pPr>
              <w:pStyle w:val="TableParagraph"/>
              <w:spacing w:before="142"/>
              <w:ind w:right="111"/>
              <w:jc w:val="right"/>
              <w:rPr>
                <w:b/>
                <w:sz w:val="21"/>
              </w:rPr>
            </w:pPr>
            <w:r>
              <w:rPr>
                <w:b/>
                <w:sz w:val="21"/>
              </w:rPr>
              <w:t>1.5</w:t>
            </w:r>
          </w:p>
        </w:tc>
        <w:tc>
          <w:tcPr>
            <w:tcW w:w="1915" w:type="dxa"/>
          </w:tcPr>
          <w:p>
            <w:pPr>
              <w:pStyle w:val="TableParagraph"/>
              <w:spacing w:before="142"/>
              <w:ind w:left="114"/>
              <w:rPr>
                <w:b/>
                <w:sz w:val="21"/>
              </w:rPr>
            </w:pPr>
            <w:r>
              <w:rPr>
                <w:b/>
                <w:sz w:val="21"/>
              </w:rPr>
              <w:t>犹豫期</w:t>
            </w:r>
          </w:p>
        </w:tc>
        <w:tc>
          <w:tcPr>
            <w:tcW w:w="7320" w:type="dxa"/>
          </w:tcPr>
          <w:p>
            <w:pPr>
              <w:pStyle w:val="TableParagraph"/>
              <w:spacing w:line="273" w:lineRule="auto" w:before="142"/>
              <w:ind w:left="112" w:right="102"/>
              <w:jc w:val="both"/>
              <w:rPr>
                <w:sz w:val="21"/>
              </w:rPr>
            </w:pPr>
            <w:r>
              <w:rPr>
                <w:spacing w:val="-6"/>
                <w:sz w:val="21"/>
              </w:rPr>
              <w:t>自您签收本附加合同之日起，有 </w:t>
            </w:r>
            <w:r>
              <w:rPr>
                <w:sz w:val="21"/>
              </w:rPr>
              <w:t>10</w:t>
            </w:r>
            <w:r>
              <w:rPr>
                <w:spacing w:val="-8"/>
                <w:sz w:val="21"/>
              </w:rPr>
              <w:t> 日的犹豫期。在此期间请您认真审视本附加合同，如果您认为本附加合同与您的需求不相符，您可以在此期间提出解除</w:t>
            </w:r>
            <w:r>
              <w:rPr>
                <w:spacing w:val="-9"/>
                <w:sz w:val="21"/>
              </w:rPr>
              <w:t>本附加合同，我们将已收取的本附加合同的保障成本无息退还至主合同保单账</w:t>
            </w:r>
            <w:r>
              <w:rPr>
                <w:spacing w:val="-5"/>
                <w:sz w:val="21"/>
              </w:rPr>
              <w:t>户，主合同保单账户价值按退还的金额等额增加。</w:t>
            </w:r>
          </w:p>
          <w:p>
            <w:pPr>
              <w:pStyle w:val="TableParagraph"/>
              <w:spacing w:before="5"/>
              <w:rPr>
                <w:sz w:val="24"/>
              </w:rPr>
            </w:pPr>
          </w:p>
          <w:p>
            <w:pPr>
              <w:pStyle w:val="TableParagraph"/>
              <w:ind w:left="112"/>
              <w:rPr>
                <w:b/>
                <w:sz w:val="21"/>
              </w:rPr>
            </w:pPr>
            <w:r>
              <w:rPr>
                <w:sz w:val="21"/>
              </w:rPr>
              <w:t>解除本附加合同时，您需要填写申请书，并提供您的保险合同及</w:t>
            </w:r>
            <w:r>
              <w:rPr>
                <w:b/>
                <w:sz w:val="21"/>
              </w:rPr>
              <w:t>有效身份证件</w:t>
            </w:r>
          </w:p>
          <w:p>
            <w:pPr>
              <w:pStyle w:val="TableParagraph"/>
              <w:spacing w:line="273" w:lineRule="auto" w:before="36"/>
              <w:ind w:left="112" w:right="102"/>
              <w:jc w:val="both"/>
              <w:rPr>
                <w:sz w:val="21"/>
              </w:rPr>
            </w:pPr>
            <w:r>
              <w:rPr>
                <w:w w:val="100"/>
                <w:sz w:val="21"/>
              </w:rPr>
              <w:t>（见</w:t>
            </w:r>
            <w:r>
              <w:rPr>
                <w:spacing w:val="-53"/>
                <w:sz w:val="21"/>
              </w:rPr>
              <w:t> </w:t>
            </w:r>
            <w:r>
              <w:rPr>
                <w:spacing w:val="-3"/>
                <w:w w:val="100"/>
                <w:sz w:val="21"/>
              </w:rPr>
              <w:t>7</w:t>
            </w:r>
            <w:r>
              <w:rPr>
                <w:w w:val="100"/>
                <w:sz w:val="21"/>
              </w:rPr>
              <w:t>.2</w:t>
            </w:r>
            <w:r>
              <w:rPr>
                <w:spacing w:val="-106"/>
                <w:w w:val="100"/>
                <w:sz w:val="21"/>
              </w:rPr>
              <w:t>）</w:t>
            </w:r>
            <w:r>
              <w:rPr>
                <w:spacing w:val="-10"/>
                <w:w w:val="100"/>
                <w:sz w:val="21"/>
              </w:rPr>
              <w:t>。自我们收到您解除合同的书面申请时起，本附加合同即被解除，我</w:t>
            </w:r>
            <w:r>
              <w:rPr>
                <w:spacing w:val="-5"/>
                <w:sz w:val="21"/>
              </w:rPr>
              <w:t>们自始不承担保险责任。</w:t>
            </w:r>
          </w:p>
        </w:tc>
      </w:tr>
      <w:tr>
        <w:trPr>
          <w:trHeight w:val="753" w:hRule="atLeast"/>
        </w:trPr>
        <w:tc>
          <w:tcPr>
            <w:tcW w:w="846"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1915" w:type="dxa"/>
            <w:tcBorders>
              <w:bottom w:val="single" w:sz="8" w:space="0" w:color="000000"/>
            </w:tcBorders>
          </w:tcPr>
          <w:p>
            <w:pPr>
              <w:pStyle w:val="TableParagraph"/>
              <w:spacing w:before="10"/>
              <w:rPr>
                <w:sz w:val="18"/>
              </w:rPr>
            </w:pPr>
          </w:p>
          <w:p>
            <w:pPr>
              <w:pStyle w:val="TableParagraph"/>
              <w:ind w:left="114"/>
              <w:rPr>
                <w:b/>
                <w:sz w:val="24"/>
              </w:rPr>
            </w:pPr>
            <w:r>
              <w:rPr>
                <w:b/>
                <w:w w:val="95"/>
                <w:sz w:val="24"/>
              </w:rPr>
              <w:t>我们提供的保障</w:t>
            </w:r>
          </w:p>
        </w:tc>
        <w:tc>
          <w:tcPr>
            <w:tcW w:w="7320" w:type="dxa"/>
            <w:tcBorders>
              <w:bottom w:val="single" w:sz="8" w:space="0" w:color="000000"/>
            </w:tcBorders>
          </w:tcPr>
          <w:p>
            <w:pPr>
              <w:pStyle w:val="TableParagraph"/>
              <w:rPr>
                <w:rFonts w:ascii="Times New Roman"/>
                <w:sz w:val="20"/>
              </w:rPr>
            </w:pPr>
          </w:p>
        </w:tc>
      </w:tr>
      <w:tr>
        <w:trPr>
          <w:trHeight w:val="1198" w:hRule="atLeast"/>
        </w:trPr>
        <w:tc>
          <w:tcPr>
            <w:tcW w:w="846" w:type="dxa"/>
            <w:tcBorders>
              <w:top w:val="single" w:sz="8" w:space="0" w:color="000000"/>
            </w:tcBorders>
          </w:tcPr>
          <w:p>
            <w:pPr>
              <w:pStyle w:val="TableParagraph"/>
              <w:spacing w:before="11"/>
              <w:rPr>
                <w:sz w:val="22"/>
              </w:rPr>
            </w:pPr>
          </w:p>
          <w:p>
            <w:pPr>
              <w:pStyle w:val="TableParagraph"/>
              <w:ind w:right="111"/>
              <w:jc w:val="right"/>
              <w:rPr>
                <w:b/>
                <w:sz w:val="21"/>
              </w:rPr>
            </w:pPr>
            <w:r>
              <w:rPr>
                <w:b/>
                <w:sz w:val="21"/>
              </w:rPr>
              <w:t>2.1</w:t>
            </w:r>
          </w:p>
        </w:tc>
        <w:tc>
          <w:tcPr>
            <w:tcW w:w="1915" w:type="dxa"/>
            <w:tcBorders>
              <w:top w:val="single" w:sz="8" w:space="0" w:color="000000"/>
            </w:tcBorders>
          </w:tcPr>
          <w:p>
            <w:pPr>
              <w:pStyle w:val="TableParagraph"/>
              <w:spacing w:before="11"/>
              <w:rPr>
                <w:sz w:val="22"/>
              </w:rPr>
            </w:pPr>
          </w:p>
          <w:p>
            <w:pPr>
              <w:pStyle w:val="TableParagraph"/>
              <w:ind w:left="114"/>
              <w:rPr>
                <w:b/>
                <w:sz w:val="21"/>
              </w:rPr>
            </w:pPr>
            <w:r>
              <w:rPr>
                <w:b/>
                <w:sz w:val="21"/>
              </w:rPr>
              <w:t>保险期间和续保</w:t>
            </w:r>
          </w:p>
        </w:tc>
        <w:tc>
          <w:tcPr>
            <w:tcW w:w="7320" w:type="dxa"/>
            <w:tcBorders>
              <w:top w:val="single" w:sz="8" w:space="0" w:color="000000"/>
            </w:tcBorders>
          </w:tcPr>
          <w:p>
            <w:pPr>
              <w:pStyle w:val="TableParagraph"/>
              <w:spacing w:before="11"/>
              <w:rPr>
                <w:sz w:val="22"/>
              </w:rPr>
            </w:pPr>
          </w:p>
          <w:p>
            <w:pPr>
              <w:pStyle w:val="TableParagraph"/>
              <w:ind w:left="112"/>
              <w:rPr>
                <w:sz w:val="21"/>
              </w:rPr>
            </w:pPr>
            <w:r>
              <w:rPr>
                <w:sz w:val="21"/>
              </w:rPr>
              <w:t>本附加合同附加于主合同。</w:t>
            </w:r>
          </w:p>
          <w:p>
            <w:pPr>
              <w:pStyle w:val="TableParagraph"/>
              <w:spacing w:before="8"/>
              <w:rPr>
                <w:sz w:val="26"/>
              </w:rPr>
            </w:pPr>
          </w:p>
          <w:p>
            <w:pPr>
              <w:pStyle w:val="TableParagraph"/>
              <w:spacing w:line="255" w:lineRule="exact"/>
              <w:ind w:left="112"/>
              <w:rPr>
                <w:sz w:val="21"/>
              </w:rPr>
            </w:pPr>
            <w:r>
              <w:rPr>
                <w:sz w:val="21"/>
              </w:rPr>
              <w:t>本附加合同的保险期间为 1 年。</w:t>
            </w:r>
          </w:p>
        </w:tc>
      </w:tr>
    </w:tbl>
    <w:p>
      <w:pPr>
        <w:spacing w:after="0" w:line="255" w:lineRule="exact"/>
        <w:rPr>
          <w:sz w:val="21"/>
        </w:rPr>
        <w:sectPr>
          <w:pgSz w:w="11910" w:h="16840"/>
          <w:pgMar w:top="1320" w:bottom="280" w:left="80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912"/>
        <w:gridCol w:w="7519"/>
      </w:tblGrid>
      <w:tr>
        <w:trPr>
          <w:trHeight w:val="2290" w:hRule="atLeast"/>
        </w:trPr>
        <w:tc>
          <w:tcPr>
            <w:tcW w:w="631" w:type="dxa"/>
          </w:tcPr>
          <w:p>
            <w:pPr>
              <w:pStyle w:val="TableParagraph"/>
              <w:rPr>
                <w:rFonts w:ascii="Times New Roman"/>
                <w:sz w:val="20"/>
              </w:rPr>
            </w:pPr>
          </w:p>
        </w:tc>
        <w:tc>
          <w:tcPr>
            <w:tcW w:w="1912" w:type="dxa"/>
          </w:tcPr>
          <w:p>
            <w:pPr>
              <w:pStyle w:val="TableParagraph"/>
              <w:rPr>
                <w:rFonts w:ascii="Times New Roman"/>
                <w:sz w:val="20"/>
              </w:rPr>
            </w:pPr>
          </w:p>
        </w:tc>
        <w:tc>
          <w:tcPr>
            <w:tcW w:w="7519" w:type="dxa"/>
          </w:tcPr>
          <w:p>
            <w:pPr>
              <w:pStyle w:val="TableParagraph"/>
              <w:spacing w:line="206" w:lineRule="exact"/>
              <w:ind w:left="115"/>
              <w:rPr>
                <w:sz w:val="21"/>
              </w:rPr>
            </w:pPr>
            <w:r>
              <w:rPr>
                <w:sz w:val="21"/>
              </w:rPr>
              <w:t>自您首次投保本附加合同的生效日起，或自您非</w:t>
            </w:r>
            <w:r>
              <w:rPr>
                <w:b/>
                <w:sz w:val="21"/>
              </w:rPr>
              <w:t>连续投保</w:t>
            </w:r>
            <w:r>
              <w:rPr>
                <w:sz w:val="21"/>
              </w:rPr>
              <w:t>(见 7.3)本附加合同</w:t>
            </w:r>
          </w:p>
          <w:p>
            <w:pPr>
              <w:pStyle w:val="TableParagraph"/>
              <w:spacing w:line="273" w:lineRule="auto" w:before="37"/>
              <w:ind w:left="115" w:right="299"/>
              <w:rPr>
                <w:sz w:val="21"/>
              </w:rPr>
            </w:pPr>
            <w:r>
              <w:rPr>
                <w:spacing w:val="-7"/>
                <w:sz w:val="21"/>
              </w:rPr>
              <w:t>的生效日起，至主合同最后一期保险费约定支付日止，为保证续保期间。本附</w:t>
            </w:r>
            <w:r>
              <w:rPr>
                <w:spacing w:val="-8"/>
                <w:sz w:val="21"/>
              </w:rPr>
              <w:t>加合同的最高保证续保年龄为 </w:t>
            </w:r>
            <w:r>
              <w:rPr>
                <w:rFonts w:ascii="Times New Roman" w:eastAsia="Times New Roman"/>
                <w:sz w:val="21"/>
              </w:rPr>
              <w:t>80 </w:t>
            </w:r>
            <w:r>
              <w:rPr>
                <w:spacing w:val="-2"/>
                <w:sz w:val="21"/>
              </w:rPr>
              <w:t>周岁。</w:t>
            </w:r>
          </w:p>
          <w:p>
            <w:pPr>
              <w:pStyle w:val="TableParagraph"/>
              <w:spacing w:before="12"/>
              <w:rPr>
                <w:sz w:val="22"/>
              </w:rPr>
            </w:pPr>
          </w:p>
          <w:p>
            <w:pPr>
              <w:pStyle w:val="TableParagraph"/>
              <w:spacing w:line="273" w:lineRule="auto"/>
              <w:ind w:left="115" w:right="198"/>
              <w:rPr>
                <w:sz w:val="21"/>
              </w:rPr>
            </w:pPr>
            <w:r>
              <w:rPr>
                <w:spacing w:val="-7"/>
                <w:sz w:val="21"/>
              </w:rPr>
              <w:t>在保证续保期间，您可于保险期间届满时，按续保时年龄对应的费率向我们支</w:t>
            </w:r>
            <w:r>
              <w:rPr>
                <w:spacing w:val="-9"/>
                <w:sz w:val="21"/>
              </w:rPr>
              <w:t>付保障成本，则本附加合同将延续有效；若续保时被保险人年龄超过 </w:t>
            </w:r>
            <w:r>
              <w:rPr>
                <w:sz w:val="21"/>
              </w:rPr>
              <w:t>80</w:t>
            </w:r>
            <w:r>
              <w:rPr>
                <w:spacing w:val="-12"/>
                <w:sz w:val="21"/>
              </w:rPr>
              <w:t> 周岁， </w:t>
            </w:r>
            <w:r>
              <w:rPr>
                <w:spacing w:val="-3"/>
                <w:sz w:val="21"/>
              </w:rPr>
              <w:t>我们不再接受续保。</w:t>
            </w:r>
          </w:p>
        </w:tc>
      </w:tr>
      <w:tr>
        <w:trPr>
          <w:trHeight w:val="622" w:hRule="atLeast"/>
        </w:trPr>
        <w:tc>
          <w:tcPr>
            <w:tcW w:w="631" w:type="dxa"/>
          </w:tcPr>
          <w:p>
            <w:pPr>
              <w:pStyle w:val="TableParagraph"/>
              <w:spacing w:before="137"/>
              <w:ind w:right="112"/>
              <w:jc w:val="right"/>
              <w:rPr>
                <w:b/>
                <w:sz w:val="21"/>
              </w:rPr>
            </w:pPr>
            <w:r>
              <w:rPr>
                <w:b/>
                <w:sz w:val="21"/>
              </w:rPr>
              <w:t>2.2</w:t>
            </w:r>
          </w:p>
        </w:tc>
        <w:tc>
          <w:tcPr>
            <w:tcW w:w="1912" w:type="dxa"/>
          </w:tcPr>
          <w:p>
            <w:pPr>
              <w:pStyle w:val="TableParagraph"/>
              <w:spacing w:before="137"/>
              <w:ind w:left="113"/>
              <w:rPr>
                <w:b/>
                <w:sz w:val="21"/>
              </w:rPr>
            </w:pPr>
            <w:r>
              <w:rPr>
                <w:b/>
                <w:sz w:val="21"/>
              </w:rPr>
              <w:t>保险责任</w:t>
            </w:r>
          </w:p>
        </w:tc>
        <w:tc>
          <w:tcPr>
            <w:tcW w:w="7519" w:type="dxa"/>
          </w:tcPr>
          <w:p>
            <w:pPr>
              <w:pStyle w:val="TableParagraph"/>
              <w:spacing w:before="137"/>
              <w:ind w:left="115"/>
              <w:rPr>
                <w:sz w:val="21"/>
              </w:rPr>
            </w:pPr>
            <w:r>
              <w:rPr>
                <w:sz w:val="21"/>
              </w:rPr>
              <w:t>在本附加合同有效期内，我们承担如下保险责任：</w:t>
            </w:r>
          </w:p>
        </w:tc>
      </w:tr>
      <w:tr>
        <w:trPr>
          <w:trHeight w:val="3122" w:hRule="atLeast"/>
        </w:trPr>
        <w:tc>
          <w:tcPr>
            <w:tcW w:w="631" w:type="dxa"/>
          </w:tcPr>
          <w:p>
            <w:pPr>
              <w:pStyle w:val="TableParagraph"/>
              <w:rPr>
                <w:rFonts w:ascii="Times New Roman"/>
                <w:sz w:val="20"/>
              </w:rPr>
            </w:pPr>
          </w:p>
        </w:tc>
        <w:tc>
          <w:tcPr>
            <w:tcW w:w="1912" w:type="dxa"/>
          </w:tcPr>
          <w:p>
            <w:pPr>
              <w:pStyle w:val="TableParagraph"/>
              <w:spacing w:before="34"/>
              <w:ind w:left="113"/>
              <w:rPr>
                <w:rFonts w:ascii="Microsoft JhengHei" w:eastAsia="Microsoft JhengHei" w:hint="eastAsia"/>
                <w:b/>
                <w:sz w:val="24"/>
              </w:rPr>
            </w:pPr>
            <w:r>
              <w:rPr>
                <w:rFonts w:ascii="Microsoft JhengHei" w:eastAsia="Microsoft JhengHei" w:hint="eastAsia"/>
                <w:b/>
                <w:sz w:val="24"/>
              </w:rPr>
              <w:t>等待期</w:t>
            </w:r>
          </w:p>
        </w:tc>
        <w:tc>
          <w:tcPr>
            <w:tcW w:w="7519" w:type="dxa"/>
          </w:tcPr>
          <w:p>
            <w:pPr>
              <w:pStyle w:val="TableParagraph"/>
              <w:spacing w:before="138"/>
              <w:ind w:left="115"/>
              <w:rPr>
                <w:sz w:val="21"/>
              </w:rPr>
            </w:pPr>
            <w:r>
              <w:rPr>
                <w:sz w:val="21"/>
              </w:rPr>
              <w:t>您首次投保或非连续投保本附加保险的，从本附加合同生效之日起180 日内（含</w:t>
            </w:r>
          </w:p>
          <w:p>
            <w:pPr>
              <w:pStyle w:val="TableParagraph"/>
              <w:spacing w:before="36"/>
              <w:ind w:left="115"/>
              <w:rPr>
                <w:b/>
                <w:sz w:val="21"/>
              </w:rPr>
            </w:pPr>
            <w:r>
              <w:rPr>
                <w:w w:val="100"/>
                <w:sz w:val="21"/>
              </w:rPr>
              <w:t>180</w:t>
            </w:r>
            <w:r>
              <w:rPr>
                <w:spacing w:val="-53"/>
                <w:sz w:val="21"/>
              </w:rPr>
              <w:t> </w:t>
            </w:r>
            <w:r>
              <w:rPr>
                <w:spacing w:val="-3"/>
                <w:w w:val="100"/>
                <w:sz w:val="21"/>
              </w:rPr>
              <w:t>日当日</w:t>
            </w:r>
            <w:r>
              <w:rPr>
                <w:spacing w:val="-106"/>
                <w:w w:val="100"/>
                <w:sz w:val="21"/>
              </w:rPr>
              <w:t>）</w:t>
            </w:r>
            <w:r>
              <w:rPr>
                <w:spacing w:val="-5"/>
                <w:w w:val="100"/>
                <w:sz w:val="21"/>
              </w:rPr>
              <w:t>，被保险人因</w:t>
            </w:r>
            <w:r>
              <w:rPr>
                <w:b/>
                <w:spacing w:val="-2"/>
                <w:w w:val="100"/>
                <w:sz w:val="21"/>
              </w:rPr>
              <w:t>意外伤害事故</w:t>
            </w:r>
            <w:r>
              <w:rPr>
                <w:spacing w:val="-3"/>
                <w:w w:val="100"/>
                <w:sz w:val="21"/>
              </w:rPr>
              <w:t>（</w:t>
            </w:r>
            <w:r>
              <w:rPr>
                <w:w w:val="100"/>
                <w:sz w:val="21"/>
              </w:rPr>
              <w:t>见</w:t>
            </w:r>
            <w:r>
              <w:rPr>
                <w:spacing w:val="-53"/>
                <w:sz w:val="21"/>
              </w:rPr>
              <w:t> </w:t>
            </w:r>
            <w:r>
              <w:rPr>
                <w:w w:val="100"/>
                <w:sz w:val="21"/>
              </w:rPr>
              <w:t>7</w:t>
            </w:r>
            <w:r>
              <w:rPr>
                <w:spacing w:val="-3"/>
                <w:w w:val="100"/>
                <w:sz w:val="21"/>
              </w:rPr>
              <w:t>.</w:t>
            </w:r>
            <w:r>
              <w:rPr>
                <w:w w:val="100"/>
                <w:sz w:val="21"/>
              </w:rPr>
              <w:t>4</w:t>
            </w:r>
            <w:r>
              <w:rPr>
                <w:spacing w:val="-13"/>
                <w:w w:val="100"/>
                <w:sz w:val="21"/>
              </w:rPr>
              <w:t>）</w:t>
            </w:r>
            <w:r>
              <w:rPr>
                <w:spacing w:val="-5"/>
                <w:w w:val="100"/>
                <w:sz w:val="21"/>
              </w:rPr>
              <w:t>以外的原因发生身故、</w:t>
            </w:r>
            <w:r>
              <w:rPr>
                <w:b/>
                <w:w w:val="100"/>
                <w:sz w:val="21"/>
              </w:rPr>
              <w:t>全残</w:t>
            </w:r>
          </w:p>
          <w:p>
            <w:pPr>
              <w:pStyle w:val="TableParagraph"/>
              <w:spacing w:line="273" w:lineRule="auto" w:before="37"/>
              <w:ind w:left="115" w:right="301"/>
              <w:rPr>
                <w:sz w:val="21"/>
              </w:rPr>
            </w:pPr>
            <w:r>
              <w:rPr>
                <w:w w:val="100"/>
                <w:sz w:val="21"/>
              </w:rPr>
              <w:t>（见</w:t>
            </w:r>
            <w:r>
              <w:rPr>
                <w:spacing w:val="-53"/>
                <w:sz w:val="21"/>
              </w:rPr>
              <w:t> </w:t>
            </w:r>
            <w:r>
              <w:rPr>
                <w:spacing w:val="-3"/>
                <w:w w:val="100"/>
                <w:sz w:val="21"/>
              </w:rPr>
              <w:t>7</w:t>
            </w:r>
            <w:r>
              <w:rPr>
                <w:w w:val="100"/>
                <w:sz w:val="21"/>
              </w:rPr>
              <w:t>.5</w:t>
            </w:r>
            <w:r>
              <w:rPr>
                <w:spacing w:val="-17"/>
                <w:w w:val="100"/>
                <w:sz w:val="21"/>
              </w:rPr>
              <w:t>）</w:t>
            </w:r>
            <w:r>
              <w:rPr>
                <w:spacing w:val="-3"/>
                <w:w w:val="100"/>
                <w:sz w:val="21"/>
              </w:rPr>
              <w:t>或</w:t>
            </w:r>
            <w:r>
              <w:rPr>
                <w:b/>
                <w:spacing w:val="-4"/>
                <w:w w:val="100"/>
                <w:sz w:val="21"/>
              </w:rPr>
              <w:t>重大疾病</w:t>
            </w:r>
            <w:r>
              <w:rPr>
                <w:spacing w:val="-3"/>
                <w:w w:val="100"/>
                <w:sz w:val="21"/>
              </w:rPr>
              <w:t>（</w:t>
            </w:r>
            <w:r>
              <w:rPr>
                <w:w w:val="100"/>
                <w:sz w:val="21"/>
              </w:rPr>
              <w:t>见</w:t>
            </w:r>
            <w:r>
              <w:rPr>
                <w:spacing w:val="-52"/>
                <w:sz w:val="21"/>
              </w:rPr>
              <w:t> </w:t>
            </w:r>
            <w:r>
              <w:rPr>
                <w:w w:val="100"/>
                <w:sz w:val="21"/>
              </w:rPr>
              <w:t>7.</w:t>
            </w:r>
            <w:r>
              <w:rPr>
                <w:spacing w:val="-3"/>
                <w:w w:val="100"/>
                <w:sz w:val="21"/>
              </w:rPr>
              <w:t>6</w:t>
            </w:r>
            <w:r>
              <w:rPr>
                <w:spacing w:val="-106"/>
                <w:w w:val="100"/>
                <w:sz w:val="21"/>
              </w:rPr>
              <w:t>）</w:t>
            </w:r>
            <w:r>
              <w:rPr>
                <w:spacing w:val="-5"/>
                <w:w w:val="100"/>
                <w:sz w:val="21"/>
              </w:rPr>
              <w:t>，我们将已收取的本附加合同的保障成本无息</w:t>
            </w:r>
            <w:r>
              <w:rPr>
                <w:spacing w:val="-5"/>
                <w:sz w:val="21"/>
              </w:rPr>
              <w:t>退还至主合同保单账户，本附加合同终止。这 </w:t>
            </w:r>
            <w:r>
              <w:rPr>
                <w:sz w:val="21"/>
              </w:rPr>
              <w:t>180</w:t>
            </w:r>
            <w:r>
              <w:rPr>
                <w:spacing w:val="-7"/>
                <w:sz w:val="21"/>
              </w:rPr>
              <w:t> 日的时间称为等待期。</w:t>
            </w:r>
          </w:p>
          <w:p>
            <w:pPr>
              <w:pStyle w:val="TableParagraph"/>
              <w:spacing w:before="5"/>
              <w:rPr>
                <w:sz w:val="24"/>
              </w:rPr>
            </w:pPr>
          </w:p>
          <w:p>
            <w:pPr>
              <w:pStyle w:val="TableParagraph"/>
              <w:spacing w:line="273" w:lineRule="auto"/>
              <w:ind w:left="115" w:right="245"/>
              <w:rPr>
                <w:sz w:val="21"/>
              </w:rPr>
            </w:pPr>
            <w:r>
              <w:rPr>
                <w:sz w:val="21"/>
              </w:rPr>
              <w:t>您首次投保本附加保险时被保险人因意外伤害事故发生身故、全残或重大疾病的，无等待期。</w:t>
            </w:r>
          </w:p>
          <w:p>
            <w:pPr>
              <w:pStyle w:val="TableParagraph"/>
              <w:spacing w:before="5"/>
              <w:rPr>
                <w:sz w:val="24"/>
              </w:rPr>
            </w:pPr>
          </w:p>
          <w:p>
            <w:pPr>
              <w:pStyle w:val="TableParagraph"/>
              <w:ind w:left="115"/>
              <w:rPr>
                <w:sz w:val="21"/>
              </w:rPr>
            </w:pPr>
            <w:r>
              <w:rPr>
                <w:sz w:val="21"/>
              </w:rPr>
              <w:t>您连续投保本附加保险的，无等待期。</w:t>
            </w:r>
          </w:p>
        </w:tc>
      </w:tr>
      <w:tr>
        <w:trPr>
          <w:trHeight w:val="934" w:hRule="atLeast"/>
        </w:trPr>
        <w:tc>
          <w:tcPr>
            <w:tcW w:w="631" w:type="dxa"/>
          </w:tcPr>
          <w:p>
            <w:pPr>
              <w:pStyle w:val="TableParagraph"/>
              <w:rPr>
                <w:rFonts w:ascii="Times New Roman"/>
                <w:sz w:val="20"/>
              </w:rPr>
            </w:pPr>
          </w:p>
        </w:tc>
        <w:tc>
          <w:tcPr>
            <w:tcW w:w="1912" w:type="dxa"/>
          </w:tcPr>
          <w:p>
            <w:pPr>
              <w:pStyle w:val="TableParagraph"/>
              <w:rPr>
                <w:rFonts w:ascii="Times New Roman"/>
                <w:sz w:val="20"/>
              </w:rPr>
            </w:pPr>
          </w:p>
        </w:tc>
        <w:tc>
          <w:tcPr>
            <w:tcW w:w="7519" w:type="dxa"/>
          </w:tcPr>
          <w:p>
            <w:pPr>
              <w:pStyle w:val="TableParagraph"/>
              <w:spacing w:line="273" w:lineRule="auto" w:before="137"/>
              <w:ind w:left="115" w:right="245"/>
              <w:rPr>
                <w:sz w:val="21"/>
              </w:rPr>
            </w:pPr>
            <w:r>
              <w:rPr>
                <w:sz w:val="21"/>
              </w:rPr>
              <w:t>如被保险人在等待期后发生本附加合同约定的保险事故，我们按照下列方式豁免保险费：</w:t>
            </w:r>
          </w:p>
        </w:tc>
      </w:tr>
      <w:tr>
        <w:trPr>
          <w:trHeight w:val="1872" w:hRule="atLeast"/>
        </w:trPr>
        <w:tc>
          <w:tcPr>
            <w:tcW w:w="631" w:type="dxa"/>
          </w:tcPr>
          <w:p>
            <w:pPr>
              <w:pStyle w:val="TableParagraph"/>
              <w:rPr>
                <w:rFonts w:ascii="Times New Roman"/>
                <w:sz w:val="20"/>
              </w:rPr>
            </w:pPr>
          </w:p>
        </w:tc>
        <w:tc>
          <w:tcPr>
            <w:tcW w:w="1912" w:type="dxa"/>
          </w:tcPr>
          <w:p>
            <w:pPr>
              <w:pStyle w:val="TableParagraph"/>
              <w:spacing w:line="172" w:lineRule="auto" w:before="151"/>
              <w:ind w:left="113" w:right="113"/>
              <w:rPr>
                <w:rFonts w:ascii="Microsoft JhengHei" w:eastAsia="Microsoft JhengHei" w:hint="eastAsia"/>
                <w:b/>
                <w:sz w:val="24"/>
              </w:rPr>
            </w:pPr>
            <w:r>
              <w:rPr>
                <w:rFonts w:ascii="Microsoft JhengHei" w:eastAsia="Microsoft JhengHei" w:hint="eastAsia"/>
                <w:b/>
                <w:sz w:val="24"/>
              </w:rPr>
              <w:t>身故或全残豁免保险费</w:t>
            </w:r>
          </w:p>
        </w:tc>
        <w:tc>
          <w:tcPr>
            <w:tcW w:w="7519" w:type="dxa"/>
          </w:tcPr>
          <w:p>
            <w:pPr>
              <w:pStyle w:val="TableParagraph"/>
              <w:spacing w:line="273" w:lineRule="auto" w:before="139"/>
              <w:ind w:left="115" w:right="298"/>
              <w:jc w:val="both"/>
              <w:rPr>
                <w:sz w:val="21"/>
              </w:rPr>
            </w:pPr>
            <w:r>
              <w:rPr>
                <w:sz w:val="21"/>
              </w:rPr>
              <w:t>被保险人身故或全残，我们豁免被保险人</w:t>
            </w:r>
            <w:r>
              <w:rPr>
                <w:b/>
                <w:sz w:val="21"/>
              </w:rPr>
              <w:t>身故或全残之日</w:t>
            </w:r>
            <w:r>
              <w:rPr>
                <w:sz w:val="21"/>
              </w:rPr>
              <w:t>（见7.7）以后的主合同和保险期间超过1年的符合本公司规定的其他附加合同的各期保险费，本</w:t>
            </w:r>
            <w:r>
              <w:rPr>
                <w:spacing w:val="-7"/>
                <w:sz w:val="21"/>
              </w:rPr>
              <w:t>附加合同终止。豁免保险费的，我们视同本附加合同被保险人身故或全残之日</w:t>
            </w:r>
            <w:r>
              <w:rPr>
                <w:sz w:val="21"/>
              </w:rPr>
              <w:t>以后主合同和保险期间超过1年的符合本公司规定的其他附加合同的各期保险</w:t>
            </w:r>
            <w:r>
              <w:rPr>
                <w:spacing w:val="-3"/>
                <w:sz w:val="21"/>
              </w:rPr>
              <w:t>费均自动按时交纳。</w:t>
            </w:r>
          </w:p>
        </w:tc>
      </w:tr>
      <w:tr>
        <w:trPr>
          <w:trHeight w:val="1873" w:hRule="atLeast"/>
        </w:trPr>
        <w:tc>
          <w:tcPr>
            <w:tcW w:w="631" w:type="dxa"/>
          </w:tcPr>
          <w:p>
            <w:pPr>
              <w:pStyle w:val="TableParagraph"/>
              <w:rPr>
                <w:rFonts w:ascii="Times New Roman"/>
                <w:sz w:val="20"/>
              </w:rPr>
            </w:pPr>
          </w:p>
        </w:tc>
        <w:tc>
          <w:tcPr>
            <w:tcW w:w="1912" w:type="dxa"/>
          </w:tcPr>
          <w:p>
            <w:pPr>
              <w:pStyle w:val="TableParagraph"/>
              <w:spacing w:line="172" w:lineRule="auto" w:before="151"/>
              <w:ind w:left="113" w:right="113"/>
              <w:rPr>
                <w:rFonts w:ascii="Microsoft JhengHei" w:eastAsia="Microsoft JhengHei" w:hint="eastAsia"/>
                <w:b/>
                <w:sz w:val="24"/>
              </w:rPr>
            </w:pPr>
            <w:r>
              <w:rPr>
                <w:rFonts w:ascii="Microsoft JhengHei" w:eastAsia="Microsoft JhengHei" w:hint="eastAsia"/>
                <w:b/>
                <w:sz w:val="24"/>
              </w:rPr>
              <w:t>重大疾病豁免保险费</w:t>
            </w:r>
          </w:p>
        </w:tc>
        <w:tc>
          <w:tcPr>
            <w:tcW w:w="7519" w:type="dxa"/>
          </w:tcPr>
          <w:p>
            <w:pPr>
              <w:pStyle w:val="TableParagraph"/>
              <w:spacing w:line="273" w:lineRule="auto" w:before="138"/>
              <w:ind w:left="115" w:right="296"/>
              <w:jc w:val="both"/>
              <w:rPr>
                <w:sz w:val="21"/>
              </w:rPr>
            </w:pPr>
            <w:r>
              <w:rPr>
                <w:spacing w:val="-2"/>
                <w:sz w:val="21"/>
              </w:rPr>
              <w:t>被保险人</w:t>
            </w:r>
            <w:r>
              <w:rPr>
                <w:b/>
                <w:spacing w:val="-2"/>
                <w:sz w:val="21"/>
              </w:rPr>
              <w:t>初次发生</w:t>
            </w:r>
            <w:r>
              <w:rPr>
                <w:spacing w:val="-3"/>
                <w:sz w:val="21"/>
              </w:rPr>
              <w:t>（</w:t>
            </w:r>
            <w:r>
              <w:rPr>
                <w:sz w:val="21"/>
              </w:rPr>
              <w:t>见</w:t>
            </w:r>
            <w:r>
              <w:rPr>
                <w:spacing w:val="-4"/>
                <w:sz w:val="21"/>
              </w:rPr>
              <w:t>7.8）</w:t>
            </w:r>
            <w:r>
              <w:rPr>
                <w:spacing w:val="-3"/>
                <w:sz w:val="21"/>
              </w:rPr>
              <w:t>并被</w:t>
            </w:r>
            <w:r>
              <w:rPr>
                <w:b/>
                <w:spacing w:val="-4"/>
                <w:sz w:val="21"/>
              </w:rPr>
              <w:t>医院</w:t>
            </w:r>
            <w:r>
              <w:rPr>
                <w:sz w:val="21"/>
              </w:rPr>
              <w:t>（</w:t>
            </w:r>
            <w:r>
              <w:rPr>
                <w:spacing w:val="-3"/>
                <w:sz w:val="21"/>
              </w:rPr>
              <w:t>见</w:t>
            </w:r>
            <w:r>
              <w:rPr>
                <w:spacing w:val="-4"/>
                <w:sz w:val="21"/>
              </w:rPr>
              <w:t>7.9）</w:t>
            </w:r>
            <w:r>
              <w:rPr>
                <w:spacing w:val="-3"/>
                <w:sz w:val="21"/>
              </w:rPr>
              <w:t>的</w:t>
            </w:r>
            <w:r>
              <w:rPr>
                <w:b/>
                <w:spacing w:val="-2"/>
                <w:sz w:val="21"/>
              </w:rPr>
              <w:t>专科医生</w:t>
            </w:r>
            <w:r>
              <w:rPr>
                <w:spacing w:val="-3"/>
                <w:sz w:val="21"/>
              </w:rPr>
              <w:t>（</w:t>
            </w:r>
            <w:r>
              <w:rPr>
                <w:sz w:val="21"/>
              </w:rPr>
              <w:t>见</w:t>
            </w:r>
            <w:r>
              <w:rPr>
                <w:spacing w:val="-3"/>
                <w:sz w:val="21"/>
              </w:rPr>
              <w:t>7.10）</w:t>
            </w:r>
            <w:r>
              <w:rPr>
                <w:spacing w:val="-2"/>
                <w:sz w:val="21"/>
              </w:rPr>
              <w:t>确诊为</w:t>
            </w:r>
            <w:r>
              <w:rPr>
                <w:spacing w:val="-4"/>
                <w:sz w:val="21"/>
              </w:rPr>
              <w:t>本附加合同约定的重大疾病，我们豁免</w:t>
            </w:r>
            <w:r>
              <w:rPr>
                <w:b/>
                <w:spacing w:val="-5"/>
                <w:sz w:val="21"/>
              </w:rPr>
              <w:t>确诊日</w:t>
            </w:r>
            <w:r>
              <w:rPr>
                <w:sz w:val="21"/>
              </w:rPr>
              <w:t>（见</w:t>
            </w:r>
            <w:r>
              <w:rPr>
                <w:spacing w:val="-4"/>
                <w:sz w:val="21"/>
              </w:rPr>
              <w:t>7.11）</w:t>
            </w:r>
            <w:r>
              <w:rPr>
                <w:spacing w:val="-3"/>
                <w:sz w:val="21"/>
              </w:rPr>
              <w:t>以后的主合同和保险期间超过1年的符合本公司规定的其他附加合同的各期保险费，本附加合同终</w:t>
            </w:r>
            <w:r>
              <w:rPr>
                <w:spacing w:val="-8"/>
                <w:sz w:val="21"/>
              </w:rPr>
              <w:t>止。豁免保险费的，我们视同本附加合同被保险人确诊日以后主合同和保险期</w:t>
            </w:r>
            <w:r>
              <w:rPr>
                <w:spacing w:val="-7"/>
                <w:sz w:val="21"/>
              </w:rPr>
              <w:t>间超过</w:t>
            </w:r>
            <w:r>
              <w:rPr>
                <w:sz w:val="21"/>
              </w:rPr>
              <w:t>1</w:t>
            </w:r>
            <w:r>
              <w:rPr>
                <w:spacing w:val="-3"/>
                <w:sz w:val="21"/>
              </w:rPr>
              <w:t>年的符合本公司规定的其他附加合同的各期保险费均自动按时交纳。</w:t>
            </w:r>
          </w:p>
        </w:tc>
      </w:tr>
      <w:tr>
        <w:trPr>
          <w:trHeight w:val="2184" w:hRule="atLeast"/>
        </w:trPr>
        <w:tc>
          <w:tcPr>
            <w:tcW w:w="631" w:type="dxa"/>
          </w:tcPr>
          <w:p>
            <w:pPr>
              <w:pStyle w:val="TableParagraph"/>
              <w:rPr>
                <w:rFonts w:ascii="Times New Roman"/>
                <w:sz w:val="20"/>
              </w:rPr>
            </w:pPr>
          </w:p>
        </w:tc>
        <w:tc>
          <w:tcPr>
            <w:tcW w:w="1912" w:type="dxa"/>
          </w:tcPr>
          <w:p>
            <w:pPr>
              <w:pStyle w:val="TableParagraph"/>
              <w:rPr>
                <w:rFonts w:ascii="Times New Roman"/>
                <w:sz w:val="20"/>
              </w:rPr>
            </w:pPr>
          </w:p>
        </w:tc>
        <w:tc>
          <w:tcPr>
            <w:tcW w:w="7519" w:type="dxa"/>
          </w:tcPr>
          <w:p>
            <w:pPr>
              <w:pStyle w:val="TableParagraph"/>
              <w:spacing w:line="273" w:lineRule="auto" w:before="137"/>
              <w:ind w:left="115" w:right="246"/>
              <w:rPr>
                <w:sz w:val="21"/>
              </w:rPr>
            </w:pPr>
            <w:r>
              <w:rPr>
                <w:sz w:val="21"/>
              </w:rPr>
              <w:t>本附加合同所豁免保险费的金额将在保险单上载明，所豁免保险费的金额不包含：</w:t>
            </w:r>
          </w:p>
          <w:p>
            <w:pPr>
              <w:pStyle w:val="TableParagraph"/>
              <w:numPr>
                <w:ilvl w:val="0"/>
                <w:numId w:val="2"/>
              </w:numPr>
              <w:tabs>
                <w:tab w:pos="836" w:val="left" w:leader="none"/>
              </w:tabs>
              <w:spacing w:line="240" w:lineRule="auto" w:before="7" w:after="0"/>
              <w:ind w:left="835" w:right="0" w:hanging="720"/>
              <w:jc w:val="left"/>
              <w:rPr>
                <w:sz w:val="21"/>
              </w:rPr>
            </w:pPr>
            <w:r>
              <w:rPr>
                <w:spacing w:val="-3"/>
                <w:sz w:val="21"/>
              </w:rPr>
              <w:t>万能保险或投资连结保险的追加保险费；</w:t>
            </w:r>
          </w:p>
          <w:p>
            <w:pPr>
              <w:pStyle w:val="TableParagraph"/>
              <w:numPr>
                <w:ilvl w:val="0"/>
                <w:numId w:val="2"/>
              </w:numPr>
              <w:tabs>
                <w:tab w:pos="836" w:val="left" w:leader="none"/>
              </w:tabs>
              <w:spacing w:line="273" w:lineRule="auto" w:before="37" w:after="0"/>
              <w:ind w:left="835" w:right="305" w:hanging="720"/>
              <w:jc w:val="left"/>
              <w:rPr>
                <w:sz w:val="21"/>
              </w:rPr>
            </w:pPr>
            <w:r>
              <w:rPr>
                <w:sz w:val="21"/>
              </w:rPr>
              <w:t>和身故或全残之日、意外伤害事故发生日或本条款约定确诊日以前的</w:t>
            </w:r>
            <w:r>
              <w:rPr>
                <w:spacing w:val="-2"/>
                <w:sz w:val="21"/>
              </w:rPr>
              <w:t>缓交保险费；</w:t>
            </w:r>
          </w:p>
          <w:p>
            <w:pPr>
              <w:pStyle w:val="TableParagraph"/>
              <w:numPr>
                <w:ilvl w:val="0"/>
                <w:numId w:val="2"/>
              </w:numPr>
              <w:tabs>
                <w:tab w:pos="836" w:val="left" w:leader="none"/>
              </w:tabs>
              <w:spacing w:line="240" w:lineRule="auto" w:before="8" w:after="0"/>
              <w:ind w:left="835" w:right="0" w:hanging="720"/>
              <w:jc w:val="left"/>
              <w:rPr>
                <w:sz w:val="21"/>
              </w:rPr>
            </w:pPr>
            <w:r>
              <w:rPr>
                <w:spacing w:val="-3"/>
                <w:sz w:val="21"/>
              </w:rPr>
              <w:t>主合同的风险保险费或附加合同的保障成本。</w:t>
            </w:r>
          </w:p>
        </w:tc>
      </w:tr>
      <w:tr>
        <w:trPr>
          <w:trHeight w:val="1353" w:hRule="atLeast"/>
        </w:trPr>
        <w:tc>
          <w:tcPr>
            <w:tcW w:w="631" w:type="dxa"/>
          </w:tcPr>
          <w:p>
            <w:pPr>
              <w:pStyle w:val="TableParagraph"/>
              <w:spacing w:before="137"/>
              <w:ind w:right="112"/>
              <w:jc w:val="right"/>
              <w:rPr>
                <w:b/>
                <w:sz w:val="21"/>
              </w:rPr>
            </w:pPr>
            <w:r>
              <w:rPr>
                <w:b/>
                <w:sz w:val="21"/>
              </w:rPr>
              <w:t>2.3</w:t>
            </w:r>
          </w:p>
        </w:tc>
        <w:tc>
          <w:tcPr>
            <w:tcW w:w="1912" w:type="dxa"/>
          </w:tcPr>
          <w:p>
            <w:pPr>
              <w:pStyle w:val="TableParagraph"/>
              <w:spacing w:before="137"/>
              <w:ind w:left="113"/>
              <w:rPr>
                <w:b/>
                <w:sz w:val="21"/>
              </w:rPr>
            </w:pPr>
            <w:r>
              <w:rPr>
                <w:b/>
                <w:sz w:val="21"/>
              </w:rPr>
              <w:t>责任免除</w:t>
            </w:r>
          </w:p>
        </w:tc>
        <w:tc>
          <w:tcPr>
            <w:tcW w:w="7519" w:type="dxa"/>
          </w:tcPr>
          <w:p>
            <w:pPr>
              <w:pStyle w:val="TableParagraph"/>
              <w:spacing w:line="273" w:lineRule="auto" w:before="137"/>
              <w:ind w:left="115" w:right="296"/>
              <w:jc w:val="both"/>
              <w:rPr>
                <w:sz w:val="21"/>
              </w:rPr>
            </w:pPr>
            <w:r>
              <w:rPr>
                <w:spacing w:val="-3"/>
                <w:sz w:val="21"/>
                <w:shd w:fill="D9D9D9" w:color="auto" w:val="clear"/>
              </w:rPr>
              <w:t>因下列第</w:t>
            </w:r>
            <w:r>
              <w:rPr>
                <w:spacing w:val="-4"/>
                <w:sz w:val="21"/>
                <w:shd w:fill="D9D9D9" w:color="auto" w:val="clear"/>
              </w:rPr>
              <w:t>（1）-（8）项情形之一导致被保险人初次发生“重大疾病”的， 我</w:t>
            </w:r>
            <w:r>
              <w:rPr>
                <w:spacing w:val="-3"/>
                <w:sz w:val="21"/>
                <w:shd w:fill="D9D9D9" w:color="auto" w:val="clear"/>
              </w:rPr>
              <w:t>们不承担重大疾病豁免保险费的责任，因下列第</w:t>
            </w:r>
            <w:r>
              <w:rPr>
                <w:sz w:val="21"/>
                <w:shd w:fill="D9D9D9" w:color="auto" w:val="clear"/>
              </w:rPr>
              <w:t>（1）-（6）</w:t>
            </w:r>
            <w:r>
              <w:rPr>
                <w:spacing w:val="-3"/>
                <w:sz w:val="21"/>
                <w:shd w:fill="D9D9D9" w:color="auto" w:val="clear"/>
              </w:rPr>
              <w:t>项情形之一导致被保险人身故或全残的， 我们不承担身故或全残豁免保险费的责任：</w:t>
            </w:r>
          </w:p>
          <w:p>
            <w:pPr>
              <w:pStyle w:val="TableParagraph"/>
              <w:spacing w:line="260" w:lineRule="exact" w:before="8"/>
              <w:ind w:left="115"/>
              <w:jc w:val="both"/>
              <w:rPr>
                <w:sz w:val="21"/>
              </w:rPr>
            </w:pPr>
            <w:r>
              <w:rPr>
                <w:sz w:val="21"/>
                <w:shd w:fill="D9D9D9" w:color="auto" w:val="clear"/>
              </w:rPr>
              <w:t>(1) 被保险人故意自伤、故意犯罪或抗拒依法采取的刑事强制措施；</w:t>
            </w:r>
          </w:p>
        </w:tc>
      </w:tr>
    </w:tbl>
    <w:p>
      <w:pPr>
        <w:spacing w:after="0" w:line="260" w:lineRule="exact"/>
        <w:jc w:val="both"/>
        <w:rPr>
          <w:sz w:val="21"/>
        </w:rPr>
        <w:sectPr>
          <w:pgSz w:w="11910" w:h="16840"/>
          <w:pgMar w:top="1380" w:bottom="280" w:left="102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
        <w:gridCol w:w="1911"/>
        <w:gridCol w:w="7323"/>
      </w:tblGrid>
      <w:tr>
        <w:trPr>
          <w:trHeight w:val="4187" w:hRule="atLeast"/>
        </w:trPr>
        <w:tc>
          <w:tcPr>
            <w:tcW w:w="846" w:type="dxa"/>
          </w:tcPr>
          <w:p>
            <w:pPr>
              <w:pStyle w:val="TableParagraph"/>
              <w:rPr>
                <w:rFonts w:ascii="Times New Roman"/>
                <w:sz w:val="20"/>
              </w:rPr>
            </w:pPr>
          </w:p>
        </w:tc>
        <w:tc>
          <w:tcPr>
            <w:tcW w:w="1911" w:type="dxa"/>
          </w:tcPr>
          <w:p>
            <w:pPr>
              <w:pStyle w:val="TableParagraph"/>
              <w:rPr>
                <w:rFonts w:ascii="Times New Roman"/>
                <w:sz w:val="20"/>
              </w:rPr>
            </w:pPr>
          </w:p>
        </w:tc>
        <w:tc>
          <w:tcPr>
            <w:tcW w:w="7323" w:type="dxa"/>
          </w:tcPr>
          <w:p>
            <w:pPr>
              <w:pStyle w:val="TableParagraph"/>
              <w:numPr>
                <w:ilvl w:val="0"/>
                <w:numId w:val="3"/>
              </w:numPr>
              <w:tabs>
                <w:tab w:pos="537" w:val="left" w:leader="none"/>
              </w:tabs>
              <w:spacing w:line="206" w:lineRule="exact" w:before="0" w:after="0"/>
              <w:ind w:left="536" w:right="0" w:hanging="420"/>
              <w:jc w:val="left"/>
              <w:rPr>
                <w:sz w:val="21"/>
              </w:rPr>
            </w:pPr>
            <w:r>
              <w:rPr>
                <w:spacing w:val="-5"/>
                <w:sz w:val="21"/>
                <w:shd w:fill="D9D9D9" w:color="auto" w:val="clear"/>
              </w:rPr>
              <w:t>被保险人自本附加合同成立或者合同效力恢复之日起 </w:t>
            </w:r>
            <w:r>
              <w:rPr>
                <w:sz w:val="21"/>
                <w:shd w:fill="D9D9D9" w:color="auto" w:val="clear"/>
              </w:rPr>
              <w:t>2</w:t>
            </w:r>
            <w:r>
              <w:rPr>
                <w:spacing w:val="-10"/>
                <w:sz w:val="21"/>
                <w:shd w:fill="D9D9D9" w:color="auto" w:val="clear"/>
              </w:rPr>
              <w:t> 年内自杀，但被保</w:t>
            </w:r>
          </w:p>
          <w:p>
            <w:pPr>
              <w:pStyle w:val="TableParagraph"/>
              <w:spacing w:before="37"/>
              <w:ind w:left="536"/>
              <w:rPr>
                <w:sz w:val="21"/>
              </w:rPr>
            </w:pPr>
            <w:r>
              <w:rPr>
                <w:sz w:val="21"/>
                <w:shd w:fill="D9D9D9" w:color="auto" w:val="clear"/>
              </w:rPr>
              <w:t>险人自杀时为无民事行为能力人的除外；</w:t>
            </w:r>
          </w:p>
          <w:p>
            <w:pPr>
              <w:pStyle w:val="TableParagraph"/>
              <w:numPr>
                <w:ilvl w:val="0"/>
                <w:numId w:val="3"/>
              </w:numPr>
              <w:tabs>
                <w:tab w:pos="537" w:val="left" w:leader="none"/>
              </w:tabs>
              <w:spacing w:line="240" w:lineRule="auto" w:before="36" w:after="0"/>
              <w:ind w:left="536" w:right="0" w:hanging="420"/>
              <w:jc w:val="left"/>
              <w:rPr>
                <w:sz w:val="21"/>
              </w:rPr>
            </w:pPr>
            <w:r>
              <w:rPr>
                <w:spacing w:val="-3"/>
                <w:w w:val="100"/>
                <w:sz w:val="21"/>
                <w:shd w:fill="D9D9D9" w:color="auto" w:val="clear"/>
              </w:rPr>
              <w:t>被保险人主动吸食或注射</w:t>
            </w:r>
            <w:r>
              <w:rPr>
                <w:b/>
                <w:w w:val="100"/>
                <w:sz w:val="21"/>
                <w:shd w:fill="D9D9D9" w:color="auto" w:val="clear"/>
              </w:rPr>
              <w:t>毒品</w:t>
            </w:r>
            <w:r>
              <w:rPr>
                <w:w w:val="100"/>
                <w:sz w:val="21"/>
                <w:shd w:fill="D9D9D9" w:color="auto" w:val="clear"/>
              </w:rPr>
              <w:t>（见</w:t>
            </w:r>
            <w:r>
              <w:rPr>
                <w:spacing w:val="-55"/>
                <w:sz w:val="21"/>
                <w:shd w:fill="D9D9D9" w:color="auto" w:val="clear"/>
              </w:rPr>
              <w:t> </w:t>
            </w:r>
            <w:r>
              <w:rPr>
                <w:w w:val="100"/>
                <w:sz w:val="21"/>
                <w:shd w:fill="D9D9D9" w:color="auto" w:val="clear"/>
              </w:rPr>
              <w:t>7.1</w:t>
            </w:r>
            <w:r>
              <w:rPr>
                <w:spacing w:val="-3"/>
                <w:w w:val="100"/>
                <w:sz w:val="21"/>
                <w:shd w:fill="D9D9D9" w:color="auto" w:val="clear"/>
              </w:rPr>
              <w:t>2</w:t>
            </w:r>
            <w:r>
              <w:rPr>
                <w:spacing w:val="-106"/>
                <w:w w:val="100"/>
                <w:sz w:val="21"/>
                <w:shd w:fill="D9D9D9" w:color="auto" w:val="clear"/>
              </w:rPr>
              <w:t>）；</w:t>
            </w:r>
          </w:p>
          <w:p>
            <w:pPr>
              <w:pStyle w:val="TableParagraph"/>
              <w:numPr>
                <w:ilvl w:val="0"/>
                <w:numId w:val="3"/>
              </w:numPr>
              <w:tabs>
                <w:tab w:pos="537" w:val="left" w:leader="none"/>
              </w:tabs>
              <w:spacing w:line="273" w:lineRule="auto" w:before="36" w:after="0"/>
              <w:ind w:left="536" w:right="101" w:hanging="420"/>
              <w:jc w:val="left"/>
              <w:rPr>
                <w:sz w:val="21"/>
              </w:rPr>
            </w:pPr>
            <w:r>
              <w:rPr>
                <w:spacing w:val="-2"/>
                <w:w w:val="100"/>
                <w:sz w:val="21"/>
                <w:shd w:fill="D9D9D9" w:color="auto" w:val="clear"/>
              </w:rPr>
              <w:t>被保险人</w:t>
            </w:r>
            <w:r>
              <w:rPr>
                <w:b/>
                <w:w w:val="100"/>
                <w:sz w:val="21"/>
                <w:shd w:fill="D9D9D9" w:color="auto" w:val="clear"/>
              </w:rPr>
              <w:t>酒后驾驶</w:t>
            </w:r>
            <w:r>
              <w:rPr>
                <w:spacing w:val="-3"/>
                <w:w w:val="100"/>
                <w:sz w:val="21"/>
                <w:shd w:fill="D9D9D9" w:color="auto" w:val="clear"/>
              </w:rPr>
              <w:t>（</w:t>
            </w:r>
            <w:r>
              <w:rPr>
                <w:w w:val="100"/>
                <w:sz w:val="21"/>
                <w:shd w:fill="D9D9D9" w:color="auto" w:val="clear"/>
              </w:rPr>
              <w:t>见</w:t>
            </w:r>
            <w:r>
              <w:rPr>
                <w:spacing w:val="-26"/>
                <w:sz w:val="21"/>
                <w:shd w:fill="D9D9D9" w:color="auto" w:val="clear"/>
              </w:rPr>
              <w:t> </w:t>
            </w:r>
            <w:r>
              <w:rPr>
                <w:w w:val="100"/>
                <w:sz w:val="21"/>
                <w:shd w:fill="D9D9D9" w:color="auto" w:val="clear"/>
              </w:rPr>
              <w:t>7</w:t>
            </w:r>
            <w:r>
              <w:rPr>
                <w:spacing w:val="-3"/>
                <w:w w:val="100"/>
                <w:sz w:val="21"/>
                <w:shd w:fill="D9D9D9" w:color="auto" w:val="clear"/>
              </w:rPr>
              <w:t>.</w:t>
            </w:r>
            <w:r>
              <w:rPr>
                <w:w w:val="100"/>
                <w:sz w:val="21"/>
                <w:shd w:fill="D9D9D9" w:color="auto" w:val="clear"/>
              </w:rPr>
              <w:t>13</w:t>
            </w:r>
            <w:r>
              <w:rPr>
                <w:spacing w:val="-106"/>
                <w:w w:val="100"/>
                <w:sz w:val="21"/>
                <w:shd w:fill="D9D9D9" w:color="auto" w:val="clear"/>
              </w:rPr>
              <w:t>）</w:t>
            </w:r>
            <w:r>
              <w:rPr>
                <w:spacing w:val="-3"/>
                <w:w w:val="100"/>
                <w:sz w:val="21"/>
                <w:shd w:fill="D9D9D9" w:color="auto" w:val="clear"/>
              </w:rPr>
              <w:t>，</w:t>
            </w:r>
            <w:r>
              <w:rPr>
                <w:b/>
                <w:spacing w:val="-2"/>
                <w:w w:val="100"/>
                <w:sz w:val="21"/>
                <w:shd w:fill="D9D9D9" w:color="auto" w:val="clear"/>
              </w:rPr>
              <w:t>无合法有效驾驶证驾驶</w:t>
            </w:r>
            <w:r>
              <w:rPr>
                <w:w w:val="100"/>
                <w:sz w:val="21"/>
                <w:shd w:fill="D9D9D9" w:color="auto" w:val="clear"/>
              </w:rPr>
              <w:t>（见</w:t>
            </w:r>
            <w:r>
              <w:rPr>
                <w:spacing w:val="-26"/>
                <w:sz w:val="21"/>
                <w:shd w:fill="D9D9D9" w:color="auto" w:val="clear"/>
              </w:rPr>
              <w:t> </w:t>
            </w:r>
            <w:r>
              <w:rPr>
                <w:spacing w:val="-3"/>
                <w:w w:val="100"/>
                <w:sz w:val="21"/>
                <w:shd w:fill="D9D9D9" w:color="auto" w:val="clear"/>
              </w:rPr>
              <w:t>7</w:t>
            </w:r>
            <w:r>
              <w:rPr>
                <w:w w:val="100"/>
                <w:sz w:val="21"/>
                <w:shd w:fill="D9D9D9" w:color="auto" w:val="clear"/>
              </w:rPr>
              <w:t>.14</w:t>
            </w:r>
            <w:r>
              <w:rPr>
                <w:spacing w:val="-108"/>
                <w:w w:val="100"/>
                <w:sz w:val="21"/>
                <w:shd w:fill="D9D9D9" w:color="auto" w:val="clear"/>
              </w:rPr>
              <w:t>）</w:t>
            </w:r>
            <w:r>
              <w:rPr>
                <w:spacing w:val="-2"/>
                <w:w w:val="100"/>
                <w:sz w:val="21"/>
                <w:shd w:fill="D9D9D9" w:color="auto" w:val="clear"/>
              </w:rPr>
              <w:t>，或驾</w:t>
            </w:r>
            <w:r>
              <w:rPr>
                <w:spacing w:val="-3"/>
                <w:sz w:val="21"/>
                <w:shd w:fill="D9D9D9" w:color="auto" w:val="clear"/>
              </w:rPr>
              <w:t>驶</w:t>
            </w:r>
            <w:r>
              <w:rPr>
                <w:b/>
                <w:sz w:val="21"/>
                <w:shd w:fill="D9D9D9" w:color="auto" w:val="clear"/>
              </w:rPr>
              <w:t>无有效行驶证</w:t>
            </w:r>
            <w:r>
              <w:rPr>
                <w:spacing w:val="-3"/>
                <w:sz w:val="21"/>
                <w:shd w:fill="D9D9D9" w:color="auto" w:val="clear"/>
              </w:rPr>
              <w:t>（</w:t>
            </w:r>
            <w:r>
              <w:rPr>
                <w:spacing w:val="-20"/>
                <w:sz w:val="21"/>
                <w:shd w:fill="D9D9D9" w:color="auto" w:val="clear"/>
              </w:rPr>
              <w:t>见 </w:t>
            </w:r>
            <w:r>
              <w:rPr>
                <w:sz w:val="21"/>
                <w:shd w:fill="D9D9D9" w:color="auto" w:val="clear"/>
              </w:rPr>
              <w:t>7.15）</w:t>
            </w:r>
            <w:r>
              <w:rPr>
                <w:spacing w:val="-3"/>
                <w:sz w:val="21"/>
                <w:shd w:fill="D9D9D9" w:color="auto" w:val="clear"/>
              </w:rPr>
              <w:t>的机动车；</w:t>
            </w:r>
          </w:p>
          <w:p>
            <w:pPr>
              <w:pStyle w:val="TableParagraph"/>
              <w:numPr>
                <w:ilvl w:val="0"/>
                <w:numId w:val="3"/>
              </w:numPr>
              <w:tabs>
                <w:tab w:pos="537" w:val="left" w:leader="none"/>
              </w:tabs>
              <w:spacing w:line="240" w:lineRule="auto" w:before="7" w:after="0"/>
              <w:ind w:left="536" w:right="0" w:hanging="420"/>
              <w:jc w:val="left"/>
              <w:rPr>
                <w:sz w:val="21"/>
              </w:rPr>
            </w:pPr>
            <w:r>
              <w:rPr>
                <w:spacing w:val="-3"/>
                <w:sz w:val="21"/>
                <w:shd w:fill="D9D9D9" w:color="auto" w:val="clear"/>
              </w:rPr>
              <w:t>战争、军事行动、暴乱或武装叛乱；</w:t>
            </w:r>
          </w:p>
          <w:p>
            <w:pPr>
              <w:pStyle w:val="TableParagraph"/>
              <w:numPr>
                <w:ilvl w:val="0"/>
                <w:numId w:val="3"/>
              </w:numPr>
              <w:tabs>
                <w:tab w:pos="537" w:val="left" w:leader="none"/>
              </w:tabs>
              <w:spacing w:line="240" w:lineRule="auto" w:before="37" w:after="0"/>
              <w:ind w:left="536" w:right="0" w:hanging="420"/>
              <w:jc w:val="left"/>
              <w:rPr>
                <w:sz w:val="21"/>
              </w:rPr>
            </w:pPr>
            <w:r>
              <w:rPr>
                <w:spacing w:val="-3"/>
                <w:sz w:val="21"/>
                <w:shd w:fill="D9D9D9" w:color="auto" w:val="clear"/>
              </w:rPr>
              <w:t>核爆炸、核辐射或核污染；</w:t>
            </w:r>
          </w:p>
          <w:p>
            <w:pPr>
              <w:pStyle w:val="TableParagraph"/>
              <w:numPr>
                <w:ilvl w:val="0"/>
                <w:numId w:val="3"/>
              </w:numPr>
              <w:tabs>
                <w:tab w:pos="537" w:val="left" w:leader="none"/>
              </w:tabs>
              <w:spacing w:line="240" w:lineRule="auto" w:before="37" w:after="0"/>
              <w:ind w:left="536" w:right="0" w:hanging="420"/>
              <w:jc w:val="left"/>
              <w:rPr>
                <w:sz w:val="21"/>
              </w:rPr>
            </w:pPr>
            <w:r>
              <w:rPr>
                <w:spacing w:val="-2"/>
                <w:sz w:val="21"/>
                <w:shd w:fill="D9D9D9" w:color="auto" w:val="clear"/>
              </w:rPr>
              <w:t>被保险人</w:t>
            </w:r>
            <w:r>
              <w:rPr>
                <w:b/>
                <w:spacing w:val="-1"/>
                <w:sz w:val="21"/>
                <w:shd w:fill="D9D9D9" w:color="auto" w:val="clear"/>
              </w:rPr>
              <w:t>感染艾滋病病毒或患艾滋病</w:t>
            </w:r>
            <w:r>
              <w:rPr>
                <w:spacing w:val="-3"/>
                <w:sz w:val="21"/>
                <w:shd w:fill="D9D9D9" w:color="auto" w:val="clear"/>
              </w:rPr>
              <w:t>（</w:t>
            </w:r>
            <w:r>
              <w:rPr>
                <w:spacing w:val="-17"/>
                <w:sz w:val="21"/>
                <w:shd w:fill="D9D9D9" w:color="auto" w:val="clear"/>
              </w:rPr>
              <w:t>见 </w:t>
            </w:r>
            <w:r>
              <w:rPr>
                <w:sz w:val="21"/>
                <w:shd w:fill="D9D9D9" w:color="auto" w:val="clear"/>
              </w:rPr>
              <w:t>7.16）</w:t>
            </w:r>
            <w:r>
              <w:rPr>
                <w:spacing w:val="-3"/>
                <w:sz w:val="21"/>
                <w:shd w:fill="D9D9D9" w:color="auto" w:val="clear"/>
              </w:rPr>
              <w:t>期间因疾病导致的；</w:t>
            </w:r>
          </w:p>
          <w:p>
            <w:pPr>
              <w:pStyle w:val="TableParagraph"/>
              <w:numPr>
                <w:ilvl w:val="0"/>
                <w:numId w:val="3"/>
              </w:numPr>
              <w:tabs>
                <w:tab w:pos="537" w:val="left" w:leader="none"/>
              </w:tabs>
              <w:spacing w:line="240" w:lineRule="auto" w:before="37" w:after="0"/>
              <w:ind w:left="536" w:right="0" w:hanging="420"/>
              <w:jc w:val="left"/>
              <w:rPr>
                <w:sz w:val="21"/>
              </w:rPr>
            </w:pPr>
            <w:r>
              <w:rPr>
                <w:b/>
                <w:w w:val="100"/>
                <w:sz w:val="21"/>
                <w:shd w:fill="D9D9D9" w:color="auto" w:val="clear"/>
              </w:rPr>
              <w:t>遗传性疾病</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7</w:t>
            </w:r>
            <w:r>
              <w:rPr>
                <w:spacing w:val="-3"/>
                <w:w w:val="100"/>
                <w:sz w:val="21"/>
                <w:shd w:fill="D9D9D9" w:color="auto" w:val="clear"/>
              </w:rPr>
              <w:t>.</w:t>
            </w:r>
            <w:r>
              <w:rPr>
                <w:w w:val="100"/>
                <w:sz w:val="21"/>
                <w:shd w:fill="D9D9D9" w:color="auto" w:val="clear"/>
              </w:rPr>
              <w:t>17</w:t>
            </w:r>
            <w:r>
              <w:rPr>
                <w:spacing w:val="-108"/>
                <w:w w:val="100"/>
                <w:sz w:val="21"/>
                <w:shd w:fill="D9D9D9" w:color="auto" w:val="clear"/>
              </w:rPr>
              <w:t>）</w:t>
            </w:r>
            <w:r>
              <w:rPr>
                <w:spacing w:val="-3"/>
                <w:w w:val="100"/>
                <w:sz w:val="21"/>
                <w:shd w:fill="D9D9D9" w:color="auto" w:val="clear"/>
              </w:rPr>
              <w:t>，</w:t>
            </w:r>
            <w:r>
              <w:rPr>
                <w:b/>
                <w:spacing w:val="-2"/>
                <w:w w:val="100"/>
                <w:sz w:val="21"/>
                <w:shd w:fill="D9D9D9" w:color="auto" w:val="clear"/>
              </w:rPr>
              <w:t>先天性畸形、变形或染色体异常</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7.</w:t>
            </w:r>
            <w:r>
              <w:rPr>
                <w:spacing w:val="-3"/>
                <w:w w:val="100"/>
                <w:sz w:val="21"/>
                <w:shd w:fill="D9D9D9" w:color="auto" w:val="clear"/>
              </w:rPr>
              <w:t>1</w:t>
            </w:r>
            <w:r>
              <w:rPr>
                <w:spacing w:val="-1"/>
                <w:w w:val="100"/>
                <w:sz w:val="21"/>
                <w:shd w:fill="D9D9D9" w:color="auto" w:val="clear"/>
              </w:rPr>
              <w:t>8</w:t>
            </w:r>
            <w:r>
              <w:rPr>
                <w:spacing w:val="-106"/>
                <w:w w:val="100"/>
                <w:sz w:val="21"/>
                <w:shd w:fill="D9D9D9" w:color="auto" w:val="clear"/>
              </w:rPr>
              <w:t>）。</w:t>
            </w:r>
          </w:p>
          <w:p>
            <w:pPr>
              <w:pStyle w:val="TableParagraph"/>
              <w:spacing w:before="8"/>
              <w:rPr>
                <w:sz w:val="26"/>
              </w:rPr>
            </w:pPr>
          </w:p>
          <w:p>
            <w:pPr>
              <w:pStyle w:val="TableParagraph"/>
              <w:spacing w:line="273" w:lineRule="auto" w:before="1"/>
              <w:ind w:left="116" w:right="99"/>
              <w:jc w:val="both"/>
              <w:rPr>
                <w:sz w:val="21"/>
              </w:rPr>
            </w:pPr>
            <w:r>
              <w:rPr>
                <w:sz w:val="21"/>
                <w:shd w:fill="D9D9D9" w:color="auto" w:val="clear"/>
              </w:rPr>
              <w:t>发生上述情形，本附加合同终止， 我们将已收取的本附加合同终止日之后的</w:t>
            </w:r>
            <w:r>
              <w:rPr>
                <w:spacing w:val="-6"/>
                <w:sz w:val="21"/>
                <w:shd w:fill="D9D9D9" w:color="auto" w:val="clear"/>
              </w:rPr>
              <w:t>保障成本无息退还至主合同保单账户，主合同保单账户价值按退还的金额等额增加。</w:t>
            </w:r>
          </w:p>
        </w:tc>
      </w:tr>
      <w:tr>
        <w:trPr>
          <w:trHeight w:val="753" w:hRule="atLeast"/>
        </w:trPr>
        <w:tc>
          <w:tcPr>
            <w:tcW w:w="846" w:type="dxa"/>
            <w:tcBorders>
              <w:bottom w:val="single" w:sz="8" w:space="0" w:color="000000"/>
            </w:tcBorders>
          </w:tcPr>
          <w:p>
            <w:pPr>
              <w:pStyle w:val="TableParagraph"/>
              <w:spacing w:before="188"/>
              <w:ind w:left="310"/>
              <w:rPr>
                <w:rFonts w:ascii="Arial" w:hAnsi="Arial"/>
                <w:b/>
                <w:sz w:val="40"/>
              </w:rPr>
            </w:pPr>
            <w:r>
              <w:rPr>
                <w:rFonts w:ascii="Arial" w:hAnsi="Arial"/>
                <w:b/>
                <w:w w:val="119"/>
                <w:sz w:val="40"/>
              </w:rPr>
              <w:t></w:t>
            </w:r>
          </w:p>
        </w:tc>
        <w:tc>
          <w:tcPr>
            <w:tcW w:w="9234" w:type="dxa"/>
            <w:gridSpan w:val="2"/>
            <w:tcBorders>
              <w:bottom w:val="single" w:sz="8" w:space="0" w:color="000000"/>
            </w:tcBorders>
          </w:tcPr>
          <w:p>
            <w:pPr>
              <w:pStyle w:val="TableParagraph"/>
              <w:spacing w:before="4"/>
              <w:rPr>
                <w:sz w:val="18"/>
              </w:rPr>
            </w:pPr>
          </w:p>
          <w:p>
            <w:pPr>
              <w:pStyle w:val="TableParagraph"/>
              <w:ind w:left="114"/>
              <w:rPr>
                <w:b/>
                <w:sz w:val="24"/>
              </w:rPr>
            </w:pPr>
            <w:r>
              <w:rPr>
                <w:b/>
                <w:w w:val="95"/>
                <w:sz w:val="24"/>
              </w:rPr>
              <w:t>如何申请豁免保险费</w:t>
            </w:r>
          </w:p>
        </w:tc>
      </w:tr>
      <w:tr>
        <w:trPr>
          <w:trHeight w:val="780" w:hRule="atLeast"/>
        </w:trPr>
        <w:tc>
          <w:tcPr>
            <w:tcW w:w="846" w:type="dxa"/>
            <w:tcBorders>
              <w:top w:val="single" w:sz="8" w:space="0" w:color="000000"/>
            </w:tcBorders>
          </w:tcPr>
          <w:p>
            <w:pPr>
              <w:pStyle w:val="TableParagraph"/>
              <w:spacing w:before="5"/>
              <w:rPr>
                <w:sz w:val="22"/>
              </w:rPr>
            </w:pPr>
          </w:p>
          <w:p>
            <w:pPr>
              <w:pStyle w:val="TableParagraph"/>
              <w:ind w:right="111"/>
              <w:jc w:val="right"/>
              <w:rPr>
                <w:b/>
                <w:sz w:val="21"/>
              </w:rPr>
            </w:pPr>
            <w:r>
              <w:rPr>
                <w:b/>
                <w:sz w:val="21"/>
              </w:rPr>
              <w:t>3.1</w:t>
            </w:r>
          </w:p>
        </w:tc>
        <w:tc>
          <w:tcPr>
            <w:tcW w:w="1911" w:type="dxa"/>
            <w:tcBorders>
              <w:top w:val="single" w:sz="8" w:space="0" w:color="000000"/>
            </w:tcBorders>
          </w:tcPr>
          <w:p>
            <w:pPr>
              <w:pStyle w:val="TableParagraph"/>
              <w:spacing w:before="5"/>
              <w:rPr>
                <w:sz w:val="22"/>
              </w:rPr>
            </w:pPr>
          </w:p>
          <w:p>
            <w:pPr>
              <w:pStyle w:val="TableParagraph"/>
              <w:ind w:left="114"/>
              <w:rPr>
                <w:b/>
                <w:sz w:val="21"/>
              </w:rPr>
            </w:pPr>
            <w:r>
              <w:rPr>
                <w:b/>
                <w:sz w:val="21"/>
              </w:rPr>
              <w:t>豁免保险费申请</w:t>
            </w:r>
          </w:p>
        </w:tc>
        <w:tc>
          <w:tcPr>
            <w:tcW w:w="7323" w:type="dxa"/>
            <w:tcBorders>
              <w:top w:val="single" w:sz="8" w:space="0" w:color="000000"/>
            </w:tcBorders>
          </w:tcPr>
          <w:p>
            <w:pPr>
              <w:pStyle w:val="TableParagraph"/>
              <w:spacing w:before="5"/>
              <w:rPr>
                <w:sz w:val="22"/>
              </w:rPr>
            </w:pPr>
          </w:p>
          <w:p>
            <w:pPr>
              <w:pStyle w:val="TableParagraph"/>
              <w:ind w:left="116"/>
              <w:rPr>
                <w:sz w:val="21"/>
              </w:rPr>
            </w:pPr>
            <w:r>
              <w:rPr>
                <w:sz w:val="21"/>
              </w:rPr>
              <w:t>在申请豁免保险费时，请按照下列方式办理：</w:t>
            </w:r>
          </w:p>
        </w:tc>
      </w:tr>
      <w:tr>
        <w:trPr>
          <w:trHeight w:val="3120" w:hRule="atLeast"/>
        </w:trPr>
        <w:tc>
          <w:tcPr>
            <w:tcW w:w="846" w:type="dxa"/>
          </w:tcPr>
          <w:p>
            <w:pPr>
              <w:pStyle w:val="TableParagraph"/>
              <w:rPr>
                <w:rFonts w:ascii="Times New Roman"/>
                <w:sz w:val="20"/>
              </w:rPr>
            </w:pPr>
          </w:p>
        </w:tc>
        <w:tc>
          <w:tcPr>
            <w:tcW w:w="1911" w:type="dxa"/>
          </w:tcPr>
          <w:p>
            <w:pPr>
              <w:pStyle w:val="TableParagraph"/>
              <w:spacing w:line="182" w:lineRule="auto" w:before="150"/>
              <w:ind w:left="114" w:right="112"/>
              <w:rPr>
                <w:rFonts w:ascii="Microsoft JhengHei" w:eastAsia="Microsoft JhengHei" w:hint="eastAsia"/>
                <w:b/>
                <w:sz w:val="24"/>
              </w:rPr>
            </w:pPr>
            <w:r>
              <w:rPr>
                <w:rFonts w:ascii="Microsoft JhengHei" w:eastAsia="Microsoft JhengHei" w:hint="eastAsia"/>
                <w:b/>
                <w:sz w:val="24"/>
              </w:rPr>
              <w:t>身故或全残豁免保险费申请</w:t>
            </w:r>
          </w:p>
        </w:tc>
        <w:tc>
          <w:tcPr>
            <w:tcW w:w="7323" w:type="dxa"/>
          </w:tcPr>
          <w:p>
            <w:pPr>
              <w:pStyle w:val="TableParagraph"/>
              <w:spacing w:line="273" w:lineRule="auto" w:before="137"/>
              <w:ind w:left="116" w:right="101"/>
              <w:rPr>
                <w:sz w:val="21"/>
              </w:rPr>
            </w:pPr>
            <w:r>
              <w:rPr>
                <w:spacing w:val="-6"/>
                <w:sz w:val="21"/>
              </w:rPr>
              <w:t>在申请身故或全残豁免保险费时，申请人需填写申请书，并提供下列证明和资料：</w:t>
            </w:r>
          </w:p>
          <w:p>
            <w:pPr>
              <w:pStyle w:val="TableParagraph"/>
              <w:spacing w:before="7"/>
              <w:ind w:left="116"/>
              <w:rPr>
                <w:sz w:val="21"/>
              </w:rPr>
            </w:pPr>
            <w:r>
              <w:rPr>
                <w:sz w:val="21"/>
              </w:rPr>
              <w:t>（1）保险合同；</w:t>
            </w:r>
          </w:p>
          <w:p>
            <w:pPr>
              <w:pStyle w:val="TableParagraph"/>
              <w:spacing w:before="36"/>
              <w:ind w:left="116"/>
              <w:rPr>
                <w:sz w:val="21"/>
              </w:rPr>
            </w:pPr>
            <w:r>
              <w:rPr>
                <w:sz w:val="21"/>
              </w:rPr>
              <w:t>（2）申请人的有效身份证件；</w:t>
            </w:r>
          </w:p>
          <w:p>
            <w:pPr>
              <w:pStyle w:val="TableParagraph"/>
              <w:spacing w:line="273" w:lineRule="auto" w:before="37"/>
              <w:ind w:left="620" w:right="163" w:hanging="504"/>
              <w:rPr>
                <w:sz w:val="21"/>
              </w:rPr>
            </w:pPr>
            <w:r>
              <w:rPr>
                <w:sz w:val="21"/>
              </w:rPr>
              <w:t>（3）</w:t>
            </w:r>
            <w:r>
              <w:rPr>
                <w:spacing w:val="-3"/>
                <w:sz w:val="21"/>
              </w:rPr>
              <w:t>由双方认可的伤残鉴定机构出具的残疾程度鉴定书（被保险人全残时提</w:t>
            </w:r>
            <w:r>
              <w:rPr>
                <w:spacing w:val="-3"/>
                <w:w w:val="100"/>
                <w:sz w:val="21"/>
              </w:rPr>
              <w:t>供</w:t>
            </w:r>
            <w:r>
              <w:rPr>
                <w:spacing w:val="-106"/>
                <w:w w:val="100"/>
                <w:sz w:val="21"/>
              </w:rPr>
              <w:t>）</w:t>
            </w:r>
            <w:r>
              <w:rPr>
                <w:w w:val="100"/>
                <w:sz w:val="21"/>
              </w:rPr>
              <w:t>；</w:t>
            </w:r>
          </w:p>
          <w:p>
            <w:pPr>
              <w:pStyle w:val="TableParagraph"/>
              <w:spacing w:line="273" w:lineRule="auto" w:before="7"/>
              <w:ind w:left="642" w:right="163" w:hanging="526"/>
              <w:rPr>
                <w:sz w:val="21"/>
              </w:rPr>
            </w:pPr>
            <w:r>
              <w:rPr>
                <w:sz w:val="21"/>
              </w:rPr>
              <w:t>（4）</w:t>
            </w:r>
            <w:r>
              <w:rPr>
                <w:spacing w:val="-3"/>
                <w:sz w:val="21"/>
              </w:rPr>
              <w:t>国家卫生行政部门认定的医疗机构、公安部门或其他相关机构出具的被</w:t>
            </w:r>
            <w:r>
              <w:rPr>
                <w:spacing w:val="-3"/>
                <w:w w:val="100"/>
                <w:sz w:val="21"/>
              </w:rPr>
              <w:t>保险人的死亡证明（被保险人身故时提供</w:t>
            </w:r>
            <w:r>
              <w:rPr>
                <w:spacing w:val="-106"/>
                <w:w w:val="100"/>
                <w:sz w:val="21"/>
              </w:rPr>
              <w:t>）</w:t>
            </w:r>
            <w:r>
              <w:rPr>
                <w:w w:val="100"/>
                <w:sz w:val="21"/>
              </w:rPr>
              <w:t>；</w:t>
            </w:r>
          </w:p>
          <w:p>
            <w:pPr>
              <w:pStyle w:val="TableParagraph"/>
              <w:spacing w:before="7"/>
              <w:ind w:left="116"/>
              <w:rPr>
                <w:sz w:val="21"/>
              </w:rPr>
            </w:pPr>
            <w:r>
              <w:rPr>
                <w:sz w:val="21"/>
              </w:rPr>
              <w:t>（5）所能提供的与确认保险事故的性质、原因等有关的其他证明和资料。</w:t>
            </w:r>
          </w:p>
        </w:tc>
      </w:tr>
      <w:tr>
        <w:trPr>
          <w:trHeight w:val="3120" w:hRule="atLeast"/>
        </w:trPr>
        <w:tc>
          <w:tcPr>
            <w:tcW w:w="846" w:type="dxa"/>
          </w:tcPr>
          <w:p>
            <w:pPr>
              <w:pStyle w:val="TableParagraph"/>
              <w:rPr>
                <w:rFonts w:ascii="Times New Roman"/>
                <w:sz w:val="20"/>
              </w:rPr>
            </w:pPr>
          </w:p>
        </w:tc>
        <w:tc>
          <w:tcPr>
            <w:tcW w:w="1911" w:type="dxa"/>
          </w:tcPr>
          <w:p>
            <w:pPr>
              <w:pStyle w:val="TableParagraph"/>
              <w:spacing w:line="182" w:lineRule="auto" w:before="150"/>
              <w:ind w:left="114" w:right="112"/>
              <w:rPr>
                <w:rFonts w:ascii="Microsoft JhengHei" w:eastAsia="Microsoft JhengHei" w:hint="eastAsia"/>
                <w:b/>
                <w:sz w:val="24"/>
              </w:rPr>
            </w:pPr>
            <w:r>
              <w:rPr>
                <w:rFonts w:ascii="Microsoft JhengHei" w:eastAsia="Microsoft JhengHei" w:hint="eastAsia"/>
                <w:b/>
                <w:sz w:val="24"/>
              </w:rPr>
              <w:t>重大疾病豁免保险费</w:t>
            </w:r>
          </w:p>
        </w:tc>
        <w:tc>
          <w:tcPr>
            <w:tcW w:w="7323" w:type="dxa"/>
          </w:tcPr>
          <w:p>
            <w:pPr>
              <w:pStyle w:val="TableParagraph"/>
              <w:spacing w:before="137"/>
              <w:ind w:left="116" w:right="-15"/>
              <w:rPr>
                <w:sz w:val="21"/>
              </w:rPr>
            </w:pPr>
            <w:r>
              <w:rPr>
                <w:spacing w:val="-11"/>
                <w:sz w:val="21"/>
              </w:rPr>
              <w:t>在申请重大疾病豁免保险费时，申请人须填写申请书，并提供下列证明和资料：</w:t>
            </w:r>
          </w:p>
          <w:p>
            <w:pPr>
              <w:pStyle w:val="TableParagraph"/>
              <w:spacing w:before="37"/>
              <w:ind w:left="116"/>
              <w:rPr>
                <w:sz w:val="21"/>
              </w:rPr>
            </w:pPr>
            <w:r>
              <w:rPr>
                <w:sz w:val="21"/>
              </w:rPr>
              <w:t>（1）保险合同；</w:t>
            </w:r>
          </w:p>
          <w:p>
            <w:pPr>
              <w:pStyle w:val="TableParagraph"/>
              <w:spacing w:before="37"/>
              <w:ind w:left="116"/>
              <w:rPr>
                <w:sz w:val="21"/>
              </w:rPr>
            </w:pPr>
            <w:r>
              <w:rPr>
                <w:sz w:val="21"/>
              </w:rPr>
              <w:t>（2）申请人的有效身份证件；</w:t>
            </w:r>
          </w:p>
          <w:p>
            <w:pPr>
              <w:pStyle w:val="TableParagraph"/>
              <w:spacing w:line="273" w:lineRule="auto" w:before="37"/>
              <w:ind w:left="642" w:right="163" w:hanging="526"/>
              <w:rPr>
                <w:sz w:val="21"/>
              </w:rPr>
            </w:pPr>
            <w:r>
              <w:rPr>
                <w:sz w:val="21"/>
              </w:rPr>
              <w:t>（3）医院出具的附有病理显微镜检查、血液检验及其他科学方法检验报告的疾病诊断证明书；</w:t>
            </w:r>
          </w:p>
          <w:p>
            <w:pPr>
              <w:pStyle w:val="TableParagraph"/>
              <w:spacing w:before="8"/>
              <w:ind w:left="116"/>
              <w:rPr>
                <w:sz w:val="21"/>
              </w:rPr>
            </w:pPr>
            <w:r>
              <w:rPr>
                <w:sz w:val="21"/>
              </w:rPr>
              <w:t>（4）所能提供的与确认保险事故的性质、原因等有关的其他证明和资料。</w:t>
            </w:r>
          </w:p>
          <w:p>
            <w:pPr>
              <w:pStyle w:val="TableParagraph"/>
              <w:spacing w:before="8"/>
              <w:rPr>
                <w:sz w:val="26"/>
              </w:rPr>
            </w:pPr>
          </w:p>
          <w:p>
            <w:pPr>
              <w:pStyle w:val="TableParagraph"/>
              <w:spacing w:line="273" w:lineRule="auto"/>
              <w:ind w:left="116" w:right="101"/>
              <w:rPr>
                <w:sz w:val="21"/>
              </w:rPr>
            </w:pPr>
            <w:r>
              <w:rPr>
                <w:spacing w:val="-7"/>
                <w:sz w:val="21"/>
              </w:rPr>
              <w:t>以上证明和资料不完整的，我们将及时一次性通知申请人补充提供有关证明和资料。</w:t>
            </w:r>
          </w:p>
        </w:tc>
      </w:tr>
      <w:tr>
        <w:trPr>
          <w:trHeight w:val="1665" w:hRule="atLeast"/>
        </w:trPr>
        <w:tc>
          <w:tcPr>
            <w:tcW w:w="846" w:type="dxa"/>
          </w:tcPr>
          <w:p>
            <w:pPr>
              <w:pStyle w:val="TableParagraph"/>
              <w:spacing w:before="137"/>
              <w:ind w:right="111"/>
              <w:jc w:val="right"/>
              <w:rPr>
                <w:b/>
                <w:sz w:val="21"/>
              </w:rPr>
            </w:pPr>
            <w:r>
              <w:rPr>
                <w:b/>
                <w:sz w:val="21"/>
              </w:rPr>
              <w:t>3.2</w:t>
            </w:r>
          </w:p>
        </w:tc>
        <w:tc>
          <w:tcPr>
            <w:tcW w:w="1911" w:type="dxa"/>
          </w:tcPr>
          <w:p>
            <w:pPr>
              <w:pStyle w:val="TableParagraph"/>
              <w:spacing w:before="137"/>
              <w:ind w:left="114"/>
              <w:rPr>
                <w:b/>
                <w:sz w:val="21"/>
              </w:rPr>
            </w:pPr>
            <w:r>
              <w:rPr>
                <w:b/>
                <w:sz w:val="21"/>
              </w:rPr>
              <w:t>保险费的豁免</w:t>
            </w:r>
          </w:p>
        </w:tc>
        <w:tc>
          <w:tcPr>
            <w:tcW w:w="7323" w:type="dxa"/>
          </w:tcPr>
          <w:p>
            <w:pPr>
              <w:pStyle w:val="TableParagraph"/>
              <w:spacing w:before="137"/>
              <w:ind w:left="116"/>
              <w:rPr>
                <w:sz w:val="21"/>
              </w:rPr>
            </w:pPr>
            <w:r>
              <w:rPr>
                <w:spacing w:val="-6"/>
                <w:sz w:val="21"/>
              </w:rPr>
              <w:t>我们在收到豁免保险费申请书及合同约定的证明和资料后，将在 </w:t>
            </w:r>
            <w:r>
              <w:rPr>
                <w:sz w:val="21"/>
              </w:rPr>
              <w:t>5</w:t>
            </w:r>
            <w:r>
              <w:rPr>
                <w:spacing w:val="-9"/>
                <w:sz w:val="21"/>
              </w:rPr>
              <w:t> 日内作出核</w:t>
            </w:r>
          </w:p>
          <w:p>
            <w:pPr>
              <w:pStyle w:val="TableParagraph"/>
              <w:spacing w:before="37"/>
              <w:ind w:left="116"/>
              <w:rPr>
                <w:sz w:val="21"/>
              </w:rPr>
            </w:pPr>
            <w:r>
              <w:rPr>
                <w:sz w:val="21"/>
              </w:rPr>
              <w:t>定；情形复杂的，在 30 日内作出核定。</w:t>
            </w:r>
          </w:p>
          <w:p>
            <w:pPr>
              <w:pStyle w:val="TableParagraph"/>
              <w:spacing w:before="12"/>
              <w:rPr>
                <w:sz w:val="23"/>
              </w:rPr>
            </w:pPr>
          </w:p>
          <w:p>
            <w:pPr>
              <w:pStyle w:val="TableParagraph"/>
              <w:spacing w:line="310" w:lineRule="atLeast" w:before="1"/>
              <w:ind w:left="116" w:right="163"/>
              <w:rPr>
                <w:sz w:val="21"/>
              </w:rPr>
            </w:pPr>
            <w:r>
              <w:rPr>
                <w:spacing w:val="-5"/>
                <w:sz w:val="21"/>
              </w:rPr>
              <w:t>对属于保险责任的，在与申请人达成豁免保险费的协议后 </w:t>
            </w:r>
            <w:r>
              <w:rPr>
                <w:sz w:val="21"/>
              </w:rPr>
              <w:t>10</w:t>
            </w:r>
            <w:r>
              <w:rPr>
                <w:spacing w:val="-8"/>
                <w:sz w:val="21"/>
              </w:rPr>
              <w:t> 日内，履行豁免</w:t>
            </w:r>
            <w:r>
              <w:rPr>
                <w:spacing w:val="-5"/>
                <w:sz w:val="21"/>
              </w:rPr>
              <w:t>保险费义务。</w:t>
            </w:r>
          </w:p>
        </w:tc>
      </w:tr>
    </w:tbl>
    <w:p>
      <w:pPr>
        <w:spacing w:after="0" w:line="310" w:lineRule="atLeast"/>
        <w:rPr>
          <w:sz w:val="21"/>
        </w:rPr>
        <w:sectPr>
          <w:pgSz w:w="11910" w:h="16840"/>
          <w:pgMar w:top="138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
        <w:gridCol w:w="1915"/>
        <w:gridCol w:w="7320"/>
      </w:tblGrid>
      <w:tr>
        <w:trPr>
          <w:trHeight w:val="3850" w:hRule="atLeast"/>
        </w:trPr>
        <w:tc>
          <w:tcPr>
            <w:tcW w:w="846" w:type="dxa"/>
          </w:tcPr>
          <w:p>
            <w:pPr>
              <w:pStyle w:val="TableParagraph"/>
              <w:rPr>
                <w:rFonts w:ascii="Times New Roman"/>
                <w:sz w:val="20"/>
              </w:rPr>
            </w:pPr>
          </w:p>
        </w:tc>
        <w:tc>
          <w:tcPr>
            <w:tcW w:w="1915" w:type="dxa"/>
          </w:tcPr>
          <w:p>
            <w:pPr>
              <w:pStyle w:val="TableParagraph"/>
              <w:rPr>
                <w:rFonts w:ascii="Times New Roman"/>
                <w:sz w:val="20"/>
              </w:rPr>
            </w:pPr>
          </w:p>
        </w:tc>
        <w:tc>
          <w:tcPr>
            <w:tcW w:w="7320" w:type="dxa"/>
          </w:tcPr>
          <w:p>
            <w:pPr>
              <w:pStyle w:val="TableParagraph"/>
              <w:spacing w:line="206" w:lineRule="exact"/>
              <w:ind w:left="112"/>
              <w:rPr>
                <w:sz w:val="21"/>
              </w:rPr>
            </w:pPr>
            <w:r>
              <w:rPr>
                <w:sz w:val="21"/>
              </w:rPr>
              <w:t>我们未及时履行前款规定义务的，除豁免保险费外，应当赔偿申请人因此受到</w:t>
            </w:r>
          </w:p>
          <w:p>
            <w:pPr>
              <w:pStyle w:val="TableParagraph"/>
              <w:spacing w:before="37"/>
              <w:ind w:left="112"/>
              <w:rPr>
                <w:sz w:val="21"/>
              </w:rPr>
            </w:pPr>
            <w:r>
              <w:rPr>
                <w:sz w:val="21"/>
              </w:rPr>
              <w:t>的损失。</w:t>
            </w:r>
          </w:p>
          <w:p>
            <w:pPr>
              <w:pStyle w:val="TableParagraph"/>
              <w:spacing w:before="8"/>
              <w:rPr>
                <w:sz w:val="26"/>
              </w:rPr>
            </w:pPr>
          </w:p>
          <w:p>
            <w:pPr>
              <w:pStyle w:val="TableParagraph"/>
              <w:spacing w:line="273" w:lineRule="auto"/>
              <w:ind w:left="112" w:right="102"/>
              <w:jc w:val="both"/>
              <w:rPr>
                <w:sz w:val="21"/>
              </w:rPr>
            </w:pPr>
            <w:r>
              <w:rPr>
                <w:spacing w:val="-9"/>
                <w:sz w:val="21"/>
              </w:rPr>
              <w:t>对不属于保险责任的，我们自作出核定之日起 </w:t>
            </w:r>
            <w:r>
              <w:rPr>
                <w:sz w:val="21"/>
              </w:rPr>
              <w:t>3</w:t>
            </w:r>
            <w:r>
              <w:rPr>
                <w:spacing w:val="-8"/>
                <w:sz w:val="21"/>
              </w:rPr>
              <w:t> 日内向申请人发出拒绝豁免保</w:t>
            </w:r>
            <w:r>
              <w:rPr>
                <w:spacing w:val="-5"/>
                <w:sz w:val="21"/>
              </w:rPr>
              <w:t>险费通知书并说明理由。</w:t>
            </w:r>
          </w:p>
          <w:p>
            <w:pPr>
              <w:pStyle w:val="TableParagraph"/>
              <w:spacing w:before="5"/>
              <w:rPr>
                <w:sz w:val="24"/>
              </w:rPr>
            </w:pPr>
          </w:p>
          <w:p>
            <w:pPr>
              <w:pStyle w:val="TableParagraph"/>
              <w:spacing w:line="273" w:lineRule="auto"/>
              <w:ind w:left="112" w:right="61"/>
              <w:jc w:val="both"/>
              <w:rPr>
                <w:sz w:val="21"/>
              </w:rPr>
            </w:pPr>
            <w:r>
              <w:rPr>
                <w:spacing w:val="-6"/>
                <w:sz w:val="21"/>
              </w:rPr>
              <w:t>在本附加合同有效期内，如果被保险人失踪且被法院宣告死亡，我们以法院判</w:t>
            </w:r>
            <w:r>
              <w:rPr>
                <w:spacing w:val="-4"/>
                <w:sz w:val="21"/>
              </w:rPr>
              <w:t>决宣告死亡之日作为被保险人的死亡时间，按本附加合同的约定豁免保险费， </w:t>
            </w:r>
            <w:r>
              <w:rPr>
                <w:spacing w:val="-3"/>
                <w:sz w:val="21"/>
              </w:rPr>
              <w:t>本附加合同终止。</w:t>
            </w:r>
          </w:p>
          <w:p>
            <w:pPr>
              <w:pStyle w:val="TableParagraph"/>
              <w:spacing w:before="5"/>
              <w:rPr>
                <w:sz w:val="24"/>
              </w:rPr>
            </w:pPr>
          </w:p>
          <w:p>
            <w:pPr>
              <w:pStyle w:val="TableParagraph"/>
              <w:spacing w:line="273" w:lineRule="auto"/>
              <w:ind w:left="112" w:right="102"/>
              <w:rPr>
                <w:sz w:val="21"/>
              </w:rPr>
            </w:pPr>
            <w:r>
              <w:rPr>
                <w:spacing w:val="-6"/>
                <w:sz w:val="21"/>
              </w:rPr>
              <w:t>如果被保险人在宣告死亡后重新出现，申请人应于知道或应当知道被保险人重</w:t>
            </w:r>
            <w:r>
              <w:rPr>
                <w:spacing w:val="-12"/>
                <w:sz w:val="21"/>
              </w:rPr>
              <w:t>新出现后 </w:t>
            </w:r>
            <w:r>
              <w:rPr>
                <w:sz w:val="21"/>
              </w:rPr>
              <w:t>30</w:t>
            </w:r>
            <w:r>
              <w:rPr>
                <w:spacing w:val="-3"/>
                <w:sz w:val="21"/>
              </w:rPr>
              <w:t> 日内向我们支付已豁免的保险费，本附加合同的效力依法确定。</w:t>
            </w:r>
          </w:p>
        </w:tc>
      </w:tr>
      <w:tr>
        <w:trPr>
          <w:trHeight w:val="961" w:hRule="atLeast"/>
        </w:trPr>
        <w:tc>
          <w:tcPr>
            <w:tcW w:w="846" w:type="dxa"/>
          </w:tcPr>
          <w:p>
            <w:pPr>
              <w:pStyle w:val="TableParagraph"/>
              <w:spacing w:before="137"/>
              <w:ind w:right="111"/>
              <w:jc w:val="right"/>
              <w:rPr>
                <w:b/>
                <w:sz w:val="21"/>
              </w:rPr>
            </w:pPr>
            <w:r>
              <w:rPr>
                <w:b/>
                <w:w w:val="95"/>
                <w:sz w:val="21"/>
              </w:rPr>
              <w:t>3.3</w:t>
            </w:r>
          </w:p>
        </w:tc>
        <w:tc>
          <w:tcPr>
            <w:tcW w:w="1915" w:type="dxa"/>
          </w:tcPr>
          <w:p>
            <w:pPr>
              <w:pStyle w:val="TableParagraph"/>
              <w:spacing w:before="137"/>
              <w:ind w:left="114"/>
              <w:rPr>
                <w:b/>
                <w:sz w:val="21"/>
              </w:rPr>
            </w:pPr>
            <w:r>
              <w:rPr>
                <w:b/>
                <w:sz w:val="21"/>
              </w:rPr>
              <w:t>诉讼时效</w:t>
            </w:r>
          </w:p>
        </w:tc>
        <w:tc>
          <w:tcPr>
            <w:tcW w:w="7320" w:type="dxa"/>
          </w:tcPr>
          <w:p>
            <w:pPr>
              <w:pStyle w:val="TableParagraph"/>
              <w:spacing w:line="273" w:lineRule="auto" w:before="137"/>
              <w:ind w:left="112" w:right="102"/>
              <w:rPr>
                <w:sz w:val="21"/>
              </w:rPr>
            </w:pPr>
            <w:r>
              <w:rPr>
                <w:spacing w:val="-5"/>
                <w:sz w:val="21"/>
              </w:rPr>
              <w:t>申请人向我们请求豁免保险费的诉讼时效期间为 </w:t>
            </w:r>
            <w:r>
              <w:rPr>
                <w:sz w:val="21"/>
              </w:rPr>
              <w:t>2</w:t>
            </w:r>
            <w:r>
              <w:rPr>
                <w:spacing w:val="-11"/>
                <w:sz w:val="21"/>
              </w:rPr>
              <w:t> 年，自其知道或者应当知道</w:t>
            </w:r>
            <w:r>
              <w:rPr>
                <w:spacing w:val="-6"/>
                <w:sz w:val="21"/>
              </w:rPr>
              <w:t>保险事故发生之日起计算。</w:t>
            </w:r>
          </w:p>
        </w:tc>
      </w:tr>
      <w:tr>
        <w:trPr>
          <w:trHeight w:val="753" w:hRule="atLeast"/>
        </w:trPr>
        <w:tc>
          <w:tcPr>
            <w:tcW w:w="846" w:type="dxa"/>
            <w:tcBorders>
              <w:bottom w:val="single" w:sz="8" w:space="0" w:color="000000"/>
            </w:tcBorders>
          </w:tcPr>
          <w:p>
            <w:pPr>
              <w:pStyle w:val="TableParagraph"/>
              <w:spacing w:before="188"/>
              <w:ind w:left="310"/>
              <w:rPr>
                <w:rFonts w:ascii="Arial" w:hAnsi="Arial"/>
                <w:b/>
                <w:sz w:val="40"/>
              </w:rPr>
            </w:pPr>
            <w:r>
              <w:rPr>
                <w:rFonts w:ascii="Arial" w:hAnsi="Arial"/>
                <w:b/>
                <w:w w:val="119"/>
                <w:sz w:val="40"/>
              </w:rPr>
              <w:t></w:t>
            </w:r>
          </w:p>
        </w:tc>
        <w:tc>
          <w:tcPr>
            <w:tcW w:w="9235" w:type="dxa"/>
            <w:gridSpan w:val="2"/>
            <w:tcBorders>
              <w:bottom w:val="single" w:sz="8" w:space="0" w:color="000000"/>
            </w:tcBorders>
          </w:tcPr>
          <w:p>
            <w:pPr>
              <w:pStyle w:val="TableParagraph"/>
              <w:spacing w:before="4"/>
              <w:rPr>
                <w:sz w:val="18"/>
              </w:rPr>
            </w:pPr>
          </w:p>
          <w:p>
            <w:pPr>
              <w:pStyle w:val="TableParagraph"/>
              <w:ind w:left="114"/>
              <w:rPr>
                <w:b/>
                <w:sz w:val="24"/>
              </w:rPr>
            </w:pPr>
            <w:r>
              <w:rPr>
                <w:b/>
                <w:w w:val="95"/>
                <w:sz w:val="24"/>
              </w:rPr>
              <w:t>如何支付保障成本</w:t>
            </w:r>
          </w:p>
        </w:tc>
      </w:tr>
      <w:tr>
        <w:trPr>
          <w:trHeight w:val="2652" w:hRule="atLeast"/>
        </w:trPr>
        <w:tc>
          <w:tcPr>
            <w:tcW w:w="846" w:type="dxa"/>
            <w:tcBorders>
              <w:top w:val="single" w:sz="8" w:space="0" w:color="000000"/>
            </w:tcBorders>
          </w:tcPr>
          <w:p>
            <w:pPr>
              <w:pStyle w:val="TableParagraph"/>
              <w:spacing w:before="5"/>
              <w:rPr>
                <w:sz w:val="22"/>
              </w:rPr>
            </w:pPr>
          </w:p>
          <w:p>
            <w:pPr>
              <w:pStyle w:val="TableParagraph"/>
              <w:ind w:right="111"/>
              <w:jc w:val="right"/>
              <w:rPr>
                <w:b/>
                <w:sz w:val="21"/>
              </w:rPr>
            </w:pPr>
            <w:r>
              <w:rPr>
                <w:b/>
                <w:sz w:val="21"/>
              </w:rPr>
              <w:t>4.1</w:t>
            </w:r>
          </w:p>
        </w:tc>
        <w:tc>
          <w:tcPr>
            <w:tcW w:w="1915" w:type="dxa"/>
            <w:tcBorders>
              <w:top w:val="single" w:sz="8" w:space="0" w:color="000000"/>
            </w:tcBorders>
          </w:tcPr>
          <w:p>
            <w:pPr>
              <w:pStyle w:val="TableParagraph"/>
              <w:spacing w:before="5"/>
              <w:rPr>
                <w:sz w:val="22"/>
              </w:rPr>
            </w:pPr>
          </w:p>
          <w:p>
            <w:pPr>
              <w:pStyle w:val="TableParagraph"/>
              <w:ind w:left="114"/>
              <w:rPr>
                <w:b/>
                <w:sz w:val="21"/>
              </w:rPr>
            </w:pPr>
            <w:r>
              <w:rPr>
                <w:b/>
                <w:sz w:val="21"/>
              </w:rPr>
              <w:t>保障成本</w:t>
            </w:r>
          </w:p>
        </w:tc>
        <w:tc>
          <w:tcPr>
            <w:tcW w:w="7320" w:type="dxa"/>
            <w:tcBorders>
              <w:top w:val="single" w:sz="8" w:space="0" w:color="000000"/>
            </w:tcBorders>
          </w:tcPr>
          <w:p>
            <w:pPr>
              <w:pStyle w:val="TableParagraph"/>
              <w:spacing w:before="5"/>
              <w:rPr>
                <w:sz w:val="22"/>
              </w:rPr>
            </w:pPr>
          </w:p>
          <w:p>
            <w:pPr>
              <w:pStyle w:val="TableParagraph"/>
              <w:ind w:left="112"/>
              <w:rPr>
                <w:sz w:val="21"/>
              </w:rPr>
            </w:pPr>
            <w:r>
              <w:rPr>
                <w:sz w:val="21"/>
              </w:rPr>
              <w:t>我们对本附加合同承担的保险责任收取相应的保障成本。</w:t>
            </w:r>
          </w:p>
          <w:p>
            <w:pPr>
              <w:pStyle w:val="TableParagraph"/>
              <w:spacing w:before="8"/>
              <w:rPr>
                <w:sz w:val="26"/>
              </w:rPr>
            </w:pPr>
          </w:p>
          <w:p>
            <w:pPr>
              <w:pStyle w:val="TableParagraph"/>
              <w:spacing w:line="273" w:lineRule="auto"/>
              <w:ind w:left="112" w:right="100"/>
              <w:jc w:val="both"/>
              <w:rPr>
                <w:sz w:val="21"/>
              </w:rPr>
            </w:pPr>
            <w:r>
              <w:rPr>
                <w:spacing w:val="-5"/>
                <w:sz w:val="21"/>
              </w:rPr>
              <w:t>本附加合同的保障成本从主合同的保单账户中扣除。我们若调整费率，续保时</w:t>
            </w:r>
            <w:r>
              <w:rPr>
                <w:spacing w:val="-6"/>
                <w:sz w:val="21"/>
              </w:rPr>
              <w:t>将根据续保生效当时的费率重新计算保障成本。在本附加合同生效时，我们在</w:t>
            </w:r>
            <w:r>
              <w:rPr>
                <w:sz w:val="21"/>
              </w:rPr>
              <w:t>本附加合同生效日收取本附加合同的保障成本，保障成本根据被保险人的年</w:t>
            </w:r>
            <w:r>
              <w:rPr>
                <w:spacing w:val="-9"/>
                <w:sz w:val="21"/>
              </w:rPr>
              <w:t>龄、性别、</w:t>
            </w:r>
            <w:r>
              <w:rPr>
                <w:b/>
                <w:spacing w:val="-5"/>
                <w:sz w:val="21"/>
              </w:rPr>
              <w:t>危险保额</w:t>
            </w:r>
            <w:r>
              <w:rPr>
                <w:sz w:val="21"/>
              </w:rPr>
              <w:t>（</w:t>
            </w:r>
            <w:r>
              <w:rPr>
                <w:spacing w:val="-11"/>
                <w:sz w:val="21"/>
              </w:rPr>
              <w:t>见 </w:t>
            </w:r>
            <w:r>
              <w:rPr>
                <w:spacing w:val="-4"/>
                <w:sz w:val="21"/>
              </w:rPr>
              <w:t>7.19）</w:t>
            </w:r>
            <w:r>
              <w:rPr>
                <w:spacing w:val="-7"/>
                <w:sz w:val="21"/>
              </w:rPr>
              <w:t>及风险程度计算。我们收取保障成本后，主合</w:t>
            </w:r>
            <w:r>
              <w:rPr>
                <w:spacing w:val="-3"/>
                <w:sz w:val="21"/>
              </w:rPr>
              <w:t>同保单账户价值按收取的保障成本等额减少。</w:t>
            </w:r>
          </w:p>
        </w:tc>
      </w:tr>
      <w:tr>
        <w:trPr>
          <w:trHeight w:val="2833" w:hRule="atLeast"/>
        </w:trPr>
        <w:tc>
          <w:tcPr>
            <w:tcW w:w="846" w:type="dxa"/>
          </w:tcPr>
          <w:p>
            <w:pPr>
              <w:pStyle w:val="TableParagraph"/>
              <w:spacing w:before="137"/>
              <w:ind w:right="111"/>
              <w:jc w:val="right"/>
              <w:rPr>
                <w:b/>
                <w:sz w:val="21"/>
              </w:rPr>
            </w:pPr>
            <w:r>
              <w:rPr>
                <w:b/>
                <w:sz w:val="21"/>
              </w:rPr>
              <w:t>4.2</w:t>
            </w:r>
          </w:p>
        </w:tc>
        <w:tc>
          <w:tcPr>
            <w:tcW w:w="1915" w:type="dxa"/>
          </w:tcPr>
          <w:p>
            <w:pPr>
              <w:pStyle w:val="TableParagraph"/>
              <w:spacing w:before="137"/>
              <w:ind w:left="114"/>
              <w:rPr>
                <w:b/>
                <w:sz w:val="21"/>
              </w:rPr>
            </w:pPr>
            <w:r>
              <w:rPr>
                <w:b/>
                <w:sz w:val="21"/>
              </w:rPr>
              <w:t>宽限期</w:t>
            </w:r>
          </w:p>
        </w:tc>
        <w:tc>
          <w:tcPr>
            <w:tcW w:w="7320" w:type="dxa"/>
          </w:tcPr>
          <w:p>
            <w:pPr>
              <w:pStyle w:val="TableParagraph"/>
              <w:spacing w:before="137"/>
              <w:ind w:left="112"/>
              <w:rPr>
                <w:sz w:val="21"/>
              </w:rPr>
            </w:pPr>
            <w:r>
              <w:rPr>
                <w:sz w:val="21"/>
              </w:rPr>
              <w:t>投保了本附加合同后，主合同及本附加合同的宽限期按照以下约定确定：</w:t>
            </w:r>
          </w:p>
          <w:p>
            <w:pPr>
              <w:pStyle w:val="TableParagraph"/>
              <w:spacing w:line="273" w:lineRule="auto" w:before="37"/>
              <w:ind w:left="112" w:right="102"/>
              <w:jc w:val="both"/>
              <w:rPr>
                <w:sz w:val="21"/>
              </w:rPr>
            </w:pPr>
            <w:r>
              <w:rPr>
                <w:spacing w:val="-7"/>
                <w:sz w:val="21"/>
              </w:rPr>
              <w:t>在主合同保险期间内，本附加合同 </w:t>
            </w:r>
            <w:r>
              <w:rPr>
                <w:sz w:val="21"/>
              </w:rPr>
              <w:t>1</w:t>
            </w:r>
            <w:r>
              <w:rPr>
                <w:spacing w:val="-10"/>
                <w:sz w:val="21"/>
              </w:rPr>
              <w:t> 年期满时，如果主合同的保单账户价值不</w:t>
            </w:r>
            <w:r>
              <w:rPr>
                <w:spacing w:val="-7"/>
                <w:sz w:val="21"/>
              </w:rPr>
              <w:t>足以支付本附加合同的保障成本，则自</w:t>
            </w:r>
            <w:r>
              <w:rPr>
                <w:b/>
                <w:spacing w:val="-5"/>
                <w:sz w:val="21"/>
              </w:rPr>
              <w:t>保险费约定支付日</w:t>
            </w:r>
            <w:r>
              <w:rPr>
                <w:sz w:val="21"/>
              </w:rPr>
              <w:t>（</w:t>
            </w:r>
            <w:r>
              <w:rPr>
                <w:spacing w:val="-14"/>
                <w:sz w:val="21"/>
              </w:rPr>
              <w:t>见 </w:t>
            </w:r>
            <w:r>
              <w:rPr>
                <w:spacing w:val="-8"/>
                <w:sz w:val="21"/>
              </w:rPr>
              <w:t>7.20）</w:t>
            </w:r>
            <w:r>
              <w:rPr>
                <w:spacing w:val="-3"/>
                <w:sz w:val="21"/>
              </w:rPr>
              <w:t>的次日零</w:t>
            </w:r>
            <w:r>
              <w:rPr>
                <w:spacing w:val="-15"/>
                <w:sz w:val="21"/>
              </w:rPr>
              <w:t>时起 </w:t>
            </w:r>
            <w:r>
              <w:rPr>
                <w:sz w:val="21"/>
              </w:rPr>
              <w:t>60</w:t>
            </w:r>
            <w:r>
              <w:rPr>
                <w:spacing w:val="-9"/>
                <w:sz w:val="21"/>
              </w:rPr>
              <w:t> 日为主合同及本附加合同的宽限期。</w:t>
            </w:r>
          </w:p>
          <w:p>
            <w:pPr>
              <w:pStyle w:val="TableParagraph"/>
              <w:spacing w:before="5"/>
              <w:rPr>
                <w:sz w:val="24"/>
              </w:rPr>
            </w:pPr>
          </w:p>
          <w:p>
            <w:pPr>
              <w:pStyle w:val="TableParagraph"/>
              <w:spacing w:line="273" w:lineRule="auto"/>
              <w:ind w:left="112" w:right="102"/>
              <w:jc w:val="both"/>
              <w:rPr>
                <w:sz w:val="21"/>
              </w:rPr>
            </w:pPr>
            <w:r>
              <w:rPr>
                <w:spacing w:val="-6"/>
                <w:sz w:val="21"/>
              </w:rPr>
              <w:t>宽限期内发生的保险事故，我们仍会承担保险责任，但您应补交欠交的保障成</w:t>
            </w:r>
            <w:r>
              <w:rPr>
                <w:spacing w:val="-8"/>
                <w:sz w:val="21"/>
              </w:rPr>
              <w:t>本。如果您宽限期结束之后仍未支付主合同保险费，则本附加合同自宽限期满</w:t>
            </w:r>
            <w:r>
              <w:rPr>
                <w:spacing w:val="-5"/>
                <w:sz w:val="21"/>
              </w:rPr>
              <w:t>的次日零时起效力终止。</w:t>
            </w:r>
          </w:p>
        </w:tc>
      </w:tr>
      <w:tr>
        <w:trPr>
          <w:trHeight w:val="753" w:hRule="atLeast"/>
        </w:trPr>
        <w:tc>
          <w:tcPr>
            <w:tcW w:w="846" w:type="dxa"/>
            <w:tcBorders>
              <w:bottom w:val="single" w:sz="8" w:space="0" w:color="000000"/>
            </w:tcBorders>
          </w:tcPr>
          <w:p>
            <w:pPr>
              <w:pStyle w:val="TableParagraph"/>
              <w:spacing w:before="188"/>
              <w:ind w:left="310"/>
              <w:rPr>
                <w:rFonts w:ascii="Arial" w:hAnsi="Arial"/>
                <w:b/>
                <w:sz w:val="40"/>
              </w:rPr>
            </w:pPr>
            <w:r>
              <w:rPr>
                <w:rFonts w:ascii="Arial" w:hAnsi="Arial"/>
                <w:b/>
                <w:w w:val="119"/>
                <w:sz w:val="40"/>
              </w:rPr>
              <w:t></w:t>
            </w:r>
          </w:p>
        </w:tc>
        <w:tc>
          <w:tcPr>
            <w:tcW w:w="9235" w:type="dxa"/>
            <w:gridSpan w:val="2"/>
            <w:tcBorders>
              <w:bottom w:val="single" w:sz="8" w:space="0" w:color="000000"/>
            </w:tcBorders>
          </w:tcPr>
          <w:p>
            <w:pPr>
              <w:pStyle w:val="TableParagraph"/>
              <w:spacing w:before="4"/>
              <w:rPr>
                <w:sz w:val="18"/>
              </w:rPr>
            </w:pPr>
          </w:p>
          <w:p>
            <w:pPr>
              <w:pStyle w:val="TableParagraph"/>
              <w:ind w:left="114"/>
              <w:rPr>
                <w:b/>
                <w:sz w:val="24"/>
              </w:rPr>
            </w:pPr>
            <w:r>
              <w:rPr>
                <w:b/>
                <w:w w:val="95"/>
                <w:sz w:val="24"/>
              </w:rPr>
              <w:t>如何解除保险合同</w:t>
            </w:r>
          </w:p>
        </w:tc>
      </w:tr>
      <w:tr>
        <w:trPr>
          <w:trHeight w:val="2134" w:hRule="atLeast"/>
        </w:trPr>
        <w:tc>
          <w:tcPr>
            <w:tcW w:w="846" w:type="dxa"/>
            <w:tcBorders>
              <w:top w:val="single" w:sz="8" w:space="0" w:color="000000"/>
            </w:tcBorders>
          </w:tcPr>
          <w:p>
            <w:pPr>
              <w:pStyle w:val="TableParagraph"/>
              <w:spacing w:before="5"/>
              <w:rPr>
                <w:sz w:val="22"/>
              </w:rPr>
            </w:pPr>
          </w:p>
          <w:p>
            <w:pPr>
              <w:pStyle w:val="TableParagraph"/>
              <w:ind w:right="111"/>
              <w:jc w:val="right"/>
              <w:rPr>
                <w:b/>
                <w:sz w:val="21"/>
              </w:rPr>
            </w:pPr>
            <w:r>
              <w:rPr>
                <w:b/>
                <w:sz w:val="21"/>
              </w:rPr>
              <w:t>5.1</w:t>
            </w:r>
          </w:p>
        </w:tc>
        <w:tc>
          <w:tcPr>
            <w:tcW w:w="1915" w:type="dxa"/>
            <w:tcBorders>
              <w:top w:val="single" w:sz="8" w:space="0" w:color="000000"/>
            </w:tcBorders>
          </w:tcPr>
          <w:p>
            <w:pPr>
              <w:pStyle w:val="TableParagraph"/>
              <w:spacing w:before="5"/>
              <w:rPr>
                <w:sz w:val="22"/>
              </w:rPr>
            </w:pPr>
          </w:p>
          <w:p>
            <w:pPr>
              <w:pStyle w:val="TableParagraph"/>
              <w:spacing w:line="273" w:lineRule="auto"/>
              <w:ind w:left="114" w:right="108"/>
              <w:rPr>
                <w:b/>
                <w:sz w:val="21"/>
              </w:rPr>
            </w:pPr>
            <w:r>
              <w:rPr>
                <w:b/>
                <w:sz w:val="21"/>
              </w:rPr>
              <w:t>您解除合同的手续及风险</w:t>
            </w:r>
          </w:p>
        </w:tc>
        <w:tc>
          <w:tcPr>
            <w:tcW w:w="7320" w:type="dxa"/>
            <w:tcBorders>
              <w:top w:val="single" w:sz="8" w:space="0" w:color="000000"/>
            </w:tcBorders>
          </w:tcPr>
          <w:p>
            <w:pPr>
              <w:pStyle w:val="TableParagraph"/>
              <w:spacing w:before="5"/>
              <w:rPr>
                <w:sz w:val="22"/>
              </w:rPr>
            </w:pPr>
          </w:p>
          <w:p>
            <w:pPr>
              <w:pStyle w:val="TableParagraph"/>
              <w:spacing w:line="273" w:lineRule="auto"/>
              <w:ind w:left="112" w:right="66"/>
              <w:rPr>
                <w:sz w:val="21"/>
              </w:rPr>
            </w:pPr>
            <w:r>
              <w:rPr>
                <w:sz w:val="21"/>
              </w:rPr>
              <w:t>如您在犹豫期后申请解除本附加合同，请填写解除合同申请书并向我们提供下列资料：</w:t>
            </w:r>
          </w:p>
          <w:p>
            <w:pPr>
              <w:pStyle w:val="TableParagraph"/>
              <w:spacing w:before="7"/>
              <w:ind w:left="112"/>
              <w:rPr>
                <w:sz w:val="21"/>
              </w:rPr>
            </w:pPr>
            <w:r>
              <w:rPr>
                <w:sz w:val="21"/>
              </w:rPr>
              <w:t>（1）保险合同；</w:t>
            </w:r>
          </w:p>
          <w:p>
            <w:pPr>
              <w:pStyle w:val="TableParagraph"/>
              <w:spacing w:before="37"/>
              <w:ind w:left="112"/>
              <w:rPr>
                <w:sz w:val="21"/>
              </w:rPr>
            </w:pPr>
            <w:r>
              <w:rPr>
                <w:sz w:val="21"/>
              </w:rPr>
              <w:t>（2）您的有效身份证件。</w:t>
            </w:r>
          </w:p>
          <w:p>
            <w:pPr>
              <w:pStyle w:val="TableParagraph"/>
              <w:spacing w:before="8"/>
              <w:rPr>
                <w:sz w:val="26"/>
              </w:rPr>
            </w:pPr>
          </w:p>
          <w:p>
            <w:pPr>
              <w:pStyle w:val="TableParagraph"/>
              <w:spacing w:line="260" w:lineRule="exact"/>
              <w:ind w:left="112"/>
              <w:rPr>
                <w:sz w:val="21"/>
              </w:rPr>
            </w:pPr>
            <w:r>
              <w:rPr>
                <w:sz w:val="21"/>
              </w:rPr>
              <w:t>自我们收到解除合同申请书时起，本附加合同终止。我们将已收取的本附加合</w:t>
            </w:r>
          </w:p>
        </w:tc>
      </w:tr>
    </w:tbl>
    <w:p>
      <w:pPr>
        <w:spacing w:after="0" w:line="260" w:lineRule="exact"/>
        <w:rPr>
          <w:sz w:val="21"/>
        </w:rPr>
        <w:sectPr>
          <w:pgSz w:w="11910" w:h="16840"/>
          <w:pgMar w:top="138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803"/>
        <w:gridCol w:w="7425"/>
      </w:tblGrid>
      <w:tr>
        <w:trPr>
          <w:trHeight w:val="730" w:hRule="atLeast"/>
        </w:trPr>
        <w:tc>
          <w:tcPr>
            <w:tcW w:w="852" w:type="dxa"/>
          </w:tcPr>
          <w:p>
            <w:pPr>
              <w:pStyle w:val="TableParagraph"/>
              <w:rPr>
                <w:rFonts w:ascii="Times New Roman"/>
                <w:sz w:val="20"/>
              </w:rPr>
            </w:pPr>
          </w:p>
        </w:tc>
        <w:tc>
          <w:tcPr>
            <w:tcW w:w="1803" w:type="dxa"/>
          </w:tcPr>
          <w:p>
            <w:pPr>
              <w:pStyle w:val="TableParagraph"/>
              <w:rPr>
                <w:rFonts w:ascii="Times New Roman"/>
                <w:sz w:val="20"/>
              </w:rPr>
            </w:pPr>
          </w:p>
        </w:tc>
        <w:tc>
          <w:tcPr>
            <w:tcW w:w="7425" w:type="dxa"/>
          </w:tcPr>
          <w:p>
            <w:pPr>
              <w:pStyle w:val="TableParagraph"/>
              <w:spacing w:line="206" w:lineRule="exact"/>
              <w:ind w:left="218"/>
              <w:rPr>
                <w:sz w:val="21"/>
              </w:rPr>
            </w:pPr>
            <w:r>
              <w:rPr>
                <w:sz w:val="21"/>
              </w:rPr>
              <w:t>同终止日之后的保障成本无息退还至主合同保单账户，主合同保单账户价值按</w:t>
            </w:r>
          </w:p>
          <w:p>
            <w:pPr>
              <w:pStyle w:val="TableParagraph"/>
              <w:spacing w:before="37"/>
              <w:ind w:left="218"/>
              <w:rPr>
                <w:sz w:val="21"/>
              </w:rPr>
            </w:pPr>
            <w:r>
              <w:rPr>
                <w:sz w:val="21"/>
              </w:rPr>
              <w:t>退还的金额等额增加。</w:t>
            </w:r>
          </w:p>
        </w:tc>
      </w:tr>
      <w:tr>
        <w:trPr>
          <w:trHeight w:val="648" w:hRule="atLeast"/>
        </w:trPr>
        <w:tc>
          <w:tcPr>
            <w:tcW w:w="852" w:type="dxa"/>
          </w:tcPr>
          <w:p>
            <w:pPr>
              <w:pStyle w:val="TableParagraph"/>
              <w:rPr>
                <w:rFonts w:ascii="Times New Roman"/>
                <w:sz w:val="20"/>
              </w:rPr>
            </w:pPr>
          </w:p>
        </w:tc>
        <w:tc>
          <w:tcPr>
            <w:tcW w:w="1803" w:type="dxa"/>
          </w:tcPr>
          <w:p>
            <w:pPr>
              <w:pStyle w:val="TableParagraph"/>
              <w:rPr>
                <w:rFonts w:ascii="Times New Roman"/>
                <w:sz w:val="20"/>
              </w:rPr>
            </w:pPr>
          </w:p>
        </w:tc>
        <w:tc>
          <w:tcPr>
            <w:tcW w:w="7425" w:type="dxa"/>
          </w:tcPr>
          <w:p>
            <w:pPr>
              <w:pStyle w:val="TableParagraph"/>
              <w:spacing w:before="137"/>
              <w:ind w:left="218"/>
              <w:rPr>
                <w:sz w:val="21"/>
              </w:rPr>
            </w:pPr>
            <w:r>
              <w:rPr>
                <w:sz w:val="21"/>
              </w:rPr>
              <w:t>您犹豫期后解除本附加合同会遭受一定损失。</w:t>
            </w:r>
          </w:p>
        </w:tc>
      </w:tr>
      <w:tr>
        <w:trPr>
          <w:trHeight w:val="753" w:hRule="atLeast"/>
        </w:trPr>
        <w:tc>
          <w:tcPr>
            <w:tcW w:w="852" w:type="dxa"/>
            <w:tcBorders>
              <w:bottom w:val="single" w:sz="8" w:space="0" w:color="000000"/>
            </w:tcBorders>
          </w:tcPr>
          <w:p>
            <w:pPr>
              <w:pStyle w:val="TableParagraph"/>
              <w:spacing w:before="188"/>
              <w:ind w:left="310"/>
              <w:rPr>
                <w:rFonts w:ascii="Arial" w:hAnsi="Arial"/>
                <w:b/>
                <w:sz w:val="40"/>
              </w:rPr>
            </w:pPr>
            <w:r>
              <w:rPr>
                <w:rFonts w:ascii="Arial" w:hAnsi="Arial"/>
                <w:b/>
                <w:w w:val="119"/>
                <w:sz w:val="40"/>
              </w:rPr>
              <w:t></w:t>
            </w:r>
          </w:p>
        </w:tc>
        <w:tc>
          <w:tcPr>
            <w:tcW w:w="9228" w:type="dxa"/>
            <w:gridSpan w:val="2"/>
            <w:tcBorders>
              <w:bottom w:val="single" w:sz="8" w:space="0" w:color="000000"/>
            </w:tcBorders>
          </w:tcPr>
          <w:p>
            <w:pPr>
              <w:pStyle w:val="TableParagraph"/>
              <w:spacing w:before="4"/>
              <w:rPr>
                <w:sz w:val="18"/>
              </w:rPr>
            </w:pPr>
          </w:p>
          <w:p>
            <w:pPr>
              <w:pStyle w:val="TableParagraph"/>
              <w:ind w:left="108"/>
              <w:rPr>
                <w:b/>
                <w:sz w:val="24"/>
              </w:rPr>
            </w:pPr>
            <w:r>
              <w:rPr>
                <w:b/>
                <w:w w:val="95"/>
                <w:sz w:val="24"/>
              </w:rPr>
              <w:t>其他需要关注的事项</w:t>
            </w:r>
          </w:p>
        </w:tc>
      </w:tr>
      <w:tr>
        <w:trPr>
          <w:trHeight w:val="4213" w:hRule="atLeast"/>
        </w:trPr>
        <w:tc>
          <w:tcPr>
            <w:tcW w:w="852" w:type="dxa"/>
            <w:tcBorders>
              <w:top w:val="single" w:sz="8" w:space="0" w:color="000000"/>
            </w:tcBorders>
          </w:tcPr>
          <w:p>
            <w:pPr>
              <w:pStyle w:val="TableParagraph"/>
              <w:spacing w:before="5"/>
              <w:rPr>
                <w:sz w:val="22"/>
              </w:rPr>
            </w:pPr>
          </w:p>
          <w:p>
            <w:pPr>
              <w:pStyle w:val="TableParagraph"/>
              <w:ind w:right="105"/>
              <w:jc w:val="right"/>
              <w:rPr>
                <w:b/>
                <w:sz w:val="21"/>
              </w:rPr>
            </w:pPr>
            <w:r>
              <w:rPr>
                <w:b/>
                <w:sz w:val="21"/>
              </w:rPr>
              <w:t>6.1</w:t>
            </w:r>
          </w:p>
        </w:tc>
        <w:tc>
          <w:tcPr>
            <w:tcW w:w="1803" w:type="dxa"/>
            <w:tcBorders>
              <w:top w:val="single" w:sz="8" w:space="0" w:color="000000"/>
            </w:tcBorders>
          </w:tcPr>
          <w:p>
            <w:pPr>
              <w:pStyle w:val="TableParagraph"/>
              <w:spacing w:before="5"/>
              <w:rPr>
                <w:sz w:val="22"/>
              </w:rPr>
            </w:pPr>
          </w:p>
          <w:p>
            <w:pPr>
              <w:pStyle w:val="TableParagraph"/>
              <w:ind w:left="108"/>
              <w:rPr>
                <w:b/>
                <w:sz w:val="21"/>
              </w:rPr>
            </w:pPr>
            <w:r>
              <w:rPr>
                <w:b/>
                <w:sz w:val="21"/>
              </w:rPr>
              <w:t>年龄错误</w:t>
            </w:r>
          </w:p>
        </w:tc>
        <w:tc>
          <w:tcPr>
            <w:tcW w:w="7425" w:type="dxa"/>
            <w:tcBorders>
              <w:top w:val="single" w:sz="8" w:space="0" w:color="000000"/>
            </w:tcBorders>
          </w:tcPr>
          <w:p>
            <w:pPr>
              <w:pStyle w:val="TableParagraph"/>
              <w:spacing w:before="5"/>
              <w:rPr>
                <w:sz w:val="22"/>
              </w:rPr>
            </w:pPr>
          </w:p>
          <w:p>
            <w:pPr>
              <w:pStyle w:val="TableParagraph"/>
              <w:spacing w:line="273" w:lineRule="auto"/>
              <w:ind w:left="218" w:right="101"/>
              <w:rPr>
                <w:sz w:val="21"/>
              </w:rPr>
            </w:pPr>
            <w:r>
              <w:rPr>
                <w:spacing w:val="-8"/>
                <w:sz w:val="21"/>
              </w:rPr>
              <w:t>您在申请投保时，应将与有效身份证件相符的被保险人的出生日期在投保单上</w:t>
            </w:r>
            <w:r>
              <w:rPr>
                <w:spacing w:val="-5"/>
                <w:sz w:val="21"/>
              </w:rPr>
              <w:t>填明，如果发生错误按照下列方式办理：</w:t>
            </w:r>
          </w:p>
          <w:p>
            <w:pPr>
              <w:pStyle w:val="TableParagraph"/>
              <w:spacing w:line="273" w:lineRule="auto" w:before="7"/>
              <w:ind w:left="739" w:right="103" w:hanging="521"/>
              <w:jc w:val="both"/>
              <w:rPr>
                <w:sz w:val="21"/>
              </w:rPr>
            </w:pPr>
            <w:r>
              <w:rPr>
                <w:sz w:val="21"/>
              </w:rPr>
              <w:t>（1）您申报的被保险人年龄不真实，并且真实年龄不符合本附加合同约定的投保年龄限制的，在保险事故发生之前我们有权解除合同。我们行使合同解除权适用“我们合同解除权的限制”的规定。</w:t>
            </w:r>
          </w:p>
          <w:p>
            <w:pPr>
              <w:pStyle w:val="TableParagraph"/>
              <w:spacing w:line="273" w:lineRule="auto" w:before="7"/>
              <w:ind w:left="739" w:right="99" w:hanging="521"/>
              <w:jc w:val="both"/>
              <w:rPr>
                <w:sz w:val="21"/>
              </w:rPr>
            </w:pPr>
            <w:r>
              <w:rPr>
                <w:sz w:val="21"/>
              </w:rPr>
              <w:t>（2）您申报的被保险人年龄不真实，致使您实付保障成本少于应付保障成本的，我们有权更正并要求您补交保障成本；</w:t>
            </w:r>
            <w:r>
              <w:rPr>
                <w:sz w:val="21"/>
                <w:shd w:fill="D9D9D9" w:color="auto" w:val="clear"/>
              </w:rPr>
              <w:t>若已经发生保险事故，在豁</w:t>
            </w:r>
            <w:r>
              <w:rPr>
                <w:spacing w:val="-212"/>
                <w:sz w:val="21"/>
                <w:shd w:fill="D9D9D9" w:color="auto" w:val="clear"/>
              </w:rPr>
              <w:t>免</w:t>
            </w:r>
            <w:r>
              <w:rPr>
                <w:spacing w:val="-3"/>
                <w:sz w:val="21"/>
                <w:shd w:fill="D9D9D9" w:color="auto" w:val="clear"/>
              </w:rPr>
              <w:t>保险费时按实付保障成本和应付保障成本的比例豁免。</w:t>
            </w:r>
          </w:p>
          <w:p>
            <w:pPr>
              <w:pStyle w:val="TableParagraph"/>
              <w:spacing w:line="273" w:lineRule="auto" w:before="7"/>
              <w:ind w:left="739" w:right="103" w:hanging="521"/>
              <w:jc w:val="both"/>
              <w:rPr>
                <w:sz w:val="21"/>
              </w:rPr>
            </w:pPr>
            <w:r>
              <w:rPr>
                <w:sz w:val="21"/>
              </w:rPr>
              <w:t>（3）您申报的被保险人年龄不真实，致使您实付保障成本多于应付保障成本的，我们多收的保障成本将无息计入主合同的保单账户。如果被保险人已发生主合同规定的保险事故，则多收的保障成本无息随主合同身故保险金退还给身故保险金受益人。</w:t>
            </w:r>
          </w:p>
        </w:tc>
      </w:tr>
      <w:tr>
        <w:trPr>
          <w:trHeight w:val="1560" w:hRule="atLeast"/>
        </w:trPr>
        <w:tc>
          <w:tcPr>
            <w:tcW w:w="852" w:type="dxa"/>
          </w:tcPr>
          <w:p>
            <w:pPr>
              <w:pStyle w:val="TableParagraph"/>
              <w:spacing w:before="137"/>
              <w:ind w:right="105"/>
              <w:jc w:val="right"/>
              <w:rPr>
                <w:b/>
                <w:sz w:val="21"/>
              </w:rPr>
            </w:pPr>
            <w:r>
              <w:rPr>
                <w:b/>
                <w:sz w:val="21"/>
              </w:rPr>
              <w:t>6.2</w:t>
            </w:r>
          </w:p>
        </w:tc>
        <w:tc>
          <w:tcPr>
            <w:tcW w:w="1803" w:type="dxa"/>
          </w:tcPr>
          <w:p>
            <w:pPr>
              <w:pStyle w:val="TableParagraph"/>
              <w:spacing w:before="137"/>
              <w:ind w:left="108"/>
              <w:rPr>
                <w:b/>
                <w:sz w:val="21"/>
              </w:rPr>
            </w:pPr>
            <w:r>
              <w:rPr>
                <w:b/>
                <w:sz w:val="21"/>
              </w:rPr>
              <w:t>效力终止</w:t>
            </w:r>
          </w:p>
        </w:tc>
        <w:tc>
          <w:tcPr>
            <w:tcW w:w="7425" w:type="dxa"/>
          </w:tcPr>
          <w:p>
            <w:pPr>
              <w:pStyle w:val="TableParagraph"/>
              <w:spacing w:before="137"/>
              <w:ind w:left="218"/>
              <w:rPr>
                <w:sz w:val="21"/>
              </w:rPr>
            </w:pPr>
            <w:r>
              <w:rPr>
                <w:sz w:val="21"/>
              </w:rPr>
              <w:t>当发生下列情形之一时，本附加合同效力终止：</w:t>
            </w:r>
          </w:p>
          <w:p>
            <w:pPr>
              <w:pStyle w:val="TableParagraph"/>
              <w:spacing w:before="37"/>
              <w:ind w:left="218"/>
              <w:rPr>
                <w:sz w:val="21"/>
              </w:rPr>
            </w:pPr>
            <w:r>
              <w:rPr>
                <w:sz w:val="21"/>
              </w:rPr>
              <w:t>（1）主合同效力终止；</w:t>
            </w:r>
          </w:p>
          <w:p>
            <w:pPr>
              <w:pStyle w:val="TableParagraph"/>
              <w:spacing w:before="37"/>
              <w:ind w:left="218"/>
              <w:rPr>
                <w:sz w:val="21"/>
              </w:rPr>
            </w:pPr>
            <w:r>
              <w:rPr>
                <w:sz w:val="21"/>
              </w:rPr>
              <w:t>（2）主合同保险费已豁免；</w:t>
            </w:r>
          </w:p>
          <w:p>
            <w:pPr>
              <w:pStyle w:val="TableParagraph"/>
              <w:spacing w:before="36"/>
              <w:ind w:left="218"/>
              <w:rPr>
                <w:sz w:val="21"/>
              </w:rPr>
            </w:pPr>
            <w:r>
              <w:rPr>
                <w:sz w:val="21"/>
              </w:rPr>
              <w:t>（3）您申请解除本附加合同。</w:t>
            </w:r>
          </w:p>
        </w:tc>
      </w:tr>
      <w:tr>
        <w:trPr>
          <w:trHeight w:val="2677" w:hRule="atLeast"/>
        </w:trPr>
        <w:tc>
          <w:tcPr>
            <w:tcW w:w="852" w:type="dxa"/>
          </w:tcPr>
          <w:p>
            <w:pPr>
              <w:pStyle w:val="TableParagraph"/>
              <w:spacing w:before="137"/>
              <w:ind w:right="105"/>
              <w:jc w:val="right"/>
              <w:rPr>
                <w:b/>
                <w:sz w:val="21"/>
              </w:rPr>
            </w:pPr>
            <w:r>
              <w:rPr>
                <w:b/>
                <w:sz w:val="21"/>
              </w:rPr>
              <w:t>7.3</w:t>
            </w:r>
          </w:p>
        </w:tc>
        <w:tc>
          <w:tcPr>
            <w:tcW w:w="1803" w:type="dxa"/>
          </w:tcPr>
          <w:p>
            <w:pPr>
              <w:pStyle w:val="TableParagraph"/>
              <w:spacing w:before="137"/>
              <w:ind w:left="108"/>
              <w:rPr>
                <w:b/>
                <w:sz w:val="21"/>
              </w:rPr>
            </w:pPr>
            <w:r>
              <w:rPr>
                <w:b/>
                <w:sz w:val="21"/>
              </w:rPr>
              <w:t>适用主合同条款</w:t>
            </w:r>
          </w:p>
        </w:tc>
        <w:tc>
          <w:tcPr>
            <w:tcW w:w="7425" w:type="dxa"/>
          </w:tcPr>
          <w:p>
            <w:pPr>
              <w:pStyle w:val="TableParagraph"/>
              <w:spacing w:before="137"/>
              <w:ind w:left="218"/>
              <w:rPr>
                <w:sz w:val="21"/>
              </w:rPr>
            </w:pPr>
            <w:r>
              <w:rPr>
                <w:sz w:val="21"/>
              </w:rPr>
              <w:t>下列各项条款，适用主合同条款：</w:t>
            </w:r>
          </w:p>
          <w:p>
            <w:pPr>
              <w:pStyle w:val="TableParagraph"/>
              <w:spacing w:before="37"/>
              <w:ind w:left="218"/>
              <w:rPr>
                <w:sz w:val="21"/>
              </w:rPr>
            </w:pPr>
            <w:r>
              <w:rPr>
                <w:sz w:val="21"/>
              </w:rPr>
              <w:t>（1）保险事故通知；</w:t>
            </w:r>
          </w:p>
          <w:p>
            <w:pPr>
              <w:pStyle w:val="TableParagraph"/>
              <w:spacing w:before="37"/>
              <w:ind w:left="218"/>
              <w:rPr>
                <w:sz w:val="21"/>
              </w:rPr>
            </w:pPr>
            <w:r>
              <w:rPr>
                <w:sz w:val="21"/>
              </w:rPr>
              <w:t>（2）明确说明与如实告知；</w:t>
            </w:r>
          </w:p>
          <w:p>
            <w:pPr>
              <w:pStyle w:val="TableParagraph"/>
              <w:spacing w:before="37"/>
              <w:ind w:left="218"/>
              <w:rPr>
                <w:sz w:val="21"/>
              </w:rPr>
            </w:pPr>
            <w:r>
              <w:rPr>
                <w:sz w:val="21"/>
              </w:rPr>
              <w:t>（3）我们合同解除权的限制；</w:t>
            </w:r>
          </w:p>
          <w:p>
            <w:pPr>
              <w:pStyle w:val="TableParagraph"/>
              <w:spacing w:before="37"/>
              <w:ind w:left="218"/>
              <w:rPr>
                <w:sz w:val="21"/>
              </w:rPr>
            </w:pPr>
            <w:r>
              <w:rPr>
                <w:sz w:val="21"/>
              </w:rPr>
              <w:t>（4）未还款项；</w:t>
            </w:r>
          </w:p>
          <w:p>
            <w:pPr>
              <w:pStyle w:val="TableParagraph"/>
              <w:spacing w:before="37"/>
              <w:ind w:left="218"/>
              <w:rPr>
                <w:sz w:val="21"/>
              </w:rPr>
            </w:pPr>
            <w:r>
              <w:rPr>
                <w:sz w:val="21"/>
              </w:rPr>
              <w:t>（5）合同内容变更；</w:t>
            </w:r>
          </w:p>
          <w:p>
            <w:pPr>
              <w:pStyle w:val="TableParagraph"/>
              <w:spacing w:before="37"/>
              <w:ind w:left="218"/>
              <w:rPr>
                <w:sz w:val="21"/>
              </w:rPr>
            </w:pPr>
            <w:r>
              <w:rPr>
                <w:sz w:val="21"/>
              </w:rPr>
              <w:t>（6）联系方式变更；</w:t>
            </w:r>
          </w:p>
          <w:p>
            <w:pPr>
              <w:pStyle w:val="TableParagraph"/>
              <w:spacing w:before="37"/>
              <w:ind w:left="218"/>
              <w:rPr>
                <w:sz w:val="21"/>
              </w:rPr>
            </w:pPr>
            <w:r>
              <w:rPr>
                <w:sz w:val="21"/>
              </w:rPr>
              <w:t>（7）争议处理。</w:t>
            </w:r>
          </w:p>
        </w:tc>
      </w:tr>
      <w:tr>
        <w:trPr>
          <w:trHeight w:val="598" w:hRule="atLeast"/>
        </w:trPr>
        <w:tc>
          <w:tcPr>
            <w:tcW w:w="852" w:type="dxa"/>
            <w:tcBorders>
              <w:bottom w:val="single" w:sz="8" w:space="0" w:color="000000"/>
            </w:tcBorders>
          </w:tcPr>
          <w:p>
            <w:pPr>
              <w:pStyle w:val="TableParagraph"/>
              <w:spacing w:before="33"/>
              <w:ind w:right="105"/>
              <w:jc w:val="right"/>
              <w:rPr>
                <w:rFonts w:ascii="Arial" w:hAnsi="Arial"/>
                <w:b/>
                <w:sz w:val="40"/>
              </w:rPr>
            </w:pPr>
            <w:r>
              <w:rPr>
                <w:rFonts w:ascii="Arial" w:hAnsi="Arial"/>
                <w:b/>
                <w:w w:val="119"/>
                <w:sz w:val="40"/>
              </w:rPr>
              <w:t></w:t>
            </w:r>
          </w:p>
        </w:tc>
        <w:tc>
          <w:tcPr>
            <w:tcW w:w="1803" w:type="dxa"/>
            <w:tcBorders>
              <w:bottom w:val="single" w:sz="8" w:space="0" w:color="000000"/>
            </w:tcBorders>
          </w:tcPr>
          <w:p>
            <w:pPr>
              <w:pStyle w:val="TableParagraph"/>
              <w:spacing w:before="84"/>
              <w:ind w:left="108"/>
              <w:rPr>
                <w:b/>
                <w:sz w:val="24"/>
              </w:rPr>
            </w:pPr>
            <w:r>
              <w:rPr>
                <w:b/>
                <w:sz w:val="24"/>
              </w:rPr>
              <w:t>释义</w:t>
            </w:r>
          </w:p>
        </w:tc>
        <w:tc>
          <w:tcPr>
            <w:tcW w:w="7425" w:type="dxa"/>
            <w:tcBorders>
              <w:bottom w:val="single" w:sz="8" w:space="0" w:color="000000"/>
            </w:tcBorders>
          </w:tcPr>
          <w:p>
            <w:pPr>
              <w:pStyle w:val="TableParagraph"/>
              <w:rPr>
                <w:rFonts w:ascii="Times New Roman"/>
                <w:sz w:val="20"/>
              </w:rPr>
            </w:pPr>
          </w:p>
        </w:tc>
      </w:tr>
      <w:tr>
        <w:trPr>
          <w:trHeight w:val="1092" w:hRule="atLeast"/>
        </w:trPr>
        <w:tc>
          <w:tcPr>
            <w:tcW w:w="852" w:type="dxa"/>
            <w:tcBorders>
              <w:top w:val="single" w:sz="8" w:space="0" w:color="000000"/>
            </w:tcBorders>
          </w:tcPr>
          <w:p>
            <w:pPr>
              <w:pStyle w:val="TableParagraph"/>
              <w:spacing w:before="5"/>
              <w:rPr>
                <w:sz w:val="22"/>
              </w:rPr>
            </w:pPr>
          </w:p>
          <w:p>
            <w:pPr>
              <w:pStyle w:val="TableParagraph"/>
              <w:ind w:right="105"/>
              <w:jc w:val="right"/>
              <w:rPr>
                <w:b/>
                <w:sz w:val="21"/>
              </w:rPr>
            </w:pPr>
            <w:r>
              <w:rPr>
                <w:b/>
                <w:sz w:val="21"/>
              </w:rPr>
              <w:t>7.1</w:t>
            </w:r>
          </w:p>
        </w:tc>
        <w:tc>
          <w:tcPr>
            <w:tcW w:w="1803" w:type="dxa"/>
            <w:tcBorders>
              <w:top w:val="single" w:sz="8" w:space="0" w:color="000000"/>
            </w:tcBorders>
          </w:tcPr>
          <w:p>
            <w:pPr>
              <w:pStyle w:val="TableParagraph"/>
              <w:spacing w:before="5"/>
              <w:rPr>
                <w:sz w:val="22"/>
              </w:rPr>
            </w:pPr>
          </w:p>
          <w:p>
            <w:pPr>
              <w:pStyle w:val="TableParagraph"/>
              <w:ind w:left="108"/>
              <w:rPr>
                <w:b/>
                <w:sz w:val="21"/>
              </w:rPr>
            </w:pPr>
            <w:r>
              <w:rPr>
                <w:b/>
                <w:sz w:val="21"/>
              </w:rPr>
              <w:t>周岁</w:t>
            </w:r>
          </w:p>
        </w:tc>
        <w:tc>
          <w:tcPr>
            <w:tcW w:w="7425" w:type="dxa"/>
            <w:tcBorders>
              <w:top w:val="single" w:sz="8" w:space="0" w:color="000000"/>
            </w:tcBorders>
          </w:tcPr>
          <w:p>
            <w:pPr>
              <w:pStyle w:val="TableParagraph"/>
              <w:spacing w:before="5"/>
              <w:rPr>
                <w:sz w:val="22"/>
              </w:rPr>
            </w:pPr>
          </w:p>
          <w:p>
            <w:pPr>
              <w:pStyle w:val="TableParagraph"/>
              <w:spacing w:line="273" w:lineRule="auto"/>
              <w:ind w:left="218" w:right="48"/>
              <w:rPr>
                <w:sz w:val="21"/>
              </w:rPr>
            </w:pPr>
            <w:r>
              <w:rPr>
                <w:sz w:val="21"/>
              </w:rPr>
              <w:t>指按有效身份证件中记载的出生日期计算的年龄，自出生之日起为零周岁，每经过一年增加一岁，不足一年的不计。</w:t>
            </w:r>
          </w:p>
        </w:tc>
      </w:tr>
      <w:tr>
        <w:trPr>
          <w:trHeight w:val="935" w:hRule="atLeast"/>
        </w:trPr>
        <w:tc>
          <w:tcPr>
            <w:tcW w:w="852" w:type="dxa"/>
          </w:tcPr>
          <w:p>
            <w:pPr>
              <w:pStyle w:val="TableParagraph"/>
              <w:spacing w:before="137"/>
              <w:ind w:right="105"/>
              <w:jc w:val="right"/>
              <w:rPr>
                <w:b/>
                <w:sz w:val="21"/>
              </w:rPr>
            </w:pPr>
            <w:r>
              <w:rPr>
                <w:b/>
                <w:sz w:val="21"/>
              </w:rPr>
              <w:t>7.2</w:t>
            </w:r>
          </w:p>
        </w:tc>
        <w:tc>
          <w:tcPr>
            <w:tcW w:w="1803" w:type="dxa"/>
          </w:tcPr>
          <w:p>
            <w:pPr>
              <w:pStyle w:val="TableParagraph"/>
              <w:spacing w:before="137"/>
              <w:ind w:left="108"/>
              <w:rPr>
                <w:b/>
                <w:sz w:val="21"/>
              </w:rPr>
            </w:pPr>
            <w:r>
              <w:rPr>
                <w:b/>
                <w:sz w:val="21"/>
              </w:rPr>
              <w:t>有效身份证件</w:t>
            </w:r>
          </w:p>
        </w:tc>
        <w:tc>
          <w:tcPr>
            <w:tcW w:w="7425" w:type="dxa"/>
          </w:tcPr>
          <w:p>
            <w:pPr>
              <w:pStyle w:val="TableParagraph"/>
              <w:spacing w:line="273" w:lineRule="auto" w:before="137"/>
              <w:ind w:left="218" w:right="65"/>
              <w:rPr>
                <w:sz w:val="21"/>
              </w:rPr>
            </w:pPr>
            <w:r>
              <w:rPr>
                <w:sz w:val="21"/>
              </w:rPr>
              <w:t>指由政府主管部门规定的证明其身份的证件，如：居民身份证、按规定可使用的有效护照、军官证、警官证、士兵证等证件。</w:t>
            </w:r>
          </w:p>
        </w:tc>
      </w:tr>
      <w:tr>
        <w:trPr>
          <w:trHeight w:val="729" w:hRule="atLeast"/>
        </w:trPr>
        <w:tc>
          <w:tcPr>
            <w:tcW w:w="852" w:type="dxa"/>
          </w:tcPr>
          <w:p>
            <w:pPr>
              <w:pStyle w:val="TableParagraph"/>
              <w:spacing w:before="137"/>
              <w:ind w:right="105"/>
              <w:jc w:val="right"/>
              <w:rPr>
                <w:b/>
                <w:sz w:val="21"/>
              </w:rPr>
            </w:pPr>
            <w:r>
              <w:rPr>
                <w:b/>
                <w:sz w:val="21"/>
              </w:rPr>
              <w:t>7.3</w:t>
            </w:r>
          </w:p>
        </w:tc>
        <w:tc>
          <w:tcPr>
            <w:tcW w:w="1803" w:type="dxa"/>
          </w:tcPr>
          <w:p>
            <w:pPr>
              <w:pStyle w:val="TableParagraph"/>
              <w:spacing w:before="137"/>
              <w:ind w:left="108"/>
              <w:rPr>
                <w:b/>
                <w:sz w:val="21"/>
              </w:rPr>
            </w:pPr>
            <w:r>
              <w:rPr>
                <w:b/>
                <w:sz w:val="21"/>
              </w:rPr>
              <w:t>连续投保</w:t>
            </w:r>
          </w:p>
        </w:tc>
        <w:tc>
          <w:tcPr>
            <w:tcW w:w="7425" w:type="dxa"/>
          </w:tcPr>
          <w:p>
            <w:pPr>
              <w:pStyle w:val="TableParagraph"/>
              <w:spacing w:line="310" w:lineRule="atLeast" w:before="102"/>
              <w:ind w:left="218" w:right="101"/>
              <w:rPr>
                <w:sz w:val="21"/>
              </w:rPr>
            </w:pPr>
            <w:r>
              <w:rPr>
                <w:spacing w:val="-6"/>
                <w:sz w:val="21"/>
              </w:rPr>
              <w:t>指投保人为被保险人续保同一险种，且续保保单的生效日为原保单到期日的次日。</w:t>
            </w:r>
          </w:p>
        </w:tc>
      </w:tr>
    </w:tbl>
    <w:p>
      <w:pPr>
        <w:spacing w:after="0" w:line="310" w:lineRule="atLeast"/>
        <w:rPr>
          <w:sz w:val="21"/>
        </w:rPr>
        <w:sectPr>
          <w:pgSz w:w="11910" w:h="16840"/>
          <w:pgMar w:top="1380" w:bottom="280" w:left="800" w:right="800"/>
        </w:sectPr>
      </w:pPr>
    </w:p>
    <w:p>
      <w:pPr>
        <w:pStyle w:val="BodyText"/>
        <w:spacing w:before="3"/>
        <w:ind w:left="0"/>
        <w:rPr>
          <w:rFonts w:ascii="Times New Roman"/>
          <w:sz w:val="9"/>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698"/>
        <w:gridCol w:w="7731"/>
      </w:tblGrid>
      <w:tr>
        <w:trPr>
          <w:trHeight w:val="417" w:hRule="atLeast"/>
        </w:trPr>
        <w:tc>
          <w:tcPr>
            <w:tcW w:w="625" w:type="dxa"/>
          </w:tcPr>
          <w:p>
            <w:pPr>
              <w:pStyle w:val="TableParagraph"/>
              <w:spacing w:line="211" w:lineRule="exact"/>
              <w:ind w:right="106"/>
              <w:jc w:val="right"/>
              <w:rPr>
                <w:b/>
                <w:sz w:val="21"/>
              </w:rPr>
            </w:pPr>
            <w:r>
              <w:rPr>
                <w:b/>
                <w:sz w:val="21"/>
              </w:rPr>
              <w:t>7.4</w:t>
            </w:r>
          </w:p>
        </w:tc>
        <w:tc>
          <w:tcPr>
            <w:tcW w:w="1698" w:type="dxa"/>
          </w:tcPr>
          <w:p>
            <w:pPr>
              <w:pStyle w:val="TableParagraph"/>
              <w:spacing w:line="211" w:lineRule="exact"/>
              <w:ind w:left="107"/>
              <w:rPr>
                <w:b/>
                <w:sz w:val="21"/>
              </w:rPr>
            </w:pPr>
            <w:r>
              <w:rPr>
                <w:b/>
                <w:sz w:val="21"/>
              </w:rPr>
              <w:t>意外伤害事故</w:t>
            </w:r>
          </w:p>
        </w:tc>
        <w:tc>
          <w:tcPr>
            <w:tcW w:w="7731" w:type="dxa"/>
          </w:tcPr>
          <w:p>
            <w:pPr>
              <w:pStyle w:val="TableParagraph"/>
              <w:spacing w:line="211" w:lineRule="exact"/>
              <w:ind w:left="323"/>
              <w:rPr>
                <w:sz w:val="21"/>
              </w:rPr>
            </w:pPr>
            <w:r>
              <w:rPr>
                <w:sz w:val="21"/>
              </w:rPr>
              <w:t>指外来的、非本意的、突发的、非疾病的使被保险人身体受到伤害的客观事件。</w:t>
            </w:r>
          </w:p>
        </w:tc>
      </w:tr>
      <w:tr>
        <w:trPr>
          <w:trHeight w:val="6865" w:hRule="atLeast"/>
        </w:trPr>
        <w:tc>
          <w:tcPr>
            <w:tcW w:w="625" w:type="dxa"/>
          </w:tcPr>
          <w:p>
            <w:pPr>
              <w:pStyle w:val="TableParagraph"/>
              <w:spacing w:before="142"/>
              <w:ind w:right="106"/>
              <w:jc w:val="right"/>
              <w:rPr>
                <w:b/>
                <w:sz w:val="21"/>
              </w:rPr>
            </w:pPr>
            <w:r>
              <w:rPr>
                <w:b/>
                <w:sz w:val="21"/>
              </w:rPr>
              <w:t>7.5</w:t>
            </w:r>
          </w:p>
        </w:tc>
        <w:tc>
          <w:tcPr>
            <w:tcW w:w="1698" w:type="dxa"/>
          </w:tcPr>
          <w:p>
            <w:pPr>
              <w:pStyle w:val="TableParagraph"/>
              <w:spacing w:before="142"/>
              <w:ind w:left="107"/>
              <w:rPr>
                <w:b/>
                <w:sz w:val="21"/>
              </w:rPr>
            </w:pPr>
            <w:r>
              <w:rPr>
                <w:b/>
                <w:sz w:val="21"/>
              </w:rPr>
              <w:t>全残</w:t>
            </w:r>
          </w:p>
        </w:tc>
        <w:tc>
          <w:tcPr>
            <w:tcW w:w="7731" w:type="dxa"/>
          </w:tcPr>
          <w:p>
            <w:pPr>
              <w:pStyle w:val="TableParagraph"/>
              <w:spacing w:before="142"/>
              <w:ind w:left="323"/>
              <w:rPr>
                <w:sz w:val="21"/>
              </w:rPr>
            </w:pPr>
            <w:r>
              <w:rPr>
                <w:sz w:val="21"/>
              </w:rPr>
              <w:t>指下列情形之一：</w:t>
            </w:r>
          </w:p>
          <w:p>
            <w:pPr>
              <w:pStyle w:val="TableParagraph"/>
              <w:spacing w:before="36"/>
              <w:ind w:left="323"/>
              <w:rPr>
                <w:sz w:val="21"/>
              </w:rPr>
            </w:pPr>
            <w:r>
              <w:rPr>
                <w:w w:val="100"/>
                <w:sz w:val="21"/>
              </w:rPr>
              <w:t>（1</w:t>
            </w:r>
            <w:r>
              <w:rPr>
                <w:spacing w:val="-3"/>
                <w:w w:val="100"/>
                <w:sz w:val="21"/>
              </w:rPr>
              <w:t>）双目永久完全失明的</w:t>
            </w:r>
            <w:r>
              <w:rPr>
                <w:w w:val="100"/>
                <w:sz w:val="21"/>
              </w:rPr>
              <w:t>（注</w:t>
            </w:r>
            <w:r>
              <w:rPr>
                <w:spacing w:val="-53"/>
                <w:sz w:val="21"/>
              </w:rPr>
              <w:t> </w:t>
            </w:r>
            <w:r>
              <w:rPr>
                <w:spacing w:val="-3"/>
                <w:w w:val="100"/>
                <w:sz w:val="21"/>
              </w:rPr>
              <w:t>1</w:t>
            </w:r>
            <w:r>
              <w:rPr>
                <w:spacing w:val="-106"/>
                <w:w w:val="100"/>
                <w:sz w:val="21"/>
              </w:rPr>
              <w:t>）；</w:t>
            </w:r>
          </w:p>
          <w:p>
            <w:pPr>
              <w:pStyle w:val="TableParagraph"/>
              <w:spacing w:before="36"/>
              <w:ind w:left="323"/>
              <w:rPr>
                <w:sz w:val="21"/>
              </w:rPr>
            </w:pPr>
            <w:r>
              <w:rPr>
                <w:sz w:val="21"/>
              </w:rPr>
              <w:t>（2）两上肢腕关节以上或两下肢踝关节以上缺失的；</w:t>
            </w:r>
          </w:p>
          <w:p>
            <w:pPr>
              <w:pStyle w:val="TableParagraph"/>
              <w:spacing w:before="36"/>
              <w:ind w:left="323"/>
              <w:rPr>
                <w:sz w:val="21"/>
              </w:rPr>
            </w:pPr>
            <w:r>
              <w:rPr>
                <w:sz w:val="21"/>
              </w:rPr>
              <w:t>（3）一上肢腕关节以上及一下肢踝关节以上缺失的；</w:t>
            </w:r>
          </w:p>
          <w:p>
            <w:pPr>
              <w:pStyle w:val="TableParagraph"/>
              <w:spacing w:before="36"/>
              <w:ind w:left="323"/>
              <w:rPr>
                <w:sz w:val="21"/>
              </w:rPr>
            </w:pPr>
            <w:r>
              <w:rPr>
                <w:sz w:val="21"/>
              </w:rPr>
              <w:t>（4）一目永久完全失明及一上肢腕关节以上缺失的；</w:t>
            </w:r>
          </w:p>
          <w:p>
            <w:pPr>
              <w:pStyle w:val="TableParagraph"/>
              <w:spacing w:before="36"/>
              <w:ind w:left="323"/>
              <w:rPr>
                <w:sz w:val="21"/>
              </w:rPr>
            </w:pPr>
            <w:r>
              <w:rPr>
                <w:sz w:val="21"/>
              </w:rPr>
              <w:t>（5）一目永久完全失明及一下肢踝关节以上缺失的；</w:t>
            </w:r>
          </w:p>
          <w:p>
            <w:pPr>
              <w:pStyle w:val="TableParagraph"/>
              <w:spacing w:before="36"/>
              <w:ind w:left="323"/>
              <w:rPr>
                <w:sz w:val="21"/>
              </w:rPr>
            </w:pPr>
            <w:r>
              <w:rPr>
                <w:w w:val="100"/>
                <w:sz w:val="21"/>
              </w:rPr>
              <w:t>（6</w:t>
            </w:r>
            <w:r>
              <w:rPr>
                <w:spacing w:val="-3"/>
                <w:w w:val="100"/>
                <w:sz w:val="21"/>
              </w:rPr>
              <w:t>）四肢关节机能永久完全丧失的（</w:t>
            </w:r>
            <w:r>
              <w:rPr>
                <w:w w:val="100"/>
                <w:sz w:val="21"/>
              </w:rPr>
              <w:t>注</w:t>
            </w:r>
            <w:r>
              <w:rPr>
                <w:spacing w:val="-53"/>
                <w:sz w:val="21"/>
              </w:rPr>
              <w:t> </w:t>
            </w:r>
            <w:r>
              <w:rPr>
                <w:spacing w:val="-3"/>
                <w:w w:val="100"/>
                <w:sz w:val="21"/>
              </w:rPr>
              <w:t>2</w:t>
            </w:r>
            <w:r>
              <w:rPr>
                <w:spacing w:val="-106"/>
                <w:w w:val="100"/>
                <w:sz w:val="21"/>
              </w:rPr>
              <w:t>）；</w:t>
            </w:r>
          </w:p>
          <w:p>
            <w:pPr>
              <w:pStyle w:val="TableParagraph"/>
              <w:spacing w:before="36"/>
              <w:ind w:left="323"/>
              <w:rPr>
                <w:sz w:val="21"/>
              </w:rPr>
            </w:pPr>
            <w:r>
              <w:rPr>
                <w:w w:val="100"/>
                <w:sz w:val="21"/>
              </w:rPr>
              <w:t>（7</w:t>
            </w:r>
            <w:r>
              <w:rPr>
                <w:spacing w:val="-3"/>
                <w:w w:val="100"/>
                <w:sz w:val="21"/>
              </w:rPr>
              <w:t>）咀嚼、吞咽机能永久完全丧失的（</w:t>
            </w:r>
            <w:r>
              <w:rPr>
                <w:w w:val="100"/>
                <w:sz w:val="21"/>
              </w:rPr>
              <w:t>注</w:t>
            </w:r>
            <w:r>
              <w:rPr>
                <w:spacing w:val="-53"/>
                <w:sz w:val="21"/>
              </w:rPr>
              <w:t> </w:t>
            </w:r>
            <w:r>
              <w:rPr>
                <w:w w:val="100"/>
                <w:sz w:val="21"/>
              </w:rPr>
              <w:t>3</w:t>
            </w:r>
            <w:r>
              <w:rPr>
                <w:spacing w:val="-108"/>
                <w:w w:val="100"/>
                <w:sz w:val="21"/>
              </w:rPr>
              <w:t>）；</w:t>
            </w:r>
          </w:p>
          <w:p>
            <w:pPr>
              <w:pStyle w:val="TableParagraph"/>
              <w:spacing w:line="273" w:lineRule="auto" w:before="36"/>
              <w:ind w:left="848" w:right="305" w:hanging="526"/>
              <w:rPr>
                <w:sz w:val="21"/>
              </w:rPr>
            </w:pPr>
            <w:r>
              <w:rPr>
                <w:sz w:val="21"/>
              </w:rPr>
              <w:t>（8）中枢神经系统机能或胸、腹部脏器机能极度障碍，终身不能从事任何工</w:t>
            </w:r>
            <w:r>
              <w:rPr>
                <w:spacing w:val="-3"/>
                <w:w w:val="100"/>
                <w:sz w:val="21"/>
              </w:rPr>
              <w:t>作，为维持生命必要的日常生活活动，全需他人扶助的（</w:t>
            </w:r>
            <w:r>
              <w:rPr>
                <w:w w:val="100"/>
                <w:sz w:val="21"/>
              </w:rPr>
              <w:t>注</w:t>
            </w:r>
            <w:r>
              <w:rPr>
                <w:spacing w:val="-53"/>
                <w:sz w:val="21"/>
              </w:rPr>
              <w:t> </w:t>
            </w:r>
            <w:r>
              <w:rPr>
                <w:spacing w:val="-3"/>
                <w:w w:val="100"/>
                <w:sz w:val="21"/>
              </w:rPr>
              <w:t>4</w:t>
            </w:r>
            <w:r>
              <w:rPr>
                <w:spacing w:val="-106"/>
                <w:w w:val="100"/>
                <w:sz w:val="21"/>
              </w:rPr>
              <w:t>）。</w:t>
            </w:r>
          </w:p>
          <w:p>
            <w:pPr>
              <w:pStyle w:val="TableParagraph"/>
              <w:spacing w:line="273" w:lineRule="auto" w:before="7"/>
              <w:ind w:left="1163" w:right="207" w:hanging="840"/>
              <w:rPr>
                <w:sz w:val="21"/>
              </w:rPr>
            </w:pPr>
            <w:r>
              <w:rPr>
                <w:w w:val="100"/>
                <w:sz w:val="21"/>
              </w:rPr>
              <w:t>（注</w:t>
            </w:r>
            <w:r>
              <w:rPr>
                <w:spacing w:val="-53"/>
                <w:sz w:val="21"/>
              </w:rPr>
              <w:t> </w:t>
            </w:r>
            <w:r>
              <w:rPr>
                <w:spacing w:val="-3"/>
                <w:w w:val="100"/>
                <w:sz w:val="21"/>
              </w:rPr>
              <w:t>1</w:t>
            </w:r>
            <w:r>
              <w:rPr>
                <w:spacing w:val="-106"/>
                <w:w w:val="100"/>
                <w:sz w:val="21"/>
              </w:rPr>
              <w:t>）</w:t>
            </w:r>
            <w:r>
              <w:rPr>
                <w:spacing w:val="-11"/>
                <w:w w:val="100"/>
                <w:sz w:val="21"/>
              </w:rPr>
              <w:t>：失明：包括眼球缺失或摘除、或不能辨别明暗、或仅能辨别眼前手动</w:t>
            </w:r>
            <w:r>
              <w:rPr>
                <w:spacing w:val="-9"/>
                <w:sz w:val="21"/>
              </w:rPr>
              <w:t>者，最佳矫正视力低于国际标准视力表 </w:t>
            </w:r>
            <w:r>
              <w:rPr>
                <w:sz w:val="21"/>
              </w:rPr>
              <w:t>0.02</w:t>
            </w:r>
            <w:r>
              <w:rPr>
                <w:spacing w:val="-8"/>
                <w:sz w:val="21"/>
              </w:rPr>
              <w:t>，或视野半径小于 </w:t>
            </w:r>
            <w:r>
              <w:rPr>
                <w:sz w:val="21"/>
              </w:rPr>
              <w:t>5</w:t>
            </w:r>
            <w:r>
              <w:rPr>
                <w:spacing w:val="-15"/>
                <w:sz w:val="21"/>
              </w:rPr>
              <w:t> 度， </w:t>
            </w:r>
            <w:r>
              <w:rPr>
                <w:spacing w:val="-7"/>
                <w:sz w:val="21"/>
              </w:rPr>
              <w:t>并由保险公司指定有资格的眼科医师出具医疗诊断证明。</w:t>
            </w:r>
          </w:p>
          <w:p>
            <w:pPr>
              <w:pStyle w:val="TableParagraph"/>
              <w:spacing w:line="273" w:lineRule="auto" w:before="7"/>
              <w:ind w:left="1163" w:right="303" w:hanging="840"/>
              <w:rPr>
                <w:sz w:val="21"/>
              </w:rPr>
            </w:pPr>
            <w:r>
              <w:rPr>
                <w:w w:val="100"/>
                <w:sz w:val="21"/>
              </w:rPr>
              <w:t>（注</w:t>
            </w:r>
            <w:r>
              <w:rPr>
                <w:spacing w:val="-53"/>
                <w:sz w:val="21"/>
              </w:rPr>
              <w:t> </w:t>
            </w:r>
            <w:r>
              <w:rPr>
                <w:spacing w:val="-3"/>
                <w:w w:val="100"/>
                <w:sz w:val="21"/>
              </w:rPr>
              <w:t>2</w:t>
            </w:r>
            <w:r>
              <w:rPr>
                <w:spacing w:val="-106"/>
                <w:w w:val="100"/>
                <w:sz w:val="21"/>
              </w:rPr>
              <w:t>）</w:t>
            </w:r>
            <w:r>
              <w:rPr>
                <w:spacing w:val="-11"/>
                <w:w w:val="100"/>
                <w:sz w:val="21"/>
              </w:rPr>
              <w:t>：关节机能的丧失：指关节永久完全僵硬、或麻痹、或关节不能随意识</w:t>
            </w:r>
            <w:r>
              <w:rPr>
                <w:spacing w:val="-11"/>
                <w:sz w:val="21"/>
              </w:rPr>
              <w:t>活动。</w:t>
            </w:r>
          </w:p>
          <w:p>
            <w:pPr>
              <w:pStyle w:val="TableParagraph"/>
              <w:spacing w:line="273" w:lineRule="auto" w:before="7"/>
              <w:ind w:left="1163" w:right="303" w:hanging="840"/>
              <w:jc w:val="both"/>
              <w:rPr>
                <w:sz w:val="21"/>
              </w:rPr>
            </w:pPr>
            <w:r>
              <w:rPr>
                <w:w w:val="100"/>
                <w:sz w:val="21"/>
              </w:rPr>
              <w:t>（注</w:t>
            </w:r>
            <w:r>
              <w:rPr>
                <w:spacing w:val="-53"/>
                <w:sz w:val="21"/>
              </w:rPr>
              <w:t> </w:t>
            </w:r>
            <w:r>
              <w:rPr>
                <w:spacing w:val="-3"/>
                <w:w w:val="100"/>
                <w:sz w:val="21"/>
              </w:rPr>
              <w:t>3</w:t>
            </w:r>
            <w:r>
              <w:rPr>
                <w:spacing w:val="-106"/>
                <w:w w:val="100"/>
                <w:sz w:val="21"/>
              </w:rPr>
              <w:t>）</w:t>
            </w:r>
            <w:r>
              <w:rPr>
                <w:spacing w:val="-11"/>
                <w:w w:val="100"/>
                <w:sz w:val="21"/>
              </w:rPr>
              <w:t>：咀嚼、吞咽机能的丧失：指由于牙齿以外的原因引起器质障碍或机能</w:t>
            </w:r>
            <w:r>
              <w:rPr>
                <w:spacing w:val="-9"/>
                <w:sz w:val="21"/>
              </w:rPr>
              <w:t>障碍，以致不能作咀嚼、吞咽运动，除流质食物外不能摄取或吞咽的状态。</w:t>
            </w:r>
          </w:p>
          <w:p>
            <w:pPr>
              <w:pStyle w:val="TableParagraph"/>
              <w:spacing w:line="273" w:lineRule="auto" w:before="7"/>
              <w:ind w:left="1163" w:right="303" w:hanging="840"/>
              <w:jc w:val="both"/>
              <w:rPr>
                <w:sz w:val="21"/>
              </w:rPr>
            </w:pPr>
            <w:r>
              <w:rPr>
                <w:w w:val="100"/>
                <w:sz w:val="21"/>
              </w:rPr>
              <w:t>（注</w:t>
            </w:r>
            <w:r>
              <w:rPr>
                <w:spacing w:val="-53"/>
                <w:sz w:val="21"/>
              </w:rPr>
              <w:t> </w:t>
            </w:r>
            <w:r>
              <w:rPr>
                <w:spacing w:val="-3"/>
                <w:w w:val="100"/>
                <w:sz w:val="21"/>
              </w:rPr>
              <w:t>4</w:t>
            </w:r>
            <w:r>
              <w:rPr>
                <w:spacing w:val="-106"/>
                <w:w w:val="100"/>
                <w:sz w:val="21"/>
              </w:rPr>
              <w:t>）</w:t>
            </w:r>
            <w:r>
              <w:rPr>
                <w:spacing w:val="-11"/>
                <w:w w:val="100"/>
                <w:sz w:val="21"/>
              </w:rPr>
              <w:t>：为维持生命必要之日常生活活动，全需他人扶助：指食物摄取、大小</w:t>
            </w:r>
            <w:r>
              <w:rPr>
                <w:spacing w:val="-10"/>
                <w:sz w:val="21"/>
              </w:rPr>
              <w:t>便始末、穿脱衣服、起居、步行、入浴等，皆不能自理，需要他人帮助。</w:t>
            </w:r>
          </w:p>
        </w:tc>
      </w:tr>
      <w:tr>
        <w:trPr>
          <w:trHeight w:val="6658" w:hRule="atLeast"/>
        </w:trPr>
        <w:tc>
          <w:tcPr>
            <w:tcW w:w="625" w:type="dxa"/>
          </w:tcPr>
          <w:p>
            <w:pPr>
              <w:pStyle w:val="TableParagraph"/>
              <w:spacing w:before="142"/>
              <w:ind w:right="106"/>
              <w:jc w:val="right"/>
              <w:rPr>
                <w:b/>
                <w:sz w:val="21"/>
              </w:rPr>
            </w:pPr>
            <w:r>
              <w:rPr>
                <w:b/>
                <w:sz w:val="21"/>
              </w:rPr>
              <w:t>7.6</w:t>
            </w:r>
          </w:p>
        </w:tc>
        <w:tc>
          <w:tcPr>
            <w:tcW w:w="1698" w:type="dxa"/>
          </w:tcPr>
          <w:p>
            <w:pPr>
              <w:pStyle w:val="TableParagraph"/>
              <w:spacing w:before="142"/>
              <w:ind w:left="107"/>
              <w:rPr>
                <w:b/>
                <w:sz w:val="21"/>
              </w:rPr>
            </w:pPr>
            <w:r>
              <w:rPr>
                <w:b/>
                <w:sz w:val="21"/>
              </w:rPr>
              <w:t>重大疾病</w:t>
            </w:r>
          </w:p>
        </w:tc>
        <w:tc>
          <w:tcPr>
            <w:tcW w:w="7731" w:type="dxa"/>
          </w:tcPr>
          <w:p>
            <w:pPr>
              <w:pStyle w:val="TableParagraph"/>
              <w:spacing w:line="273" w:lineRule="auto" w:before="142"/>
              <w:ind w:left="323" w:right="468"/>
              <w:rPr>
                <w:sz w:val="21"/>
              </w:rPr>
            </w:pPr>
            <w:r>
              <w:rPr>
                <w:sz w:val="21"/>
              </w:rPr>
              <w:t>以下重大疾病定义是由中国保险行业协会与中国医师协会共同制定的重大疾病保险的疾病定义。</w:t>
            </w:r>
          </w:p>
          <w:p>
            <w:pPr>
              <w:pStyle w:val="TableParagraph"/>
              <w:spacing w:before="8"/>
              <w:rPr>
                <w:rFonts w:ascii="Times New Roman"/>
                <w:sz w:val="27"/>
              </w:rPr>
            </w:pPr>
          </w:p>
          <w:p>
            <w:pPr>
              <w:pStyle w:val="TableParagraph"/>
              <w:ind w:left="323"/>
              <w:rPr>
                <w:b/>
                <w:sz w:val="21"/>
              </w:rPr>
            </w:pPr>
            <w:r>
              <w:rPr>
                <w:b/>
                <w:sz w:val="21"/>
              </w:rPr>
              <w:t>（一）恶性肿瘤</w:t>
            </w:r>
          </w:p>
          <w:p>
            <w:pPr>
              <w:pStyle w:val="TableParagraph"/>
              <w:spacing w:line="273" w:lineRule="auto" w:before="36"/>
              <w:ind w:left="323" w:right="303"/>
              <w:jc w:val="both"/>
              <w:rPr>
                <w:sz w:val="21"/>
              </w:rPr>
            </w:pPr>
            <w:r>
              <w:rPr>
                <w:spacing w:val="-5"/>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6"/>
                <w:sz w:val="21"/>
              </w:rPr>
              <w:t>诊断，临床诊断属于世界卫生组织《疾病和有关健康问题的国际统计分类</w:t>
            </w:r>
          </w:p>
          <w:p>
            <w:pPr>
              <w:pStyle w:val="TableParagraph"/>
              <w:spacing w:line="273" w:lineRule="auto" w:before="7"/>
              <w:ind w:left="323" w:right="4568"/>
              <w:rPr>
                <w:sz w:val="21"/>
              </w:rPr>
            </w:pPr>
            <w:r>
              <w:rPr>
                <w:w w:val="100"/>
                <w:sz w:val="21"/>
              </w:rPr>
              <w:t>（ICD</w:t>
            </w:r>
            <w:r>
              <w:rPr>
                <w:spacing w:val="-3"/>
                <w:w w:val="100"/>
                <w:sz w:val="21"/>
              </w:rPr>
              <w:t>-</w:t>
            </w:r>
            <w:r>
              <w:rPr>
                <w:w w:val="100"/>
                <w:sz w:val="21"/>
              </w:rPr>
              <w:t>10</w:t>
            </w:r>
            <w:r>
              <w:rPr>
                <w:spacing w:val="-108"/>
                <w:w w:val="100"/>
                <w:sz w:val="21"/>
              </w:rPr>
              <w:t>）</w:t>
            </w:r>
            <w:r>
              <w:rPr>
                <w:spacing w:val="-3"/>
                <w:w w:val="100"/>
                <w:sz w:val="21"/>
              </w:rPr>
              <w:t>》的恶性肿瘤范畴。</w:t>
            </w:r>
            <w:r>
              <w:rPr>
                <w:spacing w:val="-3"/>
                <w:sz w:val="21"/>
              </w:rPr>
              <w:t>下列疾病不在保障范围内：</w:t>
            </w:r>
          </w:p>
          <w:p>
            <w:pPr>
              <w:pStyle w:val="TableParagraph"/>
              <w:spacing w:before="8"/>
              <w:ind w:left="323"/>
              <w:jc w:val="both"/>
              <w:rPr>
                <w:sz w:val="21"/>
              </w:rPr>
            </w:pPr>
            <w:r>
              <w:rPr>
                <w:sz w:val="21"/>
              </w:rPr>
              <w:t>（1）原位癌；</w:t>
            </w:r>
          </w:p>
          <w:p>
            <w:pPr>
              <w:pStyle w:val="TableParagraph"/>
              <w:spacing w:before="37"/>
              <w:ind w:left="323"/>
              <w:jc w:val="both"/>
              <w:rPr>
                <w:sz w:val="21"/>
              </w:rPr>
            </w:pPr>
            <w:r>
              <w:rPr>
                <w:sz w:val="21"/>
              </w:rPr>
              <w:t>（2）相当于 Binet 分期方案 A 期程度的慢性淋巴细胞白血病；</w:t>
            </w:r>
          </w:p>
          <w:p>
            <w:pPr>
              <w:pStyle w:val="TableParagraph"/>
              <w:spacing w:before="37"/>
              <w:ind w:left="323"/>
              <w:jc w:val="both"/>
              <w:rPr>
                <w:sz w:val="21"/>
              </w:rPr>
            </w:pPr>
            <w:r>
              <w:rPr>
                <w:sz w:val="21"/>
              </w:rPr>
              <w:t>（3）相当于 Ann Arbor 分期方案 I 期程度的何杰金氏病；</w:t>
            </w:r>
          </w:p>
          <w:p>
            <w:pPr>
              <w:pStyle w:val="TableParagraph"/>
              <w:spacing w:before="37"/>
              <w:ind w:left="323"/>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323"/>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323"/>
              <w:jc w:val="both"/>
              <w:rPr>
                <w:sz w:val="21"/>
              </w:rPr>
            </w:pPr>
            <w:r>
              <w:rPr>
                <w:sz w:val="21"/>
              </w:rPr>
              <w:t>（6）感染艾滋病病毒或患艾滋病期间所患恶性肿瘤。</w:t>
            </w:r>
          </w:p>
          <w:p>
            <w:pPr>
              <w:pStyle w:val="TableParagraph"/>
              <w:rPr>
                <w:rFonts w:ascii="Times New Roman"/>
                <w:sz w:val="20"/>
              </w:rPr>
            </w:pPr>
          </w:p>
          <w:p>
            <w:pPr>
              <w:pStyle w:val="TableParagraph"/>
              <w:spacing w:before="119"/>
              <w:ind w:left="323"/>
              <w:jc w:val="both"/>
              <w:rPr>
                <w:b/>
                <w:sz w:val="21"/>
              </w:rPr>
            </w:pPr>
            <w:r>
              <w:rPr>
                <w:b/>
                <w:sz w:val="21"/>
              </w:rPr>
              <w:t>（二）急性心肌梗塞</w:t>
            </w:r>
          </w:p>
          <w:p>
            <w:pPr>
              <w:pStyle w:val="TableParagraph"/>
              <w:spacing w:line="273" w:lineRule="auto" w:before="37"/>
              <w:ind w:left="323" w:right="249"/>
              <w:rPr>
                <w:sz w:val="21"/>
              </w:rPr>
            </w:pPr>
            <w:r>
              <w:rPr>
                <w:sz w:val="21"/>
              </w:rPr>
              <w:t>指因冠状动脉阻塞导致的相应区域供血不足造成部分心肌坏死。须满足下列至少三项条件：</w:t>
            </w:r>
          </w:p>
          <w:p>
            <w:pPr>
              <w:pStyle w:val="TableParagraph"/>
              <w:spacing w:before="8"/>
              <w:ind w:left="323"/>
              <w:jc w:val="both"/>
              <w:rPr>
                <w:sz w:val="21"/>
              </w:rPr>
            </w:pPr>
            <w:r>
              <w:rPr>
                <w:sz w:val="21"/>
              </w:rPr>
              <w:t>（1）典型临床表现，例如急性胸痛等；</w:t>
            </w:r>
          </w:p>
          <w:p>
            <w:pPr>
              <w:pStyle w:val="TableParagraph"/>
              <w:spacing w:line="255" w:lineRule="exact" w:before="37"/>
              <w:ind w:left="323"/>
              <w:jc w:val="both"/>
              <w:rPr>
                <w:sz w:val="21"/>
              </w:rPr>
            </w:pPr>
            <w:r>
              <w:rPr>
                <w:sz w:val="21"/>
              </w:rPr>
              <w:t>（2）新近的心电图改变提示急性心肌梗塞；</w:t>
            </w:r>
          </w:p>
        </w:tc>
      </w:tr>
    </w:tbl>
    <w:p>
      <w:pPr>
        <w:spacing w:after="0" w:line="255" w:lineRule="exact"/>
        <w:jc w:val="both"/>
        <w:rPr>
          <w:sz w:val="21"/>
        </w:rPr>
        <w:sectPr>
          <w:pgSz w:w="11910" w:h="16840"/>
          <w:pgMar w:top="1580" w:bottom="280" w:left="1020" w:right="600"/>
        </w:sectPr>
      </w:pPr>
    </w:p>
    <w:p>
      <w:pPr>
        <w:pStyle w:val="BodyText"/>
        <w:spacing w:line="273" w:lineRule="auto" w:before="10"/>
        <w:ind w:left="2631" w:right="217" w:hanging="526"/>
      </w:pPr>
      <w:r>
        <w:rPr/>
        <w:t>（3）心肌酶或肌钙蛋白有诊断意义的升高，或呈符合急性心肌梗塞的动态性变化；</w:t>
      </w:r>
    </w:p>
    <w:p>
      <w:pPr>
        <w:pStyle w:val="BodyText"/>
        <w:spacing w:before="7"/>
      </w:pPr>
      <w:r>
        <w:rPr>
          <w:spacing w:val="-12"/>
        </w:rPr>
        <w:t>（4）</w:t>
      </w:r>
      <w:r>
        <w:rPr>
          <w:spacing w:val="-14"/>
        </w:rPr>
        <w:t>发病 </w:t>
      </w:r>
      <w:r>
        <w:rPr/>
        <w:t>90</w:t>
      </w:r>
      <w:r>
        <w:rPr>
          <w:spacing w:val="-14"/>
        </w:rPr>
        <w:t> 天后，经检查证实左心室功能降低，如左心室射血分数低于 </w:t>
      </w:r>
      <w:r>
        <w:rPr/>
        <w:t>50%。</w:t>
      </w:r>
    </w:p>
    <w:p>
      <w:pPr>
        <w:pStyle w:val="BodyText"/>
        <w:spacing w:before="8"/>
        <w:ind w:left="0"/>
        <w:rPr>
          <w:sz w:val="26"/>
        </w:rPr>
      </w:pPr>
    </w:p>
    <w:p>
      <w:pPr>
        <w:pStyle w:val="Heading2"/>
        <w:spacing w:before="1"/>
      </w:pPr>
      <w:r>
        <w:rPr/>
        <w:t>（三）脑中风后遗症</w:t>
      </w:r>
    </w:p>
    <w:p>
      <w:pPr>
        <w:pStyle w:val="BodyText"/>
        <w:spacing w:line="273" w:lineRule="auto"/>
        <w:ind w:right="215"/>
        <w:jc w:val="both"/>
      </w:pPr>
      <w:r>
        <w:rPr>
          <w:spacing w:val="-5"/>
        </w:rPr>
        <w:t>指因脑血管的突发病变引起脑血管出血、栓塞或梗塞，并导致神经系统永久性</w:t>
      </w:r>
      <w:r>
        <w:rPr>
          <w:spacing w:val="-9"/>
        </w:rPr>
        <w:t>的功能障碍。神经系统永久性的功能障碍，指疾病确诊 </w:t>
      </w:r>
      <w:r>
        <w:rPr/>
        <w:t>180</w:t>
      </w:r>
      <w:r>
        <w:rPr>
          <w:spacing w:val="-9"/>
        </w:rPr>
        <w:t> 天后，仍遗留下列</w:t>
      </w:r>
      <w:r>
        <w:rPr>
          <w:spacing w:val="-5"/>
        </w:rPr>
        <w:t>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2631" w:right="217" w:hanging="526"/>
      </w:pPr>
      <w:r>
        <w:rPr/>
        <w:t>（3）自主生活能力完全丧失，无法独立完成六项基本日常生活活动中的三项或三项以上。</w:t>
      </w:r>
    </w:p>
    <w:p>
      <w:pPr>
        <w:pStyle w:val="BodyText"/>
        <w:spacing w:before="5"/>
        <w:ind w:left="0"/>
        <w:rPr>
          <w:sz w:val="24"/>
        </w:rPr>
      </w:pPr>
    </w:p>
    <w:p>
      <w:pPr>
        <w:pStyle w:val="Heading2"/>
        <w:spacing w:before="1"/>
      </w:pPr>
      <w:r>
        <w:rPr/>
        <w:t>（四）重大器官移植术或造血干细胞移植术</w:t>
      </w:r>
    </w:p>
    <w:p>
      <w:pPr>
        <w:pStyle w:val="BodyText"/>
        <w:spacing w:line="273" w:lineRule="auto"/>
        <w:ind w:right="218"/>
      </w:pPr>
      <w:r>
        <w:rPr>
          <w:spacing w:val="-8"/>
        </w:rPr>
        <w:t>重大器官移植术，指因相应器官功能衰竭，已经实施了肾脏、肝脏、心脏或肺</w:t>
      </w:r>
      <w:r>
        <w:rPr>
          <w:spacing w:val="-5"/>
        </w:rPr>
        <w:t>脏的异体移植手术。</w:t>
      </w:r>
    </w:p>
    <w:p>
      <w:pPr>
        <w:pStyle w:val="BodyText"/>
        <w:spacing w:line="273" w:lineRule="auto" w:before="7"/>
        <w:ind w:right="215"/>
        <w:jc w:val="both"/>
      </w:pPr>
      <w:r>
        <w:rPr>
          <w:spacing w:val="-6"/>
        </w:rPr>
        <w:t>造血干细胞移植术，指因造血功能损害或造血系统恶性肿瘤，已经实施了造血</w:t>
      </w:r>
      <w:r>
        <w:rPr>
          <w:spacing w:val="-10"/>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5"/>
        <w:ind w:left="0"/>
        <w:rPr>
          <w:sz w:val="24"/>
        </w:rPr>
      </w:pPr>
    </w:p>
    <w:p>
      <w:pPr>
        <w:pStyle w:val="Heading2"/>
      </w:pPr>
      <w:r>
        <w:rPr/>
        <w:t>（五）冠状动脉搭桥术（或称冠状动脉旁路移植术）</w:t>
      </w:r>
    </w:p>
    <w:p>
      <w:pPr>
        <w:pStyle w:val="BodyText"/>
        <w:spacing w:line="273" w:lineRule="auto"/>
        <w:ind w:right="220"/>
      </w:pPr>
      <w:r>
        <w:rPr/>
        <w:t>指为治疗严重的冠心病，实际实施了开胸进行的冠状动脉血管旁路移植的手术。</w:t>
      </w:r>
    </w:p>
    <w:p>
      <w:pPr>
        <w:pStyle w:val="BodyText"/>
        <w:spacing w:line="273" w:lineRule="auto" w:before="8"/>
        <w:ind w:right="183"/>
      </w:pPr>
      <w:r>
        <w:rPr/>
        <w:t>冠状动脉支架植入手术、心导管球囊扩张术、激光射频技术及其他非开胸的介入手术、腔镜手术不在保障范围内。</w:t>
      </w:r>
    </w:p>
    <w:p>
      <w:pPr>
        <w:pStyle w:val="BodyText"/>
        <w:spacing w:before="5"/>
        <w:ind w:left="0"/>
        <w:rPr>
          <w:sz w:val="24"/>
        </w:rPr>
      </w:pPr>
    </w:p>
    <w:p>
      <w:pPr>
        <w:pStyle w:val="Heading2"/>
      </w:pPr>
      <w:r>
        <w:rPr/>
        <w:t>（六）终末期肾病（或称慢性肾功能衰竭尿毒症期）</w:t>
      </w:r>
    </w:p>
    <w:p>
      <w:pPr>
        <w:pStyle w:val="BodyText"/>
        <w:spacing w:line="273" w:lineRule="auto" w:before="36"/>
        <w:ind w:right="213"/>
      </w:pPr>
      <w:r>
        <w:rPr/>
        <w:t>指双肾功能慢性不可逆性衰竭，达到尿毒症期，经诊断后已经进行了至少 90 天的规律性透析治疗或实施了肾脏移植手术。</w:t>
      </w:r>
    </w:p>
    <w:p>
      <w:pPr>
        <w:pStyle w:val="BodyText"/>
        <w:spacing w:before="4"/>
        <w:ind w:left="0"/>
        <w:rPr>
          <w:sz w:val="24"/>
        </w:rPr>
      </w:pPr>
    </w:p>
    <w:p>
      <w:pPr>
        <w:pStyle w:val="Heading2"/>
        <w:spacing w:before="1"/>
      </w:pPr>
      <w:r>
        <w:rPr/>
        <w:t>（七）多个肢体缺失</w:t>
      </w:r>
    </w:p>
    <w:p>
      <w:pPr>
        <w:pStyle w:val="BodyText"/>
        <w:spacing w:line="273" w:lineRule="auto"/>
        <w:ind w:right="159"/>
      </w:pPr>
      <w:r>
        <w:rPr/>
        <w:t>指因疾病或意外伤害导致两个或两个以上肢体自腕关节或踝关节近端（靠近躯干端）以上完全性断离。</w:t>
      </w:r>
    </w:p>
    <w:p>
      <w:pPr>
        <w:pStyle w:val="BodyText"/>
        <w:spacing w:before="6"/>
        <w:ind w:left="0"/>
        <w:rPr>
          <w:sz w:val="24"/>
        </w:rPr>
      </w:pPr>
    </w:p>
    <w:p>
      <w:pPr>
        <w:pStyle w:val="Heading2"/>
      </w:pPr>
      <w:r>
        <w:rPr/>
        <w:t>（八）急性或亚急性重症肝炎</w:t>
      </w:r>
    </w:p>
    <w:p>
      <w:pPr>
        <w:pStyle w:val="BodyText"/>
        <w:spacing w:line="273" w:lineRule="auto"/>
        <w:ind w:right="166"/>
      </w:pPr>
      <w:r>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before="8"/>
        <w:ind w:left="0"/>
        <w:rPr>
          <w:sz w:val="26"/>
        </w:rPr>
      </w:pPr>
    </w:p>
    <w:p>
      <w:pPr>
        <w:pStyle w:val="Heading2"/>
      </w:pPr>
      <w:r>
        <w:rPr/>
        <w:t>（九）良性脑肿瘤</w:t>
      </w:r>
    </w:p>
    <w:p>
      <w:pPr>
        <w:pStyle w:val="BodyText"/>
        <w:spacing w:line="273" w:lineRule="auto" w:before="36"/>
        <w:ind w:right="213"/>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spacing w:val="-3"/>
          <w:w w:val="100"/>
        </w:rPr>
        <w:t>C</w:t>
      </w:r>
      <w:r>
        <w:rPr>
          <w:spacing w:val="1"/>
          <w:w w:val="100"/>
        </w:rPr>
        <w:t>T</w:t>
      </w:r>
      <w:r>
        <w:rPr>
          <w:spacing w:val="-106"/>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p>
    <w:p>
      <w:pPr>
        <w:spacing w:after="0" w:line="273" w:lineRule="auto"/>
        <w:jc w:val="both"/>
        <w:sectPr>
          <w:pgSz w:w="11910" w:h="16840"/>
          <w:pgMar w:top="1300" w:bottom="280" w:left="1680" w:right="800"/>
        </w:sectPr>
      </w:pPr>
    </w:p>
    <w:p>
      <w:pPr>
        <w:pStyle w:val="BodyText"/>
        <w:spacing w:before="10"/>
      </w:pPr>
      <w:r>
        <w:rPr/>
        <w:t>列至少一项条件：</w:t>
      </w:r>
    </w:p>
    <w:p>
      <w:pPr>
        <w:pStyle w:val="BodyText"/>
      </w:pPr>
      <w:r>
        <w:rPr/>
        <w:t>（1）实际实施了开颅进行的脑肿瘤完全切除或部分切除的手术；</w:t>
      </w:r>
    </w:p>
    <w:p>
      <w:pPr>
        <w:pStyle w:val="BodyText"/>
      </w:pPr>
      <w:r>
        <w:rPr/>
        <w:t>（2）实际实施了对脑肿瘤进行的放射治疗。</w:t>
      </w:r>
    </w:p>
    <w:p>
      <w:pPr>
        <w:pStyle w:val="BodyText"/>
      </w:pPr>
      <w:r>
        <w:rPr/>
        <w:t>脑垂体瘤、脑囊肿、脑血管性疾病不在保障范围内。</w:t>
      </w:r>
    </w:p>
    <w:p>
      <w:pPr>
        <w:pStyle w:val="BodyText"/>
        <w:spacing w:before="9"/>
        <w:ind w:left="0"/>
        <w:rPr>
          <w:sz w:val="26"/>
        </w:rPr>
      </w:pPr>
    </w:p>
    <w:p>
      <w:pPr>
        <w:pStyle w:val="Heading2"/>
      </w:pPr>
      <w:r>
        <w:rPr/>
        <w:t>（十）慢性肝功能衰竭失代偿期</w:t>
      </w:r>
    </w:p>
    <w:p>
      <w:pPr>
        <w:pStyle w:val="BodyText"/>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pStyle w:val="BodyText"/>
        <w:spacing w:line="273" w:lineRule="auto"/>
        <w:ind w:right="2109"/>
      </w:pPr>
      <w:r>
        <w:rPr/>
        <w:t>（4）充血性脾肿大伴脾功能亢进或食管胃底静脉曲张。因酗酒或药物滥用导致的肝功能衰竭不在保障范围内。</w:t>
      </w:r>
    </w:p>
    <w:p>
      <w:pPr>
        <w:pStyle w:val="BodyText"/>
        <w:spacing w:before="6"/>
        <w:ind w:left="0"/>
        <w:rPr>
          <w:sz w:val="24"/>
        </w:rPr>
      </w:pPr>
    </w:p>
    <w:p>
      <w:pPr>
        <w:pStyle w:val="Heading2"/>
      </w:pPr>
      <w:r>
        <w:rPr/>
        <w:t>（十一）脑炎后遗症或脑膜炎后遗症</w:t>
      </w:r>
    </w:p>
    <w:p>
      <w:pPr>
        <w:pStyle w:val="BodyText"/>
        <w:spacing w:line="273" w:lineRule="auto"/>
        <w:ind w:right="108"/>
      </w:pPr>
      <w:r>
        <w:rPr/>
        <w:t>指因患脑炎或脑膜炎导致的神经系统永久性的功能障碍。神经系统永久性的功能障碍，指疾病首次确诊 180 天后，仍残留下列一种或一种以上障碍：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left="2631" w:right="157" w:hanging="526"/>
      </w:pPr>
      <w:r>
        <w:rPr/>
        <w:t>（3）自主生活能力完全丧失，无法独立完成六项基本日常生活活动中的三项或三项以上。</w:t>
      </w:r>
    </w:p>
    <w:p>
      <w:pPr>
        <w:pStyle w:val="BodyText"/>
        <w:spacing w:before="5"/>
        <w:ind w:left="0"/>
        <w:rPr>
          <w:sz w:val="24"/>
        </w:rPr>
      </w:pPr>
    </w:p>
    <w:p>
      <w:pPr>
        <w:pStyle w:val="Heading2"/>
        <w:spacing w:before="1"/>
      </w:pPr>
      <w:r>
        <w:rPr/>
        <w:t>（十二）深度昏迷</w:t>
      </w:r>
    </w:p>
    <w:p>
      <w:pPr>
        <w:pStyle w:val="BodyText"/>
        <w:spacing w:line="273" w:lineRule="auto"/>
        <w:ind w:right="155"/>
        <w:jc w:val="both"/>
      </w:pPr>
      <w:r>
        <w:rPr/>
        <w:t>指因疾病或意外伤害导致意识丧失,对外界刺激和体内需求均无反应，昏迷程</w:t>
      </w:r>
      <w:r>
        <w:rPr>
          <w:spacing w:val="-3"/>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7"/>
      </w:pPr>
      <w:r>
        <w:rPr/>
        <w:t>由于酗酒或药物滥用导致的深度昏迷不在保障范围内。</w:t>
      </w:r>
    </w:p>
    <w:p>
      <w:pPr>
        <w:pStyle w:val="BodyText"/>
        <w:spacing w:before="8"/>
        <w:ind w:left="0"/>
        <w:rPr>
          <w:sz w:val="26"/>
        </w:rPr>
      </w:pPr>
    </w:p>
    <w:p>
      <w:pPr>
        <w:pStyle w:val="Heading2"/>
      </w:pPr>
      <w:r>
        <w:rPr/>
        <w:t>（十三）3 周岁后双耳失聪</w:t>
      </w:r>
    </w:p>
    <w:p>
      <w:pPr>
        <w:pStyle w:val="BodyText"/>
        <w:spacing w:before="36"/>
      </w:pPr>
      <w:r>
        <w:rPr/>
        <w:t>指被保险人年满 3 周岁后因疾病或意外伤害导致双耳听力永久不可逆性丧失，</w:t>
      </w:r>
    </w:p>
    <w:p>
      <w:pPr>
        <w:pStyle w:val="BodyText"/>
        <w:spacing w:line="273" w:lineRule="auto" w:before="36"/>
        <w:ind w:right="155"/>
      </w:pPr>
      <w:r>
        <w:rPr>
          <w:spacing w:val="-25"/>
        </w:rPr>
        <w:t>在 </w:t>
      </w:r>
      <w:r>
        <w:rPr/>
        <w:t>500</w:t>
      </w:r>
      <w:r>
        <w:rPr>
          <w:spacing w:val="-23"/>
        </w:rPr>
        <w:t> 赫兹、</w:t>
      </w:r>
      <w:r>
        <w:rPr/>
        <w:t>1000</w:t>
      </w:r>
      <w:r>
        <w:rPr>
          <w:spacing w:val="-23"/>
        </w:rPr>
        <w:t> 赫兹和 </w:t>
      </w:r>
      <w:r>
        <w:rPr/>
        <w:t>2000</w:t>
      </w:r>
      <w:r>
        <w:rPr>
          <w:spacing w:val="-14"/>
        </w:rPr>
        <w:t> 赫兹语音频率下，平均听阈大于 </w:t>
      </w:r>
      <w:r>
        <w:rPr/>
        <w:t>90</w:t>
      </w:r>
      <w:r>
        <w:rPr>
          <w:spacing w:val="-16"/>
        </w:rPr>
        <w:t> 分贝，且经</w:t>
      </w:r>
      <w:r>
        <w:rPr>
          <w:spacing w:val="-7"/>
        </w:rPr>
        <w:t>纯音听力测试、声导抗检测或听觉诱发电位检测等证实。</w:t>
      </w:r>
    </w:p>
    <w:p>
      <w:pPr>
        <w:pStyle w:val="BodyText"/>
        <w:spacing w:before="7"/>
      </w:pPr>
      <w:r>
        <w:rPr/>
        <w:t>申请理赔时，须提供理赔当时的听力丧失诊断及检查证据。</w:t>
      </w:r>
    </w:p>
    <w:p>
      <w:pPr>
        <w:pStyle w:val="BodyText"/>
        <w:spacing w:before="8"/>
        <w:ind w:left="0"/>
        <w:rPr>
          <w:sz w:val="26"/>
        </w:rPr>
      </w:pPr>
    </w:p>
    <w:p>
      <w:pPr>
        <w:pStyle w:val="Heading2"/>
      </w:pPr>
      <w:r>
        <w:rPr/>
        <w:t>（十四）3 周岁后双目失明</w:t>
      </w:r>
    </w:p>
    <w:p>
      <w:pPr>
        <w:pStyle w:val="BodyText"/>
        <w:spacing w:line="273" w:lineRule="auto"/>
        <w:ind w:right="114"/>
      </w:pPr>
      <w:r>
        <w:rPr>
          <w:spacing w:val="-8"/>
        </w:rPr>
        <w:t>指被保险人年满 </w:t>
      </w:r>
      <w:r>
        <w:rPr/>
        <w:t>3</w:t>
      </w:r>
      <w:r>
        <w:rPr>
          <w:spacing w:val="-8"/>
        </w:rPr>
        <w:t> 周岁后因疾病或意外伤害导致双目视力永久不可逆性丧失， </w:t>
      </w:r>
      <w:r>
        <w:rPr>
          <w:spacing w:val="-5"/>
        </w:rPr>
        <w:t>双眼中较好眼须满足下列至少一项条件：</w:t>
      </w:r>
    </w:p>
    <w:p>
      <w:pPr>
        <w:pStyle w:val="BodyText"/>
        <w:spacing w:before="7"/>
      </w:pPr>
      <w:r>
        <w:rPr/>
        <w:t>（1）眼球缺失或摘除；</w:t>
      </w:r>
    </w:p>
    <w:p>
      <w:pPr>
        <w:pStyle w:val="BodyText"/>
        <w:spacing w:line="273" w:lineRule="auto" w:before="36"/>
        <w:ind w:left="2631" w:right="155" w:hanging="526"/>
      </w:pPr>
      <w:r>
        <w:rPr/>
        <w:t>（2）</w:t>
      </w:r>
      <w:r>
        <w:rPr>
          <w:spacing w:val="-5"/>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7"/>
      </w:pPr>
      <w:r>
        <w:rPr/>
        <w:t>（3）视野半径小于 5 度。</w:t>
      </w:r>
    </w:p>
    <w:p>
      <w:pPr>
        <w:pStyle w:val="BodyText"/>
      </w:pPr>
      <w:r>
        <w:rPr/>
        <w:t>申请理赔时，须提供理赔当时的视力丧失诊断及检查证据。</w:t>
      </w:r>
    </w:p>
    <w:p>
      <w:pPr>
        <w:pStyle w:val="BodyText"/>
        <w:spacing w:before="8"/>
        <w:ind w:left="0"/>
        <w:rPr>
          <w:sz w:val="26"/>
        </w:rPr>
      </w:pPr>
    </w:p>
    <w:p>
      <w:pPr>
        <w:pStyle w:val="Heading2"/>
        <w:spacing w:before="1"/>
      </w:pPr>
      <w:r>
        <w:rPr/>
        <w:t>（十五）瘫痪</w:t>
      </w:r>
    </w:p>
    <w:p>
      <w:pPr>
        <w:pStyle w:val="BodyText"/>
        <w:spacing w:line="273" w:lineRule="auto"/>
        <w:ind w:right="155"/>
        <w:jc w:val="both"/>
      </w:pPr>
      <w:r>
        <w:rPr>
          <w:spacing w:val="-5"/>
        </w:rPr>
        <w:t>指因疾病或意外伤害导致两肢或两肢以上肢体机能永久完全丧失。肢体机能永</w:t>
      </w:r>
      <w:r>
        <w:rPr>
          <w:spacing w:val="-10"/>
        </w:rPr>
        <w:t>久完全丧失，指疾病确诊 </w:t>
      </w:r>
      <w:r>
        <w:rPr/>
        <w:t>180</w:t>
      </w:r>
      <w:r>
        <w:rPr>
          <w:spacing w:val="-13"/>
        </w:rPr>
        <w:t> 天后或意外伤害发生 </w:t>
      </w:r>
      <w:r>
        <w:rPr/>
        <w:t>180</w:t>
      </w:r>
      <w:r>
        <w:rPr>
          <w:spacing w:val="-10"/>
        </w:rPr>
        <w:t> 天后，每肢三大关节中</w:t>
      </w:r>
      <w:r>
        <w:rPr>
          <w:spacing w:val="-5"/>
        </w:rPr>
        <w:t>的两大关节仍然完全僵硬，或不能随意识活动。</w:t>
      </w:r>
    </w:p>
    <w:p>
      <w:pPr>
        <w:spacing w:after="0" w:line="273" w:lineRule="auto"/>
        <w:jc w:val="both"/>
        <w:sectPr>
          <w:pgSz w:w="11910" w:h="16840"/>
          <w:pgMar w:top="1300" w:bottom="280" w:left="1680" w:right="860"/>
        </w:sectPr>
      </w:pPr>
    </w:p>
    <w:p>
      <w:pPr>
        <w:pStyle w:val="Heading2"/>
        <w:spacing w:before="43"/>
      </w:pPr>
      <w:r>
        <w:rPr/>
        <w:t>（十六）心脏瓣膜手术</w:t>
      </w:r>
    </w:p>
    <w:p>
      <w:pPr>
        <w:pStyle w:val="BodyText"/>
      </w:pPr>
      <w:r>
        <w:rPr/>
        <w:t>指为治疗心脏瓣膜疾病，实际实施了开胸进行的心脏瓣膜置换或修复的手术。</w:t>
      </w:r>
    </w:p>
    <w:p>
      <w:pPr>
        <w:pStyle w:val="BodyText"/>
        <w:spacing w:before="8"/>
        <w:ind w:left="0"/>
        <w:rPr>
          <w:sz w:val="26"/>
        </w:rPr>
      </w:pPr>
    </w:p>
    <w:p>
      <w:pPr>
        <w:pStyle w:val="Heading2"/>
        <w:spacing w:before="1"/>
      </w:pPr>
      <w:r>
        <w:rPr/>
        <w:t>（十七）严重阿尔茨海默病</w:t>
      </w:r>
    </w:p>
    <w:p>
      <w:pPr>
        <w:pStyle w:val="BodyText"/>
        <w:spacing w:line="273" w:lineRule="auto"/>
        <w:ind w:right="107"/>
      </w:pPr>
      <w:r>
        <w:rPr>
          <w:spacing w:val="-7"/>
        </w:rPr>
        <w:t>指因大脑进行性、不可逆性改变导致智能严重衰退或丧失，临床表现为明显的</w:t>
      </w:r>
      <w:r>
        <w:rPr>
          <w:spacing w:val="-15"/>
        </w:rPr>
        <w:t>认知能力障碍、行为异常和社交能力减退，其日常生活必须持续受到他人监护。</w:t>
      </w:r>
      <w:r>
        <w:rPr>
          <w:spacing w:val="-8"/>
          <w:w w:val="100"/>
        </w:rPr>
        <w:t>须由头颅断层扫描</w:t>
      </w:r>
      <w:r>
        <w:rPr>
          <w:spacing w:val="-1"/>
          <w:w w:val="100"/>
        </w:rPr>
        <w:t>（</w:t>
      </w:r>
      <w:r>
        <w:rPr>
          <w:w w:val="100"/>
        </w:rPr>
        <w:t>C</w:t>
      </w:r>
      <w:r>
        <w:rPr>
          <w:spacing w:val="-3"/>
          <w:w w:val="100"/>
        </w:rPr>
        <w:t>T</w:t>
      </w:r>
      <w:r>
        <w:rPr>
          <w:spacing w:val="-106"/>
          <w:w w:val="100"/>
        </w:rPr>
        <w:t>）</w:t>
      </w:r>
      <w:r>
        <w:rPr>
          <w:spacing w:val="-5"/>
          <w:w w:val="100"/>
        </w:rPr>
        <w:t>、核磁共振检查</w:t>
      </w:r>
      <w:r>
        <w:rPr>
          <w:w w:val="100"/>
        </w:rPr>
        <w:t>（M</w:t>
      </w:r>
      <w:r>
        <w:rPr>
          <w:spacing w:val="-3"/>
          <w:w w:val="100"/>
        </w:rPr>
        <w:t>R</w:t>
      </w:r>
      <w:r>
        <w:rPr>
          <w:spacing w:val="-1"/>
          <w:w w:val="100"/>
        </w:rPr>
        <w:t>I</w:t>
      </w:r>
      <w:r>
        <w:rPr>
          <w:spacing w:val="-10"/>
          <w:w w:val="100"/>
        </w:rPr>
        <w:t>）</w:t>
      </w:r>
      <w:r>
        <w:rPr>
          <w:spacing w:val="-4"/>
          <w:w w:val="100"/>
        </w:rPr>
        <w:t>或正电子发射断层扫描</w:t>
      </w:r>
      <w:r>
        <w:rPr>
          <w:w w:val="100"/>
        </w:rPr>
        <w:t>（P</w:t>
      </w:r>
      <w:r>
        <w:rPr>
          <w:spacing w:val="-3"/>
          <w:w w:val="100"/>
        </w:rPr>
        <w:t>E</w:t>
      </w:r>
      <w:r>
        <w:rPr>
          <w:spacing w:val="-1"/>
          <w:w w:val="100"/>
        </w:rPr>
        <w:t>T</w:t>
      </w:r>
      <w:r>
        <w:rPr>
          <w:w w:val="100"/>
        </w:rPr>
        <w:t>）</w:t>
      </w:r>
      <w:r>
        <w:rPr>
          <w:spacing w:val="-6"/>
        </w:rPr>
        <w:t>等影像学检查证实，且自主生活能力完全丧失，无法独立完成六项基本日常生</w:t>
      </w:r>
      <w:r>
        <w:rPr>
          <w:spacing w:val="-4"/>
        </w:rPr>
        <w:t>活活动中的三项或三项以上。</w:t>
      </w:r>
    </w:p>
    <w:p>
      <w:pPr>
        <w:pStyle w:val="BodyText"/>
        <w:spacing w:before="7"/>
      </w:pPr>
      <w:r>
        <w:rPr/>
        <w:t>神经官能症和精神疾病不在保障范围内。</w:t>
      </w:r>
    </w:p>
    <w:p>
      <w:pPr>
        <w:pStyle w:val="BodyText"/>
        <w:spacing w:before="9"/>
        <w:ind w:left="0"/>
        <w:rPr>
          <w:sz w:val="26"/>
        </w:rPr>
      </w:pPr>
    </w:p>
    <w:p>
      <w:pPr>
        <w:pStyle w:val="Heading2"/>
      </w:pPr>
      <w:r>
        <w:rPr/>
        <w:t>（十八）严重脑损伤</w:t>
      </w:r>
    </w:p>
    <w:p>
      <w:pPr>
        <w:pStyle w:val="BodyText"/>
        <w:spacing w:line="273" w:lineRule="auto"/>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w:t>
      </w:r>
      <w:r>
        <w:rPr>
          <w:spacing w:val="-3"/>
          <w:w w:val="100"/>
        </w:rPr>
        <w:t>T</w:t>
      </w:r>
      <w:r>
        <w:rPr>
          <w:spacing w:val="-106"/>
          <w:w w:val="100"/>
        </w:rPr>
        <w:t>）</w:t>
      </w:r>
      <w:r>
        <w:rPr>
          <w:spacing w:val="-5"/>
          <w:w w:val="100"/>
        </w:rPr>
        <w:t>、核磁共振检查</w:t>
      </w:r>
      <w:r>
        <w:rPr>
          <w:spacing w:val="-1"/>
          <w:w w:val="100"/>
        </w:rPr>
        <w:t>（</w:t>
      </w:r>
      <w:r>
        <w:rPr>
          <w:spacing w:val="-3"/>
          <w:w w:val="100"/>
        </w:rPr>
        <w:t>MR</w:t>
      </w:r>
      <w:r>
        <w:rPr>
          <w:w w:val="100"/>
        </w:rPr>
        <w:t>I</w:t>
      </w:r>
      <w:r>
        <w:rPr>
          <w:spacing w:val="-10"/>
          <w:w w:val="100"/>
        </w:rPr>
        <w:t>）</w:t>
      </w:r>
      <w:r>
        <w:rPr>
          <w:spacing w:val="-3"/>
          <w:w w:val="100"/>
        </w:rPr>
        <w:t>或正电子发射断层扫描</w:t>
      </w:r>
    </w:p>
    <w:p>
      <w:pPr>
        <w:pStyle w:val="BodyText"/>
        <w:spacing w:line="273" w:lineRule="auto" w:before="7"/>
        <w:ind w:right="107"/>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left="2631" w:right="217" w:hanging="526"/>
      </w:pPr>
      <w:r>
        <w:rPr/>
        <w:t>（3）自主生活能力完全丧失，无法独立完成六项基本日常生活活动中的三项或三项以上。</w:t>
      </w:r>
    </w:p>
    <w:p>
      <w:pPr>
        <w:pStyle w:val="BodyText"/>
        <w:spacing w:before="5"/>
        <w:ind w:left="0"/>
        <w:rPr>
          <w:sz w:val="24"/>
        </w:rPr>
      </w:pPr>
    </w:p>
    <w:p>
      <w:pPr>
        <w:pStyle w:val="Heading2"/>
      </w:pPr>
      <w:r>
        <w:rPr/>
        <w:t>（十九）严重帕金森病</w:t>
      </w:r>
    </w:p>
    <w:p>
      <w:pPr>
        <w:pStyle w:val="BodyText"/>
        <w:spacing w:line="273" w:lineRule="auto"/>
        <w:ind w:right="183"/>
      </w:pPr>
      <w:r>
        <w:rPr/>
        <w:t>指一种中枢神经系统的退行性疾病，临床表现为震颤麻痹、共济失调等。须满足下列全部条件：</w:t>
      </w:r>
    </w:p>
    <w:p>
      <w:pPr>
        <w:pStyle w:val="BodyText"/>
        <w:spacing w:before="8"/>
      </w:pPr>
      <w:r>
        <w:rPr/>
        <w:t>（1）药物治疗无法控制病情；</w:t>
      </w:r>
    </w:p>
    <w:p>
      <w:pPr>
        <w:pStyle w:val="BodyText"/>
        <w:spacing w:line="273" w:lineRule="auto"/>
        <w:ind w:left="2631" w:right="217" w:hanging="526"/>
      </w:pPr>
      <w:r>
        <w:rPr/>
        <w:t>（2）自主生活能力完全丧失，无法独立完成六项基本日常生活活动中的三项或三项以上。</w:t>
      </w:r>
    </w:p>
    <w:p>
      <w:pPr>
        <w:pStyle w:val="BodyText"/>
        <w:spacing w:before="7"/>
      </w:pPr>
      <w:r>
        <w:rPr/>
        <w:t>继发性帕金森综合征不在保障范围内。</w:t>
      </w:r>
    </w:p>
    <w:p>
      <w:pPr>
        <w:pStyle w:val="BodyText"/>
        <w:spacing w:before="8"/>
        <w:ind w:left="0"/>
        <w:rPr>
          <w:sz w:val="26"/>
        </w:rPr>
      </w:pPr>
    </w:p>
    <w:p>
      <w:pPr>
        <w:pStyle w:val="Heading2"/>
      </w:pPr>
      <w:r>
        <w:rPr/>
        <w:t>（二十）严重Ⅲ度烧伤</w:t>
      </w:r>
    </w:p>
    <w:p>
      <w:pPr>
        <w:pStyle w:val="BodyText"/>
        <w:spacing w:line="273" w:lineRule="auto" w:before="36"/>
        <w:ind w:right="161"/>
      </w:pPr>
      <w:r>
        <w:rPr/>
        <w:t>指烧伤程度为Ⅲ度，且Ⅲ度烧伤面积达到全身体表面积的 20％或 20％以上。体表面积根据 《中国新九分法》计算。</w:t>
      </w:r>
    </w:p>
    <w:p>
      <w:pPr>
        <w:pStyle w:val="BodyText"/>
        <w:spacing w:before="5"/>
        <w:ind w:left="0"/>
        <w:rPr>
          <w:sz w:val="24"/>
        </w:rPr>
      </w:pPr>
    </w:p>
    <w:p>
      <w:pPr>
        <w:pStyle w:val="Heading2"/>
      </w:pPr>
      <w:r>
        <w:rPr/>
        <w:t>（二十一）严重原发性肺动脉高压</w:t>
      </w:r>
    </w:p>
    <w:p>
      <w:pPr>
        <w:pStyle w:val="BodyText"/>
        <w:spacing w:line="273" w:lineRule="auto" w:before="36"/>
        <w:ind w:right="215"/>
        <w:jc w:val="both"/>
      </w:pPr>
      <w:r>
        <w:rPr>
          <w:spacing w:val="-6"/>
        </w:rPr>
        <w:t>指不明原因的肺动脉压力持续性增高，进行性发展而导致的慢性疾病，已经造</w:t>
      </w:r>
      <w:r>
        <w:rPr>
          <w:spacing w:val="-7"/>
        </w:rPr>
        <w:t>成永久不可逆性的体力活动能力受限，达到美国纽约心脏病学会心功能状态分级Ⅳ级，且静息状态下肺动脉平均压超过 </w:t>
      </w:r>
      <w:r>
        <w:rPr/>
        <w:t>30mmHg。</w:t>
      </w:r>
    </w:p>
    <w:p>
      <w:pPr>
        <w:pStyle w:val="BodyText"/>
        <w:spacing w:before="5"/>
        <w:ind w:left="0"/>
        <w:rPr>
          <w:sz w:val="24"/>
        </w:rPr>
      </w:pPr>
    </w:p>
    <w:p>
      <w:pPr>
        <w:pStyle w:val="Heading2"/>
      </w:pPr>
      <w:r>
        <w:rPr/>
        <w:t>（二十二）严重运动神经元病</w:t>
      </w:r>
    </w:p>
    <w:p>
      <w:pPr>
        <w:pStyle w:val="BodyText"/>
        <w:spacing w:line="273" w:lineRule="auto"/>
        <w:ind w:right="174"/>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9"/>
        </w:rPr>
        <w:t>活能力完全丧失，无法独立完成六项基本日常生活活动中的三项或三项以上的条件。</w:t>
      </w:r>
    </w:p>
    <w:p>
      <w:pPr>
        <w:pStyle w:val="BodyText"/>
        <w:spacing w:before="6"/>
        <w:ind w:left="0"/>
        <w:rPr>
          <w:sz w:val="24"/>
        </w:rPr>
      </w:pPr>
    </w:p>
    <w:p>
      <w:pPr>
        <w:pStyle w:val="Heading2"/>
      </w:pPr>
      <w:r>
        <w:rPr/>
        <w:t>（二十三）语言能力丧失</w:t>
      </w:r>
    </w:p>
    <w:p>
      <w:pPr>
        <w:spacing w:after="0"/>
        <w:sectPr>
          <w:pgSz w:w="11910" w:h="16840"/>
          <w:pgMar w:top="1580" w:bottom="280" w:left="1680" w:right="800"/>
        </w:sectPr>
      </w:pPr>
    </w:p>
    <w:p>
      <w:pPr>
        <w:pStyle w:val="BodyText"/>
        <w:spacing w:line="273" w:lineRule="auto" w:before="10"/>
        <w:ind w:right="158"/>
      </w:pPr>
      <w:r>
        <w:rPr>
          <w:spacing w:val="-3"/>
        </w:rPr>
        <w:t>指因疾病或意外伤害导致完全丧失语言能力，经过积极治疗至少 </w:t>
      </w:r>
      <w:r>
        <w:rPr/>
        <w:t>12</w:t>
      </w:r>
      <w:r>
        <w:rPr>
          <w:spacing w:val="-3"/>
        </w:rPr>
        <w:t> 个月（声</w:t>
      </w:r>
      <w:r>
        <w:rPr>
          <w:spacing w:val="-3"/>
          <w:w w:val="100"/>
        </w:rPr>
        <w:t>带完全切除不受此时间限制</w:t>
      </w:r>
      <w:r>
        <w:rPr>
          <w:spacing w:val="-106"/>
          <w:w w:val="100"/>
        </w:rPr>
        <w:t>）</w:t>
      </w:r>
      <w:r>
        <w:rPr>
          <w:spacing w:val="-3"/>
          <w:w w:val="100"/>
        </w:rPr>
        <w:t>，仍无法通过现有医疗手段恢复。</w:t>
      </w:r>
    </w:p>
    <w:p>
      <w:pPr>
        <w:pStyle w:val="BodyText"/>
        <w:spacing w:before="7"/>
      </w:pPr>
      <w:r>
        <w:rPr/>
        <w:t>精神心理因素所致的语言能力丧失不在保障范围内。</w:t>
      </w:r>
    </w:p>
    <w:p>
      <w:pPr>
        <w:pStyle w:val="BodyText"/>
        <w:spacing w:before="11"/>
        <w:ind w:left="0"/>
        <w:rPr>
          <w:sz w:val="28"/>
        </w:rPr>
      </w:pPr>
    </w:p>
    <w:p>
      <w:pPr>
        <w:pStyle w:val="Heading2"/>
      </w:pPr>
      <w:r>
        <w:rPr/>
        <w:t>（二十四）重型再生障碍性贫血</w:t>
      </w:r>
    </w:p>
    <w:p>
      <w:pPr>
        <w:pStyle w:val="BodyText"/>
        <w:spacing w:line="273" w:lineRule="auto" w:before="36"/>
        <w:ind w:right="16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pPr>
      <w:r>
        <w:rPr/>
        <w:t>（2）外周血象必须具备以下三项条件：</w:t>
      </w:r>
    </w:p>
    <w:p>
      <w:pPr>
        <w:pStyle w:val="BodyText"/>
        <w:ind w:left="2765"/>
      </w:pPr>
      <w:r>
        <w:rPr/>
        <w:t>① 中性粒细胞绝对值≤0.5×10</w:t>
      </w:r>
      <w:r>
        <w:rPr>
          <w:position w:val="11"/>
          <w:sz w:val="11"/>
        </w:rPr>
        <w:t>9</w:t>
      </w:r>
      <w:r>
        <w:rPr/>
        <w:t>/L；</w:t>
      </w:r>
    </w:p>
    <w:p>
      <w:pPr>
        <w:pStyle w:val="BodyText"/>
        <w:ind w:left="2765"/>
      </w:pPr>
      <w:r>
        <w:rPr/>
        <w:t>② 网织红细胞＜1%；</w:t>
      </w:r>
    </w:p>
    <w:p>
      <w:pPr>
        <w:pStyle w:val="BodyText"/>
        <w:ind w:left="2765"/>
      </w:pPr>
      <w:r>
        <w:rPr/>
        <w:t>③ 血小板绝对值≤20×10</w:t>
      </w:r>
      <w:r>
        <w:rPr>
          <w:position w:val="11"/>
          <w:sz w:val="11"/>
        </w:rPr>
        <w:t>9</w:t>
      </w:r>
      <w:r>
        <w:rPr/>
        <w:t>/L。</w:t>
      </w:r>
    </w:p>
    <w:p>
      <w:pPr>
        <w:pStyle w:val="BodyText"/>
        <w:spacing w:before="9"/>
        <w:ind w:left="0"/>
        <w:rPr>
          <w:sz w:val="26"/>
        </w:rPr>
      </w:pPr>
    </w:p>
    <w:p>
      <w:pPr>
        <w:pStyle w:val="Heading2"/>
      </w:pPr>
      <w:r>
        <w:rPr/>
        <w:t>（二十五）主动脉手术</w:t>
      </w:r>
    </w:p>
    <w:p>
      <w:pPr>
        <w:pStyle w:val="BodyText"/>
        <w:spacing w:line="273" w:lineRule="auto" w:before="36"/>
        <w:ind w:right="155"/>
        <w:jc w:val="both"/>
      </w:pPr>
      <w:r>
        <w:rPr>
          <w:spacing w:val="-7"/>
        </w:rPr>
        <w:t>指为治疗主动脉疾病，实际实施了开胸或开腹进行的切除、置换、修补病损主</w:t>
      </w:r>
      <w:r>
        <w:rPr>
          <w:spacing w:val="-9"/>
        </w:rPr>
        <w:t>动脉血管的手术。主动脉指胸主动脉和腹主动脉，不包括胸主动脉和腹主动脉</w:t>
      </w:r>
      <w:r>
        <w:rPr>
          <w:spacing w:val="-5"/>
        </w:rPr>
        <w:t>的分支血管。</w:t>
      </w:r>
    </w:p>
    <w:p>
      <w:pPr>
        <w:pStyle w:val="BodyText"/>
        <w:spacing w:before="7"/>
      </w:pPr>
      <w:r>
        <w:rPr/>
        <w:t>动脉内血管成形术不在保障范围内。</w:t>
      </w:r>
    </w:p>
    <w:p>
      <w:pPr>
        <w:pStyle w:val="BodyText"/>
        <w:spacing w:before="8"/>
        <w:ind w:left="0"/>
        <w:rPr>
          <w:sz w:val="26"/>
        </w:rPr>
      </w:pPr>
    </w:p>
    <w:p>
      <w:pPr>
        <w:pStyle w:val="BodyText"/>
        <w:spacing w:line="273" w:lineRule="auto" w:before="1"/>
        <w:ind w:right="160"/>
      </w:pPr>
      <w:r>
        <w:rPr/>
        <w:t>以下重大疾病定义是本公司在中国保险行业协会与中国医师协会共同制定的重大疾病保险的疾病种类范围以外增加的疾病定义。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2"/>
        <w:spacing w:before="1"/>
      </w:pPr>
      <w:r>
        <w:rPr/>
        <w:t>（二十六）严重重症肌无力</w:t>
      </w:r>
    </w:p>
    <w:p>
      <w:pPr>
        <w:pStyle w:val="BodyText"/>
        <w:spacing w:line="273" w:lineRule="auto"/>
        <w:ind w:right="114"/>
        <w:jc w:val="both"/>
      </w:pPr>
      <w:r>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BodyText"/>
        <w:spacing w:before="7"/>
      </w:pPr>
      <w:r>
        <w:rPr/>
        <w:t>（1）经药物或胸腺手术治疗一年以上无法控制病情，丧失正常工作能力;</w:t>
      </w:r>
    </w:p>
    <w:p>
      <w:pPr>
        <w:pStyle w:val="BodyText"/>
        <w:spacing w:line="273" w:lineRule="auto"/>
        <w:ind w:left="2631" w:right="153" w:hanging="526"/>
      </w:pPr>
      <w:r>
        <w:rPr>
          <w:spacing w:val="-5"/>
        </w:rPr>
        <w:t>（2）</w:t>
      </w:r>
      <w:r>
        <w:rPr>
          <w:spacing w:val="-6"/>
        </w:rPr>
        <w:t>出现眼睑下垂，或延髓肌受累引起的构音困难、进食呛咳,或由于肌无力</w:t>
      </w:r>
      <w:r>
        <w:rPr>
          <w:spacing w:val="-9"/>
        </w:rPr>
        <w:t>累及延髓肌、呼吸肌而致机体呼吸功能不正常的危急状态即肌无力危象;</w:t>
      </w:r>
    </w:p>
    <w:p>
      <w:pPr>
        <w:pStyle w:val="BodyText"/>
        <w:spacing w:line="273" w:lineRule="auto" w:before="7"/>
        <w:ind w:left="2631" w:right="157" w:hanging="526"/>
      </w:pPr>
      <w:r>
        <w:rPr/>
        <w:t>（3）症状缓解、复发及恶化的交替出现，临床接受新斯的明等抗胆碱酯酶药物治疗的病史。</w:t>
      </w:r>
    </w:p>
    <w:p>
      <w:pPr>
        <w:pStyle w:val="BodyText"/>
        <w:spacing w:before="0"/>
        <w:ind w:left="0"/>
        <w:rPr>
          <w:sz w:val="20"/>
        </w:rPr>
      </w:pPr>
    </w:p>
    <w:p>
      <w:pPr>
        <w:pStyle w:val="BodyText"/>
        <w:spacing w:before="3"/>
        <w:ind w:left="0"/>
        <w:rPr>
          <w:sz w:val="28"/>
        </w:rPr>
      </w:pPr>
    </w:p>
    <w:p>
      <w:pPr>
        <w:pStyle w:val="Heading2"/>
      </w:pPr>
      <w:r>
        <w:rPr/>
        <w:t>（二十七）严重多发性硬化</w:t>
      </w:r>
    </w:p>
    <w:p>
      <w:pPr>
        <w:pStyle w:val="BodyText"/>
        <w:spacing w:line="273" w:lineRule="auto"/>
        <w:ind w:right="155"/>
        <w:jc w:val="both"/>
      </w:pPr>
      <w:r>
        <w:rPr>
          <w:spacing w:val="-5"/>
        </w:rPr>
        <w:t>多发性硬化为中枢神经系统白质多灶性脱髓鞘病变，病变有时累及灰质。多发</w:t>
      </w:r>
      <w:r>
        <w:rPr>
          <w:spacing w:val="-8"/>
        </w:rPr>
        <w:t>性硬化必须明确诊断，并且已经造成神经系统功能损害导致被保险人永久不可</w:t>
      </w:r>
      <w:r>
        <w:rPr>
          <w:spacing w:val="-5"/>
        </w:rPr>
        <w:t>逆性的无法独立完成下列基本日常生活活动：</w:t>
      </w:r>
    </w:p>
    <w:p>
      <w:pPr>
        <w:pStyle w:val="BodyText"/>
        <w:spacing w:before="7"/>
      </w:pPr>
      <w:r>
        <w:rPr/>
        <w:t>（1）移动：自己从一个房间移动到另一个房间；或者</w:t>
      </w:r>
    </w:p>
    <w:p>
      <w:pPr>
        <w:pStyle w:val="BodyText"/>
      </w:pPr>
      <w:r>
        <w:rPr/>
        <w:t>（2）进食：自己从已准备好的碗或碟中取食物放入口中。</w:t>
      </w:r>
    </w:p>
    <w:p>
      <w:pPr>
        <w:pStyle w:val="BodyText"/>
        <w:spacing w:before="8"/>
        <w:ind w:left="0"/>
        <w:rPr>
          <w:sz w:val="26"/>
        </w:rPr>
      </w:pPr>
    </w:p>
    <w:p>
      <w:pPr>
        <w:pStyle w:val="Heading2"/>
        <w:spacing w:before="1"/>
      </w:pPr>
      <w:r>
        <w:rPr/>
        <w:t>（二十八）严重冠心病</w:t>
      </w:r>
    </w:p>
    <w:p>
      <w:pPr>
        <w:pStyle w:val="BodyText"/>
        <w:spacing w:line="273" w:lineRule="auto"/>
        <w:ind w:right="112"/>
        <w:jc w:val="both"/>
      </w:pPr>
      <w:r>
        <w:rPr>
          <w:spacing w:val="-5"/>
        </w:rPr>
        <w:t>指经心脏科专科医师根据冠状动脉造影检查结果确诊的三支主要血管</w:t>
      </w:r>
      <w:r>
        <w:rPr>
          <w:spacing w:val="-3"/>
        </w:rPr>
        <w:t>（左冠状</w:t>
      </w:r>
      <w:r>
        <w:rPr>
          <w:spacing w:val="-13"/>
        </w:rPr>
        <w:t>动脉主干和右冠状动脉，或前降支、左旋支和右冠状动脉</w:t>
      </w:r>
      <w:r>
        <w:rPr>
          <w:spacing w:val="-65"/>
        </w:rPr>
        <w:t>）</w:t>
      </w:r>
      <w:r>
        <w:rPr>
          <w:spacing w:val="-12"/>
        </w:rPr>
        <w:t>严重狭窄性病变</w:t>
      </w:r>
      <w:r>
        <w:rPr>
          <w:spacing w:val="-3"/>
        </w:rPr>
        <w:t>（</w:t>
      </w:r>
      <w:r>
        <w:rPr/>
        <w:t>至</w:t>
      </w:r>
      <w:r>
        <w:rPr>
          <w:spacing w:val="-7"/>
        </w:rPr>
        <w:t>少一支血管管腔直径减少 </w:t>
      </w:r>
      <w:r>
        <w:rPr/>
        <w:t>75％</w:t>
      </w:r>
      <w:r>
        <w:rPr>
          <w:spacing w:val="-6"/>
        </w:rPr>
        <w:t>以上和其他两支血管管腔直径减少 </w:t>
      </w:r>
      <w:r>
        <w:rPr/>
        <w:t>60％以上</w:t>
      </w:r>
      <w:r>
        <w:rPr>
          <w:spacing w:val="-106"/>
        </w:rPr>
        <w:t>）</w:t>
      </w:r>
      <w:r>
        <w:rPr/>
        <w:t>。</w:t>
      </w:r>
      <w:r>
        <w:rPr>
          <w:spacing w:val="-3"/>
        </w:rPr>
        <w:t>前降支、左旋支及右冠状动脉的分支血管的狭窄不作为本保障的衡量指标。</w:t>
      </w:r>
    </w:p>
    <w:p>
      <w:pPr>
        <w:spacing w:after="0" w:line="273" w:lineRule="auto"/>
        <w:jc w:val="both"/>
        <w:sectPr>
          <w:pgSz w:w="11910" w:h="16840"/>
          <w:pgMar w:top="1300" w:bottom="280" w:left="1680" w:right="860"/>
        </w:sectPr>
      </w:pPr>
    </w:p>
    <w:p>
      <w:pPr>
        <w:pStyle w:val="Heading2"/>
        <w:spacing w:before="43"/>
      </w:pPr>
      <w:r>
        <w:rPr/>
        <w:t>（二十九）严重心肌病</w:t>
      </w:r>
    </w:p>
    <w:p>
      <w:pPr>
        <w:pStyle w:val="BodyText"/>
        <w:spacing w:line="273" w:lineRule="auto"/>
        <w:ind w:right="116"/>
        <w:jc w:val="both"/>
      </w:pPr>
      <w:r>
        <w:rPr>
          <w:spacing w:val="-5"/>
        </w:rPr>
        <w:t>指被保险人因心肌病导致慢性心功能损害造成永久不可逆性的心功能衰竭。心</w:t>
      </w:r>
      <w:r>
        <w:rPr>
          <w:spacing w:val="-6"/>
        </w:rPr>
        <w:t>功能衰竭程度达到美国纽约心脏病学会的心功能分级标准之心功能Ⅳ级。被保</w:t>
      </w:r>
      <w:r>
        <w:rPr>
          <w:spacing w:val="-3"/>
        </w:rPr>
        <w:t>险人永久不可逆性的体力活动能力受限，不能从事任何体力活动。</w:t>
      </w:r>
    </w:p>
    <w:p>
      <w:pPr>
        <w:pStyle w:val="BodyText"/>
        <w:spacing w:before="5"/>
        <w:ind w:left="0"/>
        <w:rPr>
          <w:sz w:val="24"/>
        </w:rPr>
      </w:pPr>
    </w:p>
    <w:p>
      <w:pPr>
        <w:pStyle w:val="Heading2"/>
      </w:pPr>
      <w:r>
        <w:rPr/>
        <w:t>（三十）严重系统性红斑狼疮性肾病 － Ⅲ型或Ⅲ型以上狼疮性肾炎</w:t>
      </w:r>
    </w:p>
    <w:p>
      <w:pPr>
        <w:pStyle w:val="BodyText"/>
        <w:spacing w:line="273" w:lineRule="auto" w:before="36"/>
        <w:ind w:right="83"/>
      </w:pPr>
      <w:r>
        <w:rPr/>
        <w:t>系统性红斑狼疮是由多种因素引起，累及多系统的自身免疫性疾病。其特点是生成自身抗体对抗多种自身抗原。多见于育龄妇女。</w:t>
      </w:r>
    </w:p>
    <w:p>
      <w:pPr>
        <w:pStyle w:val="BodyText"/>
        <w:spacing w:line="273" w:lineRule="auto" w:before="7"/>
        <w:ind w:right="115"/>
      </w:pPr>
      <w:r>
        <w:rPr>
          <w:spacing w:val="-3"/>
        </w:rPr>
        <w:t>本保单所指的系统性红斑狼疮仅限于累及肾脏</w:t>
      </w:r>
      <w:r>
        <w:rPr/>
        <w:t>（</w:t>
      </w:r>
      <w:r>
        <w:rPr>
          <w:spacing w:val="-6"/>
        </w:rPr>
        <w:t>经肾脏活检确认的，符合 </w:t>
      </w:r>
      <w:r>
        <w:rPr>
          <w:spacing w:val="-3"/>
        </w:rPr>
        <w:t>WHO 诊断标准定义Ⅲ型或Ⅲ型以上狼疮性肾炎</w:t>
      </w:r>
      <w:r>
        <w:rPr>
          <w:spacing w:val="-22"/>
        </w:rPr>
        <w:t>）</w:t>
      </w:r>
      <w:r>
        <w:rPr>
          <w:spacing w:val="-6"/>
        </w:rPr>
        <w:t>的系统性红斑狼疮。其他类型的红</w:t>
      </w:r>
      <w:r>
        <w:rPr>
          <w:spacing w:val="-4"/>
        </w:rPr>
        <w:t>斑性狼疮，如盘状狼疮、仅累及血液及关节的狼疮不在本保单保障范围內。 </w:t>
      </w:r>
      <w:r>
        <w:rPr>
          <w:spacing w:val="-3"/>
        </w:rPr>
        <w:t>本病必须由免疫和风湿科专家医师确诊。</w:t>
      </w:r>
    </w:p>
    <w:p>
      <w:pPr>
        <w:pStyle w:val="BodyText"/>
        <w:spacing w:before="5"/>
        <w:ind w:left="0"/>
        <w:rPr>
          <w:sz w:val="24"/>
        </w:rPr>
      </w:pPr>
    </w:p>
    <w:p>
      <w:pPr>
        <w:pStyle w:val="BodyText"/>
        <w:spacing w:before="0"/>
        <w:jc w:val="both"/>
      </w:pPr>
      <w:r>
        <w:rPr>
          <w:u w:val="single"/>
        </w:rPr>
        <w:t>世界卫生组织（WHO）狼疮性肾炎分型：</w:t>
      </w:r>
    </w:p>
    <w:p>
      <w:pPr>
        <w:pStyle w:val="BodyText"/>
        <w:spacing w:before="8" w:after="1"/>
        <w:ind w:left="0"/>
        <w:rPr>
          <w:sz w:val="7"/>
        </w:rPr>
      </w:pPr>
    </w:p>
    <w:tbl>
      <w:tblPr>
        <w:tblW w:w="0" w:type="auto"/>
        <w:jc w:val="left"/>
        <w:tblInd w:w="2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7"/>
        <w:gridCol w:w="2637"/>
      </w:tblGrid>
      <w:tr>
        <w:trPr>
          <w:trHeight w:val="261" w:hRule="atLeast"/>
        </w:trPr>
        <w:tc>
          <w:tcPr>
            <w:tcW w:w="1377" w:type="dxa"/>
          </w:tcPr>
          <w:p>
            <w:pPr>
              <w:pStyle w:val="TableParagraph"/>
              <w:spacing w:line="211" w:lineRule="exact"/>
              <w:ind w:left="200"/>
              <w:rPr>
                <w:sz w:val="21"/>
              </w:rPr>
            </w:pPr>
            <w:r>
              <w:rPr>
                <w:sz w:val="21"/>
              </w:rPr>
              <w:t>Ⅰ型</w:t>
            </w:r>
          </w:p>
        </w:tc>
        <w:tc>
          <w:tcPr>
            <w:tcW w:w="2637" w:type="dxa"/>
          </w:tcPr>
          <w:p>
            <w:pPr>
              <w:pStyle w:val="TableParagraph"/>
              <w:spacing w:line="211" w:lineRule="exact"/>
              <w:ind w:left="755"/>
              <w:rPr>
                <w:sz w:val="21"/>
              </w:rPr>
            </w:pPr>
            <w:r>
              <w:rPr>
                <w:sz w:val="21"/>
              </w:rPr>
              <w:t>微小病变型</w:t>
            </w:r>
          </w:p>
        </w:tc>
      </w:tr>
      <w:tr>
        <w:trPr>
          <w:trHeight w:val="312" w:hRule="atLeast"/>
        </w:trPr>
        <w:tc>
          <w:tcPr>
            <w:tcW w:w="1377" w:type="dxa"/>
          </w:tcPr>
          <w:p>
            <w:pPr>
              <w:pStyle w:val="TableParagraph"/>
              <w:spacing w:line="261" w:lineRule="exact"/>
              <w:ind w:left="200"/>
              <w:rPr>
                <w:sz w:val="21"/>
              </w:rPr>
            </w:pPr>
            <w:r>
              <w:rPr>
                <w:sz w:val="21"/>
              </w:rPr>
              <w:t>Ⅱ型</w:t>
            </w:r>
          </w:p>
        </w:tc>
        <w:tc>
          <w:tcPr>
            <w:tcW w:w="2637" w:type="dxa"/>
          </w:tcPr>
          <w:p>
            <w:pPr>
              <w:pStyle w:val="TableParagraph"/>
              <w:spacing w:line="261" w:lineRule="exact"/>
              <w:ind w:left="755"/>
              <w:rPr>
                <w:sz w:val="21"/>
              </w:rPr>
            </w:pPr>
            <w:r>
              <w:rPr>
                <w:sz w:val="21"/>
              </w:rPr>
              <w:t>系膜病变型</w:t>
            </w:r>
          </w:p>
        </w:tc>
      </w:tr>
      <w:tr>
        <w:trPr>
          <w:trHeight w:val="311" w:hRule="atLeast"/>
        </w:trPr>
        <w:tc>
          <w:tcPr>
            <w:tcW w:w="1377" w:type="dxa"/>
          </w:tcPr>
          <w:p>
            <w:pPr>
              <w:pStyle w:val="TableParagraph"/>
              <w:spacing w:line="261" w:lineRule="exact"/>
              <w:ind w:left="200"/>
              <w:rPr>
                <w:sz w:val="21"/>
              </w:rPr>
            </w:pPr>
            <w:r>
              <w:rPr>
                <w:sz w:val="21"/>
              </w:rPr>
              <w:t>Ⅲ型</w:t>
            </w:r>
          </w:p>
        </w:tc>
        <w:tc>
          <w:tcPr>
            <w:tcW w:w="2637" w:type="dxa"/>
          </w:tcPr>
          <w:p>
            <w:pPr>
              <w:pStyle w:val="TableParagraph"/>
              <w:spacing w:line="261" w:lineRule="exact"/>
              <w:ind w:left="755"/>
              <w:rPr>
                <w:sz w:val="21"/>
              </w:rPr>
            </w:pPr>
            <w:r>
              <w:rPr>
                <w:sz w:val="21"/>
              </w:rPr>
              <w:t>局灶及节段增生型</w:t>
            </w:r>
          </w:p>
        </w:tc>
      </w:tr>
      <w:tr>
        <w:trPr>
          <w:trHeight w:val="311" w:hRule="atLeast"/>
        </w:trPr>
        <w:tc>
          <w:tcPr>
            <w:tcW w:w="1377" w:type="dxa"/>
          </w:tcPr>
          <w:p>
            <w:pPr>
              <w:pStyle w:val="TableParagraph"/>
              <w:spacing w:line="261" w:lineRule="exact"/>
              <w:ind w:left="200"/>
              <w:rPr>
                <w:sz w:val="21"/>
              </w:rPr>
            </w:pPr>
            <w:r>
              <w:rPr>
                <w:sz w:val="21"/>
              </w:rPr>
              <w:t>Ⅳ型</w:t>
            </w:r>
          </w:p>
        </w:tc>
        <w:tc>
          <w:tcPr>
            <w:tcW w:w="2637" w:type="dxa"/>
          </w:tcPr>
          <w:p>
            <w:pPr>
              <w:pStyle w:val="TableParagraph"/>
              <w:spacing w:line="261" w:lineRule="exact"/>
              <w:ind w:left="755"/>
              <w:rPr>
                <w:sz w:val="21"/>
              </w:rPr>
            </w:pPr>
            <w:r>
              <w:rPr>
                <w:sz w:val="21"/>
              </w:rPr>
              <w:t>弥漫增生型</w:t>
            </w:r>
          </w:p>
        </w:tc>
      </w:tr>
      <w:tr>
        <w:trPr>
          <w:trHeight w:val="312" w:hRule="atLeast"/>
        </w:trPr>
        <w:tc>
          <w:tcPr>
            <w:tcW w:w="1377" w:type="dxa"/>
          </w:tcPr>
          <w:p>
            <w:pPr>
              <w:pStyle w:val="TableParagraph"/>
              <w:spacing w:line="261" w:lineRule="exact"/>
              <w:ind w:left="200"/>
              <w:rPr>
                <w:sz w:val="21"/>
              </w:rPr>
            </w:pPr>
            <w:r>
              <w:rPr>
                <w:sz w:val="21"/>
              </w:rPr>
              <w:t>Ⅴ型</w:t>
            </w:r>
          </w:p>
        </w:tc>
        <w:tc>
          <w:tcPr>
            <w:tcW w:w="2637" w:type="dxa"/>
          </w:tcPr>
          <w:p>
            <w:pPr>
              <w:pStyle w:val="TableParagraph"/>
              <w:spacing w:line="261" w:lineRule="exact"/>
              <w:ind w:left="755"/>
              <w:rPr>
                <w:sz w:val="21"/>
              </w:rPr>
            </w:pPr>
            <w:r>
              <w:rPr>
                <w:sz w:val="21"/>
              </w:rPr>
              <w:t>膜型</w:t>
            </w:r>
          </w:p>
        </w:tc>
      </w:tr>
      <w:tr>
        <w:trPr>
          <w:trHeight w:val="261" w:hRule="atLeast"/>
        </w:trPr>
        <w:tc>
          <w:tcPr>
            <w:tcW w:w="1377" w:type="dxa"/>
          </w:tcPr>
          <w:p>
            <w:pPr>
              <w:pStyle w:val="TableParagraph"/>
              <w:spacing w:line="242" w:lineRule="exact"/>
              <w:ind w:left="200"/>
              <w:rPr>
                <w:sz w:val="21"/>
              </w:rPr>
            </w:pPr>
            <w:r>
              <w:rPr>
                <w:sz w:val="21"/>
              </w:rPr>
              <w:t>Ⅵ型</w:t>
            </w:r>
          </w:p>
        </w:tc>
        <w:tc>
          <w:tcPr>
            <w:tcW w:w="2637" w:type="dxa"/>
          </w:tcPr>
          <w:p>
            <w:pPr>
              <w:pStyle w:val="TableParagraph"/>
              <w:spacing w:line="242" w:lineRule="exact"/>
              <w:ind w:left="755"/>
              <w:rPr>
                <w:sz w:val="21"/>
              </w:rPr>
            </w:pPr>
            <w:r>
              <w:rPr>
                <w:sz w:val="21"/>
              </w:rPr>
              <w:t>肾小球硬化型</w:t>
            </w:r>
          </w:p>
        </w:tc>
      </w:tr>
    </w:tbl>
    <w:p>
      <w:pPr>
        <w:pStyle w:val="BodyText"/>
        <w:spacing w:before="8"/>
        <w:ind w:left="0"/>
        <w:rPr>
          <w:sz w:val="26"/>
        </w:rPr>
      </w:pPr>
    </w:p>
    <w:p>
      <w:pPr>
        <w:pStyle w:val="Heading2"/>
        <w:jc w:val="both"/>
      </w:pPr>
      <w:r>
        <w:rPr/>
        <w:t>（三十一）经输血导致的人类免疫缺陷病毒感染</w:t>
      </w:r>
    </w:p>
    <w:p>
      <w:pPr>
        <w:pStyle w:val="BodyText"/>
        <w:jc w:val="both"/>
      </w:pPr>
      <w:r>
        <w:rPr/>
        <w:t>被保险人感染上人类免疫缺陷病毒（HIV）并且满足下列全部条件：</w:t>
      </w:r>
    </w:p>
    <w:p>
      <w:pPr>
        <w:pStyle w:val="BodyText"/>
        <w:jc w:val="both"/>
      </w:pPr>
      <w:r>
        <w:rPr/>
        <w:t>（1）在保障起始日或复效日之后，被保险人因输血而感染 HIV；</w:t>
      </w:r>
    </w:p>
    <w:p>
      <w:pPr>
        <w:pStyle w:val="BodyText"/>
        <w:spacing w:line="273" w:lineRule="auto"/>
        <w:ind w:left="2631" w:right="117" w:hanging="526"/>
      </w:pPr>
      <w:r>
        <w:rPr/>
        <w:t>（2）提供输血治疗的输血中心或医院出具该项输血感染属医疗责任事故的报告，或者法院终审裁定为医疗责任并且不准上诉；</w:t>
      </w:r>
    </w:p>
    <w:p>
      <w:pPr>
        <w:pStyle w:val="BodyText"/>
        <w:spacing w:before="8"/>
      </w:pPr>
      <w:r>
        <w:rPr/>
        <w:t>（3）受感染的被保险人不是血友病患者。</w:t>
      </w:r>
    </w:p>
    <w:p>
      <w:pPr>
        <w:pStyle w:val="BodyText"/>
        <w:spacing w:line="273" w:lineRule="auto"/>
        <w:ind w:right="118"/>
      </w:pPr>
      <w:r>
        <w:rPr>
          <w:spacing w:val="-5"/>
        </w:rPr>
        <w:t>在任何治愈艾滋病</w:t>
      </w:r>
      <w:r>
        <w:rPr>
          <w:spacing w:val="-4"/>
        </w:rPr>
        <w:t>（AIDS）</w:t>
      </w:r>
      <w:r>
        <w:rPr>
          <w:spacing w:val="-11"/>
        </w:rPr>
        <w:t>或阻止 </w:t>
      </w:r>
      <w:r>
        <w:rPr/>
        <w:t>HIV</w:t>
      </w:r>
      <w:r>
        <w:rPr>
          <w:spacing w:val="-8"/>
        </w:rPr>
        <w:t> 病毒作用的疗法被发现以后，或当能防</w:t>
      </w:r>
      <w:r>
        <w:rPr>
          <w:spacing w:val="-19"/>
        </w:rPr>
        <w:t>止 </w:t>
      </w:r>
      <w:r>
        <w:rPr/>
        <w:t>AIDS</w:t>
      </w:r>
      <w:r>
        <w:rPr>
          <w:spacing w:val="-8"/>
        </w:rPr>
        <w:t> 发生的医疗方法被研究出来以后，本保障将不再予以赔付。</w:t>
      </w:r>
    </w:p>
    <w:p>
      <w:pPr>
        <w:pStyle w:val="BodyText"/>
        <w:spacing w:line="273" w:lineRule="auto" w:before="7"/>
        <w:ind w:right="115"/>
        <w:jc w:val="both"/>
      </w:pPr>
      <w:r>
        <w:rPr>
          <w:spacing w:val="-5"/>
        </w:rPr>
        <w:t>任何因其他传播方式</w:t>
      </w:r>
      <w:r>
        <w:rPr>
          <w:spacing w:val="-3"/>
        </w:rPr>
        <w:t>（</w:t>
      </w:r>
      <w:r>
        <w:rPr>
          <w:spacing w:val="-5"/>
        </w:rPr>
        <w:t>包括：性传播或静脉注射毒品</w:t>
      </w:r>
      <w:r>
        <w:rPr>
          <w:spacing w:val="-15"/>
        </w:rPr>
        <w:t>）</w:t>
      </w:r>
      <w:r>
        <w:rPr>
          <w:spacing w:val="-11"/>
        </w:rPr>
        <w:t>导致的 </w:t>
      </w:r>
      <w:r>
        <w:rPr/>
        <w:t>HIV</w:t>
      </w:r>
      <w:r>
        <w:rPr>
          <w:spacing w:val="-10"/>
        </w:rPr>
        <w:t> 感染不在本</w:t>
      </w:r>
      <w:r>
        <w:rPr>
          <w:spacing w:val="-9"/>
        </w:rPr>
        <w:t>保单保障范围内。保险公司必须拥有获得使用被保险人的所有血液样本的权利</w:t>
      </w:r>
      <w:r>
        <w:rPr>
          <w:spacing w:val="-5"/>
        </w:rPr>
        <w:t>和能够对这些样本进行独立检验的权利。</w:t>
      </w:r>
    </w:p>
    <w:p>
      <w:pPr>
        <w:pStyle w:val="BodyText"/>
        <w:spacing w:before="5"/>
        <w:ind w:left="0"/>
        <w:rPr>
          <w:sz w:val="24"/>
        </w:rPr>
      </w:pPr>
    </w:p>
    <w:p>
      <w:pPr>
        <w:pStyle w:val="Heading2"/>
      </w:pPr>
      <w:r>
        <w:rPr/>
        <w:t>（三十二）严重类风湿性关节炎</w:t>
      </w:r>
    </w:p>
    <w:p>
      <w:pPr>
        <w:pStyle w:val="BodyText"/>
        <w:spacing w:line="273" w:lineRule="auto" w:before="36"/>
        <w:ind w:right="115"/>
        <w:jc w:val="both"/>
      </w:pPr>
      <w:r>
        <w:rPr>
          <w:spacing w:val="-6"/>
        </w:rPr>
        <w:t>指广泛分布的慢性进行性多关节病变，表现为关节严重变形，侵犯至少三个主</w:t>
      </w:r>
      <w:r>
        <w:rPr>
          <w:spacing w:val="-4"/>
        </w:rPr>
        <w:t>要关节(腕关节、肘关节、肩关节、踝关节、膝关节、髋关节)或关节组(如手</w:t>
      </w:r>
      <w:r>
        <w:rPr>
          <w:spacing w:val="-3"/>
        </w:rPr>
        <w:t>的多个指间、掌指关节，足的多个足趾、跖趾关节等)。类风湿性关节炎须明</w:t>
      </w:r>
      <w:r>
        <w:rPr>
          <w:spacing w:val="-5"/>
        </w:rPr>
        <w:t>确诊断，并已达到类风湿性关节炎功能分类 </w:t>
      </w:r>
      <w:r>
        <w:rPr/>
        <w:t>IV</w:t>
      </w:r>
      <w:r>
        <w:rPr>
          <w:spacing w:val="-8"/>
        </w:rPr>
        <w:t> 级的永久不可逆性关节功能障</w:t>
      </w:r>
      <w:r>
        <w:rPr>
          <w:spacing w:val="-5"/>
        </w:rPr>
        <w:t>碍，且须满足下列全部条件：</w:t>
      </w:r>
    </w:p>
    <w:p>
      <w:pPr>
        <w:spacing w:line="286" w:lineRule="exact" w:before="0"/>
        <w:ind w:left="2105" w:right="0" w:firstLine="0"/>
        <w:jc w:val="both"/>
        <w:rPr>
          <w:sz w:val="21"/>
        </w:rPr>
      </w:pPr>
      <w:r>
        <w:rPr>
          <w:sz w:val="22"/>
        </w:rPr>
        <w:t>（1）</w:t>
      </w:r>
      <w:r>
        <w:rPr>
          <w:sz w:val="21"/>
        </w:rPr>
        <w:t>晨僵;</w:t>
      </w:r>
    </w:p>
    <w:p>
      <w:pPr>
        <w:spacing w:before="24"/>
        <w:ind w:left="2105" w:right="0" w:firstLine="0"/>
        <w:jc w:val="both"/>
        <w:rPr>
          <w:sz w:val="21"/>
        </w:rPr>
      </w:pPr>
      <w:r>
        <w:rPr>
          <w:sz w:val="22"/>
        </w:rPr>
        <w:t>（2）</w:t>
      </w:r>
      <w:r>
        <w:rPr>
          <w:sz w:val="21"/>
        </w:rPr>
        <w:t>对称性关节炎;</w:t>
      </w:r>
    </w:p>
    <w:p>
      <w:pPr>
        <w:spacing w:before="23"/>
        <w:ind w:left="2105" w:right="0" w:firstLine="0"/>
        <w:jc w:val="both"/>
        <w:rPr>
          <w:sz w:val="21"/>
        </w:rPr>
      </w:pPr>
      <w:r>
        <w:rPr>
          <w:sz w:val="22"/>
        </w:rPr>
        <w:t>（3）</w:t>
      </w:r>
      <w:r>
        <w:rPr>
          <w:sz w:val="21"/>
        </w:rPr>
        <w:t>类风湿性皮下结节;</w:t>
      </w:r>
    </w:p>
    <w:p>
      <w:pPr>
        <w:spacing w:before="23"/>
        <w:ind w:left="2105" w:right="0" w:firstLine="0"/>
        <w:jc w:val="both"/>
        <w:rPr>
          <w:sz w:val="21"/>
        </w:rPr>
      </w:pPr>
      <w:r>
        <w:rPr>
          <w:sz w:val="22"/>
        </w:rPr>
        <w:t>（4）</w:t>
      </w:r>
      <w:r>
        <w:rPr>
          <w:sz w:val="21"/>
        </w:rPr>
        <w:t>类风湿因子滴度升高;</w:t>
      </w:r>
    </w:p>
    <w:p>
      <w:pPr>
        <w:pStyle w:val="BodyText"/>
        <w:spacing w:before="23"/>
        <w:jc w:val="both"/>
      </w:pPr>
      <w:r>
        <w:rPr>
          <w:sz w:val="22"/>
        </w:rPr>
        <w:t>（5）</w:t>
      </w:r>
      <w:r>
        <w:rPr/>
        <w:t>X 线显示严重的关节(软骨和骨)破坏和关节畸形。</w:t>
      </w:r>
    </w:p>
    <w:p>
      <w:pPr>
        <w:spacing w:after="0"/>
        <w:jc w:val="both"/>
        <w:sectPr>
          <w:pgSz w:w="11910" w:h="16840"/>
          <w:pgMar w:top="1580" w:bottom="280" w:left="1680" w:right="900"/>
        </w:sectPr>
      </w:pPr>
    </w:p>
    <w:p>
      <w:pPr>
        <w:pStyle w:val="Heading2"/>
        <w:spacing w:before="43"/>
      </w:pPr>
      <w:r>
        <w:rPr/>
        <w:t>（三十三）严重脊髓灰质炎</w:t>
      </w:r>
    </w:p>
    <w:p>
      <w:pPr>
        <w:pStyle w:val="BodyText"/>
        <w:spacing w:line="273" w:lineRule="auto"/>
        <w:ind w:right="153"/>
        <w:jc w:val="both"/>
      </w:pPr>
      <w:r>
        <w:rPr>
          <w:spacing w:val="-5"/>
        </w:rPr>
        <w:t>脊髓灰质炎是由于脊髓灰质炎病毒感染所致的瘫痪性疾病，临床表现为运动功</w:t>
      </w:r>
      <w:r>
        <w:rPr>
          <w:spacing w:val="-7"/>
        </w:rPr>
        <w:t>能损害或呼吸无力。脊髓灰质炎必须明确诊断。本保单仅对脊髓灰质炎造成的</w:t>
      </w:r>
      <w:r>
        <w:rPr/>
        <w:t>神经系统功能损害导致被保险人一肢或一肢以上肢体机能永久完全丧失的情</w:t>
      </w:r>
      <w:r>
        <w:rPr>
          <w:spacing w:val="-8"/>
        </w:rPr>
        <w:t>况予以理赔。肢体机能永久完全丧失，指疾病确诊 </w:t>
      </w:r>
      <w:r>
        <w:rPr/>
        <w:t>180</w:t>
      </w:r>
      <w:r>
        <w:rPr>
          <w:spacing w:val="-9"/>
        </w:rPr>
        <w:t> 天后，每肢三大关节中</w:t>
      </w:r>
      <w:r>
        <w:rPr>
          <w:spacing w:val="-5"/>
        </w:rPr>
        <w:t>的两大关节仍然完全僵硬，或不能随意识活动。</w:t>
      </w:r>
    </w:p>
    <w:p>
      <w:pPr>
        <w:pStyle w:val="BodyText"/>
        <w:spacing w:before="5"/>
        <w:ind w:left="0"/>
        <w:rPr>
          <w:sz w:val="24"/>
        </w:rPr>
      </w:pPr>
    </w:p>
    <w:p>
      <w:pPr>
        <w:pStyle w:val="Heading2"/>
        <w:jc w:val="both"/>
      </w:pPr>
      <w:r>
        <w:rPr/>
        <w:t>（三十四）终末期肺病</w:t>
      </w:r>
    </w:p>
    <w:p>
      <w:pPr>
        <w:pStyle w:val="BodyText"/>
        <w:spacing w:before="36"/>
        <w:jc w:val="both"/>
      </w:pPr>
      <w:r>
        <w:rPr/>
        <w:t>经呼吸科专科医生明确诊断为终末期肺病，且须同时满足下列条件：</w:t>
      </w:r>
    </w:p>
    <w:p>
      <w:pPr>
        <w:pStyle w:val="BodyText"/>
        <w:spacing w:before="27"/>
        <w:jc w:val="both"/>
      </w:pPr>
      <w:r>
        <w:rPr>
          <w:sz w:val="22"/>
        </w:rPr>
        <w:t>（1）</w:t>
      </w:r>
      <w:r>
        <w:rPr/>
        <w:t>肺功能测试其 FEVB1B 持续低于 0.75 升；</w:t>
      </w:r>
    </w:p>
    <w:p>
      <w:pPr>
        <w:pStyle w:val="BodyText"/>
        <w:spacing w:before="23"/>
        <w:jc w:val="both"/>
      </w:pPr>
      <w:r>
        <w:rPr>
          <w:sz w:val="22"/>
        </w:rPr>
        <w:t>（2）</w:t>
      </w:r>
      <w:r>
        <w:rPr/>
        <w:t>病人缺氧必须广泛而持续地进行输氧治疗；</w:t>
      </w:r>
    </w:p>
    <w:p>
      <w:pPr>
        <w:pStyle w:val="BodyText"/>
        <w:spacing w:before="24"/>
        <w:jc w:val="both"/>
      </w:pPr>
      <w:r>
        <w:rPr>
          <w:sz w:val="22"/>
        </w:rPr>
        <w:t>（3）</w:t>
      </w:r>
      <w:r>
        <w:rPr/>
        <w:t>动脉血气分析氧分压低于 55mmHg；</w:t>
      </w:r>
    </w:p>
    <w:p>
      <w:pPr>
        <w:spacing w:before="24"/>
        <w:ind w:left="2105" w:right="0" w:firstLine="0"/>
        <w:jc w:val="both"/>
        <w:rPr>
          <w:sz w:val="21"/>
        </w:rPr>
      </w:pPr>
      <w:r>
        <w:rPr>
          <w:sz w:val="22"/>
        </w:rPr>
        <w:t>（4）</w:t>
      </w:r>
      <w:r>
        <w:rPr>
          <w:sz w:val="21"/>
        </w:rPr>
        <w:t>出现慢性呼吸功能衰竭。</w:t>
      </w:r>
    </w:p>
    <w:p>
      <w:pPr>
        <w:pStyle w:val="BodyText"/>
        <w:spacing w:before="33"/>
        <w:jc w:val="both"/>
      </w:pPr>
      <w:r>
        <w:rPr/>
        <w:t>因职业因素造成的肺部疾病不在保障范围内。</w:t>
      </w:r>
    </w:p>
    <w:p>
      <w:pPr>
        <w:pStyle w:val="BodyText"/>
        <w:spacing w:before="8"/>
        <w:ind w:left="0"/>
        <w:rPr>
          <w:sz w:val="26"/>
        </w:rPr>
      </w:pPr>
    </w:p>
    <w:p>
      <w:pPr>
        <w:pStyle w:val="Heading2"/>
        <w:jc w:val="both"/>
      </w:pPr>
      <w:r>
        <w:rPr/>
        <w:t>（三十五）严重克隆病</w:t>
      </w:r>
    </w:p>
    <w:p>
      <w:pPr>
        <w:pStyle w:val="BodyText"/>
        <w:spacing w:before="36"/>
        <w:jc w:val="both"/>
      </w:pPr>
      <w:r>
        <w:rPr/>
        <w:t>指一种肉芽肿性肠炎。且须满足下列所有条件：</w:t>
      </w:r>
    </w:p>
    <w:p>
      <w:pPr>
        <w:pStyle w:val="BodyText"/>
        <w:spacing w:before="36"/>
        <w:jc w:val="both"/>
      </w:pPr>
      <w:r>
        <w:rPr/>
        <w:t>（1）已经造成瘘管并伴有肠梗阻或肠穿孔；</w:t>
      </w:r>
    </w:p>
    <w:p>
      <w:pPr>
        <w:pStyle w:val="BodyText"/>
        <w:spacing w:before="36"/>
        <w:jc w:val="both"/>
      </w:pPr>
      <w:r>
        <w:rPr/>
        <w:t>（2）有结肠镜检查和组织病理学检查作为诊断依据。</w:t>
      </w:r>
    </w:p>
    <w:p>
      <w:pPr>
        <w:pStyle w:val="BodyText"/>
        <w:spacing w:before="8"/>
        <w:ind w:left="0"/>
        <w:rPr>
          <w:sz w:val="26"/>
        </w:rPr>
      </w:pPr>
    </w:p>
    <w:p>
      <w:pPr>
        <w:pStyle w:val="Heading2"/>
        <w:jc w:val="both"/>
      </w:pPr>
      <w:r>
        <w:rPr/>
        <w:t>（三十六）严重溃疡性结肠炎</w:t>
      </w:r>
    </w:p>
    <w:p>
      <w:pPr>
        <w:pStyle w:val="BodyText"/>
        <w:spacing w:line="273" w:lineRule="auto" w:before="36"/>
        <w:ind w:right="114"/>
        <w:jc w:val="both"/>
      </w:pPr>
      <w:r>
        <w:rPr>
          <w:spacing w:val="-3"/>
        </w:rPr>
        <w:t>指伴有致命性电解质紊乱的急性暴发性溃疡性结肠炎，病变已经累及全结肠， </w:t>
      </w:r>
      <w:r>
        <w:rPr>
          <w:spacing w:val="-6"/>
        </w:rPr>
        <w:t>表现为严重的血便和系统性症状体征，须由病理学检查结果证实，且已经实施</w:t>
      </w:r>
      <w:r>
        <w:rPr>
          <w:spacing w:val="-4"/>
        </w:rPr>
        <w:t>了结肠切除或回肠造瘘术。</w:t>
      </w:r>
    </w:p>
    <w:p>
      <w:pPr>
        <w:pStyle w:val="BodyText"/>
        <w:spacing w:before="5"/>
        <w:ind w:left="0"/>
        <w:rPr>
          <w:sz w:val="24"/>
        </w:rPr>
      </w:pPr>
    </w:p>
    <w:p>
      <w:pPr>
        <w:pStyle w:val="Heading2"/>
      </w:pPr>
      <w:r>
        <w:rPr/>
        <w:t>（三十七）持续植物人状态</w:t>
      </w:r>
    </w:p>
    <w:p>
      <w:pPr>
        <w:pStyle w:val="BodyText"/>
        <w:spacing w:line="273" w:lineRule="auto"/>
        <w:ind w:right="155"/>
        <w:jc w:val="both"/>
      </w:pPr>
      <w:r>
        <w:rPr>
          <w:spacing w:val="-6"/>
        </w:rPr>
        <w:t>指由于严重颅脑外伤、缺氧持续状态、严重的脑炎或者某种神经毒素造成大脑</w:t>
      </w:r>
      <w:r>
        <w:rPr>
          <w:spacing w:val="-8"/>
        </w:rPr>
        <w:t>或脑干严重损害，并导致意识丧失和中枢神经系统功能丧失，仅残存植物神经</w:t>
      </w:r>
      <w:r>
        <w:rPr>
          <w:spacing w:val="-7"/>
        </w:rPr>
        <w:t>功能的疾病状态，且植物人状态须已持续 </w:t>
      </w:r>
      <w:r>
        <w:rPr/>
        <w:t>30</w:t>
      </w:r>
      <w:r>
        <w:rPr>
          <w:spacing w:val="-10"/>
        </w:rPr>
        <w:t> 天以上。</w:t>
      </w:r>
    </w:p>
    <w:p>
      <w:pPr>
        <w:pStyle w:val="BodyText"/>
        <w:spacing w:before="5"/>
        <w:ind w:left="0"/>
        <w:rPr>
          <w:sz w:val="24"/>
        </w:rPr>
      </w:pPr>
    </w:p>
    <w:p>
      <w:pPr>
        <w:pStyle w:val="Heading2"/>
      </w:pPr>
      <w:r>
        <w:rPr/>
        <w:t>（三十八）严重胰岛素依赖型糖尿病</w:t>
      </w:r>
    </w:p>
    <w:p>
      <w:pPr>
        <w:pStyle w:val="BodyText"/>
        <w:spacing w:line="273" w:lineRule="auto" w:before="36"/>
        <w:ind w:right="153"/>
        <w:jc w:val="both"/>
      </w:pPr>
      <w:r>
        <w:rPr>
          <w:spacing w:val="-6"/>
        </w:rPr>
        <w:t>指由于胰岛素分泌绝对不足引起的慢性血糖升高，经血胰岛素测定、血 </w:t>
      </w:r>
      <w:r>
        <w:rPr/>
        <w:t>c</w:t>
      </w:r>
      <w:r>
        <w:rPr>
          <w:spacing w:val="-15"/>
        </w:rPr>
        <w:t> 肽测定或尿 </w:t>
      </w:r>
      <w:r>
        <w:rPr/>
        <w:t>c</w:t>
      </w:r>
      <w:r>
        <w:rPr>
          <w:spacing w:val="-17"/>
        </w:rPr>
        <w:t> 肽测定结果证实，且已经持续性的依赖外源性胰岛素维持 </w:t>
      </w:r>
      <w:r>
        <w:rPr/>
        <w:t>180</w:t>
      </w:r>
      <w:r>
        <w:rPr>
          <w:spacing w:val="-13"/>
        </w:rPr>
        <w:t> 天以上; </w:t>
      </w:r>
      <w:r>
        <w:rPr>
          <w:spacing w:val="-6"/>
        </w:rPr>
        <w:t>须至少满足下列一个条件：</w:t>
      </w:r>
    </w:p>
    <w:p>
      <w:pPr>
        <w:pStyle w:val="BodyText"/>
        <w:spacing w:before="7"/>
        <w:jc w:val="both"/>
      </w:pPr>
      <w:r>
        <w:rPr/>
        <w:t>（1）已出现增殖性视网膜病变;</w:t>
      </w:r>
    </w:p>
    <w:p>
      <w:pPr>
        <w:pStyle w:val="BodyText"/>
        <w:jc w:val="both"/>
      </w:pPr>
      <w:r>
        <w:rPr/>
        <w:t>（2）须植入心脏起搏器治疗心脏病;</w:t>
      </w:r>
    </w:p>
    <w:p>
      <w:pPr>
        <w:pStyle w:val="BodyText"/>
        <w:jc w:val="both"/>
      </w:pPr>
      <w:r>
        <w:rPr/>
        <w:t>（3）因坏疽需切除至少一个脚趾。</w:t>
      </w:r>
    </w:p>
    <w:p>
      <w:pPr>
        <w:pStyle w:val="BodyText"/>
        <w:spacing w:before="8"/>
        <w:ind w:left="0"/>
        <w:rPr>
          <w:sz w:val="26"/>
        </w:rPr>
      </w:pPr>
    </w:p>
    <w:p>
      <w:pPr>
        <w:pStyle w:val="Heading2"/>
        <w:spacing w:before="1"/>
        <w:jc w:val="both"/>
      </w:pPr>
      <w:r>
        <w:rPr/>
        <w:t>（三十九）急性坏死性胰腺炎开腹手术</w:t>
      </w:r>
    </w:p>
    <w:p>
      <w:pPr>
        <w:pStyle w:val="BodyText"/>
        <w:spacing w:line="273" w:lineRule="auto"/>
        <w:ind w:right="123"/>
      </w:pPr>
      <w:r>
        <w:rPr/>
        <w:t>指为治疗急性坏死性胰腺炎，实际实施了开腹进行的坏死组织清除术、病灶切除术或胰腺部分切除术。</w:t>
      </w:r>
    </w:p>
    <w:p>
      <w:pPr>
        <w:pStyle w:val="BodyText"/>
        <w:spacing w:before="7"/>
        <w:jc w:val="both"/>
      </w:pPr>
      <w:r>
        <w:rPr/>
        <w:t>为治疗因酒精中毒引起的急性坏死性胰腺炎的开腹手术不在保障范围内。</w:t>
      </w:r>
    </w:p>
    <w:p>
      <w:pPr>
        <w:pStyle w:val="BodyText"/>
        <w:spacing w:before="8"/>
        <w:ind w:left="0"/>
        <w:rPr>
          <w:sz w:val="26"/>
        </w:rPr>
      </w:pPr>
    </w:p>
    <w:p>
      <w:pPr>
        <w:pStyle w:val="Heading2"/>
        <w:jc w:val="both"/>
      </w:pPr>
      <w:r>
        <w:rPr/>
        <w:t>（四十）非阿尔茨海默病所致严重痴呆</w:t>
      </w:r>
    </w:p>
    <w:p>
      <w:pPr>
        <w:pStyle w:val="BodyText"/>
        <w:jc w:val="both"/>
      </w:pPr>
      <w:r>
        <w:rPr/>
        <w:t>指因阿尔茨海默病以外的脑的器质性疾病造成脑功能衰竭导致永久不可逆性</w:t>
      </w:r>
    </w:p>
    <w:p>
      <w:pPr>
        <w:spacing w:after="0"/>
        <w:jc w:val="both"/>
        <w:sectPr>
          <w:pgSz w:w="11910" w:h="16840"/>
          <w:pgMar w:top="1580" w:bottom="280" w:left="1680" w:right="860"/>
        </w:sectPr>
      </w:pPr>
    </w:p>
    <w:tbl>
      <w:tblPr>
        <w:tblW w:w="0" w:type="auto"/>
        <w:jc w:val="left"/>
        <w:tblInd w:w="1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8"/>
      </w:tblGrid>
      <w:tr>
        <w:trPr>
          <w:trHeight w:val="6658" w:hRule="atLeast"/>
        </w:trPr>
        <w:tc>
          <w:tcPr>
            <w:tcW w:w="7608" w:type="dxa"/>
          </w:tcPr>
          <w:p>
            <w:pPr>
              <w:pStyle w:val="TableParagraph"/>
              <w:spacing w:line="206" w:lineRule="exact"/>
              <w:ind w:left="200"/>
              <w:rPr>
                <w:sz w:val="21"/>
              </w:rPr>
            </w:pPr>
            <w:r>
              <w:rPr>
                <w:sz w:val="21"/>
              </w:rPr>
              <w:t>严重痴呆，临床表现为明显的认知能力障碍、行为异常和社交能力减退。被保</w:t>
            </w:r>
          </w:p>
          <w:p>
            <w:pPr>
              <w:pStyle w:val="TableParagraph"/>
              <w:spacing w:line="273" w:lineRule="auto" w:before="37"/>
              <w:ind w:left="200" w:right="262"/>
              <w:jc w:val="both"/>
              <w:rPr>
                <w:sz w:val="21"/>
              </w:rPr>
            </w:pPr>
            <w:r>
              <w:rPr>
                <w:spacing w:val="-6"/>
                <w:sz w:val="21"/>
              </w:rPr>
              <w:t>险人自主生活能力完全丧失，无法独立完成六项基本日常生活活动中的三项或</w:t>
            </w:r>
            <w:r>
              <w:rPr>
                <w:spacing w:val="-4"/>
                <w:sz w:val="21"/>
              </w:rPr>
              <w:t>三项以上，日常生活必须持续受到他人监护。导致痴呆的疾病必须明确诊断， </w:t>
            </w:r>
            <w:r>
              <w:rPr>
                <w:spacing w:val="-3"/>
                <w:sz w:val="21"/>
              </w:rPr>
              <w:t>并且由完整的临床、实验室和影像学检查结果证实。</w:t>
            </w:r>
          </w:p>
          <w:p>
            <w:pPr>
              <w:pStyle w:val="TableParagraph"/>
              <w:spacing w:before="7"/>
              <w:ind w:left="200"/>
              <w:jc w:val="both"/>
              <w:rPr>
                <w:sz w:val="21"/>
              </w:rPr>
            </w:pPr>
            <w:r>
              <w:rPr>
                <w:sz w:val="21"/>
              </w:rPr>
              <w:t>神经官能症，精神疾病及酒精中毒所致脑损害不在保障范围内。</w:t>
            </w:r>
          </w:p>
          <w:p>
            <w:pPr>
              <w:pStyle w:val="TableParagraph"/>
              <w:spacing w:before="8"/>
              <w:rPr>
                <w:sz w:val="26"/>
              </w:rPr>
            </w:pPr>
          </w:p>
          <w:p>
            <w:pPr>
              <w:pStyle w:val="TableParagraph"/>
              <w:ind w:left="200"/>
              <w:jc w:val="both"/>
              <w:rPr>
                <w:b/>
                <w:sz w:val="21"/>
              </w:rPr>
            </w:pPr>
            <w:r>
              <w:rPr>
                <w:b/>
                <w:sz w:val="21"/>
              </w:rPr>
              <w:t>（四十一）坏死性筋膜炎</w:t>
            </w:r>
          </w:p>
          <w:p>
            <w:pPr>
              <w:pStyle w:val="TableParagraph"/>
              <w:spacing w:before="36"/>
              <w:ind w:left="200"/>
              <w:jc w:val="both"/>
              <w:rPr>
                <w:sz w:val="21"/>
              </w:rPr>
            </w:pPr>
            <w:r>
              <w:rPr>
                <w:sz w:val="21"/>
              </w:rPr>
              <w:t>坏死性筋膜炎的诊断须同时符合下列要求：</w:t>
            </w:r>
          </w:p>
          <w:p>
            <w:pPr>
              <w:pStyle w:val="TableParagraph"/>
              <w:numPr>
                <w:ilvl w:val="0"/>
                <w:numId w:val="4"/>
              </w:numPr>
              <w:tabs>
                <w:tab w:pos="623" w:val="left" w:leader="none"/>
              </w:tabs>
              <w:spacing w:line="240" w:lineRule="auto" w:before="36" w:after="0"/>
              <w:ind w:left="200" w:right="0" w:firstLine="0"/>
              <w:jc w:val="both"/>
              <w:rPr>
                <w:sz w:val="21"/>
              </w:rPr>
            </w:pPr>
            <w:r>
              <w:rPr>
                <w:spacing w:val="-3"/>
                <w:sz w:val="21"/>
              </w:rPr>
              <w:t>符合坏死性筋膜炎的一般临床表现；</w:t>
            </w:r>
          </w:p>
          <w:p>
            <w:pPr>
              <w:pStyle w:val="TableParagraph"/>
              <w:numPr>
                <w:ilvl w:val="0"/>
                <w:numId w:val="4"/>
              </w:numPr>
              <w:tabs>
                <w:tab w:pos="623" w:val="left" w:leader="none"/>
              </w:tabs>
              <w:spacing w:line="240" w:lineRule="auto" w:before="36" w:after="0"/>
              <w:ind w:left="200" w:right="0" w:firstLine="0"/>
              <w:jc w:val="both"/>
              <w:rPr>
                <w:sz w:val="21"/>
              </w:rPr>
            </w:pPr>
            <w:r>
              <w:rPr>
                <w:spacing w:val="-3"/>
                <w:sz w:val="21"/>
              </w:rPr>
              <w:t>细菌培养检出致病菌；</w:t>
            </w:r>
          </w:p>
          <w:p>
            <w:pPr>
              <w:pStyle w:val="TableParagraph"/>
              <w:numPr>
                <w:ilvl w:val="0"/>
                <w:numId w:val="4"/>
              </w:numPr>
              <w:tabs>
                <w:tab w:pos="623" w:val="left" w:leader="none"/>
              </w:tabs>
              <w:spacing w:line="273" w:lineRule="auto" w:before="36" w:after="0"/>
              <w:ind w:left="200" w:right="468" w:firstLine="0"/>
              <w:jc w:val="left"/>
              <w:rPr>
                <w:sz w:val="21"/>
              </w:rPr>
            </w:pPr>
            <w:r>
              <w:rPr>
                <w:spacing w:val="-3"/>
                <w:sz w:val="21"/>
              </w:rPr>
              <w:t>出现广泛性肌肉及软组织坏死，并导致身体受影响部位永久完全失去功能。所谓永久完全失去功能是指受影响部位的功能丧失超过六个月者。</w:t>
            </w:r>
          </w:p>
          <w:p>
            <w:pPr>
              <w:pStyle w:val="TableParagraph"/>
              <w:spacing w:before="5"/>
              <w:rPr>
                <w:sz w:val="24"/>
              </w:rPr>
            </w:pPr>
          </w:p>
          <w:p>
            <w:pPr>
              <w:pStyle w:val="TableParagraph"/>
              <w:ind w:left="200"/>
              <w:rPr>
                <w:b/>
                <w:sz w:val="21"/>
              </w:rPr>
            </w:pPr>
            <w:r>
              <w:rPr>
                <w:b/>
                <w:sz w:val="21"/>
              </w:rPr>
              <w:t>（四十二）原发性硬化性胆管炎</w:t>
            </w:r>
          </w:p>
          <w:p>
            <w:pPr>
              <w:pStyle w:val="TableParagraph"/>
              <w:spacing w:line="273" w:lineRule="auto" w:before="36"/>
              <w:ind w:left="200" w:right="262"/>
              <w:jc w:val="both"/>
              <w:rPr>
                <w:sz w:val="21"/>
              </w:rPr>
            </w:pPr>
            <w:r>
              <w:rPr>
                <w:spacing w:val="-3"/>
                <w:sz w:val="21"/>
              </w:rPr>
              <w:t>指一种胆汁淤积综合征，其特征是肝内、肝外胆道因纤维化性炎症逐渐狭窄， </w:t>
            </w:r>
            <w:r>
              <w:rPr>
                <w:spacing w:val="-6"/>
                <w:sz w:val="21"/>
              </w:rPr>
              <w:t>并最终导致完全阻塞而发展为肝硬化。本病须经内镜逆行胰胆管造影等影像学</w:t>
            </w:r>
            <w:r>
              <w:rPr>
                <w:spacing w:val="-4"/>
                <w:sz w:val="21"/>
              </w:rPr>
              <w:t>检查证实，并须满足下列全部条件：</w:t>
            </w:r>
          </w:p>
          <w:p>
            <w:pPr>
              <w:pStyle w:val="TableParagraph"/>
              <w:numPr>
                <w:ilvl w:val="0"/>
                <w:numId w:val="5"/>
              </w:numPr>
              <w:tabs>
                <w:tab w:pos="832" w:val="left" w:leader="none"/>
              </w:tabs>
              <w:spacing w:line="240" w:lineRule="auto" w:before="7" w:after="0"/>
              <w:ind w:left="831" w:right="0" w:hanging="631"/>
              <w:jc w:val="both"/>
              <w:rPr>
                <w:sz w:val="21"/>
              </w:rPr>
            </w:pPr>
            <w:r>
              <w:rPr>
                <w:spacing w:val="-3"/>
                <w:sz w:val="21"/>
              </w:rPr>
              <w:t>总胆红素和直接胆红素同时升高，血清</w:t>
            </w:r>
            <w:r>
              <w:rPr>
                <w:sz w:val="21"/>
              </w:rPr>
              <w:t>ALP&gt;200U/L；</w:t>
            </w:r>
          </w:p>
          <w:p>
            <w:pPr>
              <w:pStyle w:val="TableParagraph"/>
              <w:numPr>
                <w:ilvl w:val="0"/>
                <w:numId w:val="5"/>
              </w:numPr>
              <w:tabs>
                <w:tab w:pos="832" w:val="left" w:leader="none"/>
              </w:tabs>
              <w:spacing w:line="240" w:lineRule="auto" w:before="37" w:after="0"/>
              <w:ind w:left="831" w:right="0" w:hanging="631"/>
              <w:jc w:val="both"/>
              <w:rPr>
                <w:sz w:val="21"/>
              </w:rPr>
            </w:pPr>
            <w:r>
              <w:rPr>
                <w:spacing w:val="-3"/>
                <w:sz w:val="21"/>
              </w:rPr>
              <w:t>持续性黄疸病史；</w:t>
            </w:r>
          </w:p>
          <w:p>
            <w:pPr>
              <w:pStyle w:val="TableParagraph"/>
              <w:numPr>
                <w:ilvl w:val="0"/>
                <w:numId w:val="5"/>
              </w:numPr>
              <w:tabs>
                <w:tab w:pos="832" w:val="left" w:leader="none"/>
              </w:tabs>
              <w:spacing w:line="240" w:lineRule="auto" w:before="37" w:after="0"/>
              <w:ind w:left="831" w:right="0" w:hanging="631"/>
              <w:jc w:val="both"/>
              <w:rPr>
                <w:sz w:val="21"/>
              </w:rPr>
            </w:pPr>
            <w:r>
              <w:rPr>
                <w:spacing w:val="-3"/>
                <w:sz w:val="21"/>
              </w:rPr>
              <w:t>出现胆汁性肝硬化或门脉高压。</w:t>
            </w:r>
          </w:p>
          <w:p>
            <w:pPr>
              <w:pStyle w:val="TableParagraph"/>
              <w:spacing w:before="37"/>
              <w:ind w:left="200"/>
              <w:jc w:val="both"/>
              <w:rPr>
                <w:sz w:val="21"/>
              </w:rPr>
            </w:pPr>
            <w:r>
              <w:rPr>
                <w:sz w:val="21"/>
              </w:rPr>
              <w:t>因肿瘤或胆管损伤等继发性的硬化性胆管炎不在保障范围内。</w:t>
            </w:r>
          </w:p>
        </w:tc>
      </w:tr>
      <w:tr>
        <w:trPr>
          <w:trHeight w:val="7282" w:hRule="atLeast"/>
        </w:trPr>
        <w:tc>
          <w:tcPr>
            <w:tcW w:w="7608" w:type="dxa"/>
          </w:tcPr>
          <w:p>
            <w:pPr>
              <w:pStyle w:val="TableParagraph"/>
              <w:spacing w:before="137"/>
              <w:ind w:left="200"/>
              <w:rPr>
                <w:sz w:val="21"/>
              </w:rPr>
            </w:pPr>
            <w:r>
              <w:rPr>
                <w:sz w:val="21"/>
              </w:rPr>
              <w:t>上述 7.5 的释义中部分术语释义如下：</w:t>
            </w:r>
          </w:p>
          <w:p>
            <w:pPr>
              <w:pStyle w:val="TableParagraph"/>
              <w:spacing w:before="37"/>
              <w:ind w:left="200"/>
              <w:rPr>
                <w:sz w:val="21"/>
              </w:rPr>
            </w:pPr>
            <w:r>
              <w:rPr>
                <w:sz w:val="21"/>
              </w:rPr>
              <w:t>（一）肢体机能完全丧失</w:t>
            </w:r>
          </w:p>
          <w:p>
            <w:pPr>
              <w:pStyle w:val="TableParagraph"/>
              <w:spacing w:line="273" w:lineRule="auto" w:before="36"/>
              <w:ind w:left="200" w:right="307"/>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sz w:val="24"/>
              </w:rPr>
            </w:pPr>
          </w:p>
          <w:p>
            <w:pPr>
              <w:pStyle w:val="TableParagraph"/>
              <w:ind w:left="200"/>
              <w:rPr>
                <w:sz w:val="21"/>
              </w:rPr>
            </w:pPr>
            <w:r>
              <w:rPr>
                <w:sz w:val="21"/>
              </w:rPr>
              <w:t>（二）语言能力或咀嚼吞咽能力完全丧失</w:t>
            </w:r>
          </w:p>
          <w:p>
            <w:pPr>
              <w:pStyle w:val="TableParagraph"/>
              <w:spacing w:line="273" w:lineRule="auto" w:before="37"/>
              <w:ind w:left="200" w:right="197"/>
              <w:rPr>
                <w:sz w:val="21"/>
              </w:rPr>
            </w:pPr>
            <w:r>
              <w:rPr>
                <w:spacing w:val="-4"/>
                <w:sz w:val="21"/>
              </w:rPr>
              <w:t>语言能力完全丧失是指无法发出四种语音</w:t>
            </w:r>
            <w:r>
              <w:rPr>
                <w:sz w:val="21"/>
              </w:rPr>
              <w:t>（</w:t>
            </w:r>
            <w:r>
              <w:rPr>
                <w:spacing w:val="-7"/>
                <w:sz w:val="21"/>
              </w:rPr>
              <w:t>包括口唇音、齿舌音、口盖音和喉</w:t>
            </w:r>
            <w:r>
              <w:rPr>
                <w:spacing w:val="-5"/>
                <w:sz w:val="21"/>
              </w:rPr>
              <w:t>头音</w:t>
            </w:r>
            <w:r>
              <w:rPr>
                <w:spacing w:val="-48"/>
                <w:sz w:val="21"/>
              </w:rPr>
              <w:t>）</w:t>
            </w:r>
            <w:r>
              <w:rPr>
                <w:spacing w:val="-12"/>
                <w:sz w:val="21"/>
              </w:rPr>
              <w:t>中的任何三种、或声带全部切除，或因大脑语言中枢受伤害而患失语症。</w:t>
            </w:r>
            <w:r>
              <w:rPr>
                <w:spacing w:val="-8"/>
                <w:sz w:val="21"/>
              </w:rPr>
              <w:t>咀嚼吞咽能力完全丧失是指因牙齿以外的原因导致器质障碍或机能障碍，以致</w:t>
            </w:r>
            <w:r>
              <w:rPr>
                <w:spacing w:val="-5"/>
                <w:sz w:val="21"/>
              </w:rPr>
              <w:t>不能作咀嚼吞咽运动，除流质食物外不能摄取或吞咽的状态。</w:t>
            </w:r>
          </w:p>
          <w:p>
            <w:pPr>
              <w:pStyle w:val="TableParagraph"/>
              <w:spacing w:before="5"/>
              <w:rPr>
                <w:sz w:val="24"/>
              </w:rPr>
            </w:pPr>
          </w:p>
          <w:p>
            <w:pPr>
              <w:pStyle w:val="TableParagraph"/>
              <w:spacing w:line="273" w:lineRule="auto"/>
              <w:ind w:left="200" w:right="4672"/>
              <w:rPr>
                <w:sz w:val="21"/>
              </w:rPr>
            </w:pPr>
            <w:r>
              <w:rPr>
                <w:sz w:val="21"/>
              </w:rPr>
              <w:t>（三）六项基本日常生活活动六项基本日常生活活动是指：</w:t>
            </w:r>
          </w:p>
          <w:p>
            <w:pPr>
              <w:pStyle w:val="TableParagraph"/>
              <w:spacing w:before="7"/>
              <w:ind w:left="200"/>
              <w:rPr>
                <w:sz w:val="21"/>
              </w:rPr>
            </w:pPr>
            <w:r>
              <w:rPr>
                <w:sz w:val="21"/>
              </w:rPr>
              <w:t>1．穿衣：自己能够穿衣及脱衣；</w:t>
            </w:r>
          </w:p>
          <w:p>
            <w:pPr>
              <w:pStyle w:val="TableParagraph"/>
              <w:spacing w:before="37"/>
              <w:ind w:left="200"/>
              <w:rPr>
                <w:sz w:val="21"/>
              </w:rPr>
            </w:pPr>
            <w:r>
              <w:rPr>
                <w:sz w:val="21"/>
              </w:rPr>
              <w:t>2．移动：自己从一个房间到另一个房间；</w:t>
            </w:r>
          </w:p>
          <w:p>
            <w:pPr>
              <w:pStyle w:val="TableParagraph"/>
              <w:spacing w:before="37"/>
              <w:ind w:left="200"/>
              <w:rPr>
                <w:sz w:val="21"/>
              </w:rPr>
            </w:pPr>
            <w:r>
              <w:rPr>
                <w:sz w:val="21"/>
              </w:rPr>
              <w:t>3．行动：自己上下床或上下轮椅；</w:t>
            </w:r>
          </w:p>
          <w:p>
            <w:pPr>
              <w:pStyle w:val="TableParagraph"/>
              <w:spacing w:before="37"/>
              <w:ind w:left="200"/>
              <w:rPr>
                <w:sz w:val="21"/>
              </w:rPr>
            </w:pPr>
            <w:r>
              <w:rPr>
                <w:sz w:val="21"/>
              </w:rPr>
              <w:t>4．如厕：自己控制进行大小便；</w:t>
            </w:r>
          </w:p>
          <w:p>
            <w:pPr>
              <w:pStyle w:val="TableParagraph"/>
              <w:spacing w:before="37"/>
              <w:ind w:left="200"/>
              <w:rPr>
                <w:sz w:val="21"/>
              </w:rPr>
            </w:pPr>
            <w:r>
              <w:rPr>
                <w:sz w:val="21"/>
              </w:rPr>
              <w:t>5．进食：自己从已准备好的碗或碟中取食物放入口中；</w:t>
            </w:r>
          </w:p>
          <w:p>
            <w:pPr>
              <w:pStyle w:val="TableParagraph"/>
              <w:spacing w:before="37"/>
              <w:ind w:left="200"/>
              <w:rPr>
                <w:sz w:val="21"/>
              </w:rPr>
            </w:pPr>
            <w:r>
              <w:rPr>
                <w:sz w:val="21"/>
              </w:rPr>
              <w:t>6．洗澡：自己进行淋浴或盆浴。</w:t>
            </w:r>
          </w:p>
          <w:p>
            <w:pPr>
              <w:pStyle w:val="TableParagraph"/>
              <w:spacing w:before="9"/>
              <w:rPr>
                <w:sz w:val="26"/>
              </w:rPr>
            </w:pPr>
          </w:p>
          <w:p>
            <w:pPr>
              <w:pStyle w:val="TableParagraph"/>
              <w:ind w:left="200"/>
              <w:rPr>
                <w:sz w:val="21"/>
              </w:rPr>
            </w:pPr>
            <w:r>
              <w:rPr>
                <w:sz w:val="21"/>
              </w:rPr>
              <w:t>（四）永久不可逆</w:t>
            </w:r>
          </w:p>
          <w:p>
            <w:pPr>
              <w:pStyle w:val="TableParagraph"/>
              <w:spacing w:line="310" w:lineRule="atLeast" w:before="2"/>
              <w:ind w:left="200" w:right="266"/>
              <w:rPr>
                <w:sz w:val="21"/>
              </w:rPr>
            </w:pPr>
            <w:r>
              <w:rPr>
                <w:spacing w:val="-5"/>
                <w:sz w:val="21"/>
              </w:rPr>
              <w:t>永久不可逆是指自疾病确诊或意外伤害发生之日起，经过积极治疗 </w:t>
            </w:r>
            <w:r>
              <w:rPr>
                <w:sz w:val="21"/>
              </w:rPr>
              <w:t>180</w:t>
            </w:r>
            <w:r>
              <w:rPr>
                <w:spacing w:val="-12"/>
                <w:sz w:val="21"/>
              </w:rPr>
              <w:t> 天后， </w:t>
            </w:r>
            <w:r>
              <w:rPr>
                <w:spacing w:val="-3"/>
                <w:sz w:val="21"/>
              </w:rPr>
              <w:t>仍无法通过现有医疗手段恢复。</w:t>
            </w:r>
          </w:p>
        </w:tc>
      </w:tr>
    </w:tbl>
    <w:p>
      <w:pPr>
        <w:spacing w:after="0" w:line="310" w:lineRule="atLeast"/>
        <w:rPr>
          <w:sz w:val="21"/>
        </w:rPr>
        <w:sectPr>
          <w:pgSz w:w="11910" w:h="16840"/>
          <w:pgMar w:top="1380" w:bottom="280" w:left="1680" w:right="6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909"/>
        <w:gridCol w:w="7416"/>
      </w:tblGrid>
      <w:tr>
        <w:trPr>
          <w:trHeight w:val="730" w:hRule="atLeast"/>
        </w:trPr>
        <w:tc>
          <w:tcPr>
            <w:tcW w:w="730" w:type="dxa"/>
          </w:tcPr>
          <w:p>
            <w:pPr>
              <w:pStyle w:val="TableParagraph"/>
              <w:rPr>
                <w:rFonts w:ascii="Times New Roman"/>
                <w:sz w:val="20"/>
              </w:rPr>
            </w:pPr>
          </w:p>
        </w:tc>
        <w:tc>
          <w:tcPr>
            <w:tcW w:w="1909" w:type="dxa"/>
          </w:tcPr>
          <w:p>
            <w:pPr>
              <w:pStyle w:val="TableParagraph"/>
              <w:rPr>
                <w:rFonts w:ascii="Times New Roman"/>
                <w:sz w:val="20"/>
              </w:rPr>
            </w:pPr>
          </w:p>
        </w:tc>
        <w:tc>
          <w:tcPr>
            <w:tcW w:w="7416" w:type="dxa"/>
          </w:tcPr>
          <w:p>
            <w:pPr>
              <w:pStyle w:val="TableParagraph"/>
              <w:spacing w:line="206" w:lineRule="exact"/>
              <w:ind w:left="112"/>
              <w:rPr>
                <w:sz w:val="21"/>
              </w:rPr>
            </w:pPr>
            <w:r>
              <w:rPr>
                <w:sz w:val="21"/>
              </w:rPr>
              <w:t>（五）三大关节</w:t>
            </w:r>
          </w:p>
          <w:p>
            <w:pPr>
              <w:pStyle w:val="TableParagraph"/>
              <w:spacing w:before="37"/>
              <w:ind w:left="112"/>
              <w:rPr>
                <w:sz w:val="21"/>
              </w:rPr>
            </w:pPr>
            <w:r>
              <w:rPr>
                <w:sz w:val="21"/>
              </w:rPr>
              <w:t>上肢三大关节是指肩、肘、腕关节，下肢三大关节是指髋、膝、踝关节。</w:t>
            </w:r>
          </w:p>
        </w:tc>
      </w:tr>
      <w:tr>
        <w:trPr>
          <w:trHeight w:val="936" w:hRule="atLeast"/>
        </w:trPr>
        <w:tc>
          <w:tcPr>
            <w:tcW w:w="730" w:type="dxa"/>
          </w:tcPr>
          <w:p>
            <w:pPr>
              <w:pStyle w:val="TableParagraph"/>
              <w:spacing w:before="137"/>
              <w:ind w:right="105"/>
              <w:jc w:val="right"/>
              <w:rPr>
                <w:b/>
                <w:sz w:val="21"/>
              </w:rPr>
            </w:pPr>
            <w:r>
              <w:rPr>
                <w:b/>
                <w:sz w:val="21"/>
              </w:rPr>
              <w:t>7.7</w:t>
            </w:r>
          </w:p>
        </w:tc>
        <w:tc>
          <w:tcPr>
            <w:tcW w:w="1909" w:type="dxa"/>
          </w:tcPr>
          <w:p>
            <w:pPr>
              <w:pStyle w:val="TableParagraph"/>
              <w:spacing w:before="137"/>
              <w:ind w:left="108"/>
              <w:rPr>
                <w:b/>
                <w:sz w:val="21"/>
              </w:rPr>
            </w:pPr>
            <w:r>
              <w:rPr>
                <w:b/>
                <w:sz w:val="21"/>
              </w:rPr>
              <w:t>身故或全残之日</w:t>
            </w:r>
          </w:p>
        </w:tc>
        <w:tc>
          <w:tcPr>
            <w:tcW w:w="7416" w:type="dxa"/>
          </w:tcPr>
          <w:p>
            <w:pPr>
              <w:pStyle w:val="TableParagraph"/>
              <w:spacing w:line="273" w:lineRule="auto" w:before="137"/>
              <w:ind w:left="112" w:right="145"/>
              <w:rPr>
                <w:sz w:val="21"/>
              </w:rPr>
            </w:pPr>
            <w:r>
              <w:rPr>
                <w:sz w:val="21"/>
              </w:rPr>
              <w:t>身故之日是指被保险人死亡证明文件确定的身故之日；全残之日是指被保险人按照本附加合同的约定接受全残鉴定之日。</w:t>
            </w:r>
          </w:p>
        </w:tc>
      </w:tr>
      <w:tr>
        <w:trPr>
          <w:trHeight w:val="936" w:hRule="atLeast"/>
        </w:trPr>
        <w:tc>
          <w:tcPr>
            <w:tcW w:w="730" w:type="dxa"/>
          </w:tcPr>
          <w:p>
            <w:pPr>
              <w:pStyle w:val="TableParagraph"/>
              <w:spacing w:before="137"/>
              <w:ind w:right="105"/>
              <w:jc w:val="right"/>
              <w:rPr>
                <w:b/>
                <w:sz w:val="21"/>
              </w:rPr>
            </w:pPr>
            <w:r>
              <w:rPr>
                <w:b/>
                <w:sz w:val="21"/>
              </w:rPr>
              <w:t>7.8</w:t>
            </w:r>
          </w:p>
        </w:tc>
        <w:tc>
          <w:tcPr>
            <w:tcW w:w="1909" w:type="dxa"/>
          </w:tcPr>
          <w:p>
            <w:pPr>
              <w:pStyle w:val="TableParagraph"/>
              <w:spacing w:before="137"/>
              <w:ind w:left="108"/>
              <w:rPr>
                <w:b/>
                <w:sz w:val="21"/>
              </w:rPr>
            </w:pPr>
            <w:r>
              <w:rPr>
                <w:b/>
                <w:sz w:val="21"/>
              </w:rPr>
              <w:t>初次发生</w:t>
            </w:r>
          </w:p>
        </w:tc>
        <w:tc>
          <w:tcPr>
            <w:tcW w:w="7416" w:type="dxa"/>
          </w:tcPr>
          <w:p>
            <w:pPr>
              <w:pStyle w:val="TableParagraph"/>
              <w:spacing w:line="273" w:lineRule="auto" w:before="137"/>
              <w:ind w:left="112" w:right="145"/>
              <w:rPr>
                <w:sz w:val="21"/>
              </w:rPr>
            </w:pPr>
            <w:r>
              <w:rPr>
                <w:sz w:val="21"/>
              </w:rPr>
              <w:t>指被保险人首次出现重大疾病的前兆或异常的身体状况，包括与重大疾病相关的症状及体征。</w:t>
            </w:r>
          </w:p>
        </w:tc>
      </w:tr>
      <w:tr>
        <w:trPr>
          <w:trHeight w:val="1560" w:hRule="atLeast"/>
        </w:trPr>
        <w:tc>
          <w:tcPr>
            <w:tcW w:w="730" w:type="dxa"/>
          </w:tcPr>
          <w:p>
            <w:pPr>
              <w:pStyle w:val="TableParagraph"/>
              <w:spacing w:before="137"/>
              <w:ind w:right="105"/>
              <w:jc w:val="right"/>
              <w:rPr>
                <w:b/>
                <w:sz w:val="21"/>
              </w:rPr>
            </w:pPr>
            <w:r>
              <w:rPr>
                <w:b/>
                <w:sz w:val="21"/>
              </w:rPr>
              <w:t>7.9</w:t>
            </w:r>
          </w:p>
        </w:tc>
        <w:tc>
          <w:tcPr>
            <w:tcW w:w="1909" w:type="dxa"/>
          </w:tcPr>
          <w:p>
            <w:pPr>
              <w:pStyle w:val="TableParagraph"/>
              <w:spacing w:before="137"/>
              <w:ind w:left="108"/>
              <w:rPr>
                <w:b/>
                <w:sz w:val="21"/>
              </w:rPr>
            </w:pPr>
            <w:r>
              <w:rPr>
                <w:b/>
                <w:sz w:val="21"/>
              </w:rPr>
              <w:t>医院</w:t>
            </w:r>
          </w:p>
        </w:tc>
        <w:tc>
          <w:tcPr>
            <w:tcW w:w="7416" w:type="dxa"/>
          </w:tcPr>
          <w:p>
            <w:pPr>
              <w:pStyle w:val="TableParagraph"/>
              <w:spacing w:line="273" w:lineRule="auto" w:before="137"/>
              <w:ind w:left="112" w:right="198"/>
              <w:jc w:val="both"/>
              <w:rPr>
                <w:sz w:val="21"/>
              </w:rPr>
            </w:pPr>
            <w:r>
              <w:rPr>
                <w:spacing w:val="-5"/>
                <w:sz w:val="21"/>
              </w:rPr>
              <w:t>指国家卫生部医院等级分类中的二级或二级以上的公立医院，但不包括附属于</w:t>
            </w:r>
            <w:r>
              <w:rPr>
                <w:spacing w:val="-9"/>
                <w:sz w:val="21"/>
              </w:rPr>
              <w:t>前述医院或单独作为诊所、康复、护理、疗养、戒酒、戒毒等或相类似的医疗</w:t>
            </w:r>
            <w:r>
              <w:rPr>
                <w:spacing w:val="-8"/>
                <w:sz w:val="21"/>
              </w:rPr>
              <w:t>机构。同时该医院必须具有符合有关医院管理规定设置标准的医疗设备，并且</w:t>
            </w:r>
            <w:r>
              <w:rPr>
                <w:spacing w:val="-5"/>
                <w:sz w:val="21"/>
              </w:rPr>
              <w:t>全日二十四小时有合格医师及护士驻院提供医疗和护理等服务。</w:t>
            </w:r>
          </w:p>
        </w:tc>
      </w:tr>
      <w:tr>
        <w:trPr>
          <w:trHeight w:val="2496" w:hRule="atLeast"/>
        </w:trPr>
        <w:tc>
          <w:tcPr>
            <w:tcW w:w="730" w:type="dxa"/>
          </w:tcPr>
          <w:p>
            <w:pPr>
              <w:pStyle w:val="TableParagraph"/>
              <w:spacing w:before="137"/>
              <w:ind w:right="105"/>
              <w:jc w:val="right"/>
              <w:rPr>
                <w:b/>
                <w:sz w:val="21"/>
              </w:rPr>
            </w:pPr>
            <w:r>
              <w:rPr>
                <w:b/>
                <w:w w:val="95"/>
                <w:sz w:val="21"/>
              </w:rPr>
              <w:t>7.10</w:t>
            </w:r>
          </w:p>
        </w:tc>
        <w:tc>
          <w:tcPr>
            <w:tcW w:w="1909" w:type="dxa"/>
          </w:tcPr>
          <w:p>
            <w:pPr>
              <w:pStyle w:val="TableParagraph"/>
              <w:spacing w:before="137"/>
              <w:ind w:left="108"/>
              <w:rPr>
                <w:b/>
                <w:sz w:val="21"/>
              </w:rPr>
            </w:pPr>
            <w:r>
              <w:rPr>
                <w:b/>
                <w:sz w:val="21"/>
              </w:rPr>
              <w:t>专科医生</w:t>
            </w:r>
          </w:p>
        </w:tc>
        <w:tc>
          <w:tcPr>
            <w:tcW w:w="7416" w:type="dxa"/>
          </w:tcPr>
          <w:p>
            <w:pPr>
              <w:pStyle w:val="TableParagraph"/>
              <w:spacing w:before="137"/>
              <w:ind w:left="112"/>
              <w:rPr>
                <w:sz w:val="21"/>
              </w:rPr>
            </w:pPr>
            <w:r>
              <w:rPr>
                <w:sz w:val="21"/>
              </w:rPr>
              <w:t>专科医生应当同时满足以下四项资格条件：</w:t>
            </w:r>
          </w:p>
          <w:p>
            <w:pPr>
              <w:pStyle w:val="TableParagraph"/>
              <w:spacing w:before="37"/>
              <w:ind w:left="112"/>
              <w:rPr>
                <w:sz w:val="21"/>
              </w:rPr>
            </w:pPr>
            <w:r>
              <w:rPr>
                <w:sz w:val="21"/>
              </w:rPr>
              <w:t>（1）具有有效的中华人民共和国《医师资格证书》；</w:t>
            </w:r>
          </w:p>
          <w:p>
            <w:pPr>
              <w:pStyle w:val="TableParagraph"/>
              <w:spacing w:line="273" w:lineRule="auto" w:before="37"/>
              <w:ind w:left="112" w:right="196"/>
              <w:rPr>
                <w:sz w:val="21"/>
              </w:rPr>
            </w:pPr>
            <w:r>
              <w:rPr>
                <w:spacing w:val="-5"/>
                <w:sz w:val="21"/>
              </w:rPr>
              <w:t>（2）</w:t>
            </w:r>
            <w:r>
              <w:rPr>
                <w:spacing w:val="-12"/>
                <w:sz w:val="21"/>
              </w:rPr>
              <w:t>具有有效的中华人民共和国《医师执业证书》，并按期到相关部门登记注册；</w:t>
            </w:r>
          </w:p>
          <w:p>
            <w:pPr>
              <w:pStyle w:val="TableParagraph"/>
              <w:spacing w:line="273" w:lineRule="auto" w:before="7"/>
              <w:ind w:left="112" w:right="260"/>
              <w:rPr>
                <w:sz w:val="21"/>
              </w:rPr>
            </w:pPr>
            <w:r>
              <w:rPr>
                <w:sz w:val="21"/>
              </w:rPr>
              <w:t>（3）具有有效的中华人民共和国主治医师或主治医师以上职称的《医师职称证书》；</w:t>
            </w:r>
          </w:p>
          <w:p>
            <w:pPr>
              <w:pStyle w:val="TableParagraph"/>
              <w:spacing w:before="7"/>
              <w:ind w:left="112"/>
              <w:rPr>
                <w:sz w:val="21"/>
              </w:rPr>
            </w:pPr>
            <w:r>
              <w:rPr>
                <w:sz w:val="21"/>
              </w:rPr>
              <w:t>（4）在二级或二级以上医院的相应科室从事临床工作三年以上。</w:t>
            </w:r>
          </w:p>
        </w:tc>
      </w:tr>
      <w:tr>
        <w:trPr>
          <w:trHeight w:val="936" w:hRule="atLeast"/>
        </w:trPr>
        <w:tc>
          <w:tcPr>
            <w:tcW w:w="730" w:type="dxa"/>
          </w:tcPr>
          <w:p>
            <w:pPr>
              <w:pStyle w:val="TableParagraph"/>
              <w:spacing w:before="137"/>
              <w:ind w:right="105"/>
              <w:jc w:val="right"/>
              <w:rPr>
                <w:b/>
                <w:sz w:val="21"/>
              </w:rPr>
            </w:pPr>
            <w:r>
              <w:rPr>
                <w:b/>
                <w:w w:val="95"/>
                <w:sz w:val="21"/>
              </w:rPr>
              <w:t>7.11</w:t>
            </w:r>
          </w:p>
        </w:tc>
        <w:tc>
          <w:tcPr>
            <w:tcW w:w="1909" w:type="dxa"/>
          </w:tcPr>
          <w:p>
            <w:pPr>
              <w:pStyle w:val="TableParagraph"/>
              <w:spacing w:before="137"/>
              <w:ind w:left="108"/>
              <w:rPr>
                <w:b/>
                <w:sz w:val="21"/>
              </w:rPr>
            </w:pPr>
            <w:r>
              <w:rPr>
                <w:b/>
                <w:sz w:val="21"/>
              </w:rPr>
              <w:t>确诊日</w:t>
            </w:r>
          </w:p>
        </w:tc>
        <w:tc>
          <w:tcPr>
            <w:tcW w:w="7416" w:type="dxa"/>
          </w:tcPr>
          <w:p>
            <w:pPr>
              <w:pStyle w:val="TableParagraph"/>
              <w:spacing w:line="273" w:lineRule="auto" w:before="137"/>
              <w:ind w:left="112" w:right="198"/>
              <w:rPr>
                <w:sz w:val="21"/>
              </w:rPr>
            </w:pPr>
            <w:r>
              <w:rPr>
                <w:spacing w:val="-7"/>
                <w:sz w:val="21"/>
              </w:rPr>
              <w:t>指满足本附加合同“重大疾病”定义所有条件之日。恶性肿瘤的确定以明确诊</w:t>
            </w:r>
            <w:r>
              <w:rPr>
                <w:spacing w:val="-5"/>
                <w:sz w:val="21"/>
              </w:rPr>
              <w:t>断该类疾病的病检标本提取日为准。</w:t>
            </w:r>
          </w:p>
        </w:tc>
      </w:tr>
      <w:tr>
        <w:trPr>
          <w:trHeight w:val="1560" w:hRule="atLeast"/>
        </w:trPr>
        <w:tc>
          <w:tcPr>
            <w:tcW w:w="730" w:type="dxa"/>
          </w:tcPr>
          <w:p>
            <w:pPr>
              <w:pStyle w:val="TableParagraph"/>
              <w:spacing w:before="137"/>
              <w:ind w:right="105"/>
              <w:jc w:val="right"/>
              <w:rPr>
                <w:b/>
                <w:sz w:val="21"/>
              </w:rPr>
            </w:pPr>
            <w:r>
              <w:rPr>
                <w:b/>
                <w:w w:val="95"/>
                <w:sz w:val="21"/>
              </w:rPr>
              <w:t>7.12</w:t>
            </w:r>
          </w:p>
        </w:tc>
        <w:tc>
          <w:tcPr>
            <w:tcW w:w="1909" w:type="dxa"/>
          </w:tcPr>
          <w:p>
            <w:pPr>
              <w:pStyle w:val="TableParagraph"/>
              <w:spacing w:before="137"/>
              <w:ind w:left="108"/>
              <w:rPr>
                <w:b/>
                <w:sz w:val="21"/>
              </w:rPr>
            </w:pPr>
            <w:r>
              <w:rPr>
                <w:b/>
                <w:sz w:val="21"/>
              </w:rPr>
              <w:t>毒品</w:t>
            </w:r>
          </w:p>
        </w:tc>
        <w:tc>
          <w:tcPr>
            <w:tcW w:w="7416" w:type="dxa"/>
          </w:tcPr>
          <w:p>
            <w:pPr>
              <w:pStyle w:val="TableParagraph"/>
              <w:spacing w:line="273" w:lineRule="auto" w:before="137"/>
              <w:ind w:left="112" w:right="198"/>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8"/>
                <w:sz w:val="21"/>
              </w:rPr>
              <w:t>品，但不包括由医生开具并遵医嘱使用的用于治疗疾病但含有毒品成分的处方药品。</w:t>
            </w:r>
          </w:p>
        </w:tc>
      </w:tr>
      <w:tr>
        <w:trPr>
          <w:trHeight w:val="1251" w:hRule="atLeast"/>
        </w:trPr>
        <w:tc>
          <w:tcPr>
            <w:tcW w:w="730" w:type="dxa"/>
          </w:tcPr>
          <w:p>
            <w:pPr>
              <w:pStyle w:val="TableParagraph"/>
              <w:spacing w:before="137"/>
              <w:ind w:right="105"/>
              <w:jc w:val="right"/>
              <w:rPr>
                <w:b/>
                <w:sz w:val="21"/>
              </w:rPr>
            </w:pPr>
            <w:r>
              <w:rPr>
                <w:b/>
                <w:w w:val="95"/>
                <w:sz w:val="21"/>
              </w:rPr>
              <w:t>7.13</w:t>
            </w:r>
          </w:p>
        </w:tc>
        <w:tc>
          <w:tcPr>
            <w:tcW w:w="1909" w:type="dxa"/>
          </w:tcPr>
          <w:p>
            <w:pPr>
              <w:pStyle w:val="TableParagraph"/>
              <w:spacing w:before="137"/>
              <w:ind w:left="108"/>
              <w:rPr>
                <w:b/>
                <w:sz w:val="21"/>
              </w:rPr>
            </w:pPr>
            <w:r>
              <w:rPr>
                <w:b/>
                <w:sz w:val="21"/>
              </w:rPr>
              <w:t>酒后驾驶</w:t>
            </w:r>
          </w:p>
        </w:tc>
        <w:tc>
          <w:tcPr>
            <w:tcW w:w="7416" w:type="dxa"/>
          </w:tcPr>
          <w:p>
            <w:pPr>
              <w:pStyle w:val="TableParagraph"/>
              <w:spacing w:line="273" w:lineRule="auto" w:before="137"/>
              <w:ind w:left="112" w:right="198"/>
              <w:jc w:val="both"/>
              <w:rPr>
                <w:sz w:val="21"/>
              </w:rPr>
            </w:pPr>
            <w:r>
              <w:rPr>
                <w:spacing w:val="-8"/>
                <w:sz w:val="21"/>
              </w:rPr>
              <w:t>指经检测或鉴定，发生事故时车辆驾驶人员每百毫升血液中的酒精含量达到或</w:t>
            </w:r>
            <w:r>
              <w:rPr>
                <w:spacing w:val="-9"/>
                <w:sz w:val="21"/>
              </w:rPr>
              <w:t>超过一定的标准，公安机关交通管理部门依据《道路交通安全法》的规定认定</w:t>
            </w:r>
            <w:r>
              <w:rPr>
                <w:spacing w:val="-5"/>
                <w:sz w:val="21"/>
              </w:rPr>
              <w:t>为饮酒后驾驶或醉酒后驾驶。</w:t>
            </w:r>
          </w:p>
        </w:tc>
      </w:tr>
      <w:tr>
        <w:trPr>
          <w:trHeight w:val="2187" w:hRule="atLeast"/>
        </w:trPr>
        <w:tc>
          <w:tcPr>
            <w:tcW w:w="730" w:type="dxa"/>
          </w:tcPr>
          <w:p>
            <w:pPr>
              <w:pStyle w:val="TableParagraph"/>
              <w:spacing w:before="141"/>
              <w:ind w:right="105"/>
              <w:jc w:val="right"/>
              <w:rPr>
                <w:b/>
                <w:sz w:val="21"/>
              </w:rPr>
            </w:pPr>
            <w:r>
              <w:rPr>
                <w:b/>
                <w:w w:val="95"/>
                <w:sz w:val="21"/>
              </w:rPr>
              <w:t>7.14</w:t>
            </w:r>
          </w:p>
        </w:tc>
        <w:tc>
          <w:tcPr>
            <w:tcW w:w="1909" w:type="dxa"/>
          </w:tcPr>
          <w:p>
            <w:pPr>
              <w:pStyle w:val="TableParagraph"/>
              <w:spacing w:line="278" w:lineRule="auto" w:before="165"/>
              <w:ind w:left="108" w:right="110"/>
              <w:rPr>
                <w:b/>
                <w:sz w:val="21"/>
              </w:rPr>
            </w:pPr>
            <w:r>
              <w:rPr>
                <w:b/>
                <w:sz w:val="21"/>
              </w:rPr>
              <w:t>无合法有效驾驶证驾驶</w:t>
            </w:r>
          </w:p>
        </w:tc>
        <w:tc>
          <w:tcPr>
            <w:tcW w:w="7416" w:type="dxa"/>
          </w:tcPr>
          <w:p>
            <w:pPr>
              <w:pStyle w:val="TableParagraph"/>
              <w:spacing w:before="141"/>
              <w:ind w:left="112"/>
              <w:rPr>
                <w:sz w:val="21"/>
              </w:rPr>
            </w:pPr>
            <w:r>
              <w:rPr>
                <w:sz w:val="21"/>
              </w:rPr>
              <w:t>指下列情形之一：</w:t>
            </w:r>
          </w:p>
          <w:p>
            <w:pPr>
              <w:pStyle w:val="TableParagraph"/>
              <w:spacing w:before="37"/>
              <w:ind w:left="112"/>
              <w:rPr>
                <w:sz w:val="21"/>
              </w:rPr>
            </w:pPr>
            <w:r>
              <w:rPr>
                <w:sz w:val="21"/>
              </w:rPr>
              <w:t>（1）没有取得驾驶资格；</w:t>
            </w:r>
          </w:p>
          <w:p>
            <w:pPr>
              <w:pStyle w:val="TableParagraph"/>
              <w:spacing w:before="37"/>
              <w:ind w:left="112"/>
              <w:rPr>
                <w:sz w:val="21"/>
              </w:rPr>
            </w:pPr>
            <w:r>
              <w:rPr>
                <w:sz w:val="21"/>
              </w:rPr>
              <w:t>（2）驾驶与驾驶证准驾车型不相符合的车辆；</w:t>
            </w:r>
          </w:p>
          <w:p>
            <w:pPr>
              <w:pStyle w:val="TableParagraph"/>
              <w:spacing w:before="37"/>
              <w:ind w:left="112"/>
              <w:rPr>
                <w:sz w:val="21"/>
              </w:rPr>
            </w:pPr>
            <w:r>
              <w:rPr>
                <w:sz w:val="21"/>
              </w:rPr>
              <w:t>（3）持审验不合格的驾驶证驾驶；</w:t>
            </w:r>
          </w:p>
          <w:p>
            <w:pPr>
              <w:pStyle w:val="TableParagraph"/>
              <w:spacing w:line="273" w:lineRule="auto" w:before="37"/>
              <w:ind w:left="638" w:right="260" w:hanging="526"/>
              <w:rPr>
                <w:sz w:val="21"/>
              </w:rPr>
            </w:pPr>
            <w:r>
              <w:rPr>
                <w:sz w:val="21"/>
              </w:rPr>
              <w:t>（4）持学习驾驶证学习驾车时，无教练员随车指导，或不按指定时间、路线学习驾车。</w:t>
            </w:r>
          </w:p>
        </w:tc>
      </w:tr>
      <w:tr>
        <w:trPr>
          <w:trHeight w:val="1248" w:hRule="atLeast"/>
        </w:trPr>
        <w:tc>
          <w:tcPr>
            <w:tcW w:w="730" w:type="dxa"/>
          </w:tcPr>
          <w:p>
            <w:pPr>
              <w:pStyle w:val="TableParagraph"/>
              <w:spacing w:before="137"/>
              <w:ind w:right="105"/>
              <w:jc w:val="right"/>
              <w:rPr>
                <w:b/>
                <w:sz w:val="21"/>
              </w:rPr>
            </w:pPr>
            <w:r>
              <w:rPr>
                <w:b/>
                <w:w w:val="95"/>
                <w:sz w:val="21"/>
              </w:rPr>
              <w:t>7.15</w:t>
            </w:r>
          </w:p>
        </w:tc>
        <w:tc>
          <w:tcPr>
            <w:tcW w:w="1909" w:type="dxa"/>
          </w:tcPr>
          <w:p>
            <w:pPr>
              <w:pStyle w:val="TableParagraph"/>
              <w:spacing w:before="137"/>
              <w:ind w:left="108"/>
              <w:rPr>
                <w:b/>
                <w:sz w:val="21"/>
              </w:rPr>
            </w:pPr>
            <w:r>
              <w:rPr>
                <w:b/>
                <w:sz w:val="21"/>
              </w:rPr>
              <w:t>无有效行驶证</w:t>
            </w:r>
          </w:p>
        </w:tc>
        <w:tc>
          <w:tcPr>
            <w:tcW w:w="7416" w:type="dxa"/>
          </w:tcPr>
          <w:p>
            <w:pPr>
              <w:pStyle w:val="TableParagraph"/>
              <w:spacing w:before="137"/>
              <w:ind w:left="112"/>
              <w:rPr>
                <w:sz w:val="21"/>
              </w:rPr>
            </w:pPr>
            <w:r>
              <w:rPr>
                <w:sz w:val="21"/>
              </w:rPr>
              <w:t>指下列情形之一：</w:t>
            </w:r>
          </w:p>
          <w:p>
            <w:pPr>
              <w:pStyle w:val="TableParagraph"/>
              <w:spacing w:before="37"/>
              <w:ind w:left="112"/>
              <w:rPr>
                <w:sz w:val="21"/>
              </w:rPr>
            </w:pPr>
            <w:r>
              <w:rPr>
                <w:sz w:val="21"/>
              </w:rPr>
              <w:t>（1）机动车被依法注销登记的；</w:t>
            </w:r>
          </w:p>
          <w:p>
            <w:pPr>
              <w:pStyle w:val="TableParagraph"/>
              <w:spacing w:before="37"/>
              <w:ind w:left="112"/>
              <w:rPr>
                <w:sz w:val="21"/>
              </w:rPr>
            </w:pPr>
            <w:r>
              <w:rPr>
                <w:sz w:val="21"/>
              </w:rPr>
              <w:t>（2）未依法按时进行或通过机动车安全技术检验。</w:t>
            </w:r>
          </w:p>
        </w:tc>
      </w:tr>
      <w:tr>
        <w:trPr>
          <w:trHeight w:val="417" w:hRule="atLeast"/>
        </w:trPr>
        <w:tc>
          <w:tcPr>
            <w:tcW w:w="730" w:type="dxa"/>
          </w:tcPr>
          <w:p>
            <w:pPr>
              <w:pStyle w:val="TableParagraph"/>
              <w:spacing w:line="260" w:lineRule="exact" w:before="137"/>
              <w:ind w:right="105"/>
              <w:jc w:val="right"/>
              <w:rPr>
                <w:b/>
                <w:sz w:val="21"/>
              </w:rPr>
            </w:pPr>
            <w:r>
              <w:rPr>
                <w:b/>
                <w:w w:val="95"/>
                <w:sz w:val="21"/>
              </w:rPr>
              <w:t>7.16</w:t>
            </w:r>
          </w:p>
        </w:tc>
        <w:tc>
          <w:tcPr>
            <w:tcW w:w="1909" w:type="dxa"/>
          </w:tcPr>
          <w:p>
            <w:pPr>
              <w:pStyle w:val="TableParagraph"/>
              <w:spacing w:line="260" w:lineRule="exact" w:before="137"/>
              <w:ind w:left="108"/>
              <w:rPr>
                <w:b/>
                <w:sz w:val="21"/>
              </w:rPr>
            </w:pPr>
            <w:r>
              <w:rPr>
                <w:b/>
                <w:sz w:val="21"/>
              </w:rPr>
              <w:t>感染艾滋病病毒或</w:t>
            </w:r>
          </w:p>
        </w:tc>
        <w:tc>
          <w:tcPr>
            <w:tcW w:w="7416" w:type="dxa"/>
          </w:tcPr>
          <w:p>
            <w:pPr>
              <w:pStyle w:val="TableParagraph"/>
              <w:spacing w:line="260" w:lineRule="exact" w:before="137"/>
              <w:ind w:left="112"/>
              <w:rPr>
                <w:sz w:val="21"/>
              </w:rPr>
            </w:pPr>
            <w:r>
              <w:rPr>
                <w:sz w:val="21"/>
              </w:rPr>
              <w:t>艾滋病病毒指人类免疫缺陷病毒，英文缩写为 HIV。艾滋病指人类免疫缺陷病</w:t>
            </w:r>
          </w:p>
        </w:tc>
      </w:tr>
    </w:tbl>
    <w:p>
      <w:pPr>
        <w:spacing w:after="0" w:line="260" w:lineRule="exact"/>
        <w:rPr>
          <w:sz w:val="21"/>
        </w:rPr>
        <w:sectPr>
          <w:pgSz w:w="11910" w:h="16840"/>
          <w:pgMar w:top="1380" w:bottom="280" w:left="920" w:right="7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909"/>
        <w:gridCol w:w="7416"/>
      </w:tblGrid>
      <w:tr>
        <w:trPr>
          <w:trHeight w:val="1666" w:hRule="atLeast"/>
        </w:trPr>
        <w:tc>
          <w:tcPr>
            <w:tcW w:w="730" w:type="dxa"/>
          </w:tcPr>
          <w:p>
            <w:pPr>
              <w:pStyle w:val="TableParagraph"/>
              <w:rPr>
                <w:rFonts w:ascii="Times New Roman"/>
                <w:sz w:val="20"/>
              </w:rPr>
            </w:pPr>
          </w:p>
        </w:tc>
        <w:tc>
          <w:tcPr>
            <w:tcW w:w="1909" w:type="dxa"/>
          </w:tcPr>
          <w:p>
            <w:pPr>
              <w:pStyle w:val="TableParagraph"/>
              <w:spacing w:line="206" w:lineRule="exact"/>
              <w:ind w:left="108"/>
              <w:rPr>
                <w:b/>
                <w:sz w:val="21"/>
              </w:rPr>
            </w:pPr>
            <w:r>
              <w:rPr>
                <w:b/>
                <w:sz w:val="21"/>
              </w:rPr>
              <w:t>患艾滋病</w:t>
            </w:r>
          </w:p>
        </w:tc>
        <w:tc>
          <w:tcPr>
            <w:tcW w:w="7416" w:type="dxa"/>
          </w:tcPr>
          <w:p>
            <w:pPr>
              <w:pStyle w:val="TableParagraph"/>
              <w:spacing w:line="206" w:lineRule="exact"/>
              <w:ind w:left="112"/>
              <w:rPr>
                <w:sz w:val="21"/>
              </w:rPr>
            </w:pPr>
            <w:r>
              <w:rPr>
                <w:sz w:val="21"/>
              </w:rPr>
              <w:t>毒引起的获得性免疫缺陷综合症，英文缩写为 AIDS。</w:t>
            </w:r>
          </w:p>
          <w:p>
            <w:pPr>
              <w:pStyle w:val="TableParagraph"/>
              <w:spacing w:before="9"/>
              <w:rPr>
                <w:sz w:val="26"/>
              </w:rPr>
            </w:pPr>
          </w:p>
          <w:p>
            <w:pPr>
              <w:pStyle w:val="TableParagraph"/>
              <w:spacing w:line="273" w:lineRule="auto"/>
              <w:ind w:left="112" w:right="198"/>
              <w:jc w:val="both"/>
              <w:rPr>
                <w:sz w:val="21"/>
              </w:rPr>
            </w:pPr>
            <w:r>
              <w:rPr>
                <w:spacing w:val="-5"/>
                <w:sz w:val="21"/>
              </w:rPr>
              <w:t>在人体血液或其它样本中检测到艾滋病病毒或其抗体呈阳性，没有出现临床症</w:t>
            </w:r>
            <w:r>
              <w:rPr>
                <w:spacing w:val="-8"/>
                <w:sz w:val="21"/>
              </w:rPr>
              <w:t>状或体征的，为感染艾滋病病毒；如果同时出现了明显临床症状或体征的，为</w:t>
            </w:r>
            <w:r>
              <w:rPr>
                <w:spacing w:val="-5"/>
                <w:sz w:val="21"/>
              </w:rPr>
              <w:t>患艾滋病。</w:t>
            </w:r>
          </w:p>
        </w:tc>
      </w:tr>
      <w:tr>
        <w:trPr>
          <w:trHeight w:val="936" w:hRule="atLeast"/>
        </w:trPr>
        <w:tc>
          <w:tcPr>
            <w:tcW w:w="730" w:type="dxa"/>
          </w:tcPr>
          <w:p>
            <w:pPr>
              <w:pStyle w:val="TableParagraph"/>
              <w:spacing w:before="137"/>
              <w:ind w:right="105"/>
              <w:jc w:val="right"/>
              <w:rPr>
                <w:b/>
                <w:sz w:val="21"/>
              </w:rPr>
            </w:pPr>
            <w:r>
              <w:rPr>
                <w:b/>
                <w:w w:val="95"/>
                <w:sz w:val="21"/>
              </w:rPr>
              <w:t>7.17</w:t>
            </w:r>
          </w:p>
        </w:tc>
        <w:tc>
          <w:tcPr>
            <w:tcW w:w="1909" w:type="dxa"/>
          </w:tcPr>
          <w:p>
            <w:pPr>
              <w:pStyle w:val="TableParagraph"/>
              <w:spacing w:before="137"/>
              <w:ind w:left="108"/>
              <w:rPr>
                <w:b/>
                <w:sz w:val="21"/>
              </w:rPr>
            </w:pPr>
            <w:r>
              <w:rPr>
                <w:b/>
                <w:sz w:val="21"/>
              </w:rPr>
              <w:t>遗传性疾病</w:t>
            </w:r>
          </w:p>
        </w:tc>
        <w:tc>
          <w:tcPr>
            <w:tcW w:w="7416" w:type="dxa"/>
          </w:tcPr>
          <w:p>
            <w:pPr>
              <w:pStyle w:val="TableParagraph"/>
              <w:spacing w:line="273" w:lineRule="auto" w:before="137"/>
              <w:ind w:left="112" w:right="140"/>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730" w:type="dxa"/>
          </w:tcPr>
          <w:p>
            <w:pPr>
              <w:pStyle w:val="TableParagraph"/>
              <w:spacing w:before="137"/>
              <w:ind w:right="105"/>
              <w:jc w:val="right"/>
              <w:rPr>
                <w:b/>
                <w:sz w:val="21"/>
              </w:rPr>
            </w:pPr>
            <w:r>
              <w:rPr>
                <w:b/>
                <w:w w:val="95"/>
                <w:sz w:val="21"/>
              </w:rPr>
              <w:t>7.18</w:t>
            </w:r>
          </w:p>
        </w:tc>
        <w:tc>
          <w:tcPr>
            <w:tcW w:w="1909" w:type="dxa"/>
          </w:tcPr>
          <w:p>
            <w:pPr>
              <w:pStyle w:val="TableParagraph"/>
              <w:spacing w:line="273" w:lineRule="auto" w:before="137"/>
              <w:ind w:left="108" w:right="109"/>
              <w:rPr>
                <w:b/>
                <w:sz w:val="21"/>
              </w:rPr>
            </w:pPr>
            <w:r>
              <w:rPr>
                <w:b/>
                <w:sz w:val="21"/>
              </w:rPr>
              <w:t>先天性畸形、变形或染色体异常</w:t>
            </w:r>
          </w:p>
        </w:tc>
        <w:tc>
          <w:tcPr>
            <w:tcW w:w="7416" w:type="dxa"/>
          </w:tcPr>
          <w:p>
            <w:pPr>
              <w:pStyle w:val="TableParagraph"/>
              <w:spacing w:line="273" w:lineRule="auto" w:before="137"/>
              <w:ind w:left="112" w:right="198"/>
              <w:jc w:val="both"/>
              <w:rPr>
                <w:sz w:val="21"/>
              </w:rPr>
            </w:pPr>
            <w:r>
              <w:rPr>
                <w:spacing w:val="-6"/>
                <w:sz w:val="21"/>
              </w:rPr>
              <w:t>指被保险人出生时就具有的畸形、变形或染色体异常。先天性畸形、变形和染</w:t>
            </w:r>
            <w:r>
              <w:rPr>
                <w:spacing w:val="-7"/>
                <w:w w:val="100"/>
                <w:sz w:val="21"/>
              </w:rPr>
              <w:t>色体异常依照世界卫生组织《疾病和有关健康问题的国际统计分类</w:t>
            </w:r>
            <w:r>
              <w:rPr>
                <w:spacing w:val="-3"/>
                <w:w w:val="100"/>
                <w:sz w:val="21"/>
              </w:rPr>
              <w:t>（</w:t>
            </w:r>
            <w:r>
              <w:rPr>
                <w:w w:val="100"/>
                <w:sz w:val="21"/>
              </w:rPr>
              <w:t>ICD</w:t>
            </w:r>
            <w:r>
              <w:rPr>
                <w:spacing w:val="-3"/>
                <w:w w:val="100"/>
                <w:sz w:val="21"/>
              </w:rPr>
              <w:t>-</w:t>
            </w:r>
            <w:r>
              <w:rPr>
                <w:w w:val="100"/>
                <w:sz w:val="21"/>
              </w:rPr>
              <w:t>10</w:t>
            </w:r>
            <w:r>
              <w:rPr>
                <w:spacing w:val="-108"/>
                <w:w w:val="100"/>
                <w:sz w:val="21"/>
              </w:rPr>
              <w:t>）》</w:t>
            </w:r>
            <w:r>
              <w:rPr>
                <w:sz w:val="21"/>
              </w:rPr>
              <w:t>确定。</w:t>
            </w:r>
          </w:p>
        </w:tc>
      </w:tr>
      <w:tr>
        <w:trPr>
          <w:trHeight w:val="1560" w:hRule="atLeast"/>
        </w:trPr>
        <w:tc>
          <w:tcPr>
            <w:tcW w:w="730" w:type="dxa"/>
          </w:tcPr>
          <w:p>
            <w:pPr>
              <w:pStyle w:val="TableParagraph"/>
              <w:spacing w:before="137"/>
              <w:ind w:right="105"/>
              <w:jc w:val="right"/>
              <w:rPr>
                <w:b/>
                <w:sz w:val="21"/>
              </w:rPr>
            </w:pPr>
            <w:r>
              <w:rPr>
                <w:b/>
                <w:w w:val="95"/>
                <w:sz w:val="21"/>
              </w:rPr>
              <w:t>7.19</w:t>
            </w:r>
          </w:p>
        </w:tc>
        <w:tc>
          <w:tcPr>
            <w:tcW w:w="1909" w:type="dxa"/>
          </w:tcPr>
          <w:p>
            <w:pPr>
              <w:pStyle w:val="TableParagraph"/>
              <w:spacing w:before="137"/>
              <w:ind w:left="108"/>
              <w:rPr>
                <w:b/>
                <w:sz w:val="21"/>
              </w:rPr>
            </w:pPr>
            <w:r>
              <w:rPr>
                <w:b/>
                <w:sz w:val="21"/>
              </w:rPr>
              <w:t>危险保额</w:t>
            </w:r>
          </w:p>
        </w:tc>
        <w:tc>
          <w:tcPr>
            <w:tcW w:w="7416" w:type="dxa"/>
          </w:tcPr>
          <w:p>
            <w:pPr>
              <w:pStyle w:val="TableParagraph"/>
              <w:spacing w:line="273" w:lineRule="auto" w:before="137"/>
              <w:ind w:left="112" w:right="196"/>
              <w:rPr>
                <w:sz w:val="21"/>
              </w:rPr>
            </w:pPr>
            <w:r>
              <w:rPr>
                <w:sz w:val="21"/>
              </w:rPr>
              <w:t>指本附加合同生效日零时所豁免的年交保险费金额乘以危险保额系数后的数值。本附加合同危险保额系数根据主合同或保险期间超过 1 年的附加合同的</w:t>
            </w:r>
          </w:p>
          <w:p>
            <w:pPr>
              <w:pStyle w:val="TableParagraph"/>
              <w:spacing w:line="273" w:lineRule="auto" w:before="7"/>
              <w:ind w:left="112" w:right="198"/>
              <w:rPr>
                <w:sz w:val="21"/>
              </w:rPr>
            </w:pPr>
            <w:r>
              <w:rPr>
                <w:spacing w:val="-9"/>
                <w:sz w:val="21"/>
              </w:rPr>
              <w:t>剩余保单年度确定。剩余保单年度指主合同或保险期间超过 </w:t>
            </w:r>
            <w:r>
              <w:rPr>
                <w:sz w:val="21"/>
              </w:rPr>
              <w:t>1</w:t>
            </w:r>
            <w:r>
              <w:rPr>
                <w:spacing w:val="-8"/>
                <w:sz w:val="21"/>
              </w:rPr>
              <w:t> 年的附加合同的</w:t>
            </w:r>
            <w:r>
              <w:rPr>
                <w:spacing w:val="-5"/>
                <w:sz w:val="21"/>
              </w:rPr>
              <w:t>剩余交费年度数。</w:t>
            </w:r>
          </w:p>
        </w:tc>
      </w:tr>
      <w:tr>
        <w:trPr>
          <w:trHeight w:val="729" w:hRule="atLeast"/>
        </w:trPr>
        <w:tc>
          <w:tcPr>
            <w:tcW w:w="730" w:type="dxa"/>
          </w:tcPr>
          <w:p>
            <w:pPr>
              <w:pStyle w:val="TableParagraph"/>
              <w:spacing w:before="137"/>
              <w:ind w:right="105"/>
              <w:jc w:val="right"/>
              <w:rPr>
                <w:b/>
                <w:sz w:val="21"/>
              </w:rPr>
            </w:pPr>
            <w:r>
              <w:rPr>
                <w:b/>
                <w:w w:val="95"/>
                <w:sz w:val="21"/>
              </w:rPr>
              <w:t>7.20</w:t>
            </w:r>
          </w:p>
        </w:tc>
        <w:tc>
          <w:tcPr>
            <w:tcW w:w="1909" w:type="dxa"/>
          </w:tcPr>
          <w:p>
            <w:pPr>
              <w:pStyle w:val="TableParagraph"/>
              <w:spacing w:before="137"/>
              <w:ind w:left="108"/>
              <w:rPr>
                <w:b/>
                <w:sz w:val="21"/>
              </w:rPr>
            </w:pPr>
            <w:r>
              <w:rPr>
                <w:b/>
                <w:sz w:val="21"/>
              </w:rPr>
              <w:t>保险费约定支付日</w:t>
            </w:r>
          </w:p>
        </w:tc>
        <w:tc>
          <w:tcPr>
            <w:tcW w:w="7416" w:type="dxa"/>
          </w:tcPr>
          <w:p>
            <w:pPr>
              <w:pStyle w:val="TableParagraph"/>
              <w:spacing w:line="310" w:lineRule="atLeast" w:before="102"/>
              <w:ind w:left="112" w:right="144"/>
              <w:rPr>
                <w:sz w:val="21"/>
              </w:rPr>
            </w:pPr>
            <w:r>
              <w:rPr>
                <w:sz w:val="21"/>
              </w:rPr>
              <w:t>指保险合同生效日在每月、每季、每半年或每年（根据交费方式确定）的对应日。如果当月无对应的同一日，则以该月最后一日为对应日。</w:t>
            </w:r>
          </w:p>
        </w:tc>
      </w:tr>
    </w:tbl>
    <w:sectPr>
      <w:pgSz w:w="11910" w:h="16840"/>
      <w:pgMar w:top="1380" w:bottom="280" w:left="9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Microsoft JhengHei UI">
    <w:altName w:val="Microsoft JhengHei UI"/>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31" w:hanging="632"/>
        <w:jc w:val="left"/>
      </w:pPr>
      <w:rPr>
        <w:rFonts w:hint="default" w:ascii="宋体" w:hAnsi="宋体" w:eastAsia="宋体" w:cs="宋体"/>
        <w:w w:val="100"/>
        <w:sz w:val="21"/>
        <w:szCs w:val="21"/>
      </w:rPr>
    </w:lvl>
    <w:lvl w:ilvl="1">
      <w:start w:val="0"/>
      <w:numFmt w:val="bullet"/>
      <w:lvlText w:val="•"/>
      <w:lvlJc w:val="left"/>
      <w:pPr>
        <w:ind w:left="1516" w:hanging="632"/>
      </w:pPr>
      <w:rPr>
        <w:rFonts w:hint="default"/>
      </w:rPr>
    </w:lvl>
    <w:lvl w:ilvl="2">
      <w:start w:val="0"/>
      <w:numFmt w:val="bullet"/>
      <w:lvlText w:val="•"/>
      <w:lvlJc w:val="left"/>
      <w:pPr>
        <w:ind w:left="2193" w:hanging="632"/>
      </w:pPr>
      <w:rPr>
        <w:rFonts w:hint="default"/>
      </w:rPr>
    </w:lvl>
    <w:lvl w:ilvl="3">
      <w:start w:val="0"/>
      <w:numFmt w:val="bullet"/>
      <w:lvlText w:val="•"/>
      <w:lvlJc w:val="left"/>
      <w:pPr>
        <w:ind w:left="2870" w:hanging="632"/>
      </w:pPr>
      <w:rPr>
        <w:rFonts w:hint="default"/>
      </w:rPr>
    </w:lvl>
    <w:lvl w:ilvl="4">
      <w:start w:val="0"/>
      <w:numFmt w:val="bullet"/>
      <w:lvlText w:val="•"/>
      <w:lvlJc w:val="left"/>
      <w:pPr>
        <w:ind w:left="3547" w:hanging="632"/>
      </w:pPr>
      <w:rPr>
        <w:rFonts w:hint="default"/>
      </w:rPr>
    </w:lvl>
    <w:lvl w:ilvl="5">
      <w:start w:val="0"/>
      <w:numFmt w:val="bullet"/>
      <w:lvlText w:val="•"/>
      <w:lvlJc w:val="left"/>
      <w:pPr>
        <w:ind w:left="4224" w:hanging="632"/>
      </w:pPr>
      <w:rPr>
        <w:rFonts w:hint="default"/>
      </w:rPr>
    </w:lvl>
    <w:lvl w:ilvl="6">
      <w:start w:val="0"/>
      <w:numFmt w:val="bullet"/>
      <w:lvlText w:val="•"/>
      <w:lvlJc w:val="left"/>
      <w:pPr>
        <w:ind w:left="4900" w:hanging="632"/>
      </w:pPr>
      <w:rPr>
        <w:rFonts w:hint="default"/>
      </w:rPr>
    </w:lvl>
    <w:lvl w:ilvl="7">
      <w:start w:val="0"/>
      <w:numFmt w:val="bullet"/>
      <w:lvlText w:val="•"/>
      <w:lvlJc w:val="left"/>
      <w:pPr>
        <w:ind w:left="5577" w:hanging="632"/>
      </w:pPr>
      <w:rPr>
        <w:rFonts w:hint="default"/>
      </w:rPr>
    </w:lvl>
    <w:lvl w:ilvl="8">
      <w:start w:val="0"/>
      <w:numFmt w:val="bullet"/>
      <w:lvlText w:val="•"/>
      <w:lvlJc w:val="left"/>
      <w:pPr>
        <w:ind w:left="6254" w:hanging="632"/>
      </w:pPr>
      <w:rPr>
        <w:rFonts w:hint="default"/>
      </w:rPr>
    </w:lvl>
  </w:abstractNum>
  <w:abstractNum w:abstractNumId="3">
    <w:multiLevelType w:val="hybridMultilevel"/>
    <w:lvl w:ilvl="0">
      <w:start w:val="1"/>
      <w:numFmt w:val="decimal"/>
      <w:lvlText w:val="(%1)"/>
      <w:lvlJc w:val="left"/>
      <w:pPr>
        <w:ind w:left="200" w:hanging="423"/>
        <w:jc w:val="left"/>
      </w:pPr>
      <w:rPr>
        <w:rFonts w:hint="default" w:ascii="宋体" w:hAnsi="宋体" w:eastAsia="宋体" w:cs="宋体"/>
        <w:w w:val="100"/>
        <w:sz w:val="21"/>
        <w:szCs w:val="21"/>
      </w:rPr>
    </w:lvl>
    <w:lvl w:ilvl="1">
      <w:start w:val="0"/>
      <w:numFmt w:val="bullet"/>
      <w:lvlText w:val="•"/>
      <w:lvlJc w:val="left"/>
      <w:pPr>
        <w:ind w:left="940" w:hanging="423"/>
      </w:pPr>
      <w:rPr>
        <w:rFonts w:hint="default"/>
      </w:rPr>
    </w:lvl>
    <w:lvl w:ilvl="2">
      <w:start w:val="0"/>
      <w:numFmt w:val="bullet"/>
      <w:lvlText w:val="•"/>
      <w:lvlJc w:val="left"/>
      <w:pPr>
        <w:ind w:left="1681" w:hanging="423"/>
      </w:pPr>
      <w:rPr>
        <w:rFonts w:hint="default"/>
      </w:rPr>
    </w:lvl>
    <w:lvl w:ilvl="3">
      <w:start w:val="0"/>
      <w:numFmt w:val="bullet"/>
      <w:lvlText w:val="•"/>
      <w:lvlJc w:val="left"/>
      <w:pPr>
        <w:ind w:left="2422" w:hanging="423"/>
      </w:pPr>
      <w:rPr>
        <w:rFonts w:hint="default"/>
      </w:rPr>
    </w:lvl>
    <w:lvl w:ilvl="4">
      <w:start w:val="0"/>
      <w:numFmt w:val="bullet"/>
      <w:lvlText w:val="•"/>
      <w:lvlJc w:val="left"/>
      <w:pPr>
        <w:ind w:left="3163" w:hanging="423"/>
      </w:pPr>
      <w:rPr>
        <w:rFonts w:hint="default"/>
      </w:rPr>
    </w:lvl>
    <w:lvl w:ilvl="5">
      <w:start w:val="0"/>
      <w:numFmt w:val="bullet"/>
      <w:lvlText w:val="•"/>
      <w:lvlJc w:val="left"/>
      <w:pPr>
        <w:ind w:left="3904" w:hanging="423"/>
      </w:pPr>
      <w:rPr>
        <w:rFonts w:hint="default"/>
      </w:rPr>
    </w:lvl>
    <w:lvl w:ilvl="6">
      <w:start w:val="0"/>
      <w:numFmt w:val="bullet"/>
      <w:lvlText w:val="•"/>
      <w:lvlJc w:val="left"/>
      <w:pPr>
        <w:ind w:left="4644" w:hanging="423"/>
      </w:pPr>
      <w:rPr>
        <w:rFonts w:hint="default"/>
      </w:rPr>
    </w:lvl>
    <w:lvl w:ilvl="7">
      <w:start w:val="0"/>
      <w:numFmt w:val="bullet"/>
      <w:lvlText w:val="•"/>
      <w:lvlJc w:val="left"/>
      <w:pPr>
        <w:ind w:left="5385" w:hanging="423"/>
      </w:pPr>
      <w:rPr>
        <w:rFonts w:hint="default"/>
      </w:rPr>
    </w:lvl>
    <w:lvl w:ilvl="8">
      <w:start w:val="0"/>
      <w:numFmt w:val="bullet"/>
      <w:lvlText w:val="•"/>
      <w:lvlJc w:val="left"/>
      <w:pPr>
        <w:ind w:left="6126" w:hanging="423"/>
      </w:pPr>
      <w:rPr>
        <w:rFonts w:hint="default"/>
      </w:rPr>
    </w:lvl>
  </w:abstractNum>
  <w:abstractNum w:abstractNumId="2">
    <w:multiLevelType w:val="hybridMultilevel"/>
    <w:lvl w:ilvl="0">
      <w:start w:val="2"/>
      <w:numFmt w:val="decimal"/>
      <w:lvlText w:val="(%1)"/>
      <w:lvlJc w:val="left"/>
      <w:pPr>
        <w:ind w:left="536" w:hanging="420"/>
        <w:jc w:val="left"/>
      </w:pPr>
      <w:rPr>
        <w:rFonts w:hint="default"/>
        <w:w w:val="100"/>
        <w:highlight w:val="lightGray"/>
      </w:rPr>
    </w:lvl>
    <w:lvl w:ilvl="1">
      <w:start w:val="0"/>
      <w:numFmt w:val="bullet"/>
      <w:lvlText w:val="•"/>
      <w:lvlJc w:val="left"/>
      <w:pPr>
        <w:ind w:left="1218" w:hanging="420"/>
      </w:pPr>
      <w:rPr>
        <w:rFonts w:hint="default"/>
      </w:rPr>
    </w:lvl>
    <w:lvl w:ilvl="2">
      <w:start w:val="0"/>
      <w:numFmt w:val="bullet"/>
      <w:lvlText w:val="•"/>
      <w:lvlJc w:val="left"/>
      <w:pPr>
        <w:ind w:left="1896" w:hanging="420"/>
      </w:pPr>
      <w:rPr>
        <w:rFonts w:hint="default"/>
      </w:rPr>
    </w:lvl>
    <w:lvl w:ilvl="3">
      <w:start w:val="0"/>
      <w:numFmt w:val="bullet"/>
      <w:lvlText w:val="•"/>
      <w:lvlJc w:val="left"/>
      <w:pPr>
        <w:ind w:left="2574" w:hanging="420"/>
      </w:pPr>
      <w:rPr>
        <w:rFonts w:hint="default"/>
      </w:rPr>
    </w:lvl>
    <w:lvl w:ilvl="4">
      <w:start w:val="0"/>
      <w:numFmt w:val="bullet"/>
      <w:lvlText w:val="•"/>
      <w:lvlJc w:val="left"/>
      <w:pPr>
        <w:ind w:left="3253" w:hanging="420"/>
      </w:pPr>
      <w:rPr>
        <w:rFonts w:hint="default"/>
      </w:rPr>
    </w:lvl>
    <w:lvl w:ilvl="5">
      <w:start w:val="0"/>
      <w:numFmt w:val="bullet"/>
      <w:lvlText w:val="•"/>
      <w:lvlJc w:val="left"/>
      <w:pPr>
        <w:ind w:left="3931" w:hanging="420"/>
      </w:pPr>
      <w:rPr>
        <w:rFonts w:hint="default"/>
      </w:rPr>
    </w:lvl>
    <w:lvl w:ilvl="6">
      <w:start w:val="0"/>
      <w:numFmt w:val="bullet"/>
      <w:lvlText w:val="•"/>
      <w:lvlJc w:val="left"/>
      <w:pPr>
        <w:ind w:left="4609" w:hanging="420"/>
      </w:pPr>
      <w:rPr>
        <w:rFonts w:hint="default"/>
      </w:rPr>
    </w:lvl>
    <w:lvl w:ilvl="7">
      <w:start w:val="0"/>
      <w:numFmt w:val="bullet"/>
      <w:lvlText w:val="•"/>
      <w:lvlJc w:val="left"/>
      <w:pPr>
        <w:ind w:left="5288" w:hanging="420"/>
      </w:pPr>
      <w:rPr>
        <w:rFonts w:hint="default"/>
      </w:rPr>
    </w:lvl>
    <w:lvl w:ilvl="8">
      <w:start w:val="0"/>
      <w:numFmt w:val="bullet"/>
      <w:lvlText w:val="•"/>
      <w:lvlJc w:val="left"/>
      <w:pPr>
        <w:ind w:left="5966" w:hanging="420"/>
      </w:pPr>
      <w:rPr>
        <w:rFonts w:hint="default"/>
      </w:rPr>
    </w:lvl>
  </w:abstractNum>
  <w:abstractNum w:abstractNumId="1">
    <w:multiLevelType w:val="hybridMultilevel"/>
    <w:lvl w:ilvl="0">
      <w:start w:val="1"/>
      <w:numFmt w:val="decimal"/>
      <w:lvlText w:val="（%1）"/>
      <w:lvlJc w:val="left"/>
      <w:pPr>
        <w:ind w:left="835" w:hanging="720"/>
        <w:jc w:val="left"/>
      </w:pPr>
      <w:rPr>
        <w:rFonts w:hint="default" w:ascii="宋体" w:hAnsi="宋体" w:eastAsia="宋体" w:cs="宋体"/>
        <w:w w:val="100"/>
        <w:sz w:val="21"/>
        <w:szCs w:val="21"/>
      </w:rPr>
    </w:lvl>
    <w:lvl w:ilvl="1">
      <w:start w:val="0"/>
      <w:numFmt w:val="bullet"/>
      <w:lvlText w:val="•"/>
      <w:lvlJc w:val="left"/>
      <w:pPr>
        <w:ind w:left="1507" w:hanging="720"/>
      </w:pPr>
      <w:rPr>
        <w:rFonts w:hint="default"/>
      </w:rPr>
    </w:lvl>
    <w:lvl w:ilvl="2">
      <w:start w:val="0"/>
      <w:numFmt w:val="bullet"/>
      <w:lvlText w:val="•"/>
      <w:lvlJc w:val="left"/>
      <w:pPr>
        <w:ind w:left="2175" w:hanging="720"/>
      </w:pPr>
      <w:rPr>
        <w:rFonts w:hint="default"/>
      </w:rPr>
    </w:lvl>
    <w:lvl w:ilvl="3">
      <w:start w:val="0"/>
      <w:numFmt w:val="bullet"/>
      <w:lvlText w:val="•"/>
      <w:lvlJc w:val="left"/>
      <w:pPr>
        <w:ind w:left="2843" w:hanging="720"/>
      </w:pPr>
      <w:rPr>
        <w:rFonts w:hint="default"/>
      </w:rPr>
    </w:lvl>
    <w:lvl w:ilvl="4">
      <w:start w:val="0"/>
      <w:numFmt w:val="bullet"/>
      <w:lvlText w:val="•"/>
      <w:lvlJc w:val="left"/>
      <w:pPr>
        <w:ind w:left="3511" w:hanging="720"/>
      </w:pPr>
      <w:rPr>
        <w:rFonts w:hint="default"/>
      </w:rPr>
    </w:lvl>
    <w:lvl w:ilvl="5">
      <w:start w:val="0"/>
      <w:numFmt w:val="bullet"/>
      <w:lvlText w:val="•"/>
      <w:lvlJc w:val="left"/>
      <w:pPr>
        <w:ind w:left="4179" w:hanging="720"/>
      </w:pPr>
      <w:rPr>
        <w:rFonts w:hint="default"/>
      </w:rPr>
    </w:lvl>
    <w:lvl w:ilvl="6">
      <w:start w:val="0"/>
      <w:numFmt w:val="bullet"/>
      <w:lvlText w:val="•"/>
      <w:lvlJc w:val="left"/>
      <w:pPr>
        <w:ind w:left="4847" w:hanging="720"/>
      </w:pPr>
      <w:rPr>
        <w:rFonts w:hint="default"/>
      </w:rPr>
    </w:lvl>
    <w:lvl w:ilvl="7">
      <w:start w:val="0"/>
      <w:numFmt w:val="bullet"/>
      <w:lvlText w:val="•"/>
      <w:lvlJc w:val="left"/>
      <w:pPr>
        <w:ind w:left="5515" w:hanging="720"/>
      </w:pPr>
      <w:rPr>
        <w:rFonts w:hint="default"/>
      </w:rPr>
    </w:lvl>
    <w:lvl w:ilvl="8">
      <w:start w:val="0"/>
      <w:numFmt w:val="bullet"/>
      <w:lvlText w:val="•"/>
      <w:lvlJc w:val="left"/>
      <w:pPr>
        <w:ind w:left="6183" w:hanging="720"/>
      </w:pPr>
      <w:rPr>
        <w:rFonts w:hint="default"/>
      </w:rPr>
    </w:lvl>
  </w:abstractNum>
  <w:abstractNum w:abstractNumId="0">
    <w:multiLevelType w:val="hybridMultilevel"/>
    <w:lvl w:ilvl="0">
      <w:start w:val="0"/>
      <w:numFmt w:val="bullet"/>
      <w:lvlText w:val=""/>
      <w:lvlJc w:val="left"/>
      <w:pPr>
        <w:ind w:left="1638" w:hanging="420"/>
      </w:pPr>
      <w:rPr>
        <w:rFonts w:hint="default" w:ascii="Wingdings" w:hAnsi="Wingdings" w:eastAsia="Wingdings" w:cs="Wingdings"/>
        <w:w w:val="100"/>
        <w:sz w:val="21"/>
        <w:szCs w:val="21"/>
      </w:rPr>
    </w:lvl>
    <w:lvl w:ilvl="1">
      <w:start w:val="0"/>
      <w:numFmt w:val="bullet"/>
      <w:lvlText w:val="•"/>
      <w:lvlJc w:val="left"/>
      <w:pPr>
        <w:ind w:left="2554" w:hanging="420"/>
      </w:pPr>
      <w:rPr>
        <w:rFonts w:hint="default"/>
      </w:rPr>
    </w:lvl>
    <w:lvl w:ilvl="2">
      <w:start w:val="0"/>
      <w:numFmt w:val="bullet"/>
      <w:lvlText w:val="•"/>
      <w:lvlJc w:val="left"/>
      <w:pPr>
        <w:ind w:left="3469" w:hanging="420"/>
      </w:pPr>
      <w:rPr>
        <w:rFonts w:hint="default"/>
      </w:rPr>
    </w:lvl>
    <w:lvl w:ilvl="3">
      <w:start w:val="0"/>
      <w:numFmt w:val="bullet"/>
      <w:lvlText w:val="•"/>
      <w:lvlJc w:val="left"/>
      <w:pPr>
        <w:ind w:left="4383" w:hanging="420"/>
      </w:pPr>
      <w:rPr>
        <w:rFonts w:hint="default"/>
      </w:rPr>
    </w:lvl>
    <w:lvl w:ilvl="4">
      <w:start w:val="0"/>
      <w:numFmt w:val="bullet"/>
      <w:lvlText w:val="•"/>
      <w:lvlJc w:val="left"/>
      <w:pPr>
        <w:ind w:left="5298" w:hanging="420"/>
      </w:pPr>
      <w:rPr>
        <w:rFonts w:hint="default"/>
      </w:rPr>
    </w:lvl>
    <w:lvl w:ilvl="5">
      <w:start w:val="0"/>
      <w:numFmt w:val="bullet"/>
      <w:lvlText w:val="•"/>
      <w:lvlJc w:val="left"/>
      <w:pPr>
        <w:ind w:left="6213" w:hanging="420"/>
      </w:pPr>
      <w:rPr>
        <w:rFonts w:hint="default"/>
      </w:rPr>
    </w:lvl>
    <w:lvl w:ilvl="6">
      <w:start w:val="0"/>
      <w:numFmt w:val="bullet"/>
      <w:lvlText w:val="•"/>
      <w:lvlJc w:val="left"/>
      <w:pPr>
        <w:ind w:left="7127" w:hanging="420"/>
      </w:pPr>
      <w:rPr>
        <w:rFonts w:hint="default"/>
      </w:rPr>
    </w:lvl>
    <w:lvl w:ilvl="7">
      <w:start w:val="0"/>
      <w:numFmt w:val="bullet"/>
      <w:lvlText w:val="•"/>
      <w:lvlJc w:val="left"/>
      <w:pPr>
        <w:ind w:left="8042" w:hanging="420"/>
      </w:pPr>
      <w:rPr>
        <w:rFonts w:hint="default"/>
      </w:rPr>
    </w:lvl>
    <w:lvl w:ilvl="8">
      <w:start w:val="0"/>
      <w:numFmt w:val="bullet"/>
      <w:lvlText w:val="•"/>
      <w:lvlJc w:val="left"/>
      <w:pPr>
        <w:ind w:left="8957"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05"/>
    </w:pPr>
    <w:rPr>
      <w:rFonts w:ascii="宋体" w:hAnsi="宋体" w:eastAsia="宋体" w:cs="宋体"/>
      <w:sz w:val="21"/>
      <w:szCs w:val="21"/>
    </w:rPr>
  </w:style>
  <w:style w:styleId="Heading1" w:type="paragraph">
    <w:name w:val="Heading 1"/>
    <w:basedOn w:val="Normal"/>
    <w:uiPriority w:val="1"/>
    <w:qFormat/>
    <w:pPr>
      <w:spacing w:line="504" w:lineRule="exact"/>
      <w:outlineLvl w:val="1"/>
    </w:pPr>
    <w:rPr>
      <w:rFonts w:ascii="Microsoft JhengHei UI" w:hAnsi="Microsoft JhengHei UI" w:eastAsia="Microsoft JhengHei UI" w:cs="Microsoft JhengHei UI"/>
      <w:b/>
      <w:bCs/>
      <w:sz w:val="32"/>
      <w:szCs w:val="32"/>
    </w:rPr>
  </w:style>
  <w:style w:styleId="Heading2" w:type="paragraph">
    <w:name w:val="Heading 2"/>
    <w:basedOn w:val="Normal"/>
    <w:uiPriority w:val="1"/>
    <w:qFormat/>
    <w:pPr>
      <w:ind w:left="2105"/>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63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张悦</dc:creator>
  <dcterms:created xsi:type="dcterms:W3CDTF">2018-10-19T23:45:57Z</dcterms:created>
  <dcterms:modified xsi:type="dcterms:W3CDTF">2018-10-19T23:45:57Z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2016-06-27T00:00:00Z</vt:filetime>
  </property>
  <property fmtid="{D5CDD505-2E9C-101B-9397-08002B2CF9AE}" pid="3" name="Creator">
    <vt:lpwstr>Microsoft® Word 2010</vt:lpwstr>
  </property>
  <property fmtid="{D5CDD505-2E9C-101B-9397-08002B2CF9AE}" pid="4" name="LastSaved">
    <vt:filetime>2018-10-19T00:00:00Z</vt:filetime>
  </property>
</Properties>
</file>