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
        <w:ind w:left="5488" w:right="0" w:firstLine="0"/>
        <w:jc w:val="left"/>
        <w:rPr>
          <w:sz w:val="21"/>
        </w:rPr>
      </w:pPr>
      <w:r>
        <w:rPr/>
        <w:drawing>
          <wp:anchor distT="0" distB="0" distL="0" distR="0" allowOverlap="1" layoutInCell="1" locked="0" behindDoc="0" simplePos="0" relativeHeight="0">
            <wp:simplePos x="0" y="0"/>
            <wp:positionH relativeFrom="page">
              <wp:posOffset>5059679</wp:posOffset>
            </wp:positionH>
            <wp:positionV relativeFrom="paragraph">
              <wp:posOffset>244013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瑞泰人寿[2011]疾病保险 004 号</w:t>
      </w:r>
    </w:p>
    <w:p>
      <w:pPr>
        <w:spacing w:before="13"/>
        <w:ind w:left="5788" w:right="0" w:firstLine="0"/>
        <w:jc w:val="left"/>
        <w:rPr>
          <w:sz w:val="21"/>
        </w:rPr>
      </w:pPr>
      <w:r>
        <w:rPr>
          <w:sz w:val="21"/>
        </w:rPr>
        <w:t>请扫描以查询验证条款</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line="194" w:lineRule="auto" w:before="149"/>
        <w:ind w:left="1180" w:right="1174" w:firstLine="0"/>
        <w:jc w:val="center"/>
        <w:rPr>
          <w:rFonts w:ascii="Microsoft JhengHei" w:eastAsia="Microsoft JhengHei" w:hint="eastAsia"/>
          <w:b/>
          <w:sz w:val="44"/>
        </w:rPr>
      </w:pPr>
      <w:r>
        <w:rPr>
          <w:rFonts w:ascii="Microsoft JhengHei" w:eastAsia="Microsoft JhengHei" w:hint="eastAsia"/>
          <w:b/>
          <w:sz w:val="44"/>
        </w:rPr>
        <w:t>瑞泰多重给付团体重大疾病保险合同条款</w:t>
      </w:r>
    </w:p>
    <w:p>
      <w:pPr>
        <w:pStyle w:val="BodyText"/>
        <w:spacing w:before="0"/>
        <w:ind w:left="0"/>
        <w:rPr>
          <w:rFonts w:ascii="Microsoft JhengHei"/>
          <w:b/>
          <w:sz w:val="44"/>
        </w:rPr>
      </w:pPr>
    </w:p>
    <w:p>
      <w:pPr>
        <w:pStyle w:val="BodyText"/>
        <w:spacing w:before="0"/>
        <w:ind w:left="0"/>
        <w:rPr>
          <w:rFonts w:ascii="Microsoft JhengHei"/>
          <w:b/>
          <w:sz w:val="44"/>
        </w:rPr>
      </w:pPr>
    </w:p>
    <w:p>
      <w:pPr>
        <w:pStyle w:val="BodyText"/>
        <w:spacing w:before="0"/>
        <w:ind w:left="0"/>
        <w:rPr>
          <w:rFonts w:ascii="Microsoft JhengHei"/>
          <w:b/>
          <w:sz w:val="44"/>
        </w:rPr>
      </w:pPr>
    </w:p>
    <w:p>
      <w:pPr>
        <w:pStyle w:val="BodyText"/>
        <w:spacing w:before="0"/>
        <w:ind w:left="0"/>
        <w:rPr>
          <w:rFonts w:ascii="Microsoft JhengHei"/>
          <w:b/>
          <w:sz w:val="44"/>
        </w:rPr>
      </w:pPr>
    </w:p>
    <w:p>
      <w:pPr>
        <w:pStyle w:val="BodyText"/>
        <w:spacing w:before="0"/>
        <w:ind w:left="0"/>
        <w:rPr>
          <w:rFonts w:ascii="Microsoft JhengHei"/>
          <w:b/>
          <w:sz w:val="44"/>
        </w:rPr>
      </w:pPr>
    </w:p>
    <w:p>
      <w:pPr>
        <w:pStyle w:val="BodyText"/>
        <w:spacing w:before="0"/>
        <w:ind w:left="0"/>
        <w:rPr>
          <w:rFonts w:ascii="Microsoft JhengHei"/>
          <w:b/>
          <w:sz w:val="44"/>
        </w:rPr>
      </w:pPr>
    </w:p>
    <w:p>
      <w:pPr>
        <w:pStyle w:val="BodyText"/>
        <w:spacing w:before="17"/>
        <w:ind w:left="0"/>
        <w:rPr>
          <w:rFonts w:ascii="Microsoft JhengHei"/>
          <w:b/>
          <w:sz w:val="60"/>
        </w:rPr>
      </w:pPr>
    </w:p>
    <w:p>
      <w:pPr>
        <w:spacing w:before="0"/>
        <w:ind w:left="1180" w:right="1174"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before="136"/>
        <w:ind w:left="1178" w:right="1174" w:firstLine="0"/>
        <w:jc w:val="center"/>
        <w:rPr>
          <w:rFonts w:ascii="Microsoft JhengHei" w:eastAsia="Microsoft JhengHei" w:hint="eastAsia"/>
          <w:b/>
          <w:sz w:val="28"/>
        </w:rPr>
      </w:pPr>
      <w:r>
        <w:rPr>
          <w:rFonts w:ascii="Microsoft JhengHei" w:eastAsia="Microsoft JhengHei" w:hint="eastAsia"/>
          <w:b/>
          <w:sz w:val="28"/>
        </w:rPr>
        <w:t>2011 年 1 月</w:t>
      </w:r>
    </w:p>
    <w:p>
      <w:pPr>
        <w:spacing w:after="0"/>
        <w:jc w:val="center"/>
        <w:rPr>
          <w:rFonts w:ascii="Microsoft JhengHei" w:eastAsia="Microsoft JhengHei" w:hint="eastAsia"/>
          <w:sz w:val="28"/>
        </w:rPr>
        <w:sectPr>
          <w:footerReference w:type="default" r:id="rId5"/>
          <w:type w:val="continuous"/>
          <w:pgSz w:w="11900" w:h="16840"/>
          <w:pgMar w:footer="1007" w:top="1400" w:bottom="1200" w:left="1680" w:right="1680"/>
          <w:pgNumType w:start="1"/>
        </w:sectPr>
      </w:pPr>
    </w:p>
    <w:p>
      <w:pPr>
        <w:spacing w:line="426" w:lineRule="exact" w:before="0"/>
        <w:ind w:left="1178" w:right="1174" w:firstLine="0"/>
        <w:jc w:val="center"/>
        <w:rPr>
          <w:rFonts w:ascii="Microsoft JhengHei" w:eastAsia="Microsoft JhengHei" w:hint="eastAsia"/>
          <w:b/>
          <w:sz w:val="32"/>
        </w:rPr>
      </w:pPr>
      <w:r>
        <w:rPr>
          <w:rFonts w:ascii="Microsoft JhengHei" w:eastAsia="Microsoft JhengHei" w:hint="eastAsia"/>
          <w:b/>
          <w:sz w:val="32"/>
        </w:rPr>
        <w:t>目  录</w:t>
      </w:r>
    </w:p>
    <w:p>
      <w:pPr>
        <w:pStyle w:val="BodyText"/>
        <w:spacing w:before="0"/>
        <w:ind w:left="0"/>
        <w:rPr>
          <w:rFonts w:ascii="Microsoft JhengHei"/>
          <w:b/>
          <w:sz w:val="32"/>
        </w:rPr>
      </w:pPr>
    </w:p>
    <w:p>
      <w:pPr>
        <w:pStyle w:val="BodyText"/>
        <w:spacing w:before="14"/>
        <w:ind w:left="0"/>
        <w:rPr>
          <w:rFonts w:ascii="Microsoft JhengHei"/>
          <w:b/>
          <w:sz w:val="27"/>
        </w:rPr>
      </w:pPr>
    </w:p>
    <w:sdt>
      <w:sdtPr>
        <w:docPartObj>
          <w:docPartGallery w:val="Table of Contents"/>
          <w:docPartUnique/>
        </w:docPartObj>
      </w:sdtPr>
      <w:sdtEndPr/>
      <w:sdtContent>
        <w:p>
          <w:pPr>
            <w:pStyle w:val="TOC1"/>
            <w:tabs>
              <w:tab w:pos="1379" w:val="left" w:leader="none"/>
              <w:tab w:pos="8419" w:val="right" w:leader="dot"/>
            </w:tabs>
            <w:spacing w:before="0"/>
            <w:rPr>
              <w:rFonts w:ascii="Times New Roman" w:hAnsi="Times New Roman" w:eastAsia="Times New Roman"/>
            </w:rPr>
          </w:pPr>
          <w:hyperlink w:history="true" w:anchor="_TOC_250023">
            <w:r>
              <w:rPr/>
              <w:t>第一条</w:t>
              <w:tab/>
            </w:r>
            <w:r>
              <w:rPr>
                <w:spacing w:val="-3"/>
              </w:rPr>
              <w:t>关</w:t>
            </w:r>
            <w:r>
              <w:rPr/>
              <w:t>于</w:t>
            </w:r>
            <w:r>
              <w:rPr>
                <w:spacing w:val="-3"/>
              </w:rPr>
              <w:t>瑞</w:t>
            </w:r>
            <w:r>
              <w:rPr/>
              <w:t>泰</w:t>
            </w:r>
            <w:r>
              <w:rPr>
                <w:spacing w:val="-3"/>
              </w:rPr>
              <w:t>多</w:t>
            </w:r>
            <w:r>
              <w:rPr/>
              <w:t>重</w:t>
            </w:r>
            <w:r>
              <w:rPr>
                <w:spacing w:val="-3"/>
              </w:rPr>
              <w:t>给</w:t>
            </w:r>
            <w:r>
              <w:rPr/>
              <w:t>付团</w:t>
            </w:r>
            <w:r>
              <w:rPr>
                <w:spacing w:val="-3"/>
              </w:rPr>
              <w:t>体</w:t>
            </w:r>
            <w:r>
              <w:rPr/>
              <w:t>重</w:t>
            </w:r>
            <w:r>
              <w:rPr>
                <w:spacing w:val="-3"/>
              </w:rPr>
              <w:t>大</w:t>
            </w:r>
            <w:r>
              <w:rPr/>
              <w:t>疾</w:t>
            </w:r>
            <w:r>
              <w:rPr>
                <w:spacing w:val="-3"/>
              </w:rPr>
              <w:t>病</w:t>
            </w:r>
            <w:r>
              <w:rPr/>
              <w:t>保</w:t>
            </w:r>
            <w:r>
              <w:rPr>
                <w:spacing w:val="-3"/>
              </w:rPr>
              <w:t>险</w:t>
            </w:r>
            <w:r>
              <w:rPr/>
              <w:t>合</w:t>
            </w:r>
            <w:r>
              <w:rPr>
                <w:spacing w:val="-3"/>
              </w:rPr>
              <w:t>同</w:t>
            </w:r>
            <w:r>
              <w:rPr/>
              <w:t>（以</w:t>
            </w:r>
            <w:r>
              <w:rPr>
                <w:spacing w:val="-3"/>
              </w:rPr>
              <w:t>下</w:t>
            </w:r>
            <w:r>
              <w:rPr/>
              <w:t>简</w:t>
            </w:r>
            <w:r>
              <w:rPr>
                <w:spacing w:val="-3"/>
              </w:rPr>
              <w:t>称</w:t>
            </w:r>
            <w:r>
              <w:rPr/>
              <w:t>“</w:t>
            </w:r>
            <w:r>
              <w:rPr>
                <w:spacing w:val="-3"/>
              </w:rPr>
              <w:t>本</w:t>
            </w:r>
            <w:r>
              <w:rPr/>
              <w:t>合</w:t>
            </w:r>
            <w:r>
              <w:rPr>
                <w:spacing w:val="-3"/>
              </w:rPr>
              <w:t>同</w:t>
            </w:r>
            <w:r>
              <w:rPr/>
              <w:t>”）</w:t>
              <w:tab/>
            </w:r>
            <w:r>
              <w:rPr>
                <w:rFonts w:ascii="Times New Roman" w:hAns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2">
            <w:r>
              <w:rPr/>
              <w:t>第二条</w:t>
              <w:tab/>
            </w:r>
            <w:r>
              <w:rPr>
                <w:spacing w:val="-3"/>
              </w:rPr>
              <w:t>本</w:t>
            </w:r>
            <w:r>
              <w:rPr/>
              <w:t>合</w:t>
            </w:r>
            <w:r>
              <w:rPr>
                <w:spacing w:val="-3"/>
              </w:rPr>
              <w:t>同</w:t>
            </w:r>
            <w:r>
              <w:rPr/>
              <w:t>的</w:t>
            </w:r>
            <w:r>
              <w:rPr>
                <w:spacing w:val="-3"/>
              </w:rPr>
              <w:t>构成</w:t>
              <w:tab/>
            </w:r>
            <w:r>
              <w:rPr>
                <w:rFonts w:asci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1">
            <w:r>
              <w:rPr/>
              <w:t>第三条</w:t>
              <w:tab/>
            </w:r>
            <w:r>
              <w:rPr>
                <w:spacing w:val="-3"/>
              </w:rPr>
              <w:t>投</w:t>
            </w:r>
            <w:r>
              <w:rPr/>
              <w:t>保</w:t>
            </w:r>
            <w:r>
              <w:rPr>
                <w:spacing w:val="-3"/>
              </w:rPr>
              <w:t>条件</w:t>
              <w:tab/>
            </w:r>
            <w:r>
              <w:rPr>
                <w:rFonts w:asci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0">
            <w:r>
              <w:rPr/>
              <w:t>第四条</w:t>
              <w:tab/>
            </w:r>
            <w:r>
              <w:rPr>
                <w:spacing w:val="-3"/>
              </w:rPr>
              <w:t>本</w:t>
            </w:r>
            <w:r>
              <w:rPr/>
              <w:t>合</w:t>
            </w:r>
            <w:r>
              <w:rPr>
                <w:spacing w:val="-3"/>
              </w:rPr>
              <w:t>同</w:t>
            </w:r>
            <w:r>
              <w:rPr/>
              <w:t>的</w:t>
            </w:r>
            <w:r>
              <w:rPr>
                <w:spacing w:val="-3"/>
              </w:rPr>
              <w:t>生效</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9">
            <w:r>
              <w:rPr/>
              <w:t>第五条</w:t>
              <w:tab/>
            </w:r>
            <w:r>
              <w:rPr>
                <w:spacing w:val="-3"/>
              </w:rPr>
              <w:t>保</w:t>
            </w:r>
            <w:r>
              <w:rPr/>
              <w:t>险</w:t>
            </w:r>
            <w:r>
              <w:rPr>
                <w:spacing w:val="-3"/>
              </w:rPr>
              <w:t>期间</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8">
            <w:r>
              <w:rPr/>
              <w:t>第六条</w:t>
              <w:tab/>
            </w:r>
            <w:r>
              <w:rPr>
                <w:spacing w:val="-3"/>
              </w:rPr>
              <w:t>保</w:t>
            </w:r>
            <w:r>
              <w:rPr/>
              <w:t>险</w:t>
            </w:r>
            <w:r>
              <w:rPr>
                <w:spacing w:val="-3"/>
              </w:rPr>
              <w:t>金额</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7">
            <w:r>
              <w:rPr/>
              <w:t>第七条</w:t>
              <w:tab/>
            </w:r>
            <w:r>
              <w:rPr>
                <w:spacing w:val="-3"/>
              </w:rPr>
              <w:t>保</w:t>
            </w:r>
            <w:r>
              <w:rPr/>
              <w:t>险</w:t>
            </w:r>
            <w:r>
              <w:rPr>
                <w:spacing w:val="-3"/>
              </w:rPr>
              <w:t>费</w:t>
            </w:r>
            <w:r>
              <w:rPr/>
              <w:t>的</w:t>
            </w:r>
            <w:r>
              <w:rPr>
                <w:spacing w:val="-3"/>
              </w:rPr>
              <w:t>交纳</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6">
            <w:r>
              <w:rPr/>
              <w:t>第八条</w:t>
              <w:tab/>
            </w:r>
            <w:r>
              <w:rPr>
                <w:spacing w:val="-3"/>
              </w:rPr>
              <w:t>等</w:t>
            </w:r>
            <w:r>
              <w:rPr/>
              <w:t>待期</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5">
            <w:r>
              <w:rPr/>
              <w:t>第九条</w:t>
              <w:tab/>
            </w:r>
            <w:r>
              <w:rPr>
                <w:spacing w:val="-3"/>
              </w:rPr>
              <w:t>保</w:t>
            </w:r>
            <w:r>
              <w:rPr/>
              <w:t>险</w:t>
            </w:r>
            <w:r>
              <w:rPr>
                <w:spacing w:val="-3"/>
              </w:rPr>
              <w:t>责任</w:t>
              <w:tab/>
            </w:r>
            <w:r>
              <w:rPr>
                <w:rFonts w:ascii="Times New Roman" w:eastAsia="Times New Roman"/>
              </w:rPr>
              <w:t>5</w:t>
            </w:r>
          </w:hyperlink>
        </w:p>
        <w:p>
          <w:pPr>
            <w:pStyle w:val="TOC1"/>
            <w:tabs>
              <w:tab w:pos="8419" w:val="right" w:leader="dot"/>
            </w:tabs>
            <w:rPr>
              <w:rFonts w:ascii="Times New Roman" w:eastAsia="Times New Roman"/>
            </w:rPr>
          </w:pPr>
          <w:hyperlink w:history="true" w:anchor="_TOC_250014">
            <w:r>
              <w:rPr/>
              <w:t>第十</w:t>
            </w:r>
            <w:r>
              <w:rPr>
                <w:spacing w:val="-3"/>
              </w:rPr>
              <w:t>条</w:t>
            </w:r>
            <w:r>
              <w:rPr/>
              <w:t> </w:t>
            </w:r>
            <w:r>
              <w:rPr>
                <w:spacing w:val="-3"/>
              </w:rPr>
              <w:t>责</w:t>
            </w:r>
            <w:r>
              <w:rPr/>
              <w:t>任</w:t>
            </w:r>
            <w:r>
              <w:rPr>
                <w:spacing w:val="-3"/>
              </w:rPr>
              <w:t>免除</w:t>
              <w:tab/>
            </w:r>
            <w:r>
              <w:rPr>
                <w:rFonts w:ascii="Times New Roman" w:eastAsia="Times New Roman"/>
              </w:rPr>
              <w:t>6</w:t>
            </w:r>
          </w:hyperlink>
        </w:p>
        <w:p>
          <w:pPr>
            <w:pStyle w:val="TOC1"/>
            <w:tabs>
              <w:tab w:pos="1588" w:val="left" w:leader="none"/>
              <w:tab w:pos="8419" w:val="right" w:leader="dot"/>
            </w:tabs>
            <w:rPr>
              <w:rFonts w:ascii="Times New Roman" w:eastAsia="Times New Roman"/>
            </w:rPr>
          </w:pPr>
          <w:hyperlink w:history="true" w:anchor="_TOC_250013">
            <w:r>
              <w:rPr/>
              <w:t>第十</w:t>
            </w:r>
            <w:r>
              <w:rPr>
                <w:spacing w:val="-3"/>
              </w:rPr>
              <w:t>一</w:t>
            </w:r>
            <w:r>
              <w:rPr/>
              <w:t>条</w:t>
              <w:tab/>
              <w:t>受</w:t>
            </w:r>
            <w:r>
              <w:rPr>
                <w:spacing w:val="-3"/>
              </w:rPr>
              <w:t>益人</w:t>
              <w:tab/>
            </w:r>
            <w:r>
              <w:rPr>
                <w:rFonts w:ascii="Times New Roman" w:eastAsia="Times New Roman"/>
              </w:rPr>
              <w:t>6</w:t>
            </w:r>
          </w:hyperlink>
        </w:p>
        <w:p>
          <w:pPr>
            <w:pStyle w:val="TOC1"/>
            <w:tabs>
              <w:tab w:pos="1588" w:val="left" w:leader="none"/>
              <w:tab w:pos="8419" w:val="right" w:leader="dot"/>
            </w:tabs>
            <w:rPr>
              <w:rFonts w:ascii="Times New Roman" w:eastAsia="Times New Roman"/>
            </w:rPr>
          </w:pPr>
          <w:hyperlink w:history="true" w:anchor="_TOC_250012">
            <w:r>
              <w:rPr/>
              <w:t>第十</w:t>
            </w:r>
            <w:r>
              <w:rPr>
                <w:spacing w:val="-3"/>
              </w:rPr>
              <w:t>二</w:t>
            </w:r>
            <w:r>
              <w:rPr/>
              <w:t>条</w:t>
              <w:tab/>
              <w:t>保</w:t>
            </w:r>
            <w:r>
              <w:rPr>
                <w:spacing w:val="-3"/>
              </w:rPr>
              <w:t>险</w:t>
            </w:r>
            <w:r>
              <w:rPr/>
              <w:t>事</w:t>
            </w:r>
            <w:r>
              <w:rPr>
                <w:spacing w:val="-3"/>
              </w:rPr>
              <w:t>故</w:t>
            </w:r>
            <w:r>
              <w:rPr/>
              <w:t>的</w:t>
            </w:r>
            <w:r>
              <w:rPr>
                <w:spacing w:val="-3"/>
              </w:rPr>
              <w:t>通</w:t>
            </w:r>
            <w:r>
              <w:rPr/>
              <w:t>知与</w:t>
            </w:r>
            <w:r>
              <w:rPr>
                <w:spacing w:val="-3"/>
              </w:rPr>
              <w:t>保</w:t>
            </w:r>
            <w:r>
              <w:rPr/>
              <w:t>险</w:t>
            </w:r>
            <w:r>
              <w:rPr>
                <w:spacing w:val="-3"/>
              </w:rPr>
              <w:t>金</w:t>
            </w:r>
            <w:r>
              <w:rPr/>
              <w:t>的</w:t>
            </w:r>
            <w:r>
              <w:rPr>
                <w:spacing w:val="-3"/>
              </w:rPr>
              <w:t>申</w:t>
            </w:r>
            <w:r>
              <w:rPr/>
              <w:t>请</w:t>
            </w:r>
            <w:r>
              <w:rPr>
                <w:spacing w:val="-3"/>
              </w:rPr>
              <w:t>时间</w:t>
              <w:tab/>
            </w:r>
            <w:r>
              <w:rPr>
                <w:rFonts w:ascii="Times New Roman" w:eastAsia="Times New Roman"/>
              </w:rPr>
              <w:t>7</w:t>
            </w:r>
          </w:hyperlink>
        </w:p>
        <w:p>
          <w:pPr>
            <w:pStyle w:val="TOC1"/>
            <w:tabs>
              <w:tab w:pos="1588" w:val="left" w:leader="none"/>
              <w:tab w:pos="8419" w:val="right" w:leader="dot"/>
            </w:tabs>
            <w:rPr>
              <w:rFonts w:ascii="Times New Roman" w:eastAsia="Times New Roman"/>
            </w:rPr>
          </w:pPr>
          <w:hyperlink w:history="true" w:anchor="_TOC_250011">
            <w:r>
              <w:rPr/>
              <w:t>第十</w:t>
            </w:r>
            <w:r>
              <w:rPr>
                <w:spacing w:val="-3"/>
              </w:rPr>
              <w:t>三</w:t>
            </w:r>
            <w:r>
              <w:rPr/>
              <w:t>条</w:t>
              <w:tab/>
              <w:t>保</w:t>
            </w:r>
            <w:r>
              <w:rPr>
                <w:spacing w:val="-3"/>
              </w:rPr>
              <w:t>险</w:t>
            </w:r>
            <w:r>
              <w:rPr/>
              <w:t>金</w:t>
            </w:r>
            <w:r>
              <w:rPr>
                <w:spacing w:val="-3"/>
              </w:rPr>
              <w:t>的</w:t>
            </w:r>
            <w:r>
              <w:rPr/>
              <w:t>申请</w:t>
              <w:tab/>
            </w:r>
            <w:r>
              <w:rPr>
                <w:rFonts w:ascii="Times New Roman" w:eastAsia="Times New Roman"/>
              </w:rPr>
              <w:t>7</w:t>
            </w:r>
          </w:hyperlink>
        </w:p>
        <w:p>
          <w:pPr>
            <w:pStyle w:val="TOC1"/>
            <w:tabs>
              <w:tab w:pos="8419" w:val="right" w:leader="dot"/>
            </w:tabs>
            <w:rPr>
              <w:rFonts w:ascii="Times New Roman" w:eastAsia="Times New Roman"/>
            </w:rPr>
          </w:pPr>
          <w:hyperlink w:history="true" w:anchor="_TOC_250010">
            <w:r>
              <w:rPr/>
              <w:t>第十</w:t>
            </w:r>
            <w:r>
              <w:rPr>
                <w:spacing w:val="-3"/>
              </w:rPr>
              <w:t>四</w:t>
            </w:r>
            <w:r>
              <w:rPr/>
              <w:t>条</w:t>
            </w:r>
            <w:r>
              <w:rPr>
                <w:spacing w:val="-2"/>
              </w:rPr>
              <w:t> </w:t>
            </w:r>
            <w:r>
              <w:rPr/>
              <w:t>诉</w:t>
            </w:r>
            <w:r>
              <w:rPr>
                <w:spacing w:val="-3"/>
              </w:rPr>
              <w:t>讼</w:t>
            </w:r>
            <w:r>
              <w:rPr/>
              <w:t>时效</w:t>
              <w:tab/>
            </w:r>
            <w:r>
              <w:rPr>
                <w:rFonts w:ascii="Times New Roman" w:eastAsia="Times New Roman"/>
              </w:rPr>
              <w:t>7</w:t>
            </w:r>
          </w:hyperlink>
        </w:p>
        <w:p>
          <w:pPr>
            <w:pStyle w:val="TOC1"/>
            <w:tabs>
              <w:tab w:pos="1588" w:val="left" w:leader="none"/>
              <w:tab w:pos="8419" w:val="right" w:leader="dot"/>
            </w:tabs>
            <w:rPr>
              <w:rFonts w:ascii="Times New Roman" w:eastAsia="Times New Roman"/>
            </w:rPr>
          </w:pPr>
          <w:hyperlink w:history="true" w:anchor="_TOC_250009">
            <w:r>
              <w:rPr/>
              <w:t>第十</w:t>
            </w:r>
            <w:r>
              <w:rPr>
                <w:spacing w:val="-3"/>
              </w:rPr>
              <w:t>五</w:t>
            </w:r>
            <w:r>
              <w:rPr/>
              <w:t>条</w:t>
              <w:tab/>
              <w:t>保</w:t>
            </w:r>
            <w:r>
              <w:rPr>
                <w:spacing w:val="-3"/>
              </w:rPr>
              <w:t>险</w:t>
            </w:r>
            <w:r>
              <w:rPr/>
              <w:t>金</w:t>
            </w:r>
            <w:r>
              <w:rPr>
                <w:spacing w:val="-3"/>
              </w:rPr>
              <w:t>给付</w:t>
              <w:tab/>
            </w:r>
            <w:r>
              <w:rPr>
                <w:rFonts w:ascii="Times New Roman" w:eastAsia="Times New Roman"/>
              </w:rPr>
              <w:t>8</w:t>
            </w:r>
          </w:hyperlink>
        </w:p>
        <w:p>
          <w:pPr>
            <w:pStyle w:val="TOC1"/>
            <w:tabs>
              <w:tab w:pos="8419" w:val="right" w:leader="dot"/>
            </w:tabs>
            <w:rPr>
              <w:rFonts w:ascii="Times New Roman" w:eastAsia="Times New Roman"/>
            </w:rPr>
          </w:pPr>
          <w:hyperlink w:history="true" w:anchor="_TOC_250008">
            <w:r>
              <w:rPr/>
              <w:t>第十</w:t>
            </w:r>
            <w:r>
              <w:rPr>
                <w:spacing w:val="-3"/>
              </w:rPr>
              <w:t>六</w:t>
            </w:r>
            <w:r>
              <w:rPr/>
              <w:t>条</w:t>
            </w:r>
            <w:r>
              <w:rPr>
                <w:spacing w:val="-2"/>
              </w:rPr>
              <w:t> </w:t>
            </w:r>
            <w:r>
              <w:rPr/>
              <w:t>明</w:t>
            </w:r>
            <w:r>
              <w:rPr>
                <w:spacing w:val="-3"/>
              </w:rPr>
              <w:t>确</w:t>
            </w:r>
            <w:r>
              <w:rPr/>
              <w:t>说</w:t>
            </w:r>
            <w:r>
              <w:rPr>
                <w:spacing w:val="-3"/>
              </w:rPr>
              <w:t>明</w:t>
            </w:r>
            <w:r>
              <w:rPr/>
              <w:t>与</w:t>
            </w:r>
            <w:r>
              <w:rPr>
                <w:spacing w:val="-3"/>
              </w:rPr>
              <w:t>如实</w:t>
            </w:r>
            <w:r>
              <w:rPr/>
              <w:t>告知</w:t>
              <w:tab/>
            </w:r>
            <w:r>
              <w:rPr>
                <w:rFonts w:ascii="Times New Roman" w:eastAsia="Times New Roman"/>
              </w:rPr>
              <w:t>8</w:t>
            </w:r>
          </w:hyperlink>
        </w:p>
        <w:p>
          <w:pPr>
            <w:pStyle w:val="TOC1"/>
            <w:tabs>
              <w:tab w:pos="8419" w:val="right" w:leader="dot"/>
            </w:tabs>
            <w:rPr>
              <w:rFonts w:ascii="Times New Roman" w:eastAsia="Times New Roman"/>
            </w:rPr>
          </w:pPr>
          <w:hyperlink w:history="true" w:anchor="_TOC_250007">
            <w:r>
              <w:rPr/>
              <w:t>第十</w:t>
            </w:r>
            <w:r>
              <w:rPr>
                <w:spacing w:val="-3"/>
              </w:rPr>
              <w:t>七</w:t>
            </w:r>
            <w:r>
              <w:rPr/>
              <w:t>条</w:t>
            </w:r>
            <w:r>
              <w:rPr>
                <w:spacing w:val="-2"/>
              </w:rPr>
              <w:t> </w:t>
            </w:r>
            <w:r>
              <w:rPr/>
              <w:t>年</w:t>
            </w:r>
            <w:r>
              <w:rPr>
                <w:spacing w:val="-3"/>
              </w:rPr>
              <w:t>龄</w:t>
            </w:r>
            <w:r>
              <w:rPr/>
              <w:t>性</w:t>
            </w:r>
            <w:r>
              <w:rPr>
                <w:spacing w:val="-3"/>
              </w:rPr>
              <w:t>别</w:t>
            </w:r>
            <w:r>
              <w:rPr/>
              <w:t>错</w:t>
            </w:r>
            <w:r>
              <w:rPr>
                <w:spacing w:val="-3"/>
              </w:rPr>
              <w:t>误处理</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6">
            <w:r>
              <w:rPr/>
              <w:t>第十</w:t>
            </w:r>
            <w:r>
              <w:rPr>
                <w:spacing w:val="-3"/>
              </w:rPr>
              <w:t>八</w:t>
            </w:r>
            <w:r>
              <w:rPr/>
              <w:t>条</w:t>
            </w:r>
            <w:r>
              <w:rPr>
                <w:spacing w:val="-2"/>
              </w:rPr>
              <w:t> </w:t>
            </w:r>
            <w:r>
              <w:rPr/>
              <w:t>我</w:t>
            </w:r>
            <w:r>
              <w:rPr>
                <w:spacing w:val="-3"/>
              </w:rPr>
              <w:t>们</w:t>
            </w:r>
            <w:r>
              <w:rPr/>
              <w:t>行</w:t>
            </w:r>
            <w:r>
              <w:rPr>
                <w:spacing w:val="-3"/>
              </w:rPr>
              <w:t>使</w:t>
            </w:r>
            <w:r>
              <w:rPr/>
              <w:t>本</w:t>
            </w:r>
            <w:r>
              <w:rPr>
                <w:spacing w:val="-3"/>
              </w:rPr>
              <w:t>合同</w:t>
            </w:r>
            <w:r>
              <w:rPr/>
              <w:t>解除</w:t>
            </w:r>
            <w:r>
              <w:rPr>
                <w:spacing w:val="-3"/>
              </w:rPr>
              <w:t>权</w:t>
            </w:r>
            <w:r>
              <w:rPr/>
              <w:t>的</w:t>
            </w:r>
            <w:r>
              <w:rPr>
                <w:spacing w:val="-3"/>
              </w:rPr>
              <w:t>限制</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5">
            <w:r>
              <w:rPr/>
              <w:t>第十</w:t>
            </w:r>
            <w:r>
              <w:rPr>
                <w:spacing w:val="-3"/>
              </w:rPr>
              <w:t>九</w:t>
            </w:r>
            <w:r>
              <w:rPr/>
              <w:t>条</w:t>
            </w:r>
            <w:r>
              <w:rPr>
                <w:spacing w:val="-2"/>
              </w:rPr>
              <w:t> </w:t>
            </w:r>
            <w:r>
              <w:rPr/>
              <w:t>住</w:t>
            </w:r>
            <w:r>
              <w:rPr>
                <w:spacing w:val="-3"/>
              </w:rPr>
              <w:t>所</w:t>
            </w:r>
            <w:r>
              <w:rPr/>
              <w:t>或</w:t>
            </w:r>
            <w:r>
              <w:rPr>
                <w:spacing w:val="-3"/>
              </w:rPr>
              <w:t>通</w:t>
            </w:r>
            <w:r>
              <w:rPr/>
              <w:t>讯</w:t>
            </w:r>
            <w:r>
              <w:rPr>
                <w:spacing w:val="-3"/>
              </w:rPr>
              <w:t>地址</w:t>
            </w:r>
            <w:r>
              <w:rPr/>
              <w:t>变更</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4">
            <w:r>
              <w:rPr/>
              <w:t>第二</w:t>
            </w:r>
            <w:r>
              <w:rPr>
                <w:spacing w:val="-3"/>
              </w:rPr>
              <w:t>十</w:t>
            </w:r>
            <w:r>
              <w:rPr/>
              <w:t>条</w:t>
            </w:r>
            <w:r>
              <w:rPr>
                <w:spacing w:val="-2"/>
              </w:rPr>
              <w:t> </w:t>
            </w:r>
            <w:r>
              <w:rPr/>
              <w:t>被</w:t>
            </w:r>
            <w:r>
              <w:rPr>
                <w:spacing w:val="-3"/>
              </w:rPr>
              <w:t>保</w:t>
            </w:r>
            <w:r>
              <w:rPr/>
              <w:t>险</w:t>
            </w:r>
            <w:r>
              <w:rPr>
                <w:spacing w:val="-3"/>
              </w:rPr>
              <w:t>人</w:t>
            </w:r>
            <w:r>
              <w:rPr/>
              <w:t>变动</w:t>
              <w:tab/>
            </w:r>
            <w:r>
              <w:rPr>
                <w:rFonts w:ascii="Times New Roman" w:eastAsia="Times New Roman"/>
              </w:rPr>
              <w:t>10</w:t>
            </w:r>
          </w:hyperlink>
        </w:p>
        <w:p>
          <w:pPr>
            <w:pStyle w:val="TOC1"/>
            <w:tabs>
              <w:tab w:pos="8419" w:val="right" w:leader="dot"/>
            </w:tabs>
            <w:rPr>
              <w:rFonts w:ascii="Times New Roman" w:eastAsia="Times New Roman"/>
            </w:rPr>
          </w:pPr>
          <w:hyperlink w:history="true" w:anchor="_TOC_250003">
            <w:r>
              <w:rPr/>
              <w:t>第二</w:t>
            </w:r>
            <w:r>
              <w:rPr>
                <w:spacing w:val="-3"/>
              </w:rPr>
              <w:t>十</w:t>
            </w:r>
            <w:r>
              <w:rPr/>
              <w:t>一条</w:t>
            </w:r>
            <w:r>
              <w:rPr>
                <w:spacing w:val="-2"/>
              </w:rPr>
              <w:t> </w:t>
            </w:r>
            <w:r>
              <w:rPr>
                <w:spacing w:val="-3"/>
              </w:rPr>
              <w:t>本</w:t>
            </w:r>
            <w:r>
              <w:rPr/>
              <w:t>合</w:t>
            </w:r>
            <w:r>
              <w:rPr>
                <w:spacing w:val="-3"/>
              </w:rPr>
              <w:t>同</w:t>
            </w:r>
            <w:r>
              <w:rPr/>
              <w:t>内</w:t>
            </w:r>
            <w:r>
              <w:rPr>
                <w:spacing w:val="-3"/>
              </w:rPr>
              <w:t>容变更</w:t>
              <w:tab/>
            </w:r>
            <w:r>
              <w:rPr>
                <w:rFonts w:ascii="Times New Roman" w:eastAsia="Times New Roman"/>
              </w:rPr>
              <w:t>10</w:t>
            </w:r>
          </w:hyperlink>
        </w:p>
        <w:p>
          <w:pPr>
            <w:pStyle w:val="TOC1"/>
            <w:tabs>
              <w:tab w:pos="1799" w:val="left" w:leader="none"/>
              <w:tab w:pos="8421" w:val="right" w:leader="dot"/>
            </w:tabs>
            <w:rPr>
              <w:rFonts w:ascii="Times New Roman" w:eastAsia="Times New Roman"/>
            </w:rPr>
          </w:pPr>
          <w:hyperlink w:history="true" w:anchor="_TOC_250002">
            <w:r>
              <w:rPr/>
              <w:t>第二</w:t>
            </w:r>
            <w:r>
              <w:rPr>
                <w:spacing w:val="-3"/>
              </w:rPr>
              <w:t>十</w:t>
            </w:r>
            <w:r>
              <w:rPr/>
              <w:t>二条</w:t>
              <w:tab/>
            </w:r>
            <w:r>
              <w:rPr>
                <w:spacing w:val="-3"/>
              </w:rPr>
              <w:t>本</w:t>
            </w:r>
            <w:r>
              <w:rPr/>
              <w:t>合</w:t>
            </w:r>
            <w:r>
              <w:rPr>
                <w:spacing w:val="-3"/>
              </w:rPr>
              <w:t>同</w:t>
            </w:r>
            <w:r>
              <w:rPr/>
              <w:t>的</w:t>
            </w:r>
            <w:r>
              <w:rPr>
                <w:spacing w:val="-3"/>
              </w:rPr>
              <w:t>解除</w:t>
              <w:tab/>
            </w:r>
            <w:r>
              <w:rPr>
                <w:rFonts w:ascii="Times New Roman" w:eastAsia="Times New Roman"/>
                <w:spacing w:val="-4"/>
              </w:rPr>
              <w:t>11</w:t>
            </w:r>
          </w:hyperlink>
        </w:p>
        <w:p>
          <w:pPr>
            <w:pStyle w:val="TOC1"/>
            <w:tabs>
              <w:tab w:pos="1799" w:val="left" w:leader="none"/>
              <w:tab w:pos="8421" w:val="right" w:leader="dot"/>
            </w:tabs>
            <w:rPr>
              <w:rFonts w:ascii="Times New Roman" w:eastAsia="Times New Roman"/>
            </w:rPr>
          </w:pPr>
          <w:hyperlink w:history="true" w:anchor="_TOC_250001">
            <w:r>
              <w:rPr/>
              <w:t>第二</w:t>
            </w:r>
            <w:r>
              <w:rPr>
                <w:spacing w:val="-3"/>
              </w:rPr>
              <w:t>十</w:t>
            </w:r>
            <w:r>
              <w:rPr/>
              <w:t>三条</w:t>
              <w:tab/>
            </w:r>
            <w:r>
              <w:rPr>
                <w:spacing w:val="-3"/>
              </w:rPr>
              <w:t>争</w:t>
            </w:r>
            <w:r>
              <w:rPr/>
              <w:t>议</w:t>
            </w:r>
            <w:r>
              <w:rPr>
                <w:spacing w:val="-3"/>
              </w:rPr>
              <w:t>处</w:t>
            </w:r>
            <w:r>
              <w:rPr/>
              <w:t>理</w:t>
            </w:r>
            <w:r>
              <w:rPr>
                <w:spacing w:val="-3"/>
              </w:rPr>
              <w:t>和</w:t>
            </w:r>
            <w:r>
              <w:rPr/>
              <w:t>法律</w:t>
            </w:r>
            <w:r>
              <w:rPr>
                <w:spacing w:val="-3"/>
              </w:rPr>
              <w:t>适用</w:t>
              <w:tab/>
            </w:r>
            <w:r>
              <w:rPr>
                <w:rFonts w:ascii="Times New Roman" w:eastAsia="Times New Roman"/>
                <w:spacing w:val="-4"/>
              </w:rPr>
              <w:t>11</w:t>
            </w:r>
          </w:hyperlink>
        </w:p>
        <w:p>
          <w:pPr>
            <w:pStyle w:val="TOC1"/>
            <w:tabs>
              <w:tab w:pos="8421" w:val="right" w:leader="dot"/>
            </w:tabs>
            <w:rPr>
              <w:rFonts w:ascii="Times New Roman" w:eastAsia="Times New Roman"/>
            </w:rPr>
          </w:pPr>
          <w:hyperlink w:history="true" w:anchor="_TOC_250000">
            <w:r>
              <w:rPr/>
              <w:t>释义</w:t>
              <w:tab/>
            </w:r>
            <w:r>
              <w:rPr>
                <w:rFonts w:ascii="Times New Roman" w:eastAsia="Times New Roman"/>
                <w:spacing w:val="-4"/>
              </w:rPr>
              <w:t>11</w:t>
            </w:r>
          </w:hyperlink>
        </w:p>
      </w:sdtContent>
    </w:sdt>
    <w:p>
      <w:pPr>
        <w:spacing w:after="0"/>
        <w:rPr>
          <w:rFonts w:ascii="Times New Roman" w:eastAsia="Times New Roman"/>
        </w:rPr>
        <w:sectPr>
          <w:pgSz w:w="11900" w:h="16840"/>
          <w:pgMar w:header="0" w:footer="1007" w:top="1500" w:bottom="1200" w:left="1680" w:right="1680"/>
        </w:sectPr>
      </w:pPr>
    </w:p>
    <w:p>
      <w:pPr>
        <w:spacing w:line="473" w:lineRule="exact" w:before="0"/>
        <w:ind w:left="1017" w:right="0" w:firstLine="0"/>
        <w:jc w:val="left"/>
        <w:rPr>
          <w:rFonts w:ascii="Microsoft JhengHei" w:eastAsia="Microsoft JhengHei" w:hint="eastAsia"/>
          <w:b/>
          <w:sz w:val="36"/>
        </w:rPr>
      </w:pPr>
      <w:r>
        <w:rPr>
          <w:rFonts w:ascii="Microsoft JhengHei" w:eastAsia="Microsoft JhengHei" w:hint="eastAsia"/>
          <w:b/>
          <w:sz w:val="36"/>
        </w:rPr>
        <w:t>瑞泰多重给付团体重大疾病保险合同条款</w:t>
      </w:r>
    </w:p>
    <w:p>
      <w:pPr>
        <w:spacing w:before="116"/>
        <w:ind w:left="1490" w:right="0" w:firstLine="0"/>
        <w:jc w:val="left"/>
        <w:rPr>
          <w:sz w:val="21"/>
        </w:rPr>
      </w:pPr>
      <w:r>
        <w:rPr>
          <w:sz w:val="21"/>
        </w:rPr>
        <w:t>（本合同条款 2011 年 1 月经中国保险监督管理委员会备案）</w:t>
      </w:r>
    </w:p>
    <w:p>
      <w:pPr>
        <w:pStyle w:val="BodyText"/>
        <w:spacing w:before="0"/>
        <w:ind w:left="0"/>
        <w:rPr>
          <w:sz w:val="20"/>
        </w:rPr>
      </w:pPr>
    </w:p>
    <w:p>
      <w:pPr>
        <w:pStyle w:val="BodyText"/>
        <w:spacing w:before="6"/>
        <w:ind w:left="0"/>
        <w:rPr>
          <w:sz w:val="22"/>
        </w:rPr>
      </w:pPr>
    </w:p>
    <w:p>
      <w:pPr>
        <w:pStyle w:val="Heading1"/>
        <w:tabs>
          <w:tab w:pos="1082" w:val="left" w:leader="none"/>
        </w:tabs>
      </w:pPr>
      <w:bookmarkStart w:name="_TOC_250023" w:id="1"/>
      <w:r>
        <w:rPr/>
        <w:t>第一条</w:t>
        <w:tab/>
        <w:t>关于瑞泰多重给付团体重大疾病保险合同（以下简称“本合同</w:t>
      </w:r>
      <w:bookmarkEnd w:id="1"/>
      <w:r>
        <w:rPr>
          <w:spacing w:val="-120"/>
        </w:rPr>
        <w:t>”）</w:t>
      </w:r>
    </w:p>
    <w:p>
      <w:pPr>
        <w:pStyle w:val="BodyText"/>
        <w:spacing w:line="357" w:lineRule="auto" w:before="162"/>
        <w:ind w:right="226" w:firstLine="480"/>
      </w:pPr>
      <w:r>
        <w:rPr>
          <w:spacing w:val="-5"/>
        </w:rPr>
        <w:t>本合同是您</w:t>
      </w:r>
      <w:r>
        <w:rPr/>
        <w:t>（指投保人</w:t>
      </w:r>
      <w:r>
        <w:rPr>
          <w:spacing w:val="-22"/>
        </w:rPr>
        <w:t>）</w:t>
      </w:r>
      <w:r>
        <w:rPr>
          <w:spacing w:val="-8"/>
        </w:rPr>
        <w:t>和我们</w:t>
      </w:r>
      <w:r>
        <w:rPr/>
        <w:t>（指瑞泰人寿保险有限公司</w:t>
      </w:r>
      <w:r>
        <w:rPr>
          <w:spacing w:val="-22"/>
        </w:rPr>
        <w:t>）</w:t>
      </w:r>
      <w:r>
        <w:rPr/>
        <w:t>之间签订的约定保险权利义务关系的协议。</w:t>
      </w:r>
    </w:p>
    <w:p>
      <w:pPr>
        <w:pStyle w:val="BodyText"/>
        <w:spacing w:before="8"/>
        <w:ind w:left="0"/>
        <w:rPr>
          <w:sz w:val="35"/>
        </w:rPr>
      </w:pPr>
    </w:p>
    <w:p>
      <w:pPr>
        <w:pStyle w:val="Heading1"/>
        <w:tabs>
          <w:tab w:pos="1082" w:val="left" w:leader="none"/>
        </w:tabs>
      </w:pPr>
      <w:bookmarkStart w:name="_TOC_250022" w:id="2"/>
      <w:bookmarkEnd w:id="2"/>
      <w:r>
        <w:rPr/>
        <w:t>第二条</w:t>
        <w:tab/>
        <w:t>本合同的构成</w:t>
      </w:r>
    </w:p>
    <w:p>
      <w:pPr>
        <w:pStyle w:val="BodyText"/>
        <w:spacing w:line="357" w:lineRule="auto" w:before="160"/>
        <w:ind w:right="109" w:firstLine="480"/>
      </w:pPr>
      <w:r>
        <w:rPr>
          <w:spacing w:val="-3"/>
        </w:rPr>
        <w:t>本合同由保险单</w:t>
      </w:r>
      <w:r>
        <w:rPr/>
        <w:t>（</w:t>
      </w:r>
      <w:r>
        <w:rPr>
          <w:spacing w:val="-24"/>
        </w:rPr>
        <w:t>简称“保单”</w:t>
      </w:r>
      <w:r>
        <w:rPr>
          <w:spacing w:val="-17"/>
        </w:rPr>
        <w:t>）</w:t>
      </w:r>
      <w:r>
        <w:rPr>
          <w:spacing w:val="-5"/>
        </w:rPr>
        <w:t>或其他保险凭证、保险合同条款、投保单、</w:t>
      </w:r>
      <w:r>
        <w:rPr>
          <w:spacing w:val="-10"/>
        </w:rPr>
        <w:t>与本合同有关的其他投保文件、合法有效的声明、通知、批单、批注、被保险人名册和其他书面协议构成。</w:t>
      </w:r>
    </w:p>
    <w:p>
      <w:pPr>
        <w:pStyle w:val="BodyText"/>
        <w:spacing w:before="8"/>
        <w:ind w:left="0"/>
        <w:rPr>
          <w:sz w:val="35"/>
        </w:rPr>
      </w:pPr>
    </w:p>
    <w:p>
      <w:pPr>
        <w:pStyle w:val="Heading1"/>
        <w:tabs>
          <w:tab w:pos="1082" w:val="left" w:leader="none"/>
        </w:tabs>
      </w:pPr>
      <w:bookmarkStart w:name="_TOC_250021" w:id="3"/>
      <w:bookmarkEnd w:id="3"/>
      <w:r>
        <w:rPr/>
        <w:t>第三条</w:t>
        <w:tab/>
        <w:t>投保条件</w:t>
      </w:r>
    </w:p>
    <w:p>
      <w:pPr>
        <w:pStyle w:val="BodyText"/>
        <w:spacing w:before="159"/>
        <w:ind w:left="597"/>
      </w:pPr>
      <w:r>
        <w:rPr/>
        <w:t>1、投保人</w:t>
      </w:r>
    </w:p>
    <w:p>
      <w:pPr>
        <w:pStyle w:val="BodyText"/>
        <w:spacing w:line="357" w:lineRule="auto"/>
        <w:ind w:right="226" w:firstLine="480"/>
      </w:pPr>
      <w:r>
        <w:rPr>
          <w:spacing w:val="-5"/>
        </w:rPr>
        <w:t>投保人为在中国境内的合法团体，包括但不限于国家机关、院校、企事业单位和行业组织等，且该团体非仅为购买保险而组织成立。</w:t>
      </w:r>
    </w:p>
    <w:p>
      <w:pPr>
        <w:pStyle w:val="BodyText"/>
        <w:spacing w:before="36"/>
        <w:ind w:left="597"/>
      </w:pPr>
      <w:r>
        <w:rPr/>
        <w:t>2、被保险人</w:t>
      </w:r>
    </w:p>
    <w:p>
      <w:pPr>
        <w:pStyle w:val="BodyText"/>
        <w:spacing w:before="154"/>
        <w:ind w:left="597"/>
      </w:pPr>
      <w:r>
        <w:rPr/>
        <w:t>本合同所称被保险人，包括主被保险人和附属被保险人。</w:t>
      </w:r>
    </w:p>
    <w:p>
      <w:pPr>
        <w:pStyle w:val="ListParagraph"/>
        <w:numPr>
          <w:ilvl w:val="1"/>
          <w:numId w:val="1"/>
        </w:numPr>
        <w:tabs>
          <w:tab w:pos="1078" w:val="left" w:leader="none"/>
        </w:tabs>
        <w:spacing w:line="240" w:lineRule="auto" w:before="154" w:after="0"/>
        <w:ind w:left="1077" w:right="0" w:hanging="480"/>
        <w:jc w:val="left"/>
        <w:rPr>
          <w:sz w:val="24"/>
        </w:rPr>
      </w:pPr>
      <w:r>
        <w:rPr>
          <w:sz w:val="24"/>
        </w:rPr>
        <w:t>主被保险人</w:t>
      </w:r>
    </w:p>
    <w:p>
      <w:pPr>
        <w:pStyle w:val="BodyText"/>
        <w:spacing w:before="154"/>
        <w:ind w:left="597"/>
      </w:pPr>
      <w:r>
        <w:rPr/>
        <w:t>投保人的在职员工，凡身体健康，能正常工作或劳动的，经我们审核同意，</w:t>
      </w:r>
    </w:p>
    <w:p>
      <w:pPr>
        <w:pStyle w:val="BodyText"/>
        <w:spacing w:before="154"/>
      </w:pPr>
      <w:r>
        <w:rPr/>
        <w:t>可以成为本合同的主被保险人。</w:t>
      </w:r>
    </w:p>
    <w:p>
      <w:pPr>
        <w:pStyle w:val="ListParagraph"/>
        <w:numPr>
          <w:ilvl w:val="1"/>
          <w:numId w:val="1"/>
        </w:numPr>
        <w:tabs>
          <w:tab w:pos="1078" w:val="left" w:leader="none"/>
        </w:tabs>
        <w:spacing w:line="240" w:lineRule="auto" w:before="154" w:after="0"/>
        <w:ind w:left="1077" w:right="0" w:hanging="480"/>
        <w:jc w:val="left"/>
        <w:rPr>
          <w:sz w:val="24"/>
        </w:rPr>
      </w:pPr>
      <w:r>
        <w:rPr>
          <w:sz w:val="24"/>
        </w:rPr>
        <w:t>附属被保险人</w:t>
      </w:r>
    </w:p>
    <w:p>
      <w:pPr>
        <w:pStyle w:val="BodyText"/>
        <w:spacing w:before="154"/>
        <w:ind w:left="597"/>
      </w:pPr>
      <w:r>
        <w:rPr/>
        <w:t>经我们审核同意，主被保险人的配偶、子女和父母可以成为本合同的附属被</w:t>
      </w:r>
    </w:p>
    <w:p>
      <w:pPr>
        <w:pStyle w:val="BodyText"/>
        <w:spacing w:before="154"/>
      </w:pPr>
      <w:r>
        <w:rPr/>
        <w:t>保险人。</w:t>
      </w:r>
    </w:p>
    <w:p>
      <w:pPr>
        <w:pStyle w:val="BodyText"/>
        <w:spacing w:before="0"/>
        <w:ind w:left="0"/>
      </w:pPr>
    </w:p>
    <w:p>
      <w:pPr>
        <w:pStyle w:val="BodyText"/>
        <w:spacing w:before="7"/>
        <w:ind w:left="0"/>
        <w:rPr>
          <w:sz w:val="23"/>
        </w:rPr>
      </w:pPr>
    </w:p>
    <w:p>
      <w:pPr>
        <w:pStyle w:val="BodyText"/>
        <w:spacing w:before="0"/>
        <w:ind w:left="597"/>
      </w:pPr>
      <w:r>
        <w:rPr>
          <w:spacing w:val="-5"/>
        </w:rPr>
        <w:t>本合同的被保险人年龄应在 </w:t>
      </w:r>
      <w:r>
        <w:rPr/>
        <w:t>0</w:t>
      </w:r>
      <w:r>
        <w:rPr>
          <w:spacing w:val="-30"/>
        </w:rPr>
        <w:t> 周岁</w:t>
      </w:r>
      <w:r>
        <w:rPr/>
        <w:t>（</w:t>
      </w:r>
      <w:r>
        <w:rPr>
          <w:spacing w:val="-12"/>
        </w:rPr>
        <w:t>指出生满 </w:t>
      </w:r>
      <w:r>
        <w:rPr/>
        <w:t>15</w:t>
      </w:r>
      <w:r>
        <w:rPr>
          <w:spacing w:val="-12"/>
        </w:rPr>
        <w:t> 日的婴儿</w:t>
      </w:r>
      <w:r>
        <w:rPr>
          <w:spacing w:val="-29"/>
        </w:rPr>
        <w:t>）</w:t>
      </w:r>
      <w:r>
        <w:rPr>
          <w:spacing w:val="-30"/>
        </w:rPr>
        <w:t>至 </w:t>
      </w:r>
      <w:r>
        <w:rPr/>
        <w:t>65</w:t>
      </w:r>
      <w:r>
        <w:rPr>
          <w:spacing w:val="-30"/>
        </w:rPr>
        <w:t> 周岁</w:t>
      </w:r>
      <w:r>
        <w:rPr/>
        <w:t>（含</w:t>
      </w:r>
    </w:p>
    <w:p>
      <w:pPr>
        <w:pStyle w:val="BodyText"/>
        <w:spacing w:line="357" w:lineRule="auto" w:before="154"/>
        <w:ind w:right="229"/>
      </w:pPr>
      <w:r>
        <w:rPr/>
        <w:t>65 周岁）之间。本合同所指周岁，以法定身份证明文件中记载的出生日期为计算基础。</w:t>
      </w:r>
    </w:p>
    <w:p>
      <w:pPr>
        <w:pStyle w:val="BodyText"/>
        <w:spacing w:before="36"/>
        <w:ind w:left="597"/>
      </w:pPr>
      <w:r>
        <w:rPr/>
        <w:t>投保时，本合同的主被保险人人数应不少于五人，且主被保险人必须占投保</w:t>
      </w:r>
    </w:p>
    <w:p>
      <w:pPr>
        <w:spacing w:after="0"/>
        <w:sectPr>
          <w:pgSz w:w="11900" w:h="16840"/>
          <w:pgMar w:header="0" w:footer="1007" w:top="1480" w:bottom="1200" w:left="1680" w:right="1560"/>
        </w:sectPr>
      </w:pPr>
    </w:p>
    <w:p>
      <w:pPr>
        <w:pStyle w:val="BodyText"/>
        <w:spacing w:line="313" w:lineRule="exact" w:before="0"/>
      </w:pPr>
      <w:r>
        <w:rPr/>
        <w:drawing>
          <wp:anchor distT="0" distB="0" distL="0" distR="0" allowOverlap="1" layoutInCell="1" locked="0" behindDoc="1" simplePos="0" relativeHeight="268415735">
            <wp:simplePos x="0" y="0"/>
            <wp:positionH relativeFrom="page">
              <wp:posOffset>3621151</wp:posOffset>
            </wp:positionH>
            <wp:positionV relativeFrom="paragraph">
              <wp:posOffset>62992</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5759">
            <wp:simplePos x="0" y="0"/>
            <wp:positionH relativeFrom="page">
              <wp:posOffset>4497451</wp:posOffset>
            </wp:positionH>
            <wp:positionV relativeFrom="paragraph">
              <wp:posOffset>62992</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4"/>
        </w:rPr>
        <w:t>人团体中符合参保条件成员总数的 </w:t>
      </w:r>
      <w:r>
        <w:rPr/>
        <w:t>75以上（</w:t>
      </w:r>
      <w:r>
        <w:rPr>
          <w:spacing w:val="-30"/>
        </w:rPr>
        <w:t>含 </w:t>
      </w:r>
      <w:r>
        <w:rPr/>
        <w:t>75</w:t>
      </w:r>
      <w:r>
        <w:rPr>
          <w:spacing w:val="-120"/>
        </w:rPr>
        <w:t>）</w:t>
      </w:r>
      <w:r>
        <w:rPr/>
        <w:t>。</w:t>
      </w:r>
    </w:p>
    <w:p>
      <w:pPr>
        <w:pStyle w:val="BodyText"/>
        <w:spacing w:before="0"/>
        <w:ind w:left="0"/>
      </w:pPr>
    </w:p>
    <w:p>
      <w:pPr>
        <w:pStyle w:val="BodyText"/>
        <w:spacing w:before="9"/>
        <w:ind w:left="0"/>
        <w:rPr>
          <w:sz w:val="17"/>
        </w:rPr>
      </w:pPr>
    </w:p>
    <w:p>
      <w:pPr>
        <w:spacing w:line="268" w:lineRule="auto" w:before="0"/>
        <w:ind w:left="117" w:right="106" w:firstLine="482"/>
        <w:jc w:val="left"/>
        <w:rPr>
          <w:rFonts w:ascii="Microsoft JhengHei" w:eastAsia="Microsoft JhengHei" w:hint="eastAsia"/>
          <w:b/>
          <w:sz w:val="24"/>
        </w:rPr>
      </w:pPr>
      <w:r>
        <w:rPr>
          <w:rFonts w:ascii="Microsoft JhengHei" w:eastAsia="Microsoft JhengHei" w:hint="eastAsia"/>
          <w:b/>
          <w:sz w:val="24"/>
        </w:rPr>
        <w:t>特别提示您：本合同的附属被保险人系附属于所对应的主被保险人而存在， 因此，无论何种情况下，当我们对主被保险人的保险责任终止时，我们对主被保险人对应的所有附属被保险人的保险责任同时终止，我们将同时向您返还该主被保险人保险责任终止时对应的所有附属被保险人相应的未满期净保险费</w:t>
      </w:r>
    </w:p>
    <w:p>
      <w:pPr>
        <w:spacing w:before="12"/>
        <w:ind w:left="117" w:right="0" w:firstLine="0"/>
        <w:jc w:val="left"/>
        <w:rPr>
          <w:rFonts w:ascii="Microsoft JhengHei" w:eastAsia="Microsoft JhengHei" w:hint="eastAsia"/>
          <w:b/>
          <w:sz w:val="24"/>
        </w:rPr>
      </w:pPr>
      <w:r>
        <w:rPr>
          <w:rFonts w:ascii="Microsoft JhengHei" w:eastAsia="Microsoft JhengHei" w:hint="eastAsia"/>
          <w:b/>
          <w:w w:val="105"/>
          <w:sz w:val="24"/>
        </w:rPr>
        <w:t>(释义 1)。</w:t>
      </w:r>
    </w:p>
    <w:p>
      <w:pPr>
        <w:pStyle w:val="BodyText"/>
        <w:spacing w:before="17"/>
        <w:ind w:left="0"/>
        <w:rPr>
          <w:rFonts w:ascii="Microsoft JhengHei"/>
          <w:b/>
          <w:sz w:val="31"/>
        </w:rPr>
      </w:pPr>
    </w:p>
    <w:p>
      <w:pPr>
        <w:pStyle w:val="Heading1"/>
        <w:tabs>
          <w:tab w:pos="1082" w:val="left" w:leader="none"/>
        </w:tabs>
      </w:pPr>
      <w:bookmarkStart w:name="_TOC_250020" w:id="4"/>
      <w:bookmarkEnd w:id="4"/>
      <w:r>
        <w:rPr/>
        <w:t>第四条</w:t>
        <w:tab/>
        <w:t>本合同的生效</w:t>
      </w:r>
    </w:p>
    <w:p>
      <w:pPr>
        <w:pStyle w:val="BodyText"/>
        <w:spacing w:line="357" w:lineRule="auto" w:before="160"/>
        <w:ind w:right="226" w:firstLine="480"/>
        <w:jc w:val="both"/>
      </w:pPr>
      <w:r>
        <w:rPr>
          <w:spacing w:val="-5"/>
        </w:rPr>
        <w:t>您向我们完整提交投保单等相关投保文件后，我们会及时对您的投保申请进</w:t>
      </w:r>
      <w:r>
        <w:rPr>
          <w:spacing w:val="-10"/>
        </w:rPr>
        <w:t>行核保。在我们同意承保，并收到您交纳的保险费后，本合同生效，我们将签发</w:t>
      </w:r>
      <w:r>
        <w:rPr>
          <w:spacing w:val="-15"/>
        </w:rPr>
        <w:t>保险单或批注作为保险凭证。我们自本合同生效日即保险单所载的保险单生效日的零时起承担保险责任。</w:t>
      </w:r>
    </w:p>
    <w:p>
      <w:pPr>
        <w:spacing w:line="378" w:lineRule="exact" w:before="0"/>
        <w:ind w:left="590" w:right="0" w:firstLine="0"/>
        <w:jc w:val="left"/>
        <w:rPr>
          <w:sz w:val="24"/>
        </w:rPr>
      </w:pPr>
      <w:r>
        <w:rPr>
          <w:rFonts w:ascii="Microsoft JhengHei" w:eastAsia="Microsoft JhengHei" w:hint="eastAsia"/>
          <w:b/>
          <w:sz w:val="24"/>
        </w:rPr>
        <w:t>保险单周年日</w:t>
      </w:r>
      <w:r>
        <w:rPr>
          <w:rFonts w:ascii="Microsoft JhengHei" w:eastAsia="Microsoft JhengHei" w:hint="eastAsia"/>
          <w:b/>
          <w:w w:val="120"/>
          <w:sz w:val="24"/>
        </w:rPr>
        <w:t>(</w:t>
      </w:r>
      <w:r>
        <w:rPr>
          <w:rFonts w:ascii="Microsoft JhengHei" w:eastAsia="Microsoft JhengHei" w:hint="eastAsia"/>
          <w:b/>
          <w:sz w:val="24"/>
        </w:rPr>
        <w:t>释义 2)</w:t>
      </w:r>
      <w:r>
        <w:rPr>
          <w:sz w:val="24"/>
        </w:rPr>
        <w:t>、保险单年度、保险费到期日和保险单期满日均以保</w:t>
      </w:r>
    </w:p>
    <w:p>
      <w:pPr>
        <w:pStyle w:val="BodyText"/>
        <w:spacing w:before="126"/>
      </w:pPr>
      <w:r>
        <w:rPr/>
        <w:t>险单中载明的生效日期为准计算。</w:t>
      </w:r>
    </w:p>
    <w:p>
      <w:pPr>
        <w:pStyle w:val="BodyText"/>
        <w:spacing w:before="0"/>
        <w:ind w:left="0"/>
      </w:pPr>
    </w:p>
    <w:p>
      <w:pPr>
        <w:pStyle w:val="BodyText"/>
        <w:spacing w:before="7"/>
        <w:ind w:left="0"/>
        <w:rPr>
          <w:sz w:val="20"/>
        </w:rPr>
      </w:pPr>
    </w:p>
    <w:p>
      <w:pPr>
        <w:pStyle w:val="Heading1"/>
        <w:tabs>
          <w:tab w:pos="1082" w:val="left" w:leader="none"/>
        </w:tabs>
      </w:pPr>
      <w:bookmarkStart w:name="_TOC_250019" w:id="5"/>
      <w:bookmarkEnd w:id="5"/>
      <w:r>
        <w:rPr/>
        <w:t>第五条</w:t>
        <w:tab/>
        <w:t>保险期间</w:t>
      </w:r>
    </w:p>
    <w:p>
      <w:pPr>
        <w:pStyle w:val="BodyText"/>
        <w:spacing w:before="159"/>
        <w:ind w:left="597"/>
      </w:pPr>
      <w:r>
        <w:rPr/>
        <w:t>本合同的保险期间最长为一年，除另有约定外，自本合同生效之日零时起至</w:t>
      </w:r>
    </w:p>
    <w:p>
      <w:pPr>
        <w:pStyle w:val="BodyText"/>
      </w:pPr>
      <w:r>
        <w:rPr/>
        <w:t>约定终止日二十四时止，由您和我们约定并于保险单中载明。</w:t>
      </w:r>
    </w:p>
    <w:p>
      <w:pPr>
        <w:pStyle w:val="BodyText"/>
        <w:spacing w:before="0"/>
        <w:ind w:left="0"/>
      </w:pPr>
    </w:p>
    <w:p>
      <w:pPr>
        <w:pStyle w:val="BodyText"/>
        <w:spacing w:before="7"/>
        <w:ind w:left="0"/>
        <w:rPr>
          <w:sz w:val="20"/>
        </w:rPr>
      </w:pPr>
    </w:p>
    <w:p>
      <w:pPr>
        <w:pStyle w:val="Heading1"/>
        <w:tabs>
          <w:tab w:pos="1082" w:val="left" w:leader="none"/>
        </w:tabs>
        <w:spacing w:before="1"/>
      </w:pPr>
      <w:bookmarkStart w:name="_TOC_250018" w:id="6"/>
      <w:bookmarkEnd w:id="6"/>
      <w:r>
        <w:rPr/>
        <w:t>第六条</w:t>
        <w:tab/>
        <w:t>保险金额</w:t>
      </w:r>
    </w:p>
    <w:p>
      <w:pPr>
        <w:pStyle w:val="BodyText"/>
        <w:spacing w:before="162"/>
        <w:ind w:left="597"/>
      </w:pPr>
      <w:r>
        <w:rPr/>
        <w:t>本合同下各被保险人的保险金额由您和我们约定并于保险单中载明。</w:t>
      </w:r>
    </w:p>
    <w:p>
      <w:pPr>
        <w:pStyle w:val="BodyText"/>
        <w:spacing w:before="0"/>
        <w:ind w:left="0"/>
      </w:pPr>
    </w:p>
    <w:p>
      <w:pPr>
        <w:pStyle w:val="BodyText"/>
        <w:spacing w:before="7"/>
        <w:ind w:left="0"/>
        <w:rPr>
          <w:sz w:val="20"/>
        </w:rPr>
      </w:pPr>
    </w:p>
    <w:p>
      <w:pPr>
        <w:pStyle w:val="Heading1"/>
        <w:tabs>
          <w:tab w:pos="1082" w:val="left" w:leader="none"/>
        </w:tabs>
      </w:pPr>
      <w:bookmarkStart w:name="_TOC_250017" w:id="7"/>
      <w:bookmarkEnd w:id="7"/>
      <w:r>
        <w:rPr/>
        <w:t>第七条</w:t>
        <w:tab/>
        <w:t>保险费的交纳</w:t>
      </w:r>
    </w:p>
    <w:p>
      <w:pPr>
        <w:pStyle w:val="BodyText"/>
        <w:spacing w:before="159"/>
        <w:ind w:left="588"/>
      </w:pPr>
      <w:r>
        <w:rPr/>
        <w:t>本合同的交费方式由您与我们约定，并在保险单中载明。</w:t>
      </w:r>
    </w:p>
    <w:p>
      <w:pPr>
        <w:pStyle w:val="BodyText"/>
        <w:spacing w:before="0"/>
        <w:ind w:left="0"/>
      </w:pPr>
    </w:p>
    <w:p>
      <w:pPr>
        <w:pStyle w:val="BodyText"/>
        <w:spacing w:before="7"/>
        <w:ind w:left="0"/>
        <w:rPr>
          <w:sz w:val="20"/>
        </w:rPr>
      </w:pPr>
    </w:p>
    <w:p>
      <w:pPr>
        <w:pStyle w:val="Heading1"/>
        <w:tabs>
          <w:tab w:pos="1082" w:val="left" w:leader="none"/>
        </w:tabs>
      </w:pPr>
      <w:bookmarkStart w:name="_TOC_250016" w:id="8"/>
      <w:bookmarkEnd w:id="8"/>
      <w:r>
        <w:rPr/>
        <w:t>第八条</w:t>
        <w:tab/>
        <w:t>等待期</w:t>
      </w:r>
    </w:p>
    <w:p>
      <w:pPr>
        <w:pStyle w:val="BodyText"/>
        <w:spacing w:line="312" w:lineRule="auto" w:before="83"/>
        <w:ind w:right="226" w:firstLine="480"/>
      </w:pPr>
      <w:r>
        <w:rPr>
          <w:spacing w:val="-3"/>
        </w:rPr>
        <w:t>被保险人于本合同生效之日起 </w:t>
      </w:r>
      <w:r>
        <w:rPr/>
        <w:t>30</w:t>
      </w:r>
      <w:r>
        <w:rPr>
          <w:spacing w:val="-14"/>
        </w:rPr>
        <w:t> 日内</w:t>
      </w:r>
      <w:r>
        <w:rPr>
          <w:rFonts w:ascii="Microsoft JhengHei" w:eastAsia="Microsoft JhengHei" w:hint="eastAsia"/>
          <w:b/>
        </w:rPr>
        <w:t>初次患有（</w:t>
      </w:r>
      <w:r>
        <w:rPr>
          <w:rFonts w:ascii="Microsoft JhengHei" w:eastAsia="Microsoft JhengHei" w:hint="eastAsia"/>
          <w:b/>
          <w:spacing w:val="6"/>
        </w:rPr>
        <w:t>释义 </w:t>
      </w:r>
      <w:r>
        <w:rPr>
          <w:rFonts w:ascii="Microsoft JhengHei" w:eastAsia="Microsoft JhengHei" w:hint="eastAsia"/>
          <w:b/>
        </w:rPr>
        <w:t>3）</w:t>
      </w:r>
      <w:r>
        <w:rPr>
          <w:spacing w:val="-1"/>
        </w:rPr>
        <w:t>本合同约定的重</w:t>
      </w:r>
      <w:r>
        <w:rPr>
          <w:spacing w:val="-7"/>
        </w:rPr>
        <w:t>大疾病中的一项或多项，我们不承担给付保险金的责任，但向您退还您为该被保</w:t>
      </w:r>
    </w:p>
    <w:p>
      <w:pPr>
        <w:spacing w:after="0" w:line="312" w:lineRule="auto"/>
        <w:sectPr>
          <w:pgSz w:w="11900" w:h="16840"/>
          <w:pgMar w:header="0" w:footer="1007" w:top="1460" w:bottom="1200" w:left="1680" w:right="1560"/>
        </w:sectPr>
      </w:pPr>
    </w:p>
    <w:p>
      <w:pPr>
        <w:pStyle w:val="BodyText"/>
        <w:spacing w:line="313" w:lineRule="exact" w:before="0"/>
      </w:pPr>
      <w:r>
        <w:rPr/>
        <w:t>险人交纳的本合同项下的保险费，我们对该被保险人的保险责任终止。这 30 日</w:t>
      </w:r>
    </w:p>
    <w:p>
      <w:pPr>
        <w:pStyle w:val="BodyText"/>
        <w:spacing w:before="154"/>
      </w:pPr>
      <w:r>
        <w:rPr/>
        <w:t>称为保险责任等待期。</w:t>
      </w:r>
    </w:p>
    <w:p>
      <w:pPr>
        <w:pStyle w:val="BodyText"/>
        <w:spacing w:line="357" w:lineRule="auto" w:before="154"/>
        <w:ind w:right="189" w:firstLine="480"/>
        <w:jc w:val="both"/>
      </w:pPr>
      <w:r>
        <w:rPr>
          <w:spacing w:val="-4"/>
        </w:rPr>
        <w:t>投保人为同一被保险人不间断地连续投保本合同，从第二年起，保险责任无等待期。</w:t>
      </w:r>
    </w:p>
    <w:p>
      <w:pPr>
        <w:spacing w:line="378" w:lineRule="exact" w:before="0"/>
        <w:ind w:left="597" w:right="0" w:firstLine="0"/>
        <w:jc w:val="left"/>
        <w:rPr>
          <w:sz w:val="24"/>
        </w:rPr>
      </w:pPr>
      <w:r>
        <w:rPr>
          <w:sz w:val="24"/>
        </w:rPr>
        <w:t>被保险人因</w:t>
      </w:r>
      <w:r>
        <w:rPr>
          <w:rFonts w:ascii="Microsoft JhengHei" w:eastAsia="Microsoft JhengHei" w:hint="eastAsia"/>
          <w:b/>
          <w:sz w:val="24"/>
        </w:rPr>
        <w:t>意外事故（释义 4）</w:t>
      </w:r>
      <w:r>
        <w:rPr>
          <w:sz w:val="24"/>
        </w:rPr>
        <w:t>导致罹患本合同所定义的重大疾病中的一项</w:t>
      </w:r>
    </w:p>
    <w:p>
      <w:pPr>
        <w:pStyle w:val="BodyText"/>
        <w:spacing w:before="126"/>
      </w:pPr>
      <w:r>
        <w:rPr/>
        <w:t>或多项时，保险责任无等待期。</w:t>
      </w:r>
    </w:p>
    <w:p>
      <w:pPr>
        <w:pStyle w:val="BodyText"/>
        <w:spacing w:line="357" w:lineRule="auto"/>
        <w:ind w:right="189" w:firstLine="480"/>
        <w:jc w:val="both"/>
      </w:pPr>
      <w:r>
        <w:rPr>
          <w:spacing w:val="-7"/>
        </w:rPr>
        <w:t>本合同被保险人发生变动时，新增加的被保险人的保险责任等待期依照本合同第二十条处理。</w:t>
      </w:r>
    </w:p>
    <w:p>
      <w:pPr>
        <w:pStyle w:val="BodyText"/>
        <w:spacing w:before="8"/>
        <w:ind w:left="0"/>
        <w:rPr>
          <w:sz w:val="35"/>
        </w:rPr>
      </w:pPr>
    </w:p>
    <w:p>
      <w:pPr>
        <w:pStyle w:val="Heading1"/>
        <w:tabs>
          <w:tab w:pos="1082" w:val="left" w:leader="none"/>
        </w:tabs>
      </w:pPr>
      <w:bookmarkStart w:name="_TOC_250015" w:id="9"/>
      <w:bookmarkEnd w:id="9"/>
      <w:r>
        <w:rPr/>
        <w:t>第九条</w:t>
        <w:tab/>
        <w:t>保险责任</w:t>
      </w:r>
    </w:p>
    <w:p>
      <w:pPr>
        <w:pStyle w:val="BodyText"/>
        <w:spacing w:before="160"/>
        <w:ind w:left="597"/>
      </w:pPr>
      <w:r>
        <w:rPr/>
        <w:t>在本合同有效期间内，我们承担以下保险责任：</w:t>
      </w:r>
    </w:p>
    <w:p>
      <w:pPr>
        <w:spacing w:line="268" w:lineRule="auto" w:before="77"/>
        <w:ind w:left="117" w:right="184" w:firstLine="480"/>
        <w:jc w:val="both"/>
        <w:rPr>
          <w:sz w:val="24"/>
        </w:rPr>
      </w:pPr>
      <w:r>
        <w:rPr>
          <w:sz w:val="24"/>
        </w:rPr>
        <w:t>本合同所约定的重大疾病分为三组，即</w:t>
      </w:r>
      <w:r>
        <w:rPr>
          <w:rFonts w:ascii="Microsoft JhengHei" w:eastAsia="Microsoft JhengHei" w:hint="eastAsia"/>
          <w:b/>
          <w:spacing w:val="1"/>
          <w:sz w:val="24"/>
        </w:rPr>
        <w:t>甲组重大疾病</w:t>
      </w:r>
      <w:r>
        <w:rPr>
          <w:rFonts w:ascii="Microsoft JhengHei" w:eastAsia="Microsoft JhengHei" w:hint="eastAsia"/>
          <w:b/>
          <w:sz w:val="24"/>
        </w:rPr>
        <w:t>（释义  </w:t>
      </w:r>
      <w:r>
        <w:rPr>
          <w:rFonts w:ascii="Microsoft JhengHei" w:eastAsia="Microsoft JhengHei" w:hint="eastAsia"/>
          <w:b/>
          <w:w w:val="83"/>
          <w:sz w:val="24"/>
        </w:rPr>
        <w:t>5</w:t>
      </w:r>
      <w:r>
        <w:rPr>
          <w:rFonts w:ascii="Microsoft JhengHei" w:eastAsia="Microsoft JhengHei" w:hint="eastAsia"/>
          <w:b/>
          <w:spacing w:val="-118"/>
          <w:sz w:val="24"/>
        </w:rPr>
        <w:t>）</w:t>
      </w:r>
      <w:r>
        <w:rPr>
          <w:sz w:val="24"/>
        </w:rPr>
        <w:t>、</w:t>
      </w:r>
      <w:r>
        <w:rPr>
          <w:rFonts w:ascii="Microsoft JhengHei" w:eastAsia="Microsoft JhengHei" w:hint="eastAsia"/>
          <w:b/>
          <w:sz w:val="24"/>
        </w:rPr>
        <w:t>乙组重大疾病</w:t>
      </w:r>
      <w:r>
        <w:rPr>
          <w:rFonts w:ascii="Microsoft JhengHei" w:eastAsia="Microsoft JhengHei" w:hint="eastAsia"/>
          <w:b/>
          <w:spacing w:val="1"/>
          <w:sz w:val="24"/>
        </w:rPr>
        <w:t>（</w:t>
      </w:r>
      <w:r>
        <w:rPr>
          <w:rFonts w:ascii="Microsoft JhengHei" w:eastAsia="Microsoft JhengHei" w:hint="eastAsia"/>
          <w:b/>
          <w:sz w:val="24"/>
        </w:rPr>
        <w:t>释义 </w:t>
      </w:r>
      <w:r>
        <w:rPr>
          <w:rFonts w:ascii="Microsoft JhengHei" w:eastAsia="Microsoft JhengHei" w:hint="eastAsia"/>
          <w:b/>
          <w:spacing w:val="1"/>
          <w:w w:val="83"/>
          <w:sz w:val="24"/>
        </w:rPr>
        <w:t>6</w:t>
      </w:r>
      <w:r>
        <w:rPr>
          <w:rFonts w:ascii="Microsoft JhengHei" w:eastAsia="Microsoft JhengHei" w:hint="eastAsia"/>
          <w:b/>
          <w:spacing w:val="-118"/>
          <w:sz w:val="24"/>
        </w:rPr>
        <w:t>）</w:t>
      </w:r>
      <w:r>
        <w:rPr>
          <w:spacing w:val="-3"/>
          <w:sz w:val="24"/>
        </w:rPr>
        <w:t>、</w:t>
      </w:r>
      <w:r>
        <w:rPr>
          <w:rFonts w:ascii="Microsoft JhengHei" w:eastAsia="Microsoft JhengHei" w:hint="eastAsia"/>
          <w:b/>
          <w:sz w:val="24"/>
        </w:rPr>
        <w:t>丙组重大疾病（释义 </w:t>
      </w:r>
      <w:r>
        <w:rPr>
          <w:rFonts w:ascii="Microsoft JhengHei" w:eastAsia="Microsoft JhengHei" w:hint="eastAsia"/>
          <w:b/>
          <w:w w:val="83"/>
          <w:sz w:val="24"/>
        </w:rPr>
        <w:t>7</w:t>
      </w:r>
      <w:r>
        <w:rPr>
          <w:rFonts w:ascii="Microsoft JhengHei" w:eastAsia="Microsoft JhengHei" w:hint="eastAsia"/>
          <w:b/>
          <w:spacing w:val="-118"/>
          <w:sz w:val="24"/>
        </w:rPr>
        <w:t>）</w:t>
      </w:r>
      <w:r>
        <w:rPr>
          <w:sz w:val="24"/>
        </w:rPr>
        <w:t>。</w:t>
      </w:r>
    </w:p>
    <w:p>
      <w:pPr>
        <w:pStyle w:val="BodyText"/>
        <w:spacing w:line="357" w:lineRule="auto" w:before="88"/>
        <w:ind w:right="189" w:firstLine="480"/>
        <w:jc w:val="both"/>
      </w:pPr>
      <w:r>
        <w:rPr>
          <w:spacing w:val="-10"/>
        </w:rPr>
        <w:t>等待期届满后，若被保险人经医院诊断初次患有本合同所约定上述三组重大</w:t>
      </w:r>
      <w:r>
        <w:rPr>
          <w:spacing w:val="-15"/>
        </w:rPr>
        <w:t>疾病中的一项或多项重大疾病的，我们按照本合同项下该被保险人相应的保险金额向该被保险人给付重大疾病保险金。</w:t>
      </w:r>
    </w:p>
    <w:p>
      <w:pPr>
        <w:pStyle w:val="BodyText"/>
        <w:spacing w:line="357" w:lineRule="auto" w:before="36"/>
        <w:ind w:right="184" w:firstLine="480"/>
        <w:jc w:val="both"/>
      </w:pPr>
      <w:r>
        <w:rPr>
          <w:spacing w:val="-5"/>
        </w:rPr>
        <w:t>自初次给付重大疾病保险金 </w:t>
      </w:r>
      <w:r>
        <w:rPr/>
        <w:t>180</w:t>
      </w:r>
      <w:r>
        <w:rPr>
          <w:spacing w:val="-14"/>
        </w:rPr>
        <w:t> 天后，若该被保险人经医院诊断初次患有本</w:t>
      </w:r>
      <w:r>
        <w:rPr/>
        <w:t>合同所约定的除已赔付组类别之外的另两组重大疾病中的一项或多项重大疾病</w:t>
      </w:r>
      <w:r>
        <w:rPr>
          <w:spacing w:val="-10"/>
        </w:rPr>
        <w:t>的，我们再次按照本合同项下该被保险人相应的保险金额向该被保险人给付重大疾病保险金。</w:t>
      </w:r>
    </w:p>
    <w:p>
      <w:pPr>
        <w:pStyle w:val="BodyText"/>
        <w:spacing w:line="357" w:lineRule="auto" w:before="36"/>
        <w:ind w:right="184" w:firstLine="480"/>
        <w:jc w:val="both"/>
      </w:pPr>
      <w:r>
        <w:rPr>
          <w:spacing w:val="-5"/>
        </w:rPr>
        <w:t>自二次给付重大疾病保险金 </w:t>
      </w:r>
      <w:r>
        <w:rPr/>
        <w:t>180</w:t>
      </w:r>
      <w:r>
        <w:rPr>
          <w:spacing w:val="-14"/>
        </w:rPr>
        <w:t> 天后，若该被保险人经医院诊断初次患有本</w:t>
      </w:r>
      <w:r>
        <w:rPr/>
        <w:t>合同所约定的除已赔付组类别之外的余下一组重大疾病中的一项或多项重大疾</w:t>
      </w:r>
      <w:r>
        <w:rPr>
          <w:spacing w:val="-10"/>
        </w:rPr>
        <w:t>病的，我们将再次按照本合同项下该被保险人相应的保险金额向该被保险人给付重大疾病保险金。</w:t>
      </w:r>
    </w:p>
    <w:p>
      <w:pPr>
        <w:pStyle w:val="BodyText"/>
        <w:spacing w:line="357" w:lineRule="auto" w:before="36"/>
        <w:ind w:right="100" w:firstLine="480"/>
      </w:pPr>
      <w:r>
        <w:rPr/>
        <w:t>本合同的重大疾病保险金给付以三次为限，且每组类别赔付次数仅限一次。当我们累计给付的重大疾病保险金次数达到三次时，我们对该被保险人的保险责任终止。</w:t>
      </w:r>
    </w:p>
    <w:p>
      <w:pPr>
        <w:spacing w:line="378" w:lineRule="exact" w:before="0"/>
        <w:ind w:left="600" w:right="0" w:firstLine="0"/>
        <w:jc w:val="left"/>
        <w:rPr>
          <w:rFonts w:ascii="Microsoft JhengHei" w:eastAsia="Microsoft JhengHei" w:hint="eastAsia"/>
          <w:b/>
          <w:sz w:val="24"/>
        </w:rPr>
      </w:pPr>
      <w:r>
        <w:rPr>
          <w:rFonts w:ascii="Microsoft JhengHei" w:eastAsia="Microsoft JhengHei" w:hint="eastAsia"/>
          <w:b/>
          <w:sz w:val="24"/>
        </w:rPr>
        <w:t>特别提示您：如果被保险人初次患有的疾病属于甲组或乙组重大疾病，我</w:t>
      </w:r>
    </w:p>
    <w:p>
      <w:pPr>
        <w:spacing w:before="50"/>
        <w:ind w:left="117" w:right="0"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们将不再对丙组重大疾病中“深度昏迷”和“瘫痪”进行赔付。</w:t>
      </w:r>
    </w:p>
    <w:p>
      <w:pPr>
        <w:spacing w:after="0"/>
        <w:jc w:val="left"/>
        <w:rPr>
          <w:rFonts w:ascii="Microsoft JhengHei" w:hAnsi="Microsoft JhengHei" w:eastAsia="Microsoft JhengHei" w:hint="eastAsia"/>
          <w:sz w:val="24"/>
        </w:rPr>
        <w:sectPr>
          <w:pgSz w:w="11900" w:h="16840"/>
          <w:pgMar w:header="0" w:footer="1007" w:top="1460" w:bottom="1200" w:left="1680" w:right="1600"/>
        </w:sectPr>
      </w:pPr>
    </w:p>
    <w:p>
      <w:pPr>
        <w:pStyle w:val="BodyText"/>
        <w:spacing w:before="0"/>
        <w:ind w:left="0"/>
        <w:rPr>
          <w:rFonts w:ascii="Microsoft JhengHei"/>
          <w:b/>
          <w:sz w:val="20"/>
        </w:rPr>
      </w:pPr>
    </w:p>
    <w:p>
      <w:pPr>
        <w:pStyle w:val="BodyText"/>
        <w:spacing w:before="10"/>
        <w:ind w:left="0"/>
        <w:rPr>
          <w:rFonts w:ascii="Microsoft JhengHei"/>
          <w:b/>
          <w:sz w:val="18"/>
        </w:rPr>
      </w:pPr>
    </w:p>
    <w:p>
      <w:pPr>
        <w:spacing w:line="413" w:lineRule="exact" w:before="0"/>
        <w:ind w:left="117" w:right="0" w:firstLine="0"/>
        <w:jc w:val="left"/>
        <w:rPr>
          <w:rFonts w:ascii="Microsoft JhengHei" w:eastAsia="Microsoft JhengHei" w:hint="eastAsia"/>
          <w:b/>
          <w:sz w:val="28"/>
        </w:rPr>
      </w:pPr>
      <w:bookmarkStart w:name="_TOC_250014" w:id="10"/>
      <w:bookmarkEnd w:id="10"/>
      <w:r>
        <w:rPr>
          <w:rFonts w:ascii="Microsoft JhengHei" w:eastAsia="Microsoft JhengHei" w:hint="eastAsia"/>
          <w:b/>
          <w:sz w:val="28"/>
        </w:rPr>
        <w:t>第十条  责任免除</w:t>
      </w:r>
    </w:p>
    <w:p>
      <w:pPr>
        <w:spacing w:line="307" w:lineRule="auto" w:before="136"/>
        <w:ind w:left="117" w:right="168" w:firstLine="552"/>
        <w:jc w:val="left"/>
        <w:rPr>
          <w:rFonts w:ascii="Microsoft JhengHei" w:eastAsia="Microsoft JhengHei" w:hint="eastAsia"/>
          <w:b/>
          <w:sz w:val="28"/>
        </w:rPr>
      </w:pPr>
      <w:r>
        <w:rPr>
          <w:rFonts w:ascii="Microsoft JhengHei" w:eastAsia="Microsoft JhengHei" w:hint="eastAsia"/>
          <w:b/>
          <w:sz w:val="28"/>
        </w:rPr>
        <w:t>因下列情形之一导致被保险人发生疾病、达到疾病状态或进行手术的，我们不承担给付重大疾病保险金的责任：</w:t>
      </w:r>
    </w:p>
    <w:p>
      <w:pPr>
        <w:spacing w:before="31"/>
        <w:ind w:left="669" w:right="0" w:firstLine="0"/>
        <w:jc w:val="left"/>
        <w:rPr>
          <w:rFonts w:ascii="Microsoft JhengHei" w:eastAsia="Microsoft JhengHei" w:hint="eastAsia"/>
          <w:b/>
          <w:sz w:val="28"/>
        </w:rPr>
      </w:pPr>
      <w:r>
        <w:rPr>
          <w:rFonts w:ascii="Microsoft JhengHei" w:eastAsia="Microsoft JhengHei" w:hint="eastAsia"/>
          <w:b/>
          <w:w w:val="95"/>
          <w:sz w:val="28"/>
        </w:rPr>
        <w:t>1）投保人对被保险人的故意杀害、故意伤害；</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95"/>
          <w:sz w:val="28"/>
        </w:rPr>
        <w:t>2）被保险人故意犯罪或抗拒依法采取的刑事强制措施；</w:t>
      </w:r>
    </w:p>
    <w:p>
      <w:pPr>
        <w:spacing w:before="136"/>
        <w:ind w:left="669" w:right="0" w:firstLine="0"/>
        <w:jc w:val="left"/>
        <w:rPr>
          <w:rFonts w:ascii="Microsoft JhengHei" w:eastAsia="Microsoft JhengHei" w:hint="eastAsia"/>
          <w:b/>
          <w:sz w:val="28"/>
        </w:rPr>
      </w:pPr>
      <w:r>
        <w:rPr>
          <w:rFonts w:ascii="Microsoft JhengHei" w:eastAsia="Microsoft JhengHei" w:hint="eastAsia"/>
          <w:b/>
          <w:sz w:val="28"/>
        </w:rPr>
        <w:t>3）被保险人自伤、自杀，但自杀时为无民事行为能力人的除外；</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84"/>
          <w:sz w:val="28"/>
        </w:rPr>
        <w:t>4</w:t>
      </w:r>
      <w:r>
        <w:rPr>
          <w:rFonts w:ascii="Microsoft JhengHei" w:eastAsia="Microsoft JhengHei" w:hint="eastAsia"/>
          <w:b/>
          <w:w w:val="100"/>
          <w:sz w:val="28"/>
        </w:rPr>
        <w:t>）被保险人主动吸食或注射毒品（释义</w:t>
      </w:r>
      <w:r>
        <w:rPr>
          <w:rFonts w:ascii="Microsoft JhengHei" w:eastAsia="Microsoft JhengHei" w:hint="eastAsia"/>
          <w:b/>
          <w:w w:val="84"/>
          <w:sz w:val="28"/>
        </w:rPr>
        <w:t>8</w:t>
      </w:r>
      <w:r>
        <w:rPr>
          <w:rFonts w:ascii="Microsoft JhengHei" w:eastAsia="Microsoft JhengHei" w:hint="eastAsia"/>
          <w:b/>
          <w:spacing w:val="-140"/>
          <w:w w:val="100"/>
          <w:sz w:val="28"/>
        </w:rPr>
        <w:t>）；</w:t>
      </w:r>
    </w:p>
    <w:p>
      <w:pPr>
        <w:spacing w:before="136"/>
        <w:ind w:left="669" w:right="0" w:firstLine="0"/>
        <w:jc w:val="left"/>
        <w:rPr>
          <w:rFonts w:ascii="Microsoft JhengHei" w:eastAsia="Microsoft JhengHei" w:hint="eastAsia"/>
          <w:b/>
          <w:sz w:val="28"/>
        </w:rPr>
      </w:pPr>
      <w:r>
        <w:rPr>
          <w:rFonts w:ascii="Microsoft JhengHei" w:eastAsia="Microsoft JhengHei" w:hint="eastAsia"/>
          <w:b/>
          <w:spacing w:val="2"/>
          <w:w w:val="84"/>
          <w:sz w:val="28"/>
        </w:rPr>
        <w:t>5</w:t>
      </w:r>
      <w:r>
        <w:rPr>
          <w:rFonts w:ascii="Microsoft JhengHei" w:eastAsia="Microsoft JhengHei" w:hint="eastAsia"/>
          <w:b/>
          <w:w w:val="100"/>
          <w:sz w:val="28"/>
        </w:rPr>
        <w:t>）被保险人酒后驾驶</w:t>
      </w:r>
      <w:r>
        <w:rPr>
          <w:rFonts w:ascii="Microsoft JhengHei" w:eastAsia="Microsoft JhengHei" w:hint="eastAsia"/>
          <w:b/>
          <w:spacing w:val="1"/>
          <w:w w:val="100"/>
          <w:sz w:val="28"/>
        </w:rPr>
        <w:t>（</w:t>
      </w:r>
      <w:r>
        <w:rPr>
          <w:rFonts w:ascii="Microsoft JhengHei" w:eastAsia="Microsoft JhengHei" w:hint="eastAsia"/>
          <w:b/>
          <w:w w:val="100"/>
          <w:sz w:val="28"/>
        </w:rPr>
        <w:t>释义</w:t>
      </w:r>
      <w:r>
        <w:rPr>
          <w:rFonts w:ascii="Microsoft JhengHei" w:eastAsia="Microsoft JhengHei" w:hint="eastAsia"/>
          <w:b/>
          <w:w w:val="84"/>
          <w:sz w:val="28"/>
        </w:rPr>
        <w:t>9</w:t>
      </w:r>
      <w:r>
        <w:rPr>
          <w:rFonts w:ascii="Microsoft JhengHei" w:eastAsia="Microsoft JhengHei" w:hint="eastAsia"/>
          <w:b/>
          <w:spacing w:val="-140"/>
          <w:w w:val="100"/>
          <w:sz w:val="28"/>
        </w:rPr>
        <w:t>）</w:t>
      </w:r>
      <w:r>
        <w:rPr>
          <w:rFonts w:ascii="Microsoft JhengHei" w:eastAsia="Microsoft JhengHei" w:hint="eastAsia"/>
          <w:b/>
          <w:w w:val="100"/>
          <w:sz w:val="28"/>
        </w:rPr>
        <w:t>、无合法有效驾驶证驾驶</w:t>
      </w:r>
      <w:r>
        <w:rPr>
          <w:rFonts w:ascii="Microsoft JhengHei" w:eastAsia="Microsoft JhengHei" w:hint="eastAsia"/>
          <w:b/>
          <w:spacing w:val="1"/>
          <w:w w:val="100"/>
          <w:sz w:val="28"/>
        </w:rPr>
        <w:t>（</w:t>
      </w:r>
      <w:r>
        <w:rPr>
          <w:rFonts w:ascii="Microsoft JhengHei" w:eastAsia="Microsoft JhengHei" w:hint="eastAsia"/>
          <w:b/>
          <w:w w:val="100"/>
          <w:sz w:val="28"/>
        </w:rPr>
        <w:t>释义</w:t>
      </w:r>
    </w:p>
    <w:p>
      <w:pPr>
        <w:spacing w:before="136"/>
        <w:ind w:left="117" w:right="0" w:firstLine="0"/>
        <w:jc w:val="left"/>
        <w:rPr>
          <w:rFonts w:ascii="Microsoft JhengHei" w:eastAsia="Microsoft JhengHei" w:hint="eastAsia"/>
          <w:b/>
          <w:sz w:val="28"/>
        </w:rPr>
      </w:pPr>
      <w:r>
        <w:rPr>
          <w:rFonts w:ascii="Microsoft JhengHei" w:eastAsia="Microsoft JhengHei" w:hint="eastAsia"/>
          <w:b/>
          <w:w w:val="95"/>
          <w:sz w:val="28"/>
        </w:rPr>
        <w:t>10）或驾驶无有效行驶证（释义11）的机动车；</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84"/>
          <w:sz w:val="28"/>
        </w:rPr>
        <w:t>6</w:t>
      </w:r>
      <w:r>
        <w:rPr>
          <w:rFonts w:ascii="Microsoft JhengHei" w:eastAsia="Microsoft JhengHei" w:hint="eastAsia"/>
          <w:b/>
          <w:w w:val="100"/>
          <w:sz w:val="28"/>
        </w:rPr>
        <w:t>）被保险人感染艾滋病病毒（释义</w:t>
      </w:r>
      <w:r>
        <w:rPr>
          <w:rFonts w:ascii="Microsoft JhengHei" w:eastAsia="Microsoft JhengHei" w:hint="eastAsia"/>
          <w:b/>
          <w:w w:val="84"/>
          <w:sz w:val="28"/>
        </w:rPr>
        <w:t>12</w:t>
      </w:r>
      <w:r>
        <w:rPr>
          <w:rFonts w:ascii="Microsoft JhengHei" w:eastAsia="Microsoft JhengHei" w:hint="eastAsia"/>
          <w:b/>
          <w:w w:val="100"/>
          <w:sz w:val="28"/>
        </w:rPr>
        <w:t>）或患艾滋病（释义</w:t>
      </w:r>
      <w:r>
        <w:rPr>
          <w:rFonts w:ascii="Microsoft JhengHei" w:eastAsia="Microsoft JhengHei" w:hint="eastAsia"/>
          <w:b/>
          <w:w w:val="84"/>
          <w:sz w:val="28"/>
        </w:rPr>
        <w:t>13</w:t>
      </w:r>
      <w:r>
        <w:rPr>
          <w:rFonts w:ascii="Microsoft JhengHei" w:eastAsia="Microsoft JhengHei" w:hint="eastAsia"/>
          <w:b/>
          <w:spacing w:val="-142"/>
          <w:w w:val="100"/>
          <w:sz w:val="28"/>
        </w:rPr>
        <w:t>）；</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95"/>
          <w:sz w:val="28"/>
        </w:rPr>
        <w:t>7）战争、军事冲突、暴乱或武装叛乱；</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95"/>
          <w:sz w:val="28"/>
        </w:rPr>
        <w:t>8）核爆炸、核辐射或核污染；</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84"/>
          <w:sz w:val="28"/>
        </w:rPr>
        <w:t>9</w:t>
      </w:r>
      <w:r>
        <w:rPr>
          <w:rFonts w:ascii="Microsoft JhengHei" w:eastAsia="Microsoft JhengHei" w:hint="eastAsia"/>
          <w:b/>
          <w:w w:val="100"/>
          <w:sz w:val="28"/>
        </w:rPr>
        <w:t>）遗传性疾病，先天性畸形、变形或染色体异常（释义</w:t>
      </w:r>
      <w:r>
        <w:rPr>
          <w:rFonts w:ascii="Microsoft JhengHei" w:eastAsia="Microsoft JhengHei" w:hint="eastAsia"/>
          <w:b/>
          <w:w w:val="84"/>
          <w:sz w:val="28"/>
        </w:rPr>
        <w:t>14</w:t>
      </w:r>
      <w:r>
        <w:rPr>
          <w:rFonts w:ascii="Microsoft JhengHei" w:eastAsia="Microsoft JhengHei" w:hint="eastAsia"/>
          <w:b/>
          <w:spacing w:val="-142"/>
          <w:w w:val="100"/>
          <w:sz w:val="28"/>
        </w:rPr>
        <w:t>）</w:t>
      </w:r>
      <w:r>
        <w:rPr>
          <w:rFonts w:ascii="Microsoft JhengHei" w:eastAsia="Microsoft JhengHei" w:hint="eastAsia"/>
          <w:b/>
          <w:w w:val="100"/>
          <w:sz w:val="28"/>
        </w:rPr>
        <w:t>。</w:t>
      </w:r>
    </w:p>
    <w:p>
      <w:pPr>
        <w:spacing w:line="307" w:lineRule="auto" w:before="136"/>
        <w:ind w:left="117" w:right="105" w:firstLine="552"/>
        <w:jc w:val="left"/>
        <w:rPr>
          <w:rFonts w:ascii="Microsoft JhengHei" w:eastAsia="Microsoft JhengHei" w:hint="eastAsia"/>
          <w:b/>
          <w:sz w:val="28"/>
        </w:rPr>
      </w:pPr>
      <w:r>
        <w:rPr>
          <w:rFonts w:ascii="Microsoft JhengHei" w:eastAsia="Microsoft JhengHei" w:hint="eastAsia"/>
          <w:b/>
          <w:spacing w:val="-7"/>
          <w:sz w:val="28"/>
        </w:rPr>
        <w:t>因上述情形之一导致被保险人发生疾病、达到疾病状态或进行手</w:t>
      </w:r>
      <w:r>
        <w:rPr>
          <w:rFonts w:ascii="Microsoft JhengHei" w:eastAsia="Microsoft JhengHei" w:hint="eastAsia"/>
          <w:b/>
          <w:spacing w:val="-18"/>
          <w:sz w:val="28"/>
        </w:rPr>
        <w:t>术时，我们不负保险金给付责任，我们对该被保险人的保险责任终止。</w:t>
      </w:r>
      <w:r>
        <w:rPr>
          <w:rFonts w:ascii="Microsoft JhengHei" w:eastAsia="Microsoft JhengHei" w:hint="eastAsia"/>
          <w:b/>
          <w:spacing w:val="2"/>
          <w:sz w:val="28"/>
        </w:rPr>
        <w:t>我们将向您返还该被保险人的保险责任终止时相应的未满期净保险</w:t>
      </w:r>
      <w:r>
        <w:rPr>
          <w:rFonts w:ascii="Microsoft JhengHei" w:eastAsia="Microsoft JhengHei" w:hint="eastAsia"/>
          <w:b/>
          <w:sz w:val="28"/>
        </w:rPr>
        <w:t>费。</w:t>
      </w:r>
    </w:p>
    <w:p>
      <w:pPr>
        <w:pStyle w:val="BodyText"/>
        <w:spacing w:before="5"/>
        <w:ind w:left="0"/>
        <w:rPr>
          <w:rFonts w:ascii="Microsoft JhengHei"/>
          <w:b/>
          <w:sz w:val="27"/>
        </w:rPr>
      </w:pPr>
    </w:p>
    <w:p>
      <w:pPr>
        <w:pStyle w:val="Heading1"/>
        <w:tabs>
          <w:tab w:pos="1322" w:val="left" w:leader="none"/>
        </w:tabs>
      </w:pPr>
      <w:bookmarkStart w:name="_TOC_250013" w:id="11"/>
      <w:bookmarkEnd w:id="11"/>
      <w:r>
        <w:rPr/>
        <w:t>第十一条</w:t>
        <w:tab/>
        <w:t>受益人</w:t>
      </w:r>
    </w:p>
    <w:p>
      <w:pPr>
        <w:pStyle w:val="BodyText"/>
        <w:spacing w:before="193"/>
        <w:ind w:left="597"/>
      </w:pPr>
      <w:r>
        <w:rPr/>
        <w:t>除另有约定外，本合同的重大疾病保险金受益人为被保险人本人。</w:t>
      </w:r>
    </w:p>
    <w:p>
      <w:pPr>
        <w:spacing w:after="0"/>
        <w:sectPr>
          <w:pgSz w:w="11900" w:h="16840"/>
          <w:pgMar w:header="0" w:footer="1007" w:top="1600" w:bottom="1200" w:left="1680" w:right="1540"/>
        </w:sectPr>
      </w:pPr>
    </w:p>
    <w:p>
      <w:pPr>
        <w:pStyle w:val="Heading1"/>
        <w:tabs>
          <w:tab w:pos="1322" w:val="left" w:leader="none"/>
        </w:tabs>
        <w:spacing w:line="339" w:lineRule="exact"/>
      </w:pPr>
      <w:bookmarkStart w:name="_TOC_250012" w:id="12"/>
      <w:bookmarkEnd w:id="12"/>
      <w:r>
        <w:rPr/>
        <w:t>第十二条</w:t>
        <w:tab/>
        <w:t>保险事故的通知与保险金的申请时间</w:t>
      </w:r>
    </w:p>
    <w:p>
      <w:pPr>
        <w:pStyle w:val="BodyText"/>
        <w:spacing w:line="336" w:lineRule="auto" w:before="194"/>
        <w:ind w:right="109" w:firstLine="480"/>
      </w:pPr>
      <w:r>
        <w:rPr>
          <w:spacing w:val="-3"/>
        </w:rPr>
        <w:t>被保险人应于知道保险事故发生之日起 </w:t>
      </w:r>
      <w:r>
        <w:rPr/>
        <w:t>10</w:t>
      </w:r>
      <w:r>
        <w:rPr>
          <w:spacing w:val="-7"/>
        </w:rPr>
        <w:t> 日内通知我们。如因故意或者重</w:t>
      </w:r>
      <w:r>
        <w:rPr>
          <w:spacing w:val="-12"/>
        </w:rPr>
        <w:t>大过失未及时通知，致使保险事故性质、原因、损失程度等难以确定的，我们对</w:t>
      </w:r>
      <w:r>
        <w:rPr>
          <w:spacing w:val="-16"/>
        </w:rPr>
        <w:t>无法确定的部分不承担赔偿或者给付保险金的责任，但我们通过其他途径已经及</w:t>
      </w:r>
      <w:r>
        <w:rPr>
          <w:spacing w:val="-24"/>
        </w:rPr>
        <w:t>时知道或者应当及时知道保险事故发生的除外。同时，因此致使我们增加的勘查、</w:t>
      </w:r>
      <w:r>
        <w:rPr>
          <w:spacing w:val="-23"/>
        </w:rPr>
        <w:t>检验等项费用应从给付的保险金中扣除，但因不可抗力导致延误的除外。被保险人可以委托他人代为通知。</w:t>
      </w:r>
    </w:p>
    <w:p>
      <w:pPr>
        <w:pStyle w:val="BodyText"/>
        <w:spacing w:before="6"/>
        <w:ind w:left="0"/>
        <w:rPr>
          <w:sz w:val="32"/>
        </w:rPr>
      </w:pPr>
    </w:p>
    <w:p>
      <w:pPr>
        <w:pStyle w:val="Heading1"/>
        <w:tabs>
          <w:tab w:pos="1322" w:val="left" w:leader="none"/>
        </w:tabs>
        <w:spacing w:before="1"/>
      </w:pPr>
      <w:bookmarkStart w:name="_TOC_250011" w:id="13"/>
      <w:bookmarkEnd w:id="13"/>
      <w:r>
        <w:rPr/>
        <w:t>第十三条</w:t>
        <w:tab/>
        <w:t>保险金的申请</w:t>
      </w:r>
    </w:p>
    <w:p>
      <w:pPr>
        <w:pStyle w:val="BodyText"/>
        <w:spacing w:line="357" w:lineRule="auto" w:before="160"/>
        <w:ind w:right="229" w:firstLine="480"/>
      </w:pPr>
      <w:r>
        <w:rPr>
          <w:spacing w:val="-5"/>
        </w:rPr>
        <w:t>由被保险人作为申请人填写保险金给付申请书，并凭下列证明和资料向我们申请给付重大疾病保险金：</w:t>
      </w:r>
    </w:p>
    <w:p>
      <w:pPr>
        <w:pStyle w:val="BodyText"/>
        <w:spacing w:before="36"/>
        <w:ind w:left="597"/>
      </w:pPr>
      <w:r>
        <w:rPr/>
        <w:t>（1）保险合同或其他保险凭证；</w:t>
      </w:r>
    </w:p>
    <w:p>
      <w:pPr>
        <w:pStyle w:val="BodyText"/>
        <w:spacing w:before="154"/>
        <w:ind w:left="597"/>
      </w:pPr>
      <w:r>
        <w:rPr/>
        <w:t>（2）被保险人的合法身份证明；</w:t>
      </w:r>
    </w:p>
    <w:p>
      <w:pPr>
        <w:pStyle w:val="BodyText"/>
        <w:spacing w:line="357" w:lineRule="auto" w:before="154"/>
        <w:ind w:right="229" w:firstLine="480"/>
        <w:jc w:val="both"/>
      </w:pPr>
      <w:r>
        <w:rPr/>
        <w:t>（3）由我们指定或认可的医疗机构出具的附有病历、病理显微镜检查、必需的血液检验及其他科学方法检验报告的被保险人疾病诊断证明,关于重大疾病的释义中所提及的索赔时需要提供的有关证明；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before="36"/>
        <w:ind w:left="597"/>
      </w:pPr>
      <w:r>
        <w:rPr/>
        <w:t>（4）被保险人所能提供的与确认保险事故的性质、原因等有关的其他证明</w:t>
      </w:r>
    </w:p>
    <w:p>
      <w:pPr>
        <w:pStyle w:val="BodyText"/>
      </w:pPr>
      <w:r>
        <w:rPr/>
        <w:t>和资料；</w:t>
      </w:r>
    </w:p>
    <w:p>
      <w:pPr>
        <w:pStyle w:val="BodyText"/>
        <w:spacing w:line="357" w:lineRule="auto"/>
        <w:ind w:right="231" w:firstLine="480"/>
      </w:pPr>
      <w:r>
        <w:rPr/>
        <w:t>（5）若委托他人代为申请给付保险金，还应提供授权委托书、受托人身份证明等相关证明文件；</w:t>
      </w:r>
    </w:p>
    <w:p>
      <w:pPr>
        <w:pStyle w:val="BodyText"/>
        <w:spacing w:before="36"/>
        <w:ind w:left="597"/>
      </w:pPr>
      <w:r>
        <w:rPr/>
        <w:t>（6）其它必要的合理的证明文件。</w:t>
      </w:r>
    </w:p>
    <w:p>
      <w:pPr>
        <w:pStyle w:val="BodyText"/>
        <w:spacing w:before="0"/>
        <w:ind w:left="0"/>
      </w:pPr>
    </w:p>
    <w:p>
      <w:pPr>
        <w:pStyle w:val="BodyText"/>
        <w:spacing w:before="6"/>
        <w:ind w:left="0"/>
        <w:rPr>
          <w:sz w:val="23"/>
        </w:rPr>
      </w:pPr>
    </w:p>
    <w:p>
      <w:pPr>
        <w:pStyle w:val="BodyText"/>
        <w:spacing w:before="0"/>
        <w:ind w:left="597"/>
      </w:pPr>
      <w:r>
        <w:rPr/>
        <w:t>以上证明和资料不完整的，我们将及时一次性通知申请人补充提供有关证明</w:t>
      </w:r>
    </w:p>
    <w:p>
      <w:pPr>
        <w:pStyle w:val="BodyText"/>
      </w:pPr>
      <w:r>
        <w:rPr/>
        <w:t>和资料。</w:t>
      </w:r>
    </w:p>
    <w:p>
      <w:pPr>
        <w:pStyle w:val="BodyText"/>
        <w:spacing w:before="0"/>
        <w:ind w:left="0"/>
      </w:pPr>
    </w:p>
    <w:p>
      <w:pPr>
        <w:pStyle w:val="BodyText"/>
        <w:spacing w:before="8"/>
        <w:ind w:left="0"/>
        <w:rPr>
          <w:sz w:val="20"/>
        </w:rPr>
      </w:pPr>
    </w:p>
    <w:p>
      <w:pPr>
        <w:pStyle w:val="Heading1"/>
      </w:pPr>
      <w:bookmarkStart w:name="_TOC_250010" w:id="14"/>
      <w:bookmarkEnd w:id="14"/>
      <w:r>
        <w:rPr/>
        <w:t>第十四条  诉讼时效</w:t>
      </w:r>
    </w:p>
    <w:p>
      <w:pPr>
        <w:pStyle w:val="BodyText"/>
        <w:spacing w:before="0"/>
        <w:ind w:left="0"/>
        <w:rPr>
          <w:rFonts w:ascii="Microsoft JhengHei"/>
          <w:b/>
          <w:sz w:val="14"/>
        </w:rPr>
      </w:pPr>
    </w:p>
    <w:p>
      <w:pPr>
        <w:pStyle w:val="BodyText"/>
        <w:spacing w:line="381" w:lineRule="auto" w:before="0"/>
        <w:ind w:right="229" w:firstLine="480"/>
      </w:pPr>
      <w:r>
        <w:rPr>
          <w:spacing w:val="-4"/>
        </w:rPr>
        <w:t>向我们请求给付保险金的诉讼时效期间为 </w:t>
      </w:r>
      <w:r>
        <w:rPr/>
        <w:t>2</w:t>
      </w:r>
      <w:r>
        <w:rPr>
          <w:spacing w:val="-14"/>
        </w:rPr>
        <w:t> 年，自其知道或应当知道保险事故发生之日起计算。</w:t>
      </w:r>
    </w:p>
    <w:p>
      <w:pPr>
        <w:spacing w:after="0" w:line="381" w:lineRule="auto"/>
        <w:sectPr>
          <w:pgSz w:w="11900" w:h="16840"/>
          <w:pgMar w:header="0" w:footer="1007" w:top="1500" w:bottom="1200" w:left="1680" w:right="1560"/>
        </w:sectPr>
      </w:pPr>
    </w:p>
    <w:p>
      <w:pPr>
        <w:pStyle w:val="Heading1"/>
        <w:tabs>
          <w:tab w:pos="1322" w:val="left" w:leader="none"/>
        </w:tabs>
        <w:spacing w:line="339" w:lineRule="exact"/>
      </w:pPr>
      <w:bookmarkStart w:name="_TOC_250009" w:id="15"/>
      <w:bookmarkEnd w:id="15"/>
      <w:r>
        <w:rPr/>
        <w:t>第十五条</w:t>
        <w:tab/>
        <w:t>保险金给付</w:t>
      </w:r>
    </w:p>
    <w:p>
      <w:pPr>
        <w:pStyle w:val="BodyText"/>
        <w:spacing w:before="160"/>
        <w:ind w:left="597"/>
      </w:pPr>
      <w:r>
        <w:rPr/>
        <w:t>我们在收到保险金给付申请书及本合同约定的证明和资料后，将及时作出核</w:t>
      </w:r>
    </w:p>
    <w:p>
      <w:pPr>
        <w:pStyle w:val="BodyText"/>
      </w:pPr>
      <w:r>
        <w:rPr/>
        <w:t>定；情形复杂的，应当在 30 日内作出核定。我们应当将核定结果通知申请人。</w:t>
      </w:r>
    </w:p>
    <w:p>
      <w:pPr>
        <w:pStyle w:val="BodyText"/>
        <w:ind w:left="597"/>
      </w:pPr>
      <w:r>
        <w:rPr>
          <w:spacing w:val="-11"/>
        </w:rPr>
        <w:t>对确定属于保险责任的，在与申请人达成有关给付保险金的协议后 </w:t>
      </w:r>
      <w:r>
        <w:rPr/>
        <w:t>10</w:t>
      </w:r>
      <w:r>
        <w:rPr>
          <w:spacing w:val="-15"/>
        </w:rPr>
        <w:t> 日内，</w:t>
      </w:r>
    </w:p>
    <w:p>
      <w:pPr>
        <w:pStyle w:val="BodyText"/>
      </w:pPr>
      <w:r>
        <w:rPr/>
        <w:t>履行给付保险金义务。</w:t>
      </w:r>
    </w:p>
    <w:p>
      <w:pPr>
        <w:pStyle w:val="BodyText"/>
        <w:spacing w:line="357" w:lineRule="auto"/>
        <w:ind w:right="229" w:firstLine="480"/>
      </w:pPr>
      <w:r>
        <w:rPr>
          <w:spacing w:val="-12"/>
        </w:rPr>
        <w:t>对不属于保险责任的，我们自作出核定之日起 </w:t>
      </w:r>
      <w:r>
        <w:rPr/>
        <w:t>3</w:t>
      </w:r>
      <w:r>
        <w:rPr>
          <w:spacing w:val="-8"/>
        </w:rPr>
        <w:t> 日内向申请人发出拒绝给付保险金通知书，并说明理由。</w:t>
      </w:r>
    </w:p>
    <w:p>
      <w:pPr>
        <w:pStyle w:val="BodyText"/>
        <w:spacing w:line="357" w:lineRule="auto" w:before="36"/>
        <w:ind w:right="226" w:firstLine="480"/>
        <w:jc w:val="both"/>
      </w:pPr>
      <w:r>
        <w:rPr>
          <w:spacing w:val="-2"/>
        </w:rPr>
        <w:t>我们在收到保险金给付申请书及有关证明和资料之日起 </w:t>
      </w:r>
      <w:r>
        <w:rPr/>
        <w:t>60</w:t>
      </w:r>
      <w:r>
        <w:rPr>
          <w:spacing w:val="-8"/>
        </w:rPr>
        <w:t> 日内，对给付保</w:t>
      </w:r>
      <w:r>
        <w:rPr>
          <w:spacing w:val="-13"/>
        </w:rPr>
        <w:t>险金的数额不能确定的，根据已有证明和资料可以确定的数额先予支付；我们最终确定给付保险金的数额后，将支付相应的差额。</w:t>
      </w:r>
    </w:p>
    <w:p>
      <w:pPr>
        <w:pStyle w:val="BodyText"/>
        <w:spacing w:before="8"/>
        <w:ind w:left="0"/>
        <w:rPr>
          <w:sz w:val="35"/>
        </w:rPr>
      </w:pPr>
    </w:p>
    <w:p>
      <w:pPr>
        <w:pStyle w:val="Heading1"/>
      </w:pPr>
      <w:bookmarkStart w:name="_TOC_250008" w:id="16"/>
      <w:bookmarkEnd w:id="16"/>
      <w:r>
        <w:rPr/>
        <w:t>第十六条  明确说明与如实告知</w:t>
      </w:r>
    </w:p>
    <w:p>
      <w:pPr>
        <w:pStyle w:val="BodyText"/>
        <w:spacing w:before="160"/>
        <w:ind w:left="597"/>
      </w:pPr>
      <w:r>
        <w:rPr/>
        <w:t>订立本合同时，我们应向投保人说明本合同的内容。</w:t>
      </w:r>
    </w:p>
    <w:p>
      <w:pPr>
        <w:pStyle w:val="BodyText"/>
        <w:spacing w:line="357" w:lineRule="auto" w:before="154"/>
        <w:ind w:right="106" w:firstLine="480"/>
        <w:jc w:val="both"/>
      </w:pPr>
      <w:r>
        <w:rPr>
          <w:spacing w:val="-4"/>
        </w:rPr>
        <w:t>对合同中免除我们责任的条款我们在订立本合同时应当在投保单、保险单或</w:t>
      </w:r>
      <w:r>
        <w:rPr>
          <w:spacing w:val="-8"/>
        </w:rPr>
        <w:t>者其他保险凭证上作出足以引起投保人注意的提示，并对该条款的内容以书面或</w:t>
      </w:r>
      <w:r>
        <w:rPr>
          <w:spacing w:val="-19"/>
        </w:rPr>
        <w:t>口头形式向投保人作出明确说明；未作提示或者明确说明的，该条款不产生效力。</w:t>
      </w:r>
    </w:p>
    <w:p>
      <w:pPr>
        <w:pStyle w:val="BodyText"/>
        <w:spacing w:before="36"/>
        <w:ind w:left="597"/>
      </w:pPr>
      <w:r>
        <w:rPr/>
        <w:t>我们就被保险人的有关情况提出书面询问，投保人应当如实告知。</w:t>
      </w:r>
    </w:p>
    <w:p>
      <w:pPr>
        <w:pStyle w:val="BodyText"/>
        <w:spacing w:line="357" w:lineRule="auto"/>
        <w:ind w:right="219" w:firstLine="480"/>
        <w:jc w:val="both"/>
      </w:pPr>
      <w:r>
        <w:rPr>
          <w:spacing w:val="-4"/>
        </w:rPr>
        <w:t>如果投保人故意或者因重大过失未履行前款规定的如实告知义务，足以影响</w:t>
      </w:r>
      <w:r>
        <w:rPr>
          <w:spacing w:val="-9"/>
        </w:rPr>
        <w:t>我们决定是否承保或者提高保险费率的，我们有权解除本合同或取消该被保险人的被保险人资格(即部分解除本合同),我们自取消该被保险人的被保险人资格之</w:t>
      </w:r>
      <w:r>
        <w:rPr/>
        <w:t>日起,我们对该被保险人的保险责任终止,我们将向您返还该被保险人保险责任终止时相应的未满期净保险费。</w:t>
      </w:r>
    </w:p>
    <w:p>
      <w:pPr>
        <w:pStyle w:val="BodyText"/>
        <w:spacing w:before="35"/>
        <w:ind w:left="597"/>
      </w:pPr>
      <w:r>
        <w:rPr/>
        <w:t>投保人故意不履行如实告知义务的，我们对于本合同解除前或被保险人资格</w:t>
      </w:r>
    </w:p>
    <w:p>
      <w:pPr>
        <w:pStyle w:val="BodyText"/>
      </w:pPr>
      <w:r>
        <w:rPr/>
        <w:t>被取消前发生的保险事故，不承担给付保险金的责任，并不退还保险费。</w:t>
      </w:r>
    </w:p>
    <w:p>
      <w:pPr>
        <w:pStyle w:val="BodyText"/>
        <w:spacing w:line="357" w:lineRule="auto"/>
        <w:ind w:right="140" w:firstLine="480"/>
      </w:pPr>
      <w:r>
        <w:rPr/>
        <w:t>投保人因重大过失未履行如实告知义务，对保险事故的发生有严重影响的， 我们对于本合同解除前或被保险人资格被取消前发生的保险事故，不承担给付保险金的责任，但应当退还相应的保险费。</w:t>
      </w:r>
    </w:p>
    <w:p>
      <w:pPr>
        <w:pStyle w:val="BodyText"/>
        <w:spacing w:line="357" w:lineRule="auto" w:before="35"/>
        <w:ind w:right="226" w:firstLine="480"/>
      </w:pPr>
      <w:r>
        <w:rPr>
          <w:spacing w:val="-4"/>
        </w:rPr>
        <w:t>我们在本合同订立时已经知道投保人未如实告知的情况的，我们不得解除合</w:t>
      </w:r>
      <w:r>
        <w:rPr>
          <w:spacing w:val="-9"/>
        </w:rPr>
        <w:t>同或取消该被保险人的被保险人资格；发生保险事故的，我们承担给付保险金的</w:t>
      </w:r>
    </w:p>
    <w:p>
      <w:pPr>
        <w:spacing w:after="0" w:line="357" w:lineRule="auto"/>
        <w:sectPr>
          <w:pgSz w:w="11900" w:h="16840"/>
          <w:pgMar w:header="0" w:footer="1007" w:top="1500" w:bottom="1200" w:left="1680" w:right="1560"/>
        </w:sectPr>
      </w:pPr>
    </w:p>
    <w:p>
      <w:pPr>
        <w:pStyle w:val="BodyText"/>
        <w:spacing w:line="313" w:lineRule="exact" w:before="0"/>
      </w:pPr>
      <w:r>
        <w:rPr/>
        <w:t>责任。</w:t>
      </w:r>
    </w:p>
    <w:p>
      <w:pPr>
        <w:pStyle w:val="BodyText"/>
        <w:spacing w:before="0"/>
        <w:ind w:left="0"/>
      </w:pPr>
    </w:p>
    <w:p>
      <w:pPr>
        <w:pStyle w:val="BodyText"/>
        <w:spacing w:before="8"/>
        <w:ind w:left="0"/>
        <w:rPr>
          <w:sz w:val="20"/>
        </w:rPr>
      </w:pPr>
    </w:p>
    <w:p>
      <w:pPr>
        <w:pStyle w:val="Heading1"/>
      </w:pPr>
      <w:bookmarkStart w:name="_TOC_250007" w:id="17"/>
      <w:bookmarkEnd w:id="17"/>
      <w:r>
        <w:rPr/>
        <w:t>第十七条  年龄性别错误处理</w:t>
      </w:r>
    </w:p>
    <w:p>
      <w:pPr>
        <w:pStyle w:val="BodyText"/>
        <w:spacing w:before="160"/>
        <w:ind w:left="597"/>
      </w:pPr>
      <w:r>
        <w:rPr/>
        <w:t>您在申请投保时，应将与有效身份证件相符的被保险人的出生日期和性别在</w:t>
      </w:r>
    </w:p>
    <w:p>
      <w:pPr>
        <w:pStyle w:val="BodyText"/>
        <w:spacing w:before="154"/>
      </w:pPr>
      <w:r>
        <w:rPr/>
        <w:t>投保单上填明，若发生错误按下列规定办理：</w:t>
      </w:r>
    </w:p>
    <w:p>
      <w:pPr>
        <w:pStyle w:val="BodyText"/>
        <w:spacing w:line="357" w:lineRule="auto" w:before="154"/>
        <w:ind w:right="140" w:firstLine="480"/>
      </w:pPr>
      <w:r>
        <w:rPr/>
        <w:t>(1)如果被保险人的真实投保年龄不符合本合同约定的投保年龄范围，我们有权解除本合同或取消该被保险人的被保险人资格(即部分解除本合同)。解除本合同的，我们向您退还本合同解除时的未满期净保险费；取消被保险人资格的， 我们对该被保险人的保险责任自该被保险人的被保险人资格被取消之日起终止， 我们将向您返还该被保险人保险责任终止时相应的未满期净保险费。</w:t>
      </w:r>
    </w:p>
    <w:p>
      <w:pPr>
        <w:pStyle w:val="BodyText"/>
        <w:spacing w:line="357" w:lineRule="auto" w:before="36"/>
        <w:ind w:right="226" w:firstLine="480"/>
        <w:jc w:val="both"/>
      </w:pPr>
      <w:r>
        <w:rPr/>
        <w:t>(2)您申报的被保险人年龄或性别不真实，致使您实交保险费少于应交保险</w:t>
      </w:r>
      <w:r>
        <w:rPr>
          <w:spacing w:val="-9"/>
        </w:rPr>
        <w:t>费的，我们在审核更正后，有权要求您依照法律及我们的投保规则规定，补交保</w:t>
      </w:r>
      <w:r>
        <w:rPr>
          <w:spacing w:val="-10"/>
        </w:rPr>
        <w:t>险费、参加体检及配合其他业务流程要求；若补交保险费前已发生保险事故，我们按照实交保险费与应交保险费的比例给付保险金。</w:t>
      </w:r>
    </w:p>
    <w:p>
      <w:pPr>
        <w:pStyle w:val="BodyText"/>
        <w:spacing w:line="357" w:lineRule="auto" w:before="36"/>
        <w:ind w:right="231" w:firstLine="480"/>
      </w:pPr>
      <w:r>
        <w:rPr/>
        <w:t>(3)您申报的被保险人年龄或性别不真实，致使您实交保险费多于应交保险费的，我们将在审核更正后，将多收的保险费无息退还给您。</w:t>
      </w:r>
    </w:p>
    <w:p>
      <w:pPr>
        <w:pStyle w:val="BodyText"/>
        <w:spacing w:before="8"/>
        <w:ind w:left="0"/>
        <w:rPr>
          <w:sz w:val="35"/>
        </w:rPr>
      </w:pPr>
    </w:p>
    <w:p>
      <w:pPr>
        <w:pStyle w:val="Heading1"/>
      </w:pPr>
      <w:bookmarkStart w:name="_TOC_250006" w:id="18"/>
      <w:bookmarkEnd w:id="18"/>
      <w:r>
        <w:rPr/>
        <w:t>第十八条  我们行使本合同解除权的限制</w:t>
      </w:r>
    </w:p>
    <w:p>
      <w:pPr>
        <w:pStyle w:val="BodyText"/>
        <w:spacing w:line="357" w:lineRule="auto" w:before="160"/>
        <w:ind w:right="106" w:firstLine="480"/>
      </w:pPr>
      <w:r>
        <w:rPr>
          <w:spacing w:val="-10"/>
        </w:rPr>
        <w:t>我们行使合同解除权，自知道有解除事由之日起，超过 </w:t>
      </w:r>
      <w:r>
        <w:rPr/>
        <w:t>30</w:t>
      </w:r>
      <w:r>
        <w:rPr>
          <w:spacing w:val="-8"/>
        </w:rPr>
        <w:t> 日不行使而消灭。</w:t>
      </w:r>
      <w:r>
        <w:rPr>
          <w:spacing w:val="-13"/>
        </w:rPr>
        <w:t>自本合同生效之日起超过 </w:t>
      </w:r>
      <w:r>
        <w:rPr/>
        <w:t>2</w:t>
      </w:r>
      <w:r>
        <w:rPr>
          <w:spacing w:val="-13"/>
        </w:rPr>
        <w:t> 年的，我们不得解除合同，发生保险事故的，我们应当承担给付保险金的责任。</w:t>
      </w:r>
    </w:p>
    <w:p>
      <w:pPr>
        <w:pStyle w:val="BodyText"/>
        <w:spacing w:before="8"/>
        <w:ind w:left="0"/>
        <w:rPr>
          <w:sz w:val="35"/>
        </w:rPr>
      </w:pPr>
    </w:p>
    <w:p>
      <w:pPr>
        <w:pStyle w:val="Heading1"/>
      </w:pPr>
      <w:bookmarkStart w:name="_TOC_250005" w:id="19"/>
      <w:bookmarkEnd w:id="19"/>
      <w:r>
        <w:rPr/>
        <w:t>第十九条  住所或通讯地址变更</w:t>
      </w:r>
    </w:p>
    <w:p>
      <w:pPr>
        <w:pStyle w:val="BodyText"/>
        <w:spacing w:line="357" w:lineRule="auto" w:before="162"/>
        <w:ind w:right="224" w:firstLine="480"/>
        <w:jc w:val="both"/>
      </w:pPr>
      <w:r>
        <w:rPr>
          <w:spacing w:val="-6"/>
        </w:rPr>
        <w:t>我们向您发出的一切通知、资料可通过特快专递或邮寄交送。一切通知和资</w:t>
      </w:r>
      <w:r>
        <w:rPr/>
        <w:t>料均会发往投保单上所记载的您的地址，直到您向我们发出通知更改该地址为止。</w:t>
      </w:r>
    </w:p>
    <w:p>
      <w:pPr>
        <w:pStyle w:val="BodyText"/>
        <w:spacing w:line="357" w:lineRule="auto" w:before="36"/>
        <w:ind w:right="140" w:firstLine="480"/>
      </w:pPr>
      <w:r>
        <w:rPr/>
        <w:t>您的住所或通讯地址变更时，应及时通知我们。未及时通知的，我们向投保单记载地址或您最后通知我们更改的住所或通讯地址所发送的一切通知和资料， 均视为已送达您。如果因您未能及时通知，而使我们无法提供给您相应的服务，</w:t>
      </w:r>
    </w:p>
    <w:p>
      <w:pPr>
        <w:spacing w:after="0" w:line="357" w:lineRule="auto"/>
        <w:sectPr>
          <w:pgSz w:w="11900" w:h="16840"/>
          <w:pgMar w:header="0" w:footer="1007" w:top="1460" w:bottom="1200" w:left="1680" w:right="1560"/>
        </w:sectPr>
      </w:pPr>
    </w:p>
    <w:p>
      <w:pPr>
        <w:pStyle w:val="BodyText"/>
        <w:spacing w:line="313" w:lineRule="exact" w:before="0"/>
      </w:pPr>
      <w:r>
        <w:rPr/>
        <w:t>由此导致的后果和损失,由您本人承担。</w:t>
      </w:r>
    </w:p>
    <w:p>
      <w:pPr>
        <w:pStyle w:val="BodyText"/>
        <w:spacing w:before="0"/>
        <w:ind w:left="0"/>
      </w:pPr>
    </w:p>
    <w:p>
      <w:pPr>
        <w:pStyle w:val="BodyText"/>
        <w:spacing w:before="8"/>
        <w:ind w:left="0"/>
        <w:rPr>
          <w:sz w:val="20"/>
        </w:rPr>
      </w:pPr>
    </w:p>
    <w:p>
      <w:pPr>
        <w:pStyle w:val="Heading1"/>
      </w:pPr>
      <w:bookmarkStart w:name="_TOC_250004" w:id="20"/>
      <w:bookmarkEnd w:id="20"/>
      <w:r>
        <w:rPr/>
        <w:t>第二十条  被保险人变动</w:t>
      </w:r>
    </w:p>
    <w:p>
      <w:pPr>
        <w:pStyle w:val="BodyText"/>
        <w:spacing w:line="357" w:lineRule="auto" w:before="160"/>
        <w:ind w:right="106" w:firstLine="480"/>
        <w:jc w:val="both"/>
      </w:pPr>
      <w:r>
        <w:rPr>
          <w:spacing w:val="-5"/>
        </w:rPr>
        <w:t>您因在职人员变动需要增加被保险人的，应以书面形式通知我们并提供相关</w:t>
      </w:r>
      <w:r>
        <w:rPr>
          <w:spacing w:val="-11"/>
        </w:rPr>
        <w:t>证明及资料。我们在审核同意后按新增被保险人的年交保费乘以下表中对应收费</w:t>
      </w:r>
      <w:r>
        <w:rPr>
          <w:spacing w:val="-13"/>
        </w:rPr>
        <w:t>比例收取保险费，我们对新增加的被保险人依本合同的约定承担保险责任。我们</w:t>
      </w:r>
      <w:r>
        <w:rPr>
          <w:spacing w:val="-16"/>
        </w:rPr>
        <w:t>对该新增加的被保险人承担保险责任的起始时间在本合同中载明，其保险责任等待期自前述保险责任起始之日开始计算。</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4"/>
        <w:ind w:left="0"/>
        <w:rPr>
          <w:sz w:val="11"/>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1" w:hRule="atLeast"/>
        </w:trPr>
        <w:tc>
          <w:tcPr>
            <w:tcW w:w="2669" w:type="dxa"/>
          </w:tcPr>
          <w:p>
            <w:pPr>
              <w:pStyle w:val="TableParagraph"/>
              <w:ind w:left="827"/>
              <w:rPr>
                <w:sz w:val="21"/>
              </w:rPr>
            </w:pPr>
            <w:r>
              <w:rPr>
                <w:sz w:val="21"/>
              </w:rPr>
              <w:t>保险期间</w:t>
            </w:r>
          </w:p>
        </w:tc>
        <w:tc>
          <w:tcPr>
            <w:tcW w:w="3466" w:type="dxa"/>
          </w:tcPr>
          <w:p>
            <w:pPr>
              <w:pStyle w:val="TableParagraph"/>
              <w:ind w:left="1209" w:right="1366"/>
              <w:jc w:val="center"/>
              <w:rPr>
                <w:sz w:val="21"/>
              </w:rPr>
            </w:pPr>
            <w:r>
              <w:rPr>
                <w:sz w:val="21"/>
              </w:rPr>
              <w:t>收费比例</w:t>
            </w:r>
          </w:p>
        </w:tc>
      </w:tr>
      <w:tr>
        <w:trPr>
          <w:trHeight w:val="302" w:hRule="atLeast"/>
        </w:trPr>
        <w:tc>
          <w:tcPr>
            <w:tcW w:w="2669" w:type="dxa"/>
          </w:tcPr>
          <w:p>
            <w:pPr>
              <w:pStyle w:val="TableParagraph"/>
              <w:ind w:left="775"/>
              <w:rPr>
                <w:sz w:val="21"/>
              </w:rPr>
            </w:pPr>
            <w:r>
              <w:rPr>
                <w:sz w:val="21"/>
              </w:rPr>
              <w:t>不足 15 天</w:t>
            </w:r>
          </w:p>
        </w:tc>
        <w:tc>
          <w:tcPr>
            <w:tcW w:w="3466" w:type="dxa"/>
          </w:tcPr>
          <w:p>
            <w:pPr>
              <w:pStyle w:val="TableParagraph"/>
              <w:ind w:left="282"/>
              <w:rPr>
                <w:sz w:val="21"/>
              </w:rPr>
            </w:pPr>
            <w:r>
              <w:rPr>
                <w:sz w:val="21"/>
              </w:rPr>
              <w:t>2.5÷365×保险期间经过天数</w:t>
            </w:r>
          </w:p>
        </w:tc>
      </w:tr>
      <w:tr>
        <w:trPr>
          <w:trHeight w:val="302" w:hRule="atLeast"/>
        </w:trPr>
        <w:tc>
          <w:tcPr>
            <w:tcW w:w="2669" w:type="dxa"/>
          </w:tcPr>
          <w:p>
            <w:pPr>
              <w:pStyle w:val="TableParagraph"/>
              <w:ind w:left="249"/>
              <w:rPr>
                <w:sz w:val="21"/>
              </w:rPr>
            </w:pPr>
            <w:r>
              <w:rPr>
                <w:sz w:val="21"/>
              </w:rPr>
              <w:t>足 15 天但少于 1 个月</w:t>
            </w:r>
          </w:p>
        </w:tc>
        <w:tc>
          <w:tcPr>
            <w:tcW w:w="3466" w:type="dxa"/>
          </w:tcPr>
          <w:p>
            <w:pPr>
              <w:pStyle w:val="TableParagraph"/>
              <w:spacing w:line="270" w:lineRule="exact"/>
              <w:ind w:right="1366"/>
              <w:jc w:val="center"/>
              <w:rPr>
                <w:sz w:val="21"/>
              </w:rPr>
            </w:pPr>
            <w:r>
              <w:rPr>
                <w:w w:val="100"/>
                <w:sz w:val="21"/>
              </w:rPr>
              <w:t>2</w:t>
            </w:r>
            <w:r>
              <w:rPr>
                <w:spacing w:val="5"/>
                <w:w w:val="100"/>
                <w:sz w:val="21"/>
              </w:rPr>
              <w:t>0</w:t>
            </w:r>
            <w:r>
              <w:rPr>
                <w:spacing w:val="5"/>
                <w:w w:val="100"/>
                <w:sz w:val="21"/>
              </w:rPr>
              <w:drawing>
                <wp:inline distT="0" distB="0" distL="0" distR="0">
                  <wp:extent cx="59721" cy="103727"/>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1 个月但少于 2 个月</w:t>
            </w:r>
          </w:p>
        </w:tc>
        <w:tc>
          <w:tcPr>
            <w:tcW w:w="3466" w:type="dxa"/>
          </w:tcPr>
          <w:p>
            <w:pPr>
              <w:pStyle w:val="TableParagraph"/>
              <w:spacing w:line="270" w:lineRule="exact"/>
              <w:ind w:right="1366"/>
              <w:jc w:val="center"/>
              <w:rPr>
                <w:sz w:val="21"/>
              </w:rPr>
            </w:pPr>
            <w:r>
              <w:rPr>
                <w:w w:val="100"/>
                <w:sz w:val="21"/>
              </w:rPr>
              <w:t>3</w:t>
            </w:r>
            <w:r>
              <w:rPr>
                <w:spacing w:val="5"/>
                <w:w w:val="100"/>
                <w:sz w:val="21"/>
              </w:rPr>
              <w:t>0</w:t>
            </w:r>
            <w:r>
              <w:rPr>
                <w:spacing w:val="5"/>
                <w:w w:val="100"/>
                <w:sz w:val="21"/>
              </w:rPr>
              <w:drawing>
                <wp:inline distT="0" distB="0" distL="0" distR="0">
                  <wp:extent cx="59721" cy="103727"/>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2 个月但少于 3 个月</w:t>
            </w:r>
          </w:p>
        </w:tc>
        <w:tc>
          <w:tcPr>
            <w:tcW w:w="3466" w:type="dxa"/>
          </w:tcPr>
          <w:p>
            <w:pPr>
              <w:pStyle w:val="TableParagraph"/>
              <w:spacing w:line="270" w:lineRule="exact"/>
              <w:ind w:right="1366"/>
              <w:jc w:val="center"/>
              <w:rPr>
                <w:sz w:val="21"/>
              </w:rPr>
            </w:pPr>
            <w:r>
              <w:rPr>
                <w:w w:val="100"/>
                <w:sz w:val="21"/>
              </w:rPr>
              <w:t>4</w:t>
            </w:r>
            <w:r>
              <w:rPr>
                <w:spacing w:val="5"/>
                <w:w w:val="100"/>
                <w:sz w:val="21"/>
              </w:rPr>
              <w:t>0</w:t>
            </w:r>
            <w:r>
              <w:rPr>
                <w:spacing w:val="5"/>
                <w:w w:val="100"/>
                <w:sz w:val="21"/>
              </w:rPr>
              <w:drawing>
                <wp:inline distT="0" distB="0" distL="0" distR="0">
                  <wp:extent cx="59721" cy="103727"/>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3 个月但少于 4 个月</w:t>
            </w:r>
          </w:p>
        </w:tc>
        <w:tc>
          <w:tcPr>
            <w:tcW w:w="3466" w:type="dxa"/>
          </w:tcPr>
          <w:p>
            <w:pPr>
              <w:pStyle w:val="TableParagraph"/>
              <w:spacing w:line="270" w:lineRule="exact"/>
              <w:ind w:right="1366"/>
              <w:jc w:val="center"/>
              <w:rPr>
                <w:sz w:val="21"/>
              </w:rPr>
            </w:pPr>
            <w:r>
              <w:rPr>
                <w:w w:val="100"/>
                <w:sz w:val="21"/>
              </w:rPr>
              <w:t>5</w:t>
            </w:r>
            <w:r>
              <w:rPr>
                <w:spacing w:val="5"/>
                <w:w w:val="100"/>
                <w:sz w:val="21"/>
              </w:rPr>
              <w:t>0</w:t>
            </w:r>
            <w:r>
              <w:rPr>
                <w:spacing w:val="5"/>
                <w:w w:val="100"/>
                <w:sz w:val="21"/>
              </w:rPr>
              <w:drawing>
                <wp:inline distT="0" distB="0" distL="0" distR="0">
                  <wp:extent cx="59721" cy="103727"/>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4 个月但少于 5 个月</w:t>
            </w:r>
          </w:p>
        </w:tc>
        <w:tc>
          <w:tcPr>
            <w:tcW w:w="3466" w:type="dxa"/>
          </w:tcPr>
          <w:p>
            <w:pPr>
              <w:pStyle w:val="TableParagraph"/>
              <w:spacing w:line="270" w:lineRule="exact"/>
              <w:ind w:right="1366"/>
              <w:jc w:val="center"/>
              <w:rPr>
                <w:sz w:val="21"/>
              </w:rPr>
            </w:pPr>
            <w:r>
              <w:rPr>
                <w:w w:val="100"/>
                <w:sz w:val="21"/>
              </w:rPr>
              <w:t>6</w:t>
            </w:r>
            <w:r>
              <w:rPr>
                <w:spacing w:val="5"/>
                <w:w w:val="100"/>
                <w:sz w:val="21"/>
              </w:rPr>
              <w:t>0</w:t>
            </w:r>
            <w:r>
              <w:rPr>
                <w:spacing w:val="5"/>
                <w:w w:val="100"/>
                <w:sz w:val="21"/>
              </w:rPr>
              <w:drawing>
                <wp:inline distT="0" distB="0" distL="0" distR="0">
                  <wp:extent cx="59721" cy="103727"/>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5 个月但少于 6 个月</w:t>
            </w:r>
          </w:p>
        </w:tc>
        <w:tc>
          <w:tcPr>
            <w:tcW w:w="3466" w:type="dxa"/>
          </w:tcPr>
          <w:p>
            <w:pPr>
              <w:pStyle w:val="TableParagraph"/>
              <w:spacing w:line="270" w:lineRule="exact"/>
              <w:ind w:right="1366"/>
              <w:jc w:val="center"/>
              <w:rPr>
                <w:sz w:val="21"/>
              </w:rPr>
            </w:pPr>
            <w:r>
              <w:rPr>
                <w:w w:val="100"/>
                <w:sz w:val="21"/>
              </w:rPr>
              <w:t>7</w:t>
            </w:r>
            <w:r>
              <w:rPr>
                <w:spacing w:val="5"/>
                <w:w w:val="100"/>
                <w:sz w:val="21"/>
              </w:rPr>
              <w:t>0</w:t>
            </w:r>
            <w:r>
              <w:rPr>
                <w:spacing w:val="5"/>
                <w:w w:val="100"/>
                <w:sz w:val="21"/>
              </w:rPr>
              <w:drawing>
                <wp:inline distT="0" distB="0" distL="0" distR="0">
                  <wp:extent cx="59721" cy="103727"/>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6 个月但少于 7 个月</w:t>
            </w:r>
          </w:p>
        </w:tc>
        <w:tc>
          <w:tcPr>
            <w:tcW w:w="3466" w:type="dxa"/>
          </w:tcPr>
          <w:p>
            <w:pPr>
              <w:pStyle w:val="TableParagraph"/>
              <w:spacing w:line="270" w:lineRule="exact"/>
              <w:ind w:right="1366"/>
              <w:jc w:val="center"/>
              <w:rPr>
                <w:sz w:val="21"/>
              </w:rPr>
            </w:pPr>
            <w:r>
              <w:rPr>
                <w:w w:val="100"/>
                <w:sz w:val="21"/>
              </w:rPr>
              <w:t>7</w:t>
            </w:r>
            <w:r>
              <w:rPr>
                <w:spacing w:val="5"/>
                <w:w w:val="100"/>
                <w:sz w:val="21"/>
              </w:rPr>
              <w:t>5</w:t>
            </w:r>
            <w:r>
              <w:rPr>
                <w:spacing w:val="5"/>
                <w:w w:val="100"/>
                <w:sz w:val="21"/>
              </w:rPr>
              <w:drawing>
                <wp:inline distT="0" distB="0" distL="0" distR="0">
                  <wp:extent cx="59721" cy="103727"/>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7 个月但少于 8 个月</w:t>
            </w:r>
          </w:p>
        </w:tc>
        <w:tc>
          <w:tcPr>
            <w:tcW w:w="3466" w:type="dxa"/>
          </w:tcPr>
          <w:p>
            <w:pPr>
              <w:pStyle w:val="TableParagraph"/>
              <w:spacing w:line="270" w:lineRule="exact"/>
              <w:ind w:right="1366"/>
              <w:jc w:val="center"/>
              <w:rPr>
                <w:sz w:val="21"/>
              </w:rPr>
            </w:pPr>
            <w:r>
              <w:rPr>
                <w:w w:val="100"/>
                <w:sz w:val="21"/>
              </w:rPr>
              <w:t>8</w:t>
            </w:r>
            <w:r>
              <w:rPr>
                <w:spacing w:val="5"/>
                <w:w w:val="100"/>
                <w:sz w:val="21"/>
              </w:rPr>
              <w:t>0</w:t>
            </w:r>
            <w:r>
              <w:rPr>
                <w:spacing w:val="5"/>
                <w:w w:val="100"/>
                <w:sz w:val="21"/>
              </w:rPr>
              <w:drawing>
                <wp:inline distT="0" distB="0" distL="0" distR="0">
                  <wp:extent cx="59721" cy="103727"/>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8 个月但少于 9 个月</w:t>
            </w:r>
          </w:p>
        </w:tc>
        <w:tc>
          <w:tcPr>
            <w:tcW w:w="3466" w:type="dxa"/>
          </w:tcPr>
          <w:p>
            <w:pPr>
              <w:pStyle w:val="TableParagraph"/>
              <w:spacing w:line="270" w:lineRule="exact"/>
              <w:ind w:right="1366"/>
              <w:jc w:val="center"/>
              <w:rPr>
                <w:sz w:val="21"/>
              </w:rPr>
            </w:pPr>
            <w:r>
              <w:rPr>
                <w:w w:val="100"/>
                <w:sz w:val="21"/>
              </w:rPr>
              <w:t>8</w:t>
            </w:r>
            <w:r>
              <w:rPr>
                <w:spacing w:val="5"/>
                <w:w w:val="100"/>
                <w:sz w:val="21"/>
              </w:rPr>
              <w:t>5</w:t>
            </w:r>
            <w:r>
              <w:rPr>
                <w:spacing w:val="5"/>
                <w:w w:val="100"/>
                <w:sz w:val="21"/>
              </w:rPr>
              <w:drawing>
                <wp:inline distT="0" distB="0" distL="0" distR="0">
                  <wp:extent cx="59721" cy="103727"/>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43"/>
              <w:rPr>
                <w:sz w:val="21"/>
              </w:rPr>
            </w:pPr>
            <w:r>
              <w:rPr>
                <w:sz w:val="21"/>
              </w:rPr>
              <w:t>足 9 个月但少于 10 个月</w:t>
            </w:r>
          </w:p>
        </w:tc>
        <w:tc>
          <w:tcPr>
            <w:tcW w:w="3466" w:type="dxa"/>
          </w:tcPr>
          <w:p>
            <w:pPr>
              <w:pStyle w:val="TableParagraph"/>
              <w:spacing w:line="270" w:lineRule="exact"/>
              <w:ind w:right="1366"/>
              <w:jc w:val="center"/>
              <w:rPr>
                <w:sz w:val="21"/>
              </w:rPr>
            </w:pPr>
            <w:r>
              <w:rPr>
                <w:w w:val="100"/>
                <w:sz w:val="21"/>
              </w:rPr>
              <w:t>9</w:t>
            </w:r>
            <w:r>
              <w:rPr>
                <w:spacing w:val="5"/>
                <w:w w:val="100"/>
                <w:sz w:val="21"/>
              </w:rPr>
              <w:t>0</w:t>
            </w:r>
            <w:r>
              <w:rPr>
                <w:spacing w:val="5"/>
                <w:w w:val="100"/>
                <w:sz w:val="21"/>
              </w:rPr>
              <w:drawing>
                <wp:inline distT="0" distB="0" distL="0" distR="0">
                  <wp:extent cx="59721" cy="103727"/>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90"/>
              <w:rPr>
                <w:sz w:val="21"/>
              </w:rPr>
            </w:pPr>
            <w:r>
              <w:rPr>
                <w:sz w:val="21"/>
              </w:rPr>
              <w:t>足 10 个月但少于 11 个月</w:t>
            </w:r>
          </w:p>
        </w:tc>
        <w:tc>
          <w:tcPr>
            <w:tcW w:w="3466" w:type="dxa"/>
          </w:tcPr>
          <w:p>
            <w:pPr>
              <w:pStyle w:val="TableParagraph"/>
              <w:spacing w:line="270" w:lineRule="exact"/>
              <w:ind w:right="1366"/>
              <w:jc w:val="center"/>
              <w:rPr>
                <w:sz w:val="21"/>
              </w:rPr>
            </w:pPr>
            <w:r>
              <w:rPr>
                <w:w w:val="100"/>
                <w:sz w:val="21"/>
              </w:rPr>
              <w:t>9</w:t>
            </w:r>
            <w:r>
              <w:rPr>
                <w:spacing w:val="5"/>
                <w:w w:val="100"/>
                <w:sz w:val="21"/>
              </w:rPr>
              <w:t>5</w:t>
            </w:r>
            <w:r>
              <w:rPr>
                <w:spacing w:val="5"/>
                <w:w w:val="100"/>
                <w:sz w:val="21"/>
              </w:rPr>
              <w:drawing>
                <wp:inline distT="0" distB="0" distL="0" distR="0">
                  <wp:extent cx="59721" cy="103727"/>
                  <wp:effectExtent l="0" t="0" r="0" b="0"/>
                  <wp:docPr id="27" name="image3.png" descr=""/>
                  <wp:cNvGraphicFramePr>
                    <a:graphicFrameLocks noChangeAspect="1"/>
                  </wp:cNvGraphicFramePr>
                  <a:graphic>
                    <a:graphicData uri="http://schemas.openxmlformats.org/drawingml/2006/picture">
                      <pic:pic>
                        <pic:nvPicPr>
                          <pic:cNvPr id="2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90"/>
              <w:rPr>
                <w:sz w:val="21"/>
              </w:rPr>
            </w:pPr>
            <w:r>
              <w:rPr>
                <w:sz w:val="21"/>
              </w:rPr>
              <w:t>足 11 个月但少于 12 个月</w:t>
            </w:r>
          </w:p>
        </w:tc>
        <w:tc>
          <w:tcPr>
            <w:tcW w:w="3466" w:type="dxa"/>
          </w:tcPr>
          <w:p>
            <w:pPr>
              <w:pStyle w:val="TableParagraph"/>
              <w:spacing w:line="270" w:lineRule="exact"/>
              <w:ind w:right="1366"/>
              <w:jc w:val="center"/>
              <w:rPr>
                <w:sz w:val="21"/>
              </w:rPr>
            </w:pPr>
            <w:r>
              <w:rPr>
                <w:w w:val="100"/>
                <w:sz w:val="21"/>
              </w:rPr>
              <w:t>10</w:t>
            </w:r>
            <w:r>
              <w:rPr>
                <w:spacing w:val="5"/>
                <w:w w:val="100"/>
                <w:sz w:val="21"/>
              </w:rPr>
              <w:t>0</w:t>
            </w:r>
            <w:r>
              <w:rPr>
                <w:spacing w:val="5"/>
                <w:w w:val="100"/>
                <w:sz w:val="21"/>
              </w:rPr>
              <w:drawing>
                <wp:inline distT="0" distB="0" distL="0" distR="0">
                  <wp:extent cx="59721" cy="103727"/>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bl>
    <w:p>
      <w:pPr>
        <w:pStyle w:val="BodyText"/>
        <w:spacing w:before="0"/>
        <w:ind w:left="0"/>
        <w:rPr>
          <w:sz w:val="20"/>
        </w:rPr>
      </w:pPr>
    </w:p>
    <w:p>
      <w:pPr>
        <w:pStyle w:val="BodyText"/>
        <w:spacing w:before="9"/>
        <w:ind w:left="0"/>
        <w:rPr>
          <w:sz w:val="16"/>
        </w:rPr>
      </w:pPr>
    </w:p>
    <w:p>
      <w:pPr>
        <w:pStyle w:val="BodyText"/>
        <w:spacing w:line="357" w:lineRule="auto" w:before="26"/>
        <w:ind w:right="109" w:firstLine="480"/>
        <w:jc w:val="both"/>
      </w:pPr>
      <w:r>
        <w:rPr>
          <w:spacing w:val="-5"/>
        </w:rPr>
        <w:t>您因在职人员变动需要减少被保险人的，应以书面形式通知我们并提供相关</w:t>
      </w:r>
      <w:r>
        <w:rPr>
          <w:spacing w:val="-7"/>
        </w:rPr>
        <w:t>证明及资料，我们对该被保险人承担的保险责任至通知到达之日 </w:t>
      </w:r>
      <w:r>
        <w:rPr/>
        <w:t>24</w:t>
      </w:r>
      <w:r>
        <w:rPr>
          <w:spacing w:val="-9"/>
        </w:rPr>
        <w:t> 时终止，我们将向您返还该被保险人保险责任终止时相应的未满期净保险费。</w:t>
      </w:r>
    </w:p>
    <w:p>
      <w:pPr>
        <w:pStyle w:val="BodyText"/>
        <w:spacing w:line="357" w:lineRule="auto" w:before="35"/>
        <w:ind w:right="109" w:firstLine="480"/>
        <w:jc w:val="both"/>
      </w:pPr>
      <w:r>
        <w:rPr/>
        <w:drawing>
          <wp:anchor distT="0" distB="0" distL="0" distR="0" allowOverlap="1" layoutInCell="1" locked="0" behindDoc="1" simplePos="0" relativeHeight="268415783">
            <wp:simplePos x="0" y="0"/>
            <wp:positionH relativeFrom="page">
              <wp:posOffset>2401951</wp:posOffset>
            </wp:positionH>
            <wp:positionV relativeFrom="paragraph">
              <wp:posOffset>383103</wp:posOffset>
            </wp:positionV>
            <wp:extent cx="66675" cy="117475"/>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0"/>
        </w:rPr>
        <w:t>主被保险人人数低于 </w:t>
      </w:r>
      <w:r>
        <w:rPr/>
        <w:t>5 人或主被保险人占投保人团体中符合参保条件成员</w:t>
      </w:r>
      <w:r>
        <w:rPr>
          <w:spacing w:val="-8"/>
        </w:rPr>
        <w:t>总数的比例低于 </w:t>
      </w:r>
      <w:r>
        <w:rPr/>
        <w:t>75</w:t>
      </w:r>
      <w:r>
        <w:rPr>
          <w:spacing w:val="-10"/>
        </w:rPr>
        <w:t>时，我们有权解除本合同，并向您返还本合同项下未发生保</w:t>
      </w:r>
      <w:r>
        <w:rPr/>
        <w:t>险事故的各被保险人相应的未满期净保险费。</w:t>
      </w:r>
    </w:p>
    <w:p>
      <w:pPr>
        <w:pStyle w:val="BodyText"/>
        <w:spacing w:before="7"/>
        <w:ind w:left="0"/>
        <w:rPr>
          <w:sz w:val="35"/>
        </w:rPr>
      </w:pPr>
    </w:p>
    <w:p>
      <w:pPr>
        <w:pStyle w:val="Heading1"/>
        <w:spacing w:before="1"/>
      </w:pPr>
      <w:bookmarkStart w:name="_TOC_250003" w:id="21"/>
      <w:bookmarkEnd w:id="21"/>
      <w:r>
        <w:rPr/>
        <w:t>第二十一条  本合同内容变更</w:t>
      </w:r>
    </w:p>
    <w:p>
      <w:pPr>
        <w:pStyle w:val="BodyText"/>
        <w:spacing w:before="163"/>
        <w:ind w:left="597"/>
      </w:pPr>
      <w:r>
        <w:rPr/>
        <w:t>您在本合同生效后，可根据我们的规定书面通知我们变更合同的内容，经我</w:t>
      </w:r>
    </w:p>
    <w:p>
      <w:pPr>
        <w:spacing w:after="0"/>
        <w:sectPr>
          <w:footerReference w:type="default" r:id="rId8"/>
          <w:pgSz w:w="11900" w:h="16840"/>
          <w:pgMar w:footer="1007" w:header="0" w:top="1460" w:bottom="1200" w:left="1680" w:right="1680"/>
          <w:pgNumType w:start="10"/>
        </w:sectPr>
      </w:pPr>
    </w:p>
    <w:p>
      <w:pPr>
        <w:pStyle w:val="BodyText"/>
        <w:spacing w:line="313" w:lineRule="exact" w:before="0"/>
      </w:pPr>
      <w:r>
        <w:rPr/>
        <w:t>们审核同意后，应当由我们在原保单或者其他保险凭证上批注，或者由您和我们</w:t>
      </w:r>
    </w:p>
    <w:p>
      <w:pPr>
        <w:pStyle w:val="BodyText"/>
        <w:spacing w:before="154"/>
      </w:pPr>
      <w:r>
        <w:rPr/>
        <w:t>订立变更合同内容的书面协议。</w:t>
      </w:r>
    </w:p>
    <w:p>
      <w:pPr>
        <w:pStyle w:val="BodyText"/>
        <w:spacing w:before="154"/>
        <w:ind w:left="597"/>
      </w:pPr>
      <w:r>
        <w:rPr/>
        <w:t>与本合同有关的信息发生变更时，您需要及时书面通知我们。</w:t>
      </w:r>
    </w:p>
    <w:p>
      <w:pPr>
        <w:pStyle w:val="BodyText"/>
        <w:spacing w:before="154"/>
        <w:ind w:left="597"/>
      </w:pPr>
      <w:r>
        <w:rPr/>
        <w:t>我们收到并且决定接受您变更合同内容通知书当日，变更内容生效，本合同</w:t>
      </w:r>
    </w:p>
    <w:p>
      <w:pPr>
        <w:pStyle w:val="BodyText"/>
        <w:spacing w:before="154"/>
      </w:pPr>
      <w:r>
        <w:rPr/>
        <w:t>另有约定的除外。</w:t>
      </w:r>
    </w:p>
    <w:p>
      <w:pPr>
        <w:pStyle w:val="BodyText"/>
        <w:spacing w:before="0"/>
        <w:ind w:left="0"/>
      </w:pPr>
    </w:p>
    <w:p>
      <w:pPr>
        <w:pStyle w:val="BodyText"/>
        <w:spacing w:before="8"/>
        <w:ind w:left="0"/>
        <w:rPr>
          <w:sz w:val="20"/>
        </w:rPr>
      </w:pPr>
    </w:p>
    <w:p>
      <w:pPr>
        <w:pStyle w:val="Heading1"/>
        <w:tabs>
          <w:tab w:pos="1564" w:val="left" w:leader="none"/>
        </w:tabs>
      </w:pPr>
      <w:bookmarkStart w:name="_TOC_250002" w:id="22"/>
      <w:bookmarkEnd w:id="22"/>
      <w:r>
        <w:rPr/>
        <w:t>第二十二条</w:t>
        <w:tab/>
        <w:t>本合同的解除</w:t>
      </w:r>
    </w:p>
    <w:p>
      <w:pPr>
        <w:pStyle w:val="BodyText"/>
        <w:spacing w:before="160"/>
        <w:ind w:left="597"/>
      </w:pPr>
      <w:r>
        <w:rPr/>
        <w:t>您可以书面形式通知我们要求解除本合同，即退保。自我们收到您退保申请</w:t>
      </w:r>
    </w:p>
    <w:p>
      <w:pPr>
        <w:pStyle w:val="BodyText"/>
        <w:spacing w:line="357" w:lineRule="auto" w:before="154"/>
        <w:ind w:left="597" w:right="3020" w:hanging="480"/>
      </w:pPr>
      <w:r>
        <w:rPr/>
        <w:t>当日，本合同解除，本合同约定的保险责任终止。 您要求退保时，应向我们提供下列证明和资料：</w:t>
      </w:r>
    </w:p>
    <w:p>
      <w:pPr>
        <w:pStyle w:val="ListParagraph"/>
        <w:numPr>
          <w:ilvl w:val="0"/>
          <w:numId w:val="2"/>
        </w:numPr>
        <w:tabs>
          <w:tab w:pos="1078" w:val="left" w:leader="none"/>
        </w:tabs>
        <w:spacing w:line="240" w:lineRule="auto" w:before="36" w:after="0"/>
        <w:ind w:left="1077" w:right="0" w:hanging="480"/>
        <w:jc w:val="left"/>
        <w:rPr>
          <w:sz w:val="24"/>
        </w:rPr>
      </w:pPr>
      <w:r>
        <w:rPr>
          <w:sz w:val="24"/>
        </w:rPr>
        <w:t>保险合同正本；</w:t>
      </w:r>
    </w:p>
    <w:p>
      <w:pPr>
        <w:pStyle w:val="ListParagraph"/>
        <w:numPr>
          <w:ilvl w:val="0"/>
          <w:numId w:val="2"/>
        </w:numPr>
        <w:tabs>
          <w:tab w:pos="1078" w:val="left" w:leader="none"/>
        </w:tabs>
        <w:spacing w:line="240" w:lineRule="auto" w:before="153" w:after="0"/>
        <w:ind w:left="1077" w:right="0" w:hanging="480"/>
        <w:jc w:val="left"/>
        <w:rPr>
          <w:sz w:val="24"/>
        </w:rPr>
      </w:pPr>
      <w:r>
        <w:rPr>
          <w:sz w:val="24"/>
        </w:rPr>
        <w:t>退保申请表；</w:t>
      </w:r>
    </w:p>
    <w:p>
      <w:pPr>
        <w:pStyle w:val="ListParagraph"/>
        <w:numPr>
          <w:ilvl w:val="0"/>
          <w:numId w:val="2"/>
        </w:numPr>
        <w:tabs>
          <w:tab w:pos="1078" w:val="left" w:leader="none"/>
        </w:tabs>
        <w:spacing w:line="240" w:lineRule="auto" w:before="153" w:after="0"/>
        <w:ind w:left="1077" w:right="0" w:hanging="480"/>
        <w:jc w:val="left"/>
        <w:rPr>
          <w:sz w:val="24"/>
        </w:rPr>
      </w:pPr>
      <w:r>
        <w:rPr>
          <w:spacing w:val="-8"/>
          <w:sz w:val="24"/>
        </w:rPr>
        <w:t>经办人身份证件，若经办人非投保单中载明的联系人，则需提交投保人</w:t>
      </w:r>
    </w:p>
    <w:p>
      <w:pPr>
        <w:pStyle w:val="BodyText"/>
      </w:pPr>
      <w:r>
        <w:rPr/>
        <w:t>出具的加盖法人公章的授权委托书；</w:t>
      </w:r>
    </w:p>
    <w:p>
      <w:pPr>
        <w:pStyle w:val="ListParagraph"/>
        <w:numPr>
          <w:ilvl w:val="0"/>
          <w:numId w:val="2"/>
        </w:numPr>
        <w:tabs>
          <w:tab w:pos="1078" w:val="left" w:leader="none"/>
        </w:tabs>
        <w:spacing w:line="240" w:lineRule="auto" w:before="153" w:after="0"/>
        <w:ind w:left="1077" w:right="0" w:hanging="480"/>
        <w:jc w:val="left"/>
        <w:rPr>
          <w:sz w:val="24"/>
        </w:rPr>
      </w:pPr>
      <w:r>
        <w:rPr>
          <w:sz w:val="24"/>
        </w:rPr>
        <w:t>其他必要的合理的证明文件。</w:t>
      </w:r>
    </w:p>
    <w:p>
      <w:pPr>
        <w:pStyle w:val="BodyText"/>
        <w:spacing w:line="357" w:lineRule="auto"/>
        <w:ind w:right="226" w:firstLine="480"/>
      </w:pPr>
      <w:r>
        <w:rPr/>
        <w:t>我们在收到上述证明资料后将向您退还本合同解除时未发生保险事故的被保险人的未满期净保险费。</w:t>
      </w:r>
    </w:p>
    <w:p>
      <w:pPr>
        <w:pStyle w:val="BodyText"/>
        <w:spacing w:before="7"/>
        <w:ind w:left="0"/>
        <w:rPr>
          <w:sz w:val="35"/>
        </w:rPr>
      </w:pPr>
    </w:p>
    <w:p>
      <w:pPr>
        <w:pStyle w:val="Heading1"/>
        <w:tabs>
          <w:tab w:pos="1564" w:val="left" w:leader="none"/>
        </w:tabs>
        <w:spacing w:before="1"/>
      </w:pPr>
      <w:bookmarkStart w:name="_TOC_250001" w:id="23"/>
      <w:bookmarkEnd w:id="23"/>
      <w:r>
        <w:rPr/>
        <w:t>第二十三条</w:t>
        <w:tab/>
        <w:t>争议处理和法律适用</w:t>
      </w:r>
    </w:p>
    <w:p>
      <w:pPr>
        <w:pStyle w:val="BodyText"/>
        <w:spacing w:before="160"/>
        <w:ind w:left="597"/>
      </w:pPr>
      <w:r>
        <w:rPr/>
        <w:t>在本合同履行过程中发生任何争议，由我们和您协商解决。协商不成的，双</w:t>
      </w:r>
    </w:p>
    <w:p>
      <w:pPr>
        <w:pStyle w:val="BodyText"/>
      </w:pPr>
      <w:r>
        <w:rPr/>
        <w:t>方同意，向被告住所地人民法院起诉，由人民法院进行裁判。</w:t>
      </w:r>
    </w:p>
    <w:p>
      <w:pPr>
        <w:pStyle w:val="BodyText"/>
        <w:spacing w:line="357" w:lineRule="auto"/>
        <w:ind w:right="380" w:firstLine="480"/>
      </w:pPr>
      <w:r>
        <w:rPr/>
        <w:t>与本合同有关的以及履行本合同所产生的一切争议处理适用中华人民共和国法律（不包括港澳台地区法律</w:t>
      </w:r>
      <w:r>
        <w:rPr>
          <w:spacing w:val="-120"/>
        </w:rPr>
        <w:t>）</w:t>
      </w:r>
      <w:r>
        <w:rPr/>
        <w:t>。</w:t>
      </w:r>
    </w:p>
    <w:p>
      <w:pPr>
        <w:pStyle w:val="BodyText"/>
        <w:spacing w:before="0"/>
        <w:ind w:left="0"/>
      </w:pPr>
    </w:p>
    <w:p>
      <w:pPr>
        <w:pStyle w:val="BodyText"/>
        <w:spacing w:before="0"/>
        <w:ind w:left="0"/>
      </w:pPr>
    </w:p>
    <w:p>
      <w:pPr>
        <w:pStyle w:val="BodyText"/>
        <w:spacing w:before="4"/>
        <w:ind w:left="0"/>
        <w:rPr>
          <w:sz w:val="23"/>
        </w:rPr>
      </w:pPr>
    </w:p>
    <w:p>
      <w:pPr>
        <w:pStyle w:val="Heading1"/>
        <w:spacing w:before="1"/>
      </w:pPr>
      <w:bookmarkStart w:name="_TOC_250000" w:id="24"/>
      <w:bookmarkEnd w:id="24"/>
      <w:r>
        <w:rPr/>
        <w:t>释义</w:t>
      </w:r>
    </w:p>
    <w:p>
      <w:pPr>
        <w:pStyle w:val="BodyText"/>
        <w:spacing w:line="331" w:lineRule="auto" w:before="86"/>
        <w:ind w:right="109"/>
        <w:jc w:val="both"/>
      </w:pPr>
      <w:r>
        <w:rPr>
          <w:rFonts w:ascii="Microsoft JhengHei" w:hAnsi="Microsoft JhengHei" w:eastAsia="Microsoft JhengHei" w:hint="eastAsia"/>
          <w:b/>
        </w:rPr>
        <w:t>1</w:t>
      </w:r>
      <w:r>
        <w:rPr>
          <w:rFonts w:ascii="Microsoft JhengHei" w:hAnsi="Microsoft JhengHei" w:eastAsia="Microsoft JhengHei" w:hint="eastAsia"/>
          <w:b/>
          <w:spacing w:val="-7"/>
        </w:rPr>
        <w:t>、未满期净保险费 </w:t>
      </w:r>
      <w:r>
        <w:rPr>
          <w:spacing w:val="-2"/>
        </w:rPr>
        <w:t>本合同项下某一被保险人名下的未满期净保险费的计算公式为</w:t>
      </w:r>
      <w:r>
        <w:rPr>
          <w:spacing w:val="5"/>
        </w:rPr>
        <w:drawing>
          <wp:inline distT="0" distB="0" distL="0" distR="0">
            <wp:extent cx="66675" cy="117475"/>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t>)×(1-n/m)，其中：P</w:t>
      </w:r>
      <w:r>
        <w:rPr>
          <w:spacing w:val="-6"/>
        </w:rPr>
        <w:t> 为投保人为该被保险人一次性交纳的保险费，</w:t>
      </w:r>
      <w:r>
        <w:rPr/>
        <w:t>m</w:t>
      </w:r>
      <w:r>
        <w:rPr>
          <w:spacing w:val="-16"/>
        </w:rPr>
        <w:t> 指本合同对该被保险人的保障期间所包含的天数(不足一天部分按一天计)，</w:t>
      </w:r>
    </w:p>
    <w:p>
      <w:pPr>
        <w:spacing w:after="0" w:line="331" w:lineRule="auto"/>
        <w:jc w:val="both"/>
        <w:sectPr>
          <w:pgSz w:w="11900" w:h="16840"/>
          <w:pgMar w:header="0" w:footer="1007" w:top="1460" w:bottom="1200" w:left="1680" w:right="1560"/>
        </w:sectPr>
      </w:pPr>
    </w:p>
    <w:p>
      <w:pPr>
        <w:pStyle w:val="BodyText"/>
        <w:spacing w:line="357" w:lineRule="auto" w:before="0"/>
        <w:ind w:right="129"/>
        <w:jc w:val="both"/>
      </w:pPr>
      <w:r>
        <w:rPr/>
        <w:t>n</w:t>
      </w:r>
      <w:r>
        <w:rPr>
          <w:spacing w:val="-10"/>
        </w:rPr>
        <w:t> 指从本合同对该被保险人的保障期间生效之日至本合同对该被保险人的保险责任终止之日实际经过的天数(不足一天部分按一天计)。</w:t>
      </w:r>
    </w:p>
    <w:p>
      <w:pPr>
        <w:spacing w:line="378" w:lineRule="exact" w:before="1"/>
        <w:ind w:left="117" w:right="0" w:firstLine="0"/>
        <w:jc w:val="left"/>
        <w:rPr>
          <w:sz w:val="24"/>
        </w:rPr>
      </w:pPr>
      <w:r>
        <w:rPr>
          <w:rFonts w:ascii="Microsoft JhengHei" w:eastAsia="Microsoft JhengHei" w:hint="eastAsia"/>
          <w:b/>
          <w:sz w:val="24"/>
        </w:rPr>
        <w:t>2、保险单周年日 </w:t>
      </w:r>
      <w:r>
        <w:rPr>
          <w:sz w:val="24"/>
        </w:rPr>
        <w:t>在本合同有效期内的每一个保险单年度内本合同生效日的对应</w:t>
      </w:r>
    </w:p>
    <w:p>
      <w:pPr>
        <w:pStyle w:val="BodyText"/>
        <w:spacing w:before="126"/>
      </w:pPr>
      <w:r>
        <w:rPr/>
        <w:t>日。第一个保险单周年日是指保险单生效一年后的本合同生效日期的对应日。如</w:t>
      </w:r>
    </w:p>
    <w:p>
      <w:pPr>
        <w:pStyle w:val="BodyText"/>
        <w:spacing w:line="313" w:lineRule="exact"/>
      </w:pPr>
      <w:r>
        <w:rPr/>
        <w:t>果当月没有对应的同一日，则以该日最后一日为对应日。</w:t>
      </w:r>
    </w:p>
    <w:p>
      <w:pPr>
        <w:pStyle w:val="BodyText"/>
        <w:spacing w:line="290" w:lineRule="auto" w:before="0"/>
        <w:ind w:right="129"/>
        <w:jc w:val="both"/>
      </w:pPr>
      <w:r>
        <w:rPr>
          <w:rFonts w:ascii="Microsoft JhengHei" w:eastAsia="Microsoft JhengHei" w:hint="eastAsia"/>
          <w:b/>
        </w:rPr>
        <w:t>3、初次患有：</w:t>
      </w:r>
      <w:r>
        <w:rPr/>
        <w:t>指自被保险人出生之日起第一次经医院确诊患有某种疾病，而不</w:t>
      </w:r>
      <w:r>
        <w:rPr>
          <w:spacing w:val="-7"/>
        </w:rPr>
        <w:t>是指自保险合同生效、复效或者等待期之后第一次经医院确诊患有某种疾病。</w:t>
      </w:r>
      <w:r>
        <w:rPr>
          <w:rFonts w:ascii="Microsoft JhengHei" w:eastAsia="Microsoft JhengHei" w:hint="eastAsia"/>
          <w:b/>
        </w:rPr>
        <w:t>例</w:t>
      </w:r>
      <w:r>
        <w:rPr/>
        <w:t>如，2010</w:t>
      </w:r>
      <w:r>
        <w:rPr>
          <w:spacing w:val="-40"/>
        </w:rPr>
        <w:t> 年 </w:t>
      </w:r>
      <w:r>
        <w:rPr/>
        <w:t>1</w:t>
      </w:r>
      <w:r>
        <w:rPr>
          <w:spacing w:val="-40"/>
        </w:rPr>
        <w:t> 月 </w:t>
      </w:r>
      <w:r>
        <w:rPr/>
        <w:t>1</w:t>
      </w:r>
      <w:r>
        <w:rPr>
          <w:spacing w:val="-8"/>
        </w:rPr>
        <w:t> 日保险合同生效，若：</w:t>
      </w:r>
    </w:p>
    <w:p>
      <w:pPr>
        <w:pStyle w:val="BodyText"/>
        <w:spacing w:line="357" w:lineRule="auto" w:before="181"/>
        <w:ind w:right="126"/>
        <w:jc w:val="both"/>
      </w:pPr>
      <w:r>
        <w:rPr/>
        <w:t>（1）2009</w:t>
      </w:r>
      <w:r>
        <w:rPr>
          <w:spacing w:val="-28"/>
        </w:rPr>
        <w:t> 年 </w:t>
      </w:r>
      <w:r>
        <w:rPr/>
        <w:t>1</w:t>
      </w:r>
      <w:r>
        <w:rPr>
          <w:spacing w:val="-29"/>
        </w:rPr>
        <w:t> 月 </w:t>
      </w:r>
      <w:r>
        <w:rPr/>
        <w:t>1</w:t>
      </w:r>
      <w:r>
        <w:rPr>
          <w:spacing w:val="-12"/>
        </w:rPr>
        <w:t> 日被保险人自出生后第一次经医院确诊罹患“恶性肿瘤”，</w:t>
      </w:r>
      <w:r>
        <w:rPr>
          <w:spacing w:val="-10"/>
        </w:rPr>
        <w:t>由于“初次确诊”发生在保险合同生效之前，因此不属于保险责任范围，本公司不承担保险责任；</w:t>
      </w:r>
    </w:p>
    <w:p>
      <w:pPr>
        <w:pStyle w:val="BodyText"/>
        <w:spacing w:line="357" w:lineRule="auto" w:before="35"/>
        <w:ind w:right="100"/>
        <w:jc w:val="both"/>
      </w:pPr>
      <w:r>
        <w:rPr/>
        <w:t>（2）2010</w:t>
      </w:r>
      <w:r>
        <w:rPr>
          <w:spacing w:val="-40"/>
        </w:rPr>
        <w:t> 年 </w:t>
      </w:r>
      <w:r>
        <w:rPr/>
        <w:t>1</w:t>
      </w:r>
      <w:r>
        <w:rPr>
          <w:spacing w:val="-40"/>
        </w:rPr>
        <w:t> 月 </w:t>
      </w:r>
      <w:r>
        <w:rPr/>
        <w:t>15</w:t>
      </w:r>
      <w:r>
        <w:rPr>
          <w:spacing w:val="-13"/>
        </w:rPr>
        <w:t> 日被保险人自出生后第一次经医院确诊罹患“恶性肿瘤”，由于“初次确诊”发生在等待期（30</w:t>
      </w:r>
      <w:r>
        <w:rPr>
          <w:spacing w:val="10"/>
        </w:rPr>
        <w:t> 日</w:t>
      </w:r>
      <w:r>
        <w:rPr/>
        <w:t>）内，本公司亦不承担保险责任，不给</w:t>
      </w:r>
      <w:r>
        <w:rPr>
          <w:spacing w:val="-9"/>
        </w:rPr>
        <w:t>付保险金，但向投保人退还其为该被保险人交纳的本合同项下的保险费，本公司对该被保险人的保险责任终止；</w:t>
      </w:r>
    </w:p>
    <w:p>
      <w:pPr>
        <w:pStyle w:val="BodyText"/>
        <w:spacing w:line="357" w:lineRule="auto" w:before="35"/>
        <w:ind w:right="126"/>
        <w:jc w:val="both"/>
      </w:pPr>
      <w:r>
        <w:rPr/>
        <w:t>（3）2010</w:t>
      </w:r>
      <w:r>
        <w:rPr>
          <w:spacing w:val="-28"/>
        </w:rPr>
        <w:t> 年 </w:t>
      </w:r>
      <w:r>
        <w:rPr/>
        <w:t>5</w:t>
      </w:r>
      <w:r>
        <w:rPr>
          <w:spacing w:val="-29"/>
        </w:rPr>
        <w:t> 月 </w:t>
      </w:r>
      <w:r>
        <w:rPr/>
        <w:t>2</w:t>
      </w:r>
      <w:r>
        <w:rPr>
          <w:spacing w:val="-12"/>
        </w:rPr>
        <w:t> 日被保险人自出生后第一次经医院确诊罹患“恶性肿瘤”，</w:t>
      </w:r>
      <w:r>
        <w:rPr>
          <w:spacing w:val="-11"/>
        </w:rPr>
        <w:t>由于“初次确诊”发生在等待期后，本公司按本合同项下该被保险人名下的保险</w:t>
      </w:r>
      <w:r>
        <w:rPr>
          <w:spacing w:val="-14"/>
        </w:rPr>
        <w:t>金额向该被保险人的重大疾病保险金受益人给付重大疾病保险金，本公司对该被保险人的保险责任终止。</w:t>
      </w:r>
    </w:p>
    <w:p>
      <w:pPr>
        <w:pStyle w:val="BodyText"/>
        <w:spacing w:line="378" w:lineRule="exact" w:before="0"/>
        <w:jc w:val="both"/>
      </w:pPr>
      <w:r>
        <w:rPr>
          <w:rFonts w:ascii="Microsoft JhengHei" w:eastAsia="Microsoft JhengHei" w:hint="eastAsia"/>
          <w:b/>
        </w:rPr>
        <w:t>4、意外事故 </w:t>
      </w:r>
      <w:r>
        <w:rPr/>
        <w:t>指外来的、突然的、非本意的、非疾病的使被保险人身体受到伤害</w:t>
      </w:r>
    </w:p>
    <w:p>
      <w:pPr>
        <w:pStyle w:val="BodyText"/>
        <w:spacing w:before="127"/>
        <w:jc w:val="both"/>
      </w:pPr>
      <w:r>
        <w:rPr/>
        <w:t>的客观事件。</w:t>
      </w:r>
    </w:p>
    <w:p>
      <w:pPr>
        <w:spacing w:before="77"/>
        <w:ind w:left="117" w:right="0" w:firstLine="0"/>
        <w:jc w:val="both"/>
        <w:rPr>
          <w:sz w:val="24"/>
        </w:rPr>
      </w:pPr>
      <w:r>
        <w:rPr>
          <w:rFonts w:ascii="Microsoft JhengHei" w:eastAsia="Microsoft JhengHei" w:hint="eastAsia"/>
          <w:b/>
          <w:sz w:val="24"/>
        </w:rPr>
        <w:t>5、甲组重大疾病 </w:t>
      </w:r>
      <w:r>
        <w:rPr>
          <w:sz w:val="24"/>
        </w:rPr>
        <w:t>包括下列疾病：</w:t>
      </w:r>
    </w:p>
    <w:p>
      <w:pPr>
        <w:pStyle w:val="Heading1"/>
        <w:spacing w:before="50"/>
        <w:jc w:val="both"/>
      </w:pPr>
      <w:r>
        <w:rPr>
          <w:w w:val="95"/>
        </w:rPr>
        <w:t>（1）恶性肿瘤</w:t>
      </w:r>
    </w:p>
    <w:p>
      <w:pPr>
        <w:pStyle w:val="BodyText"/>
        <w:spacing w:line="357" w:lineRule="auto" w:before="126"/>
        <w:ind w:right="126" w:firstLine="480"/>
      </w:pPr>
      <w:r>
        <w:rPr>
          <w:spacing w:val="-5"/>
        </w:rPr>
        <w:t>指恶性细胞不受控制的进行性增长和扩散，浸润和破坏周围正常组织，可以经血管、淋巴管和体腔扩散转移到身体其它部位的疾病。</w:t>
      </w:r>
    </w:p>
    <w:p>
      <w:pPr>
        <w:pStyle w:val="BodyText"/>
        <w:spacing w:before="35"/>
        <w:ind w:left="597"/>
      </w:pPr>
      <w:r>
        <w:rPr/>
        <w:t>经病理学检查结果明确诊断，临床诊断属于世界卫生组织《疾病和有关健康</w:t>
      </w:r>
    </w:p>
    <w:p>
      <w:pPr>
        <w:pStyle w:val="BodyText"/>
        <w:jc w:val="both"/>
      </w:pPr>
      <w:r>
        <w:rPr/>
        <w:t>问题的国际统计分类》（ICD-10）的恶性肿瘤范畴。</w:t>
      </w:r>
    </w:p>
    <w:p>
      <w:pPr>
        <w:pStyle w:val="BodyText"/>
        <w:ind w:left="597"/>
      </w:pPr>
      <w:r>
        <w:rPr/>
        <w:t>下列疾病不在保障范围内：</w:t>
      </w:r>
    </w:p>
    <w:p>
      <w:pPr>
        <w:pStyle w:val="BodyText"/>
        <w:ind w:left="477"/>
      </w:pPr>
      <w:r>
        <w:rPr/>
        <w:t>①原位癌；</w:t>
      </w:r>
    </w:p>
    <w:p>
      <w:pPr>
        <w:pStyle w:val="BodyText"/>
        <w:ind w:left="465"/>
      </w:pPr>
      <w:r>
        <w:rPr/>
        <w:t>②相当于Binet 分期方案A 期程度的慢性淋巴细胞白血病；</w:t>
      </w:r>
    </w:p>
    <w:p>
      <w:pPr>
        <w:spacing w:after="0"/>
        <w:sectPr>
          <w:pgSz w:w="11900" w:h="16840"/>
          <w:pgMar w:header="0" w:footer="1007" w:top="1460" w:bottom="1200" w:left="1680" w:right="1660"/>
        </w:sectPr>
      </w:pPr>
    </w:p>
    <w:p>
      <w:pPr>
        <w:pStyle w:val="BodyText"/>
        <w:spacing w:line="313" w:lineRule="exact" w:before="0"/>
        <w:ind w:left="477"/>
      </w:pPr>
      <w:r>
        <w:rPr/>
        <w:t>③相当于Ann Arbor 分期方案I 期程度的何杰金氏病；</w:t>
      </w:r>
    </w:p>
    <w:p>
      <w:pPr>
        <w:pStyle w:val="BodyText"/>
        <w:spacing w:before="154"/>
        <w:ind w:left="477"/>
      </w:pPr>
      <w:r>
        <w:rPr/>
        <w:t>④皮肤癌（不包括恶性黑色素瘤及已发生转移的皮肤癌</w:t>
      </w:r>
      <w:r>
        <w:rPr>
          <w:spacing w:val="-120"/>
        </w:rPr>
        <w:t>）</w:t>
      </w:r>
      <w:r>
        <w:rPr/>
        <w:t>；</w:t>
      </w:r>
    </w:p>
    <w:p>
      <w:pPr>
        <w:spacing w:before="207"/>
        <w:ind w:left="477" w:right="0" w:firstLine="0"/>
        <w:jc w:val="left"/>
        <w:rPr>
          <w:sz w:val="24"/>
        </w:rPr>
      </w:pPr>
      <w:r>
        <w:rPr>
          <w:sz w:val="24"/>
        </w:rPr>
        <w:t>⑤TNM分期为</w:t>
      </w:r>
      <w:r>
        <w:rPr>
          <w:rFonts w:ascii="Times New Roman" w:hAnsi="Times New Roman" w:eastAsia="Times New Roman"/>
          <w:i/>
          <w:sz w:val="24"/>
        </w:rPr>
        <w:t>T</w:t>
      </w:r>
      <w:r>
        <w:rPr>
          <w:rFonts w:ascii="Times New Roman" w:hAnsi="Times New Roman" w:eastAsia="Times New Roman"/>
          <w:position w:val="-5"/>
          <w:sz w:val="14"/>
        </w:rPr>
        <w:t>1 </w:t>
      </w:r>
      <w:r>
        <w:rPr>
          <w:rFonts w:ascii="Times New Roman" w:hAnsi="Times New Roman" w:eastAsia="Times New Roman"/>
          <w:i/>
          <w:sz w:val="24"/>
        </w:rPr>
        <w:t>N</w:t>
      </w:r>
      <w:r>
        <w:rPr>
          <w:rFonts w:ascii="Times New Roman" w:hAnsi="Times New Roman" w:eastAsia="Times New Roman"/>
          <w:position w:val="-5"/>
          <w:sz w:val="14"/>
        </w:rPr>
        <w:t>0 </w:t>
      </w:r>
      <w:r>
        <w:rPr>
          <w:rFonts w:ascii="Times New Roman" w:hAnsi="Times New Roman" w:eastAsia="Times New Roman"/>
          <w:i/>
          <w:sz w:val="24"/>
        </w:rPr>
        <w:t>M </w:t>
      </w:r>
      <w:r>
        <w:rPr>
          <w:rFonts w:ascii="Times New Roman" w:hAnsi="Times New Roman" w:eastAsia="Times New Roman"/>
          <w:position w:val="-5"/>
          <w:sz w:val="14"/>
        </w:rPr>
        <w:t>0 </w:t>
      </w:r>
      <w:r>
        <w:rPr>
          <w:sz w:val="24"/>
        </w:rPr>
        <w:t>期或更轻分期的前列腺癌；</w:t>
      </w:r>
    </w:p>
    <w:p>
      <w:pPr>
        <w:pStyle w:val="BodyText"/>
        <w:spacing w:before="201"/>
        <w:ind w:left="477"/>
      </w:pPr>
      <w:r>
        <w:rPr/>
        <w:t>⑥感染艾滋病病毒或患艾滋病期间所患恶性肿瘤。</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（2）重大器官移植术和造血干细胞移植术</w:t>
      </w:r>
    </w:p>
    <w:p>
      <w:pPr>
        <w:pStyle w:val="BodyText"/>
        <w:spacing w:before="126"/>
        <w:ind w:left="597"/>
      </w:pPr>
      <w:r>
        <w:rPr/>
        <w:t>重大器官移植术，指因相应器官功能衰竭，已经实施了肾脏、肝脏、心脏或</w:t>
      </w:r>
    </w:p>
    <w:p>
      <w:pPr>
        <w:pStyle w:val="BodyText"/>
        <w:spacing w:before="154"/>
      </w:pPr>
      <w:r>
        <w:rPr/>
        <w:t>肺脏的异体移植手术。</w:t>
      </w:r>
    </w:p>
    <w:p>
      <w:pPr>
        <w:pStyle w:val="BodyText"/>
        <w:spacing w:line="357" w:lineRule="auto" w:before="154"/>
        <w:ind w:right="106" w:firstLine="480"/>
        <w:jc w:val="both"/>
      </w:pPr>
      <w:r>
        <w:rPr>
          <w:spacing w:val="-7"/>
        </w:rPr>
        <w:t>造血干细胞移植术，指因造血功能损害或造血系统恶性肿瘤，已经实施了造</w:t>
      </w:r>
      <w:r>
        <w:rPr>
          <w:spacing w:val="-13"/>
        </w:rPr>
        <w:t>血干细胞</w:t>
      </w:r>
      <w:r>
        <w:rPr/>
        <w:t>（</w:t>
      </w:r>
      <w:r>
        <w:rPr>
          <w:spacing w:val="-3"/>
        </w:rPr>
        <w:t>包括骨髓造血干细胞、外周血造血干细胞和脐血造血干细胞</w:t>
      </w:r>
      <w:r>
        <w:rPr>
          <w:spacing w:val="-29"/>
        </w:rPr>
        <w:t>）</w:t>
      </w:r>
      <w:r>
        <w:rPr/>
        <w:t>的异体移植手术。</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（3）终末期肾病（或称慢性肾功能衰竭尿毒症期）</w:t>
      </w:r>
    </w:p>
    <w:p>
      <w:pPr>
        <w:pStyle w:val="BodyText"/>
        <w:spacing w:before="126"/>
        <w:ind w:left="597"/>
      </w:pPr>
      <w:r>
        <w:rPr/>
        <w:t>指双肾功能慢性不可逆性衰竭，达到尿毒症期，经诊断后已经进行了至少90</w:t>
      </w:r>
    </w:p>
    <w:p>
      <w:pPr>
        <w:pStyle w:val="BodyText"/>
      </w:pPr>
      <w:r>
        <w:rPr/>
        <w:t>天的规律性透析治疗或实施了肾脏移植手术。</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（4）急性或亚急性重症肝炎</w:t>
      </w:r>
    </w:p>
    <w:p>
      <w:pPr>
        <w:pStyle w:val="BodyText"/>
        <w:spacing w:before="126"/>
        <w:ind w:left="597"/>
      </w:pPr>
      <w:r>
        <w:rPr/>
        <w:t>指因肝炎病毒感染引起肝脏组织弥漫性坏死，导致急性肝功能衰竭，且经血</w:t>
      </w:r>
    </w:p>
    <w:p>
      <w:pPr>
        <w:pStyle w:val="BodyText"/>
      </w:pPr>
      <w:r>
        <w:rPr/>
        <w:t>清学或病毒学检查证实，并须满足下列全部条件：</w:t>
      </w:r>
    </w:p>
    <w:p>
      <w:pPr>
        <w:pStyle w:val="BodyText"/>
        <w:ind w:left="597"/>
      </w:pPr>
      <w:r>
        <w:rPr/>
        <w:t>①重度黄疸或黄疸迅速加重；</w:t>
      </w:r>
    </w:p>
    <w:p>
      <w:pPr>
        <w:pStyle w:val="BodyText"/>
        <w:ind w:left="597"/>
      </w:pPr>
      <w:r>
        <w:rPr/>
        <w:t>②肝性脑病；</w:t>
      </w:r>
    </w:p>
    <w:p>
      <w:pPr>
        <w:pStyle w:val="BodyText"/>
        <w:ind w:left="597"/>
      </w:pPr>
      <w:r>
        <w:rPr/>
        <w:t>③B 超或其它影像学检查显示肝脏体积急速萎缩；</w:t>
      </w:r>
    </w:p>
    <w:p>
      <w:pPr>
        <w:pStyle w:val="BodyText"/>
        <w:ind w:left="597"/>
      </w:pPr>
      <w:r>
        <w:rPr/>
        <w:t>④肝功能指标进行性恶化。</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（5）良性脑肿瘤</w:t>
      </w:r>
    </w:p>
    <w:p>
      <w:pPr>
        <w:pStyle w:val="BodyText"/>
        <w:spacing w:line="357" w:lineRule="auto" w:before="126"/>
        <w:ind w:right="106" w:firstLine="480"/>
        <w:jc w:val="both"/>
      </w:pPr>
      <w:r>
        <w:rPr>
          <w:spacing w:val="-7"/>
        </w:rPr>
        <w:t>指脑的良性肿瘤，已经引起颅内压增高，临床表现为视神经乳头水肿、精神症状、癫痫及运动感觉障碍等，并危及生命。须由头颅断层扫描（CT</w:t>
      </w:r>
      <w:r>
        <w:rPr>
          <w:spacing w:val="-120"/>
        </w:rPr>
        <w:t>）</w:t>
      </w:r>
      <w:r>
        <w:rPr/>
        <w:t>、核磁共</w:t>
      </w:r>
      <w:r>
        <w:rPr>
          <w:spacing w:val="-6"/>
        </w:rPr>
        <w:t>振检查</w:t>
      </w:r>
      <w:r>
        <w:rPr>
          <w:spacing w:val="-4"/>
        </w:rPr>
        <w:t>（MRI）</w:t>
      </w:r>
      <w:r>
        <w:rPr>
          <w:spacing w:val="-3"/>
        </w:rPr>
        <w:t>或正电子发射断层扫描</w:t>
      </w:r>
      <w:r>
        <w:rPr>
          <w:spacing w:val="-4"/>
        </w:rPr>
        <w:t>（PET）</w:t>
      </w:r>
      <w:r>
        <w:rPr>
          <w:spacing w:val="-3"/>
        </w:rPr>
        <w:t>等影像学检查证实，并须满足下列至少一项条件：</w:t>
      </w:r>
    </w:p>
    <w:p>
      <w:pPr>
        <w:pStyle w:val="BodyText"/>
        <w:spacing w:before="36"/>
        <w:ind w:left="597"/>
      </w:pPr>
      <w:r>
        <w:rPr/>
        <w:t>①实际实施了开颅进行的脑肿瘤完全切除或部分切除的手术；</w:t>
      </w:r>
    </w:p>
    <w:p>
      <w:pPr>
        <w:pStyle w:val="BodyText"/>
        <w:spacing w:before="154"/>
        <w:ind w:left="597"/>
      </w:pPr>
      <w:r>
        <w:rPr/>
        <w:t>②实际实施了对脑肿瘤进行的放射治疗。</w:t>
      </w:r>
    </w:p>
    <w:p>
      <w:pPr>
        <w:pStyle w:val="BodyText"/>
        <w:spacing w:before="154"/>
        <w:ind w:left="597"/>
      </w:pPr>
      <w:r>
        <w:rPr/>
        <w:t>脑垂体瘤、脑囊肿、脑血管性疾病不在保障范围内。</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（6）慢性肝功能衰竭失代偿期</w:t>
      </w:r>
    </w:p>
    <w:p>
      <w:pPr>
        <w:spacing w:after="0"/>
        <w:jc w:val="left"/>
        <w:rPr>
          <w:rFonts w:ascii="Microsoft JhengHei" w:eastAsia="Microsoft JhengHei" w:hint="eastAsia"/>
          <w:sz w:val="24"/>
        </w:rPr>
        <w:sectPr>
          <w:pgSz w:w="11900" w:h="16840"/>
          <w:pgMar w:header="0" w:footer="1007" w:top="1460" w:bottom="1200" w:left="1680" w:right="1680"/>
        </w:sectPr>
      </w:pPr>
    </w:p>
    <w:p>
      <w:pPr>
        <w:pStyle w:val="BodyText"/>
        <w:spacing w:line="313" w:lineRule="exact" w:before="0"/>
        <w:ind w:left="597"/>
      </w:pPr>
      <w:r>
        <w:rPr/>
        <w:t>指因慢性肝脏疾病导致肝功能衰竭。须满足下列全部条件：</w:t>
      </w:r>
    </w:p>
    <w:p>
      <w:pPr>
        <w:pStyle w:val="BodyText"/>
        <w:spacing w:before="154"/>
        <w:ind w:left="597"/>
      </w:pPr>
      <w:r>
        <w:rPr/>
        <w:t>①持续性黄疸；</w:t>
      </w:r>
    </w:p>
    <w:p>
      <w:pPr>
        <w:pStyle w:val="BodyText"/>
        <w:spacing w:before="154"/>
        <w:ind w:left="597"/>
      </w:pPr>
      <w:r>
        <w:rPr/>
        <w:t>②腹水；</w:t>
      </w:r>
    </w:p>
    <w:p>
      <w:pPr>
        <w:pStyle w:val="BodyText"/>
        <w:spacing w:before="154"/>
        <w:ind w:left="597"/>
      </w:pPr>
      <w:r>
        <w:rPr/>
        <w:t>③肝性脑病；</w:t>
      </w:r>
    </w:p>
    <w:p>
      <w:pPr>
        <w:pStyle w:val="BodyText"/>
        <w:spacing w:before="154"/>
        <w:ind w:left="597"/>
      </w:pPr>
      <w:r>
        <w:rPr/>
        <w:t>④充血性脾肿大伴脾功能亢进或食管胃底静脉曲张。</w:t>
      </w:r>
    </w:p>
    <w:p>
      <w:pPr>
        <w:pStyle w:val="BodyText"/>
        <w:spacing w:before="154"/>
        <w:ind w:left="597"/>
      </w:pPr>
      <w:r>
        <w:rPr/>
        <w:t>因酗酒或药物滥用导致的肝功能衰竭不在保障范围内。</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105"/>
          <w:sz w:val="24"/>
        </w:rPr>
        <w:t>（7）</w:t>
      </w:r>
      <w:r>
        <w:rPr>
          <w:rFonts w:ascii="Microsoft JhengHei" w:eastAsia="Microsoft JhengHei" w:hint="eastAsia"/>
          <w:b/>
          <w:spacing w:val="-12"/>
          <w:w w:val="105"/>
          <w:sz w:val="24"/>
        </w:rPr>
        <w:t>严重 </w:t>
      </w:r>
      <w:r>
        <w:rPr>
          <w:rFonts w:ascii="Microsoft JhengHei" w:eastAsia="Microsoft JhengHei" w:hint="eastAsia"/>
          <w:b/>
          <w:w w:val="145"/>
          <w:sz w:val="24"/>
        </w:rPr>
        <w:t>III</w:t>
      </w:r>
      <w:r>
        <w:rPr>
          <w:rFonts w:ascii="Microsoft JhengHei" w:eastAsia="Microsoft JhengHei" w:hint="eastAsia"/>
          <w:b/>
          <w:spacing w:val="-58"/>
          <w:w w:val="145"/>
          <w:sz w:val="24"/>
        </w:rPr>
        <w:t> </w:t>
      </w:r>
      <w:r>
        <w:rPr>
          <w:rFonts w:ascii="Microsoft JhengHei" w:eastAsia="Microsoft JhengHei" w:hint="eastAsia"/>
          <w:b/>
          <w:w w:val="105"/>
          <w:sz w:val="24"/>
        </w:rPr>
        <w:t>度烧伤</w:t>
      </w:r>
    </w:p>
    <w:p>
      <w:pPr>
        <w:pStyle w:val="BodyText"/>
        <w:spacing w:before="126"/>
        <w:ind w:left="597"/>
      </w:pPr>
      <w:r>
        <w:rPr/>
        <w:t>指烧伤程度为Ⅲ度，且Ⅲ度烧伤的面积达到全身体表面积的20％或20％以</w:t>
      </w:r>
    </w:p>
    <w:p>
      <w:pPr>
        <w:pStyle w:val="BodyText"/>
        <w:spacing w:before="154"/>
      </w:pPr>
      <w:r>
        <w:rPr/>
        <w:t>上。体表面积根据《中国新九分法》计算。</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（8）重型再生障碍性贫血</w:t>
      </w:r>
    </w:p>
    <w:p>
      <w:pPr>
        <w:pStyle w:val="BodyText"/>
        <w:spacing w:before="126"/>
        <w:ind w:left="597"/>
      </w:pPr>
      <w:r>
        <w:rPr/>
        <w:t>指因骨髓造血功能慢性持续性衰竭导致的贫血、中性粒细胞减少及血小板减</w:t>
      </w:r>
    </w:p>
    <w:p>
      <w:pPr>
        <w:pStyle w:val="BodyText"/>
        <w:spacing w:before="154"/>
      </w:pPr>
      <w:r>
        <w:rPr/>
        <w:t>少。须满足下列全部条件：</w:t>
      </w:r>
    </w:p>
    <w:p>
      <w:pPr>
        <w:pStyle w:val="BodyText"/>
        <w:spacing w:before="154"/>
        <w:ind w:left="597"/>
      </w:pPr>
      <w:r>
        <w:rPr/>
        <w:t>①骨髓穿刺检查或骨髓活检结果支持诊断；</w:t>
      </w:r>
    </w:p>
    <w:p>
      <w:pPr>
        <w:pStyle w:val="BodyText"/>
        <w:spacing w:before="154"/>
        <w:ind w:left="597"/>
      </w:pPr>
      <w:r>
        <w:rPr/>
        <w:t>②外周血象须具备以下三项条件：</w:t>
      </w:r>
    </w:p>
    <w:p>
      <w:pPr>
        <w:pStyle w:val="BodyText"/>
        <w:spacing w:before="4"/>
        <w:ind w:left="0"/>
        <w:rPr>
          <w:sz w:val="18"/>
        </w:rPr>
      </w:pPr>
    </w:p>
    <w:p>
      <w:pPr>
        <w:pStyle w:val="BodyText"/>
        <w:spacing w:before="1"/>
        <w:ind w:left="597"/>
      </w:pPr>
      <w:r>
        <w:rPr/>
        <w:t>ⅰ）中性粒细胞绝对值≤0.5×</w:t>
      </w:r>
      <w:r>
        <w:rPr>
          <w:rFonts w:ascii="Times New Roman" w:hAnsi="Times New Roman" w:eastAsia="Times New Roman"/>
        </w:rPr>
        <w:t>10</w:t>
      </w:r>
      <w:r>
        <w:rPr>
          <w:rFonts w:ascii="Times New Roman" w:hAnsi="Times New Roman" w:eastAsia="Times New Roman"/>
          <w:position w:val="11"/>
          <w:sz w:val="14"/>
        </w:rPr>
        <w:t>9 </w:t>
      </w:r>
      <w:r>
        <w:rPr/>
        <w:t>/L ；</w:t>
      </w:r>
    </w:p>
    <w:p>
      <w:pPr>
        <w:pStyle w:val="BodyText"/>
        <w:spacing w:before="205"/>
        <w:ind w:left="597"/>
      </w:pPr>
      <w:r>
        <w:rPr/>
        <w:drawing>
          <wp:anchor distT="0" distB="0" distL="0" distR="0" allowOverlap="1" layoutInCell="1" locked="0" behindDoc="1" simplePos="0" relativeHeight="268415807">
            <wp:simplePos x="0" y="0"/>
            <wp:positionH relativeFrom="page">
              <wp:posOffset>2744851</wp:posOffset>
            </wp:positionH>
            <wp:positionV relativeFrom="paragraph">
              <wp:posOffset>193873</wp:posOffset>
            </wp:positionV>
            <wp:extent cx="66675" cy="117475"/>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7" cstate="print"/>
                    <a:stretch>
                      <a:fillRect/>
                    </a:stretch>
                  </pic:blipFill>
                  <pic:spPr>
                    <a:xfrm>
                      <a:off x="0" y="0"/>
                      <a:ext cx="66675" cy="117475"/>
                    </a:xfrm>
                    <a:prstGeom prst="rect">
                      <a:avLst/>
                    </a:prstGeom>
                  </pic:spPr>
                </pic:pic>
              </a:graphicData>
            </a:graphic>
          </wp:anchor>
        </w:drawing>
      </w:r>
      <w:r>
        <w:rPr/>
        <w:t>ⅱ）网织红细胞＜1；</w:t>
      </w:r>
    </w:p>
    <w:p>
      <w:pPr>
        <w:pStyle w:val="BodyText"/>
        <w:spacing w:before="4"/>
        <w:ind w:left="0"/>
        <w:rPr>
          <w:sz w:val="18"/>
        </w:rPr>
      </w:pPr>
    </w:p>
    <w:p>
      <w:pPr>
        <w:pStyle w:val="BodyText"/>
        <w:spacing w:before="0"/>
        <w:ind w:left="597"/>
      </w:pPr>
      <w:r>
        <w:rPr/>
        <w:t>ⅲ）血小板绝对值≤20×</w:t>
      </w:r>
      <w:r>
        <w:rPr>
          <w:rFonts w:ascii="Times New Roman" w:hAnsi="Times New Roman" w:eastAsia="Times New Roman"/>
        </w:rPr>
        <w:t>10</w:t>
      </w:r>
      <w:r>
        <w:rPr>
          <w:rFonts w:ascii="Times New Roman" w:hAnsi="Times New Roman" w:eastAsia="Times New Roman"/>
          <w:position w:val="11"/>
          <w:sz w:val="14"/>
        </w:rPr>
        <w:t>9 </w:t>
      </w:r>
      <w:r>
        <w:rPr/>
        <w:t>/L。</w:t>
      </w:r>
    </w:p>
    <w:p>
      <w:pPr>
        <w:spacing w:before="128"/>
        <w:ind w:left="117" w:right="0" w:firstLine="0"/>
        <w:jc w:val="left"/>
        <w:rPr>
          <w:rFonts w:ascii="Microsoft JhengHei" w:eastAsia="Microsoft JhengHei" w:hint="eastAsia"/>
          <w:b/>
          <w:sz w:val="24"/>
        </w:rPr>
      </w:pPr>
      <w:r>
        <w:rPr>
          <w:rFonts w:ascii="Microsoft JhengHei" w:eastAsia="Microsoft JhengHei" w:hint="eastAsia"/>
          <w:b/>
          <w:w w:val="95"/>
          <w:sz w:val="24"/>
        </w:rPr>
        <w:t>（9）严重的系统性硬化症</w:t>
      </w:r>
    </w:p>
    <w:p>
      <w:pPr>
        <w:pStyle w:val="BodyText"/>
        <w:spacing w:line="357" w:lineRule="auto" w:before="126"/>
        <w:ind w:right="186" w:firstLine="480"/>
        <w:jc w:val="both"/>
      </w:pPr>
      <w:r>
        <w:rPr>
          <w:spacing w:val="-9"/>
        </w:rPr>
        <w:t>是一种以皮肤、血管和内脏器官的进行性、弥漫性纤维化为特点的系统性结</w:t>
      </w:r>
      <w:r>
        <w:rPr>
          <w:spacing w:val="-12"/>
        </w:rPr>
        <w:t>缔组织病。须经专科医生根据组织活检和血清学检查结果作出明确诊断并提供下列一项或一项以上内脏器官受累的检查报告及诊疗记录：</w:t>
      </w:r>
    </w:p>
    <w:p>
      <w:pPr>
        <w:pStyle w:val="BodyText"/>
        <w:spacing w:before="36"/>
        <w:ind w:left="597"/>
      </w:pPr>
      <w:r>
        <w:rPr/>
        <w:t>肺脏：肺纤维化，已经发展为肺动脉高压、肺心病；</w:t>
      </w:r>
    </w:p>
    <w:p>
      <w:pPr>
        <w:pStyle w:val="BodyText"/>
        <w:spacing w:line="357" w:lineRule="auto"/>
        <w:ind w:left="597" w:right="100"/>
      </w:pPr>
      <w:r>
        <w:rPr/>
        <w:t>心脏：心室功能受损，至少达到美国纽约心脏病学会心功能状态分级Ⅲ级； 肾脏：肾脏受损，已经出现肾功能不全。</w:t>
      </w:r>
    </w:p>
    <w:p>
      <w:pPr>
        <w:pStyle w:val="BodyText"/>
        <w:spacing w:before="36"/>
        <w:ind w:left="597"/>
      </w:pPr>
      <w:r>
        <w:rPr/>
        <w:t>下列疾病不在保障范围内：</w:t>
      </w:r>
    </w:p>
    <w:p>
      <w:pPr>
        <w:pStyle w:val="BodyText"/>
        <w:spacing w:before="154"/>
        <w:ind w:left="597"/>
      </w:pPr>
      <w:r>
        <w:rPr/>
        <w:t>①局部性硬皮病（如：带状硬皮病、硬斑病</w:t>
      </w:r>
      <w:r>
        <w:rPr>
          <w:spacing w:val="-120"/>
        </w:rPr>
        <w:t>）</w:t>
      </w:r>
      <w:r>
        <w:rPr/>
        <w:t>；</w:t>
      </w:r>
    </w:p>
    <w:p>
      <w:pPr>
        <w:pStyle w:val="BodyText"/>
        <w:spacing w:before="154"/>
        <w:ind w:left="597"/>
      </w:pPr>
      <w:r>
        <w:rPr/>
        <w:t>②嗜酸性粒细胞性筋膜炎；</w:t>
      </w:r>
    </w:p>
    <w:p>
      <w:pPr>
        <w:pStyle w:val="BodyText"/>
        <w:spacing w:before="154"/>
        <w:ind w:left="597"/>
      </w:pPr>
      <w:r>
        <w:rPr/>
        <w:t>③CREST综合征。</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（10）严重的原发性心肌病</w:t>
      </w:r>
    </w:p>
    <w:p>
      <w:pPr>
        <w:spacing w:after="0"/>
        <w:jc w:val="left"/>
        <w:rPr>
          <w:rFonts w:ascii="Microsoft JhengHei" w:eastAsia="Microsoft JhengHei" w:hint="eastAsia"/>
          <w:sz w:val="24"/>
        </w:rPr>
        <w:sectPr>
          <w:pgSz w:w="11900" w:h="16840"/>
          <w:pgMar w:header="0" w:footer="1007" w:top="1460" w:bottom="1200" w:left="1680" w:right="1600"/>
        </w:sectPr>
      </w:pPr>
    </w:p>
    <w:p>
      <w:pPr>
        <w:pStyle w:val="BodyText"/>
        <w:spacing w:line="357" w:lineRule="auto" w:before="0"/>
        <w:ind w:right="106" w:firstLine="480"/>
        <w:jc w:val="both"/>
      </w:pPr>
      <w:r>
        <w:rPr>
          <w:spacing w:val="-5"/>
        </w:rPr>
        <w:t>是指不明原因引起的一类心肌病变，包括原发性扩张型心肌病、原发性肥厚</w:t>
      </w:r>
      <w:r>
        <w:rPr>
          <w:spacing w:val="-10"/>
        </w:rPr>
        <w:t>型心肌病及原发性限制型心肌病三种，病变必须已造成事实上心室功能障碍而出</w:t>
      </w:r>
      <w:r>
        <w:rPr>
          <w:spacing w:val="-12"/>
        </w:rPr>
        <w:t>现明显的心功能衰竭，达到美国纽约心脏病协会心功能状态分级</w:t>
      </w:r>
      <w:r>
        <w:rPr/>
        <w:t>IV</w:t>
      </w:r>
      <w:r>
        <w:rPr>
          <w:spacing w:val="-9"/>
        </w:rPr>
        <w:t>级，且有相关住院医疗记录显示IV级心功能状态持续至少180天。该疾病索赔时须要经专科医师做出明确诊断。继发于全身性疾病或其它器官系统疾病不属本保障范围。</w:t>
      </w:r>
    </w:p>
    <w:p>
      <w:pPr>
        <w:spacing w:line="378" w:lineRule="exact" w:before="1"/>
        <w:ind w:left="117" w:right="0" w:firstLine="0"/>
        <w:jc w:val="left"/>
        <w:rPr>
          <w:rFonts w:ascii="Microsoft JhengHei" w:eastAsia="Microsoft JhengHei" w:hint="eastAsia"/>
          <w:b/>
          <w:sz w:val="24"/>
        </w:rPr>
      </w:pPr>
      <w:r>
        <w:rPr>
          <w:rFonts w:ascii="Microsoft JhengHei" w:eastAsia="Microsoft JhengHei" w:hint="eastAsia"/>
          <w:b/>
          <w:w w:val="95"/>
          <w:sz w:val="24"/>
        </w:rPr>
        <w:t>（11）肾髓质囊性病</w:t>
      </w:r>
    </w:p>
    <w:p>
      <w:pPr>
        <w:pStyle w:val="BodyText"/>
        <w:spacing w:before="126"/>
        <w:ind w:left="597"/>
      </w:pPr>
      <w:r>
        <w:rPr/>
        <w:t>肾髓质囊性病的诊断必须同时符合下列要求：</w:t>
      </w:r>
    </w:p>
    <w:p>
      <w:pPr>
        <w:pStyle w:val="BodyText"/>
        <w:ind w:left="597"/>
      </w:pPr>
      <w:r>
        <w:rPr/>
        <w:t>①肾髓质有囊肿、肾小管萎缩及间质纤维化等病理改变；</w:t>
      </w:r>
    </w:p>
    <w:p>
      <w:pPr>
        <w:pStyle w:val="BodyText"/>
        <w:ind w:left="597"/>
      </w:pPr>
      <w:r>
        <w:rPr/>
        <w:t>②贫血、多尿及肾功能衰竭等临床表现；</w:t>
      </w:r>
    </w:p>
    <w:p>
      <w:pPr>
        <w:pStyle w:val="BodyText"/>
        <w:ind w:left="597"/>
      </w:pPr>
      <w:r>
        <w:rPr/>
        <w:t>③诊断须由肾组织活检确定。</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（12）因输血感染艾滋病</w:t>
      </w:r>
    </w:p>
    <w:p>
      <w:pPr>
        <w:pStyle w:val="BodyText"/>
        <w:spacing w:before="126"/>
        <w:ind w:left="597"/>
      </w:pPr>
      <w:r>
        <w:rPr/>
        <w:t>被保险人感染上人类免疫缺陷病毒（HIV）并且符合下列所有条件：</w:t>
      </w:r>
    </w:p>
    <w:p>
      <w:pPr>
        <w:pStyle w:val="BodyText"/>
        <w:ind w:left="597"/>
      </w:pPr>
      <w:r>
        <w:rPr/>
        <w:t>①在保障起始日或复效日之后，被保险人因治疗必需而接受输血，并且因输</w:t>
      </w:r>
    </w:p>
    <w:p>
      <w:pPr>
        <w:pStyle w:val="BodyText"/>
      </w:pPr>
      <w:r>
        <w:rPr/>
        <w:t>血而感染HIV；</w:t>
      </w:r>
    </w:p>
    <w:p>
      <w:pPr>
        <w:pStyle w:val="BodyText"/>
        <w:ind w:left="597"/>
      </w:pPr>
      <w:r>
        <w:rPr/>
        <w:t>②提供输血治疗的输血中心或医院出具该项输血感染属医疗责任事故的报</w:t>
      </w:r>
    </w:p>
    <w:p>
      <w:pPr>
        <w:pStyle w:val="BodyText"/>
      </w:pPr>
      <w:r>
        <w:rPr/>
        <w:t>告；</w:t>
      </w:r>
    </w:p>
    <w:p>
      <w:pPr>
        <w:pStyle w:val="BodyText"/>
        <w:ind w:left="597"/>
      </w:pPr>
      <w:r>
        <w:rPr/>
        <w:t>③提供输血治疗的输血中心或医院必须拥有合法经营执照；</w:t>
      </w:r>
    </w:p>
    <w:p>
      <w:pPr>
        <w:pStyle w:val="BodyText"/>
        <w:ind w:left="597"/>
      </w:pPr>
      <w:r>
        <w:rPr/>
        <w:t>④受感染的被保险人不是血友病患者；</w:t>
      </w:r>
    </w:p>
    <w:p>
      <w:pPr>
        <w:pStyle w:val="BodyText"/>
        <w:spacing w:line="357" w:lineRule="auto"/>
        <w:ind w:right="140" w:firstLine="480"/>
      </w:pPr>
      <w:r>
        <w:rPr/>
        <w:t>任何因其他传播方式（包括：性传播或静脉注射毒品）导致的HIV感染不在本保单保障范围内。</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（13）系统性红斑狼疮</w:t>
      </w:r>
    </w:p>
    <w:p>
      <w:pPr>
        <w:pStyle w:val="BodyText"/>
        <w:spacing w:line="357" w:lineRule="auto" w:before="127"/>
        <w:ind w:right="109" w:firstLine="480"/>
      </w:pPr>
      <w:r>
        <w:rPr/>
        <w:t>红斑狼疮是指由于自身抗体和免疫复合物的沉积破坏了血管和细胞而导致</w:t>
      </w:r>
      <w:r>
        <w:rPr>
          <w:spacing w:val="-5"/>
        </w:rPr>
        <w:t>的累及多系统损害的一种自体免疫性疾病。本保障仅限于被保险人因系统性红斑</w:t>
      </w:r>
      <w:r>
        <w:rPr>
          <w:spacing w:val="-10"/>
        </w:rPr>
        <w:t>狼疮并发狼疮性肾炎并引起肾功能损害，且肾脏病理诊断符合以下列明的世界卫生组织（WHO）对狼疮性肾炎所分类中的第III、IV、V、VI型。诊断须由有资格的风湿和免疫病专科医生确认。</w:t>
      </w:r>
    </w:p>
    <w:p>
      <w:pPr>
        <w:pStyle w:val="BodyText"/>
        <w:spacing w:before="36"/>
        <w:ind w:left="597"/>
      </w:pPr>
      <w:r>
        <w:rPr/>
        <w:t>世界卫生组织（WHO）对狼疮性肾炎的分类标准：</w:t>
      </w:r>
    </w:p>
    <w:p>
      <w:pPr>
        <w:pStyle w:val="BodyText"/>
        <w:tabs>
          <w:tab w:pos="1437" w:val="left" w:leader="none"/>
        </w:tabs>
        <w:ind w:left="597"/>
      </w:pPr>
      <w:r>
        <w:rPr/>
        <w:t>I 型</w:t>
        <w:tab/>
        <w:t>正常肾小球型；</w:t>
      </w:r>
    </w:p>
    <w:p>
      <w:pPr>
        <w:pStyle w:val="BodyText"/>
        <w:tabs>
          <w:tab w:pos="1437" w:val="left" w:leader="none"/>
        </w:tabs>
        <w:ind w:left="597"/>
      </w:pPr>
      <w:r>
        <w:rPr/>
        <w:t>II型</w:t>
        <w:tab/>
        <w:t>系膜增生型；</w:t>
      </w:r>
    </w:p>
    <w:p>
      <w:pPr>
        <w:pStyle w:val="BodyText"/>
        <w:tabs>
          <w:tab w:pos="1437" w:val="left" w:leader="none"/>
        </w:tabs>
        <w:ind w:left="597"/>
      </w:pPr>
      <w:r>
        <w:rPr/>
        <w:t>III型</w:t>
        <w:tab/>
        <w:t>局灶及节段增生型；</w:t>
      </w:r>
    </w:p>
    <w:p>
      <w:pPr>
        <w:spacing w:after="0"/>
        <w:sectPr>
          <w:pgSz w:w="11900" w:h="16840"/>
          <w:pgMar w:header="0" w:footer="1007" w:top="1460" w:bottom="1200" w:left="1680" w:right="1680"/>
        </w:sectPr>
      </w:pPr>
    </w:p>
    <w:p>
      <w:pPr>
        <w:pStyle w:val="BodyText"/>
        <w:tabs>
          <w:tab w:pos="1437" w:val="left" w:leader="none"/>
        </w:tabs>
        <w:spacing w:line="313" w:lineRule="exact" w:before="0"/>
        <w:ind w:left="597"/>
      </w:pPr>
      <w:r>
        <w:rPr/>
        <w:t>IV型</w:t>
        <w:tab/>
        <w:t>弥漫增生型；</w:t>
      </w:r>
    </w:p>
    <w:p>
      <w:pPr>
        <w:pStyle w:val="BodyText"/>
        <w:tabs>
          <w:tab w:pos="1437" w:val="left" w:leader="none"/>
        </w:tabs>
        <w:spacing w:before="154"/>
        <w:ind w:left="597"/>
      </w:pPr>
      <w:r>
        <w:rPr/>
        <w:t>V型</w:t>
        <w:tab/>
        <w:t>膜型；</w:t>
      </w:r>
    </w:p>
    <w:p>
      <w:pPr>
        <w:pStyle w:val="BodyText"/>
        <w:tabs>
          <w:tab w:pos="1437" w:val="left" w:leader="none"/>
        </w:tabs>
        <w:spacing w:before="154"/>
        <w:ind w:left="597"/>
      </w:pPr>
      <w:r>
        <w:rPr/>
        <w:t>VI型</w:t>
        <w:tab/>
        <w:t>肾小球硬化型。</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（14）慢性复发性胰腺炎</w:t>
      </w:r>
    </w:p>
    <w:p>
      <w:pPr>
        <w:pStyle w:val="BodyText"/>
        <w:spacing w:line="357" w:lineRule="auto" w:before="126"/>
        <w:ind w:right="106" w:firstLine="480"/>
      </w:pPr>
      <w:r>
        <w:rPr>
          <w:spacing w:val="-5"/>
        </w:rPr>
        <w:t>有腹痛等典型症状的胰腺炎反复发作，导致胰腺进行性破坏，并导致胰腺功</w:t>
      </w:r>
      <w:r>
        <w:rPr>
          <w:spacing w:val="-16"/>
        </w:rPr>
        <w:t>能紊乱而导致严重糖尿病以及营养不良、恶液质。</w:t>
      </w:r>
      <w:r>
        <w:rPr/>
        <w:t>CT检查证实胰腺存在广泛钙化， 且必须接受酶替代以及胰岛素替代治疗6个月以上。诊断必须由消化科专科医生确诊。</w:t>
      </w:r>
    </w:p>
    <w:p>
      <w:pPr>
        <w:pStyle w:val="BodyText"/>
        <w:spacing w:before="36"/>
        <w:ind w:left="597"/>
      </w:pPr>
      <w:r>
        <w:rPr/>
        <w:t>酒精导致的慢性复发性胰腺炎除外。</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（15）终末期慢性呼吸功能衰竭</w:t>
      </w:r>
    </w:p>
    <w:p>
      <w:pPr>
        <w:pStyle w:val="BodyText"/>
        <w:spacing w:before="126"/>
        <w:ind w:left="597"/>
      </w:pPr>
      <w:r>
        <w:rPr/>
        <w:t>指因慢性呼吸系统疾病导致呼吸功能衰竭，且诊断必须满足以下所有条件：</w:t>
      </w:r>
    </w:p>
    <w:p>
      <w:pPr>
        <w:pStyle w:val="BodyText"/>
        <w:ind w:left="597"/>
      </w:pPr>
      <w:r>
        <w:rPr/>
        <w:t>①第一秒末用力呼气量（FEV1）小于1升；</w:t>
      </w:r>
    </w:p>
    <w:p>
      <w:pPr>
        <w:pStyle w:val="BodyText"/>
        <w:ind w:left="597"/>
      </w:pPr>
      <w:r>
        <w:rPr/>
        <w:t>②气道内阻力增加，至少达到0.5 kPa/l/s；</w:t>
      </w:r>
    </w:p>
    <w:p>
      <w:pPr>
        <w:pStyle w:val="BodyText"/>
        <w:ind w:left="597"/>
      </w:pPr>
      <w:r>
        <w:rPr/>
        <w:drawing>
          <wp:anchor distT="0" distB="0" distL="0" distR="0" allowOverlap="1" layoutInCell="1" locked="0" behindDoc="1" simplePos="0" relativeHeight="268415831">
            <wp:simplePos x="0" y="0"/>
            <wp:positionH relativeFrom="page">
              <wp:posOffset>3506851</wp:posOffset>
            </wp:positionH>
            <wp:positionV relativeFrom="paragraph">
              <wp:posOffset>160853</wp:posOffset>
            </wp:positionV>
            <wp:extent cx="66675" cy="117475"/>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66675" cy="117475"/>
                    </a:xfrm>
                    <a:prstGeom prst="rect">
                      <a:avLst/>
                    </a:prstGeom>
                  </pic:spPr>
                </pic:pic>
              </a:graphicData>
            </a:graphic>
          </wp:anchor>
        </w:drawing>
      </w:r>
      <w:r>
        <w:rPr/>
        <w:t>③残气容积占肺总量(TLC)的60以上；</w:t>
      </w:r>
    </w:p>
    <w:p>
      <w:pPr>
        <w:pStyle w:val="BodyText"/>
        <w:ind w:left="597"/>
      </w:pPr>
      <w:r>
        <w:rPr/>
        <w:t>④胸内气体容积升高，超过170 (基值的百分比)；</w:t>
      </w:r>
    </w:p>
    <w:p>
      <w:pPr>
        <w:pStyle w:val="BodyText"/>
        <w:spacing w:before="6"/>
        <w:ind w:left="0"/>
        <w:rPr>
          <w:sz w:val="16"/>
        </w:rPr>
      </w:pPr>
    </w:p>
    <w:p>
      <w:pPr>
        <w:spacing w:before="0"/>
        <w:ind w:left="597" w:right="0" w:firstLine="0"/>
        <w:jc w:val="left"/>
        <w:rPr>
          <w:sz w:val="24"/>
        </w:rPr>
      </w:pPr>
      <w:r>
        <w:rPr>
          <w:sz w:val="24"/>
        </w:rPr>
        <w:t>⑤Pa</w:t>
      </w:r>
      <w:r>
        <w:rPr>
          <w:spacing w:val="-92"/>
          <w:sz w:val="24"/>
        </w:rPr>
        <w:t> </w:t>
      </w:r>
      <w:r>
        <w:rPr>
          <w:rFonts w:ascii="Times New Roman" w:hAnsi="Times New Roman" w:eastAsia="Times New Roman"/>
          <w:i/>
          <w:sz w:val="24"/>
        </w:rPr>
        <w:t>O</w:t>
      </w:r>
      <w:r>
        <w:rPr>
          <w:rFonts w:ascii="Times New Roman" w:hAnsi="Times New Roman" w:eastAsia="Times New Roman"/>
          <w:position w:val="-5"/>
          <w:sz w:val="14"/>
        </w:rPr>
        <w:t>2 </w:t>
      </w:r>
      <w:r>
        <w:rPr>
          <w:sz w:val="24"/>
        </w:rPr>
        <w:t>&lt;60mmHg，Pa</w:t>
      </w:r>
      <w:r>
        <w:rPr>
          <w:spacing w:val="-92"/>
          <w:sz w:val="24"/>
        </w:rPr>
        <w:t> </w:t>
      </w:r>
      <w:r>
        <w:rPr>
          <w:rFonts w:ascii="Times New Roman" w:hAnsi="Times New Roman" w:eastAsia="Times New Roman"/>
          <w:i/>
          <w:sz w:val="24"/>
        </w:rPr>
        <w:t>CO</w:t>
      </w:r>
      <w:r>
        <w:rPr>
          <w:rFonts w:ascii="Times New Roman" w:hAnsi="Times New Roman" w:eastAsia="Times New Roman"/>
          <w:position w:val="-5"/>
          <w:sz w:val="14"/>
        </w:rPr>
        <w:t>2 </w:t>
      </w:r>
      <w:r>
        <w:rPr>
          <w:sz w:val="24"/>
        </w:rPr>
        <w:t>&gt;50mmHg。</w:t>
      </w:r>
    </w:p>
    <w:p>
      <w:pPr>
        <w:spacing w:before="114"/>
        <w:ind w:left="117" w:right="0" w:firstLine="0"/>
        <w:jc w:val="left"/>
        <w:rPr>
          <w:rFonts w:ascii="Microsoft JhengHei" w:eastAsia="Microsoft JhengHei" w:hint="eastAsia"/>
          <w:b/>
          <w:sz w:val="24"/>
        </w:rPr>
      </w:pPr>
      <w:r>
        <w:rPr>
          <w:rFonts w:ascii="Microsoft JhengHei" w:eastAsia="Microsoft JhengHei" w:hint="eastAsia"/>
          <w:b/>
          <w:w w:val="95"/>
          <w:sz w:val="24"/>
        </w:rPr>
        <w:t>（16）克隆病</w:t>
      </w:r>
    </w:p>
    <w:p>
      <w:pPr>
        <w:pStyle w:val="BodyText"/>
        <w:spacing w:line="357" w:lineRule="auto" w:before="126"/>
        <w:ind w:right="229" w:firstLine="480"/>
        <w:jc w:val="both"/>
      </w:pPr>
      <w:r>
        <w:rPr>
          <w:spacing w:val="-6"/>
        </w:rPr>
        <w:t>克隆病是一种慢性肉芽肿性肠炎。被保险人所患的克隆病必须已经造成瘘管</w:t>
      </w:r>
      <w:r>
        <w:rPr>
          <w:spacing w:val="-13"/>
        </w:rPr>
        <w:t>形成并伴有肠梗阻或肠穿孔。诊断必须由病理检查结果证实存在特征性的克隆病病理组织学变。</w:t>
      </w:r>
    </w:p>
    <w:p>
      <w:pPr>
        <w:pStyle w:val="BodyText"/>
        <w:spacing w:before="8"/>
        <w:ind w:left="0"/>
        <w:rPr>
          <w:sz w:val="32"/>
        </w:rPr>
      </w:pPr>
    </w:p>
    <w:p>
      <w:pPr>
        <w:spacing w:before="0"/>
        <w:ind w:left="409" w:right="50" w:firstLine="0"/>
        <w:jc w:val="center"/>
        <w:rPr>
          <w:rFonts w:ascii="Microsoft JhengHei" w:eastAsia="Microsoft JhengHei" w:hint="eastAsia"/>
          <w:b/>
          <w:sz w:val="24"/>
        </w:rPr>
      </w:pPr>
      <w:r>
        <w:rPr>
          <w:rFonts w:ascii="Microsoft JhengHei" w:eastAsia="Microsoft JhengHei" w:hint="eastAsia"/>
          <w:b/>
          <w:sz w:val="24"/>
        </w:rPr>
        <w:t>被保险人发生符合以上疾病定义所述条件的疾病，应当由专科医生明确诊断。</w:t>
      </w:r>
    </w:p>
    <w:p>
      <w:pPr>
        <w:pStyle w:val="BodyText"/>
        <w:spacing w:before="12"/>
        <w:ind w:left="0"/>
        <w:rPr>
          <w:rFonts w:ascii="Microsoft JhengHei"/>
          <w:b/>
          <w:sz w:val="29"/>
        </w:rPr>
      </w:pPr>
    </w:p>
    <w:p>
      <w:pPr>
        <w:tabs>
          <w:tab w:pos="2167" w:val="left" w:leader="none"/>
        </w:tabs>
        <w:spacing w:before="1"/>
        <w:ind w:left="117" w:right="0" w:firstLine="0"/>
        <w:jc w:val="left"/>
        <w:rPr>
          <w:sz w:val="24"/>
        </w:rPr>
      </w:pPr>
      <w:r>
        <w:rPr>
          <w:rFonts w:ascii="Microsoft JhengHei" w:eastAsia="Microsoft JhengHei" w:hint="eastAsia"/>
          <w:b/>
          <w:sz w:val="24"/>
        </w:rPr>
        <w:t>6、乙组重大疾病</w:t>
        <w:tab/>
      </w:r>
      <w:r>
        <w:rPr>
          <w:spacing w:val="-3"/>
          <w:sz w:val="24"/>
        </w:rPr>
        <w:t>包</w:t>
      </w:r>
      <w:r>
        <w:rPr>
          <w:sz w:val="24"/>
        </w:rPr>
        <w:t>括下列疾病：</w:t>
      </w:r>
    </w:p>
    <w:p>
      <w:pPr>
        <w:spacing w:before="50"/>
        <w:ind w:left="117" w:right="0" w:firstLine="0"/>
        <w:jc w:val="left"/>
        <w:rPr>
          <w:rFonts w:ascii="Microsoft JhengHei" w:eastAsia="Microsoft JhengHei" w:hint="eastAsia"/>
          <w:b/>
          <w:sz w:val="24"/>
        </w:rPr>
      </w:pPr>
      <w:r>
        <w:rPr>
          <w:rFonts w:ascii="Microsoft JhengHei" w:eastAsia="Microsoft JhengHei" w:hint="eastAsia"/>
          <w:b/>
          <w:w w:val="95"/>
          <w:sz w:val="24"/>
        </w:rPr>
        <w:t>（1）急性心肌梗塞</w:t>
      </w:r>
    </w:p>
    <w:p>
      <w:pPr>
        <w:pStyle w:val="BodyText"/>
        <w:spacing w:before="126"/>
        <w:ind w:left="597"/>
      </w:pPr>
      <w:r>
        <w:rPr/>
        <w:t>指因冠状动脉阻塞导致的相应区域供血不足造成部分心肌坏死。</w:t>
      </w:r>
    </w:p>
    <w:p>
      <w:pPr>
        <w:pStyle w:val="BodyText"/>
        <w:ind w:left="597"/>
      </w:pPr>
      <w:r>
        <w:rPr/>
        <w:t>须满足下列至少三项条件：</w:t>
      </w:r>
    </w:p>
    <w:p>
      <w:pPr>
        <w:pStyle w:val="BodyText"/>
        <w:ind w:left="597"/>
      </w:pPr>
      <w:r>
        <w:rPr/>
        <w:t>①典型临床表现，例如急性胸痛等；</w:t>
      </w:r>
    </w:p>
    <w:p>
      <w:pPr>
        <w:pStyle w:val="BodyText"/>
        <w:ind w:left="597"/>
      </w:pPr>
      <w:r>
        <w:rPr/>
        <w:t>②新近的心电图改变提示急性心肌梗塞；</w:t>
      </w:r>
    </w:p>
    <w:p>
      <w:pPr>
        <w:spacing w:after="0"/>
        <w:sectPr>
          <w:pgSz w:w="11900" w:h="16840"/>
          <w:pgMar w:header="0" w:footer="1007" w:top="1460" w:bottom="1200" w:left="1680" w:right="1560"/>
        </w:sectPr>
      </w:pPr>
    </w:p>
    <w:p>
      <w:pPr>
        <w:pStyle w:val="BodyText"/>
        <w:spacing w:line="313" w:lineRule="exact" w:before="0"/>
        <w:ind w:left="597"/>
      </w:pPr>
      <w:r>
        <w:rPr/>
        <w:t>③心肌酶或肌钙蛋白有诊断意义的升高，或呈符合急性心肌梗塞的动态性变</w:t>
      </w:r>
    </w:p>
    <w:p>
      <w:pPr>
        <w:pStyle w:val="BodyText"/>
        <w:spacing w:before="154"/>
      </w:pPr>
      <w:r>
        <w:rPr/>
        <w:t>化；</w:t>
      </w:r>
    </w:p>
    <w:p>
      <w:pPr>
        <w:pStyle w:val="BodyText"/>
        <w:spacing w:before="154"/>
        <w:ind w:left="597"/>
      </w:pPr>
      <w:r>
        <w:rPr/>
        <w:drawing>
          <wp:anchor distT="0" distB="0" distL="0" distR="0" allowOverlap="1" layoutInCell="1" locked="0" behindDoc="1" simplePos="0" relativeHeight="268415855">
            <wp:simplePos x="0" y="0"/>
            <wp:positionH relativeFrom="page">
              <wp:posOffset>6250051</wp:posOffset>
            </wp:positionH>
            <wp:positionV relativeFrom="paragraph">
              <wp:posOffset>161488</wp:posOffset>
            </wp:positionV>
            <wp:extent cx="66675" cy="117475"/>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66675" cy="117475"/>
                    </a:xfrm>
                    <a:prstGeom prst="rect">
                      <a:avLst/>
                    </a:prstGeom>
                  </pic:spPr>
                </pic:pic>
              </a:graphicData>
            </a:graphic>
          </wp:anchor>
        </w:drawing>
      </w:r>
      <w:r>
        <w:rPr/>
        <w:t>④发病90 天后，经检查证实左心室功能降低，如左心室射血分数低于50</w:t>
      </w:r>
      <w:r>
        <w:rPr>
          <w:spacing w:val="-27"/>
        </w:rPr>
        <w:t>。</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（2）脑中风后遗症</w:t>
      </w:r>
    </w:p>
    <w:p>
      <w:pPr>
        <w:pStyle w:val="BodyText"/>
        <w:spacing w:line="357" w:lineRule="auto" w:before="126"/>
        <w:ind w:right="186" w:firstLine="480"/>
        <w:jc w:val="both"/>
      </w:pPr>
      <w:r>
        <w:rPr>
          <w:spacing w:val="-5"/>
        </w:rPr>
        <w:t>指因脑血管的突发病变引起脑血管出血、栓塞或梗塞，并导致神经系统永久</w:t>
      </w:r>
      <w:r>
        <w:rPr>
          <w:spacing w:val="-10"/>
        </w:rPr>
        <w:t>性的功能障碍。神经系统永久性的功能障碍，指疾病确诊</w:t>
      </w:r>
      <w:r>
        <w:rPr/>
        <w:t>180</w:t>
      </w:r>
      <w:r>
        <w:rPr>
          <w:spacing w:val="-6"/>
        </w:rPr>
        <w:t> 天后，仍遗留下列一种或一种以上障碍：</w:t>
      </w:r>
    </w:p>
    <w:p>
      <w:pPr>
        <w:pStyle w:val="BodyText"/>
        <w:spacing w:before="36"/>
        <w:ind w:left="597"/>
      </w:pPr>
      <w:r>
        <w:rPr/>
        <w:t>①一肢或一肢以上肢体机能完全丧失；</w:t>
      </w:r>
    </w:p>
    <w:p>
      <w:pPr>
        <w:pStyle w:val="BodyText"/>
        <w:ind w:left="597"/>
      </w:pPr>
      <w:r>
        <w:rPr/>
        <w:t>②语言能力或咀嚼吞咽能力完全丧失；</w:t>
      </w:r>
    </w:p>
    <w:p>
      <w:pPr>
        <w:pStyle w:val="BodyText"/>
        <w:ind w:left="597"/>
      </w:pPr>
      <w:r>
        <w:rPr/>
        <w:t>③自主生活能力完全丧失，无法独立完成六项基本日常生活活动中的三项或</w:t>
      </w:r>
    </w:p>
    <w:p>
      <w:pPr>
        <w:pStyle w:val="BodyText"/>
      </w:pPr>
      <w:r>
        <w:rPr/>
        <w:t>三项以上。</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（3）冠状动脉搭桥术（或称冠状动脉旁路移植术）</w:t>
      </w:r>
    </w:p>
    <w:p>
      <w:pPr>
        <w:pStyle w:val="BodyText"/>
        <w:spacing w:line="357" w:lineRule="auto" w:before="126"/>
        <w:ind w:right="189" w:firstLine="480"/>
      </w:pPr>
      <w:r>
        <w:rPr>
          <w:spacing w:val="-9"/>
        </w:rPr>
        <w:t>指为治疗严重的冠心病，实际实施了开胸进行的冠状动脉血管旁路移植的手术。</w:t>
      </w:r>
    </w:p>
    <w:p>
      <w:pPr>
        <w:pStyle w:val="BodyText"/>
        <w:spacing w:line="357" w:lineRule="auto" w:before="35"/>
        <w:ind w:right="186" w:firstLine="480"/>
      </w:pPr>
      <w:r>
        <w:rPr>
          <w:spacing w:val="-8"/>
        </w:rPr>
        <w:t>冠状动脉支架植入术、心导管球囊扩张术、激光射频技术及其它非开胸的介入手术、腔镜手术不在保障范围内。</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（4）心脏瓣膜手术</w:t>
      </w:r>
    </w:p>
    <w:p>
      <w:pPr>
        <w:pStyle w:val="BodyText"/>
        <w:spacing w:line="357" w:lineRule="auto" w:before="127"/>
        <w:ind w:right="340" w:firstLine="480"/>
      </w:pPr>
      <w:r>
        <w:rPr/>
        <w:t>指为治疗心脏瓣膜疾病，实际实施了开胸进行的心脏瓣膜置换或修复的手术。</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（5）严重原发性肺动脉高压</w:t>
      </w:r>
    </w:p>
    <w:p>
      <w:pPr>
        <w:pStyle w:val="BodyText"/>
        <w:spacing w:line="357" w:lineRule="auto" w:before="127"/>
        <w:ind w:right="186" w:firstLine="480"/>
        <w:jc w:val="both"/>
      </w:pPr>
      <w:r>
        <w:rPr>
          <w:spacing w:val="-5"/>
        </w:rPr>
        <w:t>指不明原因的肺动脉压力持续性增高，进行性发展而导致的慢性疾病，已经</w:t>
      </w:r>
      <w:r>
        <w:rPr>
          <w:spacing w:val="-10"/>
        </w:rPr>
        <w:t>造成永久不可逆性的体力活动能力受限，达到美国纽约心脏病学会心功能状态分级IV 级，且静息状态下肺动脉平均压超过30mmHg。</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（6）语言能力丧失</w:t>
      </w:r>
    </w:p>
    <w:p>
      <w:pPr>
        <w:pStyle w:val="BodyText"/>
        <w:spacing w:before="126"/>
        <w:ind w:left="597"/>
      </w:pPr>
      <w:r>
        <w:rPr/>
        <w:t>指因疾病或意外伤害导致完全丧失语言能力，经过积极治疗至少12个月（声</w:t>
      </w:r>
    </w:p>
    <w:p>
      <w:pPr>
        <w:pStyle w:val="BodyText"/>
      </w:pPr>
      <w:r>
        <w:rPr/>
        <w:t>带完全切除不受此时间限制</w:t>
      </w:r>
      <w:r>
        <w:rPr>
          <w:spacing w:val="-120"/>
        </w:rPr>
        <w:t>）</w:t>
      </w:r>
      <w:r>
        <w:rPr/>
        <w:t>，仍无法通过现有医疗手段恢复。</w:t>
      </w:r>
    </w:p>
    <w:p>
      <w:pPr>
        <w:pStyle w:val="BodyText"/>
        <w:ind w:left="597"/>
      </w:pPr>
      <w:r>
        <w:rPr/>
        <w:t>精神心理因素所致的语言能力丧失不在保障范围内。</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（7）主动脉手术</w:t>
      </w:r>
    </w:p>
    <w:p>
      <w:pPr>
        <w:pStyle w:val="BodyText"/>
        <w:spacing w:line="357" w:lineRule="auto" w:before="126"/>
        <w:ind w:right="186" w:firstLine="480"/>
      </w:pPr>
      <w:r>
        <w:rPr>
          <w:spacing w:val="-5"/>
        </w:rPr>
        <w:t>指为治疗主动脉疾病，实际实施了开胸或开腹进行的切除、置换、修补病损</w:t>
      </w:r>
      <w:r>
        <w:rPr>
          <w:spacing w:val="-11"/>
        </w:rPr>
        <w:t>主动脉血管的手术。主动脉指胸主动脉和腹主动脉，不包括胸主动脉和腹主动脉</w:t>
      </w:r>
    </w:p>
    <w:p>
      <w:pPr>
        <w:spacing w:after="0" w:line="357" w:lineRule="auto"/>
        <w:sectPr>
          <w:pgSz w:w="11900" w:h="16840"/>
          <w:pgMar w:header="0" w:footer="1007" w:top="1460" w:bottom="1200" w:left="1680" w:right="1600"/>
        </w:sectPr>
      </w:pPr>
    </w:p>
    <w:p>
      <w:pPr>
        <w:pStyle w:val="BodyText"/>
        <w:spacing w:line="313" w:lineRule="exact" w:before="0"/>
      </w:pPr>
      <w:r>
        <w:rPr/>
        <w:t>的分支血管。</w:t>
      </w:r>
    </w:p>
    <w:p>
      <w:pPr>
        <w:pStyle w:val="BodyText"/>
        <w:spacing w:before="154"/>
        <w:ind w:left="597"/>
      </w:pPr>
      <w:r>
        <w:rPr/>
        <w:t>动脉内血管成形术不在保障范围内。</w:t>
      </w:r>
    </w:p>
    <w:p>
      <w:pPr>
        <w:pStyle w:val="BodyText"/>
        <w:spacing w:before="0"/>
        <w:ind w:left="0"/>
      </w:pPr>
    </w:p>
    <w:p>
      <w:pPr>
        <w:pStyle w:val="BodyText"/>
        <w:spacing w:before="9"/>
        <w:ind w:left="0"/>
        <w:rPr>
          <w:sz w:val="17"/>
        </w:rPr>
      </w:pPr>
    </w:p>
    <w:p>
      <w:pPr>
        <w:spacing w:before="0"/>
        <w:ind w:left="117" w:right="0" w:firstLine="0"/>
        <w:jc w:val="left"/>
        <w:rPr>
          <w:rFonts w:ascii="Microsoft JhengHei" w:eastAsia="Microsoft JhengHei" w:hint="eastAsia"/>
          <w:b/>
          <w:sz w:val="24"/>
        </w:rPr>
      </w:pPr>
      <w:r>
        <w:rPr>
          <w:rFonts w:ascii="Microsoft JhengHei" w:eastAsia="Microsoft JhengHei" w:hint="eastAsia"/>
          <w:b/>
          <w:sz w:val="24"/>
        </w:rPr>
        <w:t>被保险人发生符合以上疾病定义所述条件的疾病，应当由专科医生明确诊断。</w:t>
      </w:r>
    </w:p>
    <w:p>
      <w:pPr>
        <w:pStyle w:val="BodyText"/>
        <w:spacing w:before="13"/>
        <w:ind w:left="0"/>
        <w:rPr>
          <w:rFonts w:ascii="Microsoft JhengHei"/>
          <w:b/>
          <w:sz w:val="29"/>
        </w:rPr>
      </w:pPr>
    </w:p>
    <w:p>
      <w:pPr>
        <w:tabs>
          <w:tab w:pos="2167" w:val="left" w:leader="none"/>
        </w:tabs>
        <w:spacing w:before="0"/>
        <w:ind w:left="117" w:right="0" w:firstLine="0"/>
        <w:jc w:val="left"/>
        <w:rPr>
          <w:sz w:val="24"/>
        </w:rPr>
      </w:pPr>
      <w:r>
        <w:rPr>
          <w:rFonts w:ascii="Microsoft JhengHei" w:eastAsia="Microsoft JhengHei" w:hint="eastAsia"/>
          <w:b/>
          <w:sz w:val="24"/>
        </w:rPr>
        <w:t>7、丙组重大疾病</w:t>
        <w:tab/>
      </w:r>
      <w:r>
        <w:rPr>
          <w:spacing w:val="-3"/>
          <w:sz w:val="24"/>
        </w:rPr>
        <w:t>包</w:t>
      </w:r>
      <w:r>
        <w:rPr>
          <w:sz w:val="24"/>
        </w:rPr>
        <w:t>括下列疾病</w:t>
      </w:r>
    </w:p>
    <w:p>
      <w:pPr>
        <w:spacing w:before="50"/>
        <w:ind w:left="117" w:right="0" w:firstLine="0"/>
        <w:jc w:val="left"/>
        <w:rPr>
          <w:rFonts w:ascii="Microsoft JhengHei" w:eastAsia="Microsoft JhengHei" w:hint="eastAsia"/>
          <w:b/>
          <w:sz w:val="24"/>
        </w:rPr>
      </w:pPr>
      <w:r>
        <w:rPr>
          <w:rFonts w:ascii="Microsoft JhengHei" w:eastAsia="Microsoft JhengHei" w:hint="eastAsia"/>
          <w:b/>
          <w:w w:val="95"/>
          <w:sz w:val="24"/>
        </w:rPr>
        <w:t>（1）多个肢体缺失</w:t>
      </w:r>
    </w:p>
    <w:p>
      <w:pPr>
        <w:pStyle w:val="BodyText"/>
        <w:spacing w:line="357" w:lineRule="auto" w:before="126"/>
        <w:ind w:right="109" w:firstLine="480"/>
      </w:pPr>
      <w:r>
        <w:rPr>
          <w:spacing w:val="-3"/>
        </w:rPr>
        <w:t>指因疾病或意外伤害导致两个或两个以上肢体自腕关节或踝关节近端</w:t>
      </w:r>
      <w:r>
        <w:rPr/>
        <w:t>（靠近躯干端）以上完全性断离。</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（2）脑炎后遗症或脑膜炎后遗症</w:t>
      </w:r>
    </w:p>
    <w:p>
      <w:pPr>
        <w:pStyle w:val="BodyText"/>
        <w:spacing w:before="127"/>
        <w:ind w:left="597"/>
      </w:pPr>
      <w:r>
        <w:rPr/>
        <w:t>指因患脑炎或脑膜炎导致的神经系统永久性的功能障碍。神经系统永久性的</w:t>
      </w:r>
    </w:p>
    <w:p>
      <w:pPr>
        <w:pStyle w:val="BodyText"/>
      </w:pPr>
      <w:r>
        <w:rPr/>
        <w:t>功能障碍，指疾病确诊180 天后，仍遗留下列一种或一种以上障碍：</w:t>
      </w:r>
    </w:p>
    <w:p>
      <w:pPr>
        <w:pStyle w:val="BodyText"/>
        <w:ind w:left="597"/>
      </w:pPr>
      <w:r>
        <w:rPr/>
        <w:t>（1）一肢或一肢以上肢体机能完全丧失；</w:t>
      </w:r>
    </w:p>
    <w:p>
      <w:pPr>
        <w:pStyle w:val="BodyText"/>
        <w:ind w:left="597"/>
      </w:pPr>
      <w:r>
        <w:rPr/>
        <w:t>（2）语言能力或咀嚼吞咽能力完全丧失；</w:t>
      </w:r>
    </w:p>
    <w:p>
      <w:pPr>
        <w:pStyle w:val="BodyText"/>
        <w:ind w:left="597"/>
      </w:pPr>
      <w:r>
        <w:rPr/>
        <w:t>（3）自主生活能力完全丧失，无法独立完成六项基本日常生活活动中的三</w:t>
      </w:r>
    </w:p>
    <w:p>
      <w:pPr>
        <w:pStyle w:val="BodyText"/>
      </w:pPr>
      <w:r>
        <w:rPr/>
        <w:t>项或三项以上。</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（3）深度昏迷</w:t>
      </w:r>
    </w:p>
    <w:p>
      <w:pPr>
        <w:pStyle w:val="BodyText"/>
        <w:spacing w:line="357" w:lineRule="auto" w:before="126"/>
        <w:ind w:right="109" w:firstLine="480"/>
      </w:pPr>
      <w:r>
        <w:rPr/>
        <w:t>指因疾病或意外伤害导致意识丧失,对外界刺激和体内需求均无反应,昏迷程度按照格拉斯哥昏迷分级（Glasgow</w:t>
      </w:r>
      <w:r>
        <w:rPr>
          <w:spacing w:val="-46"/>
        </w:rPr>
        <w:t> </w:t>
      </w:r>
      <w:r>
        <w:rPr/>
        <w:t>coma</w:t>
      </w:r>
      <w:r>
        <w:rPr>
          <w:spacing w:val="-46"/>
        </w:rPr>
        <w:t> </w:t>
      </w:r>
      <w:r>
        <w:rPr/>
        <w:t>scale）结果为5分或5分以下，且已经持续使用呼吸机及其它生命维持系统96小时以上。</w:t>
      </w:r>
    </w:p>
    <w:p>
      <w:pPr>
        <w:pStyle w:val="BodyText"/>
        <w:spacing w:before="35"/>
        <w:ind w:left="597"/>
      </w:pPr>
      <w:r>
        <w:rPr/>
        <w:t>因酗酒或药物滥用导致的深度昏迷不在保障范围内。</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（4）双耳失聪</w:t>
      </w:r>
    </w:p>
    <w:p>
      <w:pPr>
        <w:pStyle w:val="BodyText"/>
        <w:spacing w:line="357" w:lineRule="auto" w:before="126"/>
        <w:ind w:right="106" w:firstLine="480"/>
        <w:jc w:val="both"/>
      </w:pPr>
      <w:r>
        <w:rPr>
          <w:spacing w:val="-5"/>
        </w:rPr>
        <w:t>指因疾病或意外伤害导致双耳听力永久不可逆性丧失，在</w:t>
      </w:r>
      <w:r>
        <w:rPr/>
        <w:t>500</w:t>
      </w:r>
      <w:r>
        <w:rPr>
          <w:spacing w:val="-27"/>
        </w:rPr>
        <w:t> 赫兹、</w:t>
      </w:r>
      <w:r>
        <w:rPr/>
        <w:t>1000</w:t>
      </w:r>
      <w:r>
        <w:rPr>
          <w:spacing w:val="-1"/>
        </w:rPr>
        <w:t> 赫兹和2000</w:t>
      </w:r>
      <w:r>
        <w:rPr>
          <w:spacing w:val="-5"/>
        </w:rPr>
        <w:t> 赫兹语音频率下，平均听阈大于</w:t>
      </w:r>
      <w:r>
        <w:rPr/>
        <w:t>90</w:t>
      </w:r>
      <w:r>
        <w:rPr>
          <w:spacing w:val="-8"/>
        </w:rPr>
        <w:t> 分贝，且经纯音听力测试、声导抗检测或听觉诱发电位检测等证实。</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（5）双目失明</w:t>
      </w:r>
    </w:p>
    <w:p>
      <w:pPr>
        <w:pStyle w:val="BodyText"/>
        <w:spacing w:before="127"/>
        <w:ind w:left="597"/>
      </w:pPr>
      <w:r>
        <w:rPr/>
        <w:t>指因疾病或意外伤害导致双眼视力永久不可逆性丧失，双眼中较好眼须满足</w:t>
      </w:r>
    </w:p>
    <w:p>
      <w:pPr>
        <w:pStyle w:val="BodyText"/>
      </w:pPr>
      <w:r>
        <w:rPr/>
        <w:t>下列至少一项条件：</w:t>
      </w:r>
    </w:p>
    <w:p>
      <w:pPr>
        <w:pStyle w:val="BodyText"/>
        <w:ind w:left="597"/>
      </w:pPr>
      <w:r>
        <w:rPr/>
        <w:t>（1）眼球缺失或摘除；</w:t>
      </w:r>
    </w:p>
    <w:p>
      <w:pPr>
        <w:pStyle w:val="BodyText"/>
        <w:ind w:left="597"/>
      </w:pPr>
      <w:r>
        <w:rPr/>
        <w:t>（2）矫正视力低于0.02（采用国际标准视力表，如果使用其它视力表应进</w:t>
      </w:r>
    </w:p>
    <w:p>
      <w:pPr>
        <w:spacing w:after="0"/>
        <w:sectPr>
          <w:pgSz w:w="11900" w:h="16840"/>
          <w:pgMar w:header="0" w:footer="1007" w:top="1460" w:bottom="1200" w:left="1680" w:right="1680"/>
        </w:sectPr>
      </w:pPr>
    </w:p>
    <w:p>
      <w:pPr>
        <w:pStyle w:val="BodyText"/>
        <w:spacing w:line="313" w:lineRule="exact" w:before="0"/>
      </w:pPr>
      <w:r>
        <w:rPr/>
        <w:t>行换算</w:t>
      </w:r>
      <w:r>
        <w:rPr>
          <w:spacing w:val="-120"/>
        </w:rPr>
        <w:t>）</w:t>
      </w:r>
      <w:r>
        <w:rPr/>
        <w:t>；</w:t>
      </w:r>
    </w:p>
    <w:p>
      <w:pPr>
        <w:pStyle w:val="BodyText"/>
        <w:spacing w:before="154"/>
        <w:ind w:left="597"/>
      </w:pPr>
      <w:r>
        <w:rPr/>
        <w:t>（3）视野半径小于5 度。</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（6）瘫痪</w:t>
      </w:r>
    </w:p>
    <w:p>
      <w:pPr>
        <w:pStyle w:val="BodyText"/>
        <w:spacing w:line="357" w:lineRule="auto" w:before="126"/>
        <w:ind w:right="226" w:firstLine="480"/>
        <w:jc w:val="both"/>
      </w:pPr>
      <w:r>
        <w:rPr>
          <w:spacing w:val="-4"/>
        </w:rPr>
        <w:t>指因疾病或意外伤害导致两肢或两肢以上肢体机能永久完全丧失。肢体机能</w:t>
      </w:r>
      <w:r>
        <w:rPr>
          <w:spacing w:val="-8"/>
        </w:rPr>
        <w:t>永久完全丧失，指疾病确诊</w:t>
      </w:r>
      <w:r>
        <w:rPr/>
        <w:t>180天后或意外伤害发生180</w:t>
      </w:r>
      <w:r>
        <w:rPr>
          <w:spacing w:val="-7"/>
        </w:rPr>
        <w:t>天后，每肢三大关节中的两大关节仍然完全僵硬，或不能随意识活动。</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（7）严重的阿尔茨海默症</w:t>
      </w:r>
    </w:p>
    <w:p>
      <w:pPr>
        <w:pStyle w:val="BodyText"/>
        <w:spacing w:line="357" w:lineRule="auto" w:before="126"/>
        <w:ind w:right="106" w:firstLine="480"/>
      </w:pPr>
      <w:r>
        <w:rPr>
          <w:spacing w:val="-8"/>
        </w:rPr>
        <w:t>指因大脑进行性、不可逆性改变导致智能严重衰退或丧失，临床表现为明显</w:t>
      </w:r>
      <w:r>
        <w:rPr>
          <w:spacing w:val="-18"/>
        </w:rPr>
        <w:t>的认知能力障碍、行为异常和社交能力减退，其日常生活必须持续受到他人监护。须由头颅断层扫描（CT</w:t>
      </w:r>
      <w:r>
        <w:rPr>
          <w:spacing w:val="-120"/>
        </w:rPr>
        <w:t>）</w:t>
      </w:r>
      <w:r>
        <w:rPr/>
        <w:t>、核磁共振检查（MRI）或正电子发射断层扫描（PET）</w:t>
      </w:r>
      <w:r>
        <w:rPr>
          <w:spacing w:val="-7"/>
        </w:rPr>
        <w:t>等影像学检查证实，自主生活能力完全丧失，无法独立完成六项基本日常生活活动中的三项或三项以上。</w:t>
      </w:r>
    </w:p>
    <w:p>
      <w:pPr>
        <w:pStyle w:val="BodyText"/>
        <w:spacing w:before="35"/>
        <w:ind w:left="597"/>
      </w:pPr>
      <w:r>
        <w:rPr/>
        <w:t>神经官能症和精神疾病不在保障范围内。</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（8）严重脑损伤</w:t>
      </w:r>
    </w:p>
    <w:p>
      <w:pPr>
        <w:pStyle w:val="BodyText"/>
        <w:spacing w:before="126"/>
        <w:ind w:left="597"/>
      </w:pPr>
      <w:r>
        <w:rPr/>
        <w:t>指因头部遭受机械性外力，引起脑重要部位损伤，导致神经系统永久性的功</w:t>
      </w:r>
    </w:p>
    <w:p>
      <w:pPr>
        <w:pStyle w:val="BodyText"/>
      </w:pPr>
      <w:r>
        <w:rPr>
          <w:spacing w:val="-6"/>
        </w:rPr>
        <w:t>能障碍。须由头颅断层扫描</w:t>
      </w:r>
      <w:r>
        <w:rPr/>
        <w:t>（CT</w:t>
      </w:r>
      <w:r>
        <w:rPr>
          <w:spacing w:val="-120"/>
        </w:rPr>
        <w:t>）</w:t>
      </w:r>
      <w:r>
        <w:rPr>
          <w:spacing w:val="-7"/>
        </w:rPr>
        <w:t>、核磁共振检查</w:t>
      </w:r>
      <w:r>
        <w:rPr/>
        <w:t>（MRI</w:t>
      </w:r>
      <w:r>
        <w:rPr>
          <w:spacing w:val="-17"/>
        </w:rPr>
        <w:t>）</w:t>
      </w:r>
      <w:r>
        <w:rPr>
          <w:spacing w:val="-1"/>
        </w:rPr>
        <w:t>或正电子发射断层扫描</w:t>
      </w:r>
    </w:p>
    <w:p>
      <w:pPr>
        <w:pStyle w:val="BodyText"/>
        <w:spacing w:line="357" w:lineRule="auto"/>
        <w:ind w:right="226"/>
      </w:pPr>
      <w:r>
        <w:rPr>
          <w:spacing w:val="-5"/>
        </w:rPr>
        <w:t>（PET）</w:t>
      </w:r>
      <w:r>
        <w:rPr>
          <w:spacing w:val="-4"/>
        </w:rPr>
        <w:t>等影像学检查证实。神经系统永久性的功能障碍，指脑损伤</w:t>
      </w:r>
      <w:r>
        <w:rPr/>
        <w:t>180</w:t>
      </w:r>
      <w:r>
        <w:rPr>
          <w:spacing w:val="-6"/>
        </w:rPr>
        <w:t>天后，仍遗留下列一种或一种以上障碍：</w:t>
      </w:r>
    </w:p>
    <w:p>
      <w:pPr>
        <w:pStyle w:val="BodyText"/>
        <w:spacing w:before="35"/>
        <w:ind w:left="597"/>
      </w:pPr>
      <w:r>
        <w:rPr/>
        <w:t>①一肢或一肢以上肢体机能完全丧失；</w:t>
      </w:r>
    </w:p>
    <w:p>
      <w:pPr>
        <w:pStyle w:val="BodyText"/>
        <w:ind w:left="597"/>
      </w:pPr>
      <w:r>
        <w:rPr/>
        <w:t>②语言能力或咀嚼吞咽能力完全丧失；</w:t>
      </w:r>
    </w:p>
    <w:p>
      <w:pPr>
        <w:pStyle w:val="BodyText"/>
        <w:ind w:left="597"/>
      </w:pPr>
      <w:r>
        <w:rPr/>
        <w:t>③自主生活能力完全丧失，无法独立完成六项基本日常生活活动中的三项或</w:t>
      </w:r>
    </w:p>
    <w:p>
      <w:pPr>
        <w:pStyle w:val="BodyText"/>
      </w:pPr>
      <w:r>
        <w:rPr/>
        <w:t>三项以上。</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（9）严重帕金森病</w:t>
      </w:r>
    </w:p>
    <w:p>
      <w:pPr>
        <w:pStyle w:val="BodyText"/>
        <w:spacing w:line="357" w:lineRule="auto" w:before="126"/>
        <w:ind w:right="226" w:firstLine="480"/>
      </w:pPr>
      <w:r>
        <w:rPr>
          <w:spacing w:val="-5"/>
        </w:rPr>
        <w:t>指一种中枢神经系统的退行性疾病，临床表现为震颤麻痹、共济失调等。须满足下列全部条件：</w:t>
      </w:r>
    </w:p>
    <w:p>
      <w:pPr>
        <w:pStyle w:val="BodyText"/>
        <w:spacing w:before="36"/>
        <w:ind w:left="597"/>
      </w:pPr>
      <w:r>
        <w:rPr/>
        <w:t>①药物治疗无法控制病情；</w:t>
      </w:r>
    </w:p>
    <w:p>
      <w:pPr>
        <w:pStyle w:val="BodyText"/>
        <w:spacing w:before="154"/>
        <w:ind w:left="597"/>
      </w:pPr>
      <w:r>
        <w:rPr/>
        <w:t>②自主生活能力完全丧失，无法独立完成六项基本日常生活活动中的三项或</w:t>
      </w:r>
    </w:p>
    <w:p>
      <w:pPr>
        <w:pStyle w:val="BodyText"/>
        <w:spacing w:before="154"/>
      </w:pPr>
      <w:r>
        <w:rPr/>
        <w:t>三项以上。</w:t>
      </w:r>
    </w:p>
    <w:p>
      <w:pPr>
        <w:pStyle w:val="BodyText"/>
        <w:spacing w:before="154"/>
        <w:ind w:left="597"/>
      </w:pPr>
      <w:r>
        <w:rPr/>
        <w:t>继发性帕金森综合征不在保障范围内。</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（10）严重运动神经元病</w:t>
      </w:r>
    </w:p>
    <w:p>
      <w:pPr>
        <w:spacing w:after="0"/>
        <w:jc w:val="left"/>
        <w:rPr>
          <w:rFonts w:ascii="Microsoft JhengHei" w:eastAsia="Microsoft JhengHei" w:hint="eastAsia"/>
          <w:sz w:val="24"/>
        </w:rPr>
        <w:sectPr>
          <w:pgSz w:w="11900" w:h="16840"/>
          <w:pgMar w:header="0" w:footer="1007" w:top="1460" w:bottom="1200" w:left="1680" w:right="1560"/>
        </w:sectPr>
      </w:pPr>
    </w:p>
    <w:p>
      <w:pPr>
        <w:pStyle w:val="BodyText"/>
        <w:spacing w:line="357" w:lineRule="auto" w:before="0"/>
        <w:ind w:right="226" w:firstLine="480"/>
      </w:pPr>
      <w:r>
        <w:rPr/>
        <w:t>是一组中枢神经系统运动神经元的进行性变性疾病，包括进行性脊肌萎缩</w:t>
      </w:r>
      <w:r>
        <w:rPr>
          <w:spacing w:val="-9"/>
        </w:rPr>
        <w:t>症、进行性延髓麻痹症、原发性侧索硬化症、肌萎缩性侧索硬化症。须满足自主</w:t>
      </w:r>
      <w:r>
        <w:rPr>
          <w:spacing w:val="-13"/>
        </w:rPr>
        <w:t>生活能力完全丧失，无法独立完成六项基本日常生活活动中的三项或三项以上的条件。</w:t>
      </w:r>
    </w:p>
    <w:p>
      <w:pPr>
        <w:spacing w:line="378" w:lineRule="exact" w:before="1"/>
        <w:ind w:left="117" w:right="0" w:firstLine="0"/>
        <w:jc w:val="left"/>
        <w:rPr>
          <w:rFonts w:ascii="Microsoft JhengHei" w:eastAsia="Microsoft JhengHei" w:hint="eastAsia"/>
          <w:b/>
          <w:sz w:val="24"/>
        </w:rPr>
      </w:pPr>
      <w:r>
        <w:rPr>
          <w:rFonts w:ascii="Microsoft JhengHei" w:eastAsia="Microsoft JhengHei" w:hint="eastAsia"/>
          <w:b/>
          <w:w w:val="95"/>
          <w:sz w:val="24"/>
        </w:rPr>
        <w:t>（11）重症肌无力</w:t>
      </w:r>
    </w:p>
    <w:p>
      <w:pPr>
        <w:pStyle w:val="BodyText"/>
        <w:spacing w:line="357" w:lineRule="auto" w:before="126"/>
        <w:ind w:right="106" w:firstLine="480"/>
      </w:pPr>
      <w:r>
        <w:rPr>
          <w:spacing w:val="-4"/>
        </w:rPr>
        <w:t>是指一种神经与肌肉接头部位传递障碍的自身免疫性疾病，临床特征是局部</w:t>
      </w:r>
      <w:r>
        <w:rPr>
          <w:spacing w:val="-14"/>
        </w:rPr>
        <w:t>或全身横纹肌于活动时易于疲劳无力，颅神经眼外肌最易累及，也可涉及呼吸肌、</w:t>
      </w:r>
      <w:r>
        <w:rPr>
          <w:spacing w:val="-17"/>
        </w:rPr>
        <w:t>下肢近端肌群乃至全身肌肉，须经我们认可的神经科医师确诊。其诊断必须同时具有下列情况：</w:t>
      </w:r>
    </w:p>
    <w:p>
      <w:pPr>
        <w:pStyle w:val="BodyText"/>
        <w:spacing w:before="36"/>
        <w:ind w:left="597"/>
      </w:pPr>
      <w:r>
        <w:rPr/>
        <w:t>①经药物、胸腺手术治疗一年以上无法控制病情，丧失正常工作能力；</w:t>
      </w:r>
    </w:p>
    <w:p>
      <w:pPr>
        <w:pStyle w:val="BodyText"/>
        <w:spacing w:line="357" w:lineRule="auto" w:before="154"/>
        <w:ind w:right="226" w:firstLine="480"/>
      </w:pPr>
      <w:r>
        <w:rPr>
          <w:spacing w:val="-7"/>
        </w:rPr>
        <w:t>②出现眼睑下垂，或延髓肌受累引起的构音困难、进食呛咳，或由于肌无力累及延髓肌、呼吸肌而致机体呼吸功能不正常的危急状态即肌无力危象；</w:t>
      </w:r>
    </w:p>
    <w:p>
      <w:pPr>
        <w:pStyle w:val="BodyText"/>
        <w:spacing w:before="36"/>
        <w:ind w:left="597"/>
      </w:pPr>
      <w:r>
        <w:rPr/>
        <w:t>③症状缓解、复发及恶化交替出现，临床接受新斯的明等抗胆碱酯酶药物治</w:t>
      </w:r>
    </w:p>
    <w:p>
      <w:pPr>
        <w:pStyle w:val="BodyText"/>
      </w:pPr>
      <w:r>
        <w:rPr/>
        <w:t>疗的病史。</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（12）急性脊髓灰质炎</w:t>
      </w:r>
    </w:p>
    <w:p>
      <w:pPr>
        <w:pStyle w:val="BodyText"/>
        <w:spacing w:line="357" w:lineRule="auto" w:before="126"/>
        <w:ind w:right="226" w:firstLine="480"/>
      </w:pPr>
      <w:r>
        <w:rPr/>
        <w:t>是指由于脊髓灰质炎病毒感染所导致的运动功能障碍或呼吸功能减弱的瘫</w:t>
      </w:r>
      <w:r>
        <w:rPr>
          <w:spacing w:val="-10"/>
        </w:rPr>
        <w:t>痪性疾病。诊断必须由我们认可的神经科专科主任医师确认并提供相关的脊髓灰</w:t>
      </w:r>
      <w:r>
        <w:rPr>
          <w:spacing w:val="-13"/>
        </w:rPr>
        <w:t>质炎病毒感染的证据</w:t>
      </w:r>
      <w:r>
        <w:rPr/>
        <w:t>（</w:t>
      </w:r>
      <w:r>
        <w:rPr>
          <w:spacing w:val="-6"/>
        </w:rPr>
        <w:t>例如：脑脊液检查或血清学抗体检查报告</w:t>
      </w:r>
      <w:r>
        <w:rPr>
          <w:spacing w:val="-29"/>
        </w:rPr>
        <w:t>）</w:t>
      </w:r>
      <w:r>
        <w:rPr/>
        <w:t>被保险人若无</w:t>
      </w:r>
      <w:r>
        <w:rPr>
          <w:spacing w:val="-7"/>
        </w:rPr>
        <w:t>因此感染而导致的瘫痪，则不符合理赔条件。未导致肢体瘫痪及其它病因所致的瘫痪，例如格林一巴利综合症(急性感染性多神经炎)则不在此保障范围以内。</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（13）严重的类风湿性关节炎</w:t>
      </w:r>
    </w:p>
    <w:p>
      <w:pPr>
        <w:pStyle w:val="BodyText"/>
        <w:spacing w:line="357" w:lineRule="auto" w:before="127"/>
        <w:ind w:right="226" w:firstLine="480"/>
        <w:jc w:val="both"/>
      </w:pPr>
      <w:r>
        <w:rPr>
          <w:spacing w:val="-5"/>
        </w:rPr>
        <w:t>是指广泛的慢性渐进性的关节损害，伴有明显的关节畸形，至少累及三个或三个以上关节（如：手，腕，肘，髋，膝，踝关节</w:t>
      </w:r>
      <w:r>
        <w:rPr>
          <w:spacing w:val="-120"/>
        </w:rPr>
        <w:t>）</w:t>
      </w:r>
      <w:r>
        <w:rPr/>
        <w:t>。此疾病必须已经导致了自</w:t>
      </w:r>
      <w:r>
        <w:rPr>
          <w:spacing w:val="-9"/>
        </w:rPr>
        <w:t>主生活能力完全丧失，不能独立完成六项基本日常生活活动中的三项或三项以上的情形。</w:t>
      </w:r>
    </w:p>
    <w:p>
      <w:pPr>
        <w:pStyle w:val="BodyText"/>
        <w:spacing w:line="357" w:lineRule="auto" w:before="36"/>
        <w:ind w:right="229" w:firstLine="480"/>
      </w:pPr>
      <w:r>
        <w:rPr>
          <w:spacing w:val="-7"/>
        </w:rPr>
        <w:t>上述疾病需由专科医生确诊，并提供相应医疗记录以证实上述病情已经存在至少3个月。</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（14）严重的多发性硬化</w:t>
      </w:r>
    </w:p>
    <w:p>
      <w:pPr>
        <w:pStyle w:val="BodyText"/>
        <w:spacing w:line="357" w:lineRule="auto" w:before="126"/>
        <w:ind w:right="140" w:firstLine="480"/>
      </w:pPr>
      <w:r>
        <w:rPr/>
        <w:t>多发性硬化症为中枢神经系统白质多灶性脱髓鞘病变，病变有时累及灰质。多发性硬化症必须由我们认可的医院的神经专科医生确诊。必须伴有典型的脱髓</w:t>
      </w:r>
    </w:p>
    <w:p>
      <w:pPr>
        <w:spacing w:after="0" w:line="357" w:lineRule="auto"/>
        <w:sectPr>
          <w:footerReference w:type="default" r:id="rId10"/>
          <w:pgSz w:w="11900" w:h="16840"/>
          <w:pgMar w:footer="1007" w:header="0" w:top="1460" w:bottom="1200" w:left="1680" w:right="1560"/>
          <w:pgNumType w:start="20"/>
        </w:sectPr>
      </w:pPr>
    </w:p>
    <w:p>
      <w:pPr>
        <w:pStyle w:val="BodyText"/>
        <w:spacing w:line="357" w:lineRule="auto" w:before="0"/>
        <w:ind w:right="229"/>
      </w:pPr>
      <w:r>
        <w:rPr/>
        <w:t>鞘症状和运动及感觉功能障碍的证据并有MRI和脑脊液检查的典型改变。多发性硬化症必须造成神经系统永久性功能损害并且已导致被保险人自主生活能力完全丧失，无法独立完成六项基本日常生活活动中的三项或三项以上持续达180天以上。</w:t>
      </w:r>
    </w:p>
    <w:p>
      <w:pPr>
        <w:spacing w:line="378" w:lineRule="exact" w:before="1"/>
        <w:ind w:left="117" w:right="0" w:firstLine="0"/>
        <w:jc w:val="left"/>
        <w:rPr>
          <w:rFonts w:ascii="Microsoft JhengHei" w:eastAsia="Microsoft JhengHei" w:hint="eastAsia"/>
          <w:b/>
          <w:sz w:val="24"/>
        </w:rPr>
      </w:pPr>
      <w:r>
        <w:rPr>
          <w:rFonts w:ascii="Microsoft JhengHei" w:eastAsia="Microsoft JhengHei" w:hint="eastAsia"/>
          <w:b/>
          <w:w w:val="95"/>
          <w:sz w:val="24"/>
        </w:rPr>
        <w:t>（15）肌营养不良症</w:t>
      </w:r>
    </w:p>
    <w:p>
      <w:pPr>
        <w:pStyle w:val="BodyText"/>
        <w:spacing w:before="126"/>
        <w:ind w:left="597"/>
      </w:pPr>
      <w:r>
        <w:rPr/>
        <w:t>指一组原发于肌肉的遗传性疾病，临床表现为与神经系统无关的肌肉无力和</w:t>
      </w:r>
    </w:p>
    <w:p>
      <w:pPr>
        <w:pStyle w:val="BodyText"/>
      </w:pPr>
      <w:r>
        <w:rPr/>
        <w:t>肌肉萎缩。且须满足下列全部条件：</w:t>
      </w:r>
    </w:p>
    <w:p>
      <w:pPr>
        <w:pStyle w:val="BodyText"/>
        <w:ind w:left="597"/>
      </w:pPr>
      <w:r>
        <w:rPr/>
        <w:t>①肌肉组织活检结果满足肌营养不良症的肌肉细胞变性、坏死等阳性改变；</w:t>
      </w:r>
    </w:p>
    <w:p>
      <w:pPr>
        <w:pStyle w:val="BodyText"/>
        <w:ind w:left="597"/>
      </w:pPr>
      <w:r>
        <w:rPr/>
        <w:t>②自主生活能力完全丧失，无法独立完成六项基本日常生活活动中的三项或</w:t>
      </w:r>
    </w:p>
    <w:p>
      <w:pPr>
        <w:pStyle w:val="BodyText"/>
      </w:pPr>
      <w:r>
        <w:rPr/>
        <w:t>三项以上。</w:t>
      </w:r>
    </w:p>
    <w:p>
      <w:pPr>
        <w:spacing w:before="77"/>
        <w:ind w:left="117" w:right="0" w:firstLine="0"/>
        <w:jc w:val="left"/>
        <w:rPr>
          <w:rFonts w:ascii="Microsoft JhengHei" w:eastAsia="Microsoft JhengHei" w:hint="eastAsia"/>
          <w:b/>
          <w:sz w:val="24"/>
        </w:rPr>
      </w:pPr>
      <w:r>
        <w:rPr>
          <w:rFonts w:ascii="Microsoft JhengHei" w:eastAsia="Microsoft JhengHei" w:hint="eastAsia"/>
          <w:b/>
          <w:w w:val="95"/>
          <w:sz w:val="24"/>
        </w:rPr>
        <w:t>（16）肌萎缩性（脊髓）侧索硬化症</w:t>
      </w:r>
    </w:p>
    <w:p>
      <w:pPr>
        <w:pStyle w:val="BodyText"/>
        <w:spacing w:line="357" w:lineRule="auto" w:before="126"/>
        <w:ind w:right="109" w:firstLine="480"/>
      </w:pPr>
      <w:r>
        <w:rPr>
          <w:spacing w:val="-9"/>
        </w:rPr>
        <w:t>是指持续的神经变性累及脊髓神经及脑干运动神经元，出现肌肉无力、挛缩、</w:t>
      </w:r>
      <w:r>
        <w:rPr>
          <w:spacing w:val="-14"/>
        </w:rPr>
        <w:t>肌束颤动及萎缩症状和体征。须经神经专科医师做出明确诊断，且疾病进行性发</w:t>
      </w:r>
      <w:r>
        <w:rPr>
          <w:spacing w:val="-18"/>
        </w:rPr>
        <w:t>展已导致不可逆转的永久性神经系统功能障碍。永久性神经系统功能障碍是指以下六项条件中的一项或一项以上：1) 一上肢或双上肢手腕以上部分的完全及永久瘫痪2) 一下肢或双下肢足踝以上部分的完全及永久瘫痪 3) 四肢机能完全及永久丧失 4) 完全及永久丧失语言能力5) 完全及永久丧失吞咽能力（吞咽困</w:t>
      </w:r>
    </w:p>
    <w:p>
      <w:pPr>
        <w:pStyle w:val="BodyText"/>
        <w:spacing w:line="357" w:lineRule="auto" w:before="35"/>
        <w:ind w:right="226"/>
        <w:jc w:val="both"/>
      </w:pPr>
      <w:r>
        <w:rPr/>
        <w:t>难</w:t>
      </w:r>
      <w:r>
        <w:rPr>
          <w:spacing w:val="-75"/>
        </w:rPr>
        <w:t>）</w:t>
      </w:r>
      <w:r>
        <w:rPr>
          <w:spacing w:val="-9"/>
        </w:rPr>
        <w:t>，必须永久使用喂饲管</w:t>
      </w:r>
      <w:r>
        <w:rPr/>
        <w:t>6)</w:t>
      </w:r>
      <w:r>
        <w:rPr>
          <w:spacing w:val="-4"/>
        </w:rPr>
        <w:t> 无法独立进行六项日常生活活动即穿衣、移动、行</w:t>
      </w:r>
      <w:r>
        <w:rPr>
          <w:spacing w:val="-10"/>
        </w:rPr>
        <w:t>动、卫生、进食、洗澡中三项或三项以上，且上述日常生活活动经过三个月的持续治疗后仍无法完成。</w:t>
      </w:r>
    </w:p>
    <w:p>
      <w:pPr>
        <w:spacing w:line="378" w:lineRule="exact" w:before="0"/>
        <w:ind w:left="117" w:right="0" w:firstLine="0"/>
        <w:jc w:val="left"/>
        <w:rPr>
          <w:rFonts w:ascii="Microsoft JhengHei" w:eastAsia="Microsoft JhengHei" w:hint="eastAsia"/>
          <w:b/>
          <w:sz w:val="24"/>
        </w:rPr>
      </w:pPr>
      <w:r>
        <w:rPr>
          <w:rFonts w:ascii="Microsoft JhengHei" w:eastAsia="Microsoft JhengHei" w:hint="eastAsia"/>
          <w:b/>
          <w:w w:val="95"/>
          <w:sz w:val="24"/>
        </w:rPr>
        <w:t>（17）植物人状态</w:t>
      </w:r>
    </w:p>
    <w:p>
      <w:pPr>
        <w:pStyle w:val="BodyText"/>
        <w:spacing w:line="357" w:lineRule="auto" w:before="127"/>
        <w:ind w:right="226" w:firstLine="480"/>
        <w:jc w:val="both"/>
      </w:pPr>
      <w:r>
        <w:rPr/>
        <w:t>指脑皮质广泛性坏死而导致对自身及周边的认知能力完全丧失,但脑干功能</w:t>
      </w:r>
      <w:r>
        <w:rPr>
          <w:spacing w:val="-6"/>
        </w:rPr>
        <w:t>依然存在，必须经神经科专科医生明确诊断,并有头颅断层扫描</w:t>
      </w:r>
      <w:r>
        <w:rPr/>
        <w:t>（CT</w:t>
      </w:r>
      <w:r>
        <w:rPr>
          <w:spacing w:val="-120"/>
        </w:rPr>
        <w:t>）</w:t>
      </w:r>
      <w:r>
        <w:rPr>
          <w:spacing w:val="-7"/>
        </w:rPr>
        <w:t>，核磁共振</w:t>
      </w:r>
      <w:r>
        <w:rPr>
          <w:spacing w:val="-12"/>
        </w:rPr>
        <w:t>检查</w:t>
      </w:r>
      <w:r>
        <w:rPr>
          <w:spacing w:val="-4"/>
        </w:rPr>
        <w:t>（MRI）</w:t>
      </w:r>
      <w:r>
        <w:rPr>
          <w:spacing w:val="-3"/>
        </w:rPr>
        <w:t>或正电子发射断层扫描</w:t>
      </w:r>
      <w:r>
        <w:rPr>
          <w:spacing w:val="-4"/>
        </w:rPr>
        <w:t>（PET）</w:t>
      </w:r>
      <w:r>
        <w:rPr>
          <w:spacing w:val="-2"/>
        </w:rPr>
        <w:t>等影像学检查证实。上述情况必须有</w:t>
      </w:r>
      <w:r>
        <w:rPr>
          <w:spacing w:val="-8"/>
        </w:rPr>
        <w:t>至少一个月的病历记录加以证实。由于酗酒或滥用药物所致的植物人状态不在保障范围内。</w:t>
      </w:r>
    </w:p>
    <w:p>
      <w:pPr>
        <w:pStyle w:val="BodyText"/>
        <w:spacing w:before="8"/>
        <w:ind w:left="0"/>
        <w:rPr>
          <w:sz w:val="32"/>
        </w:rPr>
      </w:pPr>
    </w:p>
    <w:p>
      <w:pPr>
        <w:spacing w:before="1"/>
        <w:ind w:left="117" w:right="0" w:firstLine="0"/>
        <w:jc w:val="left"/>
        <w:rPr>
          <w:rFonts w:ascii="Microsoft JhengHei" w:eastAsia="Microsoft JhengHei" w:hint="eastAsia"/>
          <w:b/>
          <w:sz w:val="24"/>
        </w:rPr>
      </w:pPr>
      <w:r>
        <w:rPr>
          <w:rFonts w:ascii="Microsoft JhengHei" w:eastAsia="Microsoft JhengHei" w:hint="eastAsia"/>
          <w:b/>
          <w:sz w:val="24"/>
        </w:rPr>
        <w:t>被保险人发生符合以上疾病定义所述条件的疾病，应当由专科医生明确诊断。</w:t>
      </w:r>
    </w:p>
    <w:p>
      <w:pPr>
        <w:pStyle w:val="BodyText"/>
        <w:spacing w:before="13"/>
        <w:ind w:left="0"/>
        <w:rPr>
          <w:rFonts w:ascii="Microsoft JhengHei"/>
          <w:b/>
          <w:sz w:val="29"/>
        </w:rPr>
      </w:pPr>
    </w:p>
    <w:p>
      <w:pPr>
        <w:spacing w:before="0"/>
        <w:ind w:left="117" w:right="0" w:firstLine="0"/>
        <w:jc w:val="left"/>
        <w:rPr>
          <w:rFonts w:ascii="Microsoft JhengHei" w:hAnsi="Microsoft JhengHei" w:eastAsia="Microsoft JhengHei" w:hint="eastAsia"/>
          <w:b/>
          <w:sz w:val="24"/>
        </w:rPr>
      </w:pPr>
      <w:r>
        <w:rPr>
          <w:sz w:val="24"/>
        </w:rPr>
        <w:t>※ </w:t>
      </w:r>
      <w:r>
        <w:rPr>
          <w:rFonts w:ascii="Microsoft JhengHei" w:hAnsi="Microsoft JhengHei" w:eastAsia="Microsoft JhengHei" w:hint="eastAsia"/>
          <w:b/>
          <w:sz w:val="24"/>
        </w:rPr>
        <w:t>上述甲组重大疾病、乙组重大疾病和丙组重大疾病释义中所提及的术语，其</w:t>
      </w:r>
    </w:p>
    <w:p>
      <w:pPr>
        <w:spacing w:after="0"/>
        <w:jc w:val="left"/>
        <w:rPr>
          <w:rFonts w:ascii="Microsoft JhengHei" w:hAnsi="Microsoft JhengHei" w:eastAsia="Microsoft JhengHei" w:hint="eastAsia"/>
          <w:sz w:val="24"/>
        </w:rPr>
        <w:sectPr>
          <w:pgSz w:w="11900" w:h="16840"/>
          <w:pgMar w:header="0" w:footer="1007" w:top="1460" w:bottom="1200" w:left="1680" w:right="1560"/>
        </w:sectPr>
      </w:pPr>
    </w:p>
    <w:p>
      <w:pPr>
        <w:spacing w:line="340" w:lineRule="exact" w:before="0"/>
        <w:ind w:left="477" w:right="0" w:firstLine="0"/>
        <w:jc w:val="left"/>
        <w:rPr>
          <w:rFonts w:ascii="Microsoft JhengHei" w:eastAsia="Microsoft JhengHei" w:hint="eastAsia"/>
          <w:b/>
          <w:sz w:val="24"/>
        </w:rPr>
      </w:pPr>
      <w:r>
        <w:rPr>
          <w:rFonts w:ascii="Microsoft JhengHei" w:eastAsia="Microsoft JhengHei" w:hint="eastAsia"/>
          <w:b/>
          <w:sz w:val="24"/>
        </w:rPr>
        <w:t>解释如下：</w:t>
      </w:r>
    </w:p>
    <w:p>
      <w:pPr>
        <w:pStyle w:val="BodyText"/>
        <w:spacing w:before="12"/>
        <w:ind w:left="0"/>
        <w:rPr>
          <w:rFonts w:ascii="Microsoft JhengHei"/>
          <w:b/>
          <w:sz w:val="17"/>
        </w:rPr>
      </w:pPr>
    </w:p>
    <w:p>
      <w:pPr>
        <w:spacing w:before="0"/>
        <w:ind w:left="117" w:right="0" w:firstLine="0"/>
        <w:jc w:val="left"/>
        <w:rPr>
          <w:sz w:val="21"/>
        </w:rPr>
      </w:pPr>
      <w:r>
        <w:rPr>
          <w:sz w:val="21"/>
        </w:rPr>
        <w:t>①六项基本日常生活活动</w:t>
      </w:r>
    </w:p>
    <w:p>
      <w:pPr>
        <w:pStyle w:val="BodyText"/>
        <w:spacing w:before="9"/>
        <w:ind w:left="0"/>
        <w:rPr>
          <w:sz w:val="14"/>
        </w:rPr>
      </w:pPr>
    </w:p>
    <w:p>
      <w:pPr>
        <w:spacing w:before="1"/>
        <w:ind w:left="537" w:right="0" w:firstLine="0"/>
        <w:jc w:val="left"/>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移动：自己从一个</w:t>
      </w:r>
    </w:p>
    <w:p>
      <w:pPr>
        <w:pStyle w:val="BodyText"/>
        <w:spacing w:before="10"/>
        <w:ind w:left="0"/>
        <w:rPr>
          <w:sz w:val="14"/>
        </w:rPr>
      </w:pPr>
    </w:p>
    <w:p>
      <w:pPr>
        <w:spacing w:before="0"/>
        <w:ind w:left="117" w:right="0" w:firstLine="0"/>
        <w:jc w:val="left"/>
        <w:rPr>
          <w:sz w:val="21"/>
        </w:rPr>
      </w:pPr>
      <w:r>
        <w:rPr>
          <w:spacing w:val="-15"/>
          <w:w w:val="100"/>
          <w:sz w:val="21"/>
        </w:rPr>
        <w:t>房间到另一个房间；</w:t>
      </w:r>
      <w:r>
        <w:rPr>
          <w:w w:val="100"/>
          <w:sz w:val="21"/>
        </w:rPr>
        <w:t>（3</w:t>
      </w:r>
      <w:r>
        <w:rPr>
          <w:spacing w:val="-3"/>
          <w:w w:val="100"/>
          <w:sz w:val="21"/>
        </w:rPr>
        <w:t>）</w:t>
      </w:r>
      <w:r>
        <w:rPr>
          <w:spacing w:val="-11"/>
          <w:w w:val="100"/>
          <w:sz w:val="21"/>
        </w:rPr>
        <w:t>行动：自己上下床或上下轮椅；</w:t>
      </w:r>
      <w:r>
        <w:rPr>
          <w:w w:val="100"/>
          <w:sz w:val="21"/>
        </w:rPr>
        <w:t>（4</w:t>
      </w:r>
      <w:r>
        <w:rPr>
          <w:spacing w:val="-3"/>
          <w:w w:val="100"/>
          <w:sz w:val="21"/>
        </w:rPr>
        <w:t>）如厕：自己控制进行大小便；</w:t>
      </w:r>
    </w:p>
    <w:p>
      <w:pPr>
        <w:pStyle w:val="BodyText"/>
        <w:spacing w:before="9"/>
        <w:ind w:left="0"/>
        <w:rPr>
          <w:sz w:val="14"/>
        </w:rPr>
      </w:pPr>
    </w:p>
    <w:p>
      <w:pPr>
        <w:spacing w:before="1"/>
        <w:ind w:left="117" w:right="0" w:firstLine="0"/>
        <w:jc w:val="left"/>
        <w:rPr>
          <w:sz w:val="21"/>
        </w:rPr>
      </w:pPr>
      <w:r>
        <w:rPr>
          <w:w w:val="100"/>
          <w:sz w:val="21"/>
        </w:rPr>
        <w:t>（</w:t>
      </w:r>
      <w:r>
        <w:rPr>
          <w:spacing w:val="-3"/>
          <w:w w:val="100"/>
          <w:sz w:val="21"/>
        </w:rPr>
        <w:t>5</w:t>
      </w:r>
      <w:r>
        <w:rPr>
          <w:spacing w:val="-17"/>
          <w:w w:val="100"/>
          <w:sz w:val="21"/>
        </w:rPr>
        <w:t>）</w:t>
      </w:r>
      <w:r>
        <w:rPr>
          <w:spacing w:val="-5"/>
          <w:w w:val="100"/>
          <w:sz w:val="21"/>
        </w:rPr>
        <w:t>进食：自己从已准备好的碗或碟中取食物放入口中</w:t>
      </w:r>
      <w:r>
        <w:rPr>
          <w:spacing w:val="-125"/>
          <w:w w:val="100"/>
          <w:sz w:val="21"/>
        </w:rPr>
        <w:t>；</w:t>
      </w:r>
      <w:r>
        <w:rPr>
          <w:w w:val="100"/>
          <w:sz w:val="21"/>
        </w:rPr>
        <w:t>（</w:t>
      </w:r>
      <w:r>
        <w:rPr>
          <w:spacing w:val="-3"/>
          <w:w w:val="100"/>
          <w:sz w:val="21"/>
        </w:rPr>
        <w:t>6</w:t>
      </w:r>
      <w:r>
        <w:rPr>
          <w:spacing w:val="-20"/>
          <w:w w:val="100"/>
          <w:sz w:val="21"/>
        </w:rPr>
        <w:t>）</w:t>
      </w:r>
      <w:r>
        <w:rPr>
          <w:spacing w:val="-5"/>
          <w:w w:val="100"/>
          <w:sz w:val="21"/>
        </w:rPr>
        <w:t>洗澡：自己进行淋浴或盆浴。</w:t>
      </w:r>
    </w:p>
    <w:p>
      <w:pPr>
        <w:pStyle w:val="BodyText"/>
        <w:spacing w:before="10"/>
        <w:ind w:left="0"/>
        <w:rPr>
          <w:sz w:val="14"/>
        </w:rPr>
      </w:pPr>
    </w:p>
    <w:p>
      <w:pPr>
        <w:spacing w:before="0"/>
        <w:ind w:left="117" w:right="0" w:firstLine="0"/>
        <w:jc w:val="left"/>
        <w:rPr>
          <w:sz w:val="21"/>
        </w:rPr>
      </w:pPr>
      <w:r>
        <w:rPr>
          <w:sz w:val="21"/>
        </w:rPr>
        <w:t>②肢体机能完全丧失</w:t>
      </w:r>
    </w:p>
    <w:p>
      <w:pPr>
        <w:pStyle w:val="BodyText"/>
        <w:spacing w:before="9"/>
        <w:ind w:left="0"/>
        <w:rPr>
          <w:sz w:val="14"/>
        </w:rPr>
      </w:pPr>
    </w:p>
    <w:p>
      <w:pPr>
        <w:spacing w:before="1"/>
        <w:ind w:left="537" w:right="0" w:firstLine="0"/>
        <w:jc w:val="left"/>
        <w:rPr>
          <w:sz w:val="21"/>
        </w:rPr>
      </w:pPr>
      <w:r>
        <w:rPr>
          <w:sz w:val="21"/>
        </w:rPr>
        <w:t>指肢体的三大关节中的两大关节僵硬，或不能随意识活动。肢体是指包括肩关节的整个</w:t>
      </w:r>
    </w:p>
    <w:p>
      <w:pPr>
        <w:pStyle w:val="BodyText"/>
        <w:spacing w:before="10"/>
        <w:ind w:left="0"/>
        <w:rPr>
          <w:sz w:val="14"/>
        </w:rPr>
      </w:pPr>
    </w:p>
    <w:p>
      <w:pPr>
        <w:spacing w:before="0"/>
        <w:ind w:left="117" w:right="0" w:firstLine="0"/>
        <w:jc w:val="left"/>
        <w:rPr>
          <w:sz w:val="21"/>
        </w:rPr>
      </w:pPr>
      <w:r>
        <w:rPr>
          <w:sz w:val="21"/>
        </w:rPr>
        <w:t>上肢或包括髋关节的整个下肢。</w:t>
      </w:r>
    </w:p>
    <w:p>
      <w:pPr>
        <w:pStyle w:val="BodyText"/>
        <w:spacing w:before="9"/>
        <w:ind w:left="0"/>
        <w:rPr>
          <w:sz w:val="14"/>
        </w:rPr>
      </w:pPr>
    </w:p>
    <w:p>
      <w:pPr>
        <w:spacing w:before="1"/>
        <w:ind w:left="117" w:right="0" w:firstLine="0"/>
        <w:jc w:val="left"/>
        <w:rPr>
          <w:sz w:val="21"/>
        </w:rPr>
      </w:pPr>
      <w:r>
        <w:rPr>
          <w:sz w:val="21"/>
        </w:rPr>
        <w:t>③语言能力或咀嚼吞咽能力完全丧失</w:t>
      </w:r>
    </w:p>
    <w:p>
      <w:pPr>
        <w:pStyle w:val="BodyText"/>
        <w:spacing w:before="10"/>
        <w:ind w:left="0"/>
        <w:rPr>
          <w:sz w:val="14"/>
        </w:rPr>
      </w:pPr>
    </w:p>
    <w:p>
      <w:pPr>
        <w:spacing w:before="0"/>
        <w:ind w:left="537" w:right="0" w:firstLine="0"/>
        <w:jc w:val="left"/>
        <w:rPr>
          <w:sz w:val="21"/>
        </w:rPr>
      </w:pPr>
      <w:r>
        <w:rPr>
          <w:sz w:val="21"/>
        </w:rPr>
        <w:t>语言能力完全丧失，指无法发出四种语音（包括口唇音、齿舌音、口盖音和喉头音）中</w:t>
      </w:r>
    </w:p>
    <w:p>
      <w:pPr>
        <w:pStyle w:val="BodyText"/>
        <w:spacing w:before="9"/>
        <w:ind w:left="0"/>
        <w:rPr>
          <w:sz w:val="14"/>
        </w:rPr>
      </w:pPr>
    </w:p>
    <w:p>
      <w:pPr>
        <w:spacing w:before="1"/>
        <w:ind w:left="117" w:right="0" w:firstLine="0"/>
        <w:jc w:val="left"/>
        <w:rPr>
          <w:sz w:val="21"/>
        </w:rPr>
      </w:pPr>
      <w:r>
        <w:rPr>
          <w:sz w:val="21"/>
        </w:rPr>
        <w:t>的任何三种、或声带全部切除，或因大脑语言中枢受伤害而患失语症。</w:t>
      </w:r>
    </w:p>
    <w:p>
      <w:pPr>
        <w:pStyle w:val="BodyText"/>
        <w:spacing w:before="10"/>
        <w:ind w:left="0"/>
        <w:rPr>
          <w:sz w:val="14"/>
        </w:rPr>
      </w:pPr>
    </w:p>
    <w:p>
      <w:pPr>
        <w:spacing w:line="408" w:lineRule="auto" w:before="0"/>
        <w:ind w:left="117" w:right="204" w:firstLine="0"/>
        <w:jc w:val="left"/>
        <w:rPr>
          <w:sz w:val="21"/>
        </w:rPr>
      </w:pPr>
      <w:r>
        <w:rPr>
          <w:spacing w:val="-9"/>
          <w:sz w:val="21"/>
        </w:rPr>
        <w:t>咀嚼吞咽能力完全丧失，指因牙齿以外的原因导致器质障碍或机能障碍，以致不能作咀嚼吞</w:t>
      </w:r>
      <w:r>
        <w:rPr>
          <w:spacing w:val="-5"/>
          <w:sz w:val="21"/>
        </w:rPr>
        <w:t>咽运动，除流质食物外不能摄取或吞咽的状态。</w:t>
      </w:r>
    </w:p>
    <w:p>
      <w:pPr>
        <w:spacing w:before="46"/>
        <w:ind w:left="117" w:right="0" w:firstLine="0"/>
        <w:jc w:val="left"/>
        <w:rPr>
          <w:sz w:val="21"/>
        </w:rPr>
      </w:pPr>
      <w:r>
        <w:rPr>
          <w:sz w:val="21"/>
        </w:rPr>
        <w:t>④永久不可逆</w:t>
      </w:r>
    </w:p>
    <w:p>
      <w:pPr>
        <w:pStyle w:val="BodyText"/>
        <w:spacing w:before="9"/>
        <w:ind w:left="0"/>
        <w:rPr>
          <w:sz w:val="14"/>
        </w:rPr>
      </w:pPr>
    </w:p>
    <w:p>
      <w:pPr>
        <w:spacing w:before="1"/>
        <w:ind w:left="537" w:right="0" w:firstLine="0"/>
        <w:jc w:val="left"/>
        <w:rPr>
          <w:sz w:val="21"/>
        </w:rPr>
      </w:pPr>
      <w:r>
        <w:rPr>
          <w:sz w:val="21"/>
        </w:rPr>
        <w:t>指自疾病确诊或意外伤害发生之日起，经过积极治疗180 天后，仍无法通过现有医疗手</w:t>
      </w:r>
    </w:p>
    <w:p>
      <w:pPr>
        <w:pStyle w:val="BodyText"/>
        <w:spacing w:before="10"/>
        <w:ind w:left="0"/>
        <w:rPr>
          <w:sz w:val="14"/>
        </w:rPr>
      </w:pPr>
    </w:p>
    <w:p>
      <w:pPr>
        <w:spacing w:before="0"/>
        <w:ind w:left="117" w:right="0" w:firstLine="0"/>
        <w:jc w:val="left"/>
        <w:rPr>
          <w:sz w:val="21"/>
        </w:rPr>
      </w:pPr>
      <w:r>
        <w:rPr>
          <w:sz w:val="21"/>
        </w:rPr>
        <w:t>段恢复。</w:t>
      </w:r>
    </w:p>
    <w:p>
      <w:pPr>
        <w:pStyle w:val="BodyText"/>
        <w:spacing w:before="9"/>
        <w:ind w:left="0"/>
        <w:rPr>
          <w:sz w:val="14"/>
        </w:rPr>
      </w:pPr>
    </w:p>
    <w:p>
      <w:pPr>
        <w:spacing w:before="1"/>
        <w:ind w:left="117" w:right="0" w:firstLine="0"/>
        <w:jc w:val="left"/>
        <w:rPr>
          <w:sz w:val="21"/>
        </w:rPr>
      </w:pPr>
      <w:r>
        <w:rPr>
          <w:sz w:val="21"/>
        </w:rPr>
        <w:t>⑤专科医生</w:t>
      </w:r>
    </w:p>
    <w:p>
      <w:pPr>
        <w:pStyle w:val="BodyText"/>
        <w:spacing w:before="10"/>
        <w:ind w:left="0"/>
        <w:rPr>
          <w:sz w:val="14"/>
        </w:rPr>
      </w:pPr>
    </w:p>
    <w:p>
      <w:pPr>
        <w:spacing w:line="408" w:lineRule="auto" w:before="0"/>
        <w:ind w:left="117" w:right="101" w:firstLine="420"/>
        <w:jc w:val="left"/>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6"/>
          <w:w w:val="100"/>
          <w:sz w:val="21"/>
        </w:rPr>
        <w:t>具有有效的中华人民共和国《医师资格</w:t>
      </w:r>
      <w:r>
        <w:rPr>
          <w:spacing w:val="-67"/>
          <w:w w:val="100"/>
          <w:sz w:val="21"/>
        </w:rPr>
        <w:t>证书》；</w:t>
      </w:r>
      <w:r>
        <w:rPr>
          <w:w w:val="100"/>
          <w:sz w:val="21"/>
        </w:rPr>
        <w:t>（</w:t>
      </w:r>
      <w:r>
        <w:rPr>
          <w:spacing w:val="-3"/>
          <w:w w:val="100"/>
          <w:sz w:val="21"/>
        </w:rPr>
        <w:t>2</w:t>
      </w:r>
      <w:r>
        <w:rPr>
          <w:spacing w:val="-39"/>
          <w:w w:val="100"/>
          <w:sz w:val="21"/>
        </w:rPr>
        <w:t>）</w:t>
      </w:r>
      <w:r>
        <w:rPr>
          <w:spacing w:val="-15"/>
          <w:w w:val="100"/>
          <w:sz w:val="21"/>
        </w:rPr>
        <w:t>具有有效的中华人民共和国《医师执业证书》，并按期到相关部门登记注册</w:t>
      </w:r>
      <w:r>
        <w:rPr>
          <w:spacing w:val="-147"/>
          <w:w w:val="100"/>
          <w:sz w:val="21"/>
        </w:rPr>
        <w:t>；</w:t>
      </w:r>
      <w:r>
        <w:rPr>
          <w:w w:val="100"/>
          <w:sz w:val="21"/>
        </w:rPr>
        <w:t>（3）</w:t>
      </w:r>
      <w:r>
        <w:rPr>
          <w:spacing w:val="-10"/>
          <w:w w:val="100"/>
          <w:sz w:val="21"/>
        </w:rPr>
        <w:t>具有有效的中华人民共和国主治医师或主治医师以上职称的《医师职称证书》；</w:t>
      </w:r>
      <w:r>
        <w:rPr>
          <w:w w:val="100"/>
          <w:sz w:val="21"/>
        </w:rPr>
        <w:t>（4</w:t>
      </w:r>
      <w:r>
        <w:rPr>
          <w:spacing w:val="-3"/>
          <w:w w:val="100"/>
          <w:sz w:val="21"/>
        </w:rPr>
        <w:t>）</w:t>
      </w:r>
      <w:r>
        <w:rPr>
          <w:spacing w:val="-2"/>
          <w:w w:val="100"/>
          <w:sz w:val="21"/>
        </w:rPr>
        <w:t>在二级</w:t>
      </w:r>
      <w:r>
        <w:rPr>
          <w:spacing w:val="-3"/>
          <w:sz w:val="21"/>
        </w:rPr>
        <w:t>或二级以上医院的相应科室从事临床工作三年以上。</w:t>
      </w:r>
    </w:p>
    <w:p>
      <w:pPr>
        <w:spacing w:before="46"/>
        <w:ind w:left="117" w:right="0" w:firstLine="0"/>
        <w:jc w:val="left"/>
        <w:rPr>
          <w:sz w:val="21"/>
        </w:rPr>
      </w:pPr>
      <w:r>
        <w:rPr>
          <w:sz w:val="21"/>
        </w:rPr>
        <w:t>⑥感染艾滋病病毒或患艾滋病</w:t>
      </w:r>
    </w:p>
    <w:p>
      <w:pPr>
        <w:pStyle w:val="BodyText"/>
        <w:spacing w:before="9"/>
        <w:ind w:left="0"/>
        <w:rPr>
          <w:sz w:val="14"/>
        </w:rPr>
      </w:pPr>
    </w:p>
    <w:p>
      <w:pPr>
        <w:spacing w:line="408" w:lineRule="auto" w:before="1"/>
        <w:ind w:left="117" w:right="204" w:firstLine="420"/>
        <w:jc w:val="both"/>
        <w:rPr>
          <w:sz w:val="21"/>
        </w:rPr>
      </w:pPr>
      <w:r>
        <w:rPr>
          <w:spacing w:val="-3"/>
          <w:sz w:val="21"/>
        </w:rPr>
        <w:t>艾滋病病毒指人类免疫缺陷病毒，英文缩写为</w:t>
      </w:r>
      <w:r>
        <w:rPr>
          <w:sz w:val="21"/>
        </w:rPr>
        <w:t>HIV</w:t>
      </w:r>
      <w:r>
        <w:rPr>
          <w:spacing w:val="-3"/>
          <w:sz w:val="21"/>
        </w:rPr>
        <w:t>。艾滋病指人类免疫缺陷病毒引起的</w:t>
      </w:r>
      <w:r>
        <w:rPr>
          <w:spacing w:val="-7"/>
          <w:sz w:val="21"/>
        </w:rPr>
        <w:t>获得性免疫缺陷综合征，英文缩写为</w:t>
      </w:r>
      <w:r>
        <w:rPr>
          <w:sz w:val="21"/>
        </w:rPr>
        <w:t>AIDS</w:t>
      </w:r>
      <w:r>
        <w:rPr>
          <w:spacing w:val="-8"/>
          <w:sz w:val="21"/>
        </w:rPr>
        <w:t>。在人体血液或其它样本中检测到艾滋病病毒或其</w:t>
      </w:r>
      <w:r>
        <w:rPr>
          <w:spacing w:val="-12"/>
          <w:sz w:val="21"/>
        </w:rPr>
        <w:t>抗体呈阳性，没有出现临床症状或体征的，为感染艾滋病病毒；如果同时出现了明显临床症</w:t>
      </w:r>
      <w:r>
        <w:rPr>
          <w:spacing w:val="-6"/>
          <w:sz w:val="21"/>
        </w:rPr>
        <w:t>状或体征的，为患艾滋病。</w:t>
      </w:r>
    </w:p>
    <w:p>
      <w:pPr>
        <w:spacing w:before="46"/>
        <w:ind w:left="117" w:right="0" w:firstLine="0"/>
        <w:jc w:val="left"/>
        <w:rPr>
          <w:sz w:val="21"/>
        </w:rPr>
      </w:pPr>
      <w:r>
        <w:rPr>
          <w:sz w:val="21"/>
        </w:rPr>
        <w:t>⑦遗传性疾病</w:t>
      </w:r>
    </w:p>
    <w:p>
      <w:pPr>
        <w:pStyle w:val="BodyText"/>
        <w:spacing w:before="9"/>
        <w:ind w:left="0"/>
        <w:rPr>
          <w:sz w:val="14"/>
        </w:rPr>
      </w:pPr>
    </w:p>
    <w:p>
      <w:pPr>
        <w:spacing w:before="0"/>
        <w:ind w:left="537" w:right="0" w:firstLine="0"/>
        <w:jc w:val="left"/>
        <w:rPr>
          <w:sz w:val="21"/>
        </w:rPr>
      </w:pPr>
      <w:r>
        <w:rPr>
          <w:sz w:val="21"/>
        </w:rPr>
        <w:t>指生殖细胞或受精卵的遗传物质（染色体和基因）发生突变或畸变所引起的疾病，通常</w:t>
      </w:r>
    </w:p>
    <w:p>
      <w:pPr>
        <w:pStyle w:val="BodyText"/>
        <w:spacing w:before="9"/>
        <w:ind w:left="0"/>
        <w:rPr>
          <w:sz w:val="14"/>
        </w:rPr>
      </w:pPr>
    </w:p>
    <w:p>
      <w:pPr>
        <w:spacing w:before="0"/>
        <w:ind w:left="117" w:right="0" w:firstLine="0"/>
        <w:jc w:val="left"/>
        <w:rPr>
          <w:sz w:val="21"/>
        </w:rPr>
      </w:pPr>
      <w:r>
        <w:rPr>
          <w:sz w:val="21"/>
        </w:rPr>
        <w:t>具有由亲代传至后代的垂直传递的特征。</w:t>
      </w:r>
    </w:p>
    <w:p>
      <w:pPr>
        <w:spacing w:after="0"/>
        <w:jc w:val="left"/>
        <w:rPr>
          <w:sz w:val="21"/>
        </w:rPr>
        <w:sectPr>
          <w:pgSz w:w="11900" w:h="16840"/>
          <w:pgMar w:header="0" w:footer="1007" w:top="1460" w:bottom="1200" w:left="1680" w:right="1580"/>
        </w:sectPr>
      </w:pPr>
    </w:p>
    <w:p>
      <w:pPr>
        <w:spacing w:before="24"/>
        <w:ind w:left="117" w:right="0" w:firstLine="0"/>
        <w:jc w:val="left"/>
        <w:rPr>
          <w:sz w:val="21"/>
        </w:rPr>
      </w:pPr>
      <w:r>
        <w:rPr>
          <w:sz w:val="21"/>
        </w:rPr>
        <w:t>⑧先天性畸形、变形或染色体异常</w:t>
      </w:r>
    </w:p>
    <w:p>
      <w:pPr>
        <w:pStyle w:val="BodyText"/>
        <w:spacing w:before="9"/>
        <w:ind w:left="0"/>
        <w:rPr>
          <w:sz w:val="14"/>
        </w:rPr>
      </w:pPr>
    </w:p>
    <w:p>
      <w:pPr>
        <w:spacing w:before="0"/>
        <w:ind w:left="537" w:right="0" w:firstLine="0"/>
        <w:jc w:val="left"/>
        <w:rPr>
          <w:sz w:val="21"/>
        </w:rPr>
      </w:pPr>
      <w:r>
        <w:rPr>
          <w:sz w:val="21"/>
        </w:rPr>
        <w:t>指被保险人出生时就具有的畸形、变形或染色体异常。先天性畸形、变形和染色体异常</w:t>
      </w:r>
    </w:p>
    <w:p>
      <w:pPr>
        <w:pStyle w:val="BodyText"/>
        <w:spacing w:before="9"/>
        <w:ind w:left="0"/>
        <w:rPr>
          <w:sz w:val="14"/>
        </w:rPr>
      </w:pPr>
    </w:p>
    <w:p>
      <w:pPr>
        <w:spacing w:before="0"/>
        <w:ind w:left="117" w:right="0" w:firstLine="0"/>
        <w:jc w:val="left"/>
        <w:rPr>
          <w:sz w:val="21"/>
        </w:rPr>
      </w:pPr>
      <w:r>
        <w:rPr>
          <w:sz w:val="21"/>
        </w:rPr>
        <w:t>依照世界卫生组织《疾病和有关健康问题的国际统计分类》（ICD-10）确定。</w:t>
      </w:r>
    </w:p>
    <w:p>
      <w:pPr>
        <w:pStyle w:val="BodyText"/>
        <w:spacing w:before="0"/>
        <w:ind w:left="0"/>
        <w:rPr>
          <w:sz w:val="20"/>
        </w:rPr>
      </w:pPr>
    </w:p>
    <w:p>
      <w:pPr>
        <w:pStyle w:val="BodyText"/>
        <w:spacing w:before="4"/>
        <w:ind w:left="0"/>
        <w:rPr>
          <w:sz w:val="21"/>
        </w:rPr>
      </w:pPr>
    </w:p>
    <w:p>
      <w:pPr>
        <w:pStyle w:val="BodyText"/>
        <w:spacing w:line="468" w:lineRule="exact" w:before="1"/>
        <w:ind w:right="109"/>
        <w:jc w:val="both"/>
      </w:pPr>
      <w:r>
        <w:rPr>
          <w:rFonts w:ascii="Microsoft JhengHei" w:eastAsia="Microsoft JhengHei" w:hint="eastAsia"/>
          <w:b/>
        </w:rPr>
        <w:t>8</w:t>
      </w:r>
      <w:r>
        <w:rPr>
          <w:rFonts w:ascii="Microsoft JhengHei" w:eastAsia="Microsoft JhengHei" w:hint="eastAsia"/>
          <w:b/>
          <w:spacing w:val="13"/>
        </w:rPr>
        <w:t>、毒品 </w:t>
      </w:r>
      <w:r>
        <w:rPr/>
        <w:t>指中华人民共和国刑法规定的鸦片、海洛因、甲基苯丙胺（冰毒</w:t>
      </w:r>
      <w:r>
        <w:rPr>
          <w:spacing w:val="-120"/>
        </w:rPr>
        <w:t>）</w:t>
      </w:r>
      <w:r>
        <w:rPr/>
        <w:t>、吗</w:t>
      </w:r>
      <w:r>
        <w:rPr>
          <w:spacing w:val="-11"/>
        </w:rPr>
        <w:t>啡、大麻、可卡因以及国家规定管制的其他能够使人形成瘾癖的麻醉药品和精神</w:t>
      </w:r>
      <w:r>
        <w:rPr>
          <w:spacing w:val="-12"/>
        </w:rPr>
        <w:t>药品，但不包括由医生开具并遵医嘱使用的用于治疗疾病但含有毒品成分的处方药品。</w:t>
      </w:r>
    </w:p>
    <w:p>
      <w:pPr>
        <w:pStyle w:val="BodyText"/>
        <w:spacing w:line="356" w:lineRule="exact" w:before="0"/>
        <w:jc w:val="both"/>
      </w:pPr>
      <w:r>
        <w:rPr>
          <w:rFonts w:ascii="Microsoft JhengHei" w:eastAsia="Microsoft JhengHei" w:hint="eastAsia"/>
          <w:b/>
        </w:rPr>
        <w:t>9、酒后驾驶 </w:t>
      </w:r>
      <w:r>
        <w:rPr/>
        <w:t>指经检测或鉴定，发生事故时车辆驾驶人员每百毫升血液中的酒精</w:t>
      </w:r>
    </w:p>
    <w:p>
      <w:pPr>
        <w:pStyle w:val="BodyText"/>
        <w:spacing w:before="124"/>
        <w:jc w:val="both"/>
      </w:pPr>
      <w:r>
        <w:rPr/>
        <w:t>含量达到或超过一定的标准，公安机关交通管理部门依据《道路交通安全法》的</w:t>
      </w:r>
    </w:p>
    <w:p>
      <w:pPr>
        <w:pStyle w:val="BodyText"/>
        <w:spacing w:before="154"/>
        <w:jc w:val="both"/>
      </w:pPr>
      <w:r>
        <w:rPr/>
        <w:t>规定认定为饮酒后驾驶或醉酒后驾驶。</w:t>
      </w:r>
    </w:p>
    <w:p>
      <w:pPr>
        <w:spacing w:before="154"/>
        <w:ind w:left="117" w:right="0" w:firstLine="0"/>
        <w:jc w:val="both"/>
        <w:rPr>
          <w:sz w:val="24"/>
        </w:rPr>
      </w:pPr>
      <w:r>
        <w:rPr>
          <w:rFonts w:ascii="Microsoft JhengHei" w:eastAsia="Microsoft JhengHei" w:hint="eastAsia"/>
          <w:b/>
          <w:sz w:val="24"/>
        </w:rPr>
        <w:t>10、无合法有效驾驶证驾驶 </w:t>
      </w:r>
      <w:r>
        <w:rPr>
          <w:sz w:val="24"/>
        </w:rPr>
        <w:t>指下列情形之一：</w:t>
      </w:r>
    </w:p>
    <w:p>
      <w:pPr>
        <w:pStyle w:val="BodyText"/>
        <w:spacing w:before="126"/>
        <w:ind w:left="537"/>
      </w:pPr>
      <w:r>
        <w:rPr/>
        <w:t>（1） 没有取得驾驶资格；</w:t>
      </w:r>
    </w:p>
    <w:p>
      <w:pPr>
        <w:pStyle w:val="BodyText"/>
        <w:ind w:left="537"/>
      </w:pPr>
      <w:r>
        <w:rPr/>
        <w:t>（2） 驾驶与驾驶证准驾车型不相符合的车辆；</w:t>
      </w:r>
    </w:p>
    <w:p>
      <w:pPr>
        <w:pStyle w:val="BodyText"/>
        <w:ind w:left="537"/>
      </w:pPr>
      <w:r>
        <w:rPr/>
        <w:t>（3） 持审验不合格的驾驶证驾驶；</w:t>
      </w:r>
    </w:p>
    <w:p>
      <w:pPr>
        <w:pStyle w:val="BodyText"/>
        <w:ind w:left="537"/>
      </w:pPr>
      <w:r>
        <w:rPr/>
        <w:t>（4） 持学习驾驶证学习驾车时，无教练员随车指导，或不按指定时间、路</w:t>
      </w:r>
    </w:p>
    <w:p>
      <w:pPr>
        <w:pStyle w:val="BodyText"/>
        <w:ind w:left="1180" w:right="5762"/>
        <w:jc w:val="center"/>
      </w:pPr>
      <w:r>
        <w:rPr/>
        <w:t>线学习驾车。</w:t>
      </w:r>
    </w:p>
    <w:p>
      <w:pPr>
        <w:spacing w:before="77"/>
        <w:ind w:left="117" w:right="0" w:firstLine="0"/>
        <w:jc w:val="both"/>
        <w:rPr>
          <w:sz w:val="24"/>
        </w:rPr>
      </w:pPr>
      <w:r>
        <w:rPr>
          <w:rFonts w:ascii="Microsoft JhengHei" w:eastAsia="Microsoft JhengHei" w:hint="eastAsia"/>
          <w:b/>
          <w:sz w:val="24"/>
        </w:rPr>
        <w:t>11、无有效行驶证 </w:t>
      </w:r>
      <w:r>
        <w:rPr>
          <w:sz w:val="24"/>
        </w:rPr>
        <w:t>指下列情形之一：</w:t>
      </w:r>
    </w:p>
    <w:p>
      <w:pPr>
        <w:pStyle w:val="BodyText"/>
        <w:spacing w:before="126"/>
        <w:ind w:left="537"/>
      </w:pPr>
      <w:r>
        <w:rPr/>
        <w:t>（1）机动车被依法注销登记的；</w:t>
      </w:r>
    </w:p>
    <w:p>
      <w:pPr>
        <w:pStyle w:val="BodyText"/>
        <w:ind w:left="537"/>
      </w:pPr>
      <w:r>
        <w:rPr/>
        <w:t>（2）未依法按时进行或通过机动车安全技术检验。</w:t>
      </w:r>
    </w:p>
    <w:p>
      <w:pPr>
        <w:pStyle w:val="BodyText"/>
        <w:spacing w:line="468" w:lineRule="exact" w:before="59"/>
        <w:ind w:right="109"/>
        <w:jc w:val="both"/>
      </w:pPr>
      <w:r>
        <w:rPr>
          <w:rFonts w:ascii="Microsoft JhengHei" w:eastAsia="Microsoft JhengHei" w:hint="eastAsia"/>
          <w:b/>
        </w:rPr>
        <w:t>12</w:t>
      </w:r>
      <w:r>
        <w:rPr>
          <w:rFonts w:ascii="Microsoft JhengHei" w:eastAsia="Microsoft JhengHei" w:hint="eastAsia"/>
          <w:b/>
          <w:spacing w:val="-1"/>
        </w:rPr>
        <w:t>、艾滋病病毒 </w:t>
      </w:r>
      <w:r>
        <w:rPr>
          <w:spacing w:val="-4"/>
        </w:rPr>
        <w:t>获得性免疫力缺乏综合征病毒</w:t>
      </w:r>
      <w:r>
        <w:rPr>
          <w:spacing w:val="-5"/>
        </w:rPr>
        <w:t>（HIV）的简称。获得性免疫力缺</w:t>
      </w:r>
      <w:r>
        <w:rPr>
          <w:spacing w:val="-9"/>
        </w:rPr>
        <w:t>乏综合征的定义应按世界卫生组织制定的定义为准，如在血液样本中发现获得性免疫力缺乏综合征病毒或其抗体，则可认定为感染艾滋病或艾滋病病毒。</w:t>
      </w:r>
    </w:p>
    <w:p>
      <w:pPr>
        <w:spacing w:before="17"/>
        <w:ind w:left="117" w:right="0" w:firstLine="0"/>
        <w:jc w:val="left"/>
        <w:rPr>
          <w:sz w:val="24"/>
        </w:rPr>
      </w:pPr>
      <w:r>
        <w:rPr>
          <w:rFonts w:ascii="Microsoft JhengHei" w:eastAsia="Microsoft JhengHei" w:hint="eastAsia"/>
          <w:b/>
          <w:sz w:val="24"/>
        </w:rPr>
        <w:t>13、艾滋病 </w:t>
      </w:r>
      <w:r>
        <w:rPr>
          <w:sz w:val="24"/>
        </w:rPr>
        <w:t>获得性免疫力缺乏综合征（AIDS）的简称。</w:t>
      </w:r>
    </w:p>
    <w:p>
      <w:pPr>
        <w:pStyle w:val="BodyText"/>
        <w:spacing w:line="468" w:lineRule="exact" w:before="32"/>
        <w:ind w:right="106"/>
        <w:jc w:val="both"/>
      </w:pPr>
      <w:r>
        <w:rPr>
          <w:rFonts w:ascii="Microsoft JhengHei" w:eastAsia="Microsoft JhengHei" w:hint="eastAsia"/>
          <w:b/>
        </w:rPr>
        <w:t>14</w:t>
      </w:r>
      <w:r>
        <w:rPr>
          <w:rFonts w:ascii="Microsoft JhengHei" w:eastAsia="Microsoft JhengHei" w:hint="eastAsia"/>
          <w:b/>
          <w:spacing w:val="1"/>
        </w:rPr>
        <w:t>、先天性畸形、变形或染色体异常 </w:t>
      </w:r>
      <w:r>
        <w:rPr/>
        <w:t>指被保险人出生时就具有的畸形、变形或</w:t>
      </w:r>
      <w:r>
        <w:rPr>
          <w:spacing w:val="-8"/>
        </w:rPr>
        <w:t>者染色体异常。先天性畸形、变形和染色体异常依照世界卫生组织《疾病和有关</w:t>
      </w:r>
      <w:r>
        <w:rPr>
          <w:spacing w:val="-18"/>
        </w:rPr>
        <w:t>健康问题的国际统计分类》</w:t>
      </w:r>
      <w:r>
        <w:rPr/>
        <w:t>（ICD-10）确定。</w:t>
      </w:r>
    </w:p>
    <w:sectPr>
      <w:pgSz w:w="11900" w:h="16840"/>
      <w:pgMar w:header="0" w:footer="1007" w:top="146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197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23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58.320007pt;margin-top:780.659973pt;width:78.7pt;height:12pt;mso-position-horizontal-relative:page;mso-position-vertical-relative:page;z-index:-197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23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58.320007pt;margin-top:780.659973pt;width:78.7pt;height:12pt;mso-position-horizontal-relative:page;mso-position-vertical-relative:page;z-index:-196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Times New Roman" w:eastAsia="Times New Roman"/>
                    <w:sz w:val="18"/>
                  </w:rPr>
                  <w:t>  </w:t>
                </w:r>
                <w:r>
                  <w:rPr>
                    <w:sz w:val="18"/>
                  </w:rPr>
                  <w:t>页 共 </w:t>
                </w:r>
                <w:r>
                  <w:rPr>
                    <w:rFonts w:ascii="Times New Roman" w:eastAsia="Times New Roman"/>
                    <w:sz w:val="18"/>
                  </w:rPr>
                  <w:t>23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77" w:hanging="480"/>
        <w:jc w:val="left"/>
      </w:pPr>
      <w:rPr>
        <w:rFonts w:hint="default" w:ascii="宋体" w:hAnsi="宋体" w:eastAsia="宋体" w:cs="宋体"/>
        <w:w w:val="100"/>
        <w:sz w:val="24"/>
        <w:szCs w:val="24"/>
      </w:rPr>
    </w:lvl>
    <w:lvl w:ilvl="1">
      <w:start w:val="0"/>
      <w:numFmt w:val="bullet"/>
      <w:lvlText w:val="•"/>
      <w:lvlJc w:val="left"/>
      <w:pPr>
        <w:ind w:left="1838" w:hanging="480"/>
      </w:pPr>
      <w:rPr>
        <w:rFonts w:hint="default"/>
      </w:rPr>
    </w:lvl>
    <w:lvl w:ilvl="2">
      <w:start w:val="0"/>
      <w:numFmt w:val="bullet"/>
      <w:lvlText w:val="•"/>
      <w:lvlJc w:val="left"/>
      <w:pPr>
        <w:ind w:left="2596" w:hanging="480"/>
      </w:pPr>
      <w:rPr>
        <w:rFonts w:hint="default"/>
      </w:rPr>
    </w:lvl>
    <w:lvl w:ilvl="3">
      <w:start w:val="0"/>
      <w:numFmt w:val="bullet"/>
      <w:lvlText w:val="•"/>
      <w:lvlJc w:val="left"/>
      <w:pPr>
        <w:ind w:left="3354" w:hanging="480"/>
      </w:pPr>
      <w:rPr>
        <w:rFonts w:hint="default"/>
      </w:rPr>
    </w:lvl>
    <w:lvl w:ilvl="4">
      <w:start w:val="0"/>
      <w:numFmt w:val="bullet"/>
      <w:lvlText w:val="•"/>
      <w:lvlJc w:val="left"/>
      <w:pPr>
        <w:ind w:left="4112" w:hanging="480"/>
      </w:pPr>
      <w:rPr>
        <w:rFonts w:hint="default"/>
      </w:rPr>
    </w:lvl>
    <w:lvl w:ilvl="5">
      <w:start w:val="0"/>
      <w:numFmt w:val="bullet"/>
      <w:lvlText w:val="•"/>
      <w:lvlJc w:val="left"/>
      <w:pPr>
        <w:ind w:left="4870" w:hanging="480"/>
      </w:pPr>
      <w:rPr>
        <w:rFonts w:hint="default"/>
      </w:rPr>
    </w:lvl>
    <w:lvl w:ilvl="6">
      <w:start w:val="0"/>
      <w:numFmt w:val="bullet"/>
      <w:lvlText w:val="•"/>
      <w:lvlJc w:val="left"/>
      <w:pPr>
        <w:ind w:left="5628" w:hanging="480"/>
      </w:pPr>
      <w:rPr>
        <w:rFonts w:hint="default"/>
      </w:rPr>
    </w:lvl>
    <w:lvl w:ilvl="7">
      <w:start w:val="0"/>
      <w:numFmt w:val="bullet"/>
      <w:lvlText w:val="•"/>
      <w:lvlJc w:val="left"/>
      <w:pPr>
        <w:ind w:left="6386" w:hanging="480"/>
      </w:pPr>
      <w:rPr>
        <w:rFonts w:hint="default"/>
      </w:rPr>
    </w:lvl>
    <w:lvl w:ilvl="8">
      <w:start w:val="0"/>
      <w:numFmt w:val="bullet"/>
      <w:lvlText w:val="•"/>
      <w:lvlJc w:val="left"/>
      <w:pPr>
        <w:ind w:left="7144" w:hanging="480"/>
      </w:pPr>
      <w:rPr>
        <w:rFonts w:hint="default"/>
      </w:rPr>
    </w:lvl>
  </w:abstractNum>
  <w:abstractNum w:abstractNumId="0">
    <w:multiLevelType w:val="hybridMultilevel"/>
    <w:lvl w:ilvl="0">
      <w:start w:val="2"/>
      <w:numFmt w:val="decimal"/>
      <w:lvlText w:val="%1"/>
      <w:lvlJc w:val="left"/>
      <w:pPr>
        <w:ind w:left="1077" w:hanging="480"/>
        <w:jc w:val="left"/>
      </w:pPr>
      <w:rPr>
        <w:rFonts w:hint="default"/>
      </w:rPr>
    </w:lvl>
    <w:lvl w:ilvl="1">
      <w:start w:val="1"/>
      <w:numFmt w:val="decimal"/>
      <w:lvlText w:val="%1.%2"/>
      <w:lvlJc w:val="left"/>
      <w:pPr>
        <w:ind w:left="1077" w:hanging="480"/>
        <w:jc w:val="left"/>
      </w:pPr>
      <w:rPr>
        <w:rFonts w:hint="default" w:ascii="宋体" w:hAnsi="宋体" w:eastAsia="宋体" w:cs="宋体"/>
        <w:w w:val="100"/>
        <w:sz w:val="24"/>
        <w:szCs w:val="24"/>
      </w:rPr>
    </w:lvl>
    <w:lvl w:ilvl="2">
      <w:start w:val="0"/>
      <w:numFmt w:val="bullet"/>
      <w:lvlText w:val="•"/>
      <w:lvlJc w:val="left"/>
      <w:pPr>
        <w:ind w:left="2596" w:hanging="480"/>
      </w:pPr>
      <w:rPr>
        <w:rFonts w:hint="default"/>
      </w:rPr>
    </w:lvl>
    <w:lvl w:ilvl="3">
      <w:start w:val="0"/>
      <w:numFmt w:val="bullet"/>
      <w:lvlText w:val="•"/>
      <w:lvlJc w:val="left"/>
      <w:pPr>
        <w:ind w:left="3354" w:hanging="480"/>
      </w:pPr>
      <w:rPr>
        <w:rFonts w:hint="default"/>
      </w:rPr>
    </w:lvl>
    <w:lvl w:ilvl="4">
      <w:start w:val="0"/>
      <w:numFmt w:val="bullet"/>
      <w:lvlText w:val="•"/>
      <w:lvlJc w:val="left"/>
      <w:pPr>
        <w:ind w:left="4112" w:hanging="480"/>
      </w:pPr>
      <w:rPr>
        <w:rFonts w:hint="default"/>
      </w:rPr>
    </w:lvl>
    <w:lvl w:ilvl="5">
      <w:start w:val="0"/>
      <w:numFmt w:val="bullet"/>
      <w:lvlText w:val="•"/>
      <w:lvlJc w:val="left"/>
      <w:pPr>
        <w:ind w:left="4870" w:hanging="480"/>
      </w:pPr>
      <w:rPr>
        <w:rFonts w:hint="default"/>
      </w:rPr>
    </w:lvl>
    <w:lvl w:ilvl="6">
      <w:start w:val="0"/>
      <w:numFmt w:val="bullet"/>
      <w:lvlText w:val="•"/>
      <w:lvlJc w:val="left"/>
      <w:pPr>
        <w:ind w:left="5628" w:hanging="480"/>
      </w:pPr>
      <w:rPr>
        <w:rFonts w:hint="default"/>
      </w:rPr>
    </w:lvl>
    <w:lvl w:ilvl="7">
      <w:start w:val="0"/>
      <w:numFmt w:val="bullet"/>
      <w:lvlText w:val="•"/>
      <w:lvlJc w:val="left"/>
      <w:pPr>
        <w:ind w:left="6386" w:hanging="480"/>
      </w:pPr>
      <w:rPr>
        <w:rFonts w:hint="default"/>
      </w:rPr>
    </w:lvl>
    <w:lvl w:ilvl="8">
      <w:start w:val="0"/>
      <w:numFmt w:val="bullet"/>
      <w:lvlText w:val="•"/>
      <w:lvlJc w:val="left"/>
      <w:pPr>
        <w:ind w:left="7144"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spacing w:before="153"/>
      <w:ind w:left="117"/>
    </w:pPr>
    <w:rPr>
      <w:rFonts w:ascii="宋体" w:hAnsi="宋体" w:eastAsia="宋体" w:cs="宋体"/>
      <w:sz w:val="24"/>
      <w:szCs w:val="24"/>
    </w:rPr>
  </w:style>
  <w:style w:styleId="Heading1" w:type="paragraph">
    <w:name w:val="Heading 1"/>
    <w:basedOn w:val="Normal"/>
    <w:uiPriority w:val="1"/>
    <w:qFormat/>
    <w:pPr>
      <w:ind w:left="117"/>
      <w:outlineLvl w:val="1"/>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before="153"/>
      <w:ind w:left="1077" w:hanging="480"/>
    </w:pPr>
    <w:rPr>
      <w:rFonts w:ascii="宋体" w:hAnsi="宋体" w:eastAsia="宋体" w:cs="宋体"/>
    </w:rPr>
  </w:style>
  <w:style w:styleId="TableParagraph" w:type="paragraph">
    <w:name w:val="Table Paragraph"/>
    <w:basedOn w:val="Normal"/>
    <w:uiPriority w:val="1"/>
    <w:qFormat/>
    <w:pPr>
      <w:spacing w:line="267" w:lineRule="exact"/>
      <w:ind w:left="120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02-瑞泰多重给付团体重大疾病保险合同条款</dc:title>
  <dcterms:created xsi:type="dcterms:W3CDTF">2018-10-19T22:01:40Z</dcterms:created>
  <dcterms:modified xsi:type="dcterms:W3CDTF">2018-10-19T22:01:40Z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2014-05-18T00:00:00Z</vt:filetime>
  </property>
  <property fmtid="{D5CDD505-2E9C-101B-9397-08002B2CF9AE}" pid="3" name="Creator">
    <vt:lpwstr>pdfFactory Pro www.fineprint.cn</vt:lpwstr>
  </property>
  <property fmtid="{D5CDD505-2E9C-101B-9397-08002B2CF9AE}" pid="4" name="LastSaved">
    <vt:filetime>2014-05-18T00:00:00Z</vt:filetime>
  </property>
</Properties>
</file>