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330" w:firstLine="0"/>
        <w:jc w:val="right"/>
        <w:rPr>
          <w:sz w:val="16"/>
        </w:rPr>
      </w:pPr>
      <w:r>
        <w:rPr/>
        <w:drawing>
          <wp:anchor distT="0" distB="0" distL="0" distR="0" allowOverlap="1" layoutInCell="1" locked="0" behindDoc="0" simplePos="0" relativeHeight="0">
            <wp:simplePos x="0" y="0"/>
            <wp:positionH relativeFrom="page">
              <wp:posOffset>5755385</wp:posOffset>
            </wp:positionH>
            <wp:positionV relativeFrom="paragraph">
              <wp:posOffset>164389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幸福人寿﹝2014﹞疾病保险 020 号</w:t>
      </w:r>
    </w:p>
    <w:p>
      <w:pPr>
        <w:spacing w:line="132" w:lineRule="exact" w:before="0"/>
        <w:ind w:left="0" w:right="730" w:firstLine="0"/>
        <w:jc w:val="right"/>
        <w:rPr>
          <w:sz w:val="16"/>
        </w:rPr>
      </w:pPr>
      <w:r>
        <w:rPr>
          <w:w w:val="95"/>
          <w:sz w:val="16"/>
        </w:rPr>
        <w:t>请扫描以查询验证条款</w:t>
      </w:r>
    </w:p>
    <w:p>
      <w:pPr>
        <w:spacing w:line="355" w:lineRule="exact" w:before="0"/>
        <w:ind w:left="2765" w:right="2827" w:firstLine="0"/>
        <w:jc w:val="center"/>
        <w:rPr>
          <w:b/>
          <w:sz w:val="30"/>
        </w:rPr>
      </w:pPr>
      <w:r>
        <w:rPr>
          <w:b/>
          <w:w w:val="95"/>
          <w:sz w:val="30"/>
        </w:rPr>
        <w:t>幸福人寿保险股份有限公司</w:t>
      </w:r>
    </w:p>
    <w:p>
      <w:pPr>
        <w:spacing w:line="376" w:lineRule="exact" w:before="0"/>
        <w:ind w:left="2765" w:right="2827" w:firstLine="0"/>
        <w:jc w:val="center"/>
        <w:rPr>
          <w:b/>
          <w:sz w:val="30"/>
        </w:rPr>
      </w:pPr>
      <w:r>
        <w:rPr>
          <w:b/>
          <w:w w:val="95"/>
          <w:sz w:val="30"/>
        </w:rPr>
        <w:t>幸福附加财富人生重大疾病保险条款</w:t>
      </w:r>
    </w:p>
    <w:p>
      <w:pPr>
        <w:pStyle w:val="BodyText"/>
        <w:spacing w:before="0"/>
        <w:ind w:left="0"/>
        <w:rPr>
          <w:b/>
          <w:sz w:val="28"/>
        </w:rPr>
      </w:pPr>
    </w:p>
    <w:p>
      <w:pPr>
        <w:pStyle w:val="BodyText"/>
        <w:spacing w:before="27"/>
        <w:ind w:left="537"/>
      </w:pPr>
      <w:r>
        <w:rPr>
          <w:spacing w:val="-147"/>
        </w:rPr>
        <w:t>条</w:t>
      </w:r>
      <w:r>
        <w:rPr>
          <w:spacing w:val="-63"/>
          <w:position w:val="-7"/>
        </w:rPr>
        <w:t>．</w:t>
      </w:r>
      <w:r>
        <w:rPr>
          <w:spacing w:val="-147"/>
        </w:rPr>
        <w:t>款</w:t>
      </w:r>
      <w:r>
        <w:rPr>
          <w:spacing w:val="-63"/>
          <w:position w:val="-7"/>
        </w:rPr>
        <w:t>．</w:t>
      </w:r>
      <w:r>
        <w:rPr>
          <w:spacing w:val="-147"/>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7"/>
        </w:rPr>
        <w:t>合</w:t>
      </w:r>
      <w:r>
        <w:rPr>
          <w:spacing w:val="-63"/>
          <w:position w:val="-7"/>
        </w:rPr>
        <w:t>．</w:t>
      </w:r>
      <w:r>
        <w:rPr>
          <w:spacing w:val="-147"/>
        </w:rPr>
        <w:t>同</w:t>
      </w:r>
      <w:r>
        <w:rPr>
          <w:spacing w:val="-63"/>
          <w:position w:val="-7"/>
        </w:rPr>
        <w:t>．</w:t>
      </w:r>
      <w:r>
        <w:rPr>
          <w:spacing w:val="-147"/>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7"/>
        </w:rPr>
        <w:t>内</w:t>
      </w:r>
      <w:r>
        <w:rPr>
          <w:spacing w:val="-63"/>
          <w:position w:val="-7"/>
        </w:rPr>
        <w:t>．</w:t>
      </w:r>
      <w:r>
        <w:rPr>
          <w:spacing w:val="-147"/>
        </w:rPr>
        <w:t>容</w:t>
      </w:r>
      <w:r>
        <w:rPr>
          <w:spacing w:val="-63"/>
          <w:position w:val="-7"/>
        </w:rPr>
        <w:t>．</w:t>
      </w:r>
      <w:r>
        <w:rPr>
          <w:spacing w:val="-147"/>
        </w:rPr>
        <w:t>，</w:t>
      </w:r>
      <w:r>
        <w:rPr>
          <w:spacing w:val="-63"/>
          <w:position w:val="-7"/>
        </w:rPr>
        <w:t>．</w:t>
      </w:r>
      <w:r>
        <w:rPr>
          <w:spacing w:val="-148"/>
        </w:rPr>
        <w:t>为</w:t>
      </w:r>
      <w:r>
        <w:rPr>
          <w:spacing w:val="-63"/>
          <w:position w:val="-7"/>
        </w:rPr>
        <w:t>．</w:t>
      </w:r>
      <w:r>
        <w:rPr>
          <w:spacing w:val="-148"/>
        </w:rPr>
        <w:t>充</w:t>
      </w:r>
      <w:r>
        <w:rPr>
          <w:spacing w:val="-63"/>
          <w:position w:val="-7"/>
        </w:rPr>
        <w:t>．</w:t>
      </w:r>
      <w:r>
        <w:rPr>
          <w:spacing w:val="-147"/>
        </w:rPr>
        <w:t>分</w:t>
      </w:r>
      <w:r>
        <w:rPr>
          <w:spacing w:val="-63"/>
          <w:position w:val="-7"/>
        </w:rPr>
        <w:t>．</w:t>
      </w:r>
      <w:r>
        <w:rPr>
          <w:spacing w:val="-147"/>
        </w:rPr>
        <w:t>保</w:t>
      </w:r>
      <w:r>
        <w:rPr>
          <w:spacing w:val="-63"/>
          <w:position w:val="-7"/>
        </w:rPr>
        <w:t>．</w:t>
      </w:r>
      <w:r>
        <w:rPr>
          <w:spacing w:val="-147"/>
        </w:rPr>
        <w:t>障</w:t>
      </w:r>
      <w:r>
        <w:rPr>
          <w:spacing w:val="-63"/>
          <w:position w:val="-7"/>
        </w:rPr>
        <w:t>．</w:t>
      </w:r>
      <w:r>
        <w:rPr>
          <w:spacing w:val="-148"/>
        </w:rPr>
        <w:t>您</w:t>
      </w:r>
      <w:r>
        <w:rPr>
          <w:spacing w:val="-63"/>
          <w:position w:val="-7"/>
        </w:rPr>
        <w:t>．</w:t>
      </w:r>
      <w:r>
        <w:rPr>
          <w:spacing w:val="-148"/>
        </w:rPr>
        <w:t>（</w:t>
      </w:r>
      <w:r>
        <w:rPr>
          <w:spacing w:val="-63"/>
          <w:position w:val="-7"/>
        </w:rPr>
        <w:t>．</w:t>
      </w:r>
      <w:r>
        <w:rPr>
          <w:spacing w:val="-147"/>
        </w:rPr>
        <w:t>指</w:t>
      </w:r>
      <w:r>
        <w:rPr>
          <w:spacing w:val="-63"/>
          <w:position w:val="-7"/>
        </w:rPr>
        <w:t>．</w:t>
      </w:r>
      <w:r>
        <w:rPr>
          <w:spacing w:val="-147"/>
        </w:rPr>
        <w:t>投</w:t>
      </w:r>
      <w:r>
        <w:rPr>
          <w:spacing w:val="-63"/>
          <w:position w:val="-7"/>
        </w:rPr>
        <w:t>．</w:t>
      </w:r>
      <w:r>
        <w:rPr>
          <w:spacing w:val="-147"/>
        </w:rPr>
        <w:t>保</w:t>
      </w:r>
      <w:r>
        <w:rPr>
          <w:spacing w:val="-63"/>
          <w:position w:val="-7"/>
        </w:rPr>
        <w:t>．</w:t>
      </w:r>
      <w:r>
        <w:rPr>
          <w:spacing w:val="-148"/>
        </w:rPr>
        <w:t>人</w:t>
      </w:r>
      <w:r>
        <w:rPr>
          <w:spacing w:val="-63"/>
          <w:position w:val="-7"/>
        </w:rPr>
        <w:t>．</w:t>
      </w:r>
      <w:r>
        <w:rPr>
          <w:spacing w:val="-148"/>
        </w:rPr>
        <w:t>）</w:t>
      </w:r>
      <w:r>
        <w:rPr>
          <w:spacing w:val="-63"/>
          <w:position w:val="-7"/>
        </w:rPr>
        <w:t>．</w:t>
      </w:r>
      <w:r>
        <w:rPr>
          <w:spacing w:val="-147"/>
        </w:rPr>
        <w:t>的</w:t>
      </w:r>
      <w:r>
        <w:rPr>
          <w:spacing w:val="-63"/>
          <w:position w:val="-7"/>
        </w:rPr>
        <w:t>．</w:t>
      </w:r>
      <w:r>
        <w:rPr>
          <w:spacing w:val="-147"/>
        </w:rPr>
        <w:t>权</w:t>
      </w:r>
      <w:r>
        <w:rPr>
          <w:spacing w:val="-63"/>
          <w:position w:val="-7"/>
        </w:rPr>
        <w:t>．</w:t>
      </w:r>
      <w:r>
        <w:rPr>
          <w:spacing w:val="-147"/>
        </w:rPr>
        <w:t>益</w:t>
      </w:r>
      <w:r>
        <w:rPr>
          <w:spacing w:val="-63"/>
          <w:position w:val="-7"/>
        </w:rPr>
        <w:t>．</w:t>
      </w:r>
      <w:r>
        <w:rPr>
          <w:spacing w:val="-148"/>
        </w:rPr>
        <w:t>，</w:t>
      </w:r>
      <w:r>
        <w:rPr>
          <w:spacing w:val="-63"/>
          <w:position w:val="-7"/>
        </w:rPr>
        <w:t>．</w:t>
      </w:r>
      <w:r>
        <w:rPr>
          <w:spacing w:val="-148"/>
        </w:rPr>
        <w:t>请</w:t>
      </w:r>
      <w:r>
        <w:rPr>
          <w:spacing w:val="-63"/>
          <w:position w:val="-7"/>
        </w:rPr>
        <w:t>．</w:t>
      </w:r>
      <w:r>
        <w:rPr>
          <w:spacing w:val="-147"/>
        </w:rPr>
        <w:t>您</w:t>
      </w:r>
      <w:r>
        <w:rPr>
          <w:spacing w:val="-63"/>
          <w:position w:val="-7"/>
        </w:rPr>
        <w:t>．</w:t>
      </w:r>
      <w:r>
        <w:rPr>
          <w:spacing w:val="-147"/>
        </w:rPr>
        <w:t>仔</w:t>
      </w:r>
      <w:r>
        <w:rPr>
          <w:spacing w:val="-63"/>
          <w:position w:val="-7"/>
        </w:rPr>
        <w:t>．</w:t>
      </w:r>
      <w:r>
        <w:rPr>
          <w:spacing w:val="-147"/>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3"/>
          <w:position w:val="-7"/>
        </w:rPr>
        <w:t>．</w:t>
      </w:r>
      <w:r>
        <w:rPr>
          <w:spacing w:val="-148"/>
        </w:rPr>
        <w:t>。</w:t>
      </w:r>
      <w:r>
        <w:rPr>
          <w:spacing w:val="-63"/>
          <w:position w:val="-7"/>
        </w:rPr>
        <w:t>．</w:t>
      </w:r>
      <w:r>
        <w:rPr>
          <w:spacing w:val="-148"/>
        </w:rPr>
        <w:t>在</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2"/>
          <w:position w:val="-7"/>
        </w:rPr>
        <w:t>．</w:t>
      </w:r>
      <w:r>
        <w:rPr>
          <w:spacing w:val="-147"/>
        </w:rPr>
        <w:t>中</w:t>
      </w:r>
      <w:r>
        <w:rPr>
          <w:spacing w:val="-62"/>
          <w:position w:val="-7"/>
        </w:rPr>
        <w:t>．</w:t>
      </w:r>
      <w:r>
        <w:rPr>
          <w:spacing w:val="-148"/>
        </w:rPr>
        <w:t>，</w:t>
      </w:r>
      <w:r>
        <w:rPr>
          <w:spacing w:val="0"/>
          <w:position w:val="-7"/>
        </w:rPr>
        <w:t>．</w:t>
      </w:r>
    </w:p>
    <w:p>
      <w:pPr>
        <w:pStyle w:val="BodyText"/>
        <w:spacing w:before="25"/>
        <w:ind w:left="117"/>
      </w:pP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6"/>
        <w:ind w:left="0"/>
      </w:pPr>
    </w:p>
    <w:p>
      <w:pPr>
        <w:pStyle w:val="Heading1"/>
        <w:ind w:left="2765" w:right="2406" w:firstLine="0"/>
        <w:jc w:val="center"/>
      </w:pPr>
      <w:r>
        <w:rPr/>
        <w:t>目 录</w:t>
      </w:r>
    </w:p>
    <w:sdt>
      <w:sdtPr>
        <w:docPartObj>
          <w:docPartGallery w:val="Table of Contents"/>
          <w:docPartUnique/>
        </w:docPartObj>
      </w:sdtPr>
      <w:sdtEndPr/>
      <w:sdtContent>
        <w:p>
          <w:pPr>
            <w:pStyle w:val="TOC1"/>
            <w:numPr>
              <w:ilvl w:val="0"/>
              <w:numId w:val="1"/>
            </w:numPr>
            <w:tabs>
              <w:tab w:pos="435" w:val="left" w:leader="none"/>
              <w:tab w:pos="9746" w:val="right" w:leader="dot"/>
            </w:tabs>
            <w:spacing w:line="240" w:lineRule="auto" w:before="323" w:after="0"/>
            <w:ind w:left="434" w:right="0" w:hanging="317"/>
            <w:jc w:val="left"/>
            <w:rPr>
              <w:rFonts w:ascii="Times New Roman" w:eastAsia="Times New Roman"/>
            </w:rPr>
          </w:pPr>
          <w:hyperlink w:history="true" w:anchor="_TOC_250023">
            <w:r>
              <w:rPr/>
              <w:t>您与我们的合同</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5" w:after="0"/>
            <w:ind w:left="1011" w:right="0" w:hanging="474"/>
            <w:jc w:val="left"/>
            <w:rPr>
              <w:rFonts w:ascii="Times New Roman" w:eastAsia="Times New Roman"/>
            </w:rPr>
          </w:pPr>
          <w:hyperlink w:history="true" w:anchor="_TOC_250022">
            <w:r>
              <w:rPr/>
              <w:t>合同构成</w:t>
              <w:tab/>
            </w:r>
            <w:r>
              <w:rPr>
                <w:rFonts w:ascii="Times New Roman" w:eastAsia="Times New Roman"/>
              </w:rPr>
              <w:t>2</w:t>
            </w:r>
          </w:hyperlink>
        </w:p>
        <w:p>
          <w:pPr>
            <w:pStyle w:val="TOC2"/>
            <w:numPr>
              <w:ilvl w:val="1"/>
              <w:numId w:val="1"/>
            </w:numPr>
            <w:tabs>
              <w:tab w:pos="1011" w:val="left" w:leader="none"/>
              <w:tab w:pos="1012" w:val="left" w:leader="none"/>
              <w:tab w:pos="9761" w:val="right" w:leader="dot"/>
            </w:tabs>
            <w:spacing w:line="240" w:lineRule="auto" w:before="20" w:after="0"/>
            <w:ind w:left="1011" w:right="0" w:hanging="474"/>
            <w:jc w:val="left"/>
            <w:rPr>
              <w:rFonts w:ascii="Times New Roman" w:eastAsia="Times New Roman"/>
            </w:rPr>
          </w:pPr>
          <w:hyperlink w:history="true" w:anchor="_TOC_250021">
            <w:r>
              <w:rPr/>
              <w:t>合同成立与生效</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20">
            <w:r>
              <w:rPr/>
              <w:t>投保范围</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19">
            <w:r>
              <w:rPr/>
              <w:t>保险期间</w:t>
              <w:tab/>
            </w:r>
            <w:r>
              <w:rPr>
                <w:rFonts w:ascii="Times New Roman" w:eastAsia="Times New Roman"/>
              </w:rPr>
              <w:t>2</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18">
            <w:r>
              <w:rPr/>
              <w:t>我们提供的保障</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6" w:after="0"/>
            <w:ind w:left="1011" w:right="0" w:hanging="474"/>
            <w:jc w:val="left"/>
            <w:rPr>
              <w:rFonts w:ascii="Times New Roman" w:eastAsia="Times New Roman"/>
            </w:rPr>
          </w:pPr>
          <w:hyperlink w:history="true" w:anchor="_TOC_250017">
            <w:r>
              <w:rPr/>
              <w:t>保险金额</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6">
            <w:r>
              <w:rPr/>
              <w:t>保险责任</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5">
            <w:r>
              <w:rPr/>
              <w:t>责任免除</w:t>
              <w:tab/>
            </w:r>
            <w:r>
              <w:rPr>
                <w:rFonts w:ascii="Times New Roman" w:eastAsia="Times New Roman"/>
              </w:rPr>
              <w:t>3</w:t>
            </w:r>
          </w:hyperlink>
        </w:p>
        <w:p>
          <w:pPr>
            <w:pStyle w:val="TOC1"/>
            <w:numPr>
              <w:ilvl w:val="0"/>
              <w:numId w:val="1"/>
            </w:numPr>
            <w:tabs>
              <w:tab w:pos="435" w:val="left" w:leader="none"/>
              <w:tab w:pos="9746" w:val="right" w:leader="dot"/>
            </w:tabs>
            <w:spacing w:line="240" w:lineRule="auto" w:before="66" w:after="0"/>
            <w:ind w:left="434" w:right="0" w:hanging="317"/>
            <w:jc w:val="left"/>
            <w:rPr>
              <w:rFonts w:ascii="Times New Roman" w:eastAsia="Times New Roman"/>
            </w:rPr>
          </w:pPr>
          <w:hyperlink w:history="true" w:anchor="_TOC_250014">
            <w:r>
              <w:rPr/>
              <w:t>如何申请领取保险金</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6" w:after="0"/>
            <w:ind w:left="1011" w:right="0" w:hanging="474"/>
            <w:jc w:val="left"/>
            <w:rPr>
              <w:rFonts w:ascii="Times New Roman" w:eastAsia="Times New Roman"/>
            </w:rPr>
          </w:pPr>
          <w:hyperlink w:history="true" w:anchor="_TOC_250013">
            <w:r>
              <w:rPr/>
              <w:t>受益人</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2">
            <w:r>
              <w:rPr/>
              <w:t>保险金申请</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1">
            <w:r>
              <w:rPr/>
              <w:t>诉讼时效</w:t>
              <w:tab/>
            </w:r>
            <w:r>
              <w:rPr>
                <w:rFonts w:ascii="Times New Roman" w:eastAsia="Times New Roman"/>
              </w:rPr>
              <w:t>4</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10">
            <w:r>
              <w:rPr/>
              <w:t>如何交纳保险费</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5" w:after="0"/>
            <w:ind w:left="1011" w:right="0" w:hanging="474"/>
            <w:jc w:val="left"/>
            <w:rPr>
              <w:rFonts w:ascii="Times New Roman" w:eastAsia="Times New Roman"/>
            </w:rPr>
          </w:pPr>
          <w:hyperlink w:history="true" w:anchor="_TOC_250009">
            <w:r>
              <w:rPr/>
              <w:t>保险费的交纳</w:t>
              <w:tab/>
            </w:r>
            <w:r>
              <w:rPr>
                <w:rFonts w:ascii="Times New Roman" w:eastAsia="Times New Roman"/>
              </w:rPr>
              <w:t>4</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08">
            <w:r>
              <w:rPr/>
              <w:t>合同效力的中止与恢复</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6" w:after="0"/>
            <w:ind w:left="1011" w:right="0" w:hanging="474"/>
            <w:jc w:val="left"/>
            <w:rPr>
              <w:rFonts w:ascii="Times New Roman" w:eastAsia="Times New Roman"/>
            </w:rPr>
          </w:pPr>
          <w:hyperlink w:history="true" w:anchor="_TOC_250007">
            <w:r>
              <w:rPr/>
              <w:t>合同效力的中止</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6">
            <w:r>
              <w:rPr/>
              <w:t>合同效力的恢复</w:t>
              <w:tab/>
            </w:r>
            <w:r>
              <w:rPr>
                <w:rFonts w:ascii="Times New Roman" w:eastAsia="Times New Roman"/>
              </w:rPr>
              <w:t>5</w:t>
            </w:r>
          </w:hyperlink>
        </w:p>
        <w:p>
          <w:pPr>
            <w:pStyle w:val="TOC1"/>
            <w:numPr>
              <w:ilvl w:val="0"/>
              <w:numId w:val="1"/>
            </w:numPr>
            <w:tabs>
              <w:tab w:pos="435" w:val="left" w:leader="none"/>
              <w:tab w:pos="9745" w:val="right" w:leader="dot"/>
            </w:tabs>
            <w:spacing w:line="240" w:lineRule="auto" w:before="65" w:after="0"/>
            <w:ind w:left="434" w:right="0" w:hanging="317"/>
            <w:jc w:val="left"/>
            <w:rPr>
              <w:rFonts w:ascii="Times New Roman" w:eastAsia="Times New Roman"/>
            </w:rPr>
          </w:pPr>
          <w:hyperlink w:history="true" w:anchor="_TOC_250005">
            <w:r>
              <w:rPr/>
              <w:t>其他事项</w:t>
              <w:tab/>
            </w:r>
            <w:r>
              <w:rPr>
                <w:rFonts w:ascii="Times New Roman" w:eastAsia="Times New Roman"/>
              </w:rPr>
              <w:t>5</w:t>
            </w:r>
          </w:hyperlink>
        </w:p>
        <w:p>
          <w:pPr>
            <w:pStyle w:val="TOC2"/>
            <w:numPr>
              <w:ilvl w:val="1"/>
              <w:numId w:val="1"/>
            </w:numPr>
            <w:tabs>
              <w:tab w:pos="1011" w:val="left" w:leader="none"/>
              <w:tab w:pos="1012" w:val="left" w:leader="none"/>
              <w:tab w:pos="9759" w:val="right" w:leader="dot"/>
            </w:tabs>
            <w:spacing w:line="240" w:lineRule="auto" w:before="5" w:after="0"/>
            <w:ind w:left="1011" w:right="0" w:hanging="474"/>
            <w:jc w:val="left"/>
            <w:rPr>
              <w:rFonts w:ascii="Times New Roman" w:eastAsia="Times New Roman"/>
            </w:rPr>
          </w:pPr>
          <w:hyperlink w:history="true" w:anchor="_TOC_250004">
            <w:r>
              <w:rPr/>
              <w:t>年龄和性别确定与错误处理</w:t>
              <w:tab/>
            </w:r>
            <w:r>
              <w:rPr>
                <w:rFonts w:ascii="Times New Roman" w:eastAsia="Times New Roman"/>
              </w:rPr>
              <w:t>5</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03">
            <w:r>
              <w:rPr/>
              <w:t>扣除款项</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20" w:after="0"/>
            <w:ind w:left="1011" w:right="0" w:hanging="474"/>
            <w:jc w:val="left"/>
            <w:rPr>
              <w:rFonts w:ascii="Times New Roman" w:eastAsia="Times New Roman"/>
            </w:rPr>
          </w:pPr>
          <w:hyperlink w:history="true" w:anchor="_TOC_250002">
            <w:r>
              <w:rPr/>
              <w:t>职业或工种变更</w:t>
              <w:tab/>
            </w:r>
            <w:r>
              <w:rPr>
                <w:rFonts w:ascii="Times New Roman" w:eastAsia="Times New Roman"/>
              </w:rPr>
              <w:t>5</w:t>
            </w:r>
          </w:hyperlink>
        </w:p>
        <w:p>
          <w:pPr>
            <w:pStyle w:val="TOC2"/>
            <w:numPr>
              <w:ilvl w:val="1"/>
              <w:numId w:val="1"/>
            </w:numPr>
            <w:tabs>
              <w:tab w:pos="1011" w:val="left" w:leader="none"/>
              <w:tab w:pos="1012" w:val="left" w:leader="none"/>
              <w:tab w:pos="9759" w:val="right" w:leader="dot"/>
            </w:tabs>
            <w:spacing w:line="240" w:lineRule="auto" w:before="20" w:after="0"/>
            <w:ind w:left="1011" w:right="0" w:hanging="474"/>
            <w:jc w:val="left"/>
            <w:rPr>
              <w:rFonts w:ascii="Times New Roman" w:eastAsia="Times New Roman"/>
            </w:rPr>
          </w:pPr>
          <w:hyperlink w:history="true" w:anchor="_TOC_250001">
            <w:r>
              <w:rPr/>
              <w:t>与主险合同效力的关系</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20" w:after="0"/>
            <w:ind w:left="1011" w:right="0" w:hanging="474"/>
            <w:jc w:val="left"/>
            <w:rPr>
              <w:rFonts w:ascii="Times New Roman" w:eastAsia="Times New Roman"/>
            </w:rPr>
          </w:pPr>
          <w:hyperlink w:history="true" w:anchor="_TOC_250000">
            <w:r>
              <w:rPr/>
              <w:t>适用主险合同条款</w:t>
              <w:tab/>
            </w:r>
            <w:r>
              <w:rPr>
                <w:rFonts w:ascii="Times New Roman" w:eastAsia="Times New Roman"/>
              </w:rPr>
              <w:t>5</w:t>
            </w:r>
          </w:hyperlink>
        </w:p>
        <w:p>
          <w:pPr>
            <w:pStyle w:val="TOC2"/>
            <w:tabs>
              <w:tab w:pos="9760" w:val="right" w:leader="dot"/>
            </w:tabs>
            <w:ind w:left="537" w:firstLine="0"/>
            <w:rPr>
              <w:rFonts w:ascii="Times New Roman" w:eastAsia="Times New Roman"/>
            </w:rPr>
          </w:pPr>
          <w:r>
            <w:rPr/>
            <w:t>附表一：重大疾病名称及定义和早期治疗保险金疾病名称及定义</w:t>
            <w:tab/>
          </w:r>
          <w:r>
            <w:rPr>
              <w:rFonts w:ascii="Times New Roman" w:eastAsia="Times New Roman"/>
            </w:rPr>
            <w:t>6</w:t>
          </w:r>
        </w:p>
      </w:sdtContent>
    </w:sdt>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0"/>
        <w:ind w:left="0"/>
        <w:rPr>
          <w:rFonts w:ascii="Times New Roman"/>
          <w:sz w:val="22"/>
        </w:rPr>
      </w:pPr>
    </w:p>
    <w:p>
      <w:pPr>
        <w:pStyle w:val="BodyText"/>
        <w:spacing w:before="8"/>
        <w:ind w:left="0"/>
        <w:rPr>
          <w:rFonts w:ascii="Times New Roman"/>
          <w:sz w:val="22"/>
        </w:rPr>
      </w:pPr>
    </w:p>
    <w:p>
      <w:pPr>
        <w:pStyle w:val="BodyText"/>
        <w:spacing w:before="0"/>
        <w:ind w:left="0" w:right="1366"/>
        <w:jc w:val="right"/>
        <w:rPr>
          <w:rFonts w:ascii="Times New Roman"/>
        </w:rPr>
      </w:pPr>
      <w:r>
        <w:rPr>
          <w:rFonts w:ascii="Times New Roman"/>
        </w:rPr>
        <w:t>0204</w:t>
      </w:r>
    </w:p>
    <w:p>
      <w:pPr>
        <w:spacing w:after="0"/>
        <w:jc w:val="right"/>
        <w:rPr>
          <w:rFonts w:ascii="Times New Roman"/>
        </w:rPr>
        <w:sectPr>
          <w:type w:val="continuous"/>
          <w:pgSz w:w="11910" w:h="16840"/>
          <w:pgMar w:top="520" w:bottom="280" w:left="960" w:right="740"/>
        </w:sectPr>
      </w:pPr>
    </w:p>
    <w:p>
      <w:pPr>
        <w:pStyle w:val="Heading1"/>
        <w:numPr>
          <w:ilvl w:val="0"/>
          <w:numId w:val="2"/>
        </w:numPr>
        <w:tabs>
          <w:tab w:pos="487" w:val="left" w:leader="none"/>
          <w:tab w:pos="488" w:val="left" w:leader="none"/>
        </w:tabs>
        <w:spacing w:line="240" w:lineRule="auto" w:before="15" w:after="0"/>
        <w:ind w:left="487" w:right="0" w:hanging="370"/>
        <w:jc w:val="left"/>
      </w:pPr>
      <w:bookmarkStart w:name="_TOC_250023" w:id="1"/>
      <w:bookmarkEnd w:id="1"/>
      <w:r>
        <w:rPr>
          <w:w w:val="95"/>
        </w:rPr>
        <w:t>您与我们的合同</w:t>
      </w:r>
    </w:p>
    <w:p>
      <w:pPr>
        <w:pStyle w:val="BodyText"/>
        <w:spacing w:before="7"/>
        <w:ind w:left="0"/>
        <w:rPr>
          <w:b/>
          <w:sz w:val="24"/>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22" w:id="2"/>
      <w:bookmarkEnd w:id="2"/>
      <w:r>
        <w:rPr>
          <w:w w:val="95"/>
        </w:rPr>
        <w:t>合同构成</w:t>
      </w:r>
    </w:p>
    <w:p>
      <w:pPr>
        <w:pStyle w:val="BodyText"/>
        <w:spacing w:line="230" w:lineRule="auto" w:before="0"/>
        <w:ind w:left="117" w:right="158" w:firstLine="420"/>
        <w:jc w:val="both"/>
      </w:pPr>
      <w:r>
        <w:rPr/>
        <w:t>幸福附加财富人生重大疾病保险合同（以下简称本附加险合同）由以下几个部分构成：本保险条款、保险单或其他保险凭证、投保单（其复印件或电子影像印刷件与正本具有同等效力）、批注、附贴批单，以及经您与我们认可的其他书面文件。</w:t>
      </w:r>
    </w:p>
    <w:p>
      <w:pPr>
        <w:pStyle w:val="BodyText"/>
        <w:spacing w:before="7"/>
        <w:ind w:left="0"/>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21" w:id="3"/>
      <w:bookmarkEnd w:id="3"/>
      <w:r>
        <w:rPr>
          <w:w w:val="95"/>
        </w:rPr>
        <w:t>合同成立与生效</w:t>
      </w:r>
    </w:p>
    <w:p>
      <w:pPr>
        <w:pStyle w:val="BodyText"/>
        <w:spacing w:before="0"/>
        <w:ind w:left="457"/>
      </w:pPr>
      <w:r>
        <w:rPr/>
        <w:t>您提出保险申请、我们同意承保，本附加险合同成立。</w:t>
      </w:r>
    </w:p>
    <w:p>
      <w:pPr>
        <w:pStyle w:val="BodyText"/>
        <w:spacing w:line="264" w:lineRule="auto" w:before="37"/>
        <w:ind w:left="117" w:right="157" w:firstLine="420"/>
        <w:jc w:val="both"/>
      </w:pPr>
      <w:r>
        <w:rPr/>
        <w:t>本附加险合同自我们同意承保、收取首期保险费并签发保险单开始生效，具体生效日以保险单所载的日</w:t>
      </w:r>
      <w:r>
        <w:rPr>
          <w:spacing w:val="-6"/>
        </w:rPr>
        <w:t>期为准。我们自生效日零时起开始承担本附加险合同约定的保险责任，保单年度、</w:t>
      </w:r>
      <w:r>
        <w:rPr>
          <w:b/>
        </w:rPr>
        <w:t>保险费约定支付日</w:t>
      </w:r>
      <w:r>
        <w:rPr>
          <w:rFonts w:ascii="Times New Roman" w:eastAsia="Times New Roman"/>
          <w:b/>
          <w:vertAlign w:val="superscript"/>
        </w:rPr>
        <w:t>1</w:t>
      </w:r>
      <w:r>
        <w:rPr>
          <w:rFonts w:ascii="Times New Roman" w:eastAsia="Times New Roman"/>
          <w:b/>
          <w:vertAlign w:val="baseline"/>
        </w:rPr>
      </w:r>
      <w:r>
        <w:rPr>
          <w:vertAlign w:val="baseline"/>
        </w:rPr>
        <w:t>均以该日期计算。</w:t>
      </w:r>
    </w:p>
    <w:p>
      <w:pPr>
        <w:pStyle w:val="BodyText"/>
        <w:spacing w:before="0"/>
        <w:ind w:left="0"/>
        <w:rPr>
          <w:sz w:val="20"/>
        </w:rPr>
      </w:pPr>
    </w:p>
    <w:p>
      <w:pPr>
        <w:pStyle w:val="BodyText"/>
        <w:spacing w:before="3"/>
        <w:ind w:left="0"/>
        <w:rPr>
          <w:sz w:val="22"/>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20" w:id="4"/>
      <w:bookmarkEnd w:id="4"/>
      <w:r>
        <w:rPr>
          <w:w w:val="95"/>
        </w:rPr>
        <w:t>投保范围</w:t>
      </w:r>
    </w:p>
    <w:p>
      <w:pPr>
        <w:pStyle w:val="BodyText"/>
        <w:spacing w:before="9"/>
        <w:ind w:left="537"/>
      </w:pPr>
      <w:r>
        <w:rPr/>
        <w:t>年龄为出生满 </w:t>
      </w:r>
      <w:r>
        <w:rPr>
          <w:rFonts w:ascii="Times New Roman" w:eastAsia="Times New Roman"/>
        </w:rPr>
        <w:t>30 </w:t>
      </w:r>
      <w:r>
        <w:rPr/>
        <w:t>日至 </w:t>
      </w:r>
      <w:r>
        <w:rPr>
          <w:rFonts w:ascii="Times New Roman" w:eastAsia="Times New Roman"/>
        </w:rPr>
        <w:t>50 </w:t>
      </w:r>
      <w:r>
        <w:rPr>
          <w:b/>
        </w:rPr>
        <w:t>周岁</w:t>
      </w:r>
      <w:r>
        <w:rPr>
          <w:rFonts w:ascii="Times New Roman" w:eastAsia="Times New Roman"/>
          <w:b/>
          <w:vertAlign w:val="superscript"/>
        </w:rPr>
        <w:t>2</w:t>
      </w:r>
      <w:r>
        <w:rPr>
          <w:rFonts w:ascii="Times New Roman" w:eastAsia="Times New Roman"/>
          <w:b/>
          <w:vertAlign w:val="baseline"/>
        </w:rPr>
      </w:r>
      <w:r>
        <w:rPr>
          <w:vertAlign w:val="baseline"/>
        </w:rPr>
        <w:t>、身体健康的人可作为本附加险合同的被保险人。</w:t>
      </w:r>
    </w:p>
    <w:p>
      <w:pPr>
        <w:pStyle w:val="BodyText"/>
        <w:spacing w:before="6"/>
        <w:ind w:left="0"/>
        <w:rPr>
          <w:sz w:val="24"/>
        </w:rPr>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19" w:id="5"/>
      <w:bookmarkEnd w:id="5"/>
      <w:r>
        <w:rPr>
          <w:w w:val="95"/>
        </w:rPr>
        <w:t>保险期间</w:t>
      </w:r>
    </w:p>
    <w:p>
      <w:pPr>
        <w:pStyle w:val="BodyText"/>
        <w:spacing w:line="256" w:lineRule="auto" w:before="0"/>
        <w:ind w:left="117" w:right="103" w:firstLine="435"/>
      </w:pPr>
      <w:r>
        <w:rPr>
          <w:spacing w:val="-3"/>
        </w:rPr>
        <w:t>本附加险合同的保险期间为自生效日零时起至被保险人满 </w:t>
      </w:r>
      <w:r>
        <w:rPr>
          <w:rFonts w:ascii="Times New Roman" w:eastAsia="Times New Roman"/>
        </w:rPr>
        <w:t>80 </w:t>
      </w:r>
      <w:r>
        <w:rPr>
          <w:spacing w:val="-28"/>
        </w:rPr>
        <w:t>或 </w:t>
      </w:r>
      <w:r>
        <w:rPr>
          <w:rFonts w:ascii="Times New Roman" w:eastAsia="Times New Roman"/>
        </w:rPr>
        <w:t>88 </w:t>
      </w:r>
      <w:r>
        <w:rPr/>
        <w:t>周岁后的首个</w:t>
      </w:r>
      <w:r>
        <w:rPr>
          <w:b/>
        </w:rPr>
        <w:t>保险单周年日</w:t>
      </w:r>
      <w:r>
        <w:rPr>
          <w:rFonts w:ascii="Times New Roman" w:eastAsia="Times New Roman"/>
          <w:vertAlign w:val="superscript"/>
        </w:rPr>
        <w:t>3</w:t>
      </w:r>
      <w:r>
        <w:rPr>
          <w:rFonts w:ascii="Times New Roman" w:eastAsia="Times New Roman"/>
          <w:vertAlign w:val="baseline"/>
        </w:rPr>
      </w:r>
      <w:r>
        <w:rPr>
          <w:vertAlign w:val="baseline"/>
        </w:rPr>
        <w:t>零时止， 本附加险合同的保险期间由您与我们约定并于保险单上载明。</w:t>
      </w:r>
    </w:p>
    <w:p>
      <w:pPr>
        <w:pStyle w:val="BodyText"/>
        <w:spacing w:before="8"/>
        <w:ind w:left="0"/>
        <w:rPr>
          <w:sz w:val="22"/>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8" w:id="6"/>
      <w:bookmarkEnd w:id="6"/>
      <w:r>
        <w:rPr>
          <w:w w:val="95"/>
        </w:rPr>
        <w:t>我们提供的保障</w:t>
      </w:r>
    </w:p>
    <w:p>
      <w:pPr>
        <w:pStyle w:val="BodyText"/>
        <w:spacing w:before="6"/>
        <w:ind w:left="0"/>
        <w:rPr>
          <w:b/>
          <w:sz w:val="24"/>
        </w:rPr>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17" w:id="7"/>
      <w:bookmarkEnd w:id="7"/>
      <w:r>
        <w:rPr>
          <w:w w:val="95"/>
        </w:rPr>
        <w:t>保险金额</w:t>
      </w:r>
    </w:p>
    <w:p>
      <w:pPr>
        <w:pStyle w:val="BodyText"/>
        <w:spacing w:before="0"/>
        <w:ind w:left="117"/>
      </w:pPr>
      <w:r>
        <w:rPr/>
        <w:t>（</w:t>
      </w:r>
      <w:r>
        <w:rPr>
          <w:rFonts w:ascii="Times New Roman" w:eastAsia="Times New Roman"/>
        </w:rPr>
        <w:t>1</w:t>
      </w:r>
      <w:r>
        <w:rPr/>
        <w:t>）基本保险金额</w:t>
      </w:r>
    </w:p>
    <w:p>
      <w:pPr>
        <w:pStyle w:val="BodyText"/>
        <w:spacing w:line="273" w:lineRule="auto"/>
        <w:ind w:left="117" w:right="158" w:firstLine="435"/>
      </w:pPr>
      <w:r>
        <w:rPr/>
        <w:t>本附加险合同的基本保险金额由您在投保时与我们约定并在保险单上载明。若该金额发生变更，则以变更后的金额为基本保险金额。</w:t>
      </w:r>
    </w:p>
    <w:p>
      <w:pPr>
        <w:pStyle w:val="BodyText"/>
        <w:spacing w:line="262" w:lineRule="exact" w:before="0"/>
        <w:ind w:left="537"/>
      </w:pPr>
      <w:r>
        <w:rPr/>
        <w:t>在本附加险合同有效期内，本附加险合同的基本保险金额等于主险合同的基本保险金额。</w:t>
      </w:r>
    </w:p>
    <w:p>
      <w:pPr>
        <w:pStyle w:val="BodyText"/>
        <w:spacing w:before="10"/>
        <w:ind w:left="117"/>
      </w:pPr>
      <w:r>
        <w:rPr/>
        <w:t>（</w:t>
      </w:r>
      <w:r>
        <w:rPr>
          <w:rFonts w:ascii="Times New Roman" w:eastAsia="Times New Roman"/>
        </w:rPr>
        <w:t>2</w:t>
      </w:r>
      <w:r>
        <w:rPr/>
        <w:t>）保险金额</w:t>
      </w:r>
    </w:p>
    <w:p>
      <w:pPr>
        <w:pStyle w:val="BodyText"/>
        <w:spacing w:before="31"/>
        <w:ind w:left="537"/>
      </w:pPr>
      <w:r>
        <w:rPr/>
        <w:t>本附加险合同的保险金额具体参见本条款保险责任部分。</w:t>
      </w:r>
    </w:p>
    <w:p>
      <w:pPr>
        <w:pStyle w:val="BodyText"/>
        <w:spacing w:before="1"/>
        <w:ind w:left="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6" w:id="8"/>
      <w:bookmarkEnd w:id="8"/>
      <w:r>
        <w:rPr>
          <w:w w:val="95"/>
        </w:rPr>
        <w:t>保险责任</w:t>
      </w:r>
    </w:p>
    <w:p>
      <w:pPr>
        <w:pStyle w:val="BodyText"/>
        <w:spacing w:before="9"/>
        <w:ind w:left="537"/>
      </w:pPr>
      <w:r>
        <w:rPr/>
        <w:t>在本附加险合同有效期内，我们承担以下保险责任：</w:t>
      </w:r>
    </w:p>
    <w:p>
      <w:pPr>
        <w:pStyle w:val="BodyText"/>
        <w:spacing w:line="291" w:lineRule="exact" w:before="44"/>
        <w:ind w:left="117"/>
      </w:pPr>
      <w:r>
        <w:rPr/>
        <w:t>（</w:t>
      </w:r>
      <w:r>
        <w:rPr>
          <w:rFonts w:ascii="Times New Roman" w:eastAsia="Times New Roman"/>
        </w:rPr>
        <w:t>1</w:t>
      </w:r>
      <w:r>
        <w:rPr/>
        <w:t>）早期治疗保险金</w:t>
      </w:r>
    </w:p>
    <w:p>
      <w:pPr>
        <w:pStyle w:val="BodyText"/>
        <w:spacing w:line="256" w:lineRule="auto" w:before="0"/>
        <w:ind w:left="117" w:right="184" w:firstLine="419"/>
      </w:pPr>
      <w:r>
        <w:rPr/>
        <w:t>自本附加险合同生效日或最后复效日（以较迟者为准）起</w:t>
      </w:r>
      <w:r>
        <w:rPr>
          <w:rFonts w:ascii="Times New Roman" w:eastAsia="Times New Roman"/>
        </w:rPr>
        <w:t>180</w:t>
      </w:r>
      <w:r>
        <w:rPr/>
        <w:t>天后，被保险人首次</w:t>
      </w:r>
      <w:r>
        <w:rPr>
          <w:b/>
        </w:rPr>
        <w:t>发病</w:t>
      </w:r>
      <w:r>
        <w:rPr>
          <w:b/>
          <w:position w:val="11"/>
          <w:sz w:val="11"/>
        </w:rPr>
        <w:t>4</w:t>
      </w:r>
      <w:r>
        <w:rPr/>
        <w:t>并经</w:t>
      </w:r>
      <w:r>
        <w:rPr>
          <w:b/>
        </w:rPr>
        <w:t>医院</w:t>
      </w:r>
      <w:r>
        <w:rPr>
          <w:b/>
          <w:position w:val="11"/>
          <w:sz w:val="11"/>
        </w:rPr>
        <w:t>5</w:t>
      </w:r>
      <w:r>
        <w:rPr/>
        <w:t>确诊首</w:t>
      </w:r>
      <w:r>
        <w:rPr>
          <w:w w:val="95"/>
        </w:rPr>
        <w:t>次患一项或多项本条款附表一所定义的早期治疗保险金疾病（但因遭受</w:t>
      </w:r>
      <w:r>
        <w:rPr>
          <w:b/>
          <w:w w:val="95"/>
        </w:rPr>
        <w:t>意外伤害事故</w:t>
      </w:r>
      <w:r>
        <w:rPr>
          <w:b/>
          <w:w w:val="95"/>
          <w:position w:val="11"/>
          <w:sz w:val="11"/>
        </w:rPr>
        <w:t>6</w:t>
      </w:r>
      <w:r>
        <w:rPr>
          <w:w w:val="95"/>
        </w:rPr>
        <w:t>导致的不受此180天限</w:t>
      </w:r>
    </w:p>
    <w:p>
      <w:pPr>
        <w:pStyle w:val="BodyText"/>
        <w:spacing w:before="7"/>
        <w:ind w:left="0"/>
        <w:rPr>
          <w:sz w:val="10"/>
        </w:rPr>
      </w:pPr>
      <w:r>
        <w:rPr/>
        <w:pict>
          <v:line style="position:absolute;mso-position-horizontal-relative:page;mso-position-vertical-relative:paragraph;z-index:1048;mso-wrap-distance-left:0;mso-wrap-distance-right:0" from="53.880001pt,9.167031pt" to="197.880001pt,9.167031pt" stroked="true" strokeweight=".54001pt" strokecolor="#000000">
            <v:stroke dashstyle="solid"/>
            <w10:wrap type="topAndBottom"/>
          </v:line>
        </w:pict>
      </w:r>
    </w:p>
    <w:p>
      <w:pPr>
        <w:spacing w:line="235" w:lineRule="exact" w:before="30"/>
        <w:ind w:left="117"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一般为保险单或批注上列明的合同生效日在每月、每季、每半年或每年（根据交费方式确定）的对应日。</w:t>
      </w:r>
    </w:p>
    <w:p>
      <w:pPr>
        <w:spacing w:line="230" w:lineRule="exact" w:before="0"/>
        <w:ind w:left="117" w:right="0" w:firstLine="0"/>
        <w:jc w:val="left"/>
        <w:rPr>
          <w:rFonts w:ascii="楷体" w:eastAsia="楷体" w:hint="eastAsia"/>
          <w:sz w:val="18"/>
        </w:rPr>
      </w:pPr>
      <w:r>
        <w:rPr>
          <w:rFonts w:ascii="楷体" w:eastAsia="楷体" w:hint="eastAsia"/>
          <w:sz w:val="18"/>
        </w:rPr>
        <w:t>如果当月无对应的同一日，则以该月最后一日为对应日。</w:t>
      </w:r>
    </w:p>
    <w:p>
      <w:pPr>
        <w:spacing w:line="251" w:lineRule="exact" w:before="0"/>
        <w:ind w:left="117" w:right="0" w:firstLine="0"/>
        <w:jc w:val="left"/>
        <w:rPr>
          <w:rFonts w:ascii="楷体" w:eastAsia="楷体" w:hint="eastAsia"/>
          <w:sz w:val="18"/>
        </w:rPr>
      </w:pPr>
      <w:r>
        <w:rPr>
          <w:rFonts w:ascii="Times New Roman" w:eastAsia="Times New Roman"/>
          <w:w w:val="95"/>
          <w:position w:val="10"/>
          <w:sz w:val="14"/>
        </w:rPr>
        <w:t>2</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指按有效身份证件中记载的出生日期计算的年龄，自出生之日起为零周岁，每经过一年增加一岁，不足一年的不计。</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3</w:t>
      </w:r>
      <w:r>
        <w:rPr>
          <w:rFonts w:ascii="楷体" w:eastAsia="楷体" w:hint="eastAsia"/>
          <w:b/>
          <w:w w:val="95"/>
          <w:sz w:val="18"/>
        </w:rPr>
        <w:t>保险单周年日：</w:t>
      </w:r>
      <w:r>
        <w:rPr>
          <w:rFonts w:ascii="楷体" w:eastAsia="楷体" w:hint="eastAsia"/>
          <w:w w:val="95"/>
          <w:sz w:val="18"/>
        </w:rPr>
        <w:t>指在本附加险合同有效期内，每一个保单年度内本附加险合同生效日期的对应日，如果当月无对应的同一日，</w:t>
      </w:r>
    </w:p>
    <w:p>
      <w:pPr>
        <w:spacing w:line="233" w:lineRule="exact" w:before="0"/>
        <w:ind w:left="117" w:right="0" w:firstLine="0"/>
        <w:jc w:val="left"/>
        <w:rPr>
          <w:rFonts w:ascii="楷体" w:eastAsia="楷体" w:hint="eastAsia"/>
          <w:sz w:val="18"/>
        </w:rPr>
      </w:pPr>
      <w:r>
        <w:rPr>
          <w:rFonts w:ascii="楷体" w:eastAsia="楷体" w:hint="eastAsia"/>
          <w:sz w:val="18"/>
        </w:rPr>
        <w:t>则以该月最后一日作为对应日。</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指被保险人出现本附加险合同所界定疾病的前兆或异常的身体状况，或已经显现足以使一般人士引起注意并寻求诊断、</w:t>
      </w:r>
    </w:p>
    <w:p>
      <w:pPr>
        <w:spacing w:line="233" w:lineRule="exact" w:before="0"/>
        <w:ind w:left="117" w:right="0" w:firstLine="0"/>
        <w:jc w:val="left"/>
        <w:rPr>
          <w:rFonts w:ascii="楷体" w:eastAsia="楷体" w:hint="eastAsia"/>
          <w:sz w:val="18"/>
        </w:rPr>
      </w:pPr>
      <w:r>
        <w:rPr>
          <w:rFonts w:ascii="楷体" w:eastAsia="楷体" w:hint="eastAsia"/>
          <w:sz w:val="18"/>
        </w:rPr>
        <w:t>治疗或护理的病症，但不包括本附加险合同生效或恢复效力前的任何疾病或症状。</w:t>
      </w:r>
    </w:p>
    <w:p>
      <w:pPr>
        <w:spacing w:line="234" w:lineRule="exact" w:before="0"/>
        <w:ind w:left="117" w:right="0" w:firstLine="0"/>
        <w:jc w:val="left"/>
        <w:rPr>
          <w:rFonts w:ascii="楷体" w:eastAsia="楷体" w:hint="eastAsia"/>
          <w:sz w:val="18"/>
        </w:rPr>
      </w:pPr>
      <w:r>
        <w:rPr>
          <w:rFonts w:ascii="Times New Roman" w:eastAsia="Times New Roman"/>
          <w:position w:val="8"/>
          <w:sz w:val="12"/>
        </w:rPr>
        <w:t>5</w:t>
      </w:r>
      <w:r>
        <w:rPr>
          <w:rFonts w:ascii="楷体" w:eastAsia="楷体" w:hint="eastAsia"/>
          <w:b/>
          <w:sz w:val="18"/>
        </w:rPr>
        <w:t>医院：</w:t>
      </w:r>
      <w:r>
        <w:rPr>
          <w:rFonts w:ascii="楷体" w:eastAsia="楷体" w:hint="eastAsia"/>
          <w:sz w:val="18"/>
        </w:rPr>
        <w:t>国家卫生部医院等级分类中的二级或二级以上的医院，但不包括主要为门诊、康复、护理、疗养、戒酒、戒毒或相类似</w:t>
      </w:r>
    </w:p>
    <w:p>
      <w:pPr>
        <w:spacing w:line="237" w:lineRule="auto" w:before="1"/>
        <w:ind w:left="117" w:right="158" w:firstLine="0"/>
        <w:jc w:val="left"/>
        <w:rPr>
          <w:rFonts w:ascii="楷体" w:eastAsia="楷体" w:hint="eastAsia"/>
          <w:sz w:val="18"/>
        </w:rPr>
      </w:pPr>
      <w:r>
        <w:rPr>
          <w:rFonts w:ascii="楷体" w:eastAsia="楷体" w:hint="eastAsia"/>
          <w:spacing w:val="-9"/>
          <w:sz w:val="18"/>
        </w:rPr>
        <w:t>的医疗机构。同时该医院必须具有符合有关医院管理规定设置标准的医疗设备，并且提供 </w:t>
      </w:r>
      <w:r>
        <w:rPr>
          <w:rFonts w:ascii="楷体" w:eastAsia="楷体" w:hint="eastAsia"/>
          <w:sz w:val="18"/>
        </w:rPr>
        <w:t>24</w:t>
      </w:r>
      <w:r>
        <w:rPr>
          <w:rFonts w:ascii="楷体" w:eastAsia="楷体" w:hint="eastAsia"/>
          <w:spacing w:val="-7"/>
          <w:sz w:val="18"/>
        </w:rPr>
        <w:t> 小时有合格医师及护士驻院的医疗和护理等服务。</w:t>
      </w:r>
    </w:p>
    <w:p>
      <w:pPr>
        <w:spacing w:line="234" w:lineRule="exact" w:before="0"/>
        <w:ind w:left="117" w:right="0" w:firstLine="0"/>
        <w:jc w:val="left"/>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after="0" w:line="234" w:lineRule="exact"/>
        <w:jc w:val="left"/>
        <w:rPr>
          <w:rFonts w:ascii="楷体" w:eastAsia="楷体" w:hint="eastAsia"/>
          <w:sz w:val="18"/>
        </w:rPr>
        <w:sectPr>
          <w:footerReference w:type="default" r:id="rId6"/>
          <w:pgSz w:w="11910" w:h="16840"/>
          <w:pgMar w:footer="1673" w:header="0" w:top="1380" w:bottom="1860" w:left="960" w:right="760"/>
          <w:pgNumType w:start="2"/>
        </w:sectPr>
      </w:pPr>
    </w:p>
    <w:p>
      <w:pPr>
        <w:pStyle w:val="BodyText"/>
        <w:spacing w:line="273" w:lineRule="auto" w:before="5"/>
        <w:ind w:left="117" w:right="138"/>
        <w:jc w:val="both"/>
      </w:pPr>
      <w:r>
        <w:rPr/>
        <w:t>制</w:t>
      </w:r>
      <w:r>
        <w:rPr>
          <w:spacing w:val="-23"/>
        </w:rPr>
        <w:t>），</w:t>
      </w:r>
      <w:r>
        <w:rPr/>
        <w:t>且自确诊日起生存满30</w:t>
      </w:r>
      <w:r>
        <w:rPr>
          <w:spacing w:val="-5"/>
        </w:rPr>
        <w:t>天，我们按被保险人确诊时本附加险合同基本保险金额的</w:t>
      </w:r>
      <w:r>
        <w:rPr/>
        <w:t>10%给付早期治疗保险金，本项责任终止。给付早期治疗保险金后，主险合同及本附加险合同的基本保险金额并不随之减少相应给付额度。</w:t>
      </w:r>
    </w:p>
    <w:p>
      <w:pPr>
        <w:pStyle w:val="BodyText"/>
        <w:spacing w:line="264" w:lineRule="auto" w:before="7"/>
        <w:ind w:left="117" w:right="174" w:firstLine="420"/>
        <w:jc w:val="both"/>
      </w:pPr>
      <w:r>
        <w:rPr/>
        <w:t>自本附加险合同生效日或最后复效日（以较迟者为准）起</w:t>
      </w:r>
      <w:r>
        <w:rPr>
          <w:rFonts w:ascii="Times New Roman" w:eastAsia="Times New Roman"/>
        </w:rPr>
        <w:t>180</w:t>
      </w:r>
      <w:r>
        <w:rPr/>
        <w:t>天内（含第180天），被保险人经医院确诊患一项或多项本条款附表一中列明的早期治疗保险金疾病（但因遭受意外伤害事故导致的除外），我们无息返还本附加险合同已交保险费，本附加险合同效力终止。</w:t>
      </w:r>
    </w:p>
    <w:p>
      <w:pPr>
        <w:pStyle w:val="BodyText"/>
        <w:spacing w:before="10"/>
        <w:ind w:left="0"/>
        <w:rPr>
          <w:sz w:val="27"/>
        </w:rPr>
      </w:pPr>
    </w:p>
    <w:p>
      <w:pPr>
        <w:pStyle w:val="BodyText"/>
        <w:spacing w:before="0"/>
        <w:ind w:left="117"/>
      </w:pPr>
      <w:r>
        <w:rPr/>
        <w:t>（</w:t>
      </w:r>
      <w:r>
        <w:rPr>
          <w:rFonts w:ascii="Times New Roman" w:eastAsia="Times New Roman"/>
        </w:rPr>
        <w:t>2</w:t>
      </w:r>
      <w:r>
        <w:rPr/>
        <w:t>）重大疾病保险金</w:t>
      </w:r>
    </w:p>
    <w:p>
      <w:pPr>
        <w:pStyle w:val="BodyText"/>
        <w:spacing w:line="261" w:lineRule="auto" w:before="0"/>
        <w:ind w:left="117" w:right="138" w:firstLine="419"/>
        <w:jc w:val="both"/>
      </w:pPr>
      <w:r>
        <w:rPr>
          <w:spacing w:val="-2"/>
        </w:rPr>
        <w:t>自本附加险合同生效日或最后复效日</w:t>
      </w:r>
      <w:r>
        <w:rPr/>
        <w:t>（以较迟者为准</w:t>
      </w:r>
      <w:r>
        <w:rPr>
          <w:spacing w:val="-23"/>
        </w:rPr>
        <w:t>）</w:t>
      </w:r>
      <w:r>
        <w:rPr/>
        <w:t>起</w:t>
      </w:r>
      <w:r>
        <w:rPr>
          <w:rFonts w:ascii="Times New Roman" w:eastAsia="Times New Roman"/>
        </w:rPr>
        <w:t>180</w:t>
      </w:r>
      <w:r>
        <w:rPr>
          <w:spacing w:val="-5"/>
        </w:rPr>
        <w:t>天后，被保险人首次发病并经医院确诊首次</w:t>
      </w:r>
      <w:r>
        <w:rPr>
          <w:spacing w:val="-6"/>
        </w:rPr>
        <w:t>患一项或多项本条款附表一所定义的重大疾病</w:t>
      </w:r>
      <w:r>
        <w:rPr/>
        <w:t>（但因遭受意外伤害事故导致的不受此</w:t>
      </w:r>
      <w:r>
        <w:rPr>
          <w:rFonts w:ascii="Times New Roman" w:eastAsia="Times New Roman"/>
        </w:rPr>
        <w:t>180</w:t>
      </w:r>
      <w:r>
        <w:rPr/>
        <w:t>天限制</w:t>
      </w:r>
      <w:r>
        <w:rPr>
          <w:spacing w:val="-23"/>
        </w:rPr>
        <w:t>），</w:t>
      </w:r>
      <w:r>
        <w:rPr/>
        <w:t>且自确诊日起生存满30天，我们按被保险人确诊时本附加险合同的基本保险金额给付重大疾病保险金，本附加险合同效力终止。</w:t>
      </w:r>
    </w:p>
    <w:p>
      <w:pPr>
        <w:pStyle w:val="BodyText"/>
        <w:spacing w:line="264" w:lineRule="auto" w:before="18"/>
        <w:ind w:left="117" w:right="174" w:firstLine="420"/>
        <w:jc w:val="both"/>
      </w:pPr>
      <w:r>
        <w:rPr/>
        <w:t>自本附加险合同生效日或最后复效日（以较迟者为准）起</w:t>
      </w:r>
      <w:r>
        <w:rPr>
          <w:rFonts w:ascii="Times New Roman" w:eastAsia="Times New Roman"/>
        </w:rPr>
        <w:t>180</w:t>
      </w:r>
      <w:r>
        <w:rPr/>
        <w:t>天内（含第180天），被保险人经医院确诊患一项或多项本条款附表一所定义的重大疾病（但因遭受意外伤害事故导致的除外），我们无息返还本附加险合同已交保险费，本附加险合同效力终止。</w:t>
      </w:r>
    </w:p>
    <w:p>
      <w:pPr>
        <w:pStyle w:val="BodyText"/>
        <w:spacing w:before="10"/>
        <w:ind w:left="0"/>
        <w:rPr>
          <w:sz w:val="25"/>
        </w:rPr>
      </w:pPr>
    </w:p>
    <w:p>
      <w:pPr>
        <w:pStyle w:val="BodyText"/>
        <w:spacing w:before="0"/>
        <w:ind w:left="537"/>
      </w:pPr>
      <w:r>
        <w:rPr/>
        <w:t>被保险人在本附加险合同生效日时已满 </w:t>
      </w:r>
      <w:r>
        <w:rPr>
          <w:rFonts w:ascii="Times New Roman" w:eastAsia="Times New Roman"/>
        </w:rPr>
        <w:t>18  </w:t>
      </w:r>
      <w:r>
        <w:rPr/>
        <w:t>周岁的，如果被保险人在本附加险合同生效日或最后复效日</w:t>
      </w:r>
    </w:p>
    <w:p>
      <w:pPr>
        <w:pStyle w:val="BodyText"/>
        <w:spacing w:line="247" w:lineRule="auto" w:before="8"/>
        <w:ind w:left="117" w:right="67"/>
      </w:pPr>
      <w:r>
        <w:rPr/>
        <w:t>（以较迟者为准）起 </w:t>
      </w:r>
      <w:r>
        <w:rPr>
          <w:rFonts w:ascii="Times New Roman" w:eastAsia="Times New Roman"/>
        </w:rPr>
        <w:t>180 </w:t>
      </w:r>
      <w:r>
        <w:rPr/>
        <w:t>天内（含第 </w:t>
      </w:r>
      <w:r>
        <w:rPr>
          <w:rFonts w:ascii="Times New Roman" w:eastAsia="Times New Roman"/>
        </w:rPr>
        <w:t>180 </w:t>
      </w:r>
      <w:r>
        <w:rPr/>
        <w:t>天）因疾病身故，我们无息退还本附加险合同的已交保险费，本附加险合同效力终止。</w:t>
      </w:r>
    </w:p>
    <w:p>
      <w:pPr>
        <w:pStyle w:val="BodyText"/>
        <w:spacing w:line="247" w:lineRule="auto" w:before="18"/>
        <w:ind w:left="117" w:right="137" w:firstLine="420"/>
        <w:jc w:val="both"/>
      </w:pPr>
      <w:r>
        <w:rPr>
          <w:spacing w:val="-4"/>
        </w:rPr>
        <w:t>被保险人在本附加险合同生效日时未满 </w:t>
      </w:r>
      <w:r>
        <w:rPr>
          <w:rFonts w:ascii="Times New Roman" w:eastAsia="Times New Roman"/>
        </w:rPr>
        <w:t>18 </w:t>
      </w:r>
      <w:r>
        <w:rPr>
          <w:spacing w:val="-14"/>
        </w:rPr>
        <w:t>周岁的，如果被保险人在年满 </w:t>
      </w:r>
      <w:r>
        <w:rPr>
          <w:rFonts w:ascii="Times New Roman" w:eastAsia="Times New Roman"/>
        </w:rPr>
        <w:t>18 </w:t>
      </w:r>
      <w:r>
        <w:rPr>
          <w:spacing w:val="-8"/>
        </w:rPr>
        <w:t>周岁的首个保险单周年日</w:t>
      </w:r>
      <w:r>
        <w:rPr/>
        <w:t>（不含）前身故，我们无息退还本附加险合同的已交保险费，本附加险合同效力终止。</w:t>
      </w:r>
    </w:p>
    <w:p>
      <w:pPr>
        <w:pStyle w:val="BodyText"/>
        <w:spacing w:before="3"/>
        <w:ind w:left="0"/>
        <w:rPr>
          <w:sz w:val="25"/>
        </w:rPr>
      </w:pPr>
    </w:p>
    <w:p>
      <w:pPr>
        <w:pStyle w:val="Heading1"/>
        <w:numPr>
          <w:ilvl w:val="1"/>
          <w:numId w:val="2"/>
        </w:numPr>
        <w:tabs>
          <w:tab w:pos="592" w:val="left" w:leader="none"/>
        </w:tabs>
        <w:spacing w:line="291" w:lineRule="exact" w:before="0" w:after="0"/>
        <w:ind w:left="591" w:right="0" w:hanging="474"/>
        <w:jc w:val="both"/>
      </w:pPr>
      <w:bookmarkStart w:name="_TOC_250015" w:id="9"/>
      <w:bookmarkEnd w:id="9"/>
      <w:r>
        <w:rPr>
          <w:w w:val="95"/>
        </w:rPr>
        <w:t>责任免除</w:t>
      </w:r>
    </w:p>
    <w:p>
      <w:pPr>
        <w:spacing w:before="0"/>
        <w:ind w:left="540" w:right="0" w:firstLine="0"/>
        <w:jc w:val="left"/>
        <w:rPr>
          <w:b/>
          <w:sz w:val="21"/>
        </w:rPr>
      </w:pPr>
      <w:r>
        <w:rPr>
          <w:b/>
          <w:w w:val="95"/>
          <w:sz w:val="21"/>
        </w:rPr>
        <w:t>因下列情形之一导致保险事故的，我们不承担保险金给付责任：</w:t>
      </w:r>
    </w:p>
    <w:p>
      <w:pPr>
        <w:spacing w:before="38"/>
        <w:ind w:left="117" w:right="0" w:firstLine="0"/>
        <w:jc w:val="both"/>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17" w:right="0" w:firstLine="0"/>
        <w:jc w:val="both"/>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before="21"/>
        <w:ind w:left="117" w:right="0" w:firstLine="0"/>
        <w:jc w:val="both"/>
        <w:rPr>
          <w:b/>
          <w:sz w:val="21"/>
        </w:rPr>
      </w:pPr>
      <w:r>
        <w:rPr>
          <w:b/>
          <w:w w:val="95"/>
          <w:sz w:val="21"/>
        </w:rPr>
        <w:t>（</w:t>
      </w:r>
      <w:r>
        <w:rPr>
          <w:rFonts w:ascii="Times New Roman" w:eastAsia="Times New Roman"/>
          <w:b/>
          <w:w w:val="95"/>
          <w:sz w:val="21"/>
        </w:rPr>
        <w:t>3</w:t>
      </w:r>
      <w:r>
        <w:rPr>
          <w:b/>
          <w:w w:val="95"/>
          <w:sz w:val="21"/>
        </w:rPr>
        <w:t>）被保险人主动吸食或注射毒品</w:t>
      </w:r>
      <w:r>
        <w:rPr>
          <w:rFonts w:ascii="Times New Roman" w:eastAsia="Times New Roman"/>
          <w:w w:val="95"/>
          <w:sz w:val="21"/>
          <w:vertAlign w:val="superscript"/>
        </w:rPr>
        <w:t>7</w:t>
      </w:r>
      <w:r>
        <w:rPr>
          <w:rFonts w:ascii="Times New Roman" w:eastAsia="Times New Roman"/>
          <w:w w:val="95"/>
          <w:sz w:val="21"/>
          <w:vertAlign w:val="baseline"/>
        </w:rPr>
      </w:r>
      <w:r>
        <w:rPr>
          <w:b/>
          <w:w w:val="95"/>
          <w:sz w:val="21"/>
          <w:vertAlign w:val="baseline"/>
        </w:rPr>
        <w:t>；</w:t>
      </w:r>
    </w:p>
    <w:p>
      <w:pPr>
        <w:spacing w:before="21"/>
        <w:ind w:left="117" w:right="0" w:firstLine="0"/>
        <w:jc w:val="both"/>
        <w:rPr>
          <w:b/>
          <w:sz w:val="21"/>
        </w:rPr>
      </w:pPr>
      <w:r>
        <w:rPr>
          <w:b/>
          <w:sz w:val="21"/>
        </w:rPr>
        <w:t>（</w:t>
      </w:r>
      <w:r>
        <w:rPr>
          <w:rFonts w:ascii="Times New Roman" w:eastAsia="Times New Roman"/>
          <w:b/>
          <w:sz w:val="21"/>
        </w:rPr>
        <w:t>4</w:t>
      </w:r>
      <w:r>
        <w:rPr>
          <w:b/>
          <w:sz w:val="21"/>
        </w:rPr>
        <w:t>）被保险人酒后驾驶</w:t>
      </w:r>
      <w:r>
        <w:rPr>
          <w:rFonts w:ascii="Times New Roman" w:eastAsia="Times New Roman"/>
          <w:sz w:val="21"/>
          <w:vertAlign w:val="superscript"/>
        </w:rPr>
        <w:t>8</w:t>
      </w:r>
      <w:r>
        <w:rPr>
          <w:rFonts w:ascii="Times New Roman" w:eastAsia="Times New Roman"/>
          <w:sz w:val="21"/>
          <w:vertAlign w:val="baseline"/>
        </w:rPr>
      </w:r>
      <w:r>
        <w:rPr>
          <w:b/>
          <w:sz w:val="21"/>
          <w:vertAlign w:val="baseline"/>
        </w:rPr>
        <w:t>、无合法有效驾驶证驾驶</w:t>
      </w:r>
      <w:r>
        <w:rPr>
          <w:rFonts w:ascii="Times New Roman" w:eastAsia="Times New Roman"/>
          <w:sz w:val="21"/>
          <w:vertAlign w:val="superscript"/>
        </w:rPr>
        <w:t>9</w:t>
      </w:r>
      <w:r>
        <w:rPr>
          <w:rFonts w:ascii="Times New Roman" w:eastAsia="Times New Roman"/>
          <w:sz w:val="21"/>
          <w:vertAlign w:val="baseline"/>
        </w:rPr>
      </w:r>
      <w:r>
        <w:rPr>
          <w:b/>
          <w:sz w:val="21"/>
          <w:vertAlign w:val="baseline"/>
        </w:rPr>
        <w:t>，或驾驶无有效行驶证</w:t>
      </w:r>
      <w:r>
        <w:rPr>
          <w:rFonts w:ascii="Times New Roman" w:eastAsia="Times New Roman"/>
          <w:b/>
          <w:sz w:val="21"/>
          <w:vertAlign w:val="superscript"/>
        </w:rPr>
        <w:t>10</w:t>
      </w:r>
      <w:r>
        <w:rPr>
          <w:rFonts w:ascii="Times New Roman" w:eastAsia="Times New Roman"/>
          <w:b/>
          <w:sz w:val="21"/>
          <w:vertAlign w:val="baseline"/>
        </w:rPr>
        <w:t> </w:t>
      </w:r>
      <w:r>
        <w:rPr>
          <w:b/>
          <w:sz w:val="21"/>
          <w:vertAlign w:val="baseline"/>
        </w:rPr>
        <w:t>的机动车；</w:t>
      </w:r>
    </w:p>
    <w:p>
      <w:pPr>
        <w:spacing w:before="21"/>
        <w:ind w:left="117" w:right="0" w:firstLine="0"/>
        <w:jc w:val="both"/>
        <w:rPr>
          <w:b/>
          <w:sz w:val="21"/>
        </w:rPr>
      </w:pPr>
      <w:r>
        <w:rPr>
          <w:b/>
          <w:spacing w:val="0"/>
          <w:w w:val="99"/>
          <w:sz w:val="21"/>
        </w:rPr>
        <w:t>（</w:t>
      </w:r>
      <w:r>
        <w:rPr>
          <w:rFonts w:ascii="Times New Roman" w:eastAsia="Times New Roman"/>
          <w:b/>
          <w:sz w:val="21"/>
        </w:rPr>
        <w:t>5</w:t>
      </w:r>
      <w:r>
        <w:rPr>
          <w:b/>
          <w:spacing w:val="0"/>
          <w:w w:val="99"/>
          <w:sz w:val="21"/>
        </w:rPr>
        <w:t>）</w:t>
      </w:r>
      <w:r>
        <w:rPr>
          <w:b/>
          <w:w w:val="99"/>
          <w:sz w:val="21"/>
        </w:rPr>
        <w:t>被保险人感染艾滋病病毒或患艾滋病</w:t>
      </w:r>
      <w:r>
        <w:rPr>
          <w:b/>
          <w:spacing w:val="-1"/>
          <w:sz w:val="21"/>
        </w:rPr>
        <w:t> </w:t>
      </w:r>
      <w:r>
        <w:rPr>
          <w:rFonts w:ascii="Times New Roman" w:eastAsia="Times New Roman"/>
          <w:b/>
          <w:w w:val="97"/>
          <w:sz w:val="21"/>
          <w:vertAlign w:val="superscript"/>
        </w:rPr>
        <w:t>11</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17" w:right="0" w:firstLine="0"/>
        <w:jc w:val="both"/>
        <w:rPr>
          <w:b/>
          <w:sz w:val="21"/>
        </w:rPr>
      </w:pPr>
      <w:r>
        <w:rPr>
          <w:b/>
          <w:w w:val="95"/>
          <w:sz w:val="21"/>
        </w:rPr>
        <w:t>（</w:t>
      </w:r>
      <w:r>
        <w:rPr>
          <w:rFonts w:ascii="Times New Roman" w:eastAsia="Times New Roman"/>
          <w:b/>
          <w:w w:val="95"/>
          <w:sz w:val="21"/>
        </w:rPr>
        <w:t>6</w:t>
      </w:r>
      <w:r>
        <w:rPr>
          <w:b/>
          <w:w w:val="95"/>
          <w:sz w:val="21"/>
        </w:rPr>
        <w:t>）战争、军事冲突、暴乱或武装叛乱；</w:t>
      </w:r>
    </w:p>
    <w:p>
      <w:pPr>
        <w:pStyle w:val="BodyText"/>
        <w:spacing w:before="3"/>
        <w:ind w:left="0"/>
        <w:rPr>
          <w:b/>
          <w:sz w:val="19"/>
        </w:rPr>
      </w:pPr>
      <w:r>
        <w:rPr/>
        <w:pict>
          <v:line style="position:absolute;mso-position-horizontal-relative:page;mso-position-vertical-relative:paragraph;z-index:1072;mso-wrap-distance-left:0;mso-wrap-distance-right:0" from="53.880001pt,14.83675pt" to="197.880001pt,14.83675pt" stroked="true" strokeweight=".54001pt" strokecolor="#000000">
            <v:stroke dashstyle="solid"/>
            <w10:wrap type="topAndBottom"/>
          </v:line>
        </w:pict>
      </w:r>
    </w:p>
    <w:p>
      <w:pPr>
        <w:spacing w:before="21"/>
        <w:ind w:left="117" w:right="0" w:firstLine="0"/>
        <w:jc w:val="both"/>
        <w:rPr>
          <w:rFonts w:ascii="楷体" w:eastAsia="楷体" w:hint="eastAsia"/>
          <w:sz w:val="18"/>
        </w:rPr>
      </w:pPr>
      <w:r>
        <w:rPr>
          <w:rFonts w:ascii="Times New Roman" w:eastAsia="Times New Roman"/>
          <w:w w:val="95"/>
          <w:position w:val="10"/>
          <w:sz w:val="14"/>
        </w:rPr>
        <w:t>7</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、吗啡、大麻、可卡因以及国家规定管制的其他能够</w:t>
      </w:r>
    </w:p>
    <w:p>
      <w:pPr>
        <w:spacing w:before="3"/>
        <w:ind w:left="117" w:right="0" w:firstLine="0"/>
        <w:jc w:val="both"/>
        <w:rPr>
          <w:rFonts w:ascii="楷体" w:eastAsia="楷体" w:hint="eastAsia"/>
          <w:sz w:val="18"/>
        </w:rPr>
      </w:pPr>
      <w:r>
        <w:rPr>
          <w:rFonts w:ascii="楷体" w:eastAsia="楷体" w:hint="eastAsia"/>
          <w:sz w:val="18"/>
        </w:rPr>
        <w:t>使人形成瘾癖的麻醉药品和精神药品，但不包括由医生开具并遵医嘱使用的用于治疗疾病但含有毒品成分的处方药品。</w:t>
      </w:r>
    </w:p>
    <w:p>
      <w:pPr>
        <w:spacing w:before="3"/>
        <w:ind w:left="117" w:right="0" w:firstLine="0"/>
        <w:jc w:val="both"/>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指经检测或鉴定，发生事故时车辆驾驶人员每百毫升血液中的酒精含量达到或超过一定的标准，公安机关交通管理</w:t>
      </w:r>
    </w:p>
    <w:p>
      <w:pPr>
        <w:spacing w:line="228" w:lineRule="exact" w:before="3"/>
        <w:ind w:left="117" w:right="0" w:firstLine="0"/>
        <w:jc w:val="both"/>
        <w:rPr>
          <w:rFonts w:ascii="楷体" w:eastAsia="楷体" w:hint="eastAsia"/>
          <w:sz w:val="18"/>
        </w:rPr>
      </w:pPr>
      <w:r>
        <w:rPr>
          <w:rFonts w:ascii="楷体" w:eastAsia="楷体" w:hint="eastAsia"/>
          <w:sz w:val="18"/>
        </w:rPr>
        <w:t>部门依据《道路交通安全法》的规定认定为饮酒后驾驶或醉酒后驾驶。</w:t>
      </w:r>
    </w:p>
    <w:p>
      <w:pPr>
        <w:spacing w:line="248" w:lineRule="exact" w:before="0"/>
        <w:ind w:left="117" w:right="0" w:firstLine="0"/>
        <w:jc w:val="both"/>
        <w:rPr>
          <w:rFonts w:ascii="楷体" w:eastAsia="楷体" w:hint="eastAsia"/>
          <w:sz w:val="18"/>
        </w:rPr>
      </w:pPr>
      <w:r>
        <w:rPr>
          <w:rFonts w:ascii="Times New Roman" w:eastAsia="Times New Roman"/>
          <w:w w:val="95"/>
          <w:position w:val="10"/>
          <w:sz w:val="14"/>
        </w:rPr>
        <w:t>9</w:t>
      </w:r>
      <w:r>
        <w:rPr>
          <w:rFonts w:ascii="楷体" w:eastAsia="楷体" w:hint="eastAsia"/>
          <w:b/>
          <w:w w:val="95"/>
          <w:sz w:val="18"/>
        </w:rPr>
        <w:t>无合法有效驾驶证驾驶：</w:t>
      </w:r>
      <w:r>
        <w:rPr>
          <w:rFonts w:ascii="楷体" w:eastAsia="楷体" w:hint="eastAsia"/>
          <w:w w:val="95"/>
          <w:sz w:val="18"/>
        </w:rPr>
        <w:t>指下列情形之一：</w:t>
      </w:r>
    </w:p>
    <w:p>
      <w:pPr>
        <w:spacing w:before="5"/>
        <w:ind w:left="477" w:right="0" w:firstLine="0"/>
        <w:jc w:val="left"/>
        <w:rPr>
          <w:rFonts w:ascii="楷体" w:eastAsia="楷体" w:hint="eastAsia"/>
          <w:sz w:val="18"/>
        </w:rPr>
      </w:pPr>
      <w:r>
        <w:rPr>
          <w:rFonts w:ascii="楷体" w:eastAsia="楷体" w:hint="eastAsia"/>
          <w:sz w:val="18"/>
        </w:rPr>
        <w:t>（1）没有取得驾驶资格；</w:t>
      </w:r>
    </w:p>
    <w:p>
      <w:pPr>
        <w:spacing w:before="4"/>
        <w:ind w:left="477" w:right="0" w:firstLine="0"/>
        <w:jc w:val="left"/>
        <w:rPr>
          <w:rFonts w:ascii="楷体" w:eastAsia="楷体" w:hint="eastAsia"/>
          <w:sz w:val="18"/>
        </w:rPr>
      </w:pPr>
      <w:r>
        <w:rPr>
          <w:rFonts w:ascii="楷体" w:eastAsia="楷体" w:hint="eastAsia"/>
          <w:sz w:val="18"/>
        </w:rPr>
        <w:t>（2）驾驶与驾驶证准驾车型不相符合的车辆；</w:t>
      </w:r>
    </w:p>
    <w:p>
      <w:pPr>
        <w:spacing w:before="4"/>
        <w:ind w:left="477" w:right="0" w:firstLine="0"/>
        <w:jc w:val="left"/>
        <w:rPr>
          <w:rFonts w:ascii="楷体" w:eastAsia="楷体" w:hint="eastAsia"/>
          <w:sz w:val="18"/>
        </w:rPr>
      </w:pPr>
      <w:r>
        <w:rPr>
          <w:rFonts w:ascii="楷体" w:eastAsia="楷体" w:hint="eastAsia"/>
          <w:sz w:val="18"/>
        </w:rPr>
        <w:t>（3）持审验不合格的驾驶证驾驶；</w:t>
      </w:r>
    </w:p>
    <w:p>
      <w:pPr>
        <w:spacing w:before="4"/>
        <w:ind w:left="477"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4"/>
        <w:ind w:left="117" w:right="0" w:firstLine="0"/>
        <w:jc w:val="both"/>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无有效行驶证：</w:t>
      </w:r>
      <w:r>
        <w:rPr>
          <w:rFonts w:ascii="楷体" w:eastAsia="楷体" w:hint="eastAsia"/>
          <w:w w:val="95"/>
          <w:sz w:val="18"/>
        </w:rPr>
        <w:t>指下列情形之一：</w:t>
      </w:r>
    </w:p>
    <w:p>
      <w:pPr>
        <w:spacing w:before="4"/>
        <w:ind w:left="477" w:right="0" w:firstLine="0"/>
        <w:jc w:val="left"/>
        <w:rPr>
          <w:rFonts w:ascii="楷体" w:eastAsia="楷体" w:hint="eastAsia"/>
          <w:sz w:val="18"/>
        </w:rPr>
      </w:pPr>
      <w:r>
        <w:rPr>
          <w:rFonts w:ascii="楷体" w:eastAsia="楷体" w:hint="eastAsia"/>
          <w:sz w:val="18"/>
        </w:rPr>
        <w:t>（1）未依法取得行驶证的；</w:t>
      </w:r>
    </w:p>
    <w:p>
      <w:pPr>
        <w:spacing w:before="4"/>
        <w:ind w:left="477" w:right="0" w:firstLine="0"/>
        <w:jc w:val="left"/>
        <w:rPr>
          <w:rFonts w:ascii="楷体" w:eastAsia="楷体" w:hint="eastAsia"/>
          <w:sz w:val="18"/>
        </w:rPr>
      </w:pPr>
      <w:r>
        <w:rPr>
          <w:rFonts w:ascii="楷体" w:eastAsia="楷体" w:hint="eastAsia"/>
          <w:sz w:val="18"/>
        </w:rPr>
        <w:t>（2）机动车被依法注销登记的；</w:t>
      </w:r>
    </w:p>
    <w:p>
      <w:pPr>
        <w:spacing w:before="4"/>
        <w:ind w:left="477" w:right="0" w:firstLine="0"/>
        <w:jc w:val="left"/>
        <w:rPr>
          <w:rFonts w:ascii="楷体" w:eastAsia="楷体" w:hint="eastAsia"/>
          <w:sz w:val="18"/>
        </w:rPr>
      </w:pPr>
      <w:r>
        <w:rPr>
          <w:rFonts w:ascii="楷体" w:eastAsia="楷体" w:hint="eastAsia"/>
          <w:sz w:val="18"/>
        </w:rPr>
        <w:t>（3）未依法按时进行或通过机动车安全技术检验。</w:t>
      </w:r>
    </w:p>
    <w:p>
      <w:pPr>
        <w:spacing w:line="244" w:lineRule="auto" w:before="4"/>
        <w:ind w:left="117" w:right="100" w:firstLine="0"/>
        <w:jc w:val="both"/>
        <w:rPr>
          <w:rFonts w:ascii="楷体" w:eastAsia="楷体" w:hint="eastAsia"/>
          <w:sz w:val="18"/>
        </w:rPr>
      </w:pPr>
      <w:r>
        <w:rPr>
          <w:rFonts w:ascii="Times New Roman" w:eastAsia="Times New Roman"/>
          <w:position w:val="8"/>
          <w:sz w:val="12"/>
        </w:rPr>
        <w:t>11</w:t>
      </w:r>
      <w:r>
        <w:rPr>
          <w:rFonts w:ascii="楷体" w:eastAsia="楷体" w:hint="eastAsia"/>
          <w:b/>
          <w:spacing w:val="-2"/>
          <w:sz w:val="18"/>
        </w:rPr>
        <w:t>感染艾滋病病毒或患艾滋病：</w:t>
      </w:r>
      <w:r>
        <w:rPr>
          <w:rFonts w:ascii="楷体" w:eastAsia="楷体" w:hint="eastAsia"/>
          <w:spacing w:val="-5"/>
          <w:sz w:val="18"/>
        </w:rPr>
        <w:t>艾滋病病毒指人类免疫缺陷病毒，英文缩写为 </w:t>
      </w:r>
      <w:r>
        <w:rPr>
          <w:rFonts w:ascii="楷体" w:eastAsia="楷体" w:hint="eastAsia"/>
          <w:sz w:val="18"/>
        </w:rPr>
        <w:t>HIV</w:t>
      </w:r>
      <w:r>
        <w:rPr>
          <w:rFonts w:ascii="楷体" w:eastAsia="楷体" w:hint="eastAsia"/>
          <w:spacing w:val="-6"/>
          <w:sz w:val="18"/>
        </w:rPr>
        <w:t>。艾滋病指人类免疫缺陷病毒引起的获得性免</w:t>
      </w:r>
      <w:r>
        <w:rPr>
          <w:rFonts w:ascii="楷体" w:eastAsia="楷体" w:hint="eastAsia"/>
          <w:spacing w:val="-2"/>
          <w:sz w:val="18"/>
        </w:rPr>
        <w:t>疫缺陷综合征，英文缩写为</w:t>
      </w:r>
      <w:r>
        <w:rPr>
          <w:rFonts w:ascii="楷体" w:eastAsia="楷体" w:hint="eastAsia"/>
          <w:sz w:val="18"/>
        </w:rPr>
        <w:t>AIDS。在人体血液或其他样本中检测到艾滋病病毒或其抗体呈阳性，没有出现临床症状或体征的， 为感染艾滋病病毒；如果同时出现了明显临床症状或体征的，为患艾滋病。</w:t>
      </w:r>
    </w:p>
    <w:p>
      <w:pPr>
        <w:spacing w:after="0" w:line="244" w:lineRule="auto"/>
        <w:jc w:val="both"/>
        <w:rPr>
          <w:rFonts w:ascii="楷体" w:eastAsia="楷体" w:hint="eastAsia"/>
          <w:sz w:val="18"/>
        </w:rPr>
        <w:sectPr>
          <w:pgSz w:w="11910" w:h="16840"/>
          <w:pgMar w:header="0" w:footer="1673" w:top="1380" w:bottom="1880" w:left="960" w:right="780"/>
        </w:sectPr>
      </w:pPr>
    </w:p>
    <w:p>
      <w:pPr>
        <w:pStyle w:val="Heading1"/>
        <w:spacing w:before="25"/>
        <w:ind w:left="117" w:firstLine="0"/>
      </w:pPr>
      <w:r>
        <w:rPr>
          <w:w w:val="95"/>
        </w:rPr>
        <w:t>（</w:t>
      </w:r>
      <w:r>
        <w:rPr>
          <w:rFonts w:ascii="Times New Roman" w:eastAsia="Times New Roman"/>
          <w:w w:val="95"/>
        </w:rPr>
        <w:t>7</w:t>
      </w:r>
      <w:r>
        <w:rPr>
          <w:w w:val="95"/>
        </w:rPr>
        <w:t>）核爆炸、核辐射或核污染；</w:t>
      </w:r>
    </w:p>
    <w:p>
      <w:pPr>
        <w:spacing w:before="20"/>
        <w:ind w:left="117" w:right="0" w:firstLine="0"/>
        <w:jc w:val="left"/>
        <w:rPr>
          <w:b/>
          <w:sz w:val="21"/>
        </w:rPr>
      </w:pPr>
      <w:r>
        <w:rPr>
          <w:b/>
          <w:w w:val="95"/>
          <w:sz w:val="21"/>
        </w:rPr>
        <w:t>（</w:t>
      </w:r>
      <w:r>
        <w:rPr>
          <w:rFonts w:ascii="Times New Roman" w:eastAsia="Times New Roman"/>
          <w:b/>
          <w:w w:val="95"/>
          <w:sz w:val="21"/>
        </w:rPr>
        <w:t>8</w:t>
      </w:r>
      <w:r>
        <w:rPr>
          <w:b/>
          <w:w w:val="95"/>
          <w:sz w:val="21"/>
        </w:rPr>
        <w:t>）遗传性疾病</w:t>
      </w:r>
      <w:r>
        <w:rPr>
          <w:rFonts w:ascii="Times New Roman" w:eastAsia="Times New Roman"/>
          <w:b/>
          <w:w w:val="95"/>
          <w:sz w:val="21"/>
          <w:vertAlign w:val="superscript"/>
        </w:rPr>
        <w:t>12</w:t>
      </w:r>
      <w:r>
        <w:rPr>
          <w:rFonts w:ascii="Times New Roman" w:eastAsia="Times New Roman"/>
          <w:b/>
          <w:w w:val="95"/>
          <w:sz w:val="21"/>
          <w:vertAlign w:val="baseline"/>
        </w:rPr>
      </w:r>
      <w:r>
        <w:rPr>
          <w:b/>
          <w:w w:val="95"/>
          <w:sz w:val="21"/>
          <w:vertAlign w:val="baseline"/>
        </w:rPr>
        <w:t>，先天性畸形、变形或染色体异常</w:t>
      </w:r>
      <w:r>
        <w:rPr>
          <w:rFonts w:ascii="Times New Roman" w:eastAsia="Times New Roman"/>
          <w:b/>
          <w:w w:val="95"/>
          <w:sz w:val="21"/>
          <w:vertAlign w:val="superscript"/>
        </w:rPr>
        <w:t>13</w:t>
      </w:r>
      <w:r>
        <w:rPr>
          <w:rFonts w:ascii="Times New Roman" w:eastAsia="Times New Roman"/>
          <w:b/>
          <w:w w:val="95"/>
          <w:sz w:val="21"/>
          <w:vertAlign w:val="baseline"/>
        </w:rPr>
      </w:r>
      <w:r>
        <w:rPr>
          <w:b/>
          <w:w w:val="95"/>
          <w:sz w:val="21"/>
          <w:vertAlign w:val="baseline"/>
        </w:rPr>
        <w:t>（本附加险合同另有约定的除外</w:t>
      </w:r>
      <w:r>
        <w:rPr>
          <w:b/>
          <w:spacing w:val="-105"/>
          <w:w w:val="95"/>
          <w:sz w:val="21"/>
          <w:vertAlign w:val="baseline"/>
        </w:rPr>
        <w:t>）</w:t>
      </w:r>
      <w:r>
        <w:rPr>
          <w:b/>
          <w:w w:val="95"/>
          <w:sz w:val="21"/>
          <w:vertAlign w:val="baseline"/>
        </w:rPr>
        <w:t>。</w:t>
      </w:r>
    </w:p>
    <w:p>
      <w:pPr>
        <w:spacing w:line="261" w:lineRule="auto" w:before="30"/>
        <w:ind w:left="117" w:right="217" w:firstLine="412"/>
        <w:jc w:val="left"/>
        <w:rPr>
          <w:b/>
          <w:sz w:val="21"/>
        </w:rPr>
      </w:pPr>
      <w:r>
        <w:rPr>
          <w:b/>
          <w:sz w:val="21"/>
        </w:rPr>
        <w:t>发生上述第１项情形导致保险事故的，本附加险合同效力终止，我们向具有受益权的受益人退还本附加</w:t>
      </w:r>
      <w:r>
        <w:rPr>
          <w:b/>
          <w:w w:val="95"/>
          <w:sz w:val="21"/>
        </w:rPr>
        <w:t>险合同的现金价值</w:t>
      </w:r>
      <w:r>
        <w:rPr>
          <w:rFonts w:ascii="Times New Roman" w:eastAsia="Times New Roman"/>
          <w:b/>
          <w:w w:val="95"/>
          <w:sz w:val="21"/>
          <w:vertAlign w:val="superscript"/>
        </w:rPr>
        <w:t>14</w:t>
      </w:r>
      <w:r>
        <w:rPr>
          <w:rFonts w:ascii="Times New Roman" w:eastAsia="Times New Roman"/>
          <w:b/>
          <w:w w:val="95"/>
          <w:sz w:val="21"/>
          <w:vertAlign w:val="baseline"/>
        </w:rPr>
      </w:r>
      <w:r>
        <w:rPr>
          <w:b/>
          <w:w w:val="95"/>
          <w:sz w:val="21"/>
          <w:vertAlign w:val="baseline"/>
        </w:rPr>
        <w:t>；</w:t>
      </w:r>
    </w:p>
    <w:p>
      <w:pPr>
        <w:spacing w:line="254" w:lineRule="exact" w:before="0"/>
        <w:ind w:left="540" w:right="0" w:firstLine="0"/>
        <w:jc w:val="left"/>
        <w:rPr>
          <w:b/>
          <w:sz w:val="21"/>
        </w:rPr>
      </w:pPr>
      <w:r>
        <w:rPr>
          <w:b/>
          <w:w w:val="95"/>
          <w:sz w:val="21"/>
        </w:rPr>
        <w:t>发生上述其他情形导致保险事故的，本附加险合同效力终止，我们向您退还本附加险合同的现金价值。</w:t>
      </w:r>
    </w:p>
    <w:p>
      <w:pPr>
        <w:pStyle w:val="BodyText"/>
        <w:spacing w:before="9"/>
        <w:ind w:left="0"/>
        <w:rPr>
          <w:b/>
          <w:sz w:val="23"/>
        </w:rPr>
      </w:pPr>
    </w:p>
    <w:p>
      <w:pPr>
        <w:pStyle w:val="Heading1"/>
        <w:numPr>
          <w:ilvl w:val="0"/>
          <w:numId w:val="2"/>
        </w:numPr>
        <w:tabs>
          <w:tab w:pos="487" w:val="left" w:leader="none"/>
          <w:tab w:pos="488" w:val="left" w:leader="none"/>
        </w:tabs>
        <w:spacing w:line="240" w:lineRule="auto" w:before="1" w:after="0"/>
        <w:ind w:left="487" w:right="0" w:hanging="370"/>
        <w:jc w:val="left"/>
      </w:pPr>
      <w:bookmarkStart w:name="_TOC_250014" w:id="10"/>
      <w:bookmarkEnd w:id="10"/>
      <w:r>
        <w:rPr>
          <w:w w:val="95"/>
        </w:rPr>
        <w:t>如何申请领取保险金</w:t>
      </w:r>
    </w:p>
    <w:p>
      <w:pPr>
        <w:pStyle w:val="BodyText"/>
        <w:spacing w:before="11"/>
        <w:ind w:left="0"/>
        <w:rPr>
          <w:b/>
          <w:sz w:val="20"/>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3" w:id="11"/>
      <w:bookmarkEnd w:id="11"/>
      <w:r>
        <w:rPr>
          <w:w w:val="95"/>
        </w:rPr>
        <w:t>受益人</w:t>
      </w:r>
    </w:p>
    <w:p>
      <w:pPr>
        <w:pStyle w:val="BodyText"/>
        <w:spacing w:before="0"/>
        <w:ind w:left="537"/>
      </w:pPr>
      <w:r>
        <w:rPr/>
        <w:t>本附加险合同保险金的受益人为被保险人本人。</w:t>
      </w:r>
    </w:p>
    <w:p>
      <w:pPr>
        <w:pStyle w:val="BodyText"/>
        <w:spacing w:before="10"/>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2" w:id="12"/>
      <w:bookmarkEnd w:id="12"/>
      <w:r>
        <w:rPr>
          <w:w w:val="95"/>
        </w:rPr>
        <w:t>保险金申请</w:t>
      </w:r>
    </w:p>
    <w:p>
      <w:pPr>
        <w:pStyle w:val="BodyText"/>
        <w:spacing w:before="8"/>
        <w:ind w:left="537"/>
      </w:pPr>
      <w:r>
        <w:rPr/>
        <w:t>在申请重大疾病保险金或早期治疗保险金时，申请人须填写保险金给付申请书，并提供下列证明和资料：</w:t>
      </w:r>
    </w:p>
    <w:p>
      <w:pPr>
        <w:pStyle w:val="BodyText"/>
        <w:spacing w:before="24"/>
        <w:ind w:left="117"/>
      </w:pPr>
      <w:r>
        <w:rPr/>
        <w:t>（</w:t>
      </w:r>
      <w:r>
        <w:rPr>
          <w:rFonts w:ascii="Times New Roman" w:eastAsia="Times New Roman"/>
        </w:rPr>
        <w:t>1</w:t>
      </w:r>
      <w:r>
        <w:rPr/>
        <w:t>）保险合同或其他保险凭证；</w:t>
      </w:r>
    </w:p>
    <w:p>
      <w:pPr>
        <w:spacing w:before="8"/>
        <w:ind w:left="117" w:right="0" w:firstLine="0"/>
        <w:jc w:val="left"/>
        <w:rPr>
          <w:sz w:val="21"/>
        </w:rPr>
      </w:pPr>
      <w:r>
        <w:rPr>
          <w:w w:val="95"/>
          <w:sz w:val="21"/>
        </w:rPr>
        <w:t>（</w:t>
      </w:r>
      <w:r>
        <w:rPr>
          <w:rFonts w:ascii="Times New Roman" w:eastAsia="Times New Roman"/>
          <w:w w:val="95"/>
          <w:sz w:val="21"/>
        </w:rPr>
        <w:t>2</w:t>
      </w:r>
      <w:r>
        <w:rPr>
          <w:w w:val="95"/>
          <w:sz w:val="21"/>
        </w:rPr>
        <w:t>）申请人的</w:t>
      </w:r>
      <w:r>
        <w:rPr>
          <w:b/>
          <w:w w:val="95"/>
          <w:sz w:val="21"/>
        </w:rPr>
        <w:t>有效身份证件</w:t>
      </w:r>
      <w:r>
        <w:rPr>
          <w:rFonts w:ascii="Times New Roman" w:eastAsia="Times New Roman"/>
          <w:w w:val="95"/>
          <w:sz w:val="21"/>
          <w:vertAlign w:val="superscript"/>
        </w:rPr>
        <w:t>15</w:t>
      </w:r>
      <w:r>
        <w:rPr>
          <w:rFonts w:ascii="Times New Roman" w:eastAsia="Times New Roman"/>
          <w:w w:val="95"/>
          <w:sz w:val="21"/>
          <w:vertAlign w:val="baseline"/>
        </w:rPr>
      </w:r>
      <w:r>
        <w:rPr>
          <w:w w:val="95"/>
          <w:sz w:val="21"/>
          <w:vertAlign w:val="baseline"/>
        </w:rPr>
        <w:t>；</w:t>
      </w:r>
    </w:p>
    <w:p>
      <w:pPr>
        <w:pStyle w:val="BodyText"/>
        <w:spacing w:before="8"/>
        <w:ind w:left="117"/>
      </w:pPr>
      <w:r>
        <w:rPr/>
        <w:t>（</w:t>
      </w:r>
      <w:r>
        <w:rPr>
          <w:rFonts w:ascii="Times New Roman" w:eastAsia="Times New Roman"/>
        </w:rPr>
        <w:t>3</w:t>
      </w:r>
      <w:r>
        <w:rPr/>
        <w:t>）医院出具的附有被保险人病理、血液及其他科学方法检验报告等诊断证明文件；</w:t>
      </w:r>
    </w:p>
    <w:p>
      <w:pPr>
        <w:pStyle w:val="BodyText"/>
        <w:spacing w:before="9"/>
        <w:ind w:left="117"/>
      </w:pPr>
      <w:r>
        <w:rPr/>
        <w:t>（</w:t>
      </w:r>
      <w:r>
        <w:rPr>
          <w:rFonts w:ascii="Times New Roman" w:eastAsia="Times New Roman"/>
        </w:rPr>
        <w:t>4</w:t>
      </w:r>
      <w:r>
        <w:rPr/>
        <w:t>）所能提供的与确认保险事故的性质、原因等有关的其他证明和资料。</w:t>
      </w:r>
    </w:p>
    <w:p>
      <w:pPr>
        <w:pStyle w:val="BodyText"/>
        <w:spacing w:before="8"/>
        <w:ind w:left="0"/>
        <w:rPr>
          <w:sz w:val="23"/>
        </w:rPr>
      </w:pPr>
    </w:p>
    <w:p>
      <w:pPr>
        <w:pStyle w:val="BodyText"/>
        <w:spacing w:before="0"/>
        <w:ind w:left="537"/>
      </w:pPr>
      <w:r>
        <w:rPr/>
        <w:t>保险金作为被保险人遗产时，必须提供可证明合法继承权的相关权利文件。</w:t>
      </w:r>
    </w:p>
    <w:p>
      <w:pPr>
        <w:pStyle w:val="BodyText"/>
        <w:spacing w:before="24"/>
        <w:ind w:left="537"/>
      </w:pPr>
      <w:r>
        <w:rPr/>
        <w:t>以上证明和资料不完整的，我们将及时一次性通知申请人补充提供有关证明和资料。</w:t>
      </w:r>
    </w:p>
    <w:p>
      <w:pPr>
        <w:pStyle w:val="BodyText"/>
        <w:spacing w:before="0"/>
        <w:ind w:left="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1" w:id="13"/>
      <w:bookmarkEnd w:id="13"/>
      <w:r>
        <w:rPr>
          <w:w w:val="95"/>
        </w:rPr>
        <w:t>诉讼时效</w:t>
      </w:r>
    </w:p>
    <w:p>
      <w:pPr>
        <w:pStyle w:val="BodyText"/>
        <w:spacing w:before="8"/>
        <w:ind w:left="388" w:right="108"/>
        <w:jc w:val="center"/>
      </w:pPr>
      <w:r>
        <w:rPr/>
        <w:t>受益人向我们请求给付保险金的诉讼时效期间为 </w:t>
      </w:r>
      <w:r>
        <w:rPr>
          <w:rFonts w:ascii="Times New Roman" w:eastAsia="Times New Roman"/>
        </w:rPr>
        <w:t>2 </w:t>
      </w:r>
      <w:r>
        <w:rPr/>
        <w:t>年，自其知道或者应当知道保险事故发生之日起计算。</w:t>
      </w:r>
    </w:p>
    <w:p>
      <w:pPr>
        <w:pStyle w:val="BodyText"/>
        <w:spacing w:before="10"/>
        <w:ind w:left="0"/>
        <w:rPr>
          <w:sz w:val="20"/>
        </w:rPr>
      </w:pPr>
    </w:p>
    <w:p>
      <w:pPr>
        <w:pStyle w:val="Heading1"/>
        <w:numPr>
          <w:ilvl w:val="0"/>
          <w:numId w:val="2"/>
        </w:numPr>
        <w:tabs>
          <w:tab w:pos="487" w:val="left" w:leader="none"/>
          <w:tab w:pos="488" w:val="left" w:leader="none"/>
        </w:tabs>
        <w:spacing w:line="240" w:lineRule="auto" w:before="1" w:after="0"/>
        <w:ind w:left="487" w:right="0" w:hanging="370"/>
        <w:jc w:val="left"/>
      </w:pPr>
      <w:bookmarkStart w:name="_TOC_250010" w:id="14"/>
      <w:bookmarkEnd w:id="14"/>
      <w:r>
        <w:rPr>
          <w:w w:val="95"/>
        </w:rPr>
        <w:t>如何交纳保险费</w:t>
      </w:r>
    </w:p>
    <w:p>
      <w:pPr>
        <w:pStyle w:val="BodyText"/>
        <w:spacing w:before="11"/>
        <w:ind w:left="0"/>
        <w:rPr>
          <w:b/>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9" w:id="15"/>
      <w:bookmarkEnd w:id="15"/>
      <w:r>
        <w:rPr>
          <w:w w:val="95"/>
        </w:rPr>
        <w:t>保险费的交纳</w:t>
      </w:r>
    </w:p>
    <w:p>
      <w:pPr>
        <w:pStyle w:val="BodyText"/>
        <w:spacing w:line="261" w:lineRule="auto" w:before="8"/>
        <w:ind w:left="553" w:right="1514" w:hanging="16"/>
      </w:pPr>
      <w:r>
        <w:rPr/>
        <w:t>本附加险合同保险费的交费期间和交费方式由您和我们约定，并在保险单或批注上列明。您在交纳了首期保险费后，应在保险费约定支付日交纳其余各期的保险费。</w:t>
      </w:r>
    </w:p>
    <w:p>
      <w:pPr>
        <w:pStyle w:val="BodyText"/>
        <w:spacing w:line="261" w:lineRule="auto" w:before="5"/>
        <w:ind w:left="117" w:right="218"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61" w:lineRule="auto" w:before="5"/>
        <w:ind w:left="117" w:right="218" w:firstLine="420"/>
      </w:pPr>
      <w:r>
        <w:rPr/>
        <w:t>我们进行保险费率调整后，您须按调整后的保险费率交纳续期保险费，保险费率调整前您已经交纳的保险费不受影响。</w:t>
      </w:r>
    </w:p>
    <w:p>
      <w:pPr>
        <w:pStyle w:val="BodyText"/>
        <w:spacing w:before="4"/>
        <w:ind w:left="0"/>
        <w:rPr>
          <w:sz w:val="23"/>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08" w:id="16"/>
      <w:bookmarkEnd w:id="16"/>
      <w:r>
        <w:rPr>
          <w:w w:val="95"/>
        </w:rPr>
        <w:t>合同效力的中止与恢复</w:t>
      </w:r>
    </w:p>
    <w:p>
      <w:pPr>
        <w:pStyle w:val="BodyText"/>
        <w:spacing w:before="6"/>
        <w:ind w:left="0"/>
        <w:rPr>
          <w:b/>
          <w:sz w:val="24"/>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7" w:id="17"/>
      <w:bookmarkEnd w:id="17"/>
      <w:r>
        <w:rPr>
          <w:w w:val="95"/>
        </w:rPr>
        <w:t>合同效力的中止</w:t>
      </w:r>
    </w:p>
    <w:p>
      <w:pPr>
        <w:pStyle w:val="BodyText"/>
        <w:spacing w:before="8"/>
        <w:ind w:left="537"/>
      </w:pPr>
      <w:r>
        <w:rPr/>
        <w:t>在本附加险合同效力中止期间，我们不承担保险责任。</w:t>
      </w:r>
    </w:p>
    <w:p>
      <w:pPr>
        <w:pStyle w:val="BodyText"/>
        <w:spacing w:before="1"/>
        <w:ind w:left="0"/>
        <w:rPr>
          <w:sz w:val="14"/>
        </w:rPr>
      </w:pPr>
      <w:r>
        <w:rPr/>
        <w:pict>
          <v:line style="position:absolute;mso-position-horizontal-relative:page;mso-position-vertical-relative:paragraph;z-index:1096;mso-wrap-distance-left:0;mso-wrap-distance-right:0" from="53.880001pt,11.469588pt" to="197.880001pt,11.469588pt" stroked="true" strokeweight=".54001pt" strokecolor="#000000">
            <v:stroke dashstyle="solid"/>
            <w10:wrap type="topAndBottom"/>
          </v:line>
        </w:pict>
      </w:r>
    </w:p>
    <w:p>
      <w:pPr>
        <w:spacing w:before="23"/>
        <w:ind w:left="117" w:right="0" w:firstLine="0"/>
        <w:jc w:val="left"/>
        <w:rPr>
          <w:rFonts w:ascii="楷体" w:eastAsia="楷体" w:hint="eastAsia"/>
          <w:sz w:val="18"/>
        </w:rPr>
      </w:pPr>
      <w:r>
        <w:rPr>
          <w:rFonts w:ascii="Times New Roman" w:eastAsia="Times New Roman"/>
          <w:position w:val="10"/>
          <w:sz w:val="14"/>
        </w:rPr>
        <w:t>12</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指生殖细胞或受精卵的遗传物质（染色体和基因）发生突变或畸变所引起的疾病，通常具有由亲代传至后代的</w:t>
      </w:r>
    </w:p>
    <w:p>
      <w:pPr>
        <w:spacing w:line="228" w:lineRule="exact" w:before="4"/>
        <w:ind w:left="117" w:right="0" w:firstLine="0"/>
        <w:jc w:val="left"/>
        <w:rPr>
          <w:rFonts w:ascii="楷体" w:eastAsia="楷体" w:hint="eastAsia"/>
          <w:sz w:val="18"/>
        </w:rPr>
      </w:pPr>
      <w:r>
        <w:rPr>
          <w:rFonts w:ascii="楷体" w:eastAsia="楷体" w:hint="eastAsia"/>
          <w:sz w:val="18"/>
        </w:rPr>
        <w:t>垂直传递的特征。</w:t>
      </w:r>
    </w:p>
    <w:p>
      <w:pPr>
        <w:spacing w:line="248" w:lineRule="exact" w:before="0"/>
        <w:ind w:left="117" w:right="0" w:firstLine="0"/>
        <w:jc w:val="left"/>
        <w:rPr>
          <w:rFonts w:ascii="楷体" w:eastAsia="楷体" w:hint="eastAsia"/>
          <w:sz w:val="18"/>
        </w:rPr>
      </w:pPr>
      <w:r>
        <w:rPr>
          <w:rFonts w:ascii="Times New Roman" w:eastAsia="Times New Roman"/>
          <w:position w:val="10"/>
          <w:sz w:val="14"/>
        </w:rPr>
        <w:t>13</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指被保险人出生时就具有的畸形、变形或染色体异常。先天性畸形、变形和染色体异常依</w:t>
      </w:r>
    </w:p>
    <w:p>
      <w:pPr>
        <w:spacing w:line="232" w:lineRule="exact" w:before="5"/>
        <w:ind w:left="117" w:right="0" w:firstLine="0"/>
        <w:jc w:val="left"/>
        <w:rPr>
          <w:rFonts w:ascii="楷体" w:eastAsia="楷体" w:hint="eastAsia"/>
          <w:sz w:val="18"/>
        </w:rPr>
      </w:pPr>
      <w:r>
        <w:rPr>
          <w:rFonts w:ascii="楷体" w:eastAsia="楷体" w:hint="eastAsia"/>
          <w:sz w:val="18"/>
        </w:rPr>
        <w:t>照世界卫生组织《疾病和有关健康问题的国际统计分类》（ICD-10）确定。</w:t>
      </w:r>
    </w:p>
    <w:p>
      <w:pPr>
        <w:spacing w:line="230" w:lineRule="exact" w:before="0"/>
        <w:ind w:left="117" w:right="0" w:firstLine="0"/>
        <w:jc w:val="left"/>
        <w:rPr>
          <w:rFonts w:ascii="楷体" w:eastAsia="楷体" w:hint="eastAsia"/>
          <w:sz w:val="18"/>
        </w:rPr>
      </w:pPr>
      <w:r>
        <w:rPr>
          <w:rFonts w:ascii="Times New Roman" w:eastAsia="Times New Roman"/>
          <w:w w:val="95"/>
          <w:position w:val="8"/>
          <w:sz w:val="12"/>
        </w:rPr>
        <w:t>14</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指本附加险合同所具有的价值，通常体现为解除合同时，根据精算原理计算的，由本公司退还的那部分金额。</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15</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指由政府主管部门规定的证明个人身份的证件，如：居民身份证、按规定可使用的有效护照、军官证、警官</w:t>
      </w:r>
    </w:p>
    <w:p>
      <w:pPr>
        <w:spacing w:line="235" w:lineRule="exact" w:before="0"/>
        <w:ind w:left="117" w:right="0" w:firstLine="0"/>
        <w:jc w:val="left"/>
        <w:rPr>
          <w:rFonts w:ascii="楷体" w:eastAsia="楷体" w:hint="eastAsia"/>
          <w:sz w:val="18"/>
        </w:rPr>
      </w:pPr>
      <w:r>
        <w:rPr>
          <w:rFonts w:ascii="楷体" w:eastAsia="楷体" w:hint="eastAsia"/>
          <w:sz w:val="18"/>
        </w:rPr>
        <w:t>证、士兵证等证件。</w:t>
      </w:r>
    </w:p>
    <w:p>
      <w:pPr>
        <w:spacing w:after="0" w:line="235" w:lineRule="exact"/>
        <w:jc w:val="left"/>
        <w:rPr>
          <w:rFonts w:ascii="楷体" w:eastAsia="楷体" w:hint="eastAsia"/>
          <w:sz w:val="18"/>
        </w:rPr>
        <w:sectPr>
          <w:pgSz w:w="11910" w:h="16840"/>
          <w:pgMar w:header="0" w:footer="1673" w:top="1360" w:bottom="1880" w:left="960" w:right="700"/>
        </w:sectPr>
      </w:pPr>
    </w:p>
    <w:p>
      <w:pPr>
        <w:pStyle w:val="Heading1"/>
        <w:numPr>
          <w:ilvl w:val="1"/>
          <w:numId w:val="2"/>
        </w:numPr>
        <w:tabs>
          <w:tab w:pos="591" w:val="left" w:leader="none"/>
          <w:tab w:pos="592" w:val="left" w:leader="none"/>
        </w:tabs>
        <w:spacing w:line="291" w:lineRule="exact" w:before="95" w:after="0"/>
        <w:ind w:left="591" w:right="0" w:hanging="474"/>
        <w:jc w:val="left"/>
      </w:pPr>
      <w:bookmarkStart w:name="_TOC_250006" w:id="18"/>
      <w:bookmarkEnd w:id="18"/>
      <w:r>
        <w:rPr>
          <w:w w:val="95"/>
        </w:rPr>
        <w:t>合同效力的恢复</w:t>
      </w:r>
    </w:p>
    <w:p>
      <w:pPr>
        <w:pStyle w:val="BodyText"/>
        <w:spacing w:line="264" w:lineRule="auto" w:before="0"/>
        <w:ind w:left="117" w:right="218" w:firstLine="368"/>
        <w:jc w:val="both"/>
      </w:pPr>
      <w:r>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Heading1"/>
        <w:spacing w:line="256" w:lineRule="auto" w:before="16"/>
        <w:ind w:left="117" w:right="220" w:firstLine="368"/>
        <w:jc w:val="both"/>
      </w:pPr>
      <w:r>
        <w:rPr/>
        <w:t>自本附加险合同效力中止之日起满 </w:t>
      </w:r>
      <w:r>
        <w:rPr>
          <w:rFonts w:ascii="Times New Roman" w:eastAsia="Times New Roman"/>
        </w:rPr>
        <w:t>2 </w:t>
      </w:r>
      <w:r>
        <w:rPr/>
        <w:t>年您和我们未达成协议的，我们有权解除保险合同。我们解除合同</w:t>
      </w:r>
      <w:r>
        <w:rPr>
          <w:w w:val="95"/>
        </w:rPr>
        <w:t>的，向您退还本附加险合同的现金价值。</w:t>
      </w:r>
    </w:p>
    <w:p>
      <w:pPr>
        <w:pStyle w:val="BodyText"/>
        <w:spacing w:before="4"/>
        <w:ind w:left="0"/>
        <w:rPr>
          <w:b/>
          <w:sz w:val="25"/>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05" w:id="19"/>
      <w:bookmarkEnd w:id="19"/>
      <w:r>
        <w:rPr>
          <w:w w:val="95"/>
        </w:rPr>
        <w:t>其他事项</w:t>
      </w:r>
    </w:p>
    <w:p>
      <w:pPr>
        <w:pStyle w:val="BodyText"/>
        <w:spacing w:before="11"/>
        <w:ind w:left="0"/>
        <w:rPr>
          <w:b/>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4" w:id="20"/>
      <w:bookmarkEnd w:id="20"/>
      <w:r>
        <w:rPr>
          <w:w w:val="95"/>
        </w:rPr>
        <w:t>年龄和性别确定与错误处理</w:t>
      </w:r>
    </w:p>
    <w:p>
      <w:pPr>
        <w:pStyle w:val="BodyText"/>
        <w:spacing w:before="9"/>
        <w:ind w:left="117"/>
      </w:pPr>
      <w:r>
        <w:rPr/>
        <w:t>（</w:t>
      </w:r>
      <w:r>
        <w:rPr>
          <w:rFonts w:ascii="Times New Roman" w:eastAsia="Times New Roman"/>
        </w:rPr>
        <w:t>1</w:t>
      </w:r>
      <w:r>
        <w:rPr/>
        <w:t>）被保险人的投保年龄以有效身份证件登记的周岁年龄计算。</w:t>
      </w:r>
    </w:p>
    <w:p>
      <w:pPr>
        <w:pStyle w:val="BodyText"/>
        <w:spacing w:line="247" w:lineRule="auto" w:before="9"/>
        <w:ind w:left="117" w:right="156"/>
      </w:pPr>
      <w:r>
        <w:rPr/>
        <w:t>（</w:t>
      </w:r>
      <w:r>
        <w:rPr>
          <w:rFonts w:ascii="Times New Roman" w:eastAsia="Times New Roman"/>
        </w:rPr>
        <w:t>2</w:t>
      </w:r>
      <w:r>
        <w:rPr/>
        <w:t>）您在申请投保时，应将与有效身份证件相符的被保险人的出生日期和性别在投保单上填明，如果发生错误按照下列方式办理：</w:t>
      </w:r>
    </w:p>
    <w:p>
      <w:pPr>
        <w:pStyle w:val="Heading1"/>
        <w:spacing w:line="261" w:lineRule="auto" w:before="19"/>
        <w:ind w:left="117" w:right="215" w:firstLine="422"/>
        <w:jc w:val="both"/>
      </w:pPr>
      <w:r>
        <w:rPr/>
        <w:t>① 您申报的被保险人年龄不真实，并且其真实年龄不符合本附加险合同约定投保年龄限制，对于未发</w:t>
      </w:r>
      <w:r>
        <w:rPr>
          <w:w w:val="95"/>
        </w:rPr>
        <w:t>生保险事故的，我们有权解除本附加险合同。我们行使合同解除权适用“我们行使合同解除权的限制”的规    定。对于解除合同的，我们向您退还本附加险合同的现金价值。</w:t>
      </w:r>
    </w:p>
    <w:p>
      <w:pPr>
        <w:spacing w:line="261" w:lineRule="auto" w:before="6"/>
        <w:ind w:left="117" w:right="114" w:firstLine="422"/>
        <w:jc w:val="left"/>
        <w:rPr>
          <w:b/>
          <w:sz w:val="21"/>
        </w:rPr>
      </w:pPr>
      <w:r>
        <w:rPr>
          <w:b/>
          <w:sz w:val="21"/>
        </w:rPr>
        <w:t>② 您申报的被保险人年龄或性别不真实，致使您实付保险费少于应付保险费的，我们有权作相应的更</w:t>
      </w:r>
      <w:r>
        <w:rPr>
          <w:b/>
          <w:w w:val="95"/>
          <w:sz w:val="21"/>
        </w:rPr>
        <w:t>正并要求您补交保险费差额。若已经发生保险事故，在给付保险金时按实付保险费和应付保险费的比例给付。</w:t>
      </w:r>
    </w:p>
    <w:p>
      <w:pPr>
        <w:pStyle w:val="BodyText"/>
        <w:spacing w:line="261" w:lineRule="auto" w:before="6"/>
        <w:ind w:left="117" w:right="219" w:firstLine="420"/>
        <w:jc w:val="both"/>
      </w:pPr>
      <w:r>
        <w:rPr>
          <w:spacing w:val="-4"/>
        </w:rPr>
        <w:t>③ 您申报的被保险人年龄或性别不真实，致使您实付保险费多于应付保险费的，我们会将多收的保险费无息退还给您。</w:t>
      </w:r>
    </w:p>
    <w:p>
      <w:pPr>
        <w:pStyle w:val="BodyText"/>
        <w:spacing w:before="5"/>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3" w:id="21"/>
      <w:bookmarkEnd w:id="21"/>
      <w:r>
        <w:rPr>
          <w:w w:val="95"/>
        </w:rPr>
        <w:t>扣除款项</w:t>
      </w:r>
    </w:p>
    <w:p>
      <w:pPr>
        <w:spacing w:line="261" w:lineRule="auto" w:before="8"/>
        <w:ind w:left="117" w:right="220" w:firstLine="422"/>
        <w:jc w:val="both"/>
        <w:rPr>
          <w:b/>
          <w:sz w:val="21"/>
        </w:rPr>
      </w:pPr>
      <w:r>
        <w:rPr>
          <w:b/>
          <w:w w:val="95"/>
          <w:sz w:val="21"/>
        </w:rPr>
        <w:t>我们在给付各项保险金、退还现金价值或返还保险费时，如果您有欠交的保险费或其他未还清款项，我   们会在扣除上述款项及累积利息后给付。我们按合同约定解除本附加险合同、自始不承担保险责任并退还保   险费的，还需扣除已给付过的任何保险金及您已领取的其他款项。</w:t>
      </w:r>
    </w:p>
    <w:p>
      <w:pPr>
        <w:pStyle w:val="BodyText"/>
        <w:spacing w:before="0"/>
        <w:ind w:left="0"/>
        <w:rPr>
          <w:b/>
          <w:sz w:val="20"/>
        </w:rPr>
      </w:pPr>
    </w:p>
    <w:p>
      <w:pPr>
        <w:pStyle w:val="BodyText"/>
        <w:spacing w:before="3"/>
        <w:ind w:left="0"/>
        <w:rPr>
          <w:b/>
          <w:sz w:val="26"/>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2" w:id="22"/>
      <w:bookmarkEnd w:id="22"/>
      <w:r>
        <w:rPr>
          <w:w w:val="95"/>
        </w:rPr>
        <w:t>职业或工种变更</w:t>
      </w:r>
    </w:p>
    <w:p>
      <w:pPr>
        <w:spacing w:line="261" w:lineRule="auto" w:before="8"/>
        <w:ind w:left="117" w:right="220" w:firstLine="420"/>
        <w:jc w:val="both"/>
        <w:rPr>
          <w:b/>
          <w:sz w:val="21"/>
        </w:rPr>
      </w:pPr>
      <w:r>
        <w:rPr>
          <w:spacing w:val="-8"/>
          <w:sz w:val="21"/>
        </w:rPr>
        <w:t>被保险人变更职业或工种时，您或被保险人应于被保险人变更职业或工种之日起 </w:t>
      </w:r>
      <w:r>
        <w:rPr>
          <w:sz w:val="21"/>
        </w:rPr>
        <w:t>10</w:t>
      </w:r>
      <w:r>
        <w:rPr>
          <w:spacing w:val="-9"/>
          <w:sz w:val="21"/>
        </w:rPr>
        <w:t> 日内以书面形式通知我们。</w:t>
      </w:r>
      <w:r>
        <w:rPr>
          <w:b/>
          <w:spacing w:val="-9"/>
          <w:sz w:val="21"/>
        </w:rPr>
        <w:t>若职业或工种的变更导致续期保险费的调整，请您按调整后的保险费交付以后各期保险费。如果被保</w:t>
      </w:r>
      <w:r>
        <w:rPr>
          <w:b/>
          <w:spacing w:val="-9"/>
          <w:w w:val="95"/>
          <w:sz w:val="21"/>
        </w:rPr>
        <w:t>险人变更的职业或工种，按照我们的职业和工种分类，在拒保范围内的，我们有权解除本附加险合同，并向   您退还本附加险合同的现金价值，如果我们已给付过任何保险金，则不退还。</w:t>
      </w:r>
    </w:p>
    <w:p>
      <w:pPr>
        <w:pStyle w:val="BodyText"/>
        <w:spacing w:before="4"/>
        <w:ind w:left="0"/>
        <w:rPr>
          <w:b/>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1" w:id="23"/>
      <w:bookmarkEnd w:id="23"/>
      <w:r>
        <w:rPr>
          <w:w w:val="95"/>
        </w:rPr>
        <w:t>与主险合同效力的关系</w:t>
      </w:r>
    </w:p>
    <w:p>
      <w:pPr>
        <w:pStyle w:val="BodyText"/>
        <w:spacing w:before="8"/>
        <w:ind w:left="537"/>
      </w:pPr>
      <w:r>
        <w:rPr/>
        <w:t>除本附加险合同另有约定外，</w:t>
      </w:r>
    </w:p>
    <w:p>
      <w:pPr>
        <w:pStyle w:val="BodyText"/>
        <w:spacing w:before="24"/>
        <w:ind w:left="117"/>
      </w:pPr>
      <w:r>
        <w:rPr/>
        <w:t>（1）主险合同效力中止时，本附加险合同效力同时中止；</w:t>
      </w:r>
    </w:p>
    <w:p>
      <w:pPr>
        <w:pStyle w:val="BodyText"/>
        <w:spacing w:before="24"/>
        <w:ind w:left="117"/>
      </w:pPr>
      <w:r>
        <w:rPr/>
        <w:t>（2）主险合同效力终止时，本附加险合同效力同时终止。</w:t>
      </w:r>
    </w:p>
    <w:p>
      <w:pPr>
        <w:pStyle w:val="BodyText"/>
        <w:spacing w:before="0"/>
        <w:ind w:left="0"/>
        <w:rPr>
          <w:sz w:val="22"/>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00" w:id="24"/>
      <w:bookmarkEnd w:id="24"/>
      <w:r>
        <w:rPr>
          <w:w w:val="95"/>
        </w:rPr>
        <w:t>适用主险合同条款</w:t>
      </w:r>
    </w:p>
    <w:p>
      <w:pPr>
        <w:pStyle w:val="BodyText"/>
        <w:spacing w:line="259" w:lineRule="exact" w:before="0"/>
        <w:ind w:left="537"/>
      </w:pPr>
      <w:r>
        <w:rPr/>
        <w:t>下列条款适用主险合同条款：</w:t>
      </w:r>
    </w:p>
    <w:p>
      <w:pPr>
        <w:pStyle w:val="BodyText"/>
        <w:spacing w:line="272" w:lineRule="exact" w:before="0"/>
        <w:ind w:left="117"/>
      </w:pPr>
      <w:r>
        <w:rPr/>
        <w:t>（</w:t>
      </w:r>
      <w:r>
        <w:rPr>
          <w:rFonts w:ascii="Times New Roman" w:eastAsia="Times New Roman"/>
        </w:rPr>
        <w:t>1</w:t>
      </w:r>
      <w:r>
        <w:rPr/>
        <w:t>）犹豫期</w:t>
      </w:r>
    </w:p>
    <w:p>
      <w:pPr>
        <w:pStyle w:val="BodyText"/>
        <w:spacing w:line="264" w:lineRule="exact" w:before="0"/>
        <w:ind w:left="117"/>
      </w:pPr>
      <w:r>
        <w:rPr/>
        <w:t>（</w:t>
      </w:r>
      <w:r>
        <w:rPr>
          <w:rFonts w:ascii="Times New Roman" w:eastAsia="Times New Roman"/>
        </w:rPr>
        <w:t>2</w:t>
      </w:r>
      <w:r>
        <w:rPr/>
        <w:t>）保险事故的通知</w:t>
      </w:r>
    </w:p>
    <w:p>
      <w:pPr>
        <w:pStyle w:val="BodyText"/>
        <w:spacing w:line="264" w:lineRule="exact" w:before="0"/>
        <w:ind w:left="117"/>
      </w:pPr>
      <w:r>
        <w:rPr/>
        <w:t>（</w:t>
      </w:r>
      <w:r>
        <w:rPr>
          <w:rFonts w:ascii="Times New Roman" w:eastAsia="Times New Roman"/>
        </w:rPr>
        <w:t>3</w:t>
      </w:r>
      <w:r>
        <w:rPr/>
        <w:t>）保险金的给付</w:t>
      </w:r>
    </w:p>
    <w:p>
      <w:pPr>
        <w:pStyle w:val="BodyText"/>
        <w:spacing w:line="277" w:lineRule="exact" w:before="0"/>
        <w:ind w:left="117"/>
      </w:pPr>
      <w:r>
        <w:rPr/>
        <w:t>（</w:t>
      </w:r>
      <w:r>
        <w:rPr>
          <w:rFonts w:ascii="Times New Roman" w:eastAsia="Times New Roman"/>
        </w:rPr>
        <w:t>4</w:t>
      </w:r>
      <w:r>
        <w:rPr/>
        <w:t>）宽限期</w:t>
      </w:r>
    </w:p>
    <w:p>
      <w:pPr>
        <w:spacing w:after="0" w:line="277" w:lineRule="exact"/>
        <w:sectPr>
          <w:pgSz w:w="11910" w:h="16840"/>
          <w:pgMar w:header="0" w:footer="1673" w:top="1600" w:bottom="1920" w:left="960" w:right="700"/>
        </w:sectPr>
      </w:pPr>
    </w:p>
    <w:p>
      <w:pPr>
        <w:pStyle w:val="BodyText"/>
        <w:spacing w:line="277" w:lineRule="exact" w:before="25"/>
        <w:ind w:left="117"/>
      </w:pPr>
      <w:r>
        <w:rPr/>
        <w:t>（</w:t>
      </w:r>
      <w:r>
        <w:rPr>
          <w:rFonts w:ascii="Times New Roman" w:eastAsia="Times New Roman"/>
        </w:rPr>
        <w:t>5</w:t>
      </w:r>
      <w:r>
        <w:rPr/>
        <w:t>）保单贷款</w:t>
      </w:r>
    </w:p>
    <w:p>
      <w:pPr>
        <w:pStyle w:val="BodyText"/>
        <w:spacing w:line="264" w:lineRule="exact" w:before="0"/>
        <w:ind w:left="117"/>
      </w:pPr>
      <w:r>
        <w:rPr/>
        <w:t>（</w:t>
      </w:r>
      <w:r>
        <w:rPr>
          <w:rFonts w:ascii="Times New Roman" w:eastAsia="Times New Roman"/>
        </w:rPr>
        <w:t>6</w:t>
      </w:r>
      <w:r>
        <w:rPr/>
        <w:t>）您解除合同的手续及风险</w:t>
      </w:r>
    </w:p>
    <w:p>
      <w:pPr>
        <w:pStyle w:val="BodyText"/>
        <w:spacing w:line="264" w:lineRule="exact" w:before="0"/>
        <w:ind w:left="117"/>
      </w:pPr>
      <w:r>
        <w:rPr/>
        <w:t>（</w:t>
      </w:r>
      <w:r>
        <w:rPr>
          <w:rFonts w:ascii="Times New Roman" w:eastAsia="Times New Roman"/>
        </w:rPr>
        <w:t>7</w:t>
      </w:r>
      <w:r>
        <w:rPr/>
        <w:t>）明确说明与如实告知</w:t>
      </w:r>
    </w:p>
    <w:p>
      <w:pPr>
        <w:pStyle w:val="BodyText"/>
        <w:spacing w:line="264" w:lineRule="exact" w:before="0"/>
        <w:ind w:left="117"/>
      </w:pPr>
      <w:r>
        <w:rPr/>
        <w:t>（</w:t>
      </w:r>
      <w:r>
        <w:rPr>
          <w:rFonts w:ascii="Times New Roman" w:eastAsia="Times New Roman"/>
        </w:rPr>
        <w:t>8</w:t>
      </w:r>
      <w:r>
        <w:rPr/>
        <w:t>）我们行使合同解除权的限制</w:t>
      </w:r>
    </w:p>
    <w:p>
      <w:pPr>
        <w:pStyle w:val="BodyText"/>
        <w:spacing w:line="264" w:lineRule="exact" w:before="0"/>
        <w:ind w:left="117"/>
      </w:pPr>
      <w:r>
        <w:rPr/>
        <w:t>（</w:t>
      </w:r>
      <w:r>
        <w:rPr>
          <w:rFonts w:ascii="Times New Roman" w:eastAsia="Times New Roman"/>
        </w:rPr>
        <w:t>9</w:t>
      </w:r>
      <w:r>
        <w:rPr/>
        <w:t>）合同内容变更</w:t>
      </w:r>
    </w:p>
    <w:p>
      <w:pPr>
        <w:pStyle w:val="BodyText"/>
        <w:spacing w:line="264" w:lineRule="exact" w:before="0"/>
        <w:ind w:left="117"/>
      </w:pPr>
      <w:r>
        <w:rPr/>
        <w:t>（</w:t>
      </w:r>
      <w:r>
        <w:rPr>
          <w:rFonts w:ascii="Times New Roman" w:eastAsia="Times New Roman"/>
        </w:rPr>
        <w:t>10</w:t>
      </w:r>
      <w:r>
        <w:rPr/>
        <w:t>）联系方式变更</w:t>
      </w:r>
    </w:p>
    <w:p>
      <w:pPr>
        <w:pStyle w:val="BodyText"/>
        <w:spacing w:line="264" w:lineRule="exact" w:before="0"/>
        <w:ind w:left="117"/>
      </w:pPr>
      <w:r>
        <w:rPr/>
        <w:t>（</w:t>
      </w:r>
      <w:r>
        <w:rPr>
          <w:rFonts w:ascii="Times New Roman" w:eastAsia="Times New Roman"/>
        </w:rPr>
        <w:t>11</w:t>
      </w:r>
      <w:r>
        <w:rPr/>
        <w:t>）争议处理</w:t>
      </w:r>
    </w:p>
    <w:p>
      <w:pPr>
        <w:pStyle w:val="BodyText"/>
        <w:spacing w:line="261" w:lineRule="exact" w:before="0"/>
        <w:ind w:left="522" w:right="2658"/>
        <w:jc w:val="center"/>
      </w:pPr>
      <w:r>
        <w:rPr/>
        <w:t>若主险合同与本附加险合同的条款相抵触的，以本附加险合同的条款为准。</w:t>
      </w:r>
    </w:p>
    <w:p>
      <w:pPr>
        <w:pStyle w:val="BodyText"/>
        <w:spacing w:before="4"/>
        <w:ind w:left="0"/>
        <w:rPr>
          <w:sz w:val="25"/>
        </w:rPr>
      </w:pPr>
    </w:p>
    <w:p>
      <w:pPr>
        <w:pStyle w:val="Heading1"/>
        <w:spacing w:line="254" w:lineRule="auto"/>
        <w:ind w:left="225" w:right="4123" w:hanging="108"/>
      </w:pPr>
      <w:r>
        <w:rPr/>
        <w:t>附表一：重大疾病名称及定义和早期治疗保险金疾病名称及定义</w:t>
      </w:r>
      <w:r>
        <w:rPr>
          <w:w w:val="95"/>
        </w:rPr>
        <w:t>重大疾病名称及定义：</w:t>
      </w:r>
    </w:p>
    <w:p>
      <w:pPr>
        <w:spacing w:line="273" w:lineRule="auto" w:before="24"/>
        <w:ind w:left="225" w:right="952" w:firstLine="0"/>
        <w:jc w:val="both"/>
        <w:rPr>
          <w:b/>
          <w:sz w:val="21"/>
        </w:rPr>
      </w:pPr>
      <w:r>
        <w:rPr>
          <w:b/>
          <w:sz w:val="21"/>
        </w:rPr>
        <w:t>（</w:t>
      </w:r>
      <w:r>
        <w:rPr>
          <w:b/>
          <w:spacing w:val="-12"/>
          <w:sz w:val="21"/>
        </w:rPr>
        <w:t>包括以下 </w:t>
      </w:r>
      <w:r>
        <w:rPr>
          <w:b/>
          <w:sz w:val="21"/>
        </w:rPr>
        <w:t>39</w:t>
      </w:r>
      <w:r>
        <w:rPr>
          <w:b/>
          <w:spacing w:val="-20"/>
          <w:sz w:val="21"/>
        </w:rPr>
        <w:t> 种，其中 </w:t>
      </w:r>
      <w:r>
        <w:rPr>
          <w:b/>
          <w:sz w:val="21"/>
        </w:rPr>
        <w:t>1-25</w:t>
      </w:r>
      <w:r>
        <w:rPr>
          <w:b/>
          <w:spacing w:val="-29"/>
          <w:sz w:val="21"/>
        </w:rPr>
        <w:t> 种为 </w:t>
      </w:r>
      <w:r>
        <w:rPr>
          <w:b/>
          <w:sz w:val="21"/>
        </w:rPr>
        <w:t>2007</w:t>
      </w:r>
      <w:r>
        <w:rPr>
          <w:b/>
          <w:spacing w:val="-38"/>
          <w:sz w:val="21"/>
        </w:rPr>
        <w:t> 年 </w:t>
      </w:r>
      <w:r>
        <w:rPr>
          <w:b/>
          <w:sz w:val="21"/>
        </w:rPr>
        <w:t>4</w:t>
      </w:r>
      <w:r>
        <w:rPr>
          <w:b/>
          <w:spacing w:val="-39"/>
          <w:sz w:val="21"/>
        </w:rPr>
        <w:t> 月 </w:t>
      </w:r>
      <w:r>
        <w:rPr>
          <w:b/>
          <w:sz w:val="21"/>
        </w:rPr>
        <w:t>3</w:t>
      </w:r>
      <w:r>
        <w:rPr>
          <w:b/>
          <w:spacing w:val="-8"/>
          <w:sz w:val="21"/>
        </w:rPr>
        <w:t> 日开始使用的中国保险行业协会与中国医师协会</w:t>
      </w:r>
      <w:r>
        <w:rPr>
          <w:b/>
          <w:spacing w:val="-7"/>
          <w:sz w:val="21"/>
        </w:rPr>
        <w:t>制定的《重大疾病保险的疾病定义使用规范》中的规范定义重大疾病，</w:t>
      </w:r>
      <w:r>
        <w:rPr>
          <w:b/>
          <w:spacing w:val="-3"/>
          <w:sz w:val="21"/>
        </w:rPr>
        <w:t>26-39</w:t>
      </w:r>
      <w:r>
        <w:rPr>
          <w:b/>
          <w:spacing w:val="-9"/>
          <w:sz w:val="21"/>
        </w:rPr>
        <w:t> 种为我们新增的重大</w:t>
      </w:r>
      <w:r>
        <w:rPr>
          <w:b/>
          <w:spacing w:val="-9"/>
          <w:w w:val="95"/>
          <w:sz w:val="21"/>
        </w:rPr>
        <w:t>疾病。以下所有疾病应由专科医生</w:t>
      </w:r>
      <w:r>
        <w:rPr>
          <w:b/>
          <w:spacing w:val="-9"/>
          <w:w w:val="95"/>
          <w:position w:val="11"/>
          <w:sz w:val="11"/>
        </w:rPr>
        <w:t>16</w:t>
      </w:r>
      <w:r>
        <w:rPr>
          <w:b/>
          <w:spacing w:val="-41"/>
          <w:w w:val="95"/>
          <w:sz w:val="21"/>
        </w:rPr>
        <w:t>诊断。</w:t>
      </w:r>
      <w:r>
        <w:rPr>
          <w:b/>
          <w:w w:val="95"/>
          <w:sz w:val="21"/>
        </w:rPr>
        <w:t>）</w:t>
      </w:r>
    </w:p>
    <w:p>
      <w:pPr>
        <w:pStyle w:val="ListParagraph"/>
        <w:numPr>
          <w:ilvl w:val="0"/>
          <w:numId w:val="3"/>
        </w:numPr>
        <w:tabs>
          <w:tab w:pos="382" w:val="left" w:leader="none"/>
          <w:tab w:pos="2823" w:val="left" w:leader="none"/>
        </w:tabs>
        <w:spacing w:line="295" w:lineRule="exact" w:before="0" w:after="0"/>
        <w:ind w:left="3002" w:right="0" w:hanging="2885"/>
        <w:jc w:val="left"/>
        <w:rPr>
          <w:sz w:val="21"/>
        </w:rPr>
      </w:pPr>
      <w:r>
        <w:rPr>
          <w:sz w:val="21"/>
        </w:rPr>
        <w:t>恶性肿瘤</w:t>
        <w:tab/>
      </w:r>
      <w:r>
        <w:rPr>
          <w:spacing w:val="-32"/>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ind w:right="843"/>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before="0"/>
        <w:jc w:val="both"/>
      </w:pPr>
      <w:r>
        <w:rPr/>
        <w:t>下列疾病不在保障范围内：</w:t>
      </w:r>
    </w:p>
    <w:p>
      <w:pPr>
        <w:pStyle w:val="BodyText"/>
        <w:spacing w:before="38"/>
        <w:jc w:val="both"/>
      </w:pPr>
      <w:r>
        <w:rPr/>
        <w:t>（</w:t>
      </w:r>
      <w:r>
        <w:rPr>
          <w:rFonts w:ascii="Times New Roman" w:eastAsia="Times New Roman"/>
        </w:rPr>
        <w:t>1</w:t>
      </w:r>
      <w:r>
        <w:rPr/>
        <w:t>）原位癌；</w:t>
      </w:r>
    </w:p>
    <w:p>
      <w:pPr>
        <w:pStyle w:val="BodyText"/>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jc w:val="both"/>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ind w:right="2205"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2" w:val="left" w:leader="none"/>
          <w:tab w:pos="2823" w:val="left" w:leader="none"/>
        </w:tabs>
        <w:spacing w:line="240" w:lineRule="auto" w:before="12" w:after="0"/>
        <w:ind w:left="3002" w:right="0" w:hanging="2885"/>
        <w:jc w:val="left"/>
        <w:rPr>
          <w:sz w:val="21"/>
        </w:rPr>
      </w:pPr>
      <w:r>
        <w:rPr>
          <w:sz w:val="21"/>
        </w:rPr>
        <w:t>急性心肌梗塞</w:t>
        <w:tab/>
      </w:r>
      <w:r>
        <w:rPr>
          <w:spacing w:val="-32"/>
          <w:position w:val="1"/>
          <w:sz w:val="21"/>
        </w:rPr>
        <w:t>：</w:t>
      </w:r>
      <w:r>
        <w:rPr>
          <w:sz w:val="21"/>
        </w:rPr>
        <w:t>指因冠状动脉阻塞导致的相应区域供血不足造成部分心肌坏死</w:t>
      </w:r>
      <w:r>
        <w:rPr>
          <w:spacing w:val="-5"/>
          <w:sz w:val="21"/>
        </w:rPr>
        <w:t>。</w:t>
      </w:r>
      <w:r>
        <w:rPr>
          <w:sz w:val="21"/>
        </w:rPr>
        <w:t>须满</w:t>
      </w:r>
    </w:p>
    <w:p>
      <w:pPr>
        <w:pStyle w:val="BodyText"/>
        <w:jc w:val="both"/>
      </w:pPr>
      <w:r>
        <w:rPr/>
        <w:t>足下列至少三项条件：</w:t>
      </w:r>
    </w:p>
    <w:p>
      <w:pPr>
        <w:pStyle w:val="BodyText"/>
        <w:spacing w:before="37"/>
        <w:jc w:val="both"/>
      </w:pPr>
      <w:r>
        <w:rPr/>
        <w:t>（</w:t>
      </w:r>
      <w:r>
        <w:rPr>
          <w:rFonts w:ascii="Times New Roman" w:eastAsia="Times New Roman"/>
        </w:rPr>
        <w:t>1</w:t>
      </w:r>
      <w:r>
        <w:rPr/>
        <w:t>）典型临床表现，例如急性胸痛等；</w:t>
      </w:r>
    </w:p>
    <w:p>
      <w:pPr>
        <w:pStyle w:val="BodyText"/>
        <w:jc w:val="both"/>
      </w:pPr>
      <w:r>
        <w:rPr/>
        <w:t>（</w:t>
      </w:r>
      <w:r>
        <w:rPr>
          <w:rFonts w:ascii="Times New Roman" w:eastAsia="Times New Roman"/>
        </w:rPr>
        <w:t>2</w:t>
      </w:r>
      <w:r>
        <w:rPr/>
        <w:t>）新近的心电图改变提示急性心肌梗塞；</w:t>
      </w:r>
    </w:p>
    <w:p>
      <w:pPr>
        <w:pStyle w:val="BodyText"/>
        <w:spacing w:line="256" w:lineRule="auto"/>
        <w:ind w:right="842"/>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right="845"/>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2" w:val="left" w:leader="none"/>
          <w:tab w:pos="2823" w:val="left" w:leader="none"/>
        </w:tabs>
        <w:spacing w:line="296" w:lineRule="exact" w:before="0" w:after="0"/>
        <w:ind w:left="381" w:right="0" w:hanging="264"/>
        <w:jc w:val="left"/>
        <w:rPr>
          <w:sz w:val="21"/>
        </w:rPr>
      </w:pPr>
      <w:r>
        <w:rPr>
          <w:sz w:val="21"/>
        </w:rPr>
        <w:t>脑中风后遗症</w:t>
        <w:tab/>
      </w:r>
      <w:r>
        <w:rPr>
          <w:spacing w:val="-32"/>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spacing w:before="22"/>
        <w:jc w:val="both"/>
        <w:rPr>
          <w:rFonts w:ascii="Times New Roman" w:eastAsia="Times New Roman"/>
        </w:rPr>
      </w:pPr>
      <w:r>
        <w:rPr/>
        <w:t>统永久性的功能障碍。神经系统永久性的功能障碍，指疾病确诊 </w:t>
      </w:r>
      <w:r>
        <w:rPr>
          <w:rFonts w:ascii="Times New Roman" w:eastAsia="Times New Roman"/>
        </w:rPr>
        <w:t>180</w:t>
      </w:r>
    </w:p>
    <w:p>
      <w:pPr>
        <w:pStyle w:val="BodyText"/>
        <w:jc w:val="both"/>
      </w:pPr>
      <w:r>
        <w:rPr/>
        <w:t>天后，仍遗留下列一种或一种以上障碍：</w:t>
      </w:r>
    </w:p>
    <w:p>
      <w:pPr>
        <w:spacing w:before="36"/>
        <w:ind w:left="3002" w:right="0" w:firstLine="0"/>
        <w:jc w:val="both"/>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17</w:t>
      </w:r>
      <w:r>
        <w:rPr>
          <w:rFonts w:ascii="Times New Roman" w:eastAsia="Times New Roman"/>
          <w:b/>
          <w:w w:val="95"/>
          <w:sz w:val="21"/>
          <w:vertAlign w:val="baseline"/>
        </w:rPr>
      </w:r>
      <w:r>
        <w:rPr>
          <w:w w:val="95"/>
          <w:sz w:val="21"/>
          <w:vertAlign w:val="baseline"/>
        </w:rPr>
        <w:t>；</w:t>
      </w:r>
    </w:p>
    <w:p>
      <w:pPr>
        <w:pStyle w:val="Heading1"/>
        <w:spacing w:before="20"/>
        <w:ind w:left="3002" w:firstLine="0"/>
        <w:jc w:val="both"/>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18</w:t>
      </w:r>
      <w:r>
        <w:rPr>
          <w:rFonts w:ascii="Times New Roman" w:eastAsia="Times New Roman"/>
          <w:w w:val="95"/>
          <w:vertAlign w:val="baseline"/>
        </w:rPr>
      </w:r>
      <w:r>
        <w:rPr>
          <w:b w:val="0"/>
          <w:w w:val="95"/>
          <w:vertAlign w:val="baseline"/>
        </w:rPr>
        <w:t>；</w:t>
      </w:r>
    </w:p>
    <w:p>
      <w:pPr>
        <w:pStyle w:val="BodyText"/>
        <w:spacing w:before="0"/>
        <w:ind w:left="0"/>
        <w:rPr>
          <w:sz w:val="17"/>
        </w:rPr>
      </w:pPr>
      <w:r>
        <w:rPr/>
        <w:pict>
          <v:line style="position:absolute;mso-position-horizontal-relative:page;mso-position-vertical-relative:paragraph;z-index:1120;mso-wrap-distance-left:0;mso-wrap-distance-right:0" from="53.880001pt,13.387592pt" to="197.880001pt,13.387592pt" stroked="true" strokeweight=".54001pt" strokecolor="#000000">
            <v:stroke dashstyle="solid"/>
            <w10:wrap type="topAndBottom"/>
          </v:line>
        </w:pict>
      </w:r>
    </w:p>
    <w:p>
      <w:pPr>
        <w:spacing w:line="234" w:lineRule="exact" w:before="30"/>
        <w:ind w:left="117" w:right="0" w:firstLine="0"/>
        <w:jc w:val="left"/>
        <w:rPr>
          <w:rFonts w:ascii="楷体" w:eastAsia="楷体" w:hint="eastAsia"/>
          <w:sz w:val="18"/>
        </w:rPr>
      </w:pPr>
      <w:r>
        <w:rPr>
          <w:rFonts w:ascii="Times New Roman" w:eastAsia="Times New Roman"/>
          <w:position w:val="8"/>
          <w:sz w:val="12"/>
        </w:rPr>
        <w:t>16</w:t>
      </w:r>
      <w:r>
        <w:rPr>
          <w:rFonts w:ascii="楷体" w:eastAsia="楷体" w:hint="eastAsia"/>
          <w:b/>
          <w:w w:val="99"/>
          <w:sz w:val="18"/>
        </w:rPr>
        <w:t>专科医生</w:t>
      </w:r>
      <w:r>
        <w:rPr>
          <w:rFonts w:ascii="楷体" w:eastAsia="楷体" w:hint="eastAsia"/>
          <w:spacing w:val="-8"/>
          <w:sz w:val="18"/>
        </w:rPr>
        <w:t>：应当同时满足以下四项资格条件：</w:t>
      </w:r>
      <w:r>
        <w:rPr>
          <w:rFonts w:ascii="楷体" w:eastAsia="楷体" w:hint="eastAsia"/>
          <w:sz w:val="18"/>
        </w:rPr>
        <w:t>（1</w:t>
      </w:r>
      <w:r>
        <w:rPr>
          <w:rFonts w:ascii="楷体" w:eastAsia="楷体" w:hint="eastAsia"/>
          <w:spacing w:val="-5"/>
          <w:sz w:val="18"/>
        </w:rPr>
        <w:t>）</w:t>
      </w:r>
      <w:r>
        <w:rPr>
          <w:rFonts w:ascii="楷体" w:eastAsia="楷体" w:hint="eastAsia"/>
          <w:spacing w:val="-11"/>
          <w:sz w:val="18"/>
        </w:rPr>
        <w:t>具有有效的中华人民共和国《医师资格证书》；</w:t>
      </w:r>
      <w:r>
        <w:rPr>
          <w:rFonts w:ascii="楷体" w:eastAsia="楷体" w:hint="eastAsia"/>
          <w:sz w:val="18"/>
        </w:rPr>
        <w:t>（2</w:t>
      </w:r>
      <w:r>
        <w:rPr>
          <w:rFonts w:ascii="楷体" w:eastAsia="楷体" w:hint="eastAsia"/>
          <w:spacing w:val="-5"/>
          <w:sz w:val="18"/>
        </w:rPr>
        <w:t>）</w:t>
      </w:r>
      <w:r>
        <w:rPr>
          <w:rFonts w:ascii="楷体" w:eastAsia="楷体" w:hint="eastAsia"/>
          <w:sz w:val="18"/>
        </w:rPr>
        <w:t>具有有效的中华人民共</w:t>
      </w:r>
    </w:p>
    <w:p>
      <w:pPr>
        <w:spacing w:before="0"/>
        <w:ind w:left="117" w:right="118" w:firstLine="0"/>
        <w:jc w:val="left"/>
        <w:rPr>
          <w:rFonts w:ascii="楷体" w:eastAsia="楷体" w:hint="eastAsia"/>
          <w:sz w:val="18"/>
        </w:rPr>
      </w:pPr>
      <w:r>
        <w:rPr>
          <w:rFonts w:ascii="楷体" w:eastAsia="楷体" w:hint="eastAsia"/>
          <w:spacing w:val="-12"/>
          <w:sz w:val="18"/>
        </w:rPr>
        <w:t>和国《医师执业证书》，并按期到相关部门登记注册</w:t>
      </w:r>
      <w:r>
        <w:rPr>
          <w:rFonts w:ascii="楷体" w:eastAsia="楷体" w:hint="eastAsia"/>
          <w:spacing w:val="-107"/>
          <w:sz w:val="18"/>
        </w:rPr>
        <w:t>；</w:t>
      </w:r>
      <w:r>
        <w:rPr>
          <w:rFonts w:ascii="楷体" w:eastAsia="楷体" w:hint="eastAsia"/>
          <w:sz w:val="18"/>
        </w:rPr>
        <w:t>（3</w:t>
      </w:r>
      <w:r>
        <w:rPr>
          <w:rFonts w:ascii="楷体" w:eastAsia="楷体" w:hint="eastAsia"/>
          <w:spacing w:val="-17"/>
          <w:sz w:val="18"/>
        </w:rPr>
        <w:t>）</w:t>
      </w:r>
      <w:r>
        <w:rPr>
          <w:rFonts w:ascii="楷体" w:eastAsia="楷体" w:hint="eastAsia"/>
          <w:spacing w:val="-1"/>
          <w:sz w:val="18"/>
        </w:rPr>
        <w:t>具有有效的中华人民共和国主治医师或主治医师以上职称的《医师职</w:t>
      </w:r>
      <w:r>
        <w:rPr>
          <w:rFonts w:ascii="楷体" w:eastAsia="楷体" w:hint="eastAsia"/>
          <w:spacing w:val="-38"/>
          <w:sz w:val="18"/>
        </w:rPr>
        <w:t>称证书》；</w:t>
      </w:r>
      <w:r>
        <w:rPr>
          <w:rFonts w:ascii="楷体" w:eastAsia="楷体" w:hint="eastAsia"/>
          <w:sz w:val="18"/>
        </w:rPr>
        <w:t>（4）在二级或二级以上医院的相应科室从事临床工作三年以上。</w:t>
      </w:r>
    </w:p>
    <w:p>
      <w:pPr>
        <w:spacing w:line="233" w:lineRule="exact" w:before="1"/>
        <w:ind w:left="117" w:right="0" w:firstLine="0"/>
        <w:jc w:val="left"/>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指肢体的三大关节中的两大关节僵硬，或不能随意识活动。肢体是指包括肩关节的整个上肢或包括髋关</w:t>
      </w:r>
    </w:p>
    <w:p>
      <w:pPr>
        <w:spacing w:line="233" w:lineRule="exact" w:before="0"/>
        <w:ind w:left="117" w:right="0" w:firstLine="0"/>
        <w:jc w:val="left"/>
        <w:rPr>
          <w:rFonts w:ascii="楷体" w:eastAsia="楷体" w:hint="eastAsia"/>
          <w:sz w:val="18"/>
        </w:rPr>
      </w:pPr>
      <w:r>
        <w:rPr>
          <w:rFonts w:ascii="楷体" w:eastAsia="楷体" w:hint="eastAsia"/>
          <w:sz w:val="18"/>
        </w:rPr>
        <w:t>节的整个下肢。</w:t>
      </w:r>
    </w:p>
    <w:p>
      <w:pPr>
        <w:spacing w:line="235" w:lineRule="exact" w:before="0"/>
        <w:ind w:left="117" w:right="0" w:firstLine="0"/>
        <w:jc w:val="left"/>
        <w:rPr>
          <w:rFonts w:ascii="楷体" w:eastAsia="楷体" w:hint="eastAsia"/>
          <w:sz w:val="18"/>
        </w:rPr>
      </w:pPr>
      <w:r>
        <w:rPr>
          <w:rFonts w:ascii="Times New Roman" w:eastAsia="Times New Roman"/>
          <w:w w:val="95"/>
          <w:position w:val="8"/>
          <w:sz w:val="12"/>
        </w:rPr>
        <w:t>18</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语言能力完全丧失，指无法发出四种语音（包括口唇音、齿舌音、口盖音和喉头音）中</w:t>
      </w:r>
    </w:p>
    <w:p>
      <w:pPr>
        <w:spacing w:after="0" w:line="235" w:lineRule="exact"/>
        <w:jc w:val="left"/>
        <w:rPr>
          <w:rFonts w:ascii="楷体" w:eastAsia="楷体" w:hint="eastAsia"/>
          <w:sz w:val="18"/>
        </w:rPr>
        <w:sectPr>
          <w:pgSz w:w="11910" w:h="16840"/>
          <w:pgMar w:header="0" w:footer="1673" w:top="1340" w:bottom="1880" w:left="960" w:right="800"/>
        </w:sectPr>
      </w:pPr>
    </w:p>
    <w:p>
      <w:pPr>
        <w:spacing w:line="256" w:lineRule="auto" w:before="65"/>
        <w:ind w:left="3002" w:right="766"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19</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4" w:val="left" w:leader="none"/>
        </w:tabs>
        <w:spacing w:line="240" w:lineRule="auto" w:before="12" w:after="0"/>
        <w:ind w:left="393" w:right="0" w:hanging="276"/>
        <w:jc w:val="left"/>
        <w:rPr>
          <w:sz w:val="21"/>
        </w:rPr>
      </w:pPr>
      <w:r>
        <w:rPr>
          <w:spacing w:val="8"/>
          <w:sz w:val="21"/>
        </w:rPr>
        <w:t>重大器官移植术或造血干</w:t>
      </w:r>
      <w:r>
        <w:rPr>
          <w:spacing w:val="-32"/>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1673" w:top="1320" w:bottom="1880" w:left="960" w:right="820"/>
        </w:sectPr>
      </w:pPr>
    </w:p>
    <w:p>
      <w:pPr>
        <w:pStyle w:val="BodyText"/>
        <w:ind w:left="117"/>
      </w:pPr>
      <w:r>
        <w:rPr/>
        <w:t>细胞移植术</w:t>
      </w:r>
    </w:p>
    <w:p>
      <w:pPr>
        <w:pStyle w:val="BodyText"/>
        <w:ind w:left="117"/>
      </w:pPr>
      <w:r>
        <w:rPr/>
        <w:br w:type="column"/>
      </w:r>
      <w:r>
        <w:rPr/>
        <w:t>心脏或肺脏的异体移植手术。</w:t>
      </w:r>
    </w:p>
    <w:p>
      <w:pPr>
        <w:pStyle w:val="BodyText"/>
        <w:spacing w:line="273" w:lineRule="auto" w:before="37"/>
        <w:ind w:left="117" w:right="82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20" w:bottom="280" w:left="960" w:right="820"/>
          <w:cols w:num="2" w:equalWidth="0">
            <w:col w:w="1168" w:space="1717"/>
            <w:col w:w="7245"/>
          </w:cols>
        </w:sectPr>
      </w:pPr>
    </w:p>
    <w:p>
      <w:pPr>
        <w:pStyle w:val="ListParagraph"/>
        <w:numPr>
          <w:ilvl w:val="0"/>
          <w:numId w:val="3"/>
        </w:numPr>
        <w:tabs>
          <w:tab w:pos="382" w:val="left" w:leader="none"/>
        </w:tabs>
        <w:spacing w:line="299" w:lineRule="exact" w:before="0" w:after="0"/>
        <w:ind w:left="3002" w:right="0" w:hanging="2885"/>
        <w:jc w:val="left"/>
        <w:rPr>
          <w:sz w:val="21"/>
        </w:rPr>
      </w:pPr>
      <w:r>
        <w:rPr>
          <w:spacing w:val="-12"/>
          <w:sz w:val="21"/>
        </w:rPr>
        <w:t>冠状动脉搭桥术</w:t>
      </w:r>
      <w:r>
        <w:rPr>
          <w:sz w:val="21"/>
        </w:rPr>
        <w:t>（或称冠状</w:t>
      </w:r>
      <w:r>
        <w:rPr>
          <w:spacing w:val="-32"/>
          <w:position w:val="1"/>
          <w:sz w:val="21"/>
        </w:rPr>
        <w:t>：</w:t>
      </w:r>
      <w:r>
        <w:rPr>
          <w:spacing w:val="-1"/>
          <w:sz w:val="21"/>
        </w:rPr>
        <w:t>指为治疗严重的冠心病，实际实施了开胸进行的冠状动脉血管旁路移</w:t>
      </w:r>
    </w:p>
    <w:p>
      <w:pPr>
        <w:spacing w:after="0" w:line="299" w:lineRule="exact"/>
        <w:jc w:val="left"/>
        <w:rPr>
          <w:sz w:val="21"/>
        </w:rPr>
        <w:sectPr>
          <w:type w:val="continuous"/>
          <w:pgSz w:w="11910" w:h="16840"/>
          <w:pgMar w:top="520" w:bottom="280" w:left="960" w:right="820"/>
        </w:sectPr>
      </w:pPr>
    </w:p>
    <w:p>
      <w:pPr>
        <w:pStyle w:val="BodyText"/>
        <w:ind w:left="117"/>
      </w:pPr>
      <w:r>
        <w:rPr/>
        <w:t>动脉旁路移植术）</w:t>
      </w:r>
    </w:p>
    <w:p>
      <w:pPr>
        <w:pStyle w:val="BodyText"/>
        <w:ind w:left="117"/>
      </w:pPr>
      <w:r>
        <w:rPr/>
        <w:br w:type="column"/>
      </w:r>
      <w:r>
        <w:rPr/>
        <w:t>植的手术。</w:t>
      </w:r>
    </w:p>
    <w:p>
      <w:pPr>
        <w:pStyle w:val="BodyText"/>
        <w:spacing w:line="273" w:lineRule="auto" w:before="37"/>
        <w:ind w:left="117" w:right="824"/>
      </w:pPr>
      <w:r>
        <w:rPr/>
        <w:t>冠状动脉支架植入术、心导管球囊扩张术、激光射频技术及其他非开胸的介入手术、腔镜手术不在保障范围内。</w:t>
      </w:r>
    </w:p>
    <w:p>
      <w:pPr>
        <w:spacing w:after="0" w:line="273" w:lineRule="auto"/>
        <w:sectPr>
          <w:type w:val="continuous"/>
          <w:pgSz w:w="11910" w:h="16840"/>
          <w:pgMar w:top="520" w:bottom="280" w:left="960" w:right="820"/>
          <w:cols w:num="2" w:equalWidth="0">
            <w:col w:w="1798" w:space="1087"/>
            <w:col w:w="7245"/>
          </w:cols>
        </w:sectPr>
      </w:pPr>
    </w:p>
    <w:p>
      <w:pPr>
        <w:pStyle w:val="ListParagraph"/>
        <w:numPr>
          <w:ilvl w:val="0"/>
          <w:numId w:val="3"/>
        </w:numPr>
        <w:tabs>
          <w:tab w:pos="382" w:val="left" w:leader="none"/>
        </w:tabs>
        <w:spacing w:line="299" w:lineRule="exact" w:before="0" w:after="0"/>
        <w:ind w:left="3002" w:right="0" w:hanging="2885"/>
        <w:jc w:val="left"/>
        <w:rPr>
          <w:sz w:val="21"/>
        </w:rPr>
      </w:pPr>
      <w:r>
        <w:rPr>
          <w:spacing w:val="-16"/>
          <w:sz w:val="21"/>
        </w:rPr>
        <w:t>终末期肾病</w:t>
      </w:r>
      <w:r>
        <w:rPr>
          <w:sz w:val="21"/>
        </w:rPr>
        <w:t>（或称慢性肾功</w:t>
      </w:r>
      <w:r>
        <w:rPr>
          <w:spacing w:val="-32"/>
          <w:position w:val="1"/>
          <w:sz w:val="21"/>
        </w:rPr>
        <w:t>：</w:t>
      </w:r>
      <w:r>
        <w:rPr>
          <w:spacing w:val="-2"/>
          <w:sz w:val="21"/>
        </w:rPr>
        <w:t>指双肾功能慢性不可逆性衰竭，达到尿毒症期，经诊断后已经进行了</w:t>
      </w:r>
    </w:p>
    <w:p>
      <w:pPr>
        <w:spacing w:after="0" w:line="299" w:lineRule="exact"/>
        <w:jc w:val="left"/>
        <w:rPr>
          <w:sz w:val="21"/>
        </w:rPr>
        <w:sectPr>
          <w:type w:val="continuous"/>
          <w:pgSz w:w="11910" w:h="16840"/>
          <w:pgMar w:top="520" w:bottom="280" w:left="960" w:right="820"/>
        </w:sectPr>
      </w:pPr>
    </w:p>
    <w:p>
      <w:pPr>
        <w:pStyle w:val="BodyText"/>
        <w:ind w:left="117"/>
      </w:pPr>
      <w:r>
        <w:rPr/>
        <w:t>能衰竭尿毒症期）</w:t>
      </w:r>
    </w:p>
    <w:p>
      <w:pPr>
        <w:pStyle w:val="BodyText"/>
        <w:ind w:left="117"/>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520" w:bottom="280" w:left="960" w:right="820"/>
          <w:cols w:num="2" w:equalWidth="0">
            <w:col w:w="1798" w:space="1087"/>
            <w:col w:w="7245"/>
          </w:cols>
        </w:sectPr>
      </w:pPr>
    </w:p>
    <w:p>
      <w:pPr>
        <w:pStyle w:val="ListParagraph"/>
        <w:numPr>
          <w:ilvl w:val="0"/>
          <w:numId w:val="3"/>
        </w:numPr>
        <w:tabs>
          <w:tab w:pos="382" w:val="left" w:leader="none"/>
          <w:tab w:pos="2823" w:val="left" w:leader="none"/>
        </w:tabs>
        <w:spacing w:line="256" w:lineRule="auto" w:before="11" w:after="0"/>
        <w:ind w:left="3002" w:right="825" w:hanging="2885"/>
        <w:jc w:val="left"/>
        <w:rPr>
          <w:sz w:val="21"/>
        </w:rPr>
      </w:pPr>
      <w:r>
        <w:rPr>
          <w:sz w:val="21"/>
        </w:rPr>
        <w:t>多个肢体缺失</w:t>
        <w:tab/>
      </w:r>
      <w:r>
        <w:rPr>
          <w:spacing w:val="-32"/>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82" w:val="left" w:leader="none"/>
          <w:tab w:pos="2823" w:val="left" w:leader="none"/>
        </w:tabs>
        <w:spacing w:line="240" w:lineRule="auto" w:before="12" w:after="0"/>
        <w:ind w:left="3002" w:right="0" w:hanging="2885"/>
        <w:jc w:val="left"/>
        <w:rPr>
          <w:sz w:val="21"/>
        </w:rPr>
      </w:pPr>
      <w:r>
        <w:rPr>
          <w:sz w:val="21"/>
        </w:rPr>
        <w:t>急性或亚急性重症肝炎</w:t>
        <w:tab/>
      </w:r>
      <w:r>
        <w:rPr>
          <w:spacing w:val="-32"/>
          <w:position w:val="1"/>
          <w:sz w:val="21"/>
        </w:rPr>
        <w:t>：</w:t>
      </w:r>
      <w:r>
        <w:rPr>
          <w:sz w:val="21"/>
        </w:rPr>
        <w:t>指因肝炎病毒感染引起肝脏组织弥漫性坏死，导致急性肝功能衰竭，</w:t>
      </w:r>
    </w:p>
    <w:p>
      <w:pPr>
        <w:pStyle w:val="BodyText"/>
      </w:pPr>
      <w:r>
        <w:rPr/>
        <w:t>且经血清学或病毒学检查证实，并须满足下列全部条件：</w:t>
      </w:r>
    </w:p>
    <w:p>
      <w:pPr>
        <w:pStyle w:val="BodyText"/>
        <w:spacing w:before="37"/>
      </w:pPr>
      <w:r>
        <w:rPr/>
        <w:t>（</w:t>
      </w:r>
      <w:r>
        <w:rPr>
          <w:rFonts w:ascii="Times New Roman" w:eastAsia="Times New Roman"/>
        </w:rPr>
        <w:t>1</w:t>
      </w:r>
      <w:r>
        <w:rPr/>
        <w:t>）重度黄疸或黄疸迅速加重；</w:t>
      </w:r>
    </w:p>
    <w:p>
      <w:pPr>
        <w:pStyle w:val="BodyText"/>
      </w:pPr>
      <w:r>
        <w:rPr/>
        <w:t>（</w:t>
      </w:r>
      <w:r>
        <w:rPr>
          <w:rFonts w:ascii="Times New Roman" w:eastAsia="Times New Roman"/>
        </w:rPr>
        <w:t>2</w:t>
      </w:r>
      <w:r>
        <w:rPr/>
        <w:t>）肝性脑病；</w:t>
      </w:r>
    </w:p>
    <w:p>
      <w:pPr>
        <w:pStyle w:val="BodyText"/>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pPr>
      <w:r>
        <w:rPr/>
        <w:t>（</w:t>
      </w:r>
      <w:r>
        <w:rPr>
          <w:rFonts w:ascii="Times New Roman" w:eastAsia="Times New Roman"/>
        </w:rPr>
        <w:t>4</w:t>
      </w:r>
      <w:r>
        <w:rPr/>
        <w:t>）肝功能指标进行性恶化。</w:t>
      </w:r>
    </w:p>
    <w:p>
      <w:pPr>
        <w:pStyle w:val="ListParagraph"/>
        <w:numPr>
          <w:ilvl w:val="0"/>
          <w:numId w:val="3"/>
        </w:numPr>
        <w:tabs>
          <w:tab w:pos="382" w:val="left" w:leader="none"/>
          <w:tab w:pos="2823" w:val="left" w:leader="none"/>
        </w:tabs>
        <w:spacing w:line="240" w:lineRule="auto" w:before="11" w:after="0"/>
        <w:ind w:left="381" w:right="0" w:hanging="264"/>
        <w:jc w:val="left"/>
        <w:rPr>
          <w:sz w:val="21"/>
        </w:rPr>
      </w:pPr>
      <w:r>
        <w:rPr>
          <w:sz w:val="21"/>
        </w:rPr>
        <w:t>良性脑肿瘤</w:t>
        <w:tab/>
      </w:r>
      <w:r>
        <w:rPr>
          <w:spacing w:val="-32"/>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pPr>
      <w:r>
        <w:rPr/>
        <w:t>精神症状、癫痫及运动感觉障碍等，并危及生命。须由头颅断层扫描</w:t>
      </w:r>
    </w:p>
    <w:p>
      <w:pPr>
        <w:pStyle w:val="BodyText"/>
        <w:spacing w:line="256" w:lineRule="auto" w:before="37"/>
        <w:ind w:right="824"/>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pPr>
      <w:r>
        <w:rPr/>
        <w:t>（</w:t>
      </w:r>
      <w:r>
        <w:rPr>
          <w:rFonts w:ascii="Times New Roman" w:eastAsia="Times New Roman"/>
        </w:rPr>
        <w:t>1</w:t>
      </w:r>
      <w:r>
        <w:rPr/>
        <w:t>）实际实施了开颅进行的脑肿瘤完全切除或部分切除的手术；</w:t>
      </w:r>
    </w:p>
    <w:p>
      <w:pPr>
        <w:pStyle w:val="BodyText"/>
      </w:pPr>
      <w:r>
        <w:rPr/>
        <w:t>（</w:t>
      </w:r>
      <w:r>
        <w:rPr>
          <w:rFonts w:ascii="Times New Roman" w:eastAsia="Times New Roman"/>
        </w:rPr>
        <w:t>2</w:t>
      </w:r>
      <w:r>
        <w:rPr/>
        <w:t>）实际实施了对脑肿瘤进行的放射治疗。</w:t>
      </w:r>
    </w:p>
    <w:p>
      <w:pPr>
        <w:pStyle w:val="BodyText"/>
      </w:pPr>
      <w:r>
        <w:rPr/>
        <w:t>脑垂体瘤、脑囊肿、脑血管性疾病不在保障范围内。</w:t>
      </w:r>
    </w:p>
    <w:p>
      <w:pPr>
        <w:pStyle w:val="ListParagraph"/>
        <w:numPr>
          <w:ilvl w:val="0"/>
          <w:numId w:val="3"/>
        </w:numPr>
        <w:tabs>
          <w:tab w:pos="487" w:val="left" w:leader="none"/>
        </w:tabs>
        <w:spacing w:line="240" w:lineRule="auto" w:before="27" w:after="0"/>
        <w:ind w:left="486" w:right="0" w:hanging="369"/>
        <w:jc w:val="left"/>
        <w:rPr>
          <w:sz w:val="21"/>
        </w:rPr>
      </w:pPr>
      <w:r>
        <w:rPr>
          <w:spacing w:val="1"/>
          <w:sz w:val="21"/>
        </w:rPr>
        <w:t>慢性肝功能衰竭失代偿期</w:t>
      </w:r>
      <w:r>
        <w:rPr>
          <w:spacing w:val="-32"/>
          <w:position w:val="1"/>
          <w:sz w:val="21"/>
        </w:rPr>
        <w:t>：</w:t>
      </w:r>
      <w:r>
        <w:rPr>
          <w:sz w:val="21"/>
        </w:rPr>
        <w:t>指因慢性肝脏疾病导致肝功能衰竭。须满足下列全部条件：</w:t>
      </w:r>
    </w:p>
    <w:p>
      <w:pPr>
        <w:pStyle w:val="BodyText"/>
      </w:pPr>
      <w:r>
        <w:rPr/>
        <w:t>（</w:t>
      </w:r>
      <w:r>
        <w:rPr>
          <w:rFonts w:ascii="Times New Roman" w:eastAsia="Times New Roman"/>
        </w:rPr>
        <w:t>1</w:t>
      </w:r>
      <w:r>
        <w:rPr/>
        <w:t>）持续性黄疸；</w:t>
      </w:r>
    </w:p>
    <w:p>
      <w:pPr>
        <w:pStyle w:val="BodyText"/>
      </w:pPr>
      <w:r>
        <w:rPr/>
        <w:t>（</w:t>
      </w:r>
      <w:r>
        <w:rPr>
          <w:rFonts w:ascii="Times New Roman" w:eastAsia="Times New Roman"/>
        </w:rPr>
        <w:t>2</w:t>
      </w:r>
      <w:r>
        <w:rPr/>
        <w:t>）腹水；</w:t>
      </w:r>
    </w:p>
    <w:p>
      <w:pPr>
        <w:pStyle w:val="BodyText"/>
      </w:pPr>
      <w:r>
        <w:rPr/>
        <w:t>（</w:t>
      </w:r>
      <w:r>
        <w:rPr>
          <w:rFonts w:ascii="Times New Roman" w:eastAsia="Times New Roman"/>
        </w:rPr>
        <w:t>3</w:t>
      </w:r>
      <w:r>
        <w:rPr/>
        <w:t>）肝性脑病；</w:t>
      </w:r>
    </w:p>
    <w:p>
      <w:pPr>
        <w:pStyle w:val="BodyText"/>
        <w:spacing w:line="256" w:lineRule="auto"/>
        <w:ind w:right="1975"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82" w:val="left" w:leader="none"/>
          <w:tab w:pos="3422" w:val="left" w:leader="none"/>
        </w:tabs>
        <w:spacing w:line="240" w:lineRule="auto" w:before="12" w:after="0"/>
        <w:ind w:left="481" w:right="0" w:hanging="364"/>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3002" w:val="left" w:leader="none"/>
        </w:tabs>
        <w:spacing w:line="256" w:lineRule="auto"/>
        <w:ind w:right="824"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pPr>
      <w:r>
        <w:rPr/>
        <w:t>（</w:t>
      </w:r>
      <w:r>
        <w:rPr>
          <w:rFonts w:ascii="Times New Roman" w:eastAsia="Times New Roman"/>
        </w:rPr>
        <w:t>1</w:t>
      </w:r>
      <w:r>
        <w:rPr/>
        <w:t>）一肢或一肢以上肢体机能完全丧失；</w:t>
      </w:r>
    </w:p>
    <w:p>
      <w:pPr>
        <w:pStyle w:val="BodyText"/>
        <w:spacing w:before="5"/>
        <w:ind w:left="0"/>
        <w:rPr>
          <w:sz w:val="28"/>
        </w:rPr>
      </w:pPr>
      <w:r>
        <w:rPr/>
        <w:pict>
          <v:line style="position:absolute;mso-position-horizontal-relative:page;mso-position-vertical-relative:paragraph;z-index:1144;mso-wrap-distance-left:0;mso-wrap-distance-right:0" from="53.880001pt,20.832445pt" to="549.180001pt,20.832445pt" stroked="true" strokeweight=".53998pt" strokecolor="#000000">
            <v:stroke dashstyle="solid"/>
            <w10:wrap type="topAndBottom"/>
          </v:line>
        </w:pict>
      </w:r>
    </w:p>
    <w:p>
      <w:pPr>
        <w:spacing w:before="30"/>
        <w:ind w:left="117" w:right="104" w:firstLine="0"/>
        <w:jc w:val="left"/>
        <w:rPr>
          <w:rFonts w:ascii="楷体" w:eastAsia="楷体" w:hint="eastAsia"/>
          <w:sz w:val="18"/>
        </w:rPr>
      </w:pPr>
      <w:r>
        <w:rPr>
          <w:rFonts w:ascii="楷体" w:eastAsia="楷体" w:hint="eastAsia"/>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0"/>
        <w:ind w:left="117" w:right="0" w:firstLine="0"/>
        <w:jc w:val="left"/>
        <w:rPr>
          <w:rFonts w:ascii="楷体" w:eastAsia="楷体" w:hint="eastAsia"/>
          <w:sz w:val="18"/>
        </w:rPr>
      </w:pPr>
      <w:r>
        <w:rPr>
          <w:rFonts w:ascii="Times New Roman" w:eastAsia="Times New Roman"/>
          <w:position w:val="8"/>
          <w:sz w:val="12"/>
        </w:rPr>
        <w:t>19</w:t>
      </w:r>
      <w:r>
        <w:rPr>
          <w:rFonts w:ascii="楷体" w:eastAsia="楷体" w:hint="eastAsia"/>
          <w:b/>
          <w:spacing w:val="-1"/>
          <w:w w:val="99"/>
          <w:sz w:val="18"/>
        </w:rPr>
        <w:t>六项基本日常生活活动：</w:t>
      </w:r>
      <w:r>
        <w:rPr>
          <w:rFonts w:ascii="楷体" w:eastAsia="楷体" w:hint="eastAsia"/>
          <w:spacing w:val="-5"/>
          <w:sz w:val="18"/>
        </w:rPr>
        <w:t>指</w:t>
      </w:r>
      <w:r>
        <w:rPr>
          <w:rFonts w:ascii="楷体" w:eastAsia="楷体" w:hint="eastAsia"/>
          <w:sz w:val="18"/>
        </w:rPr>
        <w:t>（</w:t>
      </w:r>
      <w:r>
        <w:rPr>
          <w:rFonts w:ascii="Times New Roman" w:eastAsia="Times New Roman"/>
          <w:sz w:val="18"/>
        </w:rPr>
        <w:t>1</w:t>
      </w:r>
      <w:r>
        <w:rPr>
          <w:rFonts w:ascii="楷体" w:eastAsia="楷体" w:hint="eastAsia"/>
          <w:spacing w:val="-4"/>
          <w:sz w:val="18"/>
        </w:rPr>
        <w:t>）</w:t>
      </w:r>
      <w:r>
        <w:rPr>
          <w:rFonts w:ascii="楷体" w:eastAsia="楷体" w:hint="eastAsia"/>
          <w:spacing w:val="-10"/>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4"/>
          <w:sz w:val="18"/>
        </w:rPr>
        <w:t>）</w:t>
      </w:r>
      <w:r>
        <w:rPr>
          <w:rFonts w:ascii="楷体" w:eastAsia="楷体" w:hint="eastAsia"/>
          <w:spacing w:val="-8"/>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pacing w:val="-3"/>
          <w:sz w:val="18"/>
        </w:rPr>
        <w:t>）</w:t>
      </w:r>
      <w:r>
        <w:rPr>
          <w:rFonts w:ascii="楷体" w:eastAsia="楷体" w:hint="eastAsia"/>
          <w:spacing w:val="-2"/>
          <w:sz w:val="18"/>
        </w:rPr>
        <w:t>行动：自己上</w:t>
      </w:r>
    </w:p>
    <w:p>
      <w:pPr>
        <w:spacing w:line="225" w:lineRule="auto" w:before="7"/>
        <w:ind w:left="117" w:right="104" w:firstLine="0"/>
        <w:jc w:val="left"/>
        <w:rPr>
          <w:rFonts w:ascii="楷体" w:eastAsia="楷体" w:hint="eastAsia"/>
          <w:sz w:val="18"/>
        </w:rPr>
      </w:pPr>
      <w:r>
        <w:rPr>
          <w:rFonts w:ascii="楷体" w:eastAsia="楷体" w:hint="eastAsia"/>
          <w:spacing w:val="-12"/>
          <w:sz w:val="18"/>
        </w:rPr>
        <w:t>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w:t>
      </w:r>
      <w:r>
        <w:rPr>
          <w:rFonts w:ascii="楷体" w:eastAsia="楷体" w:hint="eastAsia"/>
          <w:spacing w:val="-4"/>
          <w:sz w:val="18"/>
        </w:rPr>
        <w:t>进食：自己从已准备好的碗或碟中取食物放入口中；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520" w:bottom="280" w:left="960" w:right="820"/>
        </w:sectPr>
      </w:pPr>
    </w:p>
    <w:p>
      <w:pPr>
        <w:pStyle w:val="BodyText"/>
        <w:spacing w:before="25"/>
      </w:pPr>
      <w:r>
        <w:rPr/>
        <w:t>（</w:t>
      </w:r>
      <w:r>
        <w:rPr>
          <w:rFonts w:ascii="Times New Roman" w:eastAsia="Times New Roman"/>
        </w:rPr>
        <w:t>2</w:t>
      </w:r>
      <w:r>
        <w:rPr/>
        <w:t>）语言能力或咀嚼吞咽能力完全丧失；</w:t>
      </w:r>
    </w:p>
    <w:p>
      <w:pPr>
        <w:pStyle w:val="BodyText"/>
        <w:spacing w:line="256" w:lineRule="auto" w:before="20"/>
        <w:ind w:right="202"/>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11" w:after="0"/>
        <w:ind w:left="486" w:right="0" w:hanging="369"/>
        <w:jc w:val="left"/>
        <w:rPr>
          <w:rFonts w:ascii="Times New Roman" w:eastAsia="Times New Roman"/>
          <w:sz w:val="21"/>
        </w:rPr>
      </w:pPr>
      <w:r>
        <w:rPr>
          <w:sz w:val="21"/>
        </w:rPr>
        <w:t>深度昏迷</w:t>
        <w:tab/>
      </w:r>
      <w:r>
        <w:rPr>
          <w:spacing w:val="-32"/>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spacing w:before="20"/>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before="20"/>
        <w:ind w:right="100"/>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双耳失聪</w:t>
        <w:tab/>
      </w:r>
      <w:r>
        <w:rPr>
          <w:spacing w:val="-32"/>
          <w:position w:val="1"/>
          <w:sz w:val="21"/>
        </w:rPr>
        <w:t>：</w:t>
      </w:r>
      <w:r>
        <w:rPr>
          <w:sz w:val="21"/>
        </w:rPr>
        <w:t>指因疾病或意外伤害导致双耳听力</w:t>
      </w:r>
      <w:r>
        <w:rPr>
          <w:b/>
          <w:sz w:val="21"/>
        </w:rPr>
        <w:t>永久不可逆</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性丧失</w:t>
      </w:r>
      <w:r>
        <w:rPr>
          <w:spacing w:val="-96"/>
          <w:sz w:val="21"/>
          <w:vertAlign w:val="baseline"/>
        </w:rPr>
        <w:t>，</w:t>
      </w:r>
      <w:r>
        <w:rPr>
          <w:sz w:val="21"/>
          <w:vertAlign w:val="baseline"/>
        </w:rPr>
        <w:t>在</w:t>
      </w:r>
      <w:r>
        <w:rPr>
          <w:spacing w:val="-57"/>
          <w:sz w:val="21"/>
          <w:vertAlign w:val="baseline"/>
        </w:rPr>
        <w:t> </w:t>
      </w:r>
      <w:r>
        <w:rPr>
          <w:rFonts w:ascii="Times New Roman" w:eastAsia="Times New Roman"/>
          <w:sz w:val="21"/>
          <w:vertAlign w:val="baseline"/>
        </w:rPr>
        <w:t>500</w:t>
      </w:r>
      <w:r>
        <w:rPr>
          <w:rFonts w:ascii="Times New Roman" w:eastAsia="Times New Roman"/>
          <w:spacing w:val="46"/>
          <w:sz w:val="21"/>
          <w:vertAlign w:val="baseline"/>
        </w:rPr>
        <w:t> </w:t>
      </w:r>
      <w:r>
        <w:rPr>
          <w:sz w:val="21"/>
          <w:vertAlign w:val="baseline"/>
        </w:rPr>
        <w:t>赫兹、</w:t>
      </w:r>
    </w:p>
    <w:p>
      <w:pPr>
        <w:pStyle w:val="BodyText"/>
        <w:spacing w:line="256" w:lineRule="auto" w:before="20"/>
        <w:ind w:right="205" w:hanging="1"/>
      </w:pPr>
      <w:r>
        <w:rPr>
          <w:rFonts w:ascii="Times New Roman" w:eastAsia="Times New Roman"/>
        </w:rPr>
        <w:t>1000</w:t>
      </w:r>
      <w:r>
        <w:rPr>
          <w:rFonts w:ascii="Times New Roman" w:eastAsia="Times New Roman"/>
          <w:spacing w:val="50"/>
        </w:rPr>
        <w:t> </w:t>
      </w:r>
      <w:r>
        <w:rPr>
          <w:spacing w:val="-14"/>
        </w:rPr>
        <w:t>赫兹和 </w:t>
      </w:r>
      <w:r>
        <w:rPr>
          <w:rFonts w:ascii="Times New Roman" w:eastAsia="Times New Roman"/>
        </w:rPr>
        <w:t>2000</w:t>
      </w:r>
      <w:r>
        <w:rPr>
          <w:rFonts w:ascii="Times New Roman" w:eastAsia="Times New Roman"/>
          <w:spacing w:val="50"/>
        </w:rPr>
        <w:t> </w:t>
      </w:r>
      <w:r>
        <w:rPr>
          <w:spacing w:val="-5"/>
        </w:rPr>
        <w:t>赫兹语音频率下，平均听阈大于 </w:t>
      </w:r>
      <w:r>
        <w:rPr>
          <w:rFonts w:ascii="Times New Roman" w:eastAsia="Times New Roman"/>
        </w:rPr>
        <w:t>90</w:t>
      </w:r>
      <w:r>
        <w:rPr>
          <w:rFonts w:ascii="Times New Roman" w:eastAsia="Times New Roman"/>
          <w:spacing w:val="50"/>
        </w:rPr>
        <w:t> </w:t>
      </w:r>
      <w:r>
        <w:rPr>
          <w:spacing w:val="-2"/>
        </w:rPr>
        <w:t>分贝，且经纯音听力测试、声导抗检测或听觉诱发电位检测等证实。</w:t>
      </w:r>
    </w:p>
    <w:p>
      <w:pPr>
        <w:pStyle w:val="BodyText"/>
        <w:spacing w:line="256" w:lineRule="auto" w:before="22"/>
        <w:ind w:right="139"/>
      </w:pPr>
      <w:r>
        <w:rPr/>
        <w:t>被保险人在满 </w:t>
      </w:r>
      <w:r>
        <w:rPr>
          <w:rFonts w:ascii="Times New Roman" w:eastAsia="Times New Roman"/>
        </w:rPr>
        <w:t>3 </w:t>
      </w:r>
      <w:r>
        <w:rPr/>
        <w:t>周岁的首个保险单周年日之前双耳失聪不在本附加险合同的保障范围之内。</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双目失明</w:t>
        <w:tab/>
      </w:r>
      <w:r>
        <w:rPr>
          <w:spacing w:val="-32"/>
          <w:position w:val="1"/>
          <w:sz w:val="21"/>
        </w:rPr>
        <w:t>：</w:t>
      </w:r>
      <w:r>
        <w:rPr>
          <w:sz w:val="21"/>
        </w:rPr>
        <w:t>指因疾病或意外伤害导致双眼视力永久不可逆性丧失</w:t>
      </w:r>
      <w:r>
        <w:rPr>
          <w:spacing w:val="-5"/>
          <w:sz w:val="21"/>
        </w:rPr>
        <w:t>，</w:t>
      </w:r>
      <w:r>
        <w:rPr>
          <w:sz w:val="21"/>
        </w:rPr>
        <w:t>双眼中较好眼</w:t>
      </w:r>
    </w:p>
    <w:p>
      <w:pPr>
        <w:pStyle w:val="BodyText"/>
        <w:spacing w:before="20"/>
      </w:pPr>
      <w:r>
        <w:rPr/>
        <w:t>须满足下列至少一项条件：</w:t>
      </w:r>
    </w:p>
    <w:p>
      <w:pPr>
        <w:pStyle w:val="BodyText"/>
        <w:spacing w:before="36"/>
      </w:pPr>
      <w:r>
        <w:rPr/>
        <w:t>（</w:t>
      </w:r>
      <w:r>
        <w:rPr>
          <w:rFonts w:ascii="Times New Roman" w:eastAsia="Times New Roman"/>
        </w:rPr>
        <w:t>1</w:t>
      </w:r>
      <w:r>
        <w:rPr/>
        <w:t>）眼球缺失或摘除；</w:t>
      </w:r>
    </w:p>
    <w:p>
      <w:pPr>
        <w:pStyle w:val="BodyText"/>
        <w:spacing w:line="256" w:lineRule="auto"/>
        <w:ind w:right="206"/>
      </w:pPr>
      <w:r>
        <w:rPr/>
        <w:t>（</w:t>
      </w:r>
      <w:r>
        <w:rPr>
          <w:rFonts w:ascii="Times New Roman" w:eastAsia="Times New Roman"/>
        </w:rPr>
        <w:t>2</w:t>
      </w:r>
      <w:r>
        <w:rPr/>
        <w:t>）</w:t>
      </w:r>
      <w:r>
        <w:rPr>
          <w:spacing w:val="3"/>
        </w:rPr>
        <w:t>矫正视力低于 </w:t>
      </w:r>
      <w:r>
        <w:rPr>
          <w:rFonts w:ascii="Times New Roman" w:eastAsia="Times New Roman"/>
        </w:rPr>
        <w:t>0.02</w:t>
      </w:r>
      <w:r>
        <w:rPr/>
        <w:t>（采用国际标准视力表，如果使用其他视力表应进行换算</w:t>
      </w:r>
      <w:r>
        <w:rPr>
          <w:spacing w:val="-105"/>
        </w:rPr>
        <w:t>）</w:t>
      </w:r>
      <w:r>
        <w:rPr/>
        <w:t>；</w:t>
      </w:r>
    </w:p>
    <w:p>
      <w:pPr>
        <w:pStyle w:val="BodyText"/>
        <w:spacing w:before="22"/>
      </w:pPr>
      <w:r>
        <w:rPr/>
        <w:t>（</w:t>
      </w:r>
      <w:r>
        <w:rPr>
          <w:rFonts w:ascii="Times New Roman" w:eastAsia="Times New Roman"/>
        </w:rPr>
        <w:t>3</w:t>
      </w:r>
      <w:r>
        <w:rPr/>
        <w:t>）视野半径小于 </w:t>
      </w:r>
      <w:r>
        <w:rPr>
          <w:rFonts w:ascii="Times New Roman" w:eastAsia="Times New Roman"/>
        </w:rPr>
        <w:t>5 </w:t>
      </w:r>
      <w:r>
        <w:rPr/>
        <w:t>度。</w:t>
      </w:r>
    </w:p>
    <w:p>
      <w:pPr>
        <w:pStyle w:val="BodyText"/>
        <w:spacing w:line="256" w:lineRule="auto" w:before="20"/>
        <w:ind w:right="139"/>
      </w:pPr>
      <w:r>
        <w:rPr/>
        <w:t>被保险人在满 </w:t>
      </w:r>
      <w:r>
        <w:rPr>
          <w:rFonts w:ascii="Times New Roman" w:eastAsia="Times New Roman"/>
        </w:rPr>
        <w:t>3 </w:t>
      </w:r>
      <w:r>
        <w:rPr/>
        <w:t>周岁的首个保险单周年日之前双目失明不在本附加险合同的保障范围之内。</w:t>
      </w:r>
    </w:p>
    <w:p>
      <w:pPr>
        <w:pStyle w:val="ListParagraph"/>
        <w:numPr>
          <w:ilvl w:val="0"/>
          <w:numId w:val="3"/>
        </w:numPr>
        <w:tabs>
          <w:tab w:pos="487" w:val="left" w:leader="none"/>
          <w:tab w:pos="2823" w:val="left" w:leader="none"/>
        </w:tabs>
        <w:spacing w:line="256" w:lineRule="auto" w:before="12" w:after="0"/>
        <w:ind w:left="3002" w:right="199" w:hanging="2885"/>
        <w:jc w:val="both"/>
        <w:rPr>
          <w:sz w:val="21"/>
        </w:rPr>
      </w:pPr>
      <w:r>
        <w:rPr>
          <w:sz w:val="21"/>
        </w:rPr>
        <w:t>瘫痪</w:t>
        <w:tab/>
      </w:r>
      <w:r>
        <w:rPr>
          <w:spacing w:val="-32"/>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心脏瓣膜手术</w:t>
        <w:tab/>
      </w:r>
      <w:r>
        <w:rPr>
          <w:spacing w:val="-32"/>
          <w:position w:val="1"/>
          <w:sz w:val="21"/>
        </w:rPr>
        <w:t>：</w:t>
      </w:r>
      <w:r>
        <w:rPr>
          <w:sz w:val="21"/>
        </w:rPr>
        <w:t>指为治疗心脏瓣膜疾病</w:t>
      </w:r>
      <w:r>
        <w:rPr>
          <w:spacing w:val="-5"/>
          <w:sz w:val="21"/>
        </w:rPr>
        <w:t>，</w:t>
      </w:r>
      <w:r>
        <w:rPr>
          <w:sz w:val="21"/>
        </w:rPr>
        <w:t>实际实施了开胸进行的心脏瓣膜置换或修复</w:t>
      </w:r>
    </w:p>
    <w:p>
      <w:pPr>
        <w:pStyle w:val="BodyText"/>
        <w:spacing w:before="20"/>
      </w:pPr>
      <w:r>
        <w:rPr/>
        <w:t>的手术。</w:t>
      </w:r>
    </w:p>
    <w:p>
      <w:pPr>
        <w:pStyle w:val="ListParagraph"/>
        <w:numPr>
          <w:ilvl w:val="0"/>
          <w:numId w:val="3"/>
        </w:numPr>
        <w:tabs>
          <w:tab w:pos="487" w:val="left" w:leader="none"/>
          <w:tab w:pos="2823" w:val="left" w:leader="none"/>
        </w:tabs>
        <w:spacing w:line="240" w:lineRule="auto" w:before="26" w:after="0"/>
        <w:ind w:left="486" w:right="0" w:hanging="369"/>
        <w:jc w:val="left"/>
        <w:rPr>
          <w:sz w:val="21"/>
        </w:rPr>
      </w:pPr>
      <w:r>
        <w:rPr>
          <w:sz w:val="21"/>
        </w:rPr>
        <w:t>严重阿尔茨海默病</w:t>
        <w:tab/>
      </w:r>
      <w:r>
        <w:rPr>
          <w:spacing w:val="-32"/>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before="20"/>
        <w:ind w:right="99"/>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pStyle w:val="BodyText"/>
        <w:spacing w:before="15"/>
      </w:pPr>
      <w:r>
        <w:rPr/>
        <w:t>神经官能症和精神疾病不在保障范围内。</w:t>
      </w:r>
    </w:p>
    <w:p>
      <w:pPr>
        <w:pStyle w:val="ListParagraph"/>
        <w:numPr>
          <w:ilvl w:val="0"/>
          <w:numId w:val="3"/>
        </w:numPr>
        <w:tabs>
          <w:tab w:pos="487" w:val="left" w:leader="none"/>
          <w:tab w:pos="2823" w:val="left" w:leader="none"/>
        </w:tabs>
        <w:spacing w:line="240" w:lineRule="auto" w:before="26" w:after="0"/>
        <w:ind w:left="486" w:right="0" w:hanging="369"/>
        <w:jc w:val="left"/>
        <w:rPr>
          <w:sz w:val="21"/>
        </w:rPr>
      </w:pPr>
      <w:r>
        <w:rPr>
          <w:sz w:val="21"/>
        </w:rPr>
        <w:t>严重脑损伤</w:t>
        <w:tab/>
      </w:r>
      <w:r>
        <w:rPr>
          <w:spacing w:val="-32"/>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before="20"/>
        <w:ind w:right="199"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pPr>
      <w:r>
        <w:rPr/>
        <w:t>（</w:t>
      </w:r>
      <w:r>
        <w:rPr>
          <w:rFonts w:ascii="Times New Roman" w:eastAsia="Times New Roman"/>
        </w:rPr>
        <w:t>1</w:t>
      </w:r>
      <w:r>
        <w:rPr/>
        <w:t>）一肢或一肢以上肢体机能完全丧失；</w:t>
      </w:r>
    </w:p>
    <w:p>
      <w:pPr>
        <w:pStyle w:val="BodyText"/>
      </w:pPr>
      <w:r>
        <w:rPr/>
        <w:t>（</w:t>
      </w:r>
      <w:r>
        <w:rPr>
          <w:rFonts w:ascii="Times New Roman" w:eastAsia="Times New Roman"/>
        </w:rPr>
        <w:t>2</w:t>
      </w:r>
      <w:r>
        <w:rPr/>
        <w:t>）语言能力或咀嚼吞咽能力完全丧失；</w:t>
      </w:r>
    </w:p>
    <w:p>
      <w:pPr>
        <w:pStyle w:val="BodyText"/>
        <w:spacing w:line="256" w:lineRule="auto"/>
        <w:ind w:right="202"/>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严重帕金森病</w:t>
        <w:tab/>
      </w:r>
      <w:r>
        <w:rPr>
          <w:spacing w:val="-32"/>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spacing w:before="3"/>
        <w:ind w:left="0"/>
        <w:rPr>
          <w:sz w:val="28"/>
        </w:rPr>
      </w:pPr>
      <w:r>
        <w:rPr/>
        <w:pict>
          <v:line style="position:absolute;mso-position-horizontal-relative:page;mso-position-vertical-relative:paragraph;z-index:1168;mso-wrap-distance-left:0;mso-wrap-distance-right:0" from="53.880001pt,20.742199pt" to="197.880001pt,20.742199pt" stroked="true" strokeweight=".54001pt" strokecolor="#000000">
            <v:stroke dashstyle="solid"/>
            <w10:wrap type="topAndBottom"/>
          </v:line>
        </w:pict>
      </w:r>
    </w:p>
    <w:p>
      <w:pPr>
        <w:spacing w:before="31"/>
        <w:ind w:left="117" w:right="0" w:firstLine="0"/>
        <w:jc w:val="left"/>
        <w:rPr>
          <w:rFonts w:ascii="楷体" w:eastAsia="楷体" w:hint="eastAsia"/>
          <w:sz w:val="18"/>
        </w:rPr>
      </w:pPr>
      <w:r>
        <w:rPr>
          <w:rFonts w:ascii="Times New Roman" w:eastAsia="Times New Roman"/>
          <w:position w:val="8"/>
          <w:sz w:val="12"/>
        </w:rPr>
        <w:t>20</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p>
      <w:pPr>
        <w:spacing w:after="0"/>
        <w:jc w:val="left"/>
        <w:rPr>
          <w:rFonts w:ascii="楷体" w:eastAsia="楷体" w:hint="eastAsia"/>
          <w:sz w:val="18"/>
        </w:rPr>
        <w:sectPr>
          <w:pgSz w:w="11910" w:h="16840"/>
          <w:pgMar w:header="0" w:footer="1673" w:top="1360" w:bottom="1860" w:left="960" w:right="1440"/>
        </w:sectPr>
      </w:pPr>
    </w:p>
    <w:p>
      <w:pPr>
        <w:pStyle w:val="BodyText"/>
        <w:spacing w:before="5"/>
      </w:pPr>
      <w:r>
        <w:rPr/>
        <w:t>等。须满足下列全部条件：</w:t>
      </w:r>
    </w:p>
    <w:p>
      <w:pPr>
        <w:pStyle w:val="BodyText"/>
        <w:spacing w:before="36"/>
      </w:pPr>
      <w:r>
        <w:rPr/>
        <w:t>（</w:t>
      </w:r>
      <w:r>
        <w:rPr>
          <w:rFonts w:ascii="Times New Roman" w:eastAsia="Times New Roman"/>
        </w:rPr>
        <w:t>1</w:t>
      </w:r>
      <w:r>
        <w:rPr/>
        <w:t>）药物治疗无法控制病情；</w:t>
      </w:r>
    </w:p>
    <w:p>
      <w:pPr>
        <w:pStyle w:val="BodyText"/>
        <w:spacing w:line="256" w:lineRule="auto" w:before="20"/>
        <w:ind w:right="122"/>
      </w:pPr>
      <w:r>
        <w:rPr/>
        <w:t>（</w:t>
      </w:r>
      <w:r>
        <w:rPr>
          <w:rFonts w:ascii="Times New Roman" w:eastAsia="Times New Roman"/>
        </w:rPr>
        <w:t>2</w:t>
      </w:r>
      <w:r>
        <w:rPr/>
        <w:t>）自主生活能力完全丧失，无法独立完成六项基本日常生活活动中的三项或三项以上。</w:t>
      </w:r>
    </w:p>
    <w:p>
      <w:pPr>
        <w:pStyle w:val="BodyText"/>
        <w:spacing w:before="22"/>
        <w:jc w:val="both"/>
      </w:pPr>
      <w:r>
        <w:rPr/>
        <w:t>继发性帕金森综合征不在保障范围内。</w:t>
      </w:r>
    </w:p>
    <w:p>
      <w:pPr>
        <w:pStyle w:val="ListParagraph"/>
        <w:numPr>
          <w:ilvl w:val="0"/>
          <w:numId w:val="3"/>
        </w:numPr>
        <w:tabs>
          <w:tab w:pos="487" w:val="left" w:leader="none"/>
          <w:tab w:pos="2823" w:val="left" w:leader="none"/>
        </w:tabs>
        <w:spacing w:line="240" w:lineRule="auto" w:before="27" w:after="0"/>
        <w:ind w:left="486" w:right="0" w:hanging="369"/>
        <w:jc w:val="left"/>
        <w:rPr>
          <w:sz w:val="21"/>
        </w:rPr>
      </w:pPr>
      <w:r>
        <w:rPr>
          <w:sz w:val="21"/>
        </w:rPr>
        <w:t>严重Ⅲ度烧伤</w:t>
        <w:tab/>
      </w:r>
      <w:r>
        <w:rPr>
          <w:spacing w:val="-32"/>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jc w:val="both"/>
      </w:pPr>
      <w:r>
        <w:rPr>
          <w:rFonts w:ascii="Times New Roman" w:eastAsia="Times New Roman"/>
        </w:rPr>
        <w:t>20</w:t>
      </w:r>
      <w:r>
        <w:rPr/>
        <w:t>％以上。体表面积根据《中国新九分法》计算。</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严重原发性肺动脉高压</w:t>
        <w:tab/>
      </w:r>
      <w:r>
        <w:rPr>
          <w:spacing w:val="-32"/>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73" w:lineRule="auto"/>
        <w:ind w:right="110"/>
      </w:pPr>
      <w:r>
        <w:rPr/>
        <w:t>病，已经造成永久不可逆性的体力活动能力受限，达到美国纽约心脏病学会心功能状态分级 </w:t>
      </w:r>
      <w:r>
        <w:rPr>
          <w:rFonts w:ascii="Times New Roman" w:eastAsia="Times New Roman"/>
        </w:rPr>
        <w:t>IV  </w:t>
      </w:r>
      <w:r>
        <w:rPr/>
        <w:t>级，且静息状态下肺动脉平均压超过</w:t>
      </w:r>
    </w:p>
    <w:p>
      <w:pPr>
        <w:pStyle w:val="BodyText"/>
        <w:spacing w:line="279" w:lineRule="exact" w:before="0"/>
      </w:pPr>
      <w:r>
        <w:rPr>
          <w:rFonts w:ascii="Times New Roman" w:eastAsia="Times New Roman"/>
        </w:rPr>
        <w:t>30mmHg</w:t>
      </w:r>
      <w:r>
        <w:rPr/>
        <w:t>。</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严重运动神经元病</w:t>
        <w:tab/>
      </w:r>
      <w:r>
        <w:rPr>
          <w:spacing w:val="-32"/>
          <w:position w:val="1"/>
          <w:sz w:val="21"/>
        </w:rPr>
        <w:t>：</w:t>
      </w:r>
      <w:r>
        <w:rPr>
          <w:sz w:val="21"/>
        </w:rPr>
        <w:t>是一组中枢神经系统运动神经元的进行性变性疾病</w:t>
      </w:r>
      <w:r>
        <w:rPr>
          <w:spacing w:val="-5"/>
          <w:sz w:val="21"/>
        </w:rPr>
        <w:t>，</w:t>
      </w:r>
      <w:r>
        <w:rPr>
          <w:sz w:val="21"/>
        </w:rPr>
        <w:t>包括进行性脊肌</w:t>
      </w:r>
    </w:p>
    <w:p>
      <w:pPr>
        <w:pStyle w:val="BodyText"/>
        <w:spacing w:line="273" w:lineRule="auto"/>
        <w:ind w:right="123"/>
        <w:jc w:val="both"/>
      </w:pPr>
      <w:r>
        <w:rPr/>
        <w:t>萎缩症、进行性延髓麻痹症、原发性侧索硬化症、肌萎缩性侧索硬化症。须满足自主生活能力完全丧失，无法独立完成六项基本日常生活活动中的三项或三项以上的条件。</w:t>
      </w:r>
    </w:p>
    <w:p>
      <w:pPr>
        <w:pStyle w:val="ListParagraph"/>
        <w:numPr>
          <w:ilvl w:val="0"/>
          <w:numId w:val="3"/>
        </w:numPr>
        <w:tabs>
          <w:tab w:pos="487" w:val="left" w:leader="none"/>
          <w:tab w:pos="2823" w:val="left" w:leader="none"/>
        </w:tabs>
        <w:spacing w:line="298" w:lineRule="exact" w:before="0" w:after="0"/>
        <w:ind w:left="486" w:right="0" w:hanging="369"/>
        <w:jc w:val="left"/>
        <w:rPr>
          <w:rFonts w:ascii="Times New Roman" w:eastAsia="Times New Roman"/>
          <w:sz w:val="21"/>
        </w:rPr>
      </w:pPr>
      <w:r>
        <w:rPr>
          <w:sz w:val="21"/>
        </w:rPr>
        <w:t>语言能力丧失</w:t>
        <w:tab/>
      </w:r>
      <w:r>
        <w:rPr>
          <w:spacing w:val="-32"/>
          <w:position w:val="1"/>
          <w:sz w:val="21"/>
        </w:rPr>
        <w:t>：</w:t>
      </w:r>
      <w:r>
        <w:rPr>
          <w:sz w:val="21"/>
        </w:rPr>
        <w:t>指因疾病或意外伤害导致完全丧失语言能力，经过积极治疗至少</w:t>
      </w:r>
      <w:r>
        <w:rPr>
          <w:spacing w:val="82"/>
          <w:sz w:val="21"/>
        </w:rPr>
        <w:t> </w:t>
      </w:r>
      <w:r>
        <w:rPr>
          <w:rFonts w:ascii="Times New Roman" w:eastAsia="Times New Roman"/>
          <w:sz w:val="21"/>
        </w:rPr>
        <w:t>12</w:t>
      </w:r>
    </w:p>
    <w:p>
      <w:pPr>
        <w:pStyle w:val="BodyText"/>
        <w:spacing w:line="273" w:lineRule="auto"/>
        <w:ind w:right="122"/>
      </w:pPr>
      <w:r>
        <w:rPr>
          <w:spacing w:val="2"/>
        </w:rPr>
        <w:t>个月（</w:t>
      </w:r>
      <w:r>
        <w:rPr/>
        <w:t>声带完全切除不受此时间限制</w:t>
      </w:r>
      <w:r>
        <w:rPr>
          <w:spacing w:val="-102"/>
        </w:rPr>
        <w:t>）</w:t>
      </w:r>
      <w:r>
        <w:rPr/>
        <w:t>，仍无法通过现有医疗手段恢复。</w:t>
      </w:r>
    </w:p>
    <w:p>
      <w:pPr>
        <w:pStyle w:val="BodyText"/>
        <w:spacing w:before="7"/>
      </w:pPr>
      <w:r>
        <w:rPr/>
        <w:t>精神心理因素所致的语言能力丧失不在保障范围内。</w:t>
      </w:r>
    </w:p>
    <w:p>
      <w:pPr>
        <w:pStyle w:val="BodyText"/>
        <w:spacing w:line="256" w:lineRule="auto" w:before="36"/>
        <w:ind w:right="59"/>
      </w:pPr>
      <w:r>
        <w:rPr/>
        <w:t>被保险人在满 </w:t>
      </w:r>
      <w:r>
        <w:rPr>
          <w:rFonts w:ascii="Times New Roman" w:eastAsia="Times New Roman"/>
        </w:rPr>
        <w:t>3 </w:t>
      </w:r>
      <w:r>
        <w:rPr/>
        <w:t>周岁的首个保险单周年日之前语言能力丧失不在本附加险合同的保障范围之内。</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重型再生障碍性贫血</w:t>
        <w:tab/>
      </w:r>
      <w:r>
        <w:rPr>
          <w:spacing w:val="-32"/>
          <w:position w:val="1"/>
          <w:sz w:val="21"/>
        </w:rPr>
        <w:t>：</w:t>
      </w:r>
      <w:r>
        <w:rPr>
          <w:sz w:val="21"/>
        </w:rPr>
        <w:t>指因骨髓造血功能慢性持续性衰竭导致的贫血</w:t>
      </w:r>
      <w:r>
        <w:rPr>
          <w:spacing w:val="-5"/>
          <w:sz w:val="21"/>
        </w:rPr>
        <w:t>、</w:t>
      </w:r>
      <w:r>
        <w:rPr>
          <w:sz w:val="21"/>
        </w:rPr>
        <w:t>中性粒细胞减少及血</w:t>
      </w:r>
    </w:p>
    <w:p>
      <w:pPr>
        <w:pStyle w:val="BodyText"/>
        <w:spacing w:before="20"/>
        <w:jc w:val="both"/>
      </w:pPr>
      <w:r>
        <w:rPr/>
        <w:t>小板减少。须满足下列全部条件：</w:t>
      </w:r>
    </w:p>
    <w:p>
      <w:pPr>
        <w:pStyle w:val="BodyText"/>
        <w:spacing w:before="36"/>
        <w:jc w:val="both"/>
      </w:pPr>
      <w:r>
        <w:rPr/>
        <w:t>（</w:t>
      </w:r>
      <w:r>
        <w:rPr>
          <w:rFonts w:ascii="Times New Roman" w:eastAsia="Times New Roman"/>
        </w:rPr>
        <w:t>1</w:t>
      </w:r>
      <w:r>
        <w:rPr/>
        <w:t>）骨髓穿刺检查或骨髓活检结果支持诊断；</w:t>
      </w:r>
    </w:p>
    <w:p>
      <w:pPr>
        <w:pStyle w:val="BodyText"/>
        <w:spacing w:before="20"/>
        <w:jc w:val="both"/>
      </w:pPr>
      <w:r>
        <w:rPr/>
        <w:t>（</w:t>
      </w:r>
      <w:r>
        <w:rPr>
          <w:rFonts w:ascii="Times New Roman" w:eastAsia="Times New Roman"/>
        </w:rPr>
        <w:t>2</w:t>
      </w:r>
      <w:r>
        <w:rPr/>
        <w:t>）外周血象须具备以下三项条件：</w:t>
      </w:r>
    </w:p>
    <w:p>
      <w:pPr>
        <w:pStyle w:val="BodyText"/>
        <w:spacing w:before="20"/>
        <w:ind w:left="3422"/>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20"/>
        <w:ind w:left="2592" w:right="3104"/>
        <w:jc w:val="center"/>
      </w:pPr>
      <w:r>
        <w:rPr/>
        <w:t>② 网织红细胞＜</w:t>
      </w:r>
      <w:r>
        <w:rPr>
          <w:rFonts w:ascii="Times New Roman" w:hAnsi="Times New Roman" w:eastAsia="Times New Roman"/>
        </w:rPr>
        <w:t>1%</w:t>
      </w:r>
      <w:r>
        <w:rPr/>
        <w:t>；</w:t>
      </w:r>
    </w:p>
    <w:p>
      <w:pPr>
        <w:pStyle w:val="BodyText"/>
        <w:spacing w:before="20"/>
        <w:ind w:left="3405" w:right="3104"/>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ListParagraph"/>
        <w:numPr>
          <w:ilvl w:val="0"/>
          <w:numId w:val="3"/>
        </w:numPr>
        <w:tabs>
          <w:tab w:pos="487" w:val="left" w:leader="none"/>
          <w:tab w:pos="2823" w:val="left" w:leader="none"/>
        </w:tabs>
        <w:spacing w:line="240" w:lineRule="auto" w:before="10" w:after="0"/>
        <w:ind w:left="486" w:right="0" w:hanging="369"/>
        <w:jc w:val="left"/>
        <w:rPr>
          <w:sz w:val="21"/>
        </w:rPr>
      </w:pPr>
      <w:r>
        <w:rPr>
          <w:sz w:val="21"/>
        </w:rPr>
        <w:t>主动脉手术</w:t>
        <w:tab/>
      </w:r>
      <w:r>
        <w:rPr>
          <w:spacing w:val="-32"/>
          <w:position w:val="1"/>
          <w:sz w:val="21"/>
        </w:rPr>
        <w:t>：</w:t>
      </w:r>
      <w:r>
        <w:rPr>
          <w:spacing w:val="-1"/>
          <w:sz w:val="21"/>
        </w:rPr>
        <w:t>指为治疗主动</w:t>
      </w:r>
      <w:r>
        <w:rPr>
          <w:sz w:val="21"/>
        </w:rPr>
        <w:t>脉疾病，实际实施了开胸或开腹进行的切除、置换、修</w:t>
      </w:r>
    </w:p>
    <w:p>
      <w:pPr>
        <w:pStyle w:val="BodyText"/>
        <w:spacing w:line="273" w:lineRule="auto" w:before="20"/>
        <w:ind w:right="124"/>
      </w:pPr>
      <w:r>
        <w:rPr/>
        <w:t>补病损主动脉血管的手术。主动脉指胸主动脉和腹主动脉，不包括胸主动脉和腹主动脉的分支血管。</w:t>
      </w:r>
    </w:p>
    <w:p>
      <w:pPr>
        <w:pStyle w:val="BodyText"/>
        <w:spacing w:before="7"/>
      </w:pPr>
      <w:r>
        <w:rPr/>
        <w:t>动脉内血管成形术不在保障范围内。</w:t>
      </w:r>
    </w:p>
    <w:p>
      <w:pPr>
        <w:pStyle w:val="BodyText"/>
        <w:spacing w:before="37"/>
        <w:ind w:left="117"/>
      </w:pPr>
      <w:r>
        <w:rPr/>
        <w:t>（26-39 种为我们增加的重大疾病）</w:t>
      </w:r>
    </w:p>
    <w:p>
      <w:pPr>
        <w:pStyle w:val="ListParagraph"/>
        <w:numPr>
          <w:ilvl w:val="0"/>
          <w:numId w:val="3"/>
        </w:numPr>
        <w:tabs>
          <w:tab w:pos="487" w:val="left" w:leader="none"/>
          <w:tab w:pos="2823" w:val="left" w:leader="none"/>
        </w:tabs>
        <w:spacing w:line="240" w:lineRule="auto" w:before="55" w:after="0"/>
        <w:ind w:left="486" w:right="0" w:hanging="369"/>
        <w:jc w:val="left"/>
        <w:rPr>
          <w:sz w:val="21"/>
        </w:rPr>
      </w:pPr>
      <w:r>
        <w:rPr>
          <w:sz w:val="21"/>
        </w:rPr>
        <w:t>严重多发性硬化</w:t>
        <w:tab/>
      </w:r>
      <w:r>
        <w:rPr>
          <w:spacing w:val="-35"/>
          <w:sz w:val="21"/>
        </w:rPr>
        <w:t>：</w:t>
      </w:r>
      <w:r>
        <w:rPr>
          <w:spacing w:val="-1"/>
          <w:sz w:val="21"/>
        </w:rPr>
        <w:t>多发</w:t>
      </w:r>
      <w:r>
        <w:rPr>
          <w:sz w:val="21"/>
        </w:rPr>
        <w:t>性硬化为中枢神经系统白质多灶性脱髓鞘病变，病变有时累及灰</w:t>
      </w:r>
    </w:p>
    <w:p>
      <w:pPr>
        <w:pStyle w:val="BodyText"/>
        <w:spacing w:line="273" w:lineRule="auto"/>
        <w:ind w:left="2998" w:right="118"/>
        <w:jc w:val="both"/>
      </w:pPr>
      <w:r>
        <w:rPr/>
        <w:t>质。多发性硬化必须明确诊断，并且已经造成神经系统功能损害导致被保险人永久不可逆性的无法独立完成六项基本日常生活活动中的三项或三项以上的条件。</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严重慢性呼吸功能衰竭</w:t>
        <w:tab/>
      </w:r>
      <w:r>
        <w:rPr>
          <w:spacing w:val="-32"/>
          <w:sz w:val="21"/>
        </w:rPr>
        <w:t>：</w:t>
      </w:r>
      <w:r>
        <w:rPr>
          <w:sz w:val="21"/>
        </w:rPr>
        <w:t>慢性肺部疾病导致永久不可逆性的慢性呼吸功能衰竭</w:t>
      </w:r>
      <w:r>
        <w:rPr>
          <w:spacing w:val="-5"/>
          <w:sz w:val="21"/>
        </w:rPr>
        <w:t>，</w:t>
      </w:r>
      <w:r>
        <w:rPr>
          <w:sz w:val="21"/>
        </w:rPr>
        <w:t>必须由呼吸专</w:t>
      </w:r>
    </w:p>
    <w:p>
      <w:pPr>
        <w:pStyle w:val="BodyText"/>
        <w:spacing w:before="20"/>
        <w:jc w:val="both"/>
      </w:pPr>
      <w:r>
        <w:rPr/>
        <w:t>科医师确认并符合下列所有条件：</w:t>
      </w:r>
    </w:p>
    <w:p>
      <w:pPr>
        <w:pStyle w:val="BodyText"/>
        <w:spacing w:before="36"/>
        <w:jc w:val="both"/>
      </w:pPr>
      <w:r>
        <w:rPr/>
        <w:t>①  休息时出现呼吸困难；</w:t>
      </w:r>
    </w:p>
    <w:p>
      <w:pPr>
        <w:pStyle w:val="BodyText"/>
        <w:spacing w:before="36"/>
        <w:jc w:val="both"/>
      </w:pPr>
      <w:r>
        <w:rPr>
          <w:spacing w:val="7"/>
        </w:rPr>
        <w:t>② 动脉血氧分压 </w:t>
      </w:r>
      <w:r>
        <w:rPr/>
        <w:t>（</w:t>
      </w:r>
      <w:r>
        <w:rPr>
          <w:rFonts w:ascii="Times New Roman" w:hAnsi="Times New Roman" w:eastAsia="Times New Roman"/>
        </w:rPr>
        <w:t>PaO 2</w:t>
      </w:r>
      <w:r>
        <w:rPr>
          <w:rFonts w:ascii="Times New Roman" w:hAnsi="Times New Roman" w:eastAsia="Times New Roman"/>
          <w:spacing w:val="50"/>
        </w:rPr>
        <w:t> </w:t>
      </w:r>
      <w:r>
        <w:rPr/>
        <w:t>）</w:t>
      </w:r>
      <w:r>
        <w:rPr>
          <w:rFonts w:ascii="Times New Roman" w:hAnsi="Times New Roman" w:eastAsia="Times New Roman"/>
          <w:spacing w:val="-1"/>
        </w:rPr>
        <w:t>&lt; </w:t>
      </w:r>
      <w:r>
        <w:rPr>
          <w:rFonts w:ascii="Times New Roman" w:hAnsi="Times New Roman" w:eastAsia="Times New Roman"/>
        </w:rPr>
        <w:t>50mmHg</w:t>
      </w:r>
      <w:r>
        <w:rPr/>
        <w:t>；</w:t>
      </w:r>
    </w:p>
    <w:p>
      <w:pPr>
        <w:pStyle w:val="BodyText"/>
        <w:spacing w:before="20"/>
        <w:jc w:val="both"/>
      </w:pPr>
      <w:r>
        <w:rPr>
          <w:spacing w:val="6"/>
        </w:rPr>
        <w:t>③ 动脉血氧饱和度 </w:t>
      </w:r>
      <w:r>
        <w:rPr/>
        <w:t>（</w:t>
      </w:r>
      <w:r>
        <w:rPr>
          <w:rFonts w:ascii="Times New Roman" w:hAnsi="Times New Roman" w:eastAsia="Times New Roman"/>
        </w:rPr>
        <w:t>SaO 2</w:t>
      </w:r>
      <w:r>
        <w:rPr>
          <w:rFonts w:ascii="Times New Roman" w:hAnsi="Times New Roman" w:eastAsia="Times New Roman"/>
          <w:spacing w:val="51"/>
        </w:rPr>
        <w:t> </w:t>
      </w:r>
      <w:r>
        <w:rPr/>
        <w:t>）</w:t>
      </w:r>
      <w:r>
        <w:rPr>
          <w:rFonts w:ascii="Times New Roman" w:hAnsi="Times New Roman" w:eastAsia="Times New Roman"/>
          <w:spacing w:val="-1"/>
        </w:rPr>
        <w:t>&lt; </w:t>
      </w:r>
      <w:r>
        <w:rPr>
          <w:rFonts w:ascii="Times New Roman" w:hAnsi="Times New Roman" w:eastAsia="Times New Roman"/>
        </w:rPr>
        <w:t>80</w:t>
      </w:r>
      <w:r>
        <w:rPr/>
        <w:t>％；</w:t>
      </w:r>
    </w:p>
    <w:p>
      <w:pPr>
        <w:pStyle w:val="BodyText"/>
        <w:spacing w:before="20"/>
        <w:jc w:val="both"/>
      </w:pPr>
      <w:r>
        <w:rPr>
          <w:rFonts w:ascii="Times New Roman" w:eastAsia="Times New Roman"/>
        </w:rPr>
        <w:t>(4)   </w:t>
      </w:r>
      <w:r>
        <w:rPr/>
        <w:t>因缺氧必须接受持续的输氧治疗。</w:t>
      </w:r>
    </w:p>
    <w:p>
      <w:pPr>
        <w:spacing w:after="0"/>
        <w:jc w:val="both"/>
        <w:sectPr>
          <w:pgSz w:w="11910" w:h="16840"/>
          <w:pgMar w:header="0" w:footer="1673" w:top="1380" w:bottom="1920" w:left="960" w:right="1520"/>
        </w:sectPr>
      </w:pPr>
    </w:p>
    <w:p>
      <w:pPr>
        <w:pStyle w:val="ListParagraph"/>
        <w:numPr>
          <w:ilvl w:val="0"/>
          <w:numId w:val="3"/>
        </w:numPr>
        <w:tabs>
          <w:tab w:pos="487" w:val="left" w:leader="none"/>
          <w:tab w:pos="2823" w:val="left" w:leader="none"/>
        </w:tabs>
        <w:spacing w:line="240" w:lineRule="auto" w:before="25" w:after="0"/>
        <w:ind w:left="486" w:right="0" w:hanging="369"/>
        <w:jc w:val="left"/>
        <w:rPr>
          <w:sz w:val="21"/>
        </w:rPr>
      </w:pPr>
      <w:r>
        <w:rPr>
          <w:sz w:val="21"/>
        </w:rPr>
        <w:t>严重冠心病</w:t>
        <w:tab/>
      </w:r>
      <w:r>
        <w:rPr>
          <w:spacing w:val="-32"/>
          <w:sz w:val="21"/>
        </w:rPr>
        <w:t>：</w:t>
      </w:r>
      <w:r>
        <w:rPr>
          <w:sz w:val="21"/>
        </w:rPr>
        <w:t>指根据冠状动脉造影检查结果确诊的三支主要血</w:t>
      </w:r>
      <w:r>
        <w:rPr>
          <w:spacing w:val="-5"/>
          <w:sz w:val="21"/>
        </w:rPr>
        <w:t>管</w:t>
      </w:r>
      <w:r>
        <w:rPr>
          <w:sz w:val="21"/>
        </w:rPr>
        <w:t>（左冠状动脉主干</w:t>
      </w:r>
    </w:p>
    <w:p>
      <w:pPr>
        <w:pStyle w:val="BodyText"/>
        <w:spacing w:line="273" w:lineRule="auto" w:before="20"/>
        <w:ind w:right="191" w:hanging="1"/>
      </w:pPr>
      <w:r>
        <w:rPr>
          <w:spacing w:val="-11"/>
        </w:rPr>
        <w:t>和右冠状动脉，或前降支、左旋支和右冠状动脉</w:t>
      </w:r>
      <w:r>
        <w:rPr>
          <w:spacing w:val="-54"/>
        </w:rPr>
        <w:t>）</w:t>
      </w:r>
      <w:r>
        <w:rPr>
          <w:spacing w:val="-8"/>
        </w:rPr>
        <w:t>严重狭窄性病变</w:t>
      </w:r>
      <w:r>
        <w:rPr/>
        <w:t>（至</w:t>
      </w:r>
      <w:r>
        <w:rPr>
          <w:spacing w:val="10"/>
        </w:rPr>
        <w:t>少一支血管管腔直径减少 </w:t>
      </w:r>
      <w:r>
        <w:rPr>
          <w:rFonts w:ascii="Times New Roman" w:eastAsia="Times New Roman"/>
          <w:spacing w:val="5"/>
        </w:rPr>
        <w:t>75</w:t>
      </w:r>
      <w:r>
        <w:rPr>
          <w:spacing w:val="7"/>
        </w:rPr>
        <w:t>％以上和其他两支血管管腔直径减少</w:t>
      </w:r>
    </w:p>
    <w:p>
      <w:pPr>
        <w:pStyle w:val="BodyText"/>
        <w:spacing w:line="256" w:lineRule="auto" w:before="0"/>
        <w:ind w:right="204"/>
      </w:pPr>
      <w:r>
        <w:rPr>
          <w:rFonts w:ascii="Times New Roman" w:eastAsia="Times New Roman"/>
        </w:rPr>
        <w:t>60</w:t>
      </w:r>
      <w:r>
        <w:rPr/>
        <w:t>％以上）。前降支、左旋支及右冠状动脉的分支血管的狭窄不作为本保障的衡量指标。</w:t>
      </w:r>
    </w:p>
    <w:p>
      <w:pPr>
        <w:pStyle w:val="ListParagraph"/>
        <w:numPr>
          <w:ilvl w:val="0"/>
          <w:numId w:val="3"/>
        </w:numPr>
        <w:tabs>
          <w:tab w:pos="487" w:val="left" w:leader="none"/>
          <w:tab w:pos="2823" w:val="left" w:leader="none"/>
        </w:tabs>
        <w:spacing w:line="240" w:lineRule="auto" w:before="34" w:after="0"/>
        <w:ind w:left="486" w:right="0" w:hanging="369"/>
        <w:jc w:val="left"/>
        <w:rPr>
          <w:sz w:val="21"/>
        </w:rPr>
      </w:pPr>
      <w:r>
        <w:rPr>
          <w:sz w:val="21"/>
        </w:rPr>
        <w:t>脊髓灰质炎</w:t>
        <w:tab/>
      </w:r>
      <w:r>
        <w:rPr>
          <w:spacing w:val="-32"/>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before="20"/>
        <w:ind w:right="202"/>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肌营养不良症</w:t>
        <w:tab/>
        <w:t>:</w:t>
      </w:r>
      <w:r>
        <w:rPr>
          <w:spacing w:val="-60"/>
          <w:sz w:val="21"/>
        </w:rPr>
        <w:t> </w:t>
      </w:r>
      <w:r>
        <w:rPr>
          <w:sz w:val="21"/>
        </w:rPr>
        <w:t>肌营养不良症是一组遗传性肌肉变性性病变</w:t>
      </w:r>
      <w:r>
        <w:rPr>
          <w:spacing w:val="-5"/>
          <w:sz w:val="21"/>
        </w:rPr>
        <w:t>，</w:t>
      </w:r>
      <w:r>
        <w:rPr>
          <w:sz w:val="21"/>
        </w:rPr>
        <w:t>临床特征为与神经系统</w:t>
      </w:r>
    </w:p>
    <w:p>
      <w:pPr>
        <w:pStyle w:val="BodyText"/>
        <w:spacing w:line="273" w:lineRule="auto"/>
        <w:ind w:right="205"/>
      </w:pPr>
      <w:r>
        <w:rPr/>
        <w:t>无关的骨骼肌对称地进行性无力和萎缩，其诊断需同时符合以下条件：</w:t>
      </w:r>
    </w:p>
    <w:p>
      <w:pPr>
        <w:pStyle w:val="ListParagraph"/>
        <w:numPr>
          <w:ilvl w:val="1"/>
          <w:numId w:val="3"/>
        </w:numPr>
        <w:tabs>
          <w:tab w:pos="3423" w:val="left" w:leader="none"/>
        </w:tabs>
        <w:spacing w:line="240" w:lineRule="auto" w:before="7" w:after="0"/>
        <w:ind w:left="3422" w:right="0" w:hanging="420"/>
        <w:jc w:val="left"/>
        <w:rPr>
          <w:sz w:val="21"/>
        </w:rPr>
      </w:pPr>
      <w:r>
        <w:rPr>
          <w:sz w:val="21"/>
        </w:rPr>
        <w:t>肌电图显示典型肌营养不良症的阳性改变；</w:t>
      </w:r>
    </w:p>
    <w:p>
      <w:pPr>
        <w:pStyle w:val="ListParagraph"/>
        <w:numPr>
          <w:ilvl w:val="1"/>
          <w:numId w:val="3"/>
        </w:numPr>
        <w:tabs>
          <w:tab w:pos="3423" w:val="left" w:leader="none"/>
        </w:tabs>
        <w:spacing w:line="273" w:lineRule="auto" w:before="36" w:after="0"/>
        <w:ind w:left="3422" w:right="204" w:hanging="420"/>
        <w:jc w:val="left"/>
        <w:rPr>
          <w:sz w:val="21"/>
        </w:rPr>
      </w:pPr>
      <w:r>
        <w:rPr>
          <w:spacing w:val="-1"/>
          <w:sz w:val="21"/>
        </w:rPr>
        <w:t>肌肉活检的病理学诊断符合肌营养不良症的肌肉细胞变性、坏死等阳性改变；</w:t>
      </w:r>
    </w:p>
    <w:p>
      <w:pPr>
        <w:pStyle w:val="ListParagraph"/>
        <w:numPr>
          <w:ilvl w:val="1"/>
          <w:numId w:val="3"/>
        </w:numPr>
        <w:tabs>
          <w:tab w:pos="3423" w:val="left" w:leader="none"/>
        </w:tabs>
        <w:spacing w:line="273" w:lineRule="auto" w:before="7" w:after="0"/>
        <w:ind w:left="3422" w:right="195" w:hanging="420"/>
        <w:jc w:val="left"/>
        <w:rPr>
          <w:sz w:val="21"/>
        </w:rPr>
      </w:pPr>
      <w:r>
        <w:rPr>
          <w:spacing w:val="5"/>
          <w:sz w:val="21"/>
        </w:rPr>
        <w:t>已导致被保险人永久性的能力丧失无法独立进行六项基本日常</w:t>
      </w:r>
      <w:r>
        <w:rPr>
          <w:sz w:val="21"/>
        </w:rPr>
        <w:t>生活活动中的其中三项或三项以上；</w:t>
      </w:r>
    </w:p>
    <w:p>
      <w:pPr>
        <w:pStyle w:val="ListParagraph"/>
        <w:numPr>
          <w:ilvl w:val="1"/>
          <w:numId w:val="3"/>
        </w:numPr>
        <w:tabs>
          <w:tab w:pos="3423" w:val="left" w:leader="none"/>
        </w:tabs>
        <w:spacing w:line="240" w:lineRule="auto" w:before="7" w:after="0"/>
        <w:ind w:left="3422" w:right="0" w:hanging="420"/>
        <w:jc w:val="left"/>
        <w:rPr>
          <w:sz w:val="21"/>
        </w:rPr>
      </w:pPr>
      <w:r>
        <w:rPr>
          <w:spacing w:val="-4"/>
          <w:sz w:val="21"/>
        </w:rPr>
        <w:t>日常生活能力的丧失需持续有 </w:t>
      </w:r>
      <w:r>
        <w:rPr>
          <w:sz w:val="21"/>
        </w:rPr>
        <w:t>6</w:t>
      </w:r>
      <w:r>
        <w:rPr>
          <w:spacing w:val="-8"/>
          <w:sz w:val="21"/>
        </w:rPr>
        <w:t> 个月以上的医疗记录。</w:t>
      </w:r>
    </w:p>
    <w:p>
      <w:pPr>
        <w:pStyle w:val="ListParagraph"/>
        <w:numPr>
          <w:ilvl w:val="0"/>
          <w:numId w:val="3"/>
        </w:numPr>
        <w:tabs>
          <w:tab w:pos="489" w:val="left" w:leader="none"/>
        </w:tabs>
        <w:spacing w:line="240" w:lineRule="auto" w:before="36" w:after="0"/>
        <w:ind w:left="488" w:right="0" w:hanging="371"/>
        <w:jc w:val="left"/>
        <w:rPr>
          <w:sz w:val="21"/>
        </w:rPr>
      </w:pPr>
      <w:r>
        <w:rPr>
          <w:spacing w:val="-3"/>
          <w:sz w:val="21"/>
        </w:rPr>
        <w:t>经输血导致的人类免疫缺：被保险人感染上人类免疫缺陷病毒</w:t>
      </w:r>
      <w:r>
        <w:rPr>
          <w:sz w:val="21"/>
        </w:rPr>
        <w:t>（HIV）并且满足下列全部条件：</w:t>
      </w:r>
    </w:p>
    <w:p>
      <w:pPr>
        <w:spacing w:after="0" w:line="240" w:lineRule="auto"/>
        <w:jc w:val="left"/>
        <w:rPr>
          <w:sz w:val="21"/>
        </w:rPr>
        <w:sectPr>
          <w:pgSz w:w="11910" w:h="16840"/>
          <w:pgMar w:header="0" w:footer="1673" w:top="1360" w:bottom="1920" w:left="960" w:right="1440"/>
        </w:sectPr>
      </w:pPr>
    </w:p>
    <w:p>
      <w:pPr>
        <w:pStyle w:val="BodyText"/>
        <w:spacing w:before="20"/>
        <w:ind w:left="117"/>
      </w:pPr>
      <w:r>
        <w:rPr>
          <w:w w:val="95"/>
        </w:rPr>
        <w:t>陷病毒（</w:t>
      </w:r>
      <w:r>
        <w:rPr>
          <w:rFonts w:ascii="Times New Roman" w:eastAsia="Times New Roman"/>
          <w:w w:val="95"/>
        </w:rPr>
        <w:t>HIV</w:t>
      </w:r>
      <w:r>
        <w:rPr>
          <w:w w:val="95"/>
        </w:rPr>
        <w:t>）感染</w:t>
      </w:r>
    </w:p>
    <w:p>
      <w:pPr>
        <w:pStyle w:val="ListParagraph"/>
        <w:numPr>
          <w:ilvl w:val="0"/>
          <w:numId w:val="4"/>
        </w:numPr>
        <w:tabs>
          <w:tab w:pos="538" w:val="left" w:leader="none"/>
        </w:tabs>
        <w:spacing w:line="240" w:lineRule="auto" w:before="20" w:after="0"/>
        <w:ind w:left="537" w:right="0" w:hanging="420"/>
        <w:jc w:val="left"/>
        <w:rPr>
          <w:sz w:val="21"/>
        </w:rPr>
      </w:pPr>
      <w:r>
        <w:rPr>
          <w:sz w:val="21"/>
        </w:rPr>
        <w:br w:type="column"/>
      </w:r>
      <w:r>
        <w:rPr>
          <w:spacing w:val="-3"/>
          <w:sz w:val="21"/>
        </w:rPr>
        <w:t>在保障起始日或复效日之后，被保险人因输血而感染 </w:t>
      </w:r>
      <w:r>
        <w:rPr>
          <w:sz w:val="21"/>
        </w:rPr>
        <w:t>HIV；</w:t>
      </w:r>
    </w:p>
    <w:p>
      <w:pPr>
        <w:pStyle w:val="ListParagraph"/>
        <w:numPr>
          <w:ilvl w:val="0"/>
          <w:numId w:val="4"/>
        </w:numPr>
        <w:tabs>
          <w:tab w:pos="538" w:val="left" w:leader="none"/>
        </w:tabs>
        <w:spacing w:line="273" w:lineRule="auto" w:before="36" w:after="0"/>
        <w:ind w:left="537" w:right="195" w:hanging="420"/>
        <w:jc w:val="left"/>
        <w:rPr>
          <w:sz w:val="21"/>
        </w:rPr>
      </w:pPr>
      <w:r>
        <w:rPr>
          <w:spacing w:val="5"/>
          <w:sz w:val="21"/>
        </w:rPr>
        <w:t>提供输血治疗的输血中心或医院出具该项输血感染属医疗责任</w:t>
      </w:r>
      <w:r>
        <w:rPr>
          <w:sz w:val="21"/>
        </w:rPr>
        <w:t>事故的报告，或者法院终审裁定为医疗责任并且不准上诉；</w:t>
      </w:r>
    </w:p>
    <w:p>
      <w:pPr>
        <w:pStyle w:val="ListParagraph"/>
        <w:numPr>
          <w:ilvl w:val="0"/>
          <w:numId w:val="4"/>
        </w:numPr>
        <w:tabs>
          <w:tab w:pos="538" w:val="left" w:leader="none"/>
        </w:tabs>
        <w:spacing w:line="240" w:lineRule="auto" w:before="7" w:after="0"/>
        <w:ind w:left="537" w:right="0" w:hanging="420"/>
        <w:jc w:val="left"/>
        <w:rPr>
          <w:sz w:val="21"/>
        </w:rPr>
      </w:pPr>
      <w:r>
        <w:rPr>
          <w:sz w:val="21"/>
        </w:rPr>
        <w:t>受感染的被保险人不是血友病患者。</w:t>
      </w:r>
    </w:p>
    <w:p>
      <w:pPr>
        <w:pStyle w:val="BodyText"/>
        <w:spacing w:line="273" w:lineRule="auto" w:before="37"/>
        <w:ind w:left="117" w:right="202"/>
        <w:jc w:val="both"/>
      </w:pPr>
      <w:r>
        <w:rPr/>
        <w:t>在任何治愈艾滋病（AIDS）或阻止HIV病毒作用的疗法被发现以后， 或能防止AIDS发生的医疗方法被研究出来以后，本保障将不再予以赔付。</w:t>
      </w:r>
    </w:p>
    <w:p>
      <w:pPr>
        <w:pStyle w:val="BodyText"/>
        <w:spacing w:line="273" w:lineRule="auto" w:before="8"/>
        <w:ind w:left="117" w:right="203"/>
        <w:jc w:val="both"/>
      </w:pPr>
      <w:r>
        <w:rPr/>
        <w:t>任何因其他传播方式（包括：性传播或静脉注射毒品）导致的HIV感染不在本保单保障范围内。保险公司必须拥有获得使用被保险人的所有血液样本的权利和能够对这些样本进行独立检验的权利。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520" w:bottom="280" w:left="960" w:right="1440"/>
          <w:cols w:num="2" w:equalWidth="0">
            <w:col w:w="1961" w:space="923"/>
            <w:col w:w="6626"/>
          </w:cols>
        </w:sectPr>
      </w:pPr>
    </w:p>
    <w:p>
      <w:pPr>
        <w:pStyle w:val="ListParagraph"/>
        <w:numPr>
          <w:ilvl w:val="0"/>
          <w:numId w:val="3"/>
        </w:numPr>
        <w:tabs>
          <w:tab w:pos="487" w:val="left" w:leader="none"/>
          <w:tab w:pos="2823" w:val="left" w:leader="none"/>
        </w:tabs>
        <w:spacing w:line="240" w:lineRule="auto" w:before="8" w:after="0"/>
        <w:ind w:left="486" w:right="0" w:hanging="369"/>
        <w:jc w:val="left"/>
        <w:rPr>
          <w:sz w:val="21"/>
        </w:rPr>
      </w:pPr>
      <w:r>
        <w:rPr>
          <w:sz w:val="21"/>
        </w:rPr>
        <w:t>慢性复发性胰腺炎</w:t>
        <w:tab/>
      </w:r>
      <w:r>
        <w:rPr>
          <w:spacing w:val="-32"/>
          <w:sz w:val="21"/>
        </w:rPr>
        <w:t>：</w:t>
      </w:r>
      <w:r>
        <w:rPr>
          <w:sz w:val="21"/>
        </w:rPr>
        <w:t>胰腺炎反复发作超过三次以上并导致胰腺功能紊乱而导致营养不良，</w:t>
      </w:r>
    </w:p>
    <w:p>
      <w:pPr>
        <w:pStyle w:val="BodyText"/>
        <w:spacing w:line="273" w:lineRule="auto"/>
        <w:ind w:right="204"/>
      </w:pPr>
      <w:r>
        <w:rPr/>
        <w:t>需要接受酶替代治疗。诊断必须有消化科专科医生确认并且有内窥镜逆行胰胆管造影所证实。</w:t>
      </w:r>
    </w:p>
    <w:p>
      <w:pPr>
        <w:pStyle w:val="BodyText"/>
        <w:spacing w:before="7"/>
      </w:pPr>
      <w:r>
        <w:rPr/>
        <w:t>酒精导致的慢性复发性胰腺炎除外。</w:t>
      </w:r>
    </w:p>
    <w:p>
      <w:pPr>
        <w:pStyle w:val="ListParagraph"/>
        <w:numPr>
          <w:ilvl w:val="0"/>
          <w:numId w:val="3"/>
        </w:numPr>
        <w:tabs>
          <w:tab w:pos="487" w:val="left" w:leader="none"/>
          <w:tab w:pos="2823" w:val="left" w:leader="none"/>
        </w:tabs>
        <w:spacing w:line="240" w:lineRule="auto" w:before="37" w:after="0"/>
        <w:ind w:left="486" w:right="0" w:hanging="369"/>
        <w:jc w:val="left"/>
        <w:rPr>
          <w:sz w:val="21"/>
        </w:rPr>
      </w:pPr>
      <w:r>
        <w:rPr>
          <w:sz w:val="21"/>
        </w:rPr>
        <w:t>严重心肌病</w:t>
        <w:tab/>
      </w:r>
      <w:r>
        <w:rPr>
          <w:spacing w:val="-32"/>
          <w:sz w:val="21"/>
        </w:rPr>
        <w:t>：</w:t>
      </w:r>
      <w:r>
        <w:rPr>
          <w:spacing w:val="5"/>
          <w:sz w:val="21"/>
        </w:rPr>
        <w:t>指因原发性心肌病导致心室功能损害造成永久不可逆性的心</w:t>
      </w:r>
      <w:r>
        <w:rPr>
          <w:spacing w:val="6"/>
          <w:sz w:val="21"/>
        </w:rPr>
        <w:t>功能</w:t>
      </w:r>
      <w:r>
        <w:rPr>
          <w:sz w:val="21"/>
        </w:rPr>
        <w:t>衰</w:t>
      </w:r>
    </w:p>
    <w:p>
      <w:pPr>
        <w:pStyle w:val="BodyText"/>
        <w:spacing w:line="264" w:lineRule="auto"/>
        <w:ind w:right="100"/>
      </w:pPr>
      <w:r>
        <w:rPr>
          <w:spacing w:val="-6"/>
        </w:rPr>
        <w:t>竭，心功能衰竭程度达到美国纽约心脏病学会心功能状态分级 </w:t>
      </w:r>
      <w:r>
        <w:rPr>
          <w:rFonts w:ascii="Times New Roman" w:eastAsia="Times New Roman"/>
        </w:rPr>
        <w:t>IV </w:t>
      </w:r>
      <w:r>
        <w:rPr/>
        <w:t>级。</w:t>
      </w:r>
      <w:r>
        <w:rPr>
          <w:spacing w:val="5"/>
        </w:rPr>
        <w:t>必须由心脏专科医生确诊，并有包括超声心动图在内的相关检查证实。</w:t>
      </w:r>
    </w:p>
    <w:p>
      <w:pPr>
        <w:pStyle w:val="BodyText"/>
        <w:spacing w:before="15"/>
      </w:pPr>
      <w:r>
        <w:rPr/>
        <w:t>酗酒或滥用药物引起的心肌病不在保险责任范围内。</w:t>
      </w:r>
    </w:p>
    <w:p>
      <w:pPr>
        <w:pStyle w:val="ListParagraph"/>
        <w:numPr>
          <w:ilvl w:val="0"/>
          <w:numId w:val="3"/>
        </w:numPr>
        <w:tabs>
          <w:tab w:pos="487" w:val="left" w:leader="none"/>
          <w:tab w:pos="2823" w:val="left" w:leader="none"/>
        </w:tabs>
        <w:spacing w:line="240" w:lineRule="auto" w:before="36" w:after="0"/>
        <w:ind w:left="486" w:right="0" w:hanging="369"/>
        <w:jc w:val="left"/>
        <w:rPr>
          <w:sz w:val="21"/>
        </w:rPr>
      </w:pPr>
      <w:r>
        <w:rPr>
          <w:sz w:val="21"/>
        </w:rPr>
        <w:t>植物人状态</w:t>
        <w:tab/>
      </w:r>
      <w:r>
        <w:rPr>
          <w:spacing w:val="-32"/>
          <w:sz w:val="21"/>
        </w:rPr>
        <w:t>：</w:t>
      </w:r>
      <w:r>
        <w:rPr>
          <w:sz w:val="21"/>
        </w:rPr>
        <w:t>一种丧失生理</w:t>
      </w:r>
      <w:r>
        <w:rPr>
          <w:spacing w:val="-56"/>
          <w:sz w:val="21"/>
        </w:rPr>
        <w:t>、</w:t>
      </w:r>
      <w:r>
        <w:rPr>
          <w:sz w:val="21"/>
        </w:rPr>
        <w:t>意识和交流功能后的临床依赖状态</w:t>
      </w:r>
      <w:r>
        <w:rPr>
          <w:spacing w:val="-56"/>
          <w:sz w:val="21"/>
        </w:rPr>
        <w:t>。</w:t>
      </w:r>
      <w:r>
        <w:rPr>
          <w:sz w:val="21"/>
        </w:rPr>
        <w:t>可以是由脑外伤、</w:t>
      </w:r>
    </w:p>
    <w:p>
      <w:pPr>
        <w:spacing w:after="0" w:line="240" w:lineRule="auto"/>
        <w:jc w:val="left"/>
        <w:rPr>
          <w:sz w:val="21"/>
        </w:rPr>
        <w:sectPr>
          <w:type w:val="continuous"/>
          <w:pgSz w:w="11910" w:h="16840"/>
          <w:pgMar w:top="520" w:bottom="280" w:left="960" w:right="1440"/>
        </w:sectPr>
      </w:pPr>
    </w:p>
    <w:p>
      <w:pPr>
        <w:pStyle w:val="BodyText"/>
        <w:spacing w:line="266" w:lineRule="auto" w:before="5"/>
        <w:ind w:right="203"/>
        <w:jc w:val="both"/>
      </w:pPr>
      <w:r>
        <w:rPr>
          <w:spacing w:val="-2"/>
        </w:rPr>
        <w:t>缺氧持续状态、严重的脑炎或者某种神经毒素造成。患者无法从事主</w:t>
      </w:r>
      <w:r>
        <w:rPr>
          <w:spacing w:val="-3"/>
        </w:rPr>
        <w:t>动或者有目的的活动，而只能对疼痛刺激产生反应。被保险人需要在</w:t>
      </w:r>
      <w:r>
        <w:rPr>
          <w:spacing w:val="-6"/>
        </w:rPr>
        <w:t>医院使用辅助机器维持生命。只有在因植物人状态住院 </w:t>
      </w:r>
      <w:r>
        <w:rPr>
          <w:rFonts w:ascii="Times New Roman" w:eastAsia="Times New Roman"/>
        </w:rPr>
        <w:t>180 </w:t>
      </w:r>
      <w:r>
        <w:rPr/>
        <w:t>天以后并且必须有神经科专科医生的医学诊断证明的情况下才能得到理赔。</w:t>
      </w:r>
    </w:p>
    <w:p>
      <w:pPr>
        <w:pStyle w:val="ListParagraph"/>
        <w:numPr>
          <w:ilvl w:val="0"/>
          <w:numId w:val="3"/>
        </w:numPr>
        <w:tabs>
          <w:tab w:pos="487" w:val="left" w:leader="none"/>
          <w:tab w:pos="2823" w:val="left" w:leader="none"/>
        </w:tabs>
        <w:spacing w:line="240" w:lineRule="auto" w:before="13" w:after="0"/>
        <w:ind w:left="486" w:right="0" w:hanging="369"/>
        <w:jc w:val="left"/>
        <w:rPr>
          <w:sz w:val="21"/>
        </w:rPr>
      </w:pPr>
      <w:r>
        <w:rPr>
          <w:sz w:val="21"/>
        </w:rPr>
        <w:t>全身性重症肌无力</w:t>
        <w:tab/>
      </w:r>
      <w:r>
        <w:rPr>
          <w:spacing w:val="-32"/>
          <w:sz w:val="21"/>
        </w:rPr>
        <w:t>：</w:t>
      </w:r>
      <w:r>
        <w:rPr>
          <w:sz w:val="21"/>
        </w:rPr>
        <w:t>重症肌无力是一种神经肌肉接头传递障碍所致的疾病</w:t>
      </w:r>
      <w:r>
        <w:rPr>
          <w:spacing w:val="-5"/>
          <w:sz w:val="21"/>
        </w:rPr>
        <w:t>，</w:t>
      </w:r>
      <w:r>
        <w:rPr>
          <w:sz w:val="21"/>
        </w:rPr>
        <w:t>表现为局部或</w:t>
      </w:r>
    </w:p>
    <w:p>
      <w:pPr>
        <w:pStyle w:val="BodyText"/>
        <w:spacing w:line="273" w:lineRule="auto" w:before="20"/>
        <w:ind w:right="204"/>
      </w:pPr>
      <w:r>
        <w:rPr/>
        <w:t>全身骨骼肌（特别是眼外肌）极易疲劳。疾病可以累及呼吸肌、上肢或下肢的近端肌群或全身肌肉，必须满足下列全部条件：</w:t>
      </w:r>
    </w:p>
    <w:p>
      <w:pPr>
        <w:pStyle w:val="BodyText"/>
        <w:spacing w:before="7"/>
      </w:pPr>
      <w:r>
        <w:rPr/>
        <w:t>（</w:t>
      </w:r>
      <w:r>
        <w:rPr>
          <w:rFonts w:ascii="Times New Roman" w:eastAsia="Times New Roman"/>
        </w:rPr>
        <w:t>1</w:t>
      </w:r>
      <w:r>
        <w:rPr/>
        <w:t>）经药物治疗和胸腺切除治疗一年以上仍无法控制病情；</w:t>
      </w:r>
    </w:p>
    <w:p>
      <w:pPr>
        <w:pStyle w:val="BodyText"/>
        <w:spacing w:line="256" w:lineRule="auto"/>
        <w:ind w:right="202"/>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22" w:after="0"/>
        <w:ind w:left="486" w:right="0" w:hanging="369"/>
        <w:jc w:val="left"/>
        <w:rPr>
          <w:sz w:val="21"/>
        </w:rPr>
      </w:pPr>
      <w:r>
        <w:rPr>
          <w:sz w:val="21"/>
        </w:rPr>
        <w:t>坏死性筋膜炎</w:t>
        <w:tab/>
      </w:r>
      <w:r>
        <w:rPr>
          <w:spacing w:val="-32"/>
          <w:sz w:val="21"/>
        </w:rPr>
        <w:t>：</w:t>
      </w:r>
      <w:r>
        <w:rPr>
          <w:sz w:val="21"/>
        </w:rPr>
        <w:t>坏死性筋膜炎的诊断须同时符合下列要求：</w:t>
      </w:r>
    </w:p>
    <w:p>
      <w:pPr>
        <w:pStyle w:val="BodyText"/>
      </w:pPr>
      <w:r>
        <w:rPr/>
        <w:t>（</w:t>
      </w:r>
      <w:r>
        <w:rPr>
          <w:rFonts w:ascii="Times New Roman" w:eastAsia="Times New Roman"/>
        </w:rPr>
        <w:t>1</w:t>
      </w:r>
      <w:r>
        <w:rPr/>
        <w:t>）符合坏死性筋膜炎的一般临床表现；</w:t>
      </w:r>
    </w:p>
    <w:p>
      <w:pPr>
        <w:pStyle w:val="BodyText"/>
      </w:pPr>
      <w:r>
        <w:rPr/>
        <w:t>（</w:t>
      </w:r>
      <w:r>
        <w:rPr>
          <w:rFonts w:ascii="Times New Roman" w:eastAsia="Times New Roman"/>
        </w:rPr>
        <w:t>2</w:t>
      </w:r>
      <w:r>
        <w:rPr/>
        <w:t>）细菌培养检出致病菌；</w:t>
      </w:r>
    </w:p>
    <w:p>
      <w:pPr>
        <w:pStyle w:val="BodyText"/>
        <w:spacing w:line="264" w:lineRule="auto"/>
        <w:ind w:right="202"/>
        <w:jc w:val="both"/>
      </w:pPr>
      <w:r>
        <w:rPr/>
        <w:t>（</w:t>
      </w: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pStyle w:val="ListParagraph"/>
        <w:numPr>
          <w:ilvl w:val="0"/>
          <w:numId w:val="3"/>
        </w:numPr>
        <w:tabs>
          <w:tab w:pos="487" w:val="left" w:leader="none"/>
          <w:tab w:pos="2823" w:val="left" w:leader="none"/>
        </w:tabs>
        <w:spacing w:line="240" w:lineRule="auto" w:before="16" w:after="0"/>
        <w:ind w:left="486" w:right="0" w:hanging="369"/>
        <w:jc w:val="left"/>
        <w:rPr>
          <w:sz w:val="21"/>
        </w:rPr>
      </w:pPr>
      <w:r>
        <w:rPr>
          <w:sz w:val="21"/>
        </w:rPr>
        <w:t>严重克隆病</w:t>
        <w:tab/>
      </w:r>
      <w:r>
        <w:rPr>
          <w:spacing w:val="-32"/>
          <w:sz w:val="21"/>
        </w:rPr>
        <w:t>：</w:t>
      </w:r>
      <w:r>
        <w:rPr>
          <w:sz w:val="21"/>
        </w:rPr>
        <w:t>克隆病是一种慢性肉芽肿性肠炎</w:t>
      </w:r>
      <w:r>
        <w:rPr>
          <w:spacing w:val="-5"/>
          <w:sz w:val="21"/>
        </w:rPr>
        <w:t>，</w:t>
      </w:r>
      <w:r>
        <w:rPr>
          <w:sz w:val="21"/>
        </w:rPr>
        <w:t>具有特征性的克隆病病理组织学变</w:t>
      </w:r>
    </w:p>
    <w:p>
      <w:pPr>
        <w:pStyle w:val="BodyText"/>
        <w:spacing w:line="273" w:lineRule="auto"/>
        <w:ind w:right="204"/>
      </w:pPr>
      <w:r>
        <w:rPr/>
        <w:t>化。诊断必须由病理检查结果证实。被保险人所患的克隆病必须已经造成瘘管形成并伴有肠梗阻或肠穿孔。</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严重类风湿性关节炎</w:t>
        <w:tab/>
      </w:r>
      <w:r>
        <w:rPr>
          <w:spacing w:val="-32"/>
          <w:sz w:val="21"/>
        </w:rPr>
        <w:t>：</w:t>
      </w:r>
      <w:r>
        <w:rPr>
          <w:sz w:val="21"/>
        </w:rPr>
        <w:t>类风湿性关节炎为广泛分布的慢性进行性多关节病变</w:t>
      </w:r>
      <w:r>
        <w:rPr>
          <w:spacing w:val="-5"/>
          <w:sz w:val="21"/>
        </w:rPr>
        <w:t>，</w:t>
      </w:r>
      <w:r>
        <w:rPr>
          <w:sz w:val="21"/>
        </w:rPr>
        <w:t>表现为关节严</w:t>
      </w:r>
    </w:p>
    <w:p>
      <w:pPr>
        <w:pStyle w:val="BodyText"/>
        <w:spacing w:line="268" w:lineRule="auto" w:before="20"/>
        <w:ind w:right="99"/>
      </w:pPr>
      <w:r>
        <w:rPr>
          <w:spacing w:val="-6"/>
        </w:rPr>
        <w:t>重变形，侵犯至少三个主要关节或关节组</w:t>
      </w:r>
      <w:r>
        <w:rPr/>
        <w:t>（</w:t>
      </w:r>
      <w:r>
        <w:rPr>
          <w:spacing w:val="-12"/>
        </w:rPr>
        <w:t>如：双手</w:t>
      </w:r>
      <w:r>
        <w:rPr/>
        <w:t>（多手指</w:t>
      </w:r>
      <w:r>
        <w:rPr>
          <w:spacing w:val="-22"/>
        </w:rPr>
        <w:t>）</w:t>
      </w:r>
      <w:r>
        <w:rPr/>
        <w:t>关节、双足（多足趾）关节、双腕关节、双膝关节和双髋关节</w:t>
      </w:r>
      <w:r>
        <w:rPr>
          <w:spacing w:val="-102"/>
        </w:rPr>
        <w:t>）</w:t>
      </w:r>
      <w:r>
        <w:rPr/>
        <w:t>。类风湿性 </w:t>
      </w:r>
      <w:r>
        <w:rPr>
          <w:spacing w:val="-1"/>
        </w:rPr>
        <w:t>关节炎必须明确诊断并且已经达到类风湿性关节炎功能分级 </w:t>
      </w:r>
      <w:r>
        <w:rPr>
          <w:rFonts w:ascii="Times New Roman" w:eastAsia="Times New Roman"/>
        </w:rPr>
        <w:t>III</w:t>
      </w:r>
      <w:r>
        <w:rPr>
          <w:rFonts w:ascii="Times New Roman" w:eastAsia="Times New Roman"/>
          <w:spacing w:val="47"/>
        </w:rPr>
        <w:t> </w:t>
      </w:r>
      <w:r>
        <w:rPr/>
        <w:t>级以</w:t>
      </w:r>
      <w:r>
        <w:rPr>
          <w:spacing w:val="-1"/>
        </w:rPr>
        <w:t>上的功能障碍</w:t>
      </w:r>
      <w:r>
        <w:rPr/>
        <w:t>（</w:t>
      </w:r>
      <w:r>
        <w:rPr>
          <w:spacing w:val="-1"/>
        </w:rPr>
        <w:t>关节活动严重限制，不能完成大部分的日常工作和活动）并且满足下列全部条件：</w:t>
      </w:r>
    </w:p>
    <w:p>
      <w:pPr>
        <w:pStyle w:val="BodyText"/>
        <w:spacing w:before="11"/>
      </w:pPr>
      <w:r>
        <w:rPr/>
        <w:t>（</w:t>
      </w:r>
      <w:r>
        <w:rPr>
          <w:rFonts w:ascii="Times New Roman" w:eastAsia="Times New Roman"/>
        </w:rPr>
        <w:t>1</w:t>
      </w:r>
      <w:r>
        <w:rPr/>
        <w:t>）晨僵；</w:t>
      </w:r>
    </w:p>
    <w:p>
      <w:pPr>
        <w:pStyle w:val="BodyText"/>
      </w:pPr>
      <w:r>
        <w:rPr/>
        <w:t>（</w:t>
      </w:r>
      <w:r>
        <w:rPr>
          <w:rFonts w:ascii="Times New Roman" w:eastAsia="Times New Roman"/>
        </w:rPr>
        <w:t>2</w:t>
      </w:r>
      <w:r>
        <w:rPr/>
        <w:t>）对称性关节炎；</w:t>
      </w:r>
    </w:p>
    <w:p>
      <w:pPr>
        <w:pStyle w:val="BodyText"/>
      </w:pPr>
      <w:r>
        <w:rPr/>
        <w:t>（</w:t>
      </w:r>
      <w:r>
        <w:rPr>
          <w:rFonts w:ascii="Times New Roman" w:eastAsia="Times New Roman"/>
        </w:rPr>
        <w:t>3</w:t>
      </w:r>
      <w:r>
        <w:rPr/>
        <w:t>）类风湿性皮下结节；</w:t>
      </w:r>
    </w:p>
    <w:p>
      <w:pPr>
        <w:pStyle w:val="BodyText"/>
      </w:pPr>
      <w:r>
        <w:rPr/>
        <w:t>（</w:t>
      </w:r>
      <w:r>
        <w:rPr>
          <w:rFonts w:ascii="Times New Roman" w:eastAsia="Times New Roman"/>
        </w:rPr>
        <w:t>4</w:t>
      </w:r>
      <w:r>
        <w:rPr/>
        <w:t>）类风湿因子滴度升高；</w:t>
      </w:r>
    </w:p>
    <w:p>
      <w:pPr>
        <w:pStyle w:val="BodyText"/>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ListParagraph"/>
        <w:numPr>
          <w:ilvl w:val="0"/>
          <w:numId w:val="3"/>
        </w:numPr>
        <w:tabs>
          <w:tab w:pos="487" w:val="left" w:leader="none"/>
        </w:tabs>
        <w:spacing w:line="240" w:lineRule="auto" w:before="21" w:after="0"/>
        <w:ind w:left="486" w:right="0" w:hanging="369"/>
        <w:jc w:val="left"/>
        <w:rPr>
          <w:sz w:val="21"/>
        </w:rPr>
      </w:pPr>
      <w:r>
        <w:rPr>
          <w:spacing w:val="-1"/>
          <w:sz w:val="21"/>
        </w:rPr>
        <w:t>溶血性链球菌引起的坏疽：包围肢体或躯干的浅筋膜和</w:t>
      </w:r>
      <w:r>
        <w:rPr>
          <w:rFonts w:ascii="Times New Roman" w:eastAsia="Times New Roman"/>
          <w:sz w:val="21"/>
        </w:rPr>
        <w:t>/</w:t>
      </w:r>
      <w:r>
        <w:rPr>
          <w:spacing w:val="-4"/>
          <w:sz w:val="21"/>
        </w:rPr>
        <w:t>或深筋膜受到溶血性链球菌的感染，病情</w:t>
      </w:r>
    </w:p>
    <w:p>
      <w:pPr>
        <w:pStyle w:val="BodyText"/>
        <w:spacing w:line="273" w:lineRule="auto"/>
        <w:ind w:right="204"/>
      </w:pPr>
      <w:r>
        <w:rPr/>
        <w:t>在短时间内急剧恶化，必须立刻进行手术及清创术。最后的诊断必须由微生物或病理学专家进行相关检查后证实。</w:t>
      </w:r>
    </w:p>
    <w:p>
      <w:pPr>
        <w:pStyle w:val="BodyText"/>
        <w:spacing w:before="2"/>
        <w:ind w:left="0"/>
        <w:rPr>
          <w:sz w:val="24"/>
        </w:rPr>
      </w:pPr>
    </w:p>
    <w:p>
      <w:pPr>
        <w:pStyle w:val="Heading1"/>
        <w:spacing w:before="1"/>
        <w:ind w:left="117" w:firstLine="0"/>
      </w:pPr>
      <w:r>
        <w:rPr>
          <w:spacing w:val="-8"/>
          <w:w w:val="99"/>
        </w:rPr>
        <w:t>早期治疗保险金疾病名称及定义：</w:t>
      </w:r>
      <w:r>
        <w:rPr>
          <w:w w:val="99"/>
        </w:rPr>
        <w:t>（</w:t>
      </w:r>
      <w:r>
        <w:rPr>
          <w:spacing w:val="-5"/>
          <w:w w:val="99"/>
        </w:rPr>
        <w:t>包括以下六种，以下所有疾病应由专科医生诊断。</w:t>
      </w:r>
      <w:r>
        <w:rPr>
          <w:w w:val="99"/>
        </w:rPr>
        <w:t>）</w:t>
      </w:r>
    </w:p>
    <w:p>
      <w:pPr>
        <w:pStyle w:val="ListParagraph"/>
        <w:numPr>
          <w:ilvl w:val="0"/>
          <w:numId w:val="5"/>
        </w:numPr>
        <w:tabs>
          <w:tab w:pos="490" w:val="left" w:leader="none"/>
          <w:tab w:pos="2931" w:val="left" w:leader="none"/>
        </w:tabs>
        <w:spacing w:line="240" w:lineRule="auto" w:before="15" w:after="0"/>
        <w:ind w:left="489" w:right="0" w:hanging="264"/>
        <w:jc w:val="left"/>
        <w:rPr>
          <w:sz w:val="21"/>
        </w:rPr>
      </w:pPr>
      <w:r>
        <w:rPr>
          <w:sz w:val="21"/>
        </w:rPr>
        <w:t>早期恶性病变</w:t>
        <w:tab/>
      </w:r>
      <w:r>
        <w:rPr>
          <w:spacing w:val="-32"/>
          <w:sz w:val="21"/>
        </w:rPr>
        <w:t>：</w:t>
      </w:r>
      <w:r>
        <w:rPr>
          <w:sz w:val="21"/>
        </w:rPr>
        <w:t>对于经组织病理学检查确诊并且己经接受了针对性治疗的下列</w:t>
      </w:r>
      <w:r>
        <w:rPr>
          <w:spacing w:val="2"/>
          <w:sz w:val="21"/>
        </w:rPr>
        <w:t>类</w:t>
      </w:r>
      <w:r>
        <w:rPr>
          <w:sz w:val="21"/>
        </w:rPr>
        <w:t>型</w:t>
      </w:r>
    </w:p>
    <w:p>
      <w:pPr>
        <w:pStyle w:val="BodyText"/>
        <w:spacing w:before="20"/>
        <w:ind w:left="3110"/>
      </w:pPr>
      <w:r>
        <w:rPr/>
        <w:t>的恶性肿瘤，将按约定给付早期治疗保险金：</w:t>
      </w:r>
    </w:p>
    <w:p>
      <w:pPr>
        <w:pStyle w:val="BodyText"/>
        <w:spacing w:before="36"/>
        <w:ind w:left="3110"/>
      </w:pPr>
      <w:r>
        <w:rPr/>
        <w:t>（</w:t>
      </w:r>
      <w:r>
        <w:rPr>
          <w:rFonts w:ascii="Times New Roman" w:eastAsia="Times New Roman"/>
        </w:rPr>
        <w:t>1</w:t>
      </w:r>
      <w:r>
        <w:rPr/>
        <w:t>）原位癌；</w:t>
      </w:r>
    </w:p>
    <w:p>
      <w:pPr>
        <w:pStyle w:val="BodyText"/>
        <w:ind w:left="3110"/>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ind w:left="3110"/>
      </w:pPr>
      <w:r>
        <w:rPr/>
        <w:t>（</w:t>
      </w:r>
      <w:r>
        <w:rPr>
          <w:rFonts w:ascii="Times New Roman" w:eastAsia="Times New Roman"/>
        </w:rPr>
        <w:t>3</w:t>
      </w:r>
      <w:r>
        <w:rPr/>
        <w:t>）相当于</w:t>
      </w:r>
      <w:r>
        <w:rPr>
          <w:rFonts w:ascii="Times New Roman" w:eastAsia="Times New Roman"/>
        </w:rPr>
        <w:t>AnnArbor </w:t>
      </w:r>
      <w:r>
        <w:rPr/>
        <w:t>分期方案 </w:t>
      </w:r>
      <w:r>
        <w:rPr>
          <w:rFonts w:ascii="Times New Roman" w:eastAsia="Times New Roman"/>
        </w:rPr>
        <w:t>I </w:t>
      </w:r>
      <w:r>
        <w:rPr/>
        <w:t>期程度的何杰金氏病；</w:t>
      </w:r>
    </w:p>
    <w:p>
      <w:pPr>
        <w:pStyle w:val="BodyText"/>
        <w:ind w:left="3110"/>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ind w:left="3110"/>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spacing w:after="0"/>
        <w:sectPr>
          <w:pgSz w:w="11910" w:h="16840"/>
          <w:pgMar w:header="0" w:footer="1673" w:top="1380" w:bottom="1920" w:left="960" w:right="1440"/>
        </w:sectPr>
      </w:pPr>
    </w:p>
    <w:p>
      <w:pPr>
        <w:pStyle w:val="ListParagraph"/>
        <w:numPr>
          <w:ilvl w:val="0"/>
          <w:numId w:val="5"/>
        </w:numPr>
        <w:tabs>
          <w:tab w:pos="370" w:val="left" w:leader="none"/>
          <w:tab w:pos="2811" w:val="left" w:leader="none"/>
        </w:tabs>
        <w:spacing w:line="240" w:lineRule="auto" w:before="25" w:after="0"/>
        <w:ind w:left="369" w:right="0" w:hanging="264"/>
        <w:jc w:val="left"/>
        <w:rPr>
          <w:sz w:val="21"/>
        </w:rPr>
      </w:pPr>
      <w:r>
        <w:rPr>
          <w:sz w:val="21"/>
        </w:rPr>
        <w:t>不典型急性心肌梗塞</w:t>
        <w:tab/>
      </w:r>
      <w:r>
        <w:rPr>
          <w:spacing w:val="-32"/>
          <w:sz w:val="21"/>
        </w:rPr>
        <w:t>：</w:t>
      </w:r>
      <w:r>
        <w:rPr>
          <w:sz w:val="21"/>
        </w:rPr>
        <w:t>因冠状动脉阻塞导致的相应区域供血不足造成部分心肌坏死。</w:t>
      </w:r>
      <w:r>
        <w:rPr>
          <w:spacing w:val="2"/>
          <w:sz w:val="21"/>
        </w:rPr>
        <w:t>未</w:t>
      </w:r>
      <w:r>
        <w:rPr>
          <w:sz w:val="21"/>
        </w:rPr>
        <w:t>达</w:t>
      </w:r>
    </w:p>
    <w:p>
      <w:pPr>
        <w:pStyle w:val="BodyText"/>
        <w:spacing w:line="273" w:lineRule="auto" w:before="20"/>
        <w:ind w:left="2990" w:right="699"/>
      </w:pPr>
      <w:r>
        <w:rPr/>
        <w:t>到重大疾病提前给付保险金的标准，但已满足下列至少两项条件时， 将按约定给付早期治疗保险金：</w:t>
      </w:r>
    </w:p>
    <w:p>
      <w:pPr>
        <w:pStyle w:val="BodyText"/>
        <w:spacing w:before="7"/>
        <w:ind w:left="2990"/>
      </w:pPr>
      <w:r>
        <w:rPr/>
        <w:t>（</w:t>
      </w:r>
      <w:r>
        <w:rPr>
          <w:rFonts w:ascii="Times New Roman" w:eastAsia="Times New Roman"/>
        </w:rPr>
        <w:t>1</w:t>
      </w:r>
      <w:r>
        <w:rPr/>
        <w:t>）典型临床表现，例如急性胸痛等；</w:t>
      </w:r>
    </w:p>
    <w:p>
      <w:pPr>
        <w:pStyle w:val="BodyText"/>
        <w:ind w:left="2990"/>
      </w:pPr>
      <w:r>
        <w:rPr/>
        <w:t>（</w:t>
      </w:r>
      <w:r>
        <w:rPr>
          <w:rFonts w:ascii="Times New Roman" w:eastAsia="Times New Roman"/>
        </w:rPr>
        <w:t>2</w:t>
      </w:r>
      <w:r>
        <w:rPr/>
        <w:t>）新近的心电图改变提示急性心肌梗塞；</w:t>
      </w:r>
    </w:p>
    <w:p>
      <w:pPr>
        <w:pStyle w:val="BodyText"/>
        <w:spacing w:line="256" w:lineRule="auto"/>
        <w:ind w:left="2990" w:right="844"/>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2990" w:right="844"/>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2"/>
        <w:ind w:left="0"/>
        <w:rPr>
          <w:sz w:val="24"/>
        </w:rPr>
      </w:pPr>
    </w:p>
    <w:p>
      <w:pPr>
        <w:pStyle w:val="ListParagraph"/>
        <w:numPr>
          <w:ilvl w:val="0"/>
          <w:numId w:val="5"/>
        </w:numPr>
        <w:tabs>
          <w:tab w:pos="382" w:val="left" w:leader="none"/>
        </w:tabs>
        <w:spacing w:line="240" w:lineRule="auto" w:before="0" w:after="0"/>
        <w:ind w:left="381" w:right="0" w:hanging="276"/>
        <w:jc w:val="left"/>
        <w:rPr>
          <w:sz w:val="21"/>
        </w:rPr>
      </w:pPr>
      <w:r>
        <w:rPr>
          <w:sz w:val="21"/>
        </w:rPr>
        <w:t>冠状动脉粥样硬化性心脏：为治疗严重冠心病，首次实际接受了经皮冠状动脉成形术或其他非</w:t>
      </w:r>
    </w:p>
    <w:p>
      <w:pPr>
        <w:spacing w:after="0" w:line="240" w:lineRule="auto"/>
        <w:jc w:val="left"/>
        <w:rPr>
          <w:sz w:val="21"/>
        </w:rPr>
        <w:sectPr>
          <w:pgSz w:w="11910" w:h="16840"/>
          <w:pgMar w:header="0" w:footer="1673" w:top="1360" w:bottom="1920" w:left="1080" w:right="800"/>
        </w:sectPr>
      </w:pPr>
    </w:p>
    <w:p>
      <w:pPr>
        <w:pStyle w:val="BodyText"/>
        <w:ind w:left="105"/>
      </w:pPr>
      <w:r>
        <w:rPr/>
        <w:t>病的介入性治疗</w:t>
      </w:r>
    </w:p>
    <w:p>
      <w:pPr>
        <w:pStyle w:val="BodyText"/>
        <w:spacing w:line="273" w:lineRule="auto"/>
        <w:ind w:left="105" w:right="699"/>
      </w:pPr>
      <w:r>
        <w:rPr/>
        <w:br w:type="column"/>
      </w:r>
      <w:r>
        <w:rPr/>
        <w:t>开胸的介入、腔镜手术纠正一支或以上显著的冠状动脉狭窄的情况， 将按约定给付早期治疗保险金。</w:t>
      </w:r>
    </w:p>
    <w:p>
      <w:pPr>
        <w:spacing w:after="0" w:line="273" w:lineRule="auto"/>
        <w:sectPr>
          <w:type w:val="continuous"/>
          <w:pgSz w:w="11910" w:h="16840"/>
          <w:pgMar w:top="520" w:bottom="280" w:left="1080" w:right="800"/>
          <w:cols w:num="2" w:equalWidth="0">
            <w:col w:w="1576" w:space="1309"/>
            <w:col w:w="7145"/>
          </w:cols>
        </w:sectPr>
      </w:pPr>
    </w:p>
    <w:p>
      <w:pPr>
        <w:pStyle w:val="BodyText"/>
        <w:spacing w:before="3"/>
        <w:ind w:left="0"/>
      </w:pPr>
    </w:p>
    <w:p>
      <w:pPr>
        <w:pStyle w:val="ListParagraph"/>
        <w:numPr>
          <w:ilvl w:val="0"/>
          <w:numId w:val="5"/>
        </w:numPr>
        <w:tabs>
          <w:tab w:pos="370" w:val="left" w:leader="none"/>
          <w:tab w:pos="2811" w:val="left" w:leader="none"/>
        </w:tabs>
        <w:spacing w:line="240" w:lineRule="auto" w:before="42" w:after="0"/>
        <w:ind w:left="369" w:right="0" w:hanging="264"/>
        <w:jc w:val="left"/>
        <w:rPr>
          <w:sz w:val="21"/>
        </w:rPr>
      </w:pPr>
      <w:r>
        <w:rPr>
          <w:sz w:val="21"/>
        </w:rPr>
        <w:t>轻度脑中风后遗症</w:t>
        <w:tab/>
      </w:r>
      <w:r>
        <w:rPr>
          <w:spacing w:val="-32"/>
          <w:sz w:val="21"/>
        </w:rPr>
        <w:t>：</w:t>
      </w:r>
      <w:r>
        <w:rPr>
          <w:sz w:val="21"/>
        </w:rPr>
        <w:t>因脑血管的突发病变引起脑血管出血、栓塞或梗塞，并导致永</w:t>
      </w:r>
      <w:r>
        <w:rPr>
          <w:spacing w:val="2"/>
          <w:sz w:val="21"/>
        </w:rPr>
        <w:t>久</w:t>
      </w:r>
      <w:r>
        <w:rPr>
          <w:sz w:val="21"/>
        </w:rPr>
        <w:t>不</w:t>
      </w:r>
    </w:p>
    <w:p>
      <w:pPr>
        <w:pStyle w:val="BodyText"/>
        <w:spacing w:line="264" w:lineRule="auto"/>
        <w:ind w:left="2990" w:right="844"/>
        <w:jc w:val="both"/>
      </w:pPr>
      <w:r>
        <w:rPr/>
        <w:t>可逆性神经系统功能损害的症状体征，即疾病确诊 </w:t>
      </w:r>
      <w:r>
        <w:rPr>
          <w:rFonts w:ascii="Times New Roman" w:eastAsia="Times New Roman"/>
        </w:rPr>
        <w:t>180 </w:t>
      </w:r>
      <w:r>
        <w:rPr/>
        <w:t>天后，无法独立完成六项基本日常生活活动中的一项或一项以上时，将按约定给付早期治疗保险金。</w:t>
      </w:r>
    </w:p>
    <w:p>
      <w:pPr>
        <w:pStyle w:val="BodyText"/>
        <w:spacing w:before="0"/>
        <w:ind w:left="0"/>
        <w:rPr>
          <w:sz w:val="25"/>
        </w:rPr>
      </w:pPr>
    </w:p>
    <w:p>
      <w:pPr>
        <w:pStyle w:val="ListParagraph"/>
        <w:numPr>
          <w:ilvl w:val="0"/>
          <w:numId w:val="5"/>
        </w:numPr>
        <w:tabs>
          <w:tab w:pos="370" w:val="left" w:leader="none"/>
          <w:tab w:pos="2811" w:val="left" w:leader="none"/>
        </w:tabs>
        <w:spacing w:line="240" w:lineRule="auto" w:before="1" w:after="0"/>
        <w:ind w:left="369" w:right="0" w:hanging="264"/>
        <w:jc w:val="left"/>
        <w:rPr>
          <w:sz w:val="21"/>
        </w:rPr>
      </w:pPr>
      <w:r>
        <w:rPr>
          <w:sz w:val="21"/>
        </w:rPr>
        <w:t>心脏瓣膜微创手术</w:t>
        <w:tab/>
      </w:r>
      <w:r>
        <w:rPr>
          <w:spacing w:val="-32"/>
          <w:sz w:val="21"/>
        </w:rPr>
        <w:t>：</w:t>
      </w:r>
      <w:r>
        <w:rPr>
          <w:sz w:val="21"/>
        </w:rPr>
        <w:t>为治疗心脏瓣膜疾病，首次实际接受了经非胸廓切开的经胸壁</w:t>
      </w:r>
      <w:r>
        <w:rPr>
          <w:spacing w:val="2"/>
          <w:sz w:val="21"/>
        </w:rPr>
        <w:t>打</w:t>
      </w:r>
      <w:r>
        <w:rPr>
          <w:sz w:val="21"/>
        </w:rPr>
        <w:t>孔</w:t>
      </w:r>
    </w:p>
    <w:p>
      <w:pPr>
        <w:pStyle w:val="BodyText"/>
        <w:spacing w:line="273" w:lineRule="auto"/>
        <w:ind w:left="2990" w:right="847"/>
        <w:jc w:val="both"/>
      </w:pPr>
      <w:r>
        <w:rPr/>
        <w:t>内镜手术或经皮血管穿刺导管介入手术来进行心脏瓣膜置换或修复，将按约定给付早期治疗保险金。</w:t>
      </w:r>
    </w:p>
    <w:p>
      <w:pPr>
        <w:pStyle w:val="BodyText"/>
        <w:spacing w:before="5"/>
        <w:ind w:left="0"/>
        <w:rPr>
          <w:sz w:val="24"/>
        </w:rPr>
      </w:pPr>
    </w:p>
    <w:p>
      <w:pPr>
        <w:pStyle w:val="ListParagraph"/>
        <w:numPr>
          <w:ilvl w:val="0"/>
          <w:numId w:val="5"/>
        </w:numPr>
        <w:tabs>
          <w:tab w:pos="370" w:val="left" w:leader="none"/>
          <w:tab w:pos="2811" w:val="left" w:leader="none"/>
        </w:tabs>
        <w:spacing w:line="240" w:lineRule="auto" w:before="0" w:after="0"/>
        <w:ind w:left="369" w:right="0" w:hanging="264"/>
        <w:jc w:val="left"/>
        <w:rPr>
          <w:sz w:val="21"/>
        </w:rPr>
      </w:pPr>
      <w:r>
        <w:rPr>
          <w:sz w:val="21"/>
        </w:rPr>
        <w:t>脑垂体</w:t>
      </w:r>
      <w:r>
        <w:rPr>
          <w:spacing w:val="-2"/>
          <w:sz w:val="21"/>
        </w:rPr>
        <w:t>肿</w:t>
      </w:r>
      <w:r>
        <w:rPr>
          <w:sz w:val="21"/>
        </w:rPr>
        <w:t>瘤</w:t>
        <w:tab/>
      </w:r>
      <w:r>
        <w:rPr>
          <w:spacing w:val="-32"/>
          <w:sz w:val="21"/>
        </w:rPr>
        <w:t>：</w:t>
      </w:r>
      <w:r>
        <w:rPr>
          <w:sz w:val="21"/>
        </w:rPr>
        <w:t>对于脑的良性肿瘤，由头颅断层扫描（</w:t>
      </w:r>
      <w:r>
        <w:rPr>
          <w:rFonts w:ascii="Times New Roman" w:eastAsia="Times New Roman"/>
          <w:sz w:val="21"/>
        </w:rPr>
        <w:t>CT</w:t>
      </w:r>
      <w:r>
        <w:rPr>
          <w:spacing w:val="-105"/>
          <w:sz w:val="21"/>
        </w:rPr>
        <w:t>）</w:t>
      </w:r>
      <w:r>
        <w:rPr>
          <w:sz w:val="21"/>
        </w:rPr>
        <w:t>、</w:t>
      </w:r>
      <w:r>
        <w:rPr>
          <w:spacing w:val="-2"/>
          <w:sz w:val="21"/>
        </w:rPr>
        <w:t>核</w:t>
      </w:r>
      <w:r>
        <w:rPr>
          <w:sz w:val="21"/>
        </w:rPr>
        <w:t>磁共振检查（</w:t>
      </w:r>
      <w:r>
        <w:rPr>
          <w:rFonts w:ascii="Times New Roman" w:eastAsia="Times New Roman"/>
          <w:sz w:val="21"/>
        </w:rPr>
        <w:t>MR</w:t>
      </w:r>
      <w:r>
        <w:rPr>
          <w:rFonts w:ascii="Times New Roman" w:eastAsia="Times New Roman"/>
          <w:spacing w:val="-1"/>
          <w:sz w:val="21"/>
        </w:rPr>
        <w:t>I</w:t>
      </w:r>
      <w:r>
        <w:rPr>
          <w:sz w:val="21"/>
        </w:rPr>
        <w:t>）</w:t>
      </w:r>
    </w:p>
    <w:p>
      <w:pPr>
        <w:pStyle w:val="BodyText"/>
        <w:spacing w:line="264" w:lineRule="auto"/>
        <w:ind w:left="2990" w:right="845"/>
        <w:jc w:val="both"/>
      </w:pPr>
      <w:r>
        <w:rPr>
          <w:spacing w:val="-4"/>
        </w:rPr>
        <w:t>或正电子发射断层扫描</w:t>
      </w:r>
      <w:r>
        <w:rPr>
          <w:spacing w:val="-8"/>
        </w:rPr>
        <w:t>（</w:t>
      </w:r>
      <w:r>
        <w:rPr>
          <w:rFonts w:ascii="Times New Roman" w:eastAsia="Times New Roman"/>
          <w:spacing w:val="-8"/>
        </w:rPr>
        <w:t>PET</w:t>
      </w:r>
      <w:r>
        <w:rPr>
          <w:spacing w:val="-8"/>
        </w:rPr>
        <w:t>）</w:t>
      </w:r>
      <w:r>
        <w:rPr/>
        <w:t>等影像学检查证实且被临床诊断为脑垂体肿瘤，并接受了下列至少一项治疗，将按约定给付早期治疗保险金：</w:t>
      </w:r>
    </w:p>
    <w:p>
      <w:pPr>
        <w:pStyle w:val="BodyText"/>
        <w:spacing w:before="16"/>
        <w:ind w:left="2990"/>
        <w:jc w:val="both"/>
      </w:pPr>
      <w:r>
        <w:rPr/>
        <w:t>（</w:t>
      </w:r>
      <w:r>
        <w:rPr>
          <w:rFonts w:ascii="Times New Roman" w:eastAsia="Times New Roman"/>
        </w:rPr>
        <w:t>1</w:t>
      </w:r>
      <w:r>
        <w:rPr/>
        <w:t>）实际实施了开颅进行的脑垂体肿瘤完全切除或部分切除手术；</w:t>
      </w:r>
    </w:p>
    <w:p>
      <w:pPr>
        <w:pStyle w:val="BodyText"/>
        <w:ind w:left="2990"/>
        <w:jc w:val="both"/>
      </w:pPr>
      <w:r>
        <w:rPr/>
        <w:t>（</w:t>
      </w:r>
      <w:r>
        <w:rPr>
          <w:rFonts w:ascii="Times New Roman" w:eastAsia="Times New Roman"/>
        </w:rPr>
        <w:t>2</w:t>
      </w:r>
      <w:r>
        <w:rPr/>
        <w:t>）实际实施了对脑垂体肿瘤进行的放射治疗。</w:t>
      </w:r>
    </w:p>
    <w:p>
      <w:pPr>
        <w:pStyle w:val="BodyText"/>
        <w:spacing w:before="11"/>
        <w:ind w:left="0"/>
        <w:rPr>
          <w:sz w:val="23"/>
        </w:rPr>
      </w:pPr>
    </w:p>
    <w:p>
      <w:pPr>
        <w:pStyle w:val="Heading1"/>
        <w:spacing w:before="1"/>
        <w:ind w:left="0" w:right="117" w:firstLine="0"/>
        <w:jc w:val="right"/>
      </w:pPr>
      <w:r>
        <w:rPr>
          <w:w w:val="95"/>
        </w:rPr>
        <w:t>〈本页内容结束〉</w:t>
      </w:r>
    </w:p>
    <w:sectPr>
      <w:type w:val="continuous"/>
      <w:pgSz w:w="11910" w:h="16840"/>
      <w:pgMar w:top="520" w:bottom="280" w:left="10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9"/>
      </w:rPr>
    </w:pPr>
    <w:r>
      <w:rPr/>
      <w:pict>
        <v:shapetype id="_x0000_t202" o:spt="202" coordsize="21600,21600" path="m,l,21600r21600,l21600,xe">
          <v:stroke joinstyle="miter"/>
          <v:path gradientshapeok="t" o:connecttype="rect"/>
        </v:shapetype>
        <v:shape style="position:absolute;margin-left:262.279999pt;margin-top:744.999695pt;width:78.5pt;height:12pt;mso-position-horizontal-relative:page;mso-position-vertical-relative:page;z-index:-1427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89" w:hanging="264"/>
        <w:jc w:val="right"/>
      </w:pPr>
      <w:rPr>
        <w:rFonts w:hint="default" w:ascii="Times New Roman" w:hAnsi="Times New Roman" w:eastAsia="Times New Roman" w:cs="Times New Roman"/>
        <w:spacing w:val="-32"/>
        <w:w w:val="100"/>
        <w:sz w:val="21"/>
        <w:szCs w:val="21"/>
      </w:rPr>
    </w:lvl>
    <w:lvl w:ilvl="1">
      <w:start w:val="0"/>
      <w:numFmt w:val="bullet"/>
      <w:lvlText w:val="•"/>
      <w:lvlJc w:val="left"/>
      <w:pPr>
        <w:ind w:left="3640" w:hanging="264"/>
      </w:pPr>
      <w:rPr>
        <w:rFonts w:hint="default"/>
      </w:rPr>
    </w:lvl>
    <w:lvl w:ilvl="2">
      <w:start w:val="0"/>
      <w:numFmt w:val="bullet"/>
      <w:lvlText w:val="•"/>
      <w:lvlJc w:val="left"/>
      <w:pPr>
        <w:ind w:left="4291" w:hanging="264"/>
      </w:pPr>
      <w:rPr>
        <w:rFonts w:hint="default"/>
      </w:rPr>
    </w:lvl>
    <w:lvl w:ilvl="3">
      <w:start w:val="0"/>
      <w:numFmt w:val="bullet"/>
      <w:lvlText w:val="•"/>
      <w:lvlJc w:val="left"/>
      <w:pPr>
        <w:ind w:left="4943" w:hanging="264"/>
      </w:pPr>
      <w:rPr>
        <w:rFonts w:hint="default"/>
      </w:rPr>
    </w:lvl>
    <w:lvl w:ilvl="4">
      <w:start w:val="0"/>
      <w:numFmt w:val="bullet"/>
      <w:lvlText w:val="•"/>
      <w:lvlJc w:val="left"/>
      <w:pPr>
        <w:ind w:left="5594" w:hanging="264"/>
      </w:pPr>
      <w:rPr>
        <w:rFonts w:hint="default"/>
      </w:rPr>
    </w:lvl>
    <w:lvl w:ilvl="5">
      <w:start w:val="0"/>
      <w:numFmt w:val="bullet"/>
      <w:lvlText w:val="•"/>
      <w:lvlJc w:val="left"/>
      <w:pPr>
        <w:ind w:left="6246" w:hanging="264"/>
      </w:pPr>
      <w:rPr>
        <w:rFonts w:hint="default"/>
      </w:rPr>
    </w:lvl>
    <w:lvl w:ilvl="6">
      <w:start w:val="0"/>
      <w:numFmt w:val="bullet"/>
      <w:lvlText w:val="•"/>
      <w:lvlJc w:val="left"/>
      <w:pPr>
        <w:ind w:left="6898" w:hanging="264"/>
      </w:pPr>
      <w:rPr>
        <w:rFonts w:hint="default"/>
      </w:rPr>
    </w:lvl>
    <w:lvl w:ilvl="7">
      <w:start w:val="0"/>
      <w:numFmt w:val="bullet"/>
      <w:lvlText w:val="•"/>
      <w:lvlJc w:val="left"/>
      <w:pPr>
        <w:ind w:left="7549" w:hanging="264"/>
      </w:pPr>
      <w:rPr>
        <w:rFonts w:hint="default"/>
      </w:rPr>
    </w:lvl>
    <w:lvl w:ilvl="8">
      <w:start w:val="0"/>
      <w:numFmt w:val="bullet"/>
      <w:lvlText w:val="•"/>
      <w:lvlJc w:val="left"/>
      <w:pPr>
        <w:ind w:left="8201" w:hanging="264"/>
      </w:pPr>
      <w:rPr>
        <w:rFonts w:hint="default"/>
      </w:rPr>
    </w:lvl>
  </w:abstractNum>
  <w:abstractNum w:abstractNumId="3">
    <w:multiLevelType w:val="hybridMultilevel"/>
    <w:lvl w:ilvl="0">
      <w:start w:val="1"/>
      <w:numFmt w:val="decimal"/>
      <w:lvlText w:val="(%1)"/>
      <w:lvlJc w:val="left"/>
      <w:pPr>
        <w:ind w:left="537" w:hanging="420"/>
        <w:jc w:val="left"/>
      </w:pPr>
      <w:rPr>
        <w:rFonts w:hint="default" w:ascii="宋体" w:hAnsi="宋体" w:eastAsia="宋体" w:cs="宋体"/>
        <w:spacing w:val="-53"/>
        <w:w w:val="100"/>
        <w:sz w:val="21"/>
        <w:szCs w:val="21"/>
      </w:rPr>
    </w:lvl>
    <w:lvl w:ilvl="1">
      <w:start w:val="0"/>
      <w:numFmt w:val="bullet"/>
      <w:lvlText w:val="•"/>
      <w:lvlJc w:val="left"/>
      <w:pPr>
        <w:ind w:left="1147" w:hanging="420"/>
      </w:pPr>
      <w:rPr>
        <w:rFonts w:hint="default"/>
      </w:rPr>
    </w:lvl>
    <w:lvl w:ilvl="2">
      <w:start w:val="0"/>
      <w:numFmt w:val="bullet"/>
      <w:lvlText w:val="•"/>
      <w:lvlJc w:val="left"/>
      <w:pPr>
        <w:ind w:left="1755"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2971" w:hanging="420"/>
      </w:pPr>
      <w:rPr>
        <w:rFonts w:hint="default"/>
      </w:rPr>
    </w:lvl>
    <w:lvl w:ilvl="5">
      <w:start w:val="0"/>
      <w:numFmt w:val="bullet"/>
      <w:lvlText w:val="•"/>
      <w:lvlJc w:val="left"/>
      <w:pPr>
        <w:ind w:left="3579" w:hanging="420"/>
      </w:pPr>
      <w:rPr>
        <w:rFonts w:hint="default"/>
      </w:rPr>
    </w:lvl>
    <w:lvl w:ilvl="6">
      <w:start w:val="0"/>
      <w:numFmt w:val="bullet"/>
      <w:lvlText w:val="•"/>
      <w:lvlJc w:val="left"/>
      <w:pPr>
        <w:ind w:left="4187" w:hanging="420"/>
      </w:pPr>
      <w:rPr>
        <w:rFonts w:hint="default"/>
      </w:rPr>
    </w:lvl>
    <w:lvl w:ilvl="7">
      <w:start w:val="0"/>
      <w:numFmt w:val="bullet"/>
      <w:lvlText w:val="•"/>
      <w:lvlJc w:val="left"/>
      <w:pPr>
        <w:ind w:left="4795" w:hanging="420"/>
      </w:pPr>
      <w:rPr>
        <w:rFonts w:hint="default"/>
      </w:rPr>
    </w:lvl>
    <w:lvl w:ilvl="8">
      <w:start w:val="0"/>
      <w:numFmt w:val="bullet"/>
      <w:lvlText w:val="•"/>
      <w:lvlJc w:val="left"/>
      <w:pPr>
        <w:ind w:left="5403" w:hanging="420"/>
      </w:pPr>
      <w:rPr>
        <w:rFonts w:hint="default"/>
      </w:rPr>
    </w:lvl>
  </w:abstractNum>
  <w:abstractNum w:abstractNumId="2">
    <w:multiLevelType w:val="hybridMultilevel"/>
    <w:lvl w:ilvl="0">
      <w:start w:val="1"/>
      <w:numFmt w:val="decimal"/>
      <w:lvlText w:val="%1."/>
      <w:lvlJc w:val="left"/>
      <w:pPr>
        <w:ind w:left="3002" w:hanging="264"/>
        <w:jc w:val="left"/>
      </w:pPr>
      <w:rPr>
        <w:rFonts w:hint="default" w:ascii="Times New Roman" w:hAnsi="Times New Roman" w:eastAsia="Times New Roman" w:cs="Times New Roman"/>
        <w:spacing w:val="-32"/>
        <w:w w:val="100"/>
        <w:sz w:val="21"/>
        <w:szCs w:val="21"/>
      </w:rPr>
    </w:lvl>
    <w:lvl w:ilvl="1">
      <w:start w:val="1"/>
      <w:numFmt w:val="decimal"/>
      <w:lvlText w:val="(%2)"/>
      <w:lvlJc w:val="left"/>
      <w:pPr>
        <w:ind w:left="3422" w:hanging="420"/>
        <w:jc w:val="left"/>
      </w:pPr>
      <w:rPr>
        <w:rFonts w:hint="default"/>
        <w:spacing w:val="-1"/>
        <w:w w:val="100"/>
      </w:rPr>
    </w:lvl>
    <w:lvl w:ilvl="2">
      <w:start w:val="0"/>
      <w:numFmt w:val="bullet"/>
      <w:lvlText w:val="•"/>
      <w:lvlJc w:val="left"/>
      <w:pPr>
        <w:ind w:left="3460" w:hanging="420"/>
      </w:pPr>
      <w:rPr>
        <w:rFonts w:hint="default"/>
      </w:rPr>
    </w:lvl>
    <w:lvl w:ilvl="3">
      <w:start w:val="0"/>
      <w:numFmt w:val="bullet"/>
      <w:lvlText w:val="•"/>
      <w:lvlJc w:val="left"/>
      <w:pPr>
        <w:ind w:left="3520" w:hanging="420"/>
      </w:pPr>
      <w:rPr>
        <w:rFonts w:hint="default"/>
      </w:rPr>
    </w:lvl>
    <w:lvl w:ilvl="4">
      <w:start w:val="0"/>
      <w:numFmt w:val="bullet"/>
      <w:lvlText w:val="•"/>
      <w:lvlJc w:val="left"/>
      <w:pPr>
        <w:ind w:left="4363" w:hanging="420"/>
      </w:pPr>
      <w:rPr>
        <w:rFonts w:hint="default"/>
      </w:rPr>
    </w:lvl>
    <w:lvl w:ilvl="5">
      <w:start w:val="0"/>
      <w:numFmt w:val="bullet"/>
      <w:lvlText w:val="•"/>
      <w:lvlJc w:val="left"/>
      <w:pPr>
        <w:ind w:left="5206" w:hanging="420"/>
      </w:pPr>
      <w:rPr>
        <w:rFonts w:hint="default"/>
      </w:rPr>
    </w:lvl>
    <w:lvl w:ilvl="6">
      <w:start w:val="0"/>
      <w:numFmt w:val="bullet"/>
      <w:lvlText w:val="•"/>
      <w:lvlJc w:val="left"/>
      <w:pPr>
        <w:ind w:left="6050" w:hanging="420"/>
      </w:pPr>
      <w:rPr>
        <w:rFonts w:hint="default"/>
      </w:rPr>
    </w:lvl>
    <w:lvl w:ilvl="7">
      <w:start w:val="0"/>
      <w:numFmt w:val="bullet"/>
      <w:lvlText w:val="•"/>
      <w:lvlJc w:val="left"/>
      <w:pPr>
        <w:ind w:left="6893" w:hanging="420"/>
      </w:pPr>
      <w:rPr>
        <w:rFonts w:hint="default"/>
      </w:rPr>
    </w:lvl>
    <w:lvl w:ilvl="8">
      <w:start w:val="0"/>
      <w:numFmt w:val="bullet"/>
      <w:lvlText w:val="•"/>
      <w:lvlJc w:val="left"/>
      <w:pPr>
        <w:ind w:left="7737" w:hanging="420"/>
      </w:pPr>
      <w:rPr>
        <w:rFonts w:hint="default"/>
      </w:rPr>
    </w:lvl>
  </w:abstractNum>
  <w:abstractNum w:abstractNumId="1">
    <w:multiLevelType w:val="hybridMultilevel"/>
    <w:lvl w:ilvl="0">
      <w:start w:val="1"/>
      <w:numFmt w:val="decimal"/>
      <w:lvlText w:val="%1."/>
      <w:lvlJc w:val="left"/>
      <w:pPr>
        <w:ind w:left="487"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1"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664" w:hanging="474"/>
      </w:pPr>
      <w:rPr>
        <w:rFonts w:hint="default"/>
      </w:rPr>
    </w:lvl>
    <w:lvl w:ilvl="3">
      <w:start w:val="0"/>
      <w:numFmt w:val="bullet"/>
      <w:lvlText w:val="•"/>
      <w:lvlJc w:val="left"/>
      <w:pPr>
        <w:ind w:left="2729" w:hanging="474"/>
      </w:pPr>
      <w:rPr>
        <w:rFonts w:hint="default"/>
      </w:rPr>
    </w:lvl>
    <w:lvl w:ilvl="4">
      <w:start w:val="0"/>
      <w:numFmt w:val="bullet"/>
      <w:lvlText w:val="•"/>
      <w:lvlJc w:val="left"/>
      <w:pPr>
        <w:ind w:left="3794" w:hanging="474"/>
      </w:pPr>
      <w:rPr>
        <w:rFonts w:hint="default"/>
      </w:rPr>
    </w:lvl>
    <w:lvl w:ilvl="5">
      <w:start w:val="0"/>
      <w:numFmt w:val="bullet"/>
      <w:lvlText w:val="•"/>
      <w:lvlJc w:val="left"/>
      <w:pPr>
        <w:ind w:left="4859" w:hanging="474"/>
      </w:pPr>
      <w:rPr>
        <w:rFonts w:hint="default"/>
      </w:rPr>
    </w:lvl>
    <w:lvl w:ilvl="6">
      <w:start w:val="0"/>
      <w:numFmt w:val="bullet"/>
      <w:lvlText w:val="•"/>
      <w:lvlJc w:val="left"/>
      <w:pPr>
        <w:ind w:left="5924" w:hanging="474"/>
      </w:pPr>
      <w:rPr>
        <w:rFonts w:hint="default"/>
      </w:rPr>
    </w:lvl>
    <w:lvl w:ilvl="7">
      <w:start w:val="0"/>
      <w:numFmt w:val="bullet"/>
      <w:lvlText w:val="•"/>
      <w:lvlJc w:val="left"/>
      <w:pPr>
        <w:ind w:left="6989" w:hanging="474"/>
      </w:pPr>
      <w:rPr>
        <w:rFonts w:hint="default"/>
      </w:rPr>
    </w:lvl>
    <w:lvl w:ilvl="8">
      <w:start w:val="0"/>
      <w:numFmt w:val="bullet"/>
      <w:lvlText w:val="•"/>
      <w:lvlJc w:val="left"/>
      <w:pPr>
        <w:ind w:left="8054" w:hanging="474"/>
      </w:pPr>
      <w:rPr>
        <w:rFonts w:hint="default"/>
      </w:rPr>
    </w:lvl>
  </w:abstractNum>
  <w:abstractNum w:abstractNumId="0">
    <w:multiLevelType w:val="hybridMultilevel"/>
    <w:lvl w:ilvl="0">
      <w:start w:val="1"/>
      <w:numFmt w:val="decimal"/>
      <w:lvlText w:val="%1."/>
      <w:lvlJc w:val="left"/>
      <w:pPr>
        <w:ind w:left="434" w:hanging="317"/>
        <w:jc w:val="left"/>
      </w:pPr>
      <w:rPr>
        <w:rFonts w:hint="default" w:ascii="Times New Roman" w:hAnsi="Times New Roman" w:eastAsia="Times New Roman" w:cs="Times New Roman"/>
        <w:b/>
        <w:bCs/>
        <w:w w:val="99"/>
        <w:sz w:val="18"/>
        <w:szCs w:val="18"/>
      </w:rPr>
    </w:lvl>
    <w:lvl w:ilvl="1">
      <w:start w:val="1"/>
      <w:numFmt w:val="decimal"/>
      <w:lvlText w:val="%1.%2"/>
      <w:lvlJc w:val="left"/>
      <w:pPr>
        <w:ind w:left="1011" w:hanging="474"/>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2040" w:hanging="474"/>
      </w:pPr>
      <w:rPr>
        <w:rFonts w:hint="default"/>
      </w:rPr>
    </w:lvl>
    <w:lvl w:ilvl="3">
      <w:start w:val="0"/>
      <w:numFmt w:val="bullet"/>
      <w:lvlText w:val="•"/>
      <w:lvlJc w:val="left"/>
      <w:pPr>
        <w:ind w:left="3060" w:hanging="474"/>
      </w:pPr>
      <w:rPr>
        <w:rFonts w:hint="default"/>
      </w:rPr>
    </w:lvl>
    <w:lvl w:ilvl="4">
      <w:start w:val="0"/>
      <w:numFmt w:val="bullet"/>
      <w:lvlText w:val="•"/>
      <w:lvlJc w:val="left"/>
      <w:pPr>
        <w:ind w:left="4081" w:hanging="474"/>
      </w:pPr>
      <w:rPr>
        <w:rFonts w:hint="default"/>
      </w:rPr>
    </w:lvl>
    <w:lvl w:ilvl="5">
      <w:start w:val="0"/>
      <w:numFmt w:val="bullet"/>
      <w:lvlText w:val="•"/>
      <w:lvlJc w:val="left"/>
      <w:pPr>
        <w:ind w:left="5101" w:hanging="474"/>
      </w:pPr>
      <w:rPr>
        <w:rFonts w:hint="default"/>
      </w:rPr>
    </w:lvl>
    <w:lvl w:ilvl="6">
      <w:start w:val="0"/>
      <w:numFmt w:val="bullet"/>
      <w:lvlText w:val="•"/>
      <w:lvlJc w:val="left"/>
      <w:pPr>
        <w:ind w:left="6122" w:hanging="474"/>
      </w:pPr>
      <w:rPr>
        <w:rFonts w:hint="default"/>
      </w:rPr>
    </w:lvl>
    <w:lvl w:ilvl="7">
      <w:start w:val="0"/>
      <w:numFmt w:val="bullet"/>
      <w:lvlText w:val="•"/>
      <w:lvlJc w:val="left"/>
      <w:pPr>
        <w:ind w:left="7142" w:hanging="474"/>
      </w:pPr>
      <w:rPr>
        <w:rFonts w:hint="default"/>
      </w:rPr>
    </w:lvl>
    <w:lvl w:ilvl="8">
      <w:start w:val="0"/>
      <w:numFmt w:val="bullet"/>
      <w:lvlText w:val="•"/>
      <w:lvlJc w:val="left"/>
      <w:pPr>
        <w:ind w:left="8163" w:hanging="47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65"/>
      <w:ind w:left="434" w:hanging="317"/>
    </w:pPr>
    <w:rPr>
      <w:rFonts w:ascii="宋体" w:hAnsi="宋体" w:eastAsia="宋体" w:cs="宋体"/>
      <w:b/>
      <w:bCs/>
      <w:sz w:val="18"/>
      <w:szCs w:val="18"/>
    </w:rPr>
  </w:style>
  <w:style w:styleId="TOC2" w:type="paragraph">
    <w:name w:val="TOC 2"/>
    <w:basedOn w:val="Normal"/>
    <w:uiPriority w:val="1"/>
    <w:qFormat/>
    <w:pPr>
      <w:spacing w:before="20"/>
      <w:ind w:left="1011" w:hanging="474"/>
    </w:pPr>
    <w:rPr>
      <w:rFonts w:ascii="宋体" w:hAnsi="宋体" w:eastAsia="宋体" w:cs="宋体"/>
      <w:sz w:val="21"/>
      <w:szCs w:val="21"/>
    </w:rPr>
  </w:style>
  <w:style w:styleId="BodyText" w:type="paragraph">
    <w:name w:val="Body Text"/>
    <w:basedOn w:val="Normal"/>
    <w:uiPriority w:val="1"/>
    <w:qFormat/>
    <w:pPr>
      <w:spacing w:before="21"/>
      <w:ind w:left="3002"/>
    </w:pPr>
    <w:rPr>
      <w:rFonts w:ascii="宋体" w:hAnsi="宋体" w:eastAsia="宋体" w:cs="宋体"/>
      <w:sz w:val="21"/>
      <w:szCs w:val="21"/>
    </w:rPr>
  </w:style>
  <w:style w:styleId="Heading1" w:type="paragraph">
    <w:name w:val="Heading 1"/>
    <w:basedOn w:val="Normal"/>
    <w:uiPriority w:val="1"/>
    <w:qFormat/>
    <w:pPr>
      <w:ind w:left="591" w:hanging="474"/>
      <w:outlineLvl w:val="1"/>
    </w:pPr>
    <w:rPr>
      <w:rFonts w:ascii="宋体" w:hAnsi="宋体" w:eastAsia="宋体" w:cs="宋体"/>
      <w:b/>
      <w:bCs/>
      <w:sz w:val="21"/>
      <w:szCs w:val="21"/>
    </w:rPr>
  </w:style>
  <w:style w:styleId="ListParagraph" w:type="paragraph">
    <w:name w:val="List Paragraph"/>
    <w:basedOn w:val="Normal"/>
    <w:uiPriority w:val="1"/>
    <w:qFormat/>
    <w:pPr>
      <w:ind w:left="486" w:hanging="47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&lt;4D6963726F736F667420576F7264202D20323031342D35352D3138D0D2B8A3B8BDBCD3B2C6B8BBC8CBC9FAD6D8B4F3BCB2B2A1B1A3CFD5CCF5BFEE2DB8FCB8C4BAF3&gt;</dc:title>
  <dcterms:created xsi:type="dcterms:W3CDTF">2018-10-19T22:07:03Z</dcterms:created>
  <dcterms:modified xsi:type="dcterms:W3CDTF">2018-10-19T22:07:03Z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