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2139"/>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1131"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5151120</wp:posOffset>
            </wp:positionH>
            <wp:positionV relativeFrom="paragraph">
              <wp:posOffset>-793424</wp:posOffset>
            </wp:positionV>
            <wp:extent cx="1771650" cy="11239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71650" cy="1123950"/>
                    </a:xfrm>
                    <a:prstGeom prst="rect">
                      <a:avLst/>
                    </a:prstGeom>
                  </pic:spPr>
                </pic:pic>
              </a:graphicData>
            </a:graphic>
          </wp:anchor>
        </w:drawing>
      </w:r>
      <w:r>
        <w:rPr>
          <w:rFonts w:ascii="微软雅黑" w:eastAsia="微软雅黑" w:hint="eastAsia"/>
          <w:b/>
          <w:sz w:val="32"/>
        </w:rPr>
        <w:t>百年附加祥瑞提前给付重大疾病保险条款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55pt" to="528.599998pt,17.201355pt" stroked="true" strokeweight=".75pt" strokecolor="#000000">
            <v:stroke dashstyle="solid"/>
            <w10:wrap type="topAndBottom"/>
          </v:line>
        </w:pict>
      </w:r>
      <w:r>
        <w:rPr/>
        <w:pict>
          <v:shape style="position:absolute;margin-left:231.5pt;margin-top:29.421356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本阅读指引有助于您理解条款，对本附加合同内容的解释以条款为准。</w:t>
      </w:r>
    </w:p>
    <w:p>
      <w:pPr>
        <w:tabs>
          <w:tab w:pos="973" w:val="left" w:leader="none"/>
        </w:tabs>
        <w:spacing w:before="37"/>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tabs>
          <w:tab w:pos="973" w:val="left" w:leader="none"/>
        </w:tabs>
        <w:spacing w:before="21"/>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我们对一些重要术语进行了解释，并作了显著标识，请您注意</w:t>
      </w:r>
    </w:p>
    <w:p>
      <w:pPr>
        <w:spacing w:before="21"/>
        <w:ind w:left="697" w:right="0" w:firstLine="0"/>
        <w:jc w:val="left"/>
        <w:rPr>
          <w:sz w:val="21"/>
        </w:rPr>
      </w:pPr>
      <w:r>
        <w:rPr>
          <w:b/>
          <w:sz w:val="21"/>
        </w:rPr>
        <w:t>条款是保险合同的重要内容，为充分保障您的权益，请您仔细阅读本条款</w:t>
      </w:r>
      <w:r>
        <w:rPr>
          <w:sz w:val="21"/>
        </w:rPr>
        <w:t>。</w:t>
      </w:r>
    </w:p>
    <w:p>
      <w:pPr>
        <w:spacing w:before="36" w:after="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4"/>
        <w:gridCol w:w="3367"/>
        <w:gridCol w:w="3183"/>
      </w:tblGrid>
      <w:tr>
        <w:trPr>
          <w:trHeight w:val="6340" w:hRule="atLeast"/>
        </w:trPr>
        <w:tc>
          <w:tcPr>
            <w:tcW w:w="3124" w:type="dxa"/>
          </w:tcPr>
          <w:p>
            <w:pPr>
              <w:pStyle w:val="TableParagraph"/>
              <w:spacing w:before="61"/>
              <w:ind w:left="152"/>
              <w:rPr>
                <w:b/>
                <w:sz w:val="21"/>
              </w:rPr>
            </w:pPr>
            <w:r>
              <w:rPr>
                <w:b/>
                <w:sz w:val="21"/>
              </w:rPr>
              <w:t>1． 您与我们订立的合同</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7" w:after="0"/>
              <w:ind w:left="918"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7" w:after="0"/>
              <w:ind w:left="918" w:right="0" w:hanging="406"/>
              <w:jc w:val="left"/>
              <w:rPr>
                <w:sz w:val="21"/>
              </w:rPr>
            </w:pPr>
            <w:r>
              <w:rPr>
                <w:sz w:val="21"/>
              </w:rPr>
              <w:t>犹豫期</w:t>
            </w:r>
          </w:p>
          <w:p>
            <w:pPr>
              <w:pStyle w:val="TableParagraph"/>
              <w:spacing w:before="37"/>
              <w:ind w:left="152"/>
              <w:rPr>
                <w:b/>
                <w:sz w:val="21"/>
              </w:rPr>
            </w:pPr>
            <w:r>
              <w:rPr>
                <w:b/>
                <w:sz w:val="21"/>
              </w:rPr>
              <w:t>2． 我们提供的保障</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基本保额</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保险期间</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保险责任</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责任免除</w:t>
            </w:r>
          </w:p>
          <w:p>
            <w:pPr>
              <w:pStyle w:val="TableParagraph"/>
              <w:numPr>
                <w:ilvl w:val="0"/>
                <w:numId w:val="4"/>
              </w:numPr>
              <w:tabs>
                <w:tab w:pos="470" w:val="left" w:leader="none"/>
              </w:tabs>
              <w:spacing w:line="240" w:lineRule="auto" w:before="37" w:after="0"/>
              <w:ind w:left="469" w:right="0" w:hanging="317"/>
              <w:jc w:val="left"/>
              <w:rPr>
                <w:b/>
                <w:sz w:val="21"/>
              </w:rPr>
            </w:pPr>
            <w:r>
              <w:rPr>
                <w:b/>
                <w:sz w:val="21"/>
              </w:rPr>
              <w:t>重大疾病</w:t>
            </w:r>
          </w:p>
          <w:p>
            <w:pPr>
              <w:pStyle w:val="TableParagraph"/>
              <w:numPr>
                <w:ilvl w:val="1"/>
                <w:numId w:val="4"/>
              </w:numPr>
              <w:tabs>
                <w:tab w:pos="935" w:val="left" w:leader="none"/>
              </w:tabs>
              <w:spacing w:line="240" w:lineRule="auto" w:before="37" w:after="0"/>
              <w:ind w:left="152" w:right="0" w:firstLine="360"/>
              <w:jc w:val="left"/>
              <w:rPr>
                <w:sz w:val="21"/>
              </w:rPr>
            </w:pPr>
            <w:r>
              <w:rPr>
                <w:spacing w:val="-3"/>
                <w:sz w:val="21"/>
              </w:rPr>
              <w:t>重大疾病范围</w:t>
            </w:r>
          </w:p>
          <w:p>
            <w:pPr>
              <w:pStyle w:val="TableParagraph"/>
              <w:numPr>
                <w:ilvl w:val="1"/>
                <w:numId w:val="4"/>
              </w:numPr>
              <w:tabs>
                <w:tab w:pos="935" w:val="left" w:leader="none"/>
              </w:tabs>
              <w:spacing w:line="273" w:lineRule="auto" w:before="37" w:after="0"/>
              <w:ind w:left="152" w:right="911"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5" w:val="left" w:leader="none"/>
              </w:tabs>
              <w:spacing w:line="240" w:lineRule="auto" w:before="8" w:after="0"/>
              <w:ind w:left="932" w:right="0" w:hanging="420"/>
              <w:jc w:val="left"/>
              <w:rPr>
                <w:sz w:val="21"/>
              </w:rPr>
            </w:pPr>
            <w:r>
              <w:rPr>
                <w:spacing w:val="-2"/>
                <w:sz w:val="21"/>
              </w:rPr>
              <w:t>受益人</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保险事故通知</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保险金申请</w:t>
            </w:r>
          </w:p>
          <w:p>
            <w:pPr>
              <w:pStyle w:val="TableParagraph"/>
              <w:numPr>
                <w:ilvl w:val="1"/>
                <w:numId w:val="5"/>
              </w:numPr>
              <w:tabs>
                <w:tab w:pos="935" w:val="left" w:leader="none"/>
              </w:tabs>
              <w:spacing w:line="273" w:lineRule="auto" w:before="37" w:after="0"/>
              <w:ind w:left="932" w:right="280" w:hanging="420"/>
              <w:jc w:val="left"/>
              <w:rPr>
                <w:sz w:val="21"/>
              </w:rPr>
            </w:pPr>
            <w:r>
              <w:rPr>
                <w:spacing w:val="-3"/>
                <w:sz w:val="21"/>
              </w:rPr>
              <w:t>委托他人代为申请保险金</w:t>
            </w:r>
          </w:p>
          <w:p>
            <w:pPr>
              <w:pStyle w:val="TableParagraph"/>
              <w:numPr>
                <w:ilvl w:val="1"/>
                <w:numId w:val="5"/>
              </w:numPr>
              <w:tabs>
                <w:tab w:pos="935" w:val="left" w:leader="none"/>
              </w:tabs>
              <w:spacing w:line="240" w:lineRule="auto" w:before="7" w:after="0"/>
              <w:ind w:left="932" w:right="0" w:hanging="420"/>
              <w:jc w:val="left"/>
              <w:rPr>
                <w:sz w:val="21"/>
              </w:rPr>
            </w:pPr>
            <w:r>
              <w:rPr>
                <w:spacing w:val="-3"/>
                <w:sz w:val="21"/>
              </w:rPr>
              <w:t>提供补充材料</w:t>
            </w:r>
          </w:p>
        </w:tc>
        <w:tc>
          <w:tcPr>
            <w:tcW w:w="3367" w:type="dxa"/>
          </w:tcPr>
          <w:p>
            <w:pPr>
              <w:pStyle w:val="TableParagraph"/>
              <w:numPr>
                <w:ilvl w:val="1"/>
                <w:numId w:val="6"/>
              </w:numPr>
              <w:tabs>
                <w:tab w:pos="937" w:val="left" w:leader="none"/>
              </w:tabs>
              <w:spacing w:line="240" w:lineRule="auto" w:before="61" w:after="0"/>
              <w:ind w:left="936" w:right="0" w:hanging="423"/>
              <w:jc w:val="left"/>
              <w:rPr>
                <w:sz w:val="21"/>
              </w:rPr>
            </w:pPr>
            <w:r>
              <w:rPr>
                <w:spacing w:val="-3"/>
                <w:sz w:val="21"/>
              </w:rPr>
              <w:t>保险金给付</w:t>
            </w:r>
          </w:p>
          <w:p>
            <w:pPr>
              <w:pStyle w:val="TableParagraph"/>
              <w:numPr>
                <w:ilvl w:val="1"/>
                <w:numId w:val="6"/>
              </w:numPr>
              <w:tabs>
                <w:tab w:pos="937" w:val="left" w:leader="none"/>
              </w:tabs>
              <w:spacing w:line="240" w:lineRule="auto" w:before="37" w:after="0"/>
              <w:ind w:left="936" w:right="0" w:hanging="423"/>
              <w:jc w:val="left"/>
              <w:rPr>
                <w:sz w:val="21"/>
              </w:rPr>
            </w:pPr>
            <w:r>
              <w:rPr>
                <w:spacing w:val="-3"/>
                <w:sz w:val="21"/>
              </w:rPr>
              <w:t>诉讼时效</w:t>
            </w:r>
          </w:p>
          <w:p>
            <w:pPr>
              <w:pStyle w:val="TableParagraph"/>
              <w:spacing w:before="37"/>
              <w:ind w:left="153"/>
              <w:rPr>
                <w:b/>
                <w:sz w:val="21"/>
              </w:rPr>
            </w:pPr>
            <w:r>
              <w:rPr>
                <w:b/>
                <w:sz w:val="21"/>
              </w:rPr>
              <w:t>5．保险费的交纳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2"/>
                <w:sz w:val="21"/>
              </w:rPr>
              <w:t>宽限期</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保险费率调整</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效力中止</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您解除合同的手续</w:t>
            </w:r>
          </w:p>
          <w:p>
            <w:pPr>
              <w:pStyle w:val="TableParagraph"/>
              <w:spacing w:before="37"/>
              <w:ind w:left="153"/>
              <w:rPr>
                <w:b/>
                <w:sz w:val="21"/>
              </w:rPr>
            </w:pPr>
            <w:r>
              <w:rPr>
                <w:b/>
                <w:sz w:val="21"/>
              </w:rPr>
              <w:t>8．如实告知</w:t>
            </w:r>
          </w:p>
          <w:p>
            <w:pPr>
              <w:pStyle w:val="TableParagraph"/>
              <w:numPr>
                <w:ilvl w:val="1"/>
                <w:numId w:val="9"/>
              </w:numPr>
              <w:tabs>
                <w:tab w:pos="937" w:val="left" w:leader="none"/>
              </w:tabs>
              <w:spacing w:line="240" w:lineRule="auto" w:before="37" w:after="0"/>
              <w:ind w:left="933" w:right="0" w:hanging="420"/>
              <w:jc w:val="left"/>
              <w:rPr>
                <w:sz w:val="21"/>
              </w:rPr>
            </w:pPr>
            <w:r>
              <w:rPr>
                <w:spacing w:val="-3"/>
                <w:sz w:val="21"/>
              </w:rPr>
              <w:t>如实告知</w:t>
            </w:r>
          </w:p>
          <w:p>
            <w:pPr>
              <w:pStyle w:val="TableParagraph"/>
              <w:numPr>
                <w:ilvl w:val="1"/>
                <w:numId w:val="9"/>
              </w:numPr>
              <w:tabs>
                <w:tab w:pos="937" w:val="left" w:leader="none"/>
              </w:tabs>
              <w:spacing w:line="273" w:lineRule="auto" w:before="38" w:after="0"/>
              <w:ind w:left="933" w:right="313"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6" w:right="0" w:hanging="423"/>
              <w:jc w:val="left"/>
              <w:rPr>
                <w:sz w:val="21"/>
              </w:rPr>
            </w:pPr>
            <w:r>
              <w:rPr>
                <w:spacing w:val="-3"/>
                <w:sz w:val="21"/>
              </w:rPr>
              <w:t>年龄性别错误</w:t>
            </w:r>
          </w:p>
          <w:p>
            <w:pPr>
              <w:pStyle w:val="TableParagraph"/>
              <w:numPr>
                <w:ilvl w:val="1"/>
                <w:numId w:val="10"/>
              </w:numPr>
              <w:tabs>
                <w:tab w:pos="937" w:val="left" w:leader="none"/>
              </w:tabs>
              <w:spacing w:line="240" w:lineRule="auto" w:before="37" w:after="0"/>
              <w:ind w:left="936" w:right="0" w:hanging="423"/>
              <w:jc w:val="left"/>
              <w:rPr>
                <w:sz w:val="21"/>
              </w:rPr>
            </w:pPr>
            <w:r>
              <w:rPr>
                <w:spacing w:val="-3"/>
                <w:sz w:val="21"/>
              </w:rPr>
              <w:t>合同效力终止</w:t>
            </w:r>
          </w:p>
          <w:p>
            <w:pPr>
              <w:pStyle w:val="TableParagraph"/>
              <w:numPr>
                <w:ilvl w:val="1"/>
                <w:numId w:val="10"/>
              </w:numPr>
              <w:tabs>
                <w:tab w:pos="937" w:val="left" w:leader="none"/>
              </w:tabs>
              <w:spacing w:line="240" w:lineRule="auto" w:before="37" w:after="0"/>
              <w:ind w:left="936" w:right="0" w:hanging="423"/>
              <w:jc w:val="left"/>
              <w:rPr>
                <w:sz w:val="21"/>
              </w:rPr>
            </w:pPr>
            <w:r>
              <w:rPr>
                <w:spacing w:val="-3"/>
                <w:sz w:val="21"/>
              </w:rPr>
              <w:t>与主合同不一致的解决</w:t>
            </w:r>
          </w:p>
          <w:p>
            <w:pPr>
              <w:pStyle w:val="TableParagraph"/>
              <w:spacing w:before="36"/>
              <w:ind w:left="153"/>
              <w:rPr>
                <w:b/>
                <w:sz w:val="21"/>
              </w:rPr>
            </w:pPr>
            <w:r>
              <w:rPr>
                <w:b/>
                <w:sz w:val="21"/>
              </w:rPr>
              <w:t>10. 释义</w:t>
            </w:r>
          </w:p>
        </w:tc>
        <w:tc>
          <w:tcPr>
            <w:tcW w:w="3183" w:type="dxa"/>
          </w:tcPr>
          <w:p>
            <w:pPr>
              <w:pStyle w:val="TableParagraph"/>
              <w:numPr>
                <w:ilvl w:val="1"/>
                <w:numId w:val="11"/>
              </w:numPr>
              <w:tabs>
                <w:tab w:pos="892" w:val="left" w:leader="none"/>
              </w:tabs>
              <w:spacing w:line="240" w:lineRule="auto" w:before="61" w:after="0"/>
              <w:ind w:left="929" w:right="0" w:hanging="564"/>
              <w:jc w:val="left"/>
              <w:rPr>
                <w:sz w:val="21"/>
              </w:rPr>
            </w:pPr>
            <w:r>
              <w:rPr>
                <w:spacing w:val="-3"/>
                <w:sz w:val="21"/>
              </w:rPr>
              <w:t>我们认可的医院</w:t>
            </w:r>
          </w:p>
          <w:p>
            <w:pPr>
              <w:pStyle w:val="TableParagraph"/>
              <w:numPr>
                <w:ilvl w:val="1"/>
                <w:numId w:val="11"/>
              </w:numPr>
              <w:tabs>
                <w:tab w:pos="892" w:val="left" w:leader="none"/>
              </w:tabs>
              <w:spacing w:line="240" w:lineRule="auto" w:before="37" w:after="0"/>
              <w:ind w:left="929" w:right="0" w:hanging="564"/>
              <w:jc w:val="left"/>
              <w:rPr>
                <w:sz w:val="21"/>
              </w:rPr>
            </w:pPr>
            <w:r>
              <w:rPr>
                <w:sz w:val="21"/>
              </w:rPr>
              <w:t>毒品</w:t>
            </w:r>
          </w:p>
          <w:p>
            <w:pPr>
              <w:pStyle w:val="TableParagraph"/>
              <w:numPr>
                <w:ilvl w:val="1"/>
                <w:numId w:val="11"/>
              </w:numPr>
              <w:tabs>
                <w:tab w:pos="892" w:val="left" w:leader="none"/>
              </w:tabs>
              <w:spacing w:line="240" w:lineRule="auto" w:before="37" w:after="0"/>
              <w:ind w:left="929" w:right="0" w:hanging="564"/>
              <w:jc w:val="left"/>
              <w:rPr>
                <w:sz w:val="21"/>
              </w:rPr>
            </w:pPr>
            <w:r>
              <w:rPr>
                <w:spacing w:val="-2"/>
                <w:sz w:val="21"/>
              </w:rPr>
              <w:t>管制药品</w:t>
            </w:r>
          </w:p>
          <w:p>
            <w:pPr>
              <w:pStyle w:val="TableParagraph"/>
              <w:numPr>
                <w:ilvl w:val="1"/>
                <w:numId w:val="11"/>
              </w:numPr>
              <w:tabs>
                <w:tab w:pos="892" w:val="left" w:leader="none"/>
              </w:tabs>
              <w:spacing w:line="240" w:lineRule="auto" w:before="37" w:after="0"/>
              <w:ind w:left="929" w:right="0" w:hanging="564"/>
              <w:jc w:val="left"/>
              <w:rPr>
                <w:sz w:val="21"/>
              </w:rPr>
            </w:pPr>
            <w:r>
              <w:rPr>
                <w:spacing w:val="-2"/>
                <w:sz w:val="21"/>
              </w:rPr>
              <w:t>酒后驾驶</w:t>
            </w:r>
          </w:p>
          <w:p>
            <w:pPr>
              <w:pStyle w:val="TableParagraph"/>
              <w:numPr>
                <w:ilvl w:val="1"/>
                <w:numId w:val="11"/>
              </w:numPr>
              <w:tabs>
                <w:tab w:pos="892" w:val="left" w:leader="none"/>
              </w:tabs>
              <w:spacing w:line="240" w:lineRule="auto" w:before="37" w:after="0"/>
              <w:ind w:left="929" w:right="0" w:hanging="564"/>
              <w:jc w:val="left"/>
              <w:rPr>
                <w:sz w:val="21"/>
              </w:rPr>
            </w:pPr>
            <w:r>
              <w:rPr>
                <w:spacing w:val="-3"/>
                <w:sz w:val="21"/>
              </w:rPr>
              <w:t>无合法有效驾驶证驾驶</w:t>
            </w:r>
          </w:p>
          <w:p>
            <w:pPr>
              <w:pStyle w:val="TableParagraph"/>
              <w:numPr>
                <w:ilvl w:val="1"/>
                <w:numId w:val="11"/>
              </w:numPr>
              <w:tabs>
                <w:tab w:pos="892" w:val="left" w:leader="none"/>
              </w:tabs>
              <w:spacing w:line="240" w:lineRule="auto" w:before="37" w:after="0"/>
              <w:ind w:left="929" w:right="0" w:hanging="564"/>
              <w:jc w:val="left"/>
              <w:rPr>
                <w:sz w:val="21"/>
              </w:rPr>
            </w:pPr>
            <w:r>
              <w:rPr>
                <w:spacing w:val="-3"/>
                <w:sz w:val="21"/>
              </w:rPr>
              <w:t>无有效行驶证</w:t>
            </w:r>
          </w:p>
          <w:p>
            <w:pPr>
              <w:pStyle w:val="TableParagraph"/>
              <w:numPr>
                <w:ilvl w:val="1"/>
                <w:numId w:val="11"/>
              </w:numPr>
              <w:tabs>
                <w:tab w:pos="892" w:val="left" w:leader="none"/>
              </w:tabs>
              <w:spacing w:line="240" w:lineRule="auto" w:before="37" w:after="0"/>
              <w:ind w:left="929" w:right="0" w:hanging="564"/>
              <w:jc w:val="left"/>
              <w:rPr>
                <w:sz w:val="21"/>
              </w:rPr>
            </w:pPr>
            <w:r>
              <w:rPr>
                <w:spacing w:val="-2"/>
                <w:sz w:val="21"/>
              </w:rPr>
              <w:t>机动车</w:t>
            </w:r>
          </w:p>
          <w:p>
            <w:pPr>
              <w:pStyle w:val="TableParagraph"/>
              <w:numPr>
                <w:ilvl w:val="1"/>
                <w:numId w:val="11"/>
              </w:numPr>
              <w:tabs>
                <w:tab w:pos="894" w:val="left" w:leader="none"/>
              </w:tabs>
              <w:spacing w:line="273" w:lineRule="auto" w:before="37" w:after="0"/>
              <w:ind w:left="929" w:right="131" w:hanging="566"/>
              <w:jc w:val="left"/>
              <w:rPr>
                <w:sz w:val="21"/>
              </w:rPr>
            </w:pPr>
            <w:r>
              <w:rPr>
                <w:sz w:val="21"/>
              </w:rPr>
              <w:t>感染艾滋病病毒或患艾滋病</w:t>
            </w:r>
          </w:p>
          <w:p>
            <w:pPr>
              <w:pStyle w:val="TableParagraph"/>
              <w:numPr>
                <w:ilvl w:val="1"/>
                <w:numId w:val="11"/>
              </w:numPr>
              <w:tabs>
                <w:tab w:pos="892" w:val="left" w:leader="none"/>
              </w:tabs>
              <w:spacing w:line="240" w:lineRule="auto" w:before="7" w:after="0"/>
              <w:ind w:left="929" w:right="0" w:hanging="564"/>
              <w:jc w:val="left"/>
              <w:rPr>
                <w:sz w:val="21"/>
              </w:rPr>
            </w:pPr>
            <w:r>
              <w:rPr>
                <w:spacing w:val="-3"/>
                <w:sz w:val="21"/>
              </w:rPr>
              <w:t>遗传性疾病</w:t>
            </w:r>
          </w:p>
          <w:p>
            <w:pPr>
              <w:pStyle w:val="TableParagraph"/>
              <w:numPr>
                <w:ilvl w:val="1"/>
                <w:numId w:val="11"/>
              </w:numPr>
              <w:tabs>
                <w:tab w:pos="1000" w:val="left" w:leader="none"/>
              </w:tabs>
              <w:spacing w:line="268" w:lineRule="auto" w:before="31" w:after="0"/>
              <w:ind w:left="994" w:right="131" w:hanging="629"/>
              <w:jc w:val="left"/>
              <w:rPr>
                <w:sz w:val="21"/>
              </w:rPr>
            </w:pPr>
            <w:r>
              <w:rPr>
                <w:spacing w:val="-12"/>
                <w:position w:val="1"/>
                <w:sz w:val="21"/>
              </w:rPr>
              <w:t>先天性畸形、变</w:t>
            </w:r>
            <w:r>
              <w:rPr>
                <w:sz w:val="21"/>
              </w:rPr>
              <w:t>形或染色体异常</w:t>
            </w:r>
          </w:p>
          <w:p>
            <w:pPr>
              <w:pStyle w:val="TableParagraph"/>
              <w:numPr>
                <w:ilvl w:val="1"/>
                <w:numId w:val="11"/>
              </w:numPr>
              <w:tabs>
                <w:tab w:pos="997" w:val="left" w:leader="none"/>
              </w:tabs>
              <w:spacing w:line="240" w:lineRule="auto" w:before="11" w:after="0"/>
              <w:ind w:left="996" w:right="0" w:hanging="631"/>
              <w:jc w:val="left"/>
              <w:rPr>
                <w:sz w:val="21"/>
              </w:rPr>
            </w:pPr>
            <w:r>
              <w:rPr>
                <w:spacing w:val="-2"/>
                <w:sz w:val="21"/>
              </w:rPr>
              <w:t>专科医生</w:t>
            </w:r>
          </w:p>
          <w:p>
            <w:pPr>
              <w:pStyle w:val="TableParagraph"/>
              <w:numPr>
                <w:ilvl w:val="1"/>
                <w:numId w:val="11"/>
              </w:numPr>
              <w:tabs>
                <w:tab w:pos="997" w:val="left" w:leader="none"/>
              </w:tabs>
              <w:spacing w:line="240" w:lineRule="auto" w:before="37" w:after="0"/>
              <w:ind w:left="996" w:right="0" w:hanging="631"/>
              <w:jc w:val="left"/>
              <w:rPr>
                <w:sz w:val="21"/>
              </w:rPr>
            </w:pPr>
            <w:r>
              <w:rPr>
                <w:spacing w:val="-3"/>
                <w:sz w:val="21"/>
              </w:rPr>
              <w:t>肢体机能完全丧失</w:t>
            </w:r>
          </w:p>
          <w:p>
            <w:pPr>
              <w:pStyle w:val="TableParagraph"/>
              <w:numPr>
                <w:ilvl w:val="1"/>
                <w:numId w:val="11"/>
              </w:numPr>
              <w:tabs>
                <w:tab w:pos="997" w:val="left" w:leader="none"/>
              </w:tabs>
              <w:spacing w:line="273" w:lineRule="auto" w:before="37" w:after="0"/>
              <w:ind w:left="994" w:right="277" w:hanging="629"/>
              <w:jc w:val="left"/>
              <w:rPr>
                <w:sz w:val="21"/>
              </w:rPr>
            </w:pPr>
            <w:r>
              <w:rPr>
                <w:spacing w:val="-3"/>
                <w:sz w:val="21"/>
              </w:rPr>
              <w:t>语言能力或咀嚼吞咽能力完全丧失</w:t>
            </w:r>
          </w:p>
          <w:p>
            <w:pPr>
              <w:pStyle w:val="TableParagraph"/>
              <w:numPr>
                <w:ilvl w:val="1"/>
                <w:numId w:val="11"/>
              </w:numPr>
              <w:tabs>
                <w:tab w:pos="997" w:val="left" w:leader="none"/>
              </w:tabs>
              <w:spacing w:line="240" w:lineRule="auto" w:before="2" w:after="0"/>
              <w:ind w:left="996" w:right="0" w:hanging="631"/>
              <w:jc w:val="left"/>
              <w:rPr>
                <w:sz w:val="21"/>
              </w:rPr>
            </w:pPr>
            <w:r>
              <w:rPr>
                <w:spacing w:val="-20"/>
                <w:position w:val="1"/>
                <w:sz w:val="21"/>
              </w:rPr>
              <w:t>六项基本日常生活活动</w:t>
            </w:r>
          </w:p>
          <w:p>
            <w:pPr>
              <w:pStyle w:val="TableParagraph"/>
              <w:numPr>
                <w:ilvl w:val="1"/>
                <w:numId w:val="11"/>
              </w:numPr>
              <w:tabs>
                <w:tab w:pos="997" w:val="left" w:leader="none"/>
              </w:tabs>
              <w:spacing w:line="240" w:lineRule="auto" w:before="26" w:after="0"/>
              <w:ind w:left="996" w:right="0" w:hanging="631"/>
              <w:jc w:val="left"/>
              <w:rPr>
                <w:sz w:val="21"/>
              </w:rPr>
            </w:pPr>
            <w:r>
              <w:rPr>
                <w:position w:val="1"/>
                <w:sz w:val="21"/>
              </w:rPr>
              <w:t>永久不可逆</w:t>
            </w:r>
          </w:p>
          <w:p>
            <w:pPr>
              <w:pStyle w:val="TableParagraph"/>
              <w:numPr>
                <w:ilvl w:val="1"/>
                <w:numId w:val="11"/>
              </w:numPr>
              <w:tabs>
                <w:tab w:pos="997" w:val="left" w:leader="none"/>
              </w:tabs>
              <w:spacing w:line="240" w:lineRule="auto" w:before="32" w:after="0"/>
              <w:ind w:left="996" w:right="0" w:hanging="631"/>
              <w:jc w:val="left"/>
              <w:rPr>
                <w:sz w:val="21"/>
              </w:rPr>
            </w:pPr>
            <w:r>
              <w:rPr>
                <w:spacing w:val="-3"/>
                <w:sz w:val="21"/>
              </w:rPr>
              <w:t>本合同约定利率</w:t>
            </w:r>
          </w:p>
          <w:p>
            <w:pPr>
              <w:pStyle w:val="TableParagraph"/>
              <w:numPr>
                <w:ilvl w:val="1"/>
                <w:numId w:val="11"/>
              </w:numPr>
              <w:tabs>
                <w:tab w:pos="997" w:val="left" w:leader="none"/>
              </w:tabs>
              <w:spacing w:line="240" w:lineRule="auto" w:before="37" w:after="0"/>
              <w:ind w:left="996" w:right="0" w:hanging="631"/>
              <w:jc w:val="left"/>
              <w:rPr>
                <w:sz w:val="21"/>
              </w:rPr>
            </w:pPr>
            <w:r>
              <w:rPr>
                <w:spacing w:val="-2"/>
                <w:sz w:val="21"/>
              </w:rPr>
              <w:t>现金价值</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88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（以下简称本合同）指您与我们之间订立的“百年附加祥瑞提前给付重大疾病保险合同”。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6"/>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2"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6" w:type="dxa"/>
            <w:tcBorders>
              <w:top w:val="single" w:sz="6" w:space="0" w:color="000000"/>
            </w:tcBorders>
          </w:tcPr>
          <w:p>
            <w:pPr>
              <w:pStyle w:val="TableParagraph"/>
              <w:spacing w:line="273" w:lineRule="auto" w:before="150"/>
              <w:ind w:left="197" w:right="18"/>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5"/>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6" w:type="dxa"/>
          </w:tcPr>
          <w:p>
            <w:pPr>
              <w:pStyle w:val="TableParagraph"/>
              <w:ind w:left="197"/>
              <w:rPr>
                <w:sz w:val="21"/>
              </w:rPr>
            </w:pPr>
            <w:r>
              <w:rPr>
                <w:sz w:val="21"/>
              </w:rPr>
              <w:t>本合同须与主合同同时投保，本合同成立及生效日与主合同相同。</w:t>
            </w:r>
          </w:p>
        </w:tc>
      </w:tr>
      <w:tr>
        <w:trPr>
          <w:trHeight w:val="804"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6" w:type="dxa"/>
          </w:tcPr>
          <w:p>
            <w:pPr>
              <w:pStyle w:val="TableParagraph"/>
              <w:spacing w:line="273" w:lineRule="auto" w:before="77"/>
              <w:ind w:left="197" w:right="104"/>
              <w:rPr>
                <w:sz w:val="21"/>
              </w:rPr>
            </w:pPr>
            <w:r>
              <w:rPr>
                <w:spacing w:val="-9"/>
                <w:sz w:val="21"/>
              </w:rPr>
              <w:t>指您投保时被保险人的年龄，投保年龄以周岁计算，本合同接受的投保年龄为出</w:t>
            </w:r>
            <w:r>
              <w:rPr>
                <w:spacing w:val="-24"/>
                <w:sz w:val="21"/>
              </w:rPr>
              <w:t>生满 </w:t>
            </w:r>
            <w:r>
              <w:rPr>
                <w:sz w:val="21"/>
              </w:rPr>
              <w:t>28</w:t>
            </w:r>
            <w:r>
              <w:rPr>
                <w:spacing w:val="-28"/>
                <w:sz w:val="21"/>
              </w:rPr>
              <w:t> 日至 </w:t>
            </w:r>
            <w:r>
              <w:rPr>
                <w:sz w:val="21"/>
              </w:rPr>
              <w:t>60</w:t>
            </w:r>
            <w:r>
              <w:rPr>
                <w:spacing w:val="-15"/>
                <w:sz w:val="21"/>
              </w:rPr>
              <w:t> 周岁。</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6" w:type="dxa"/>
          </w:tcPr>
          <w:p>
            <w:pPr>
              <w:pStyle w:val="TableParagraph"/>
              <w:spacing w:line="273" w:lineRule="auto"/>
              <w:ind w:left="197" w:right="100"/>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2"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6"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581" w:hRule="atLeast"/>
        </w:trPr>
        <w:tc>
          <w:tcPr>
            <w:tcW w:w="627" w:type="dxa"/>
          </w:tcPr>
          <w:p>
            <w:pPr>
              <w:pStyle w:val="TableParagraph"/>
              <w:spacing w:before="77"/>
              <w:ind w:left="-2"/>
              <w:rPr>
                <w:b/>
                <w:sz w:val="21"/>
              </w:rPr>
            </w:pPr>
            <w:r>
              <w:rPr>
                <w:b/>
                <w:sz w:val="21"/>
              </w:rPr>
              <w:t>2.2</w:t>
            </w:r>
          </w:p>
        </w:tc>
        <w:tc>
          <w:tcPr>
            <w:tcW w:w="1776" w:type="dxa"/>
          </w:tcPr>
          <w:p>
            <w:pPr>
              <w:pStyle w:val="TableParagraph"/>
              <w:spacing w:before="77"/>
              <w:ind w:left="310"/>
              <w:rPr>
                <w:b/>
                <w:sz w:val="21"/>
              </w:rPr>
            </w:pPr>
            <w:r>
              <w:rPr>
                <w:b/>
                <w:sz w:val="21"/>
              </w:rPr>
              <w:t>保险期间</w:t>
            </w:r>
          </w:p>
        </w:tc>
        <w:tc>
          <w:tcPr>
            <w:tcW w:w="7576" w:type="dxa"/>
          </w:tcPr>
          <w:p>
            <w:pPr>
              <w:pStyle w:val="TableParagraph"/>
              <w:spacing w:before="77"/>
              <w:ind w:left="197"/>
              <w:rPr>
                <w:sz w:val="21"/>
              </w:rPr>
            </w:pPr>
            <w:r>
              <w:rPr>
                <w:sz w:val="21"/>
              </w:rPr>
              <w:t>本合同的保险期间与主合同一致。</w:t>
            </w:r>
          </w:p>
        </w:tc>
      </w:tr>
      <w:tr>
        <w:trPr>
          <w:trHeight w:val="3432" w:hRule="atLeast"/>
        </w:trPr>
        <w:tc>
          <w:tcPr>
            <w:tcW w:w="627" w:type="dxa"/>
          </w:tcPr>
          <w:p>
            <w:pPr>
              <w:pStyle w:val="TableParagraph"/>
              <w:spacing w:line="262" w:lineRule="exact" w:before="0"/>
              <w:ind w:left="-2"/>
              <w:rPr>
                <w:b/>
                <w:sz w:val="21"/>
              </w:rPr>
            </w:pPr>
            <w:r>
              <w:rPr>
                <w:b/>
                <w:sz w:val="21"/>
              </w:rPr>
              <w:t>2.3</w:t>
            </w:r>
          </w:p>
        </w:tc>
        <w:tc>
          <w:tcPr>
            <w:tcW w:w="1776" w:type="dxa"/>
          </w:tcPr>
          <w:p>
            <w:pPr>
              <w:pStyle w:val="TableParagraph"/>
              <w:spacing w:line="262" w:lineRule="exact" w:before="0"/>
              <w:ind w:left="310"/>
              <w:rPr>
                <w:b/>
                <w:sz w:val="21"/>
              </w:rPr>
            </w:pPr>
            <w:r>
              <w:rPr>
                <w:b/>
                <w:sz w:val="21"/>
              </w:rPr>
              <w:t>保险责任</w:t>
            </w:r>
          </w:p>
        </w:tc>
        <w:tc>
          <w:tcPr>
            <w:tcW w:w="7576" w:type="dxa"/>
            <w:tcBorders>
              <w:right w:val="single" w:sz="4" w:space="0" w:color="FFFFFF"/>
            </w:tcBorders>
          </w:tcPr>
          <w:p>
            <w:pPr>
              <w:pStyle w:val="TableParagraph"/>
              <w:spacing w:line="262" w:lineRule="exact" w:before="0"/>
              <w:ind w:left="197"/>
              <w:rPr>
                <w:sz w:val="21"/>
              </w:rPr>
            </w:pPr>
            <w:r>
              <w:rPr>
                <w:sz w:val="21"/>
              </w:rPr>
              <w:t>在本合同有效期间内，我们承担下列保险责任：</w:t>
            </w:r>
          </w:p>
          <w:p>
            <w:pPr>
              <w:pStyle w:val="TableParagraph"/>
              <w:spacing w:before="9"/>
              <w:ind w:left="0"/>
              <w:rPr>
                <w:sz w:val="14"/>
              </w:rPr>
            </w:pPr>
          </w:p>
          <w:p>
            <w:pPr>
              <w:pStyle w:val="TableParagraph"/>
              <w:spacing w:line="273" w:lineRule="auto" w:before="1"/>
              <w:ind w:left="197" w:right="99"/>
              <w:jc w:val="both"/>
              <w:rPr>
                <w:sz w:val="21"/>
              </w:rPr>
            </w:pPr>
            <w:r>
              <w:rPr>
                <w:spacing w:val="-5"/>
                <w:sz w:val="21"/>
              </w:rPr>
              <w:t>在本合同生效日或本合同中止后的最后复效日</w:t>
            </w:r>
            <w:r>
              <w:rPr>
                <w:sz w:val="21"/>
              </w:rPr>
              <w:t>（</w:t>
            </w:r>
            <w:r>
              <w:rPr>
                <w:spacing w:val="-3"/>
                <w:sz w:val="21"/>
              </w:rPr>
              <w:t>以较迟者为准</w:t>
            </w:r>
            <w:r>
              <w:rPr>
                <w:spacing w:val="-29"/>
                <w:sz w:val="21"/>
              </w:rPr>
              <w:t>）</w:t>
            </w:r>
            <w:r>
              <w:rPr>
                <w:spacing w:val="-18"/>
                <w:sz w:val="21"/>
              </w:rPr>
              <w:t>起 </w:t>
            </w:r>
            <w:r>
              <w:rPr>
                <w:sz w:val="21"/>
              </w:rPr>
              <w:t>365</w:t>
            </w:r>
            <w:r>
              <w:rPr>
                <w:spacing w:val="-16"/>
                <w:sz w:val="21"/>
              </w:rPr>
              <w:t> 日内，被保险人经</w:t>
            </w:r>
            <w:r>
              <w:rPr>
                <w:b/>
                <w:spacing w:val="-16"/>
                <w:sz w:val="21"/>
              </w:rPr>
              <w:t>我们认可的医院</w:t>
            </w:r>
            <w:r>
              <w:rPr>
                <w:b/>
                <w:spacing w:val="-16"/>
                <w:position w:val="11"/>
                <w:sz w:val="11"/>
              </w:rPr>
              <w:t>［10.1］</w:t>
            </w:r>
            <w:r>
              <w:rPr>
                <w:spacing w:val="-16"/>
                <w:sz w:val="21"/>
              </w:rPr>
              <w:t>确诊初次患上一种或多种本合同所约定的重大疾</w:t>
            </w:r>
            <w:r>
              <w:rPr>
                <w:spacing w:val="-3"/>
                <w:sz w:val="21"/>
              </w:rPr>
              <w:t>病，我们返还本合同已交的保险费，本合同效力终止。</w:t>
            </w:r>
          </w:p>
          <w:p>
            <w:pPr>
              <w:pStyle w:val="TableParagraph"/>
              <w:spacing w:line="273" w:lineRule="auto" w:before="164"/>
              <w:ind w:left="197" w:right="-15"/>
              <w:rPr>
                <w:sz w:val="21"/>
              </w:rPr>
            </w:pPr>
            <w:r>
              <w:rPr>
                <w:spacing w:val="-8"/>
                <w:sz w:val="21"/>
              </w:rPr>
              <w:t>在本合同生效日或本合同中止后的最后复效日</w:t>
            </w:r>
            <w:r>
              <w:rPr>
                <w:spacing w:val="-3"/>
                <w:sz w:val="21"/>
              </w:rPr>
              <w:t>（以较迟者为准</w:t>
            </w:r>
            <w:r>
              <w:rPr>
                <w:spacing w:val="-94"/>
                <w:sz w:val="21"/>
              </w:rPr>
              <w:t>）</w:t>
            </w:r>
            <w:r>
              <w:rPr>
                <w:spacing w:val="-19"/>
                <w:sz w:val="21"/>
              </w:rPr>
              <w:t>起 </w:t>
            </w:r>
            <w:r>
              <w:rPr>
                <w:sz w:val="21"/>
              </w:rPr>
              <w:t>365</w:t>
            </w:r>
            <w:r>
              <w:rPr>
                <w:spacing w:val="-9"/>
                <w:sz w:val="21"/>
              </w:rPr>
              <w:t> 日及以后， </w:t>
            </w:r>
            <w:r>
              <w:rPr>
                <w:spacing w:val="-5"/>
                <w:sz w:val="21"/>
              </w:rPr>
              <w:t>被保险人经我们认可的医院确诊初次患上一种或多种本合同所约定的重大疾病， </w:t>
            </w:r>
            <w:r>
              <w:rPr>
                <w:spacing w:val="-9"/>
                <w:sz w:val="21"/>
              </w:rPr>
              <w:t>我们支付本合同的基本保额，本合同效力终止。同时，主合同的基本保额按给付</w:t>
            </w:r>
            <w:r>
              <w:rPr>
                <w:spacing w:val="-12"/>
                <w:sz w:val="21"/>
              </w:rPr>
              <w:t>本合同的基本保额等额减少，主合同约定的各项保险责任及保险单上载明的保险</w:t>
            </w:r>
            <w:r>
              <w:rPr>
                <w:spacing w:val="-6"/>
                <w:sz w:val="21"/>
              </w:rPr>
              <w:t>费、现金价值等数据按减少后的基本保额确定。若主合同基本保额减少至零时， </w:t>
            </w:r>
            <w:r>
              <w:rPr>
                <w:spacing w:val="-4"/>
                <w:sz w:val="21"/>
              </w:rPr>
              <w:t>主合同效力终止。</w:t>
            </w:r>
          </w:p>
        </w:tc>
      </w:tr>
      <w:tr>
        <w:trPr>
          <w:trHeight w:val="2021" w:hRule="atLeast"/>
        </w:trPr>
        <w:tc>
          <w:tcPr>
            <w:tcW w:w="627" w:type="dxa"/>
          </w:tcPr>
          <w:p>
            <w:pPr>
              <w:pStyle w:val="TableParagraph"/>
              <w:spacing w:before="167"/>
              <w:ind w:left="-2"/>
              <w:rPr>
                <w:b/>
                <w:sz w:val="21"/>
              </w:rPr>
            </w:pPr>
            <w:r>
              <w:rPr>
                <w:b/>
                <w:sz w:val="21"/>
              </w:rPr>
              <w:t>2.4</w:t>
            </w:r>
          </w:p>
        </w:tc>
        <w:tc>
          <w:tcPr>
            <w:tcW w:w="1776" w:type="dxa"/>
          </w:tcPr>
          <w:p>
            <w:pPr>
              <w:pStyle w:val="TableParagraph"/>
              <w:spacing w:before="167"/>
              <w:ind w:left="310"/>
              <w:rPr>
                <w:b/>
                <w:sz w:val="21"/>
              </w:rPr>
            </w:pPr>
            <w:r>
              <w:rPr>
                <w:b/>
                <w:sz w:val="21"/>
              </w:rPr>
              <w:t>责任免除</w:t>
            </w:r>
          </w:p>
        </w:tc>
        <w:tc>
          <w:tcPr>
            <w:tcW w:w="7576" w:type="dxa"/>
          </w:tcPr>
          <w:p>
            <w:pPr>
              <w:pStyle w:val="TableParagraph"/>
              <w:spacing w:line="273" w:lineRule="auto" w:before="167"/>
              <w:ind w:left="197" w:right="207"/>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before="7"/>
              <w:ind w:left="197"/>
              <w:rPr>
                <w:rFonts w:ascii="黑体" w:eastAsia="黑体" w:hint="eastAsia"/>
                <w:b/>
                <w:sz w:val="21"/>
              </w:rPr>
            </w:pPr>
            <w:r>
              <w:rPr>
                <w:rFonts w:ascii="黑体" w:eastAsia="黑体" w:hint="eastAsia"/>
                <w:b/>
                <w:sz w:val="21"/>
              </w:rPr>
              <w:t>（1）投保人对被保险人的故意杀害、故意伤害；</w:t>
            </w:r>
          </w:p>
          <w:p>
            <w:pPr>
              <w:pStyle w:val="TableParagraph"/>
              <w:spacing w:before="37"/>
              <w:ind w:left="197"/>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4"/>
              <w:ind w:left="197"/>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line="255" w:lineRule="exact" w:before="39"/>
              <w:ind w:left="197"/>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1653"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10"/>
              <w:ind w:left="0"/>
              <w:rPr>
                <w:sz w:val="31"/>
              </w:rPr>
            </w:pPr>
          </w:p>
          <w:p>
            <w:pPr>
              <w:pStyle w:val="TableParagraph"/>
              <w:spacing w:before="0"/>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before="3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w:t>
            </w:r>
          </w:p>
          <w:p>
            <w:pPr>
              <w:pStyle w:val="TableParagraph"/>
              <w:spacing w:before="27"/>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1"/>
              <w:ind w:left="28"/>
              <w:rPr>
                <w:b/>
                <w:sz w:val="21"/>
              </w:rPr>
            </w:pPr>
            <w:r>
              <w:rPr>
                <w:b/>
                <w:sz w:val="21"/>
              </w:rPr>
              <w:t>3.1</w:t>
            </w:r>
          </w:p>
        </w:tc>
        <w:tc>
          <w:tcPr>
            <w:tcW w:w="1670" w:type="dxa"/>
            <w:tcBorders>
              <w:top w:val="single" w:sz="6" w:space="0" w:color="000000"/>
            </w:tcBorders>
          </w:tcPr>
          <w:p>
            <w:pPr>
              <w:pStyle w:val="TableParagraph"/>
              <w:spacing w:before="120"/>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1"/>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1"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［10.11］</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8"/>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5"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rPr>
                <w:sz w:val="21"/>
              </w:rPr>
            </w:pPr>
            <w:r>
              <w:rPr>
                <w:spacing w:val="-16"/>
                <w:sz w:val="21"/>
              </w:rPr>
              <w:t>管、淋巴管和体腔扩散转移到身体其它部位的疾病。经病理学检查结果明确诊断， </w:t>
            </w:r>
            <w:r>
              <w:rPr>
                <w:spacing w:val="-13"/>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rPr>
                <w:rFonts w:ascii="黑体" w:eastAsia="黑体" w:hint="eastAsia"/>
                <w:b/>
                <w:sz w:val="21"/>
              </w:rPr>
            </w:pPr>
            <w:r>
              <w:rPr>
                <w:rFonts w:ascii="黑体" w:eastAsia="黑体" w:hint="eastAsia"/>
                <w:b/>
                <w:sz w:val="21"/>
              </w:rPr>
              <w:t>（1）原位癌；</w:t>
            </w:r>
          </w:p>
          <w:p>
            <w:pPr>
              <w:pStyle w:val="TableParagraph"/>
              <w:spacing w:line="271" w:lineRule="exact" w:before="0"/>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3" w:lineRule="exact" w:before="0"/>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5" w:lineRule="exact" w:before="0"/>
              <w:rPr>
                <w:rFonts w:ascii="黑体" w:eastAsia="黑体" w:hint="eastAsia"/>
                <w:b/>
                <w:sz w:val="21"/>
              </w:rPr>
            </w:pPr>
            <w:r>
              <w:rPr>
                <w:rFonts w:ascii="黑体" w:eastAsia="黑体" w:hint="eastAsia"/>
                <w:b/>
                <w:sz w:val="21"/>
              </w:rPr>
              <w:t>（6）感染艾滋病病毒或患艾滋病期间所患恶性肿瘤。</w:t>
            </w:r>
          </w:p>
        </w:tc>
      </w:tr>
      <w:tr>
        <w:trPr>
          <w:trHeight w:val="180" w:hRule="atLeast"/>
        </w:trPr>
        <w:tc>
          <w:tcPr>
            <w:tcW w:w="762" w:type="dxa"/>
          </w:tcPr>
          <w:p>
            <w:pPr>
              <w:pStyle w:val="TableParagraph"/>
              <w:spacing w:before="0"/>
              <w:ind w:left="0"/>
              <w:rPr>
                <w:rFonts w:ascii="Times New Roman"/>
                <w:sz w:val="12"/>
              </w:rPr>
            </w:pPr>
          </w:p>
        </w:tc>
        <w:tc>
          <w:tcPr>
            <w:tcW w:w="1670" w:type="dxa"/>
          </w:tcPr>
          <w:p>
            <w:pPr>
              <w:pStyle w:val="TableParagraph"/>
              <w:spacing w:before="0"/>
              <w:ind w:left="0"/>
              <w:rPr>
                <w:rFonts w:ascii="Times New Roman"/>
                <w:sz w:val="12"/>
              </w:rPr>
            </w:pPr>
          </w:p>
        </w:tc>
        <w:tc>
          <w:tcPr>
            <w:tcW w:w="7559" w:type="dxa"/>
          </w:tcPr>
          <w:p>
            <w:pPr>
              <w:pStyle w:val="TableParagraph"/>
              <w:spacing w:before="0"/>
              <w:ind w:left="0"/>
              <w:rPr>
                <w:rFonts w:ascii="Times New Roman"/>
                <w:sz w:val="12"/>
              </w:rPr>
            </w:pPr>
          </w:p>
        </w:tc>
      </w:tr>
      <w:tr>
        <w:trPr>
          <w:trHeight w:val="1907" w:hRule="atLeast"/>
        </w:trPr>
        <w:tc>
          <w:tcPr>
            <w:tcW w:w="762" w:type="dxa"/>
          </w:tcPr>
          <w:p>
            <w:pPr>
              <w:pStyle w:val="TableParagraph"/>
              <w:spacing w:line="262" w:lineRule="exact" w:before="0"/>
              <w:ind w:left="28"/>
              <w:rPr>
                <w:b/>
                <w:sz w:val="21"/>
              </w:rPr>
            </w:pPr>
            <w:r>
              <w:rPr>
                <w:b/>
                <w:sz w:val="21"/>
              </w:rPr>
              <w:t>3.2.2</w:t>
            </w:r>
          </w:p>
        </w:tc>
        <w:tc>
          <w:tcPr>
            <w:tcW w:w="1670" w:type="dxa"/>
          </w:tcPr>
          <w:p>
            <w:pPr>
              <w:pStyle w:val="TableParagraph"/>
              <w:spacing w:line="262"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0"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before="0"/>
              <w:ind w:left="725" w:right="87" w:hanging="527"/>
              <w:rPr>
                <w:sz w:val="21"/>
              </w:rPr>
            </w:pPr>
            <w:r>
              <w:rPr>
                <w:sz w:val="21"/>
              </w:rPr>
              <w:t>（3）心肌酶或肌钙蛋白有诊断意义的升高，或呈符合急性心肌梗塞的动态性变化；</w:t>
            </w:r>
          </w:p>
          <w:p>
            <w:pPr>
              <w:pStyle w:val="TableParagraph"/>
              <w:spacing w:line="271" w:lineRule="exact" w:before="2"/>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2455"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rPr>
                <w:sz w:val="21"/>
              </w:rPr>
            </w:pPr>
            <w:r>
              <w:rPr>
                <w:sz w:val="21"/>
              </w:rPr>
              <w:t>（1）一肢或一肢以上</w:t>
            </w:r>
            <w:r>
              <w:rPr>
                <w:b/>
                <w:sz w:val="21"/>
              </w:rPr>
              <w:t>肢体机能完全丧失</w:t>
            </w:r>
            <w:r>
              <w:rPr>
                <w:b/>
                <w:position w:val="11"/>
                <w:sz w:val="11"/>
              </w:rPr>
              <w:t>［10.12］</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［10.13］</w:t>
            </w:r>
            <w:r>
              <w:rPr>
                <w:sz w:val="21"/>
              </w:rPr>
              <w:t>；</w:t>
            </w:r>
          </w:p>
          <w:p>
            <w:pPr>
              <w:pStyle w:val="TableParagraph"/>
              <w:spacing w:line="273" w:lineRule="auto" w:before="36"/>
              <w:ind w:left="725" w:right="20" w:hanging="527"/>
              <w:rPr>
                <w:sz w:val="21"/>
              </w:rPr>
            </w:pPr>
            <w:r>
              <w:rPr>
                <w:sz w:val="21"/>
              </w:rPr>
              <w:t>（3）自主生活能力完全丧失，无法独立完成</w:t>
            </w:r>
            <w:r>
              <w:rPr>
                <w:b/>
                <w:sz w:val="21"/>
              </w:rPr>
              <w:t>六项基本日常生活活动</w:t>
            </w:r>
            <w:r>
              <w:rPr>
                <w:b/>
                <w:position w:val="11"/>
                <w:sz w:val="11"/>
              </w:rPr>
              <w:t>［10.14］</w:t>
            </w:r>
            <w:r>
              <w:rPr>
                <w:sz w:val="21"/>
              </w:rPr>
              <w:t>中的三项或三项以上。</w:t>
            </w:r>
          </w:p>
        </w:tc>
      </w:tr>
      <w:tr>
        <w:trPr>
          <w:trHeight w:val="975" w:hRule="atLeast"/>
        </w:trPr>
        <w:tc>
          <w:tcPr>
            <w:tcW w:w="762" w:type="dxa"/>
          </w:tcPr>
          <w:p>
            <w:pPr>
              <w:pStyle w:val="TableParagraph"/>
              <w:ind w:left="28"/>
              <w:rPr>
                <w:b/>
                <w:sz w:val="21"/>
              </w:rPr>
            </w:pPr>
            <w:r>
              <w:rPr>
                <w:b/>
                <w:sz w:val="21"/>
              </w:rPr>
              <w:t>3.2.4</w:t>
            </w:r>
          </w:p>
        </w:tc>
        <w:tc>
          <w:tcPr>
            <w:tcW w:w="1670" w:type="dxa"/>
          </w:tcPr>
          <w:p>
            <w:pPr>
              <w:pStyle w:val="TableParagraph"/>
              <w:spacing w:line="310" w:lineRule="atLeast" w:before="41"/>
              <w:ind w:left="205" w:right="195"/>
              <w:jc w:val="both"/>
              <w:rPr>
                <w:b/>
                <w:sz w:val="21"/>
              </w:rPr>
            </w:pPr>
            <w:r>
              <w:rPr>
                <w:b/>
                <w:sz w:val="21"/>
              </w:rPr>
              <w:t>重大器官移植术或造血干细胞移植术</w:t>
            </w:r>
          </w:p>
        </w:tc>
        <w:tc>
          <w:tcPr>
            <w:tcW w:w="7559" w:type="dxa"/>
          </w:tcPr>
          <w:p>
            <w:pPr>
              <w:pStyle w:val="TableParagraph"/>
              <w:spacing w:line="273" w:lineRule="auto"/>
              <w:ind w:right="87"/>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55" w:lineRule="exact" w:before="7"/>
              <w:rPr>
                <w:sz w:val="21"/>
              </w:rPr>
            </w:pPr>
            <w:r>
              <w:rPr>
                <w:sz w:val="21"/>
              </w:rPr>
              <w:t>造血干细胞移植术，指因造血功能损害或造血系统恶性肿瘤，已经实施了造血干</w:t>
            </w:r>
          </w:p>
        </w:tc>
      </w:tr>
    </w:tbl>
    <w:p>
      <w:pPr>
        <w:spacing w:after="0" w:line="255" w:lineRule="exact"/>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643"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细胞（包括骨髓造血干细胞、外周血造血干细胞和脐血造血干细胞）的异体移植</w:t>
            </w:r>
          </w:p>
          <w:p>
            <w:pPr>
              <w:pStyle w:val="TableParagraph"/>
              <w:spacing w:before="37"/>
              <w:ind w:left="92"/>
              <w:rPr>
                <w:sz w:val="21"/>
              </w:rPr>
            </w:pPr>
            <w:r>
              <w:rPr>
                <w:sz w:val="21"/>
              </w:rPr>
              <w:t>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92"/>
              <w:rPr>
                <w:rFonts w:ascii="黑体" w:eastAsia="黑体" w:hint="eastAsia"/>
                <w:b/>
                <w:sz w:val="21"/>
              </w:rPr>
            </w:pPr>
            <w:r>
              <w:rPr>
                <w:rFonts w:ascii="黑体" w:eastAsia="黑体" w:hint="eastAsia"/>
                <w:b/>
                <w:sz w:val="21"/>
              </w:rPr>
              <w:t>脑垂体瘤、脑囊肿、脑血管性疾病不在保障范围内。</w:t>
            </w:r>
          </w:p>
        </w:tc>
      </w:tr>
      <w:tr>
        <w:trPr>
          <w:trHeight w:val="2142"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36"/>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1439" w:hRule="atLeast"/>
        </w:trPr>
        <w:tc>
          <w:tcPr>
            <w:tcW w:w="989" w:type="dxa"/>
          </w:tcPr>
          <w:p>
            <w:pPr>
              <w:pStyle w:val="TableParagraph"/>
              <w:spacing w:before="88"/>
              <w:ind w:left="200"/>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9"/>
                <w:sz w:val="21"/>
              </w:rPr>
              <w:t>永久不可逆</w:t>
            </w:r>
            <w:r>
              <w:rPr>
                <w:b/>
                <w:spacing w:val="-7"/>
                <w:position w:val="11"/>
                <w:sz w:val="11"/>
              </w:rPr>
              <w:t>［10.15］</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351" w:hRule="atLeast"/>
        </w:trPr>
        <w:tc>
          <w:tcPr>
            <w:tcW w:w="989" w:type="dxa"/>
          </w:tcPr>
          <w:p>
            <w:pPr>
              <w:pStyle w:val="TableParagraph"/>
              <w:spacing w:line="255" w:lineRule="exact"/>
              <w:ind w:left="200"/>
              <w:rPr>
                <w:b/>
                <w:sz w:val="21"/>
              </w:rPr>
            </w:pPr>
            <w:r>
              <w:rPr>
                <w:b/>
                <w:sz w:val="21"/>
              </w:rPr>
              <w:t>3.2.13</w:t>
            </w:r>
          </w:p>
        </w:tc>
        <w:tc>
          <w:tcPr>
            <w:tcW w:w="1721" w:type="dxa"/>
          </w:tcPr>
          <w:p>
            <w:pPr>
              <w:pStyle w:val="TableParagraph"/>
              <w:spacing w:line="255" w:lineRule="exact"/>
              <w:ind w:left="149"/>
              <w:rPr>
                <w:b/>
                <w:sz w:val="21"/>
              </w:rPr>
            </w:pPr>
            <w:r>
              <w:rPr>
                <w:b/>
                <w:sz w:val="21"/>
              </w:rPr>
              <w:t>双目失明</w:t>
            </w:r>
          </w:p>
        </w:tc>
        <w:tc>
          <w:tcPr>
            <w:tcW w:w="7467" w:type="dxa"/>
          </w:tcPr>
          <w:p>
            <w:pPr>
              <w:pStyle w:val="TableParagraph"/>
              <w:spacing w:line="255" w:lineRule="exact"/>
              <w:ind w:left="92"/>
              <w:rPr>
                <w:sz w:val="21"/>
              </w:rPr>
            </w:pPr>
            <w:r>
              <w:rPr>
                <w:sz w:val="21"/>
              </w:rPr>
              <w:t>指因疾病或意外伤害导致双眼视力永久不可逆性丧失，双眼中较好眼须满足下列</w:t>
            </w:r>
          </w:p>
        </w:tc>
      </w:tr>
    </w:tbl>
    <w:p>
      <w:pPr>
        <w:spacing w:after="0" w:line="255" w:lineRule="exac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912"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至少一项条件：</w:t>
            </w:r>
          </w:p>
          <w:p>
            <w:pPr>
              <w:pStyle w:val="TableParagraph"/>
              <w:spacing w:before="37"/>
              <w:rPr>
                <w:sz w:val="21"/>
              </w:rPr>
            </w:pPr>
            <w:r>
              <w:rPr>
                <w:sz w:val="21"/>
              </w:rPr>
              <w:t>（1）眼球缺失或摘除；</w:t>
            </w:r>
          </w:p>
          <w:p>
            <w:pPr>
              <w:pStyle w:val="TableParagraph"/>
              <w:spacing w:line="273" w:lineRule="auto" w:before="36"/>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7"/>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5"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2"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1"/>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2" w:lineRule="exact" w:before="0"/>
              <w:ind w:left="179" w:right="132"/>
              <w:jc w:val="center"/>
              <w:rPr>
                <w:b/>
                <w:sz w:val="21"/>
              </w:rPr>
            </w:pPr>
            <w:r>
              <w:rPr>
                <w:b/>
                <w:sz w:val="21"/>
              </w:rPr>
              <w:t>3.2.17</w:t>
            </w:r>
          </w:p>
        </w:tc>
        <w:tc>
          <w:tcPr>
            <w:tcW w:w="1721" w:type="dxa"/>
          </w:tcPr>
          <w:p>
            <w:pPr>
              <w:pStyle w:val="TableParagraph"/>
              <w:spacing w:line="262"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5"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467" w:type="dxa"/>
          </w:tcPr>
          <w:p>
            <w:pPr>
              <w:pStyle w:val="TableParagraph"/>
              <w:spacing w:line="273" w:lineRule="auto"/>
              <w:ind w:left="92" w:right="22"/>
              <w:rPr>
                <w:sz w:val="21"/>
              </w:rPr>
            </w:pPr>
            <w:r>
              <w:rPr>
                <w:sz w:val="21"/>
              </w:rPr>
              <w:t>指烧伤程度为Ⅲ度，且Ⅲ度烧伤面积达到全身体表面积的 20％或 20％以上。体表面积根据《中国新九分法》计算。</w:t>
            </w:r>
          </w:p>
        </w:tc>
      </w:tr>
      <w:tr>
        <w:trPr>
          <w:trHeight w:val="1116"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467" w:type="dxa"/>
          </w:tcPr>
          <w:p>
            <w:pPr>
              <w:pStyle w:val="TableParagraph"/>
              <w:spacing w:line="273" w:lineRule="auto"/>
              <w:ind w:left="92" w:right="102"/>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ind w:left="92"/>
              <w:rPr>
                <w:sz w:val="21"/>
              </w:rPr>
            </w:pPr>
            <w:r>
              <w:rPr>
                <w:sz w:val="21"/>
              </w:rPr>
              <w:t>IV 级，且静息状态下肺动脉平均压超过 30mmHg。</w:t>
            </w:r>
          </w:p>
        </w:tc>
      </w:tr>
      <w:tr>
        <w:trPr>
          <w:trHeight w:val="1115" w:hRule="atLeast"/>
        </w:trPr>
        <w:tc>
          <w:tcPr>
            <w:tcW w:w="989" w:type="dxa"/>
          </w:tcPr>
          <w:p>
            <w:pPr>
              <w:pStyle w:val="TableParagraph"/>
              <w:ind w:left="179" w:right="132"/>
              <w:jc w:val="center"/>
              <w:rPr>
                <w:b/>
                <w:sz w:val="21"/>
              </w:rPr>
            </w:pPr>
            <w:r>
              <w:rPr>
                <w:b/>
                <w:sz w:val="21"/>
              </w:rPr>
              <w:t>3.2.21</w:t>
            </w:r>
          </w:p>
        </w:tc>
        <w:tc>
          <w:tcPr>
            <w:tcW w:w="1721" w:type="dxa"/>
          </w:tcPr>
          <w:p>
            <w:pPr>
              <w:pStyle w:val="TableParagraph"/>
              <w:spacing w:line="273" w:lineRule="auto"/>
              <w:ind w:left="149" w:right="303"/>
              <w:rPr>
                <w:b/>
                <w:sz w:val="21"/>
              </w:rPr>
            </w:pPr>
            <w:r>
              <w:rPr>
                <w:b/>
                <w:sz w:val="21"/>
              </w:rPr>
              <w:t>严重运动神经元病</w:t>
            </w:r>
          </w:p>
        </w:tc>
        <w:tc>
          <w:tcPr>
            <w:tcW w:w="7467" w:type="dxa"/>
          </w:tcPr>
          <w:p>
            <w:pPr>
              <w:pStyle w:val="TableParagraph"/>
              <w:spacing w:line="273" w:lineRule="auto"/>
              <w:ind w:left="92" w:right="1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663" w:hRule="atLeast"/>
        </w:trPr>
        <w:tc>
          <w:tcPr>
            <w:tcW w:w="989" w:type="dxa"/>
          </w:tcPr>
          <w:p>
            <w:pPr>
              <w:pStyle w:val="TableParagraph"/>
              <w:ind w:left="179" w:right="132"/>
              <w:jc w:val="center"/>
              <w:rPr>
                <w:b/>
                <w:sz w:val="21"/>
              </w:rPr>
            </w:pPr>
            <w:r>
              <w:rPr>
                <w:b/>
                <w:sz w:val="21"/>
              </w:rPr>
              <w:t>3.2.22</w:t>
            </w:r>
          </w:p>
        </w:tc>
        <w:tc>
          <w:tcPr>
            <w:tcW w:w="1721" w:type="dxa"/>
          </w:tcPr>
          <w:p>
            <w:pPr>
              <w:pStyle w:val="TableParagraph"/>
              <w:ind w:left="149"/>
              <w:rPr>
                <w:b/>
                <w:sz w:val="21"/>
              </w:rPr>
            </w:pPr>
            <w:r>
              <w:rPr>
                <w:b/>
                <w:sz w:val="21"/>
              </w:rPr>
              <w:t>语言能力丧失</w:t>
            </w:r>
          </w:p>
        </w:tc>
        <w:tc>
          <w:tcPr>
            <w:tcW w:w="7467" w:type="dxa"/>
          </w:tcPr>
          <w:p>
            <w:pPr>
              <w:pStyle w:val="TableParagraph"/>
              <w:spacing w:line="310" w:lineRule="atLeast" w:before="41"/>
              <w:ind w:left="92" w:right="12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669"/>
      </w:tblGrid>
      <w:tr>
        <w:trPr>
          <w:trHeight w:val="664"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669" w:type="dxa"/>
          </w:tcPr>
          <w:p>
            <w:pPr>
              <w:pStyle w:val="TableParagraph"/>
              <w:spacing w:line="211" w:lineRule="exact" w:before="0"/>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669" w:type="dxa"/>
          </w:tcPr>
          <w:p>
            <w:pPr>
              <w:pStyle w:val="TableParagraph"/>
              <w:spacing w:line="273" w:lineRule="auto" w:before="96"/>
              <w:ind w:right="393"/>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1"/>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669" w:type="dxa"/>
          </w:tcPr>
          <w:p>
            <w:pPr>
              <w:pStyle w:val="TableParagraph"/>
              <w:spacing w:line="273" w:lineRule="auto" w:before="96"/>
              <w:ind w:right="385"/>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9"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669" w:type="dxa"/>
          </w:tcPr>
          <w:p>
            <w:pPr>
              <w:pStyle w:val="TableParagraph"/>
              <w:spacing w:line="273" w:lineRule="auto"/>
              <w:ind w:right="197"/>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7"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669" w:type="dxa"/>
          </w:tcPr>
          <w:p>
            <w:pPr>
              <w:pStyle w:val="TableParagraph"/>
              <w:spacing w:line="273" w:lineRule="auto"/>
              <w:ind w:right="1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669" w:type="dxa"/>
          </w:tcPr>
          <w:p>
            <w:pPr>
              <w:pStyle w:val="TableParagraph"/>
              <w:spacing w:line="273" w:lineRule="auto"/>
              <w:ind w:right="1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669"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6"/>
              <w:rPr>
                <w:sz w:val="21"/>
              </w:rPr>
            </w:pPr>
            <w:r>
              <w:rPr>
                <w:sz w:val="21"/>
              </w:rPr>
              <w:t>（4) 胸内气体容积升高，超过 170(基值的百分比)；</w:t>
            </w:r>
          </w:p>
          <w:p>
            <w:pPr>
              <w:pStyle w:val="TableParagraph"/>
              <w:spacing w:before="36"/>
              <w:rPr>
                <w:sz w:val="21"/>
              </w:rPr>
            </w:pPr>
            <w:r>
              <w:rPr>
                <w:sz w:val="21"/>
              </w:rPr>
              <w:t>（5) PaO2&lt;60mmHg，PaCO2&gt;50mmHg。</w:t>
            </w:r>
          </w:p>
        </w:tc>
      </w:tr>
      <w:tr>
        <w:trPr>
          <w:trHeight w:val="1428"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669" w:type="dxa"/>
          </w:tcPr>
          <w:p>
            <w:pPr>
              <w:pStyle w:val="TableParagraph"/>
              <w:spacing w:line="273" w:lineRule="auto"/>
              <w:ind w:right="219"/>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1599" w:hRule="atLeast"/>
        </w:trPr>
        <w:tc>
          <w:tcPr>
            <w:tcW w:w="989" w:type="dxa"/>
          </w:tcPr>
          <w:p>
            <w:pPr>
              <w:pStyle w:val="TableParagraph"/>
              <w:ind w:left="179" w:right="132"/>
              <w:jc w:val="center"/>
              <w:rPr>
                <w:b/>
                <w:sz w:val="21"/>
              </w:rPr>
            </w:pPr>
            <w:r>
              <w:rPr>
                <w:b/>
                <w:sz w:val="21"/>
              </w:rPr>
              <w:t>3.2.30</w:t>
            </w:r>
          </w:p>
        </w:tc>
        <w:tc>
          <w:tcPr>
            <w:tcW w:w="1615" w:type="dxa"/>
          </w:tcPr>
          <w:p>
            <w:pPr>
              <w:pStyle w:val="TableParagraph"/>
              <w:spacing w:line="273" w:lineRule="auto"/>
              <w:ind w:left="149" w:right="197"/>
              <w:rPr>
                <w:b/>
                <w:sz w:val="21"/>
              </w:rPr>
            </w:pPr>
            <w:r>
              <w:rPr>
                <w:b/>
                <w:sz w:val="21"/>
              </w:rPr>
              <w:t>系统性红斑狼疮性肾炎</w:t>
            </w:r>
          </w:p>
        </w:tc>
        <w:tc>
          <w:tcPr>
            <w:tcW w:w="7669" w:type="dxa"/>
          </w:tcPr>
          <w:p>
            <w:pPr>
              <w:pStyle w:val="TableParagraph"/>
              <w:spacing w:line="273" w:lineRule="auto"/>
              <w:ind w:right="198"/>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jc w:val="both"/>
              <w:rPr>
                <w:sz w:val="21"/>
              </w:rPr>
            </w:pPr>
            <w:r>
              <w:rPr>
                <w:sz w:val="21"/>
              </w:rPr>
              <w:t>世界卫生组织（WHO）狼疮性肾炎分型：</w:t>
            </w:r>
          </w:p>
          <w:p>
            <w:pPr>
              <w:pStyle w:val="TableParagraph"/>
              <w:spacing w:line="255" w:lineRule="exact" w:before="37"/>
              <w:jc w:val="both"/>
              <w:rPr>
                <w:sz w:val="21"/>
              </w:rPr>
            </w:pPr>
            <w:r>
              <w:rPr>
                <w:sz w:val="21"/>
              </w:rPr>
              <w:t>I 型：微小病变型</w:t>
            </w:r>
          </w:p>
        </w:tc>
      </w:tr>
    </w:tbl>
    <w:p>
      <w:pPr>
        <w:spacing w:after="0" w:line="255" w:lineRule="exact"/>
        <w:jc w:val="both"/>
        <w:rPr>
          <w:sz w:val="21"/>
        </w:rPr>
        <w:sectPr>
          <w:pgSz w:w="11910" w:h="16840"/>
          <w:pgMar w:header="566" w:footer="664" w:top="1000" w:bottom="860" w:left="820" w:right="6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1600" w:hRule="atLeast"/>
        </w:trPr>
        <w:tc>
          <w:tcPr>
            <w:tcW w:w="9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580" w:type="dxa"/>
          </w:tcPr>
          <w:p>
            <w:pPr>
              <w:pStyle w:val="TableParagraph"/>
              <w:numPr>
                <w:ilvl w:val="0"/>
                <w:numId w:val="12"/>
              </w:numPr>
              <w:tabs>
                <w:tab w:pos="372" w:val="left" w:leader="none"/>
              </w:tabs>
              <w:spacing w:line="211" w:lineRule="exact" w:before="0" w:after="0"/>
              <w:ind w:left="371" w:right="0" w:hanging="264"/>
              <w:jc w:val="left"/>
              <w:rPr>
                <w:sz w:val="21"/>
              </w:rPr>
            </w:pPr>
            <w:r>
              <w:rPr>
                <w:spacing w:val="-3"/>
                <w:sz w:val="21"/>
              </w:rPr>
              <w:t>型：系膜增殖性狼疮性肾炎</w:t>
            </w:r>
          </w:p>
          <w:p>
            <w:pPr>
              <w:pStyle w:val="TableParagraph"/>
              <w:numPr>
                <w:ilvl w:val="0"/>
                <w:numId w:val="12"/>
              </w:numPr>
              <w:tabs>
                <w:tab w:pos="478" w:val="left" w:leader="none"/>
              </w:tabs>
              <w:spacing w:line="240" w:lineRule="auto" w:before="37" w:after="0"/>
              <w:ind w:left="477" w:right="0" w:hanging="370"/>
              <w:jc w:val="left"/>
              <w:rPr>
                <w:sz w:val="21"/>
              </w:rPr>
            </w:pPr>
            <w:r>
              <w:rPr>
                <w:spacing w:val="-3"/>
                <w:sz w:val="21"/>
              </w:rPr>
              <w:t>型：局灶节段增殖性狼疮性肾炎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型：弥漫增殖性狼疮性肾炎</w:t>
            </w:r>
          </w:p>
          <w:p>
            <w:pPr>
              <w:pStyle w:val="TableParagraph"/>
              <w:numPr>
                <w:ilvl w:val="0"/>
                <w:numId w:val="12"/>
              </w:numPr>
              <w:tabs>
                <w:tab w:pos="266" w:val="left" w:leader="none"/>
              </w:tabs>
              <w:spacing w:line="240" w:lineRule="auto" w:before="36" w:after="0"/>
              <w:ind w:left="266" w:right="0" w:hanging="159"/>
              <w:jc w:val="left"/>
              <w:rPr>
                <w:sz w:val="21"/>
              </w:rPr>
            </w:pPr>
            <w:r>
              <w:rPr>
                <w:spacing w:val="-3"/>
                <w:sz w:val="21"/>
              </w:rPr>
              <w:t>型：膜性狼疮性肾炎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199"/>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6"/>
              <w:ind w:left="107"/>
              <w:rPr>
                <w:sz w:val="21"/>
              </w:rPr>
            </w:pPr>
            <w:r>
              <w:rPr>
                <w:sz w:val="21"/>
              </w:rPr>
              <w:t>（3）关节的畸形改变至少持续 180 日；</w:t>
            </w:r>
          </w:p>
          <w:p>
            <w:pPr>
              <w:pStyle w:val="TableParagraph"/>
              <w:spacing w:line="273" w:lineRule="auto" w:before="36"/>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spacing w:before="77"/>
              <w:ind w:left="180" w:right="132"/>
              <w:jc w:val="center"/>
              <w:rPr>
                <w:b/>
                <w:sz w:val="21"/>
              </w:rPr>
            </w:pPr>
            <w:r>
              <w:rPr>
                <w:b/>
                <w:sz w:val="21"/>
              </w:rPr>
              <w:t>3.2.32</w:t>
            </w:r>
          </w:p>
        </w:tc>
        <w:tc>
          <w:tcPr>
            <w:tcW w:w="1707" w:type="dxa"/>
          </w:tcPr>
          <w:p>
            <w:pPr>
              <w:pStyle w:val="TableParagraph"/>
              <w:spacing w:before="77"/>
              <w:ind w:left="150"/>
              <w:rPr>
                <w:b/>
                <w:sz w:val="21"/>
              </w:rPr>
            </w:pPr>
            <w:r>
              <w:rPr>
                <w:b/>
                <w:sz w:val="21"/>
              </w:rPr>
              <w:t>坏死性筋膜炎</w:t>
            </w:r>
          </w:p>
        </w:tc>
        <w:tc>
          <w:tcPr>
            <w:tcW w:w="7580" w:type="dxa"/>
          </w:tcPr>
          <w:p>
            <w:pPr>
              <w:pStyle w:val="TableParagraph"/>
              <w:spacing w:line="273" w:lineRule="auto" w:before="77"/>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8"/>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580" w:type="dxa"/>
          </w:tcPr>
          <w:p>
            <w:pPr>
              <w:pStyle w:val="TableParagraph"/>
              <w:spacing w:line="273" w:lineRule="auto"/>
              <w:ind w:left="107" w:right="200"/>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691" w:hRule="atLeast"/>
        </w:trPr>
        <w:tc>
          <w:tcPr>
            <w:tcW w:w="988" w:type="dxa"/>
          </w:tcPr>
          <w:p>
            <w:pPr>
              <w:pStyle w:val="TableParagraph"/>
              <w:spacing w:before="168"/>
              <w:ind w:left="180" w:right="132"/>
              <w:jc w:val="center"/>
              <w:rPr>
                <w:b/>
                <w:sz w:val="21"/>
              </w:rPr>
            </w:pPr>
            <w:r>
              <w:rPr>
                <w:b/>
                <w:sz w:val="21"/>
              </w:rPr>
              <w:t>3.2.35</w:t>
            </w:r>
          </w:p>
        </w:tc>
        <w:tc>
          <w:tcPr>
            <w:tcW w:w="1707" w:type="dxa"/>
          </w:tcPr>
          <w:p>
            <w:pPr>
              <w:pStyle w:val="TableParagraph"/>
              <w:spacing w:before="168"/>
              <w:ind w:left="150"/>
              <w:rPr>
                <w:b/>
                <w:sz w:val="21"/>
              </w:rPr>
            </w:pPr>
            <w:r>
              <w:rPr>
                <w:b/>
                <w:sz w:val="21"/>
              </w:rPr>
              <w:t>肌营养不良</w:t>
            </w:r>
          </w:p>
        </w:tc>
        <w:tc>
          <w:tcPr>
            <w:tcW w:w="7580" w:type="dxa"/>
          </w:tcPr>
          <w:p>
            <w:pPr>
              <w:pStyle w:val="TableParagraph"/>
              <w:spacing w:line="273" w:lineRule="auto" w:before="168"/>
              <w:ind w:left="107" w:right="200"/>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before="7"/>
              <w:ind w:left="107"/>
              <w:rPr>
                <w:sz w:val="21"/>
              </w:rPr>
            </w:pPr>
            <w:r>
              <w:rPr>
                <w:sz w:val="21"/>
              </w:rPr>
              <w:t>（1）肌肉组织活检结果满足肌营养不良症的肌肉细胞变性、坏死等阳性改变；</w:t>
            </w:r>
          </w:p>
          <w:p>
            <w:pPr>
              <w:pStyle w:val="TableParagraph"/>
              <w:spacing w:line="310" w:lineRule="atLeast" w:before="1"/>
              <w:ind w:left="633" w:right="221" w:hanging="527"/>
              <w:rPr>
                <w:sz w:val="21"/>
              </w:rPr>
            </w:pPr>
            <w:r>
              <w:rPr>
                <w:sz w:val="21"/>
              </w:rPr>
              <w:t>（2）自主生活能力完全丧失，无法独立完成六项基本日常生活活动中的三项或三项以上。</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r>
        <w:rPr/>
        <w:pict>
          <v:line style="position:absolute;mso-position-horizontal-relative:page;mso-position-vertical-relative:page;z-index:-32056" from="555.459961pt,332.449982pt" to="555.459961pt,457.249982pt" stroked="true" strokeweight=".47998pt" strokecolor="#ffffff">
            <v:stroke dashstyle="solid"/>
            <w10:wrap type="none"/>
          </v:line>
        </w:pict>
      </w:r>
      <w:r>
        <w:rPr/>
        <w:pict>
          <v:line style="position:absolute;mso-position-horizontal-relative:page;mso-position-vertical-relative:page;z-index:-32032" from="555.459961pt,546.675964pt" to="555.459961pt,749.495964pt" stroked="true" strokeweight=".47998pt" strokecolor="#ffffff">
            <v:stroke dashstyle="solid"/>
            <w10:wrap type="none"/>
          </v:line>
        </w:pict>
      </w:r>
    </w:p>
    <w:p>
      <w:pPr>
        <w:pStyle w:val="BodyText"/>
        <w:rPr>
          <w:rFonts w:ascii="Times New Roman"/>
          <w:sz w:val="20"/>
        </w:rPr>
      </w:pPr>
    </w:p>
    <w:p>
      <w:pPr>
        <w:pStyle w:val="BodyText"/>
        <w:spacing w:before="9"/>
        <w:rPr>
          <w:rFonts w:ascii="Times New Roman"/>
          <w:sz w:val="1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76"/>
        <w:gridCol w:w="7637"/>
      </w:tblGrid>
      <w:tr>
        <w:trPr>
          <w:trHeight w:val="462" w:hRule="atLeast"/>
        </w:trPr>
        <w:tc>
          <w:tcPr>
            <w:tcW w:w="628" w:type="dxa"/>
            <w:tcBorders>
              <w:bottom w:val="single" w:sz="6" w:space="0" w:color="000000"/>
            </w:tcBorders>
          </w:tcPr>
          <w:p>
            <w:pPr>
              <w:pStyle w:val="TableParagraph"/>
              <w:spacing w:line="281" w:lineRule="exact" w:before="0"/>
              <w:ind w:left="0"/>
              <w:rPr>
                <w:b/>
                <w:sz w:val="28"/>
              </w:rPr>
            </w:pPr>
            <w:r>
              <w:rPr>
                <w:b/>
                <w:w w:val="99"/>
                <w:sz w:val="28"/>
              </w:rPr>
              <w:t>⒋</w:t>
            </w:r>
          </w:p>
        </w:tc>
        <w:tc>
          <w:tcPr>
            <w:tcW w:w="1776" w:type="dxa"/>
            <w:tcBorders>
              <w:bottom w:val="single" w:sz="6" w:space="0" w:color="000000"/>
            </w:tcBorders>
          </w:tcPr>
          <w:p>
            <w:pPr>
              <w:pStyle w:val="TableParagraph"/>
              <w:spacing w:line="258" w:lineRule="exact" w:before="0"/>
              <w:ind w:left="310"/>
              <w:rPr>
                <w:b/>
                <w:sz w:val="24"/>
              </w:rPr>
            </w:pPr>
            <w:r>
              <w:rPr>
                <w:b/>
                <w:w w:val="95"/>
                <w:sz w:val="24"/>
              </w:rPr>
              <w:t>保险金的申请</w:t>
            </w:r>
          </w:p>
        </w:tc>
        <w:tc>
          <w:tcPr>
            <w:tcW w:w="7637" w:type="dxa"/>
            <w:tcBorders>
              <w:bottom w:val="single" w:sz="6" w:space="0" w:color="000000"/>
            </w:tcBorders>
          </w:tcPr>
          <w:p>
            <w:pPr>
              <w:pStyle w:val="TableParagraph"/>
              <w:spacing w:before="0"/>
              <w:ind w:left="0"/>
              <w:rPr>
                <w:rFonts w:ascii="Times New Roman"/>
                <w:sz w:val="20"/>
              </w:rPr>
            </w:pPr>
          </w:p>
        </w:tc>
      </w:tr>
      <w:tr>
        <w:trPr>
          <w:trHeight w:val="1806" w:hRule="atLeast"/>
        </w:trPr>
        <w:tc>
          <w:tcPr>
            <w:tcW w:w="628" w:type="dxa"/>
            <w:tcBorders>
              <w:top w:val="single" w:sz="6" w:space="0" w:color="000000"/>
            </w:tcBorders>
          </w:tcPr>
          <w:p>
            <w:pPr>
              <w:pStyle w:val="TableParagraph"/>
              <w:spacing w:before="143"/>
              <w:ind w:left="0"/>
              <w:rPr>
                <w:b/>
                <w:sz w:val="21"/>
              </w:rPr>
            </w:pPr>
            <w:r>
              <w:rPr>
                <w:b/>
                <w:sz w:val="21"/>
              </w:rPr>
              <w:t>4.1</w:t>
            </w:r>
          </w:p>
        </w:tc>
        <w:tc>
          <w:tcPr>
            <w:tcW w:w="1776" w:type="dxa"/>
            <w:tcBorders>
              <w:top w:val="single" w:sz="6" w:space="0" w:color="000000"/>
            </w:tcBorders>
          </w:tcPr>
          <w:p>
            <w:pPr>
              <w:pStyle w:val="TableParagraph"/>
              <w:spacing w:before="143"/>
              <w:ind w:left="310"/>
              <w:rPr>
                <w:b/>
                <w:sz w:val="21"/>
              </w:rPr>
            </w:pPr>
            <w:r>
              <w:rPr>
                <w:b/>
                <w:sz w:val="21"/>
              </w:rPr>
              <w:t>受益人</w:t>
            </w:r>
          </w:p>
        </w:tc>
        <w:tc>
          <w:tcPr>
            <w:tcW w:w="7637" w:type="dxa"/>
            <w:tcBorders>
              <w:top w:val="single" w:sz="6" w:space="0" w:color="000000"/>
            </w:tcBorders>
          </w:tcPr>
          <w:p>
            <w:pPr>
              <w:pStyle w:val="TableParagraph"/>
              <w:spacing w:line="273" w:lineRule="auto" w:before="143"/>
              <w:ind w:right="166"/>
              <w:rPr>
                <w:sz w:val="21"/>
              </w:rPr>
            </w:pPr>
            <w:r>
              <w:rPr>
                <w:spacing w:val="-7"/>
                <w:sz w:val="21"/>
              </w:rPr>
              <w:t>被保险人为无民事行为能力人或限制民事行为能力人的，可以由其监护人指定受益人。</w:t>
            </w:r>
          </w:p>
          <w:p>
            <w:pPr>
              <w:pStyle w:val="TableParagraph"/>
              <w:spacing w:line="273" w:lineRule="auto" w:before="7"/>
              <w:ind w:right="79"/>
              <w:rPr>
                <w:sz w:val="21"/>
              </w:rPr>
            </w:pPr>
            <w:r>
              <w:rPr>
                <w:sz w:val="21"/>
              </w:rPr>
              <w:t>受益人故意造成被保险人身故、伤残、疾病的，或者故意杀害被保险人未遂的， 该受益人丧失受益权。</w:t>
            </w:r>
          </w:p>
          <w:p>
            <w:pPr>
              <w:pStyle w:val="TableParagraph"/>
              <w:spacing w:before="7"/>
              <w:rPr>
                <w:sz w:val="21"/>
              </w:rPr>
            </w:pPr>
            <w:r>
              <w:rPr>
                <w:sz w:val="21"/>
              </w:rPr>
              <w:t>除另有约定外，本合同重大疾病保险金的受益人为被保险人本人。</w:t>
            </w:r>
          </w:p>
        </w:tc>
      </w:tr>
      <w:tr>
        <w:trPr>
          <w:trHeight w:val="2676" w:hRule="atLeast"/>
        </w:trPr>
        <w:tc>
          <w:tcPr>
            <w:tcW w:w="628" w:type="dxa"/>
          </w:tcPr>
          <w:p>
            <w:pPr>
              <w:pStyle w:val="TableParagraph"/>
              <w:ind w:left="0"/>
              <w:rPr>
                <w:b/>
                <w:sz w:val="21"/>
              </w:rPr>
            </w:pPr>
            <w:r>
              <w:rPr>
                <w:b/>
                <w:sz w:val="21"/>
              </w:rPr>
              <w:t>4.2</w:t>
            </w:r>
          </w:p>
        </w:tc>
        <w:tc>
          <w:tcPr>
            <w:tcW w:w="1776" w:type="dxa"/>
          </w:tcPr>
          <w:p>
            <w:pPr>
              <w:pStyle w:val="TableParagraph"/>
              <w:ind w:left="310"/>
              <w:rPr>
                <w:b/>
                <w:sz w:val="21"/>
              </w:rPr>
            </w:pPr>
            <w:r>
              <w:rPr>
                <w:b/>
                <w:sz w:val="21"/>
              </w:rPr>
              <w:t>保险事故通知</w:t>
            </w:r>
          </w:p>
        </w:tc>
        <w:tc>
          <w:tcPr>
            <w:tcW w:w="7637" w:type="dxa"/>
          </w:tcPr>
          <w:p>
            <w:pPr>
              <w:pStyle w:val="TableParagraph"/>
              <w:rPr>
                <w:sz w:val="21"/>
              </w:rPr>
            </w:pPr>
            <w:r>
              <w:rPr>
                <w:sz w:val="21"/>
              </w:rPr>
              <w:t>请您、被保险人、受益人或其他有权领取保险金的人在知道保险事故发生之日起</w:t>
            </w:r>
          </w:p>
          <w:p>
            <w:pPr>
              <w:pStyle w:val="TableParagraph"/>
              <w:spacing w:line="259" w:lineRule="auto" w:before="27"/>
              <w:ind w:right="165"/>
              <w:jc w:val="both"/>
              <w:rPr>
                <w:sz w:val="22"/>
              </w:rPr>
            </w:pPr>
            <w:r>
              <w:rPr>
                <w:sz w:val="21"/>
              </w:rPr>
              <w:t>5</w:t>
            </w:r>
            <w:r>
              <w:rPr>
                <w:spacing w:val="-4"/>
                <w:sz w:val="21"/>
              </w:rPr>
              <w:t>日内通知我们，</w:t>
            </w:r>
            <w:r>
              <w:rPr>
                <w:spacing w:val="-2"/>
                <w:sz w:val="22"/>
              </w:rPr>
              <w:t>否则</w:t>
            </w:r>
            <w:r>
              <w:rPr>
                <w:spacing w:val="-6"/>
                <w:sz w:val="21"/>
              </w:rPr>
              <w:t>您、被保险人、受益人或其他有权领取保险金的人</w:t>
            </w:r>
            <w:r>
              <w:rPr>
                <w:spacing w:val="-2"/>
                <w:sz w:val="22"/>
              </w:rPr>
              <w:t>需承担</w:t>
            </w:r>
            <w:r>
              <w:rPr>
                <w:spacing w:val="-8"/>
                <w:sz w:val="22"/>
              </w:rPr>
              <w:t>由于延迟通知致使我们增加的勘查、检验等费用，</w:t>
            </w:r>
            <w:r>
              <w:rPr>
                <w:spacing w:val="-3"/>
                <w:sz w:val="21"/>
              </w:rPr>
              <w:t>因不可抗力导致的通知延迟</w:t>
            </w:r>
            <w:r>
              <w:rPr>
                <w:sz w:val="21"/>
              </w:rPr>
              <w:t>除外</w:t>
            </w:r>
            <w:r>
              <w:rPr>
                <w:sz w:val="22"/>
              </w:rPr>
              <w:t>。</w:t>
            </w:r>
          </w:p>
          <w:p>
            <w:pPr>
              <w:pStyle w:val="TableParagraph"/>
              <w:spacing w:line="273" w:lineRule="auto" w:before="15"/>
              <w:ind w:right="171"/>
              <w:rPr>
                <w:rFonts w:ascii="黑体" w:eastAsia="黑体" w:hint="eastAsia"/>
                <w:b/>
                <w:sz w:val="21"/>
              </w:rPr>
            </w:pPr>
            <w:r>
              <w:rPr>
                <w:rFonts w:ascii="黑体" w:eastAsia="黑体" w:hint="eastAsia"/>
                <w:b/>
                <w:spacing w:val="-3"/>
                <w:sz w:val="21"/>
              </w:rPr>
              <w:t>如果您、被保险人、受益人或其他有权领取保险金的人故意或者因重大过失在知道保险事故发Th</w:t>
            </w:r>
            <w:r>
              <w:rPr>
                <w:rFonts w:ascii="黑体" w:eastAsia="黑体" w:hint="eastAsia"/>
                <w:b/>
                <w:spacing w:val="-2"/>
                <w:sz w:val="21"/>
              </w:rPr>
              <w:t>之日起</w:t>
            </w:r>
            <w:r>
              <w:rPr>
                <w:rFonts w:ascii="黑体" w:eastAsia="黑体" w:hint="eastAsia"/>
                <w:b/>
                <w:spacing w:val="-3"/>
                <w:sz w:val="21"/>
              </w:rPr>
              <w:t>5日内未通知我们，致使保险事故的性质、原因、伤害程度等难以确定的，我们对无法确定的部分，不承担给付保险金的责任，但我们通过其他途径已经及时知道或者应当及时知道保险事故发</w:t>
            </w:r>
            <w:r>
              <w:rPr>
                <w:rFonts w:ascii="黑体" w:eastAsia="黑体" w:hint="eastAsia"/>
                <w:b/>
                <w:sz w:val="21"/>
              </w:rPr>
              <w:t>Th的除外。</w:t>
            </w:r>
          </w:p>
        </w:tc>
      </w:tr>
      <w:tr>
        <w:trPr>
          <w:trHeight w:val="2665" w:hRule="atLeast"/>
        </w:trPr>
        <w:tc>
          <w:tcPr>
            <w:tcW w:w="628" w:type="dxa"/>
          </w:tcPr>
          <w:p>
            <w:pPr>
              <w:pStyle w:val="TableParagraph"/>
              <w:ind w:left="0"/>
              <w:rPr>
                <w:b/>
                <w:sz w:val="21"/>
              </w:rPr>
            </w:pPr>
            <w:r>
              <w:rPr>
                <w:b/>
                <w:sz w:val="21"/>
              </w:rPr>
              <w:t>4.3</w:t>
            </w:r>
          </w:p>
        </w:tc>
        <w:tc>
          <w:tcPr>
            <w:tcW w:w="1776" w:type="dxa"/>
          </w:tcPr>
          <w:p>
            <w:pPr>
              <w:pStyle w:val="TableParagraph"/>
              <w:ind w:left="310"/>
              <w:rPr>
                <w:b/>
                <w:sz w:val="21"/>
              </w:rPr>
            </w:pPr>
            <w:r>
              <w:rPr>
                <w:b/>
                <w:sz w:val="21"/>
              </w:rPr>
              <w:t>保险金申请</w:t>
            </w:r>
          </w:p>
        </w:tc>
        <w:tc>
          <w:tcPr>
            <w:tcW w:w="7637" w:type="dxa"/>
          </w:tcPr>
          <w:p>
            <w:pPr>
              <w:pStyle w:val="TableParagraph"/>
              <w:rPr>
                <w:sz w:val="21"/>
              </w:rPr>
            </w:pPr>
            <w:r>
              <w:rPr>
                <w:sz w:val="21"/>
              </w:rPr>
              <w:t>申请人须填写保险金给付申请书，并须提供下列证明和资料：</w:t>
            </w:r>
          </w:p>
          <w:p>
            <w:pPr>
              <w:pStyle w:val="TableParagraph"/>
              <w:spacing w:before="36"/>
              <w:rPr>
                <w:sz w:val="21"/>
              </w:rPr>
            </w:pPr>
            <w:r>
              <w:rPr>
                <w:sz w:val="21"/>
              </w:rPr>
              <w:t>1、理赔申请书；</w:t>
            </w:r>
          </w:p>
          <w:p>
            <w:pPr>
              <w:pStyle w:val="TableParagraph"/>
              <w:spacing w:before="36"/>
              <w:rPr>
                <w:sz w:val="21"/>
              </w:rPr>
            </w:pPr>
            <w:r>
              <w:rPr>
                <w:sz w:val="21"/>
              </w:rPr>
              <w:t>2、保险合同；</w:t>
            </w:r>
          </w:p>
          <w:p>
            <w:pPr>
              <w:pStyle w:val="TableParagraph"/>
              <w:spacing w:before="36"/>
              <w:rPr>
                <w:sz w:val="21"/>
              </w:rPr>
            </w:pPr>
            <w:r>
              <w:rPr>
                <w:sz w:val="21"/>
              </w:rPr>
              <w:t>3、被保险人法定有效身份证明；</w:t>
            </w:r>
          </w:p>
          <w:p>
            <w:pPr>
              <w:pStyle w:val="TableParagraph"/>
              <w:spacing w:before="36"/>
              <w:rPr>
                <w:sz w:val="21"/>
              </w:rPr>
            </w:pPr>
            <w:r>
              <w:rPr>
                <w:sz w:val="21"/>
              </w:rPr>
              <w:t>4、申请人的法定有效身份证明及关系证明；</w:t>
            </w:r>
          </w:p>
          <w:p>
            <w:pPr>
              <w:pStyle w:val="TableParagraph"/>
              <w:spacing w:line="273" w:lineRule="auto" w:before="36"/>
              <w:ind w:left="513" w:right="60"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rPr>
                <w:sz w:val="21"/>
              </w:rPr>
            </w:pPr>
            <w:r>
              <w:rPr>
                <w:sz w:val="21"/>
              </w:rPr>
              <w:t>6、申请人所能提供的与确认保险事故的性质、原因等有关的其他证明和资料。</w:t>
            </w:r>
          </w:p>
        </w:tc>
      </w:tr>
      <w:tr>
        <w:trPr>
          <w:trHeight w:val="815" w:hRule="atLeast"/>
        </w:trPr>
        <w:tc>
          <w:tcPr>
            <w:tcW w:w="628" w:type="dxa"/>
          </w:tcPr>
          <w:p>
            <w:pPr>
              <w:pStyle w:val="TableParagraph"/>
              <w:spacing w:before="87"/>
              <w:ind w:left="0"/>
              <w:rPr>
                <w:b/>
                <w:sz w:val="21"/>
              </w:rPr>
            </w:pPr>
            <w:r>
              <w:rPr>
                <w:b/>
                <w:sz w:val="21"/>
              </w:rPr>
              <w:t>4.4</w:t>
            </w:r>
          </w:p>
        </w:tc>
        <w:tc>
          <w:tcPr>
            <w:tcW w:w="1776" w:type="dxa"/>
          </w:tcPr>
          <w:p>
            <w:pPr>
              <w:pStyle w:val="TableParagraph"/>
              <w:spacing w:line="273" w:lineRule="auto" w:before="87"/>
              <w:ind w:left="310" w:right="197"/>
              <w:rPr>
                <w:b/>
                <w:sz w:val="21"/>
              </w:rPr>
            </w:pPr>
            <w:r>
              <w:rPr>
                <w:b/>
                <w:sz w:val="21"/>
              </w:rPr>
              <w:t>委托他人代为申请保险金</w:t>
            </w:r>
          </w:p>
        </w:tc>
        <w:tc>
          <w:tcPr>
            <w:tcW w:w="7637" w:type="dxa"/>
          </w:tcPr>
          <w:p>
            <w:pPr>
              <w:pStyle w:val="TableParagraph"/>
              <w:spacing w:line="237" w:lineRule="auto" w:before="68"/>
              <w:ind w:right="163"/>
              <w:rPr>
                <w:sz w:val="21"/>
              </w:rPr>
            </w:pPr>
            <w:r>
              <w:rPr>
                <w:sz w:val="21"/>
              </w:rPr>
              <w:t>若申请人委托他人代为申请保险金，受委托人还应提供申请人亲笔签字的理赔授权委托书、受委托人的法定有效身份证明等相关证明文件。</w:t>
            </w:r>
          </w:p>
        </w:tc>
      </w:tr>
      <w:tr>
        <w:trPr>
          <w:trHeight w:val="803" w:hRule="atLeast"/>
        </w:trPr>
        <w:tc>
          <w:tcPr>
            <w:tcW w:w="628" w:type="dxa"/>
          </w:tcPr>
          <w:p>
            <w:pPr>
              <w:pStyle w:val="TableParagraph"/>
              <w:ind w:left="0"/>
              <w:rPr>
                <w:b/>
                <w:sz w:val="21"/>
              </w:rPr>
            </w:pPr>
            <w:r>
              <w:rPr>
                <w:b/>
                <w:sz w:val="21"/>
              </w:rPr>
              <w:t>4.5</w:t>
            </w:r>
          </w:p>
        </w:tc>
        <w:tc>
          <w:tcPr>
            <w:tcW w:w="1776" w:type="dxa"/>
          </w:tcPr>
          <w:p>
            <w:pPr>
              <w:pStyle w:val="TableParagraph"/>
              <w:ind w:left="310"/>
              <w:rPr>
                <w:b/>
                <w:sz w:val="21"/>
              </w:rPr>
            </w:pPr>
            <w:r>
              <w:rPr>
                <w:b/>
                <w:sz w:val="21"/>
              </w:rPr>
              <w:t>提供补充材料</w:t>
            </w:r>
          </w:p>
        </w:tc>
        <w:tc>
          <w:tcPr>
            <w:tcW w:w="7637" w:type="dxa"/>
          </w:tcPr>
          <w:p>
            <w:pPr>
              <w:pStyle w:val="TableParagraph"/>
              <w:spacing w:line="273" w:lineRule="auto"/>
              <w:ind w:right="166"/>
              <w:rPr>
                <w:sz w:val="21"/>
              </w:rPr>
            </w:pPr>
            <w:r>
              <w:rPr>
                <w:spacing w:val="-8"/>
                <w:sz w:val="21"/>
              </w:rPr>
              <w:t>以上保险金申请的证明和资料不完整的，我们将一次性通知申请人补充提供有关</w:t>
            </w:r>
            <w:r>
              <w:rPr>
                <w:spacing w:val="-5"/>
                <w:sz w:val="21"/>
              </w:rPr>
              <w:t>的证明和资料，但出现不可预知的新情况除外。</w:t>
            </w:r>
          </w:p>
        </w:tc>
      </w:tr>
      <w:tr>
        <w:trPr>
          <w:trHeight w:val="4236" w:hRule="atLeast"/>
        </w:trPr>
        <w:tc>
          <w:tcPr>
            <w:tcW w:w="628" w:type="dxa"/>
          </w:tcPr>
          <w:p>
            <w:pPr>
              <w:pStyle w:val="TableParagraph"/>
              <w:ind w:left="0"/>
              <w:rPr>
                <w:b/>
                <w:sz w:val="21"/>
              </w:rPr>
            </w:pPr>
            <w:r>
              <w:rPr>
                <w:b/>
                <w:sz w:val="21"/>
              </w:rPr>
              <w:t>4.6</w:t>
            </w:r>
          </w:p>
        </w:tc>
        <w:tc>
          <w:tcPr>
            <w:tcW w:w="1776" w:type="dxa"/>
          </w:tcPr>
          <w:p>
            <w:pPr>
              <w:pStyle w:val="TableParagraph"/>
              <w:ind w:left="310"/>
              <w:rPr>
                <w:b/>
                <w:sz w:val="21"/>
              </w:rPr>
            </w:pPr>
            <w:r>
              <w:rPr>
                <w:b/>
                <w:sz w:val="21"/>
              </w:rPr>
              <w:t>保险金给付</w:t>
            </w:r>
          </w:p>
        </w:tc>
        <w:tc>
          <w:tcPr>
            <w:tcW w:w="7637" w:type="dxa"/>
          </w:tcPr>
          <w:p>
            <w:pPr>
              <w:pStyle w:val="TableParagraph"/>
              <w:spacing w:line="273" w:lineRule="auto"/>
              <w:ind w:left="724" w:right="60" w:hanging="527"/>
              <w:rPr>
                <w:sz w:val="21"/>
              </w:rPr>
            </w:pPr>
            <w:r>
              <w:rPr>
                <w:spacing w:val="-15"/>
                <w:sz w:val="21"/>
              </w:rPr>
              <w:t>（1）</w:t>
            </w:r>
            <w:r>
              <w:rPr>
                <w:spacing w:val="-5"/>
                <w:sz w:val="21"/>
              </w:rPr>
              <w:t>我们收到被保险人或者受益人的给付保险金的请求后，应当及时作出核定； </w:t>
            </w:r>
            <w:r>
              <w:rPr>
                <w:spacing w:val="-12"/>
                <w:sz w:val="21"/>
              </w:rPr>
              <w:t>情形复杂的，应当在 </w:t>
            </w:r>
            <w:r>
              <w:rPr>
                <w:sz w:val="21"/>
              </w:rPr>
              <w:t>30</w:t>
            </w:r>
            <w:r>
              <w:rPr>
                <w:spacing w:val="-11"/>
                <w:sz w:val="21"/>
              </w:rPr>
              <w:t> 日内作出核定，但合同另有约定的除外。我们应当</w:t>
            </w:r>
            <w:r>
              <w:rPr>
                <w:spacing w:val="-8"/>
                <w:sz w:val="21"/>
              </w:rPr>
              <w:t>将核定结果通知被保险人或者受益人；对属于保险责任的，在与被保险人或者受益人达成给付保险金的协议后 </w:t>
            </w:r>
            <w:r>
              <w:rPr>
                <w:sz w:val="21"/>
              </w:rPr>
              <w:t>10</w:t>
            </w:r>
            <w:r>
              <w:rPr>
                <w:spacing w:val="-14"/>
                <w:sz w:val="21"/>
              </w:rPr>
              <w:t> 日内，履行给付保险金义务。本合</w:t>
            </w:r>
            <w:r>
              <w:rPr>
                <w:spacing w:val="-13"/>
                <w:sz w:val="21"/>
              </w:rPr>
              <w:t>同对给付保险金的期限有约定的，我们应当按照约定履行给付保险金义务。</w:t>
            </w:r>
          </w:p>
          <w:p>
            <w:pPr>
              <w:pStyle w:val="TableParagraph"/>
              <w:spacing w:line="273" w:lineRule="auto" w:before="7"/>
              <w:ind w:left="724" w:right="170" w:hanging="527"/>
              <w:jc w:val="both"/>
              <w:rPr>
                <w:sz w:val="21"/>
              </w:rPr>
            </w:pPr>
            <w:r>
              <w:rPr>
                <w:sz w:val="21"/>
              </w:rPr>
              <w:t>（2）我们未及时履行前款规定义务的，除支付保险金外，应当赔偿被保险人或者受益人因此受到的损失。</w:t>
            </w:r>
          </w:p>
          <w:p>
            <w:pPr>
              <w:pStyle w:val="TableParagraph"/>
              <w:spacing w:line="273" w:lineRule="auto" w:before="8"/>
              <w:ind w:left="724" w:right="165" w:hanging="527"/>
              <w:jc w:val="both"/>
              <w:rPr>
                <w:sz w:val="21"/>
              </w:rPr>
            </w:pPr>
            <w:r>
              <w:rPr>
                <w:sz w:val="21"/>
              </w:rPr>
              <w:t>（3）</w:t>
            </w:r>
            <w:r>
              <w:rPr>
                <w:spacing w:val="-3"/>
                <w:sz w:val="21"/>
              </w:rPr>
              <w:t>我们依照前款的规定作出核定后，对不属于保险责任的，应当自作出核定</w:t>
            </w:r>
            <w:r>
              <w:rPr>
                <w:spacing w:val="-7"/>
                <w:sz w:val="21"/>
              </w:rPr>
              <w:t>之日起 </w:t>
            </w:r>
            <w:r>
              <w:rPr>
                <w:sz w:val="21"/>
              </w:rPr>
              <w:t>3</w:t>
            </w:r>
            <w:r>
              <w:rPr>
                <w:spacing w:val="-7"/>
                <w:sz w:val="21"/>
              </w:rPr>
              <w:t> 日内向被保险人或者受益人发出拒绝给付保险金通知书，并说明理由。</w:t>
            </w:r>
          </w:p>
          <w:p>
            <w:pPr>
              <w:pStyle w:val="TableParagraph"/>
              <w:spacing w:line="273" w:lineRule="auto" w:before="7"/>
              <w:ind w:left="724" w:right="165" w:hanging="527"/>
              <w:jc w:val="both"/>
              <w:rPr>
                <w:sz w:val="21"/>
              </w:rPr>
            </w:pPr>
            <w:r>
              <w:rPr>
                <w:spacing w:val="-10"/>
                <w:sz w:val="21"/>
              </w:rPr>
              <w:t>（4）</w:t>
            </w:r>
            <w:r>
              <w:rPr>
                <w:spacing w:val="-7"/>
                <w:sz w:val="21"/>
              </w:rPr>
              <w:t>我们自收到给付保险金的请求和有关证明、资料之日起 </w:t>
            </w:r>
            <w:r>
              <w:rPr>
                <w:sz w:val="21"/>
              </w:rPr>
              <w:t>60</w:t>
            </w:r>
            <w:r>
              <w:rPr>
                <w:spacing w:val="-11"/>
                <w:sz w:val="21"/>
              </w:rPr>
              <w:t> 日内，对给付保</w:t>
            </w:r>
            <w:r>
              <w:rPr>
                <w:spacing w:val="-6"/>
                <w:sz w:val="21"/>
              </w:rPr>
              <w:t>险金的数额不能确定的，应当根据已有证明和资料可以确定的数额先予支</w:t>
            </w:r>
            <w:r>
              <w:rPr>
                <w:spacing w:val="-3"/>
                <w:sz w:val="21"/>
              </w:rPr>
              <w:t>付；我们最终确定给付保险金的数额后，应当支付相应的差额。</w:t>
            </w:r>
          </w:p>
        </w:tc>
      </w:tr>
      <w:tr>
        <w:trPr>
          <w:trHeight w:val="351" w:hRule="atLeast"/>
        </w:trPr>
        <w:tc>
          <w:tcPr>
            <w:tcW w:w="628" w:type="dxa"/>
          </w:tcPr>
          <w:p>
            <w:pPr>
              <w:pStyle w:val="TableParagraph"/>
              <w:spacing w:line="255" w:lineRule="exact"/>
              <w:ind w:left="0"/>
              <w:rPr>
                <w:b/>
                <w:sz w:val="21"/>
              </w:rPr>
            </w:pPr>
            <w:r>
              <w:rPr>
                <w:b/>
                <w:sz w:val="21"/>
              </w:rPr>
              <w:t>4.7</w:t>
            </w:r>
          </w:p>
        </w:tc>
        <w:tc>
          <w:tcPr>
            <w:tcW w:w="1776" w:type="dxa"/>
          </w:tcPr>
          <w:p>
            <w:pPr>
              <w:pStyle w:val="TableParagraph"/>
              <w:spacing w:line="255" w:lineRule="exact"/>
              <w:ind w:left="310"/>
              <w:rPr>
                <w:b/>
                <w:sz w:val="21"/>
              </w:rPr>
            </w:pPr>
            <w:r>
              <w:rPr>
                <w:b/>
                <w:sz w:val="21"/>
              </w:rPr>
              <w:t>诉讼时效</w:t>
            </w:r>
          </w:p>
        </w:tc>
        <w:tc>
          <w:tcPr>
            <w:tcW w:w="7637" w:type="dxa"/>
          </w:tcPr>
          <w:p>
            <w:pPr>
              <w:pStyle w:val="TableParagraph"/>
              <w:spacing w:line="255" w:lineRule="exact"/>
              <w:rPr>
                <w:sz w:val="21"/>
              </w:rPr>
            </w:pPr>
            <w:r>
              <w:rPr>
                <w:spacing w:val="-5"/>
                <w:sz w:val="21"/>
              </w:rPr>
              <w:t>申请人向我们申请给付保险金的诉讼时效期间为 </w:t>
            </w:r>
            <w:r>
              <w:rPr>
                <w:sz w:val="21"/>
              </w:rPr>
              <w:t>2</w:t>
            </w:r>
            <w:r>
              <w:rPr>
                <w:spacing w:val="-13"/>
                <w:sz w:val="21"/>
              </w:rPr>
              <w:t> 年，自其知道或应当知道保险</w:t>
            </w:r>
          </w:p>
        </w:tc>
      </w:tr>
    </w:tbl>
    <w:p>
      <w:pPr>
        <w:spacing w:after="0" w:line="255" w:lineRule="exact"/>
        <w:rPr>
          <w:sz w:val="21"/>
        </w:rPr>
        <w:sectPr>
          <w:pgSz w:w="11910" w:h="16840"/>
          <w:pgMar w:header="566" w:footer="664" w:top="1000" w:bottom="860" w:left="1000" w:right="620"/>
        </w:sectPr>
      </w:pPr>
    </w:p>
    <w:p>
      <w:pPr>
        <w:pStyle w:val="BodyText"/>
        <w:rPr>
          <w:rFonts w:ascii="Times New Roman"/>
          <w:sz w:val="20"/>
        </w:rPr>
      </w:pPr>
    </w:p>
    <w:p>
      <w:pPr>
        <w:pStyle w:val="BodyText"/>
        <w:spacing w:before="4"/>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781"/>
        <w:gridCol w:w="7600"/>
      </w:tblGrid>
      <w:tr>
        <w:trPr>
          <w:trHeight w:val="411" w:hRule="atLeast"/>
        </w:trPr>
        <w:tc>
          <w:tcPr>
            <w:tcW w:w="690" w:type="dxa"/>
          </w:tcPr>
          <w:p>
            <w:pPr>
              <w:pStyle w:val="TableParagraph"/>
              <w:spacing w:before="0"/>
              <w:ind w:left="0"/>
              <w:rPr>
                <w:rFonts w:ascii="Times New Roman"/>
                <w:sz w:val="20"/>
              </w:rPr>
            </w:pPr>
          </w:p>
        </w:tc>
        <w:tc>
          <w:tcPr>
            <w:tcW w:w="1781" w:type="dxa"/>
          </w:tcPr>
          <w:p>
            <w:pPr>
              <w:pStyle w:val="TableParagraph"/>
              <w:spacing w:before="0"/>
              <w:ind w:left="0"/>
              <w:rPr>
                <w:rFonts w:ascii="Times New Roman"/>
                <w:sz w:val="20"/>
              </w:rPr>
            </w:pPr>
          </w:p>
        </w:tc>
        <w:tc>
          <w:tcPr>
            <w:tcW w:w="7600" w:type="dxa"/>
          </w:tcPr>
          <w:p>
            <w:pPr>
              <w:pStyle w:val="TableParagraph"/>
              <w:spacing w:line="211" w:lineRule="exact" w:before="0"/>
              <w:ind w:left="192"/>
              <w:rPr>
                <w:sz w:val="21"/>
              </w:rPr>
            </w:pPr>
            <w:r>
              <w:rPr>
                <w:sz w:val="21"/>
              </w:rPr>
              <w:t>事故发生之日起计算。</w:t>
            </w:r>
          </w:p>
        </w:tc>
      </w:tr>
      <w:tr>
        <w:trPr>
          <w:trHeight w:val="680" w:hRule="atLeast"/>
        </w:trPr>
        <w:tc>
          <w:tcPr>
            <w:tcW w:w="690" w:type="dxa"/>
            <w:tcBorders>
              <w:bottom w:val="single" w:sz="6" w:space="0" w:color="000000"/>
            </w:tcBorders>
          </w:tcPr>
          <w:p>
            <w:pPr>
              <w:pStyle w:val="TableParagraph"/>
              <w:spacing w:before="115"/>
              <w:ind w:left="61"/>
              <w:rPr>
                <w:b/>
                <w:sz w:val="28"/>
              </w:rPr>
            </w:pPr>
            <w:r>
              <w:rPr>
                <w:b/>
                <w:w w:val="99"/>
                <w:sz w:val="28"/>
              </w:rPr>
              <w:t>⒌</w:t>
            </w:r>
          </w:p>
        </w:tc>
        <w:tc>
          <w:tcPr>
            <w:tcW w:w="1781" w:type="dxa"/>
            <w:tcBorders>
              <w:bottom w:val="single" w:sz="6" w:space="0" w:color="000000"/>
            </w:tcBorders>
          </w:tcPr>
          <w:p>
            <w:pPr>
              <w:pStyle w:val="TableParagraph"/>
              <w:spacing w:before="145"/>
              <w:ind w:left="310"/>
              <w:rPr>
                <w:b/>
                <w:sz w:val="24"/>
              </w:rPr>
            </w:pPr>
            <w:r>
              <w:rPr>
                <w:b/>
                <w:w w:val="95"/>
                <w:sz w:val="24"/>
              </w:rPr>
              <w:t>保险费的交纳</w:t>
            </w:r>
          </w:p>
        </w:tc>
        <w:tc>
          <w:tcPr>
            <w:tcW w:w="7600" w:type="dxa"/>
            <w:tcBorders>
              <w:bottom w:val="single" w:sz="6" w:space="0" w:color="000000"/>
            </w:tcBorders>
          </w:tcPr>
          <w:p>
            <w:pPr>
              <w:pStyle w:val="TableParagraph"/>
              <w:spacing w:before="0"/>
              <w:ind w:left="0"/>
              <w:rPr>
                <w:rFonts w:ascii="Times New Roman"/>
                <w:sz w:val="20"/>
              </w:rPr>
            </w:pPr>
          </w:p>
        </w:tc>
      </w:tr>
      <w:tr>
        <w:trPr>
          <w:trHeight w:val="1164" w:hRule="atLeast"/>
        </w:trPr>
        <w:tc>
          <w:tcPr>
            <w:tcW w:w="690" w:type="dxa"/>
            <w:tcBorders>
              <w:top w:val="single" w:sz="6" w:space="0" w:color="000000"/>
            </w:tcBorders>
          </w:tcPr>
          <w:p>
            <w:pPr>
              <w:pStyle w:val="TableParagraph"/>
              <w:spacing w:before="125"/>
              <w:ind w:left="61"/>
              <w:rPr>
                <w:b/>
                <w:sz w:val="21"/>
              </w:rPr>
            </w:pPr>
            <w:r>
              <w:rPr>
                <w:b/>
                <w:sz w:val="21"/>
              </w:rPr>
              <w:t>5.1</w:t>
            </w:r>
          </w:p>
        </w:tc>
        <w:tc>
          <w:tcPr>
            <w:tcW w:w="1781" w:type="dxa"/>
            <w:tcBorders>
              <w:top w:val="single" w:sz="6" w:space="0" w:color="000000"/>
            </w:tcBorders>
          </w:tcPr>
          <w:p>
            <w:pPr>
              <w:pStyle w:val="TableParagraph"/>
              <w:spacing w:before="125"/>
              <w:ind w:left="310"/>
              <w:rPr>
                <w:b/>
                <w:sz w:val="21"/>
              </w:rPr>
            </w:pPr>
            <w:r>
              <w:rPr>
                <w:b/>
                <w:sz w:val="21"/>
              </w:rPr>
              <w:t>保险费的交纳</w:t>
            </w:r>
          </w:p>
        </w:tc>
        <w:tc>
          <w:tcPr>
            <w:tcW w:w="7600" w:type="dxa"/>
            <w:tcBorders>
              <w:top w:val="single" w:sz="6" w:space="0" w:color="000000"/>
            </w:tcBorders>
          </w:tcPr>
          <w:p>
            <w:pPr>
              <w:pStyle w:val="TableParagraph"/>
              <w:spacing w:before="125"/>
              <w:ind w:left="192"/>
              <w:rPr>
                <w:sz w:val="21"/>
              </w:rPr>
            </w:pPr>
            <w:r>
              <w:rPr>
                <w:sz w:val="21"/>
              </w:rPr>
              <w:t>本合同的交费频次和交费期间由您和我们约定并在保险单上载明。</w:t>
            </w:r>
          </w:p>
          <w:p>
            <w:pPr>
              <w:pStyle w:val="TableParagraph"/>
              <w:spacing w:line="273" w:lineRule="auto" w:before="36"/>
              <w:ind w:left="192" w:right="199"/>
              <w:rPr>
                <w:sz w:val="21"/>
              </w:rPr>
            </w:pPr>
            <w:r>
              <w:rPr>
                <w:sz w:val="21"/>
              </w:rPr>
              <w:t>分期支付保险费的，在交纳首期保险费后，您应当按照约定，在每个保险费约定交纳日交纳其余各期的保险费。</w:t>
            </w:r>
          </w:p>
        </w:tc>
      </w:tr>
      <w:tr>
        <w:trPr>
          <w:trHeight w:val="1740" w:hRule="atLeast"/>
        </w:trPr>
        <w:tc>
          <w:tcPr>
            <w:tcW w:w="690" w:type="dxa"/>
          </w:tcPr>
          <w:p>
            <w:pPr>
              <w:pStyle w:val="TableParagraph"/>
              <w:ind w:left="61"/>
              <w:rPr>
                <w:b/>
                <w:sz w:val="21"/>
              </w:rPr>
            </w:pPr>
            <w:r>
              <w:rPr>
                <w:b/>
                <w:sz w:val="21"/>
              </w:rPr>
              <w:t>5.2</w:t>
            </w:r>
          </w:p>
        </w:tc>
        <w:tc>
          <w:tcPr>
            <w:tcW w:w="1781" w:type="dxa"/>
          </w:tcPr>
          <w:p>
            <w:pPr>
              <w:pStyle w:val="TableParagraph"/>
              <w:ind w:left="310"/>
              <w:rPr>
                <w:b/>
                <w:sz w:val="21"/>
              </w:rPr>
            </w:pPr>
            <w:r>
              <w:rPr>
                <w:b/>
                <w:sz w:val="21"/>
              </w:rPr>
              <w:t>宽限期</w:t>
            </w:r>
          </w:p>
        </w:tc>
        <w:tc>
          <w:tcPr>
            <w:tcW w:w="7600" w:type="dxa"/>
          </w:tcPr>
          <w:p>
            <w:pPr>
              <w:pStyle w:val="TableParagraph"/>
              <w:spacing w:line="273" w:lineRule="auto"/>
              <w:ind w:left="192" w:right="134"/>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7"/>
              <w:ind w:left="192" w:right="136"/>
              <w:jc w:val="both"/>
              <w:rPr>
                <w:sz w:val="21"/>
              </w:rPr>
            </w:pPr>
            <w:r>
              <w:rPr>
                <w:spacing w:val="-7"/>
                <w:sz w:val="21"/>
              </w:rPr>
              <w:t>如果您在宽限期结束之后仍未交纳当期保险费，则本合同自宽限期满的次日零时</w:t>
            </w:r>
            <w:r>
              <w:rPr>
                <w:spacing w:val="-3"/>
                <w:sz w:val="21"/>
              </w:rPr>
              <w:t>起效力中止，但本合同另有约定的除外。</w:t>
            </w:r>
          </w:p>
        </w:tc>
      </w:tr>
      <w:tr>
        <w:trPr>
          <w:trHeight w:val="1488" w:hRule="atLeast"/>
        </w:trPr>
        <w:tc>
          <w:tcPr>
            <w:tcW w:w="690" w:type="dxa"/>
          </w:tcPr>
          <w:p>
            <w:pPr>
              <w:pStyle w:val="TableParagraph"/>
              <w:spacing w:before="77"/>
              <w:ind w:left="61"/>
              <w:rPr>
                <w:b/>
                <w:sz w:val="21"/>
              </w:rPr>
            </w:pPr>
            <w:r>
              <w:rPr>
                <w:b/>
                <w:sz w:val="21"/>
              </w:rPr>
              <w:t>5.3</w:t>
            </w:r>
          </w:p>
        </w:tc>
        <w:tc>
          <w:tcPr>
            <w:tcW w:w="1781" w:type="dxa"/>
          </w:tcPr>
          <w:p>
            <w:pPr>
              <w:pStyle w:val="TableParagraph"/>
              <w:spacing w:before="77"/>
              <w:ind w:left="310"/>
              <w:rPr>
                <w:b/>
                <w:sz w:val="21"/>
              </w:rPr>
            </w:pPr>
            <w:r>
              <w:rPr>
                <w:b/>
                <w:sz w:val="21"/>
              </w:rPr>
              <w:t>保险费率调整</w:t>
            </w:r>
          </w:p>
        </w:tc>
        <w:tc>
          <w:tcPr>
            <w:tcW w:w="7600" w:type="dxa"/>
          </w:tcPr>
          <w:p>
            <w:pPr>
              <w:pStyle w:val="TableParagraph"/>
              <w:spacing w:line="273" w:lineRule="auto" w:before="77"/>
              <w:ind w:left="192" w:right="237"/>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并向保险监管机关备案后，您须按调整后的保险费率交纳续期保险费。</w:t>
            </w:r>
          </w:p>
        </w:tc>
      </w:tr>
      <w:tr>
        <w:trPr>
          <w:trHeight w:val="676" w:hRule="atLeast"/>
        </w:trPr>
        <w:tc>
          <w:tcPr>
            <w:tcW w:w="690" w:type="dxa"/>
            <w:tcBorders>
              <w:bottom w:val="single" w:sz="6" w:space="0" w:color="000000"/>
            </w:tcBorders>
          </w:tcPr>
          <w:p>
            <w:pPr>
              <w:pStyle w:val="TableParagraph"/>
              <w:spacing w:before="114"/>
              <w:ind w:left="61"/>
              <w:rPr>
                <w:b/>
                <w:sz w:val="28"/>
              </w:rPr>
            </w:pPr>
            <w:r>
              <w:rPr>
                <w:b/>
                <w:w w:val="99"/>
                <w:sz w:val="28"/>
              </w:rPr>
              <w:t>⒍</w:t>
            </w:r>
          </w:p>
        </w:tc>
        <w:tc>
          <w:tcPr>
            <w:tcW w:w="9381" w:type="dxa"/>
            <w:gridSpan w:val="2"/>
            <w:tcBorders>
              <w:bottom w:val="single" w:sz="6" w:space="0" w:color="000000"/>
            </w:tcBorders>
          </w:tcPr>
          <w:p>
            <w:pPr>
              <w:pStyle w:val="TableParagraph"/>
              <w:spacing w:before="144"/>
              <w:ind w:left="310"/>
              <w:rPr>
                <w:b/>
                <w:sz w:val="24"/>
              </w:rPr>
            </w:pPr>
            <w:r>
              <w:rPr>
                <w:b/>
                <w:w w:val="95"/>
                <w:sz w:val="24"/>
              </w:rPr>
              <w:t>合同效力的中止与恢复</w:t>
            </w:r>
          </w:p>
        </w:tc>
      </w:tr>
      <w:tr>
        <w:trPr>
          <w:trHeight w:val="1026" w:hRule="atLeast"/>
        </w:trPr>
        <w:tc>
          <w:tcPr>
            <w:tcW w:w="690" w:type="dxa"/>
            <w:tcBorders>
              <w:top w:val="single" w:sz="6" w:space="0" w:color="000000"/>
            </w:tcBorders>
          </w:tcPr>
          <w:p>
            <w:pPr>
              <w:pStyle w:val="TableParagraph"/>
              <w:spacing w:before="129"/>
              <w:ind w:left="61"/>
              <w:rPr>
                <w:b/>
                <w:sz w:val="21"/>
              </w:rPr>
            </w:pPr>
            <w:r>
              <w:rPr>
                <w:b/>
                <w:sz w:val="21"/>
              </w:rPr>
              <w:t>6.1</w:t>
            </w:r>
          </w:p>
        </w:tc>
        <w:tc>
          <w:tcPr>
            <w:tcW w:w="1781" w:type="dxa"/>
            <w:tcBorders>
              <w:top w:val="single" w:sz="6" w:space="0" w:color="000000"/>
            </w:tcBorders>
          </w:tcPr>
          <w:p>
            <w:pPr>
              <w:pStyle w:val="TableParagraph"/>
              <w:spacing w:before="129"/>
              <w:ind w:left="310"/>
              <w:rPr>
                <w:b/>
                <w:sz w:val="21"/>
              </w:rPr>
            </w:pPr>
            <w:r>
              <w:rPr>
                <w:b/>
                <w:sz w:val="21"/>
              </w:rPr>
              <w:t>效力中止</w:t>
            </w:r>
          </w:p>
        </w:tc>
        <w:tc>
          <w:tcPr>
            <w:tcW w:w="7600" w:type="dxa"/>
            <w:tcBorders>
              <w:top w:val="single" w:sz="6" w:space="0" w:color="000000"/>
            </w:tcBorders>
          </w:tcPr>
          <w:p>
            <w:pPr>
              <w:pStyle w:val="TableParagraph"/>
              <w:spacing w:line="228" w:lineRule="auto" w:before="118"/>
              <w:ind w:left="192" w:right="112"/>
              <w:jc w:val="both"/>
              <w:rPr>
                <w:rFonts w:ascii="黑体" w:eastAsia="黑体" w:hint="eastAsia"/>
                <w:b/>
                <w:sz w:val="21"/>
              </w:rPr>
            </w:pPr>
            <w:r>
              <w:rPr>
                <w:rFonts w:ascii="黑体" w:eastAsia="黑体" w:hint="eastAsia"/>
                <w:b/>
                <w:sz w:val="21"/>
              </w:rPr>
              <w:t>如您超过宽限期仍未交纳当期保险费，本合同自宽限期满的次日零时起效力中</w:t>
            </w:r>
            <w:r>
              <w:rPr>
                <w:rFonts w:ascii="黑体" w:eastAsia="黑体" w:hint="eastAsia"/>
                <w:b/>
                <w:spacing w:val="-9"/>
                <w:sz w:val="21"/>
              </w:rPr>
              <w:t>止。主合同效力中止的同时，本合同的效力也中止。在本合同效力中止期间，我们不承担保险责任。</w:t>
            </w:r>
          </w:p>
        </w:tc>
      </w:tr>
      <w:tr>
        <w:trPr>
          <w:trHeight w:val="2722" w:hRule="atLeast"/>
        </w:trPr>
        <w:tc>
          <w:tcPr>
            <w:tcW w:w="690" w:type="dxa"/>
          </w:tcPr>
          <w:p>
            <w:pPr>
              <w:pStyle w:val="TableParagraph"/>
              <w:spacing w:before="62"/>
              <w:ind w:left="61"/>
              <w:rPr>
                <w:b/>
                <w:sz w:val="21"/>
              </w:rPr>
            </w:pPr>
            <w:r>
              <w:rPr>
                <w:b/>
                <w:sz w:val="21"/>
              </w:rPr>
              <w:t>6.2</w:t>
            </w:r>
          </w:p>
        </w:tc>
        <w:tc>
          <w:tcPr>
            <w:tcW w:w="1781" w:type="dxa"/>
          </w:tcPr>
          <w:p>
            <w:pPr>
              <w:pStyle w:val="TableParagraph"/>
              <w:spacing w:before="62"/>
              <w:ind w:left="310"/>
              <w:rPr>
                <w:b/>
                <w:sz w:val="21"/>
              </w:rPr>
            </w:pPr>
            <w:r>
              <w:rPr>
                <w:b/>
                <w:sz w:val="21"/>
              </w:rPr>
              <w:t>效力恢复</w:t>
            </w:r>
          </w:p>
        </w:tc>
        <w:tc>
          <w:tcPr>
            <w:tcW w:w="7600" w:type="dxa"/>
          </w:tcPr>
          <w:p>
            <w:pPr>
              <w:pStyle w:val="TableParagraph"/>
              <w:spacing w:line="273" w:lineRule="auto" w:before="62"/>
              <w:ind w:left="192" w:right="134"/>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left="192" w:right="179"/>
              <w:jc w:val="both"/>
              <w:rPr>
                <w:sz w:val="21"/>
              </w:rPr>
            </w:pPr>
            <w:r>
              <w:rPr>
                <w:sz w:val="21"/>
              </w:rPr>
              <w:t>经双方达成复效协议，自您补交保险费及利息（按</w:t>
            </w:r>
            <w:r>
              <w:rPr>
                <w:b/>
                <w:sz w:val="21"/>
              </w:rPr>
              <w:t>本合同约定利率</w:t>
            </w:r>
            <w:r>
              <w:rPr>
                <w:b/>
                <w:position w:val="11"/>
                <w:sz w:val="11"/>
              </w:rPr>
              <w:t>［10.16］</w:t>
            </w:r>
            <w:r>
              <w:rPr>
                <w:sz w:val="21"/>
              </w:rPr>
              <w:t>计算） 和其他未还款项的次日零时起，本合同效力恢复。</w:t>
            </w:r>
          </w:p>
          <w:p>
            <w:pPr>
              <w:pStyle w:val="TableParagraph"/>
              <w:spacing w:line="273" w:lineRule="auto" w:before="7"/>
              <w:ind w:left="192" w:right="155"/>
              <w:jc w:val="both"/>
              <w:rPr>
                <w:sz w:val="21"/>
              </w:rPr>
            </w:pPr>
            <w:r>
              <w:rPr>
                <w:sz w:val="21"/>
              </w:rPr>
              <w:t>自本合同效力中止之日起满2年双方未达成复效协议的，本合同效力终止，我们向您退还本合同的</w:t>
            </w:r>
            <w:r>
              <w:rPr>
                <w:b/>
                <w:sz w:val="21"/>
              </w:rPr>
              <w:t>现金价值</w:t>
            </w:r>
            <w:r>
              <w:rPr>
                <w:b/>
                <w:position w:val="11"/>
                <w:sz w:val="11"/>
              </w:rPr>
              <w:t>［10.17］</w:t>
            </w:r>
            <w:r>
              <w:rPr>
                <w:sz w:val="21"/>
              </w:rPr>
              <w:t>。</w:t>
            </w:r>
          </w:p>
          <w:p>
            <w:pPr>
              <w:pStyle w:val="TableParagraph"/>
              <w:spacing w:before="4"/>
              <w:ind w:left="192"/>
              <w:jc w:val="both"/>
              <w:rPr>
                <w:sz w:val="21"/>
              </w:rPr>
            </w:pPr>
            <w:r>
              <w:rPr>
                <w:sz w:val="21"/>
              </w:rPr>
              <w:t>主合同效力中止期间，本合同不得单独申请复效。</w:t>
            </w:r>
          </w:p>
        </w:tc>
      </w:tr>
      <w:tr>
        <w:trPr>
          <w:trHeight w:val="675" w:hRule="atLeast"/>
        </w:trPr>
        <w:tc>
          <w:tcPr>
            <w:tcW w:w="690" w:type="dxa"/>
            <w:tcBorders>
              <w:bottom w:val="single" w:sz="6" w:space="0" w:color="000000"/>
            </w:tcBorders>
          </w:tcPr>
          <w:p>
            <w:pPr>
              <w:pStyle w:val="TableParagraph"/>
              <w:spacing w:before="114"/>
              <w:ind w:left="61"/>
              <w:rPr>
                <w:b/>
                <w:sz w:val="28"/>
              </w:rPr>
            </w:pPr>
            <w:r>
              <w:rPr>
                <w:b/>
                <w:w w:val="99"/>
                <w:sz w:val="28"/>
              </w:rPr>
              <w:t>⒎</w:t>
            </w:r>
          </w:p>
        </w:tc>
        <w:tc>
          <w:tcPr>
            <w:tcW w:w="9381" w:type="dxa"/>
            <w:gridSpan w:val="2"/>
            <w:tcBorders>
              <w:bottom w:val="single" w:sz="6" w:space="0" w:color="000000"/>
            </w:tcBorders>
          </w:tcPr>
          <w:p>
            <w:pPr>
              <w:pStyle w:val="TableParagraph"/>
              <w:spacing w:before="144"/>
              <w:ind w:left="310"/>
              <w:rPr>
                <w:b/>
                <w:sz w:val="24"/>
              </w:rPr>
            </w:pPr>
            <w:r>
              <w:rPr>
                <w:b/>
                <w:w w:val="95"/>
                <w:sz w:val="24"/>
              </w:rPr>
              <w:t>犹豫期后的合同解除</w:t>
            </w:r>
          </w:p>
        </w:tc>
      </w:tr>
      <w:tr>
        <w:trPr>
          <w:trHeight w:val="2094" w:hRule="atLeast"/>
        </w:trPr>
        <w:tc>
          <w:tcPr>
            <w:tcW w:w="690" w:type="dxa"/>
            <w:tcBorders>
              <w:top w:val="single" w:sz="6" w:space="0" w:color="000000"/>
            </w:tcBorders>
          </w:tcPr>
          <w:p>
            <w:pPr>
              <w:pStyle w:val="TableParagraph"/>
              <w:spacing w:before="130"/>
              <w:ind w:left="61"/>
              <w:rPr>
                <w:b/>
                <w:sz w:val="21"/>
              </w:rPr>
            </w:pPr>
            <w:r>
              <w:rPr>
                <w:b/>
                <w:sz w:val="21"/>
              </w:rPr>
              <w:t>7.1</w:t>
            </w:r>
          </w:p>
        </w:tc>
        <w:tc>
          <w:tcPr>
            <w:tcW w:w="1781" w:type="dxa"/>
            <w:tcBorders>
              <w:top w:val="single" w:sz="6" w:space="0" w:color="000000"/>
            </w:tcBorders>
          </w:tcPr>
          <w:p>
            <w:pPr>
              <w:pStyle w:val="TableParagraph"/>
              <w:spacing w:line="273" w:lineRule="auto" w:before="130"/>
              <w:ind w:left="310" w:right="201"/>
              <w:rPr>
                <w:b/>
                <w:sz w:val="21"/>
              </w:rPr>
            </w:pPr>
            <w:r>
              <w:rPr>
                <w:b/>
                <w:sz w:val="21"/>
              </w:rPr>
              <w:t>您解除合同的手续</w:t>
            </w:r>
          </w:p>
        </w:tc>
        <w:tc>
          <w:tcPr>
            <w:tcW w:w="7600" w:type="dxa"/>
            <w:tcBorders>
              <w:top w:val="single" w:sz="6" w:space="0" w:color="000000"/>
            </w:tcBorders>
          </w:tcPr>
          <w:p>
            <w:pPr>
              <w:pStyle w:val="TableParagraph"/>
              <w:spacing w:before="89"/>
              <w:ind w:left="192"/>
              <w:rPr>
                <w:sz w:val="21"/>
              </w:rPr>
            </w:pPr>
            <w:r>
              <w:rPr>
                <w:sz w:val="21"/>
              </w:rPr>
              <w:t>您在犹豫期后，可以书面通知要求解除本合同，并向我们提供下列证明和资料：</w:t>
            </w:r>
          </w:p>
          <w:p>
            <w:pPr>
              <w:pStyle w:val="TableParagraph"/>
              <w:spacing w:before="22"/>
              <w:ind w:left="192"/>
              <w:rPr>
                <w:sz w:val="21"/>
              </w:rPr>
            </w:pPr>
            <w:r>
              <w:rPr>
                <w:sz w:val="21"/>
              </w:rPr>
              <w:t>（1）保险合同；</w:t>
            </w:r>
          </w:p>
          <w:p>
            <w:pPr>
              <w:pStyle w:val="TableParagraph"/>
              <w:spacing w:before="34"/>
              <w:ind w:left="192"/>
              <w:rPr>
                <w:sz w:val="21"/>
              </w:rPr>
            </w:pPr>
            <w:r>
              <w:rPr>
                <w:sz w:val="21"/>
              </w:rPr>
              <w:t>（2）解除合同申请书；</w:t>
            </w:r>
          </w:p>
          <w:p>
            <w:pPr>
              <w:pStyle w:val="TableParagraph"/>
              <w:spacing w:before="39"/>
              <w:ind w:left="192"/>
              <w:rPr>
                <w:sz w:val="21"/>
              </w:rPr>
            </w:pPr>
            <w:r>
              <w:rPr>
                <w:sz w:val="21"/>
              </w:rPr>
              <w:t>（3）您的法定有效身份证明。</w:t>
            </w:r>
          </w:p>
          <w:p>
            <w:pPr>
              <w:pStyle w:val="TableParagraph"/>
              <w:spacing w:line="273" w:lineRule="auto" w:before="20"/>
              <w:ind w:left="192" w:right="134"/>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tc>
      </w:tr>
      <w:tr>
        <w:trPr>
          <w:trHeight w:val="627" w:hRule="atLeast"/>
        </w:trPr>
        <w:tc>
          <w:tcPr>
            <w:tcW w:w="690" w:type="dxa"/>
            <w:tcBorders>
              <w:bottom w:val="single" w:sz="6" w:space="0" w:color="000000"/>
            </w:tcBorders>
          </w:tcPr>
          <w:p>
            <w:pPr>
              <w:pStyle w:val="TableParagraph"/>
              <w:spacing w:before="114"/>
              <w:ind w:left="61"/>
              <w:rPr>
                <w:b/>
                <w:sz w:val="28"/>
              </w:rPr>
            </w:pPr>
            <w:r>
              <w:rPr>
                <w:b/>
                <w:w w:val="99"/>
                <w:sz w:val="28"/>
              </w:rPr>
              <w:t>⒏</w:t>
            </w:r>
          </w:p>
        </w:tc>
        <w:tc>
          <w:tcPr>
            <w:tcW w:w="1781" w:type="dxa"/>
            <w:tcBorders>
              <w:bottom w:val="single" w:sz="6" w:space="0" w:color="000000"/>
            </w:tcBorders>
          </w:tcPr>
          <w:p>
            <w:pPr>
              <w:pStyle w:val="TableParagraph"/>
              <w:spacing w:before="144"/>
              <w:ind w:left="310"/>
              <w:rPr>
                <w:b/>
                <w:sz w:val="24"/>
              </w:rPr>
            </w:pPr>
            <w:r>
              <w:rPr>
                <w:b/>
                <w:sz w:val="24"/>
              </w:rPr>
              <w:t>如实告知</w:t>
            </w:r>
          </w:p>
        </w:tc>
        <w:tc>
          <w:tcPr>
            <w:tcW w:w="7600" w:type="dxa"/>
            <w:tcBorders>
              <w:bottom w:val="single" w:sz="6" w:space="0" w:color="000000"/>
            </w:tcBorders>
          </w:tcPr>
          <w:p>
            <w:pPr>
              <w:pStyle w:val="TableParagraph"/>
              <w:spacing w:before="0"/>
              <w:ind w:left="0"/>
              <w:rPr>
                <w:rFonts w:ascii="Times New Roman"/>
                <w:sz w:val="20"/>
              </w:rPr>
            </w:pPr>
          </w:p>
        </w:tc>
      </w:tr>
      <w:tr>
        <w:trPr>
          <w:trHeight w:val="452" w:hRule="atLeast"/>
        </w:trPr>
        <w:tc>
          <w:tcPr>
            <w:tcW w:w="690" w:type="dxa"/>
            <w:tcBorders>
              <w:top w:val="single" w:sz="6" w:space="0" w:color="000000"/>
            </w:tcBorders>
          </w:tcPr>
          <w:p>
            <w:pPr>
              <w:pStyle w:val="TableParagraph"/>
              <w:spacing w:line="255" w:lineRule="exact" w:before="178"/>
              <w:ind w:left="61"/>
              <w:rPr>
                <w:b/>
                <w:sz w:val="21"/>
              </w:rPr>
            </w:pPr>
            <w:r>
              <w:rPr>
                <w:b/>
                <w:sz w:val="21"/>
              </w:rPr>
              <w:t>8.1</w:t>
            </w:r>
          </w:p>
        </w:tc>
        <w:tc>
          <w:tcPr>
            <w:tcW w:w="1781" w:type="dxa"/>
            <w:tcBorders>
              <w:top w:val="single" w:sz="6" w:space="0" w:color="000000"/>
            </w:tcBorders>
          </w:tcPr>
          <w:p>
            <w:pPr>
              <w:pStyle w:val="TableParagraph"/>
              <w:spacing w:line="255" w:lineRule="exact" w:before="178"/>
              <w:ind w:left="310"/>
              <w:rPr>
                <w:b/>
                <w:sz w:val="21"/>
              </w:rPr>
            </w:pPr>
            <w:r>
              <w:rPr>
                <w:b/>
                <w:sz w:val="21"/>
              </w:rPr>
              <w:t>如实告知</w:t>
            </w:r>
          </w:p>
        </w:tc>
        <w:tc>
          <w:tcPr>
            <w:tcW w:w="7600" w:type="dxa"/>
            <w:tcBorders>
              <w:top w:val="single" w:sz="6" w:space="0" w:color="000000"/>
            </w:tcBorders>
          </w:tcPr>
          <w:p>
            <w:pPr>
              <w:pStyle w:val="TableParagraph"/>
              <w:spacing w:line="255" w:lineRule="exact" w:before="178"/>
              <w:ind w:left="192"/>
              <w:rPr>
                <w:sz w:val="21"/>
              </w:rPr>
            </w:pPr>
            <w:r>
              <w:rPr>
                <w:sz w:val="21"/>
              </w:rPr>
              <w:t>订立本合同时，我们会向您明确说明本合同的条款内容，特别是免除责任条款内</w:t>
            </w:r>
          </w:p>
        </w:tc>
      </w:tr>
    </w:tbl>
    <w:p>
      <w:pPr>
        <w:spacing w:after="0" w:line="255" w:lineRule="exact"/>
        <w:rPr>
          <w:sz w:val="21"/>
        </w:rPr>
        <w:sectPr>
          <w:pgSz w:w="11910" w:h="16840"/>
          <w:pgMar w:header="566" w:footer="664" w:top="1000" w:bottom="860" w:left="960" w:right="6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14"/>
        <w:gridCol w:w="7460"/>
      </w:tblGrid>
      <w:tr>
        <w:trPr>
          <w:trHeight w:val="2752" w:hRule="atLeast"/>
        </w:trPr>
        <w:tc>
          <w:tcPr>
            <w:tcW w:w="738" w:type="dxa"/>
            <w:tcBorders>
              <w:top w:val="single" w:sz="6" w:space="0" w:color="000000"/>
            </w:tcBorders>
          </w:tcPr>
          <w:p>
            <w:pPr>
              <w:pStyle w:val="TableParagraph"/>
              <w:spacing w:before="0"/>
              <w:ind w:left="0"/>
              <w:rPr>
                <w:rFonts w:ascii="Times New Roman"/>
                <w:sz w:val="20"/>
              </w:rPr>
            </w:pPr>
          </w:p>
        </w:tc>
        <w:tc>
          <w:tcPr>
            <w:tcW w:w="1814" w:type="dxa"/>
            <w:tcBorders>
              <w:top w:val="single" w:sz="6" w:space="0" w:color="000000"/>
            </w:tcBorders>
          </w:tcPr>
          <w:p>
            <w:pPr>
              <w:pStyle w:val="TableParagraph"/>
              <w:spacing w:before="0"/>
              <w:ind w:left="0"/>
              <w:rPr>
                <w:rFonts w:ascii="Times New Roman"/>
                <w:sz w:val="20"/>
              </w:rPr>
            </w:pPr>
          </w:p>
        </w:tc>
        <w:tc>
          <w:tcPr>
            <w:tcW w:w="7460"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line="273" w:lineRule="auto" w:before="170"/>
              <w:ind w:left="107" w:right="-44"/>
              <w:rPr>
                <w:sz w:val="21"/>
              </w:rPr>
            </w:pPr>
            <w:r>
              <w:rPr>
                <w:spacing w:val="-15"/>
                <w:sz w:val="21"/>
              </w:rPr>
              <w:t>容。我们会就您、被保险人或受益人的有关情况提出书面询问，您应当如实告知。</w:t>
            </w:r>
            <w:r>
              <w:rPr>
                <w:spacing w:val="-11"/>
                <w:sz w:val="21"/>
              </w:rPr>
              <w:t>如果您故意或因重大过失不履行如实告知义务，足以影响我们决定是否同意承保</w:t>
            </w:r>
            <w:r>
              <w:rPr>
                <w:spacing w:val="-6"/>
                <w:sz w:val="21"/>
              </w:rPr>
              <w:t>或者提高保险费率的，我们有权解除本合同。</w:t>
            </w:r>
          </w:p>
          <w:p>
            <w:pPr>
              <w:pStyle w:val="TableParagraph"/>
              <w:spacing w:line="273" w:lineRule="auto" w:before="163"/>
              <w:ind w:left="107" w:right="139"/>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07" w:right="138"/>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203" w:hRule="atLeast"/>
        </w:trPr>
        <w:tc>
          <w:tcPr>
            <w:tcW w:w="738" w:type="dxa"/>
          </w:tcPr>
          <w:p>
            <w:pPr>
              <w:pStyle w:val="TableParagraph"/>
              <w:spacing w:before="167"/>
              <w:ind w:left="57"/>
              <w:rPr>
                <w:b/>
                <w:sz w:val="21"/>
              </w:rPr>
            </w:pPr>
            <w:r>
              <w:rPr>
                <w:b/>
                <w:sz w:val="21"/>
              </w:rPr>
              <w:t>8.2</w:t>
            </w:r>
          </w:p>
        </w:tc>
        <w:tc>
          <w:tcPr>
            <w:tcW w:w="1814" w:type="dxa"/>
          </w:tcPr>
          <w:p>
            <w:pPr>
              <w:pStyle w:val="TableParagraph"/>
              <w:spacing w:line="273" w:lineRule="auto" w:before="167"/>
              <w:ind w:left="257" w:right="286"/>
              <w:rPr>
                <w:b/>
                <w:sz w:val="21"/>
              </w:rPr>
            </w:pPr>
            <w:r>
              <w:rPr>
                <w:b/>
                <w:sz w:val="21"/>
              </w:rPr>
              <w:t>本公司合同解除权的限制</w:t>
            </w:r>
          </w:p>
        </w:tc>
        <w:tc>
          <w:tcPr>
            <w:tcW w:w="7460" w:type="dxa"/>
          </w:tcPr>
          <w:p>
            <w:pPr>
              <w:pStyle w:val="TableParagraph"/>
              <w:spacing w:before="167"/>
              <w:ind w:left="107"/>
              <w:rPr>
                <w:sz w:val="21"/>
              </w:rPr>
            </w:pPr>
            <w:r>
              <w:rPr>
                <w:sz w:val="21"/>
              </w:rPr>
              <w:t>您未履行如实告知义务，我们有权解除本合同，但受以下限制：</w:t>
            </w:r>
          </w:p>
          <w:p>
            <w:pPr>
              <w:pStyle w:val="TableParagraph"/>
              <w:spacing w:before="36"/>
              <w:ind w:left="107"/>
              <w:rPr>
                <w:sz w:val="21"/>
              </w:rPr>
            </w:pPr>
            <w:r>
              <w:rPr>
                <w:sz w:val="21"/>
              </w:rPr>
              <w:t>（1）该解除权自我们知道有解除事由之日起，经过 30 日不行使而消灭；</w:t>
            </w:r>
          </w:p>
          <w:p>
            <w:pPr>
              <w:pStyle w:val="TableParagraph"/>
              <w:spacing w:line="273" w:lineRule="auto" w:before="36"/>
              <w:ind w:left="633" w:right="82"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59" w:lineRule="auto" w:before="7"/>
              <w:ind w:left="633" w:right="101"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r>
        <w:trPr>
          <w:trHeight w:val="676" w:hRule="atLeast"/>
        </w:trPr>
        <w:tc>
          <w:tcPr>
            <w:tcW w:w="738" w:type="dxa"/>
            <w:tcBorders>
              <w:bottom w:val="single" w:sz="6" w:space="0" w:color="000000"/>
            </w:tcBorders>
          </w:tcPr>
          <w:p>
            <w:pPr>
              <w:pStyle w:val="TableParagraph"/>
              <w:spacing w:before="114"/>
              <w:ind w:left="57"/>
              <w:rPr>
                <w:b/>
                <w:sz w:val="28"/>
              </w:rPr>
            </w:pPr>
            <w:r>
              <w:rPr>
                <w:b/>
                <w:w w:val="99"/>
                <w:sz w:val="28"/>
              </w:rPr>
              <w:t>⒐</w:t>
            </w:r>
          </w:p>
        </w:tc>
        <w:tc>
          <w:tcPr>
            <w:tcW w:w="9274"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261" w:hRule="atLeast"/>
        </w:trPr>
        <w:tc>
          <w:tcPr>
            <w:tcW w:w="738" w:type="dxa"/>
            <w:tcBorders>
              <w:top w:val="single" w:sz="6" w:space="0" w:color="000000"/>
            </w:tcBorders>
          </w:tcPr>
          <w:p>
            <w:pPr>
              <w:pStyle w:val="TableParagraph"/>
              <w:spacing w:before="129"/>
              <w:ind w:left="57"/>
              <w:rPr>
                <w:b/>
                <w:sz w:val="21"/>
              </w:rPr>
            </w:pPr>
            <w:r>
              <w:rPr>
                <w:b/>
                <w:sz w:val="21"/>
              </w:rPr>
              <w:t>9.1</w:t>
            </w:r>
          </w:p>
        </w:tc>
        <w:tc>
          <w:tcPr>
            <w:tcW w:w="1814" w:type="dxa"/>
            <w:tcBorders>
              <w:top w:val="single" w:sz="6" w:space="0" w:color="000000"/>
            </w:tcBorders>
          </w:tcPr>
          <w:p>
            <w:pPr>
              <w:pStyle w:val="TableParagraph"/>
              <w:spacing w:before="129"/>
              <w:ind w:left="257"/>
              <w:rPr>
                <w:b/>
                <w:sz w:val="21"/>
              </w:rPr>
            </w:pPr>
            <w:r>
              <w:rPr>
                <w:b/>
                <w:sz w:val="21"/>
              </w:rPr>
              <w:t>年龄性别错误</w:t>
            </w:r>
          </w:p>
        </w:tc>
        <w:tc>
          <w:tcPr>
            <w:tcW w:w="7460" w:type="dxa"/>
            <w:tcBorders>
              <w:top w:val="single" w:sz="6" w:space="0" w:color="000000"/>
              <w:right w:val="single" w:sz="4" w:space="0" w:color="FFFFFF"/>
            </w:tcBorders>
          </w:tcPr>
          <w:p>
            <w:pPr>
              <w:pStyle w:val="TableParagraph"/>
              <w:spacing w:line="273" w:lineRule="auto" w:before="129"/>
              <w:ind w:left="107" w:right="74"/>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7"/>
              <w:ind w:left="633" w:right="-29"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我们行使合同解除权适用本合同“</w:t>
            </w:r>
            <w:r>
              <w:rPr>
                <w:sz w:val="21"/>
              </w:rPr>
              <w:t>8.2</w:t>
            </w:r>
            <w:r>
              <w:rPr>
                <w:spacing w:val="-3"/>
                <w:sz w:val="21"/>
              </w:rPr>
              <w:t>本公司合同解除权的限制”的规定。</w:t>
            </w:r>
          </w:p>
          <w:p>
            <w:pPr>
              <w:pStyle w:val="TableParagraph"/>
              <w:spacing w:line="273" w:lineRule="auto" w:before="7"/>
              <w:ind w:left="633" w:right="72"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8"/>
              <w:ind w:left="633" w:right="96" w:hanging="527"/>
              <w:rPr>
                <w:sz w:val="21"/>
              </w:rPr>
            </w:pPr>
            <w:r>
              <w:rPr>
                <w:sz w:val="21"/>
              </w:rPr>
              <w:t>（3）您申报的被保险人年龄不真实，致使您实交保险费多于应交保险费的，我们会将多收的保险费无息退还给您。</w:t>
            </w:r>
          </w:p>
        </w:tc>
      </w:tr>
      <w:tr>
        <w:trPr>
          <w:trHeight w:val="1518" w:hRule="atLeast"/>
        </w:trPr>
        <w:tc>
          <w:tcPr>
            <w:tcW w:w="738" w:type="dxa"/>
          </w:tcPr>
          <w:p>
            <w:pPr>
              <w:pStyle w:val="TableParagraph"/>
              <w:spacing w:before="167"/>
              <w:ind w:left="57"/>
              <w:rPr>
                <w:b/>
                <w:sz w:val="21"/>
              </w:rPr>
            </w:pPr>
            <w:r>
              <w:rPr>
                <w:b/>
                <w:sz w:val="21"/>
              </w:rPr>
              <w:t>9.2</w:t>
            </w:r>
          </w:p>
        </w:tc>
        <w:tc>
          <w:tcPr>
            <w:tcW w:w="1814" w:type="dxa"/>
          </w:tcPr>
          <w:p>
            <w:pPr>
              <w:pStyle w:val="TableParagraph"/>
              <w:spacing w:before="167"/>
              <w:ind w:left="257"/>
              <w:rPr>
                <w:b/>
                <w:sz w:val="21"/>
              </w:rPr>
            </w:pPr>
            <w:r>
              <w:rPr>
                <w:b/>
                <w:sz w:val="21"/>
              </w:rPr>
              <w:t>合同效力终止</w:t>
            </w:r>
          </w:p>
        </w:tc>
        <w:tc>
          <w:tcPr>
            <w:tcW w:w="7460" w:type="dxa"/>
          </w:tcPr>
          <w:p>
            <w:pPr>
              <w:pStyle w:val="TableParagraph"/>
              <w:spacing w:before="167"/>
              <w:ind w:left="107"/>
              <w:rPr>
                <w:sz w:val="21"/>
              </w:rPr>
            </w:pPr>
            <w:r>
              <w:rPr>
                <w:sz w:val="21"/>
              </w:rPr>
              <w:t>当发生下列情形之一时，本合同效力终止：</w:t>
            </w:r>
          </w:p>
          <w:p>
            <w:pPr>
              <w:pStyle w:val="TableParagraph"/>
              <w:spacing w:before="36"/>
              <w:ind w:left="107"/>
              <w:rPr>
                <w:sz w:val="21"/>
              </w:rPr>
            </w:pPr>
            <w:r>
              <w:rPr>
                <w:sz w:val="21"/>
              </w:rPr>
              <w:t>（1）主合同解除、期满或效力终止；</w:t>
            </w:r>
          </w:p>
          <w:p>
            <w:pPr>
              <w:pStyle w:val="TableParagraph"/>
              <w:spacing w:before="36"/>
              <w:ind w:left="107"/>
              <w:rPr>
                <w:sz w:val="21"/>
              </w:rPr>
            </w:pPr>
            <w:r>
              <w:rPr>
                <w:sz w:val="21"/>
              </w:rPr>
              <w:t>（2）主合同办理减额交清；</w:t>
            </w:r>
          </w:p>
          <w:p>
            <w:pPr>
              <w:pStyle w:val="TableParagraph"/>
              <w:spacing w:before="36"/>
              <w:ind w:left="107"/>
              <w:rPr>
                <w:sz w:val="21"/>
              </w:rPr>
            </w:pPr>
            <w:r>
              <w:rPr>
                <w:sz w:val="21"/>
              </w:rPr>
              <w:t>（3）出现主合同或本合同内的其他约定终止的情况。</w:t>
            </w:r>
          </w:p>
        </w:tc>
      </w:tr>
      <w:tr>
        <w:trPr>
          <w:trHeight w:val="856" w:hRule="atLeast"/>
        </w:trPr>
        <w:tc>
          <w:tcPr>
            <w:tcW w:w="738" w:type="dxa"/>
          </w:tcPr>
          <w:p>
            <w:pPr>
              <w:pStyle w:val="TableParagraph"/>
              <w:ind w:left="57"/>
              <w:rPr>
                <w:b/>
                <w:sz w:val="21"/>
              </w:rPr>
            </w:pPr>
            <w:r>
              <w:rPr>
                <w:b/>
                <w:sz w:val="21"/>
              </w:rPr>
              <w:t>9.3</w:t>
            </w:r>
          </w:p>
        </w:tc>
        <w:tc>
          <w:tcPr>
            <w:tcW w:w="1814" w:type="dxa"/>
          </w:tcPr>
          <w:p>
            <w:pPr>
              <w:pStyle w:val="TableParagraph"/>
              <w:spacing w:line="273" w:lineRule="auto"/>
              <w:ind w:left="257" w:right="286"/>
              <w:rPr>
                <w:b/>
                <w:sz w:val="21"/>
              </w:rPr>
            </w:pPr>
            <w:r>
              <w:rPr>
                <w:b/>
                <w:sz w:val="21"/>
              </w:rPr>
              <w:t>与主合同不一致的解决</w:t>
            </w:r>
          </w:p>
        </w:tc>
        <w:tc>
          <w:tcPr>
            <w:tcW w:w="7460" w:type="dxa"/>
          </w:tcPr>
          <w:p>
            <w:pPr>
              <w:pStyle w:val="TableParagraph"/>
              <w:spacing w:line="273" w:lineRule="auto"/>
              <w:ind w:left="107" w:right="82"/>
              <w:rPr>
                <w:sz w:val="21"/>
              </w:rPr>
            </w:pPr>
            <w:r>
              <w:rPr>
                <w:spacing w:val="-7"/>
                <w:sz w:val="21"/>
              </w:rPr>
              <w:t>主合同的条款中与本合同相关的部分均为本合同的构成部分，若主合同与本合同</w:t>
            </w:r>
            <w:r>
              <w:rPr>
                <w:spacing w:val="-3"/>
                <w:sz w:val="21"/>
              </w:rPr>
              <w:t>的条款相抵触的，则以本合同的条款为准。</w:t>
            </w:r>
          </w:p>
        </w:tc>
      </w:tr>
      <w:tr>
        <w:trPr>
          <w:trHeight w:val="582" w:hRule="atLeast"/>
        </w:trPr>
        <w:tc>
          <w:tcPr>
            <w:tcW w:w="738" w:type="dxa"/>
            <w:tcBorders>
              <w:bottom w:val="single" w:sz="8" w:space="0" w:color="000000"/>
            </w:tcBorders>
          </w:tcPr>
          <w:p>
            <w:pPr>
              <w:pStyle w:val="TableParagraph"/>
              <w:spacing w:before="122"/>
              <w:ind w:left="57"/>
              <w:rPr>
                <w:b/>
                <w:sz w:val="28"/>
              </w:rPr>
            </w:pPr>
            <w:r>
              <w:rPr>
                <w:b/>
                <w:w w:val="99"/>
                <w:sz w:val="28"/>
              </w:rPr>
              <w:t>⒑</w:t>
            </w:r>
          </w:p>
        </w:tc>
        <w:tc>
          <w:tcPr>
            <w:tcW w:w="1814" w:type="dxa"/>
            <w:tcBorders>
              <w:bottom w:val="single" w:sz="8" w:space="0" w:color="000000"/>
            </w:tcBorders>
          </w:tcPr>
          <w:p>
            <w:pPr>
              <w:pStyle w:val="TableParagraph"/>
              <w:spacing w:before="118"/>
              <w:ind w:left="257"/>
              <w:rPr>
                <w:b/>
                <w:sz w:val="24"/>
              </w:rPr>
            </w:pPr>
            <w:r>
              <w:rPr>
                <w:b/>
                <w:sz w:val="24"/>
              </w:rPr>
              <w:t>释义</w:t>
            </w:r>
          </w:p>
        </w:tc>
        <w:tc>
          <w:tcPr>
            <w:tcW w:w="7460" w:type="dxa"/>
            <w:tcBorders>
              <w:bottom w:val="single" w:sz="8" w:space="0" w:color="000000"/>
            </w:tcBorders>
          </w:tcPr>
          <w:p>
            <w:pPr>
              <w:pStyle w:val="TableParagraph"/>
              <w:spacing w:before="0"/>
              <w:ind w:left="0"/>
              <w:rPr>
                <w:rFonts w:ascii="Times New Roman"/>
                <w:sz w:val="20"/>
              </w:rPr>
            </w:pPr>
          </w:p>
        </w:tc>
      </w:tr>
      <w:tr>
        <w:trPr>
          <w:trHeight w:val="574" w:hRule="atLeast"/>
        </w:trPr>
        <w:tc>
          <w:tcPr>
            <w:tcW w:w="10012" w:type="dxa"/>
            <w:gridSpan w:val="3"/>
            <w:tcBorders>
              <w:top w:val="single" w:sz="8" w:space="0" w:color="000000"/>
            </w:tcBorders>
          </w:tcPr>
          <w:p>
            <w:pPr>
              <w:pStyle w:val="TableParagraph"/>
              <w:spacing w:before="159"/>
              <w:ind w:left="995"/>
              <w:rPr>
                <w:rFonts w:ascii="黑体" w:eastAsia="黑体" w:hint="eastAsia"/>
                <w:b/>
                <w:sz w:val="21"/>
              </w:rPr>
            </w:pPr>
            <w:r>
              <w:rPr>
                <w:rFonts w:ascii="黑体" w:eastAsia="黑体" w:hint="eastAsia"/>
                <w:b/>
                <w:sz w:val="21"/>
              </w:rPr>
              <w:t>本合同中具有特定含义的名词，除非本合同另有释义，适用主合同的释义。</w:t>
            </w:r>
          </w:p>
        </w:tc>
      </w:tr>
      <w:tr>
        <w:trPr>
          <w:trHeight w:val="1911" w:hRule="atLeast"/>
        </w:trPr>
        <w:tc>
          <w:tcPr>
            <w:tcW w:w="738" w:type="dxa"/>
          </w:tcPr>
          <w:p>
            <w:pPr>
              <w:pStyle w:val="TableParagraph"/>
              <w:ind w:left="57"/>
              <w:rPr>
                <w:b/>
                <w:sz w:val="21"/>
              </w:rPr>
            </w:pPr>
            <w:r>
              <w:rPr>
                <w:b/>
                <w:sz w:val="21"/>
              </w:rPr>
              <w:t>10.1</w:t>
            </w:r>
          </w:p>
        </w:tc>
        <w:tc>
          <w:tcPr>
            <w:tcW w:w="1814" w:type="dxa"/>
          </w:tcPr>
          <w:p>
            <w:pPr>
              <w:pStyle w:val="TableParagraph"/>
              <w:spacing w:line="273" w:lineRule="auto"/>
              <w:ind w:left="257" w:right="105"/>
              <w:rPr>
                <w:b/>
                <w:sz w:val="21"/>
              </w:rPr>
            </w:pPr>
            <w:r>
              <w:rPr>
                <w:b/>
                <w:sz w:val="21"/>
              </w:rPr>
              <w:t>我们认可 的医院</w:t>
            </w:r>
          </w:p>
        </w:tc>
        <w:tc>
          <w:tcPr>
            <w:tcW w:w="7460" w:type="dxa"/>
          </w:tcPr>
          <w:p>
            <w:pPr>
              <w:pStyle w:val="TableParagraph"/>
              <w:spacing w:line="273" w:lineRule="auto"/>
              <w:ind w:left="107" w:right="79"/>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312" w:lineRule="exact" w:before="3"/>
              <w:ind w:left="107"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bl>
    <w:p>
      <w:pPr>
        <w:spacing w:after="0" w:line="312" w:lineRule="exact"/>
        <w:rPr>
          <w:sz w:val="21"/>
        </w:rPr>
        <w:sectPr>
          <w:headerReference w:type="default" r:id="rId11"/>
          <w:pgSz w:w="11910" w:h="16840"/>
          <w:pgMar w:header="566" w:footer="664" w:top="1000" w:bottom="860" w:left="960" w:right="70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62"/>
        <w:gridCol w:w="7482"/>
      </w:tblGrid>
      <w:tr>
        <w:trPr>
          <w:trHeight w:val="936" w:hRule="atLeast"/>
        </w:trPr>
        <w:tc>
          <w:tcPr>
            <w:tcW w:w="934" w:type="dxa"/>
          </w:tcPr>
          <w:p>
            <w:pPr>
              <w:pStyle w:val="TableParagraph"/>
              <w:spacing w:line="262" w:lineRule="exact" w:before="0"/>
              <w:ind w:left="74" w:right="183"/>
              <w:jc w:val="center"/>
              <w:rPr>
                <w:b/>
                <w:sz w:val="21"/>
              </w:rPr>
            </w:pPr>
            <w:r>
              <w:rPr>
                <w:b/>
                <w:sz w:val="21"/>
              </w:rPr>
              <w:t>10.2</w:t>
            </w:r>
          </w:p>
        </w:tc>
        <w:tc>
          <w:tcPr>
            <w:tcW w:w="1762" w:type="dxa"/>
          </w:tcPr>
          <w:p>
            <w:pPr>
              <w:pStyle w:val="TableParagraph"/>
              <w:spacing w:line="262" w:lineRule="exact" w:before="0"/>
              <w:ind w:left="204"/>
              <w:rPr>
                <w:b/>
                <w:sz w:val="21"/>
              </w:rPr>
            </w:pPr>
            <w:r>
              <w:rPr>
                <w:b/>
                <w:sz w:val="21"/>
              </w:rPr>
              <w:t>毒品</w:t>
            </w:r>
          </w:p>
        </w:tc>
        <w:tc>
          <w:tcPr>
            <w:tcW w:w="7482" w:type="dxa"/>
            <w:tcBorders>
              <w:right w:val="single" w:sz="4" w:space="0" w:color="FFFFFF"/>
            </w:tcBorders>
          </w:tcPr>
          <w:p>
            <w:pPr>
              <w:pStyle w:val="TableParagraph"/>
              <w:spacing w:line="273" w:lineRule="auto" w:before="0"/>
              <w:ind w:left="106"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934" w:type="dxa"/>
          </w:tcPr>
          <w:p>
            <w:pPr>
              <w:pStyle w:val="TableParagraph"/>
              <w:spacing w:before="167"/>
              <w:ind w:left="74" w:right="183"/>
              <w:jc w:val="center"/>
              <w:rPr>
                <w:b/>
                <w:sz w:val="21"/>
              </w:rPr>
            </w:pPr>
            <w:r>
              <w:rPr>
                <w:b/>
                <w:sz w:val="21"/>
              </w:rPr>
              <w:t>10.3</w:t>
            </w:r>
          </w:p>
        </w:tc>
        <w:tc>
          <w:tcPr>
            <w:tcW w:w="1762" w:type="dxa"/>
          </w:tcPr>
          <w:p>
            <w:pPr>
              <w:pStyle w:val="TableParagraph"/>
              <w:spacing w:before="167"/>
              <w:ind w:left="204"/>
              <w:rPr>
                <w:b/>
                <w:sz w:val="21"/>
              </w:rPr>
            </w:pPr>
            <w:r>
              <w:rPr>
                <w:b/>
                <w:sz w:val="21"/>
              </w:rPr>
              <w:t>管制药品</w:t>
            </w:r>
          </w:p>
        </w:tc>
        <w:tc>
          <w:tcPr>
            <w:tcW w:w="7482" w:type="dxa"/>
          </w:tcPr>
          <w:p>
            <w:pPr>
              <w:pStyle w:val="TableParagraph"/>
              <w:spacing w:line="273" w:lineRule="auto" w:before="167"/>
              <w:ind w:left="106" w:right="102"/>
              <w:rPr>
                <w:sz w:val="21"/>
              </w:rPr>
            </w:pPr>
            <w:r>
              <w:rPr>
                <w:spacing w:val="-10"/>
                <w:sz w:val="21"/>
              </w:rPr>
              <w:t>指根据《中华人民共和国药品管理法》及有关法规被列为特殊管理的药品，包括</w:t>
            </w:r>
            <w:r>
              <w:rPr>
                <w:spacing w:val="-3"/>
                <w:sz w:val="21"/>
              </w:rPr>
              <w:t>麻醉药品、精神药品、医疗用毒性药品及放射性药品。</w:t>
            </w:r>
          </w:p>
        </w:tc>
      </w:tr>
      <w:tr>
        <w:trPr>
          <w:trHeight w:val="804" w:hRule="atLeast"/>
        </w:trPr>
        <w:tc>
          <w:tcPr>
            <w:tcW w:w="934" w:type="dxa"/>
          </w:tcPr>
          <w:p>
            <w:pPr>
              <w:pStyle w:val="TableParagraph"/>
              <w:ind w:left="74" w:right="183"/>
              <w:jc w:val="center"/>
              <w:rPr>
                <w:b/>
                <w:sz w:val="21"/>
              </w:rPr>
            </w:pPr>
            <w:r>
              <w:rPr>
                <w:b/>
                <w:sz w:val="21"/>
              </w:rPr>
              <w:t>10.4</w:t>
            </w:r>
          </w:p>
        </w:tc>
        <w:tc>
          <w:tcPr>
            <w:tcW w:w="1762" w:type="dxa"/>
          </w:tcPr>
          <w:p>
            <w:pPr>
              <w:pStyle w:val="TableParagraph"/>
              <w:ind w:left="204"/>
              <w:rPr>
                <w:b/>
                <w:sz w:val="21"/>
              </w:rPr>
            </w:pPr>
            <w:r>
              <w:rPr>
                <w:b/>
                <w:sz w:val="21"/>
              </w:rPr>
              <w:t>酒后驾驶</w:t>
            </w:r>
          </w:p>
        </w:tc>
        <w:tc>
          <w:tcPr>
            <w:tcW w:w="7482" w:type="dxa"/>
          </w:tcPr>
          <w:p>
            <w:pPr>
              <w:pStyle w:val="TableParagraph"/>
              <w:spacing w:line="273" w:lineRule="auto"/>
              <w:ind w:left="106" w:right="103"/>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934" w:type="dxa"/>
          </w:tcPr>
          <w:p>
            <w:pPr>
              <w:pStyle w:val="TableParagraph"/>
              <w:ind w:left="74" w:right="183"/>
              <w:jc w:val="center"/>
              <w:rPr>
                <w:b/>
                <w:sz w:val="21"/>
              </w:rPr>
            </w:pPr>
            <w:r>
              <w:rPr>
                <w:b/>
                <w:sz w:val="21"/>
              </w:rPr>
              <w:t>10.5</w:t>
            </w:r>
          </w:p>
        </w:tc>
        <w:tc>
          <w:tcPr>
            <w:tcW w:w="1762" w:type="dxa"/>
          </w:tcPr>
          <w:p>
            <w:pPr>
              <w:pStyle w:val="TableParagraph"/>
              <w:spacing w:line="273" w:lineRule="auto"/>
              <w:ind w:left="204" w:right="289"/>
              <w:rPr>
                <w:b/>
                <w:sz w:val="21"/>
              </w:rPr>
            </w:pPr>
            <w:r>
              <w:rPr>
                <w:b/>
                <w:sz w:val="21"/>
              </w:rPr>
              <w:t>无合法有效驾驶证驾驶</w:t>
            </w:r>
          </w:p>
        </w:tc>
        <w:tc>
          <w:tcPr>
            <w:tcW w:w="7482" w:type="dxa"/>
          </w:tcPr>
          <w:p>
            <w:pPr>
              <w:pStyle w:val="TableParagraph"/>
              <w:ind w:left="106"/>
              <w:rPr>
                <w:sz w:val="21"/>
              </w:rPr>
            </w:pPr>
            <w:r>
              <w:rPr>
                <w:sz w:val="21"/>
              </w:rPr>
              <w:t>指下列情形之一：</w:t>
            </w:r>
          </w:p>
          <w:p>
            <w:pPr>
              <w:pStyle w:val="TableParagraph"/>
              <w:spacing w:before="36"/>
              <w:ind w:left="106"/>
              <w:rPr>
                <w:sz w:val="21"/>
              </w:rPr>
            </w:pPr>
            <w:r>
              <w:rPr>
                <w:sz w:val="21"/>
              </w:rPr>
              <w:t>（1）没有驾驶证驾驶；</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（3）驾驶员持审验不合格的驾驶证驾驶；</w:t>
            </w:r>
          </w:p>
          <w:p>
            <w:pPr>
              <w:pStyle w:val="TableParagraph"/>
              <w:spacing w:before="37"/>
              <w:ind w:left="106"/>
              <w:rPr>
                <w:sz w:val="21"/>
              </w:rPr>
            </w:pPr>
            <w:r>
              <w:rPr>
                <w:sz w:val="21"/>
              </w:rPr>
              <w:t>（4）未经公安交通管理部门同意，持未审验的驾驶证驾驶；</w:t>
            </w:r>
          </w:p>
          <w:p>
            <w:pPr>
              <w:pStyle w:val="TableParagraph"/>
              <w:spacing w:line="273" w:lineRule="auto" w:before="37"/>
              <w:ind w:left="632" w:right="107" w:hanging="527"/>
              <w:rPr>
                <w:sz w:val="21"/>
              </w:rPr>
            </w:pPr>
            <w:r>
              <w:rPr>
                <w:sz w:val="21"/>
              </w:rPr>
              <w:t>（5）持学习驾驶证学习驾车时，无教练员随车指导，或不按指定时间、路线学习驾车；</w:t>
            </w:r>
          </w:p>
          <w:p>
            <w:pPr>
              <w:pStyle w:val="TableParagraph"/>
              <w:spacing w:before="8"/>
              <w:ind w:left="106"/>
              <w:rPr>
                <w:sz w:val="21"/>
              </w:rPr>
            </w:pPr>
            <w:r>
              <w:rPr>
                <w:sz w:val="21"/>
              </w:rPr>
              <w:t>（6）公安交通管理部门规定的其他无有效驾驶证驾驶的情况。</w:t>
            </w:r>
          </w:p>
        </w:tc>
      </w:tr>
      <w:tr>
        <w:trPr>
          <w:trHeight w:val="1115" w:hRule="atLeast"/>
        </w:trPr>
        <w:tc>
          <w:tcPr>
            <w:tcW w:w="934" w:type="dxa"/>
          </w:tcPr>
          <w:p>
            <w:pPr>
              <w:pStyle w:val="TableParagraph"/>
              <w:ind w:left="74" w:right="183"/>
              <w:jc w:val="center"/>
              <w:rPr>
                <w:b/>
                <w:sz w:val="21"/>
              </w:rPr>
            </w:pPr>
            <w:r>
              <w:rPr>
                <w:b/>
                <w:sz w:val="21"/>
              </w:rPr>
              <w:t>10.6</w:t>
            </w:r>
          </w:p>
        </w:tc>
        <w:tc>
          <w:tcPr>
            <w:tcW w:w="1762" w:type="dxa"/>
          </w:tcPr>
          <w:p>
            <w:pPr>
              <w:pStyle w:val="TableParagraph"/>
              <w:ind w:left="204"/>
              <w:rPr>
                <w:b/>
                <w:sz w:val="21"/>
              </w:rPr>
            </w:pPr>
            <w:r>
              <w:rPr>
                <w:b/>
                <w:sz w:val="21"/>
              </w:rPr>
              <w:t>无有效行驶证</w:t>
            </w:r>
          </w:p>
        </w:tc>
        <w:tc>
          <w:tcPr>
            <w:tcW w:w="7482" w:type="dxa"/>
          </w:tcPr>
          <w:p>
            <w:pPr>
              <w:pStyle w:val="TableParagraph"/>
              <w:ind w:left="106"/>
              <w:rPr>
                <w:sz w:val="21"/>
              </w:rPr>
            </w:pPr>
            <w:r>
              <w:rPr>
                <w:sz w:val="21"/>
              </w:rPr>
              <w:t>指下列情形之一：</w:t>
            </w:r>
          </w:p>
          <w:p>
            <w:pPr>
              <w:pStyle w:val="TableParagraph"/>
              <w:spacing w:before="36"/>
              <w:ind w:left="106"/>
              <w:rPr>
                <w:sz w:val="21"/>
              </w:rPr>
            </w:pPr>
            <w:r>
              <w:rPr>
                <w:sz w:val="21"/>
              </w:rPr>
              <w:t>（1）没有机动车行驶证；</w:t>
            </w:r>
          </w:p>
          <w:p>
            <w:pPr>
              <w:pStyle w:val="TableParagraph"/>
              <w:spacing w:before="36"/>
              <w:ind w:left="106"/>
              <w:rPr>
                <w:sz w:val="21"/>
              </w:rPr>
            </w:pPr>
            <w:r>
              <w:rPr>
                <w:sz w:val="21"/>
              </w:rPr>
              <w:t>（2）未在法律规定期限内按时进行或通过安全技术检验。</w:t>
            </w:r>
          </w:p>
        </w:tc>
      </w:tr>
      <w:tr>
        <w:trPr>
          <w:trHeight w:val="804" w:hRule="atLeast"/>
        </w:trPr>
        <w:tc>
          <w:tcPr>
            <w:tcW w:w="934" w:type="dxa"/>
          </w:tcPr>
          <w:p>
            <w:pPr>
              <w:pStyle w:val="TableParagraph"/>
              <w:ind w:left="74" w:right="183"/>
              <w:jc w:val="center"/>
              <w:rPr>
                <w:b/>
                <w:sz w:val="21"/>
              </w:rPr>
            </w:pPr>
            <w:r>
              <w:rPr>
                <w:b/>
                <w:sz w:val="21"/>
              </w:rPr>
              <w:t>10.7</w:t>
            </w:r>
          </w:p>
        </w:tc>
        <w:tc>
          <w:tcPr>
            <w:tcW w:w="1762" w:type="dxa"/>
          </w:tcPr>
          <w:p>
            <w:pPr>
              <w:pStyle w:val="TableParagraph"/>
              <w:ind w:left="204"/>
              <w:rPr>
                <w:b/>
                <w:sz w:val="21"/>
              </w:rPr>
            </w:pPr>
            <w:r>
              <w:rPr>
                <w:b/>
                <w:sz w:val="21"/>
              </w:rPr>
              <w:t>机动车</w:t>
            </w:r>
          </w:p>
        </w:tc>
        <w:tc>
          <w:tcPr>
            <w:tcW w:w="7482" w:type="dxa"/>
          </w:tcPr>
          <w:p>
            <w:pPr>
              <w:pStyle w:val="TableParagraph"/>
              <w:spacing w:line="273" w:lineRule="auto"/>
              <w:ind w:left="106"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ind w:left="74" w:right="183"/>
              <w:jc w:val="center"/>
              <w:rPr>
                <w:b/>
                <w:sz w:val="21"/>
              </w:rPr>
            </w:pPr>
            <w:r>
              <w:rPr>
                <w:b/>
                <w:sz w:val="21"/>
              </w:rPr>
              <w:t>10.8</w:t>
            </w:r>
          </w:p>
        </w:tc>
        <w:tc>
          <w:tcPr>
            <w:tcW w:w="1762" w:type="dxa"/>
          </w:tcPr>
          <w:p>
            <w:pPr>
              <w:pStyle w:val="TableParagraph"/>
              <w:spacing w:line="273" w:lineRule="auto"/>
              <w:ind w:left="204" w:right="289"/>
              <w:rPr>
                <w:b/>
                <w:sz w:val="21"/>
              </w:rPr>
            </w:pPr>
            <w:r>
              <w:rPr>
                <w:b/>
                <w:sz w:val="21"/>
              </w:rPr>
              <w:t>感染艾滋病病毒或患艾滋病</w:t>
            </w:r>
          </w:p>
        </w:tc>
        <w:tc>
          <w:tcPr>
            <w:tcW w:w="7482" w:type="dxa"/>
          </w:tcPr>
          <w:p>
            <w:pPr>
              <w:pStyle w:val="TableParagraph"/>
              <w:spacing w:line="273" w:lineRule="auto"/>
              <w:ind w:left="106"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106" w:right="102"/>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934" w:type="dxa"/>
          </w:tcPr>
          <w:p>
            <w:pPr>
              <w:pStyle w:val="TableParagraph"/>
              <w:spacing w:line="262" w:lineRule="exact" w:before="0"/>
              <w:ind w:left="74" w:right="183"/>
              <w:jc w:val="center"/>
              <w:rPr>
                <w:b/>
                <w:sz w:val="21"/>
              </w:rPr>
            </w:pPr>
            <w:r>
              <w:rPr>
                <w:b/>
                <w:sz w:val="21"/>
              </w:rPr>
              <w:t>10.9</w:t>
            </w:r>
          </w:p>
        </w:tc>
        <w:tc>
          <w:tcPr>
            <w:tcW w:w="1762" w:type="dxa"/>
          </w:tcPr>
          <w:p>
            <w:pPr>
              <w:pStyle w:val="TableParagraph"/>
              <w:spacing w:line="262" w:lineRule="exact" w:before="0"/>
              <w:ind w:left="204"/>
              <w:rPr>
                <w:b/>
                <w:sz w:val="21"/>
              </w:rPr>
            </w:pPr>
            <w:r>
              <w:rPr>
                <w:b/>
                <w:sz w:val="21"/>
              </w:rPr>
              <w:t>遗传性疾病</w:t>
            </w:r>
          </w:p>
        </w:tc>
        <w:tc>
          <w:tcPr>
            <w:tcW w:w="7482" w:type="dxa"/>
            <w:tcBorders>
              <w:right w:val="single" w:sz="4" w:space="0" w:color="FFFFFF"/>
            </w:tcBorders>
          </w:tcPr>
          <w:p>
            <w:pPr>
              <w:pStyle w:val="TableParagraph"/>
              <w:spacing w:line="273" w:lineRule="auto" w:before="0"/>
              <w:ind w:left="10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96" w:hRule="atLeast"/>
        </w:trPr>
        <w:tc>
          <w:tcPr>
            <w:tcW w:w="934" w:type="dxa"/>
          </w:tcPr>
          <w:p>
            <w:pPr>
              <w:pStyle w:val="TableParagraph"/>
              <w:spacing w:before="167"/>
              <w:ind w:left="178" w:right="183"/>
              <w:jc w:val="center"/>
              <w:rPr>
                <w:b/>
                <w:sz w:val="21"/>
              </w:rPr>
            </w:pPr>
            <w:r>
              <w:rPr>
                <w:b/>
                <w:sz w:val="21"/>
              </w:rPr>
              <w:t>10.10</w:t>
            </w:r>
          </w:p>
        </w:tc>
        <w:tc>
          <w:tcPr>
            <w:tcW w:w="1762" w:type="dxa"/>
          </w:tcPr>
          <w:p>
            <w:pPr>
              <w:pStyle w:val="TableParagraph"/>
              <w:spacing w:line="273" w:lineRule="auto" w:before="167"/>
              <w:ind w:left="204" w:right="105"/>
              <w:jc w:val="both"/>
              <w:rPr>
                <w:b/>
                <w:sz w:val="21"/>
              </w:rPr>
            </w:pPr>
            <w:r>
              <w:rPr>
                <w:b/>
                <w:spacing w:val="-6"/>
                <w:sz w:val="21"/>
              </w:rPr>
              <w:t>先天性畸形、变</w:t>
            </w:r>
            <w:r>
              <w:rPr>
                <w:b/>
                <w:spacing w:val="7"/>
                <w:sz w:val="21"/>
              </w:rPr>
              <w:t>形 或染色体异常</w:t>
            </w:r>
          </w:p>
        </w:tc>
        <w:tc>
          <w:tcPr>
            <w:tcW w:w="7482" w:type="dxa"/>
          </w:tcPr>
          <w:p>
            <w:pPr>
              <w:pStyle w:val="TableParagraph"/>
              <w:spacing w:line="273" w:lineRule="auto" w:before="167"/>
              <w:ind w:left="106" w:right="103"/>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1872" w:hRule="atLeast"/>
        </w:trPr>
        <w:tc>
          <w:tcPr>
            <w:tcW w:w="934" w:type="dxa"/>
          </w:tcPr>
          <w:p>
            <w:pPr>
              <w:pStyle w:val="TableParagraph"/>
              <w:spacing w:line="262" w:lineRule="exact" w:before="0"/>
              <w:ind w:left="179" w:right="182"/>
              <w:jc w:val="center"/>
              <w:rPr>
                <w:b/>
                <w:sz w:val="21"/>
              </w:rPr>
            </w:pPr>
            <w:r>
              <w:rPr>
                <w:b/>
                <w:sz w:val="21"/>
              </w:rPr>
              <w:t>10.11</w:t>
            </w:r>
          </w:p>
        </w:tc>
        <w:tc>
          <w:tcPr>
            <w:tcW w:w="1762" w:type="dxa"/>
          </w:tcPr>
          <w:p>
            <w:pPr>
              <w:pStyle w:val="TableParagraph"/>
              <w:spacing w:line="262" w:lineRule="exact" w:before="0"/>
              <w:ind w:left="204"/>
              <w:rPr>
                <w:b/>
                <w:sz w:val="21"/>
              </w:rPr>
            </w:pPr>
            <w:r>
              <w:rPr>
                <w:b/>
                <w:sz w:val="21"/>
              </w:rPr>
              <w:t>专科医生</w:t>
            </w:r>
          </w:p>
        </w:tc>
        <w:tc>
          <w:tcPr>
            <w:tcW w:w="7482" w:type="dxa"/>
            <w:tcBorders>
              <w:right w:val="single" w:sz="4" w:space="0" w:color="FFFFFF"/>
            </w:tcBorders>
          </w:tcPr>
          <w:p>
            <w:pPr>
              <w:pStyle w:val="TableParagraph"/>
              <w:spacing w:line="262" w:lineRule="exact" w:before="0"/>
              <w:ind w:left="106"/>
              <w:rPr>
                <w:sz w:val="21"/>
              </w:rPr>
            </w:pPr>
            <w:r>
              <w:rPr>
                <w:sz w:val="21"/>
              </w:rPr>
              <w:t>专科医生应当同时满足以下四项资格条件：</w:t>
            </w:r>
          </w:p>
          <w:p>
            <w:pPr>
              <w:pStyle w:val="TableParagraph"/>
              <w:spacing w:before="37"/>
              <w:ind w:left="106"/>
              <w:rPr>
                <w:sz w:val="21"/>
              </w:rPr>
            </w:pPr>
            <w:r>
              <w:rPr>
                <w:sz w:val="21"/>
              </w:rPr>
              <w:t>（1）具有有效的中华人民共和国《医师资格证书》；</w:t>
            </w:r>
          </w:p>
          <w:p>
            <w:pPr>
              <w:pStyle w:val="TableParagraph"/>
              <w:spacing w:before="37"/>
              <w:ind w:left="106"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6"/>
              <w:ind w:left="632" w:right="119" w:hanging="527"/>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 3 年以上。</w:t>
            </w:r>
          </w:p>
        </w:tc>
      </w:tr>
      <w:tr>
        <w:trPr>
          <w:trHeight w:val="754" w:hRule="atLeast"/>
        </w:trPr>
        <w:tc>
          <w:tcPr>
            <w:tcW w:w="934" w:type="dxa"/>
          </w:tcPr>
          <w:p>
            <w:pPr>
              <w:pStyle w:val="TableParagraph"/>
              <w:spacing w:before="167"/>
              <w:ind w:left="179" w:right="182"/>
              <w:jc w:val="center"/>
              <w:rPr>
                <w:b/>
                <w:sz w:val="21"/>
              </w:rPr>
            </w:pPr>
            <w:r>
              <w:rPr>
                <w:b/>
                <w:sz w:val="21"/>
              </w:rPr>
              <w:t>10.12</w:t>
            </w:r>
          </w:p>
        </w:tc>
        <w:tc>
          <w:tcPr>
            <w:tcW w:w="1762" w:type="dxa"/>
          </w:tcPr>
          <w:p>
            <w:pPr>
              <w:pStyle w:val="TableParagraph"/>
              <w:spacing w:line="310" w:lineRule="atLeast" w:before="132"/>
              <w:ind w:left="204" w:right="107"/>
              <w:rPr>
                <w:b/>
                <w:sz w:val="21"/>
              </w:rPr>
            </w:pPr>
            <w:r>
              <w:rPr>
                <w:b/>
                <w:sz w:val="21"/>
              </w:rPr>
              <w:t>肢体机能 完全丧失</w:t>
            </w:r>
          </w:p>
        </w:tc>
        <w:tc>
          <w:tcPr>
            <w:tcW w:w="7482" w:type="dxa"/>
          </w:tcPr>
          <w:p>
            <w:pPr>
              <w:pStyle w:val="TableParagraph"/>
              <w:spacing w:line="310" w:lineRule="atLeast" w:before="132"/>
              <w:ind w:left="106"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bl>
    <w:p>
      <w:pPr>
        <w:spacing w:after="0" w:line="310" w:lineRule="atLeast"/>
        <w:rPr>
          <w:sz w:val="21"/>
        </w:rPr>
        <w:sectPr>
          <w:headerReference w:type="default" r:id="rId12"/>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569"/>
      </w:tblGrid>
      <w:tr>
        <w:trPr>
          <w:trHeight w:val="1287" w:hRule="atLeast"/>
        </w:trPr>
        <w:tc>
          <w:tcPr>
            <w:tcW w:w="934" w:type="dxa"/>
          </w:tcPr>
          <w:p>
            <w:pPr>
              <w:pStyle w:val="TableParagraph"/>
              <w:spacing w:line="211" w:lineRule="exact" w:before="0"/>
              <w:ind w:left="179" w:right="182"/>
              <w:jc w:val="center"/>
              <w:rPr>
                <w:b/>
                <w:sz w:val="21"/>
              </w:rPr>
            </w:pPr>
            <w:r>
              <w:rPr>
                <w:b/>
                <w:sz w:val="21"/>
              </w:rPr>
              <w:t>10.13</w:t>
            </w:r>
          </w:p>
        </w:tc>
        <w:tc>
          <w:tcPr>
            <w:tcW w:w="1772" w:type="dxa"/>
          </w:tcPr>
          <w:p>
            <w:pPr>
              <w:pStyle w:val="TableParagraph"/>
              <w:spacing w:line="211" w:lineRule="exact" w:before="0"/>
              <w:ind w:left="204"/>
              <w:rPr>
                <w:b/>
                <w:sz w:val="21"/>
              </w:rPr>
            </w:pPr>
            <w:r>
              <w:rPr>
                <w:b/>
                <w:sz w:val="21"/>
              </w:rPr>
              <w:t>语言能力 或咀</w:t>
            </w:r>
          </w:p>
          <w:p>
            <w:pPr>
              <w:pStyle w:val="TableParagraph"/>
              <w:spacing w:line="273" w:lineRule="auto" w:before="37"/>
              <w:ind w:left="204" w:right="117"/>
              <w:rPr>
                <w:b/>
                <w:sz w:val="21"/>
              </w:rPr>
            </w:pPr>
            <w:r>
              <w:rPr>
                <w:b/>
                <w:sz w:val="21"/>
              </w:rPr>
              <w:t>嚼吞咽能 力完全丧失</w:t>
            </w:r>
          </w:p>
        </w:tc>
        <w:tc>
          <w:tcPr>
            <w:tcW w:w="7569" w:type="dxa"/>
          </w:tcPr>
          <w:p>
            <w:pPr>
              <w:pStyle w:val="TableParagraph"/>
              <w:spacing w:line="211" w:lineRule="exact" w:before="0"/>
              <w:ind w:left="96"/>
              <w:rPr>
                <w:sz w:val="21"/>
              </w:rPr>
            </w:pPr>
            <w:r>
              <w:rPr>
                <w:sz w:val="21"/>
              </w:rPr>
              <w:t>语言能力完全丧失，指无法发出四种语音（包括口唇音、齿舌音、口盖音和喉头</w:t>
            </w:r>
          </w:p>
          <w:p>
            <w:pPr>
              <w:pStyle w:val="TableParagraph"/>
              <w:spacing w:line="273" w:lineRule="auto" w:before="37"/>
              <w:ind w:left="96" w:right="200"/>
              <w:jc w:val="both"/>
              <w:rPr>
                <w:sz w:val="21"/>
              </w:rPr>
            </w:pPr>
            <w:r>
              <w:rPr>
                <w:sz w:val="21"/>
              </w:rPr>
              <w:t>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934" w:type="dxa"/>
          </w:tcPr>
          <w:p>
            <w:pPr>
              <w:pStyle w:val="TableParagraph"/>
              <w:ind w:left="179" w:right="182"/>
              <w:jc w:val="center"/>
              <w:rPr>
                <w:b/>
                <w:sz w:val="21"/>
              </w:rPr>
            </w:pPr>
            <w:r>
              <w:rPr>
                <w:b/>
                <w:sz w:val="21"/>
              </w:rPr>
              <w:t>10.14</w:t>
            </w:r>
          </w:p>
        </w:tc>
        <w:tc>
          <w:tcPr>
            <w:tcW w:w="1772" w:type="dxa"/>
          </w:tcPr>
          <w:p>
            <w:pPr>
              <w:pStyle w:val="TableParagraph"/>
              <w:spacing w:line="273" w:lineRule="auto"/>
              <w:ind w:left="204" w:right="54"/>
              <w:rPr>
                <w:b/>
                <w:sz w:val="21"/>
              </w:rPr>
            </w:pPr>
            <w:r>
              <w:rPr>
                <w:b/>
                <w:sz w:val="21"/>
              </w:rPr>
              <w:t>六项基本日常生活活动</w:t>
            </w:r>
          </w:p>
        </w:tc>
        <w:tc>
          <w:tcPr>
            <w:tcW w:w="7569"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before="36"/>
              <w:ind w:left="96"/>
              <w:rPr>
                <w:sz w:val="21"/>
              </w:rPr>
            </w:pPr>
            <w:r>
              <w:rPr>
                <w:sz w:val="21"/>
              </w:rPr>
              <w:t>（2）移动：自己从一个房间到另一个房间；</w:t>
            </w:r>
          </w:p>
          <w:p>
            <w:pPr>
              <w:pStyle w:val="TableParagraph"/>
              <w:spacing w:before="36"/>
              <w:ind w:left="96"/>
              <w:rPr>
                <w:sz w:val="21"/>
              </w:rPr>
            </w:pPr>
            <w:r>
              <w:rPr>
                <w:sz w:val="21"/>
              </w:rPr>
              <w:t>（3）行动：自己上下床或上下轮椅；</w:t>
            </w:r>
          </w:p>
          <w:p>
            <w:pPr>
              <w:pStyle w:val="TableParagraph"/>
              <w:spacing w:before="36"/>
              <w:ind w:left="96"/>
              <w:rPr>
                <w:sz w:val="21"/>
              </w:rPr>
            </w:pPr>
            <w:r>
              <w:rPr>
                <w:sz w:val="21"/>
              </w:rPr>
              <w:t>（4）如厕：自己控制进行大小便；</w:t>
            </w:r>
          </w:p>
          <w:p>
            <w:pPr>
              <w:pStyle w:val="TableParagraph"/>
              <w:spacing w:before="36"/>
              <w:ind w:left="96"/>
              <w:rPr>
                <w:sz w:val="21"/>
              </w:rPr>
            </w:pPr>
            <w:r>
              <w:rPr>
                <w:sz w:val="21"/>
              </w:rPr>
              <w:t>（5）进食：自己从已准备好的碗或碟中取食物放入口中；</w:t>
            </w:r>
          </w:p>
          <w:p>
            <w:pPr>
              <w:pStyle w:val="TableParagraph"/>
              <w:spacing w:before="36"/>
              <w:ind w:left="96"/>
              <w:rPr>
                <w:sz w:val="21"/>
              </w:rPr>
            </w:pPr>
            <w:r>
              <w:rPr>
                <w:sz w:val="21"/>
              </w:rPr>
              <w:t>（6）洗澡：自己进行淋浴或盆浴。</w:t>
            </w:r>
          </w:p>
        </w:tc>
      </w:tr>
      <w:tr>
        <w:trPr>
          <w:trHeight w:val="804" w:hRule="atLeast"/>
        </w:trPr>
        <w:tc>
          <w:tcPr>
            <w:tcW w:w="934" w:type="dxa"/>
          </w:tcPr>
          <w:p>
            <w:pPr>
              <w:pStyle w:val="TableParagraph"/>
              <w:ind w:left="179" w:right="182"/>
              <w:jc w:val="center"/>
              <w:rPr>
                <w:b/>
                <w:sz w:val="21"/>
              </w:rPr>
            </w:pPr>
            <w:r>
              <w:rPr>
                <w:b/>
                <w:sz w:val="21"/>
              </w:rPr>
              <w:t>10.15</w:t>
            </w:r>
          </w:p>
        </w:tc>
        <w:tc>
          <w:tcPr>
            <w:tcW w:w="1772" w:type="dxa"/>
          </w:tcPr>
          <w:p>
            <w:pPr>
              <w:pStyle w:val="TableParagraph"/>
              <w:ind w:left="204"/>
              <w:rPr>
                <w:b/>
                <w:sz w:val="21"/>
              </w:rPr>
            </w:pPr>
            <w:r>
              <w:rPr>
                <w:b/>
                <w:sz w:val="21"/>
              </w:rPr>
              <w:t>永久不可逆</w:t>
            </w:r>
          </w:p>
        </w:tc>
        <w:tc>
          <w:tcPr>
            <w:tcW w:w="7569" w:type="dxa"/>
          </w:tcPr>
          <w:p>
            <w:pPr>
              <w:pStyle w:val="TableParagraph"/>
              <w:spacing w:line="273" w:lineRule="auto"/>
              <w:ind w:left="96" w:right="1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804" w:hRule="atLeast"/>
        </w:trPr>
        <w:tc>
          <w:tcPr>
            <w:tcW w:w="934" w:type="dxa"/>
          </w:tcPr>
          <w:p>
            <w:pPr>
              <w:pStyle w:val="TableParagraph"/>
              <w:ind w:left="178" w:right="183"/>
              <w:jc w:val="center"/>
              <w:rPr>
                <w:b/>
                <w:sz w:val="21"/>
              </w:rPr>
            </w:pPr>
            <w:r>
              <w:rPr>
                <w:b/>
                <w:sz w:val="21"/>
              </w:rPr>
              <w:t>10.16</w:t>
            </w:r>
          </w:p>
        </w:tc>
        <w:tc>
          <w:tcPr>
            <w:tcW w:w="1772" w:type="dxa"/>
          </w:tcPr>
          <w:p>
            <w:pPr>
              <w:pStyle w:val="TableParagraph"/>
              <w:spacing w:line="273" w:lineRule="auto"/>
              <w:ind w:left="204" w:right="299"/>
              <w:rPr>
                <w:b/>
                <w:sz w:val="21"/>
              </w:rPr>
            </w:pPr>
            <w:r>
              <w:rPr>
                <w:b/>
                <w:sz w:val="21"/>
              </w:rPr>
              <w:t>本合同约定利率</w:t>
            </w:r>
          </w:p>
        </w:tc>
        <w:tc>
          <w:tcPr>
            <w:tcW w:w="7569" w:type="dxa"/>
          </w:tcPr>
          <w:p>
            <w:pPr>
              <w:pStyle w:val="TableParagraph"/>
              <w:ind w:left="96"/>
              <w:rPr>
                <w:sz w:val="21"/>
              </w:rPr>
            </w:pPr>
            <w:r>
              <w:rPr>
                <w:sz w:val="21"/>
              </w:rPr>
              <w:t>指我们参照中国人民银行最近一次规定的 6 个月期人民币贷款利率所确定的利</w:t>
            </w:r>
          </w:p>
          <w:p>
            <w:pPr>
              <w:pStyle w:val="TableParagraph"/>
              <w:spacing w:before="36"/>
              <w:ind w:left="96"/>
              <w:rPr>
                <w:sz w:val="21"/>
              </w:rPr>
            </w:pPr>
            <w:r>
              <w:rPr>
                <w:sz w:val="21"/>
              </w:rPr>
              <w:t>率。我们在每年的 1 月 1 日和 7 月 1 日确定并以适当方式公布。</w:t>
            </w:r>
          </w:p>
        </w:tc>
      </w:tr>
      <w:tr>
        <w:trPr>
          <w:trHeight w:val="663" w:hRule="atLeast"/>
        </w:trPr>
        <w:tc>
          <w:tcPr>
            <w:tcW w:w="934" w:type="dxa"/>
          </w:tcPr>
          <w:p>
            <w:pPr>
              <w:pStyle w:val="TableParagraph"/>
              <w:ind w:left="179" w:right="182"/>
              <w:jc w:val="center"/>
              <w:rPr>
                <w:b/>
                <w:sz w:val="21"/>
              </w:rPr>
            </w:pPr>
            <w:r>
              <w:rPr>
                <w:b/>
                <w:sz w:val="21"/>
              </w:rPr>
              <w:t>10.17</w:t>
            </w:r>
          </w:p>
        </w:tc>
        <w:tc>
          <w:tcPr>
            <w:tcW w:w="1772" w:type="dxa"/>
          </w:tcPr>
          <w:p>
            <w:pPr>
              <w:pStyle w:val="TableParagraph"/>
              <w:ind w:left="204"/>
              <w:rPr>
                <w:b/>
                <w:sz w:val="21"/>
              </w:rPr>
            </w:pPr>
            <w:r>
              <w:rPr>
                <w:b/>
                <w:sz w:val="21"/>
              </w:rPr>
              <w:t>现金价值</w:t>
            </w:r>
          </w:p>
        </w:tc>
        <w:tc>
          <w:tcPr>
            <w:tcW w:w="7569" w:type="dxa"/>
          </w:tcPr>
          <w:p>
            <w:pPr>
              <w:pStyle w:val="TableParagraph"/>
              <w:spacing w:line="310" w:lineRule="atLeast" w:before="41"/>
              <w:ind w:left="96" w:right="199"/>
              <w:rPr>
                <w:sz w:val="21"/>
              </w:rPr>
            </w:pPr>
            <w:r>
              <w:rPr>
                <w:spacing w:val="-9"/>
                <w:sz w:val="21"/>
              </w:rPr>
              <w:t>一般指保险单所具有的价值，通常体现为解除本合同时，由我们向您退还的那部</w:t>
            </w:r>
            <w:r>
              <w:rPr>
                <w:spacing w:val="-6"/>
                <w:sz w:val="21"/>
              </w:rPr>
              <w:t>分金额。</w:t>
            </w:r>
          </w:p>
        </w:tc>
      </w:tr>
    </w:tbl>
    <w:sectPr>
      <w:pgSz w:w="11910" w:h="16840"/>
      <w:pgMar w:header="566"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205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327">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2104"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2.98999pt;margin-top:37.585609pt;width:164.05pt;height:11pt;mso-position-horizontal-relative:page;mso-position-vertical-relative:page;z-index:-32080" type="#_x0000_t202" filled="false" stroked="false">
          <v:textbox inset="0,0,0,0">
            <w:txbxContent>
              <w:p>
                <w:pPr>
                  <w:spacing w:line="200" w:lineRule="exact" w:before="0"/>
                  <w:ind w:left="20" w:right="0" w:firstLine="0"/>
                  <w:jc w:val="left"/>
                  <w:rPr>
                    <w:sz w:val="18"/>
                  </w:rPr>
                </w:pPr>
                <w:r>
                  <w:rPr>
                    <w:sz w:val="18"/>
                  </w:rPr>
                  <w:t>百年附加祥瑞提前给付重大疾病保险条款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423">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72.98999pt;margin-top:37.585609pt;width:164.05pt;height:11pt;mso-position-horizontal-relative:page;mso-position-vertical-relative:page;z-index:-32008" type="#_x0000_t202" filled="false" stroked="false">
          <v:textbox inset="0,0,0,0">
            <w:txbxContent>
              <w:p>
                <w:pPr>
                  <w:spacing w:line="200" w:lineRule="exact" w:before="0"/>
                  <w:ind w:left="20" w:right="0" w:firstLine="0"/>
                  <w:jc w:val="left"/>
                  <w:rPr>
                    <w:sz w:val="18"/>
                  </w:rPr>
                </w:pPr>
                <w:r>
                  <w:rPr>
                    <w:sz w:val="18"/>
                  </w:rPr>
                  <w:t>百年附加祥瑞提前给付重大疾病保险条款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471">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960" from="55.200001pt,50.399982pt" to="540.100001pt,50.399982pt" stroked="true" strokeweight=".72pt" strokecolor="#000000">
          <v:stroke dashstyle="solid"/>
          <w10:wrap type="none"/>
        </v:line>
      </w:pict>
    </w:r>
    <w:r>
      <w:rPr/>
      <w:pict>
        <v:shape style="position:absolute;margin-left:372.98999pt;margin-top:37.585609pt;width:164.05pt;height:11pt;mso-position-horizontal-relative:page;mso-position-vertical-relative:page;z-index:-31936" type="#_x0000_t202" filled="false" stroked="false">
          <v:textbox inset="0,0,0,0">
            <w:txbxContent>
              <w:p>
                <w:pPr>
                  <w:spacing w:line="200" w:lineRule="exact" w:before="0"/>
                  <w:ind w:left="20" w:right="0" w:firstLine="0"/>
                  <w:jc w:val="left"/>
                  <w:rPr>
                    <w:sz w:val="18"/>
                  </w:rPr>
                </w:pPr>
                <w:r>
                  <w:rPr>
                    <w:sz w:val="18"/>
                  </w:rPr>
                  <w:t>百年附加祥瑞提前给付重大疾病保险条款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543">
          <wp:simplePos x="0" y="0"/>
          <wp:positionH relativeFrom="page">
            <wp:posOffset>719455</wp:posOffset>
          </wp:positionH>
          <wp:positionV relativeFrom="page">
            <wp:posOffset>359409</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72.98999pt;margin-top:37.585609pt;width:164.05pt;height:11pt;mso-position-horizontal-relative:page;mso-position-vertical-relative:page;z-index:-31888" type="#_x0000_t202" filled="false" stroked="false">
          <v:textbox inset="0,0,0,0">
            <w:txbxContent>
              <w:p>
                <w:pPr>
                  <w:spacing w:line="200" w:lineRule="exact" w:before="0"/>
                  <w:ind w:left="20" w:right="0" w:firstLine="0"/>
                  <w:jc w:val="left"/>
                  <w:rPr>
                    <w:sz w:val="18"/>
                  </w:rPr>
                </w:pPr>
                <w:r>
                  <w:rPr>
                    <w:sz w:val="18"/>
                  </w:rPr>
                  <w:t>百年附加祥瑞提前给付重大疾病保险条款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591">
          <wp:simplePos x="0" y="0"/>
          <wp:positionH relativeFrom="page">
            <wp:posOffset>719455</wp:posOffset>
          </wp:positionH>
          <wp:positionV relativeFrom="page">
            <wp:posOffset>359409</wp:posOffset>
          </wp:positionV>
          <wp:extent cx="941705" cy="228600"/>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840" from="55.200001pt,50.399982pt" to="540.100001pt,50.399982pt" stroked="true" strokeweight=".72pt" strokecolor="#000000">
          <v:stroke dashstyle="solid"/>
          <w10:wrap type="none"/>
        </v:line>
      </w:pict>
    </w:r>
    <w:r>
      <w:rPr/>
      <w:pict>
        <v:shape style="position:absolute;margin-left:372.98999pt;margin-top:37.585609pt;width:164.05pt;height:11pt;mso-position-horizontal-relative:page;mso-position-vertical-relative:page;z-index:-31816" type="#_x0000_t202" filled="false" stroked="false">
          <v:textbox inset="0,0,0,0">
            <w:txbxContent>
              <w:p>
                <w:pPr>
                  <w:spacing w:line="200" w:lineRule="exact" w:before="0"/>
                  <w:ind w:left="20" w:right="0" w:firstLine="0"/>
                  <w:jc w:val="left"/>
                  <w:rPr>
                    <w:sz w:val="18"/>
                  </w:rPr>
                </w:pPr>
                <w:r>
                  <w:rPr>
                    <w:sz w:val="18"/>
                  </w:rPr>
                  <w:t>百年附加祥瑞提前给付重大疾病保险条款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2"/>
      <w:numFmt w:val="upperRoman"/>
      <w:lvlText w:val="%1"/>
      <w:lvlJc w:val="left"/>
      <w:pPr>
        <w:ind w:left="371" w:hanging="265"/>
        <w:jc w:val="left"/>
      </w:pPr>
      <w:rPr>
        <w:rFonts w:hint="default" w:ascii="宋体" w:hAnsi="宋体" w:eastAsia="宋体" w:cs="宋体"/>
        <w:w w:val="100"/>
        <w:sz w:val="21"/>
        <w:szCs w:val="21"/>
      </w:rPr>
    </w:lvl>
    <w:lvl w:ilvl="1">
      <w:start w:val="0"/>
      <w:numFmt w:val="bullet"/>
      <w:lvlText w:val="•"/>
      <w:lvlJc w:val="left"/>
      <w:pPr>
        <w:ind w:left="1100" w:hanging="265"/>
      </w:pPr>
      <w:rPr>
        <w:rFonts w:hint="default"/>
      </w:rPr>
    </w:lvl>
    <w:lvl w:ilvl="2">
      <w:start w:val="0"/>
      <w:numFmt w:val="bullet"/>
      <w:lvlText w:val="•"/>
      <w:lvlJc w:val="left"/>
      <w:pPr>
        <w:ind w:left="1820" w:hanging="265"/>
      </w:pPr>
      <w:rPr>
        <w:rFonts w:hint="default"/>
      </w:rPr>
    </w:lvl>
    <w:lvl w:ilvl="3">
      <w:start w:val="0"/>
      <w:numFmt w:val="bullet"/>
      <w:lvlText w:val="•"/>
      <w:lvlJc w:val="left"/>
      <w:pPr>
        <w:ind w:left="2540" w:hanging="265"/>
      </w:pPr>
      <w:rPr>
        <w:rFonts w:hint="default"/>
      </w:rPr>
    </w:lvl>
    <w:lvl w:ilvl="4">
      <w:start w:val="0"/>
      <w:numFmt w:val="bullet"/>
      <w:lvlText w:val="•"/>
      <w:lvlJc w:val="left"/>
      <w:pPr>
        <w:ind w:left="3260" w:hanging="265"/>
      </w:pPr>
      <w:rPr>
        <w:rFonts w:hint="default"/>
      </w:rPr>
    </w:lvl>
    <w:lvl w:ilvl="5">
      <w:start w:val="0"/>
      <w:numFmt w:val="bullet"/>
      <w:lvlText w:val="•"/>
      <w:lvlJc w:val="left"/>
      <w:pPr>
        <w:ind w:left="3980" w:hanging="265"/>
      </w:pPr>
      <w:rPr>
        <w:rFonts w:hint="default"/>
      </w:rPr>
    </w:lvl>
    <w:lvl w:ilvl="6">
      <w:start w:val="0"/>
      <w:numFmt w:val="bullet"/>
      <w:lvlText w:val="•"/>
      <w:lvlJc w:val="left"/>
      <w:pPr>
        <w:ind w:left="4700" w:hanging="265"/>
      </w:pPr>
      <w:rPr>
        <w:rFonts w:hint="default"/>
      </w:rPr>
    </w:lvl>
    <w:lvl w:ilvl="7">
      <w:start w:val="0"/>
      <w:numFmt w:val="bullet"/>
      <w:lvlText w:val="•"/>
      <w:lvlJc w:val="left"/>
      <w:pPr>
        <w:ind w:left="5420" w:hanging="265"/>
      </w:pPr>
      <w:rPr>
        <w:rFonts w:hint="default"/>
      </w:rPr>
    </w:lvl>
    <w:lvl w:ilvl="8">
      <w:start w:val="0"/>
      <w:numFmt w:val="bullet"/>
      <w:lvlText w:val="•"/>
      <w:lvlJc w:val="left"/>
      <w:pPr>
        <w:ind w:left="6140" w:hanging="265"/>
      </w:pPr>
      <w:rPr>
        <w:rFonts w:hint="default"/>
      </w:rPr>
    </w:lvl>
  </w:abstractNum>
  <w:abstractNum w:abstractNumId="10">
    <w:multiLevelType w:val="hybridMultilevel"/>
    <w:lvl w:ilvl="0">
      <w:start w:val="10"/>
      <w:numFmt w:val="decimal"/>
      <w:lvlText w:val="%1"/>
      <w:lvlJc w:val="left"/>
      <w:pPr>
        <w:ind w:left="891" w:hanging="526"/>
        <w:jc w:val="left"/>
      </w:pPr>
      <w:rPr>
        <w:rFonts w:hint="default"/>
      </w:rPr>
    </w:lvl>
    <w:lvl w:ilvl="1">
      <w:start w:val="1"/>
      <w:numFmt w:val="decimal"/>
      <w:lvlText w:val="%1.%2"/>
      <w:lvlJc w:val="left"/>
      <w:pPr>
        <w:ind w:left="929" w:hanging="526"/>
        <w:jc w:val="left"/>
      </w:pPr>
      <w:rPr>
        <w:rFonts w:hint="default" w:ascii="宋体" w:hAnsi="宋体" w:eastAsia="宋体" w:cs="宋体"/>
        <w:w w:val="100"/>
        <w:sz w:val="21"/>
        <w:szCs w:val="21"/>
      </w:rPr>
    </w:lvl>
    <w:lvl w:ilvl="2">
      <w:start w:val="0"/>
      <w:numFmt w:val="bullet"/>
      <w:lvlText w:val="•"/>
      <w:lvlJc w:val="left"/>
      <w:pPr>
        <w:ind w:left="1169" w:hanging="526"/>
      </w:pPr>
      <w:rPr>
        <w:rFonts w:hint="default"/>
      </w:rPr>
    </w:lvl>
    <w:lvl w:ilvl="3">
      <w:start w:val="0"/>
      <w:numFmt w:val="bullet"/>
      <w:lvlText w:val="•"/>
      <w:lvlJc w:val="left"/>
      <w:pPr>
        <w:ind w:left="1419" w:hanging="526"/>
      </w:pPr>
      <w:rPr>
        <w:rFonts w:hint="default"/>
      </w:rPr>
    </w:lvl>
    <w:lvl w:ilvl="4">
      <w:start w:val="0"/>
      <w:numFmt w:val="bullet"/>
      <w:lvlText w:val="•"/>
      <w:lvlJc w:val="left"/>
      <w:pPr>
        <w:ind w:left="1669" w:hanging="526"/>
      </w:pPr>
      <w:rPr>
        <w:rFonts w:hint="default"/>
      </w:rPr>
    </w:lvl>
    <w:lvl w:ilvl="5">
      <w:start w:val="0"/>
      <w:numFmt w:val="bullet"/>
      <w:lvlText w:val="•"/>
      <w:lvlJc w:val="left"/>
      <w:pPr>
        <w:ind w:left="1919" w:hanging="526"/>
      </w:pPr>
      <w:rPr>
        <w:rFonts w:hint="default"/>
      </w:rPr>
    </w:lvl>
    <w:lvl w:ilvl="6">
      <w:start w:val="0"/>
      <w:numFmt w:val="bullet"/>
      <w:lvlText w:val="•"/>
      <w:lvlJc w:val="left"/>
      <w:pPr>
        <w:ind w:left="2168" w:hanging="526"/>
      </w:pPr>
      <w:rPr>
        <w:rFonts w:hint="default"/>
      </w:rPr>
    </w:lvl>
    <w:lvl w:ilvl="7">
      <w:start w:val="0"/>
      <w:numFmt w:val="bullet"/>
      <w:lvlText w:val="•"/>
      <w:lvlJc w:val="left"/>
      <w:pPr>
        <w:ind w:left="2418" w:hanging="526"/>
      </w:pPr>
      <w:rPr>
        <w:rFonts w:hint="default"/>
      </w:rPr>
    </w:lvl>
    <w:lvl w:ilvl="8">
      <w:start w:val="0"/>
      <w:numFmt w:val="bullet"/>
      <w:lvlText w:val="•"/>
      <w:lvlJc w:val="left"/>
      <w:pPr>
        <w:ind w:left="2668"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422" w:hanging="423"/>
      </w:pPr>
      <w:rPr>
        <w:rFonts w:hint="default"/>
      </w:rPr>
    </w:lvl>
    <w:lvl w:ilvl="3">
      <w:start w:val="0"/>
      <w:numFmt w:val="bullet"/>
      <w:lvlText w:val="•"/>
      <w:lvlJc w:val="left"/>
      <w:pPr>
        <w:ind w:left="1663" w:hanging="423"/>
      </w:pPr>
      <w:rPr>
        <w:rFonts w:hint="default"/>
      </w:rPr>
    </w:lvl>
    <w:lvl w:ilvl="4">
      <w:start w:val="0"/>
      <w:numFmt w:val="bullet"/>
      <w:lvlText w:val="•"/>
      <w:lvlJc w:val="left"/>
      <w:pPr>
        <w:ind w:left="1904" w:hanging="423"/>
      </w:pPr>
      <w:rPr>
        <w:rFonts w:hint="default"/>
      </w:rPr>
    </w:lvl>
    <w:lvl w:ilvl="5">
      <w:start w:val="0"/>
      <w:numFmt w:val="bullet"/>
      <w:lvlText w:val="•"/>
      <w:lvlJc w:val="left"/>
      <w:pPr>
        <w:ind w:left="2146" w:hanging="423"/>
      </w:pPr>
      <w:rPr>
        <w:rFonts w:hint="default"/>
      </w:rPr>
    </w:lvl>
    <w:lvl w:ilvl="6">
      <w:start w:val="0"/>
      <w:numFmt w:val="bullet"/>
      <w:lvlText w:val="•"/>
      <w:lvlJc w:val="left"/>
      <w:pPr>
        <w:ind w:left="2387" w:hanging="423"/>
      </w:pPr>
      <w:rPr>
        <w:rFonts w:hint="default"/>
      </w:rPr>
    </w:lvl>
    <w:lvl w:ilvl="7">
      <w:start w:val="0"/>
      <w:numFmt w:val="bullet"/>
      <w:lvlText w:val="•"/>
      <w:lvlJc w:val="left"/>
      <w:pPr>
        <w:ind w:left="2628" w:hanging="423"/>
      </w:pPr>
      <w:rPr>
        <w:rFonts w:hint="default"/>
      </w:rPr>
    </w:lvl>
    <w:lvl w:ilvl="8">
      <w:start w:val="0"/>
      <w:numFmt w:val="bullet"/>
      <w:lvlText w:val="•"/>
      <w:lvlJc w:val="left"/>
      <w:pPr>
        <w:ind w:left="2869" w:hanging="423"/>
      </w:pPr>
      <w:rPr>
        <w:rFonts w:hint="default"/>
      </w:rPr>
    </w:lvl>
  </w:abstractNum>
  <w:abstractNum w:abstractNumId="8">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422" w:hanging="423"/>
      </w:pPr>
      <w:rPr>
        <w:rFonts w:hint="default"/>
      </w:rPr>
    </w:lvl>
    <w:lvl w:ilvl="3">
      <w:start w:val="0"/>
      <w:numFmt w:val="bullet"/>
      <w:lvlText w:val="•"/>
      <w:lvlJc w:val="left"/>
      <w:pPr>
        <w:ind w:left="1663" w:hanging="423"/>
      </w:pPr>
      <w:rPr>
        <w:rFonts w:hint="default"/>
      </w:rPr>
    </w:lvl>
    <w:lvl w:ilvl="4">
      <w:start w:val="0"/>
      <w:numFmt w:val="bullet"/>
      <w:lvlText w:val="•"/>
      <w:lvlJc w:val="left"/>
      <w:pPr>
        <w:ind w:left="1904" w:hanging="423"/>
      </w:pPr>
      <w:rPr>
        <w:rFonts w:hint="default"/>
      </w:rPr>
    </w:lvl>
    <w:lvl w:ilvl="5">
      <w:start w:val="0"/>
      <w:numFmt w:val="bullet"/>
      <w:lvlText w:val="•"/>
      <w:lvlJc w:val="left"/>
      <w:pPr>
        <w:ind w:left="2146" w:hanging="423"/>
      </w:pPr>
      <w:rPr>
        <w:rFonts w:hint="default"/>
      </w:rPr>
    </w:lvl>
    <w:lvl w:ilvl="6">
      <w:start w:val="0"/>
      <w:numFmt w:val="bullet"/>
      <w:lvlText w:val="•"/>
      <w:lvlJc w:val="left"/>
      <w:pPr>
        <w:ind w:left="2387" w:hanging="423"/>
      </w:pPr>
      <w:rPr>
        <w:rFonts w:hint="default"/>
      </w:rPr>
    </w:lvl>
    <w:lvl w:ilvl="7">
      <w:start w:val="0"/>
      <w:numFmt w:val="bullet"/>
      <w:lvlText w:val="•"/>
      <w:lvlJc w:val="left"/>
      <w:pPr>
        <w:ind w:left="2628" w:hanging="423"/>
      </w:pPr>
      <w:rPr>
        <w:rFonts w:hint="default"/>
      </w:rPr>
    </w:lvl>
    <w:lvl w:ilvl="8">
      <w:start w:val="0"/>
      <w:numFmt w:val="bullet"/>
      <w:lvlText w:val="•"/>
      <w:lvlJc w:val="left"/>
      <w:pPr>
        <w:ind w:left="2869"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208" w:hanging="423"/>
      </w:pPr>
      <w:rPr>
        <w:rFonts w:hint="default"/>
      </w:rPr>
    </w:lvl>
    <w:lvl w:ilvl="3">
      <w:start w:val="0"/>
      <w:numFmt w:val="bullet"/>
      <w:lvlText w:val="•"/>
      <w:lvlJc w:val="left"/>
      <w:pPr>
        <w:ind w:left="1476"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12" w:hanging="423"/>
      </w:pPr>
      <w:rPr>
        <w:rFonts w:hint="default"/>
      </w:rPr>
    </w:lvl>
    <w:lvl w:ilvl="6">
      <w:start w:val="0"/>
      <w:numFmt w:val="bullet"/>
      <w:lvlText w:val="•"/>
      <w:lvlJc w:val="left"/>
      <w:pPr>
        <w:ind w:left="2280" w:hanging="423"/>
      </w:pPr>
      <w:rPr>
        <w:rFonts w:hint="default"/>
      </w:rPr>
    </w:lvl>
    <w:lvl w:ilvl="7">
      <w:start w:val="0"/>
      <w:numFmt w:val="bullet"/>
      <w:lvlText w:val="•"/>
      <w:lvlJc w:val="left"/>
      <w:pPr>
        <w:ind w:left="2548" w:hanging="423"/>
      </w:pPr>
      <w:rPr>
        <w:rFonts w:hint="default"/>
      </w:rPr>
    </w:lvl>
    <w:lvl w:ilvl="8">
      <w:start w:val="0"/>
      <w:numFmt w:val="bullet"/>
      <w:lvlText w:val="•"/>
      <w:lvlJc w:val="left"/>
      <w:pPr>
        <w:ind w:left="2816"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422" w:hanging="423"/>
      </w:pPr>
      <w:rPr>
        <w:rFonts w:hint="default"/>
      </w:rPr>
    </w:lvl>
    <w:lvl w:ilvl="3">
      <w:start w:val="0"/>
      <w:numFmt w:val="bullet"/>
      <w:lvlText w:val="•"/>
      <w:lvlJc w:val="left"/>
      <w:pPr>
        <w:ind w:left="1663" w:hanging="423"/>
      </w:pPr>
      <w:rPr>
        <w:rFonts w:hint="default"/>
      </w:rPr>
    </w:lvl>
    <w:lvl w:ilvl="4">
      <w:start w:val="0"/>
      <w:numFmt w:val="bullet"/>
      <w:lvlText w:val="•"/>
      <w:lvlJc w:val="left"/>
      <w:pPr>
        <w:ind w:left="1904" w:hanging="423"/>
      </w:pPr>
      <w:rPr>
        <w:rFonts w:hint="default"/>
      </w:rPr>
    </w:lvl>
    <w:lvl w:ilvl="5">
      <w:start w:val="0"/>
      <w:numFmt w:val="bullet"/>
      <w:lvlText w:val="•"/>
      <w:lvlJc w:val="left"/>
      <w:pPr>
        <w:ind w:left="2146" w:hanging="423"/>
      </w:pPr>
      <w:rPr>
        <w:rFonts w:hint="default"/>
      </w:rPr>
    </w:lvl>
    <w:lvl w:ilvl="6">
      <w:start w:val="0"/>
      <w:numFmt w:val="bullet"/>
      <w:lvlText w:val="•"/>
      <w:lvlJc w:val="left"/>
      <w:pPr>
        <w:ind w:left="2387" w:hanging="423"/>
      </w:pPr>
      <w:rPr>
        <w:rFonts w:hint="default"/>
      </w:rPr>
    </w:lvl>
    <w:lvl w:ilvl="7">
      <w:start w:val="0"/>
      <w:numFmt w:val="bullet"/>
      <w:lvlText w:val="•"/>
      <w:lvlJc w:val="left"/>
      <w:pPr>
        <w:ind w:left="2628" w:hanging="423"/>
      </w:pPr>
      <w:rPr>
        <w:rFonts w:hint="default"/>
      </w:rPr>
    </w:lvl>
    <w:lvl w:ilvl="8">
      <w:start w:val="0"/>
      <w:numFmt w:val="bullet"/>
      <w:lvlText w:val="•"/>
      <w:lvlJc w:val="left"/>
      <w:pPr>
        <w:ind w:left="2869"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422" w:hanging="423"/>
      </w:pPr>
      <w:rPr>
        <w:rFonts w:hint="default"/>
      </w:rPr>
    </w:lvl>
    <w:lvl w:ilvl="3">
      <w:start w:val="0"/>
      <w:numFmt w:val="bullet"/>
      <w:lvlText w:val="•"/>
      <w:lvlJc w:val="left"/>
      <w:pPr>
        <w:ind w:left="1663" w:hanging="423"/>
      </w:pPr>
      <w:rPr>
        <w:rFonts w:hint="default"/>
      </w:rPr>
    </w:lvl>
    <w:lvl w:ilvl="4">
      <w:start w:val="0"/>
      <w:numFmt w:val="bullet"/>
      <w:lvlText w:val="•"/>
      <w:lvlJc w:val="left"/>
      <w:pPr>
        <w:ind w:left="1904" w:hanging="423"/>
      </w:pPr>
      <w:rPr>
        <w:rFonts w:hint="default"/>
      </w:rPr>
    </w:lvl>
    <w:lvl w:ilvl="5">
      <w:start w:val="0"/>
      <w:numFmt w:val="bullet"/>
      <w:lvlText w:val="•"/>
      <w:lvlJc w:val="left"/>
      <w:pPr>
        <w:ind w:left="2146" w:hanging="423"/>
      </w:pPr>
      <w:rPr>
        <w:rFonts w:hint="default"/>
      </w:rPr>
    </w:lvl>
    <w:lvl w:ilvl="6">
      <w:start w:val="0"/>
      <w:numFmt w:val="bullet"/>
      <w:lvlText w:val="•"/>
      <w:lvlJc w:val="left"/>
      <w:pPr>
        <w:ind w:left="2387" w:hanging="423"/>
      </w:pPr>
      <w:rPr>
        <w:rFonts w:hint="default"/>
      </w:rPr>
    </w:lvl>
    <w:lvl w:ilvl="7">
      <w:start w:val="0"/>
      <w:numFmt w:val="bullet"/>
      <w:lvlText w:val="•"/>
      <w:lvlJc w:val="left"/>
      <w:pPr>
        <w:ind w:left="2628" w:hanging="423"/>
      </w:pPr>
      <w:rPr>
        <w:rFonts w:hint="default"/>
      </w:rPr>
    </w:lvl>
    <w:lvl w:ilvl="8">
      <w:start w:val="0"/>
      <w:numFmt w:val="bullet"/>
      <w:lvlText w:val="•"/>
      <w:lvlJc w:val="left"/>
      <w:pPr>
        <w:ind w:left="2869"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3">
    <w:multiLevelType w:val="hybridMultilevel"/>
    <w:lvl w:ilvl="0">
      <w:start w:val="3"/>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4" w:hanging="423"/>
      </w:pPr>
      <w:rPr>
        <w:rFonts w:hint="default"/>
      </w:rPr>
    </w:lvl>
    <w:lvl w:ilvl="3">
      <w:start w:val="0"/>
      <w:numFmt w:val="bullet"/>
      <w:lvlText w:val="•"/>
      <w:lvlJc w:val="left"/>
      <w:pPr>
        <w:ind w:left="1048"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37" w:hanging="423"/>
      </w:pPr>
      <w:rPr>
        <w:rFonts w:hint="default"/>
      </w:rPr>
    </w:lvl>
    <w:lvl w:ilvl="6">
      <w:start w:val="0"/>
      <w:numFmt w:val="bullet"/>
      <w:lvlText w:val="•"/>
      <w:lvlJc w:val="left"/>
      <w:pPr>
        <w:ind w:left="1931"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520"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7" w:hanging="406"/>
      </w:pPr>
      <w:rPr>
        <w:rFonts w:hint="default"/>
      </w:rPr>
    </w:lvl>
    <w:lvl w:ilvl="3">
      <w:start w:val="0"/>
      <w:numFmt w:val="bullet"/>
      <w:lvlText w:val="•"/>
      <w:lvlJc w:val="left"/>
      <w:pPr>
        <w:ind w:left="1576" w:hanging="406"/>
      </w:pPr>
      <w:rPr>
        <w:rFonts w:hint="default"/>
      </w:rPr>
    </w:lvl>
    <w:lvl w:ilvl="4">
      <w:start w:val="0"/>
      <w:numFmt w:val="bullet"/>
      <w:lvlText w:val="•"/>
      <w:lvlJc w:val="left"/>
      <w:pPr>
        <w:ind w:left="1795" w:hanging="406"/>
      </w:pPr>
      <w:rPr>
        <w:rFonts w:hint="default"/>
      </w:rPr>
    </w:lvl>
    <w:lvl w:ilvl="5">
      <w:start w:val="0"/>
      <w:numFmt w:val="bullet"/>
      <w:lvlText w:val="•"/>
      <w:lvlJc w:val="left"/>
      <w:pPr>
        <w:ind w:left="2014" w:hanging="406"/>
      </w:pPr>
      <w:rPr>
        <w:rFonts w:hint="default"/>
      </w:rPr>
    </w:lvl>
    <w:lvl w:ilvl="6">
      <w:start w:val="0"/>
      <w:numFmt w:val="bullet"/>
      <w:lvlText w:val="•"/>
      <w:lvlJc w:val="left"/>
      <w:pPr>
        <w:ind w:left="2233" w:hanging="406"/>
      </w:pPr>
      <w:rPr>
        <w:rFonts w:hint="default"/>
      </w:rPr>
    </w:lvl>
    <w:lvl w:ilvl="7">
      <w:start w:val="0"/>
      <w:numFmt w:val="bullet"/>
      <w:lvlText w:val="•"/>
      <w:lvlJc w:val="left"/>
      <w:pPr>
        <w:ind w:left="2452" w:hanging="406"/>
      </w:pPr>
      <w:rPr>
        <w:rFonts w:hint="default"/>
      </w:rPr>
    </w:lvl>
    <w:lvl w:ilvl="8">
      <w:start w:val="0"/>
      <w:numFmt w:val="bullet"/>
      <w:lvlText w:val="•"/>
      <w:lvlJc w:val="left"/>
      <w:pPr>
        <w:ind w:left="2671"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84" w:hanging="413"/>
      </w:pPr>
      <w:rPr>
        <w:rFonts w:hint="default"/>
      </w:rPr>
    </w:lvl>
    <w:lvl w:ilvl="2">
      <w:start w:val="0"/>
      <w:numFmt w:val="bullet"/>
      <w:lvlText w:val="•"/>
      <w:lvlJc w:val="left"/>
      <w:pPr>
        <w:ind w:left="2789" w:hanging="413"/>
      </w:pPr>
      <w:rPr>
        <w:rFonts w:hint="default"/>
      </w:rPr>
    </w:lvl>
    <w:lvl w:ilvl="3">
      <w:start w:val="0"/>
      <w:numFmt w:val="bullet"/>
      <w:lvlText w:val="•"/>
      <w:lvlJc w:val="left"/>
      <w:pPr>
        <w:ind w:left="3693" w:hanging="413"/>
      </w:pPr>
      <w:rPr>
        <w:rFonts w:hint="default"/>
      </w:rPr>
    </w:lvl>
    <w:lvl w:ilvl="4">
      <w:start w:val="0"/>
      <w:numFmt w:val="bullet"/>
      <w:lvlText w:val="•"/>
      <w:lvlJc w:val="left"/>
      <w:pPr>
        <w:ind w:left="459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407" w:hanging="413"/>
      </w:pPr>
      <w:rPr>
        <w:rFonts w:hint="default"/>
      </w:rPr>
    </w:lvl>
    <w:lvl w:ilvl="7">
      <w:start w:val="0"/>
      <w:numFmt w:val="bullet"/>
      <w:lvlText w:val="•"/>
      <w:lvlJc w:val="left"/>
      <w:pPr>
        <w:ind w:left="7312" w:hanging="413"/>
      </w:pPr>
      <w:rPr>
        <w:rFonts w:hint="default"/>
      </w:rPr>
    </w:lvl>
    <w:lvl w:ilvl="8">
      <w:start w:val="0"/>
      <w:numFmt w:val="bullet"/>
      <w:lvlText w:val="•"/>
      <w:lvlJc w:val="left"/>
      <w:pPr>
        <w:ind w:left="8217"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2018-10-20T02:28:56Z</dcterms:created>
  <dcterms:modified xsi:type="dcterms:W3CDTF">2018-10-20T02:28:56Z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