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ind w:right="455"/>
        <w:jc w:val="center"/>
      </w:pPr>
      <w:r>
        <w:rPr/>
        <w:t>同方全球附加多重给付重大疾病保险条款</w:t>
      </w:r>
    </w:p>
    <w:p>
      <w:pPr>
        <w:pStyle w:val="BodyText"/>
        <w:spacing w:before="9"/>
        <w:rPr>
          <w:rFonts w:ascii="微软雅黑"/>
          <w:b/>
          <w:sz w:val="26"/>
        </w:rPr>
      </w:pPr>
    </w:p>
    <w:p>
      <w:pPr>
        <w:spacing w:before="0"/>
        <w:ind w:left="1310" w:right="455" w:firstLine="0"/>
        <w:jc w:val="center"/>
        <w:rPr>
          <w:sz w:val="32"/>
        </w:rPr>
      </w:pPr>
      <w:r>
        <w:rPr>
          <w:sz w:val="32"/>
        </w:rPr>
        <w:t>阅 读 指 引</w:t>
      </w:r>
    </w:p>
    <w:p>
      <w:pPr>
        <w:pStyle w:val="BodyText"/>
        <w:spacing w:before="10"/>
        <w:rPr>
          <w:sz w:val="34"/>
        </w:rPr>
      </w:pPr>
    </w:p>
    <w:p>
      <w:pPr>
        <w:pStyle w:val="BodyText"/>
        <w:spacing w:before="1"/>
        <w:ind w:left="1370" w:right="45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1"/>
          <w:w w:val="100"/>
        </w:rPr>
        <w:t>。</w:t>
      </w:r>
      <w:r>
        <w:rPr>
          <w:w w:val="100"/>
          <w:position w:val="-7"/>
        </w:rPr>
        <w:t>．</w:t>
      </w:r>
    </w:p>
    <w:p>
      <w:pPr>
        <w:pStyle w:val="BodyText"/>
        <w:spacing w:before="4"/>
        <w:rPr>
          <w:sz w:val="35"/>
        </w:rPr>
      </w:pPr>
    </w:p>
    <w:p>
      <w:pPr>
        <w:pStyle w:val="Heading2"/>
        <w:ind w:left="118" w:firstLine="0"/>
      </w:pPr>
      <w:r>
        <w:rPr>
          <w:rFonts w:ascii="Wingdings" w:hAnsi="Wingdings" w:eastAsia="Wingdings"/>
        </w:rPr>
        <w:t></w:t>
      </w:r>
      <w:r>
        <w:rPr>
          <w:rFonts w:ascii="Times New Roman" w:hAnsi="Times New Roman" w:eastAsia="Times New Roman"/>
          <w:spacing w:val="58"/>
        </w:rPr>
        <w:t> </w:t>
      </w:r>
      <w:r>
        <w:rPr/>
        <w:t>您拥有的重要权益</w:t>
      </w:r>
    </w:p>
    <w:p>
      <w:pPr>
        <w:pStyle w:val="BodyText"/>
        <w:tabs>
          <w:tab w:pos="8364" w:val="right" w:leader="dot"/>
        </w:tabs>
        <w:spacing w:before="164"/>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r>
        <w:rPr>
          <w:rFonts w:ascii="Times New Roman" w:eastAsia="Times New Roman"/>
        </w:rPr>
        <w:t>2.3</w:t>
      </w:r>
    </w:p>
    <w:p>
      <w:pPr>
        <w:pStyle w:val="BodyText"/>
        <w:tabs>
          <w:tab w:pos="8205" w:val="right" w:leader="dot"/>
        </w:tabs>
        <w:spacing w:before="20"/>
        <w:ind w:left="118"/>
        <w:rPr>
          <w:rFonts w:ascii="Times New Roman" w:eastAsia="Times New Roman"/>
        </w:rPr>
      </w:pPr>
      <w:r>
        <w:rPr/>
        <w:t>您享</w:t>
      </w:r>
      <w:r>
        <w:rPr>
          <w:spacing w:val="-3"/>
        </w:rPr>
        <w:t>有</w:t>
      </w:r>
      <w:r>
        <w:rPr/>
        <w:t>的</w:t>
      </w:r>
      <w:r>
        <w:rPr>
          <w:spacing w:val="-3"/>
        </w:rPr>
        <w:t>现</w:t>
      </w:r>
      <w:r>
        <w:rPr/>
        <w:t>金</w:t>
      </w:r>
      <w:r>
        <w:rPr>
          <w:spacing w:val="-3"/>
        </w:rPr>
        <w:t>价</w:t>
      </w:r>
      <w:r>
        <w:rPr/>
        <w:t>值</w:t>
      </w:r>
      <w:r>
        <w:rPr>
          <w:spacing w:val="-3"/>
        </w:rPr>
        <w:t>权</w:t>
      </w:r>
      <w:r>
        <w:rPr/>
        <w:t>益</w:t>
        <w:tab/>
      </w:r>
      <w:r>
        <w:rPr>
          <w:rFonts w:ascii="Times New Roman" w:eastAsia="Times New Roman"/>
        </w:rPr>
        <w:t>4</w:t>
      </w:r>
    </w:p>
    <w:p>
      <w:pPr>
        <w:pStyle w:val="BodyText"/>
        <w:tabs>
          <w:tab w:pos="8364" w:val="right" w:leader="dot"/>
        </w:tabs>
        <w:spacing w:before="20"/>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r>
        <w:rPr>
          <w:rFonts w:ascii="Times New Roman" w:eastAsia="Times New Roman"/>
        </w:rPr>
        <w:t>5.1</w:t>
      </w:r>
    </w:p>
    <w:p>
      <w:pPr>
        <w:pStyle w:val="Heading2"/>
        <w:spacing w:before="461"/>
        <w:ind w:left="118" w:firstLine="0"/>
      </w:pPr>
      <w:r>
        <w:rPr>
          <w:rFonts w:ascii="Wingdings" w:hAnsi="Wingdings" w:eastAsia="Wingdings"/>
        </w:rPr>
        <w:t></w:t>
      </w:r>
      <w:r>
        <w:rPr>
          <w:rFonts w:ascii="Times New Roman" w:hAnsi="Times New Roman" w:eastAsia="Times New Roman"/>
          <w:spacing w:val="58"/>
        </w:rPr>
        <w:t> </w:t>
      </w:r>
      <w:r>
        <w:rPr/>
        <w:t>您应当特别注意的事项</w:t>
      </w:r>
    </w:p>
    <w:p>
      <w:pPr>
        <w:pStyle w:val="BodyText"/>
        <w:tabs>
          <w:tab w:pos="8364"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r>
        <w:rPr>
          <w:rFonts w:ascii="Times New Roman" w:eastAsia="Times New Roman"/>
        </w:rPr>
        <w:t>2.4</w:t>
      </w:r>
    </w:p>
    <w:p>
      <w:pPr>
        <w:pStyle w:val="BodyText"/>
        <w:tabs>
          <w:tab w:pos="8364" w:val="right" w:leader="dot"/>
        </w:tabs>
        <w:spacing w:before="20"/>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r>
        <w:rPr>
          <w:rFonts w:ascii="Times New Roman" w:eastAsia="Times New Roman"/>
        </w:rPr>
        <w:t>3.2</w:t>
      </w:r>
    </w:p>
    <w:p>
      <w:pPr>
        <w:pStyle w:val="BodyText"/>
        <w:tabs>
          <w:tab w:pos="8364" w:val="right" w:leader="dot"/>
        </w:tabs>
        <w:spacing w:before="20"/>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w:t>
      </w:r>
      <w:r>
        <w:rPr/>
        <w:t>策</w:t>
        <w:tab/>
      </w:r>
      <w:r>
        <w:rPr>
          <w:rFonts w:ascii="Times New Roman" w:eastAsia="Times New Roman"/>
        </w:rPr>
        <w:t>5.1</w:t>
      </w:r>
    </w:p>
    <w:p>
      <w:pPr>
        <w:pStyle w:val="BodyText"/>
        <w:tabs>
          <w:tab w:pos="8210" w:val="right" w:leader="dot"/>
        </w:tabs>
        <w:spacing w:before="20"/>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r>
        <w:rPr>
          <w:rFonts w:ascii="Times New Roman" w:eastAsia="Times New Roman"/>
        </w:rPr>
        <w:t>7</w:t>
      </w:r>
    </w:p>
    <w:p>
      <w:pPr>
        <w:spacing w:before="460"/>
        <w:ind w:left="118" w:right="0" w:firstLine="0"/>
        <w:jc w:val="left"/>
        <w:rPr>
          <w:b/>
          <w:sz w:val="24"/>
        </w:rPr>
      </w:pPr>
      <w:r>
        <w:rPr>
          <w:rFonts w:ascii="Wingdings" w:hAnsi="Wingdings" w:eastAsia="Wingdings"/>
          <w:b/>
          <w:sz w:val="24"/>
        </w:rPr>
        <w:t></w:t>
      </w:r>
      <w:r>
        <w:rPr>
          <w:rFonts w:ascii="Times New Roman" w:hAnsi="Times New Roman" w:eastAsia="Times New Roman"/>
          <w:b/>
          <w:spacing w:val="55"/>
          <w:sz w:val="24"/>
        </w:rPr>
        <w:t> </w:t>
      </w:r>
      <w:r>
        <w:rPr>
          <w:b/>
          <w:sz w:val="24"/>
        </w:rPr>
        <w:t>条款是保险合同的重要内容，为充分保障您的权益，请您仔细阅读本条款。</w:t>
      </w:r>
    </w:p>
    <w:p>
      <w:pPr>
        <w:spacing w:before="450"/>
        <w:ind w:left="118" w:right="0" w:firstLine="0"/>
        <w:jc w:val="left"/>
        <w:rPr>
          <w:b/>
          <w:sz w:val="24"/>
        </w:rPr>
      </w:pPr>
      <w:r>
        <w:rPr>
          <w:rFonts w:ascii="Wingdings" w:hAnsi="Wingdings" w:eastAsia="Wingdings"/>
          <w:b/>
          <w:sz w:val="24"/>
        </w:rPr>
        <w:t></w:t>
      </w:r>
      <w:r>
        <w:rPr>
          <w:rFonts w:ascii="Times New Roman" w:hAnsi="Times New Roman" w:eastAsia="Times New Roman"/>
          <w:b/>
          <w:spacing w:val="58"/>
          <w:sz w:val="24"/>
        </w:rPr>
        <w:t> </w:t>
      </w:r>
      <w:r>
        <w:rPr>
          <w:b/>
          <w:sz w:val="24"/>
        </w:rPr>
        <w:t>条款目录</w:t>
      </w:r>
    </w:p>
    <w:p>
      <w:pPr>
        <w:spacing w:line="357" w:lineRule="auto" w:before="37"/>
        <w:ind w:left="358" w:right="194" w:hanging="161"/>
        <w:jc w:val="left"/>
        <w:rPr>
          <w:sz w:val="16"/>
        </w:rPr>
      </w:pPr>
      <w:r>
        <w:rPr/>
        <w:br w:type="column"/>
      </w:r>
      <w:r>
        <w:rPr>
          <w:sz w:val="16"/>
        </w:rPr>
        <w:t>同方全球人寿[2015] 疾病保险 017 号</w:t>
      </w:r>
    </w:p>
    <w:p>
      <w:pPr>
        <w:pStyle w:val="BodyText"/>
        <w:spacing w:before="11"/>
        <w:rPr>
          <w:sz w:val="3"/>
        </w:rPr>
      </w:pPr>
    </w:p>
    <w:p>
      <w:pPr>
        <w:pStyle w:val="BodyText"/>
        <w:spacing w:before="0"/>
        <w:ind w:left="347"/>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82"/>
        <w:ind w:left="118" w:right="0" w:firstLine="0"/>
        <w:jc w:val="left"/>
        <w:rPr>
          <w:sz w:val="16"/>
        </w:rPr>
      </w:pPr>
      <w:r>
        <w:rPr>
          <w:sz w:val="16"/>
        </w:rPr>
        <w:t>请扫描以查询验证条款</w:t>
      </w:r>
    </w:p>
    <w:p>
      <w:pPr>
        <w:spacing w:after="0"/>
        <w:jc w:val="left"/>
        <w:rPr>
          <w:sz w:val="16"/>
        </w:rPr>
        <w:sectPr>
          <w:type w:val="continuous"/>
          <w:pgSz w:w="11910" w:h="16840"/>
          <w:pgMar w:top="540" w:bottom="280" w:left="1300" w:right="220"/>
          <w:cols w:num="2" w:equalWidth="0">
            <w:col w:w="8415" w:space="135"/>
            <w:col w:w="1840"/>
          </w:cols>
        </w:sectPr>
      </w:pPr>
    </w:p>
    <w:p>
      <w:pPr>
        <w:pStyle w:val="BodyText"/>
        <w:spacing w:before="0"/>
      </w:pPr>
    </w:p>
    <w:p>
      <w:pPr>
        <w:pStyle w:val="Heading3"/>
        <w:numPr>
          <w:ilvl w:val="0"/>
          <w:numId w:val="3"/>
        </w:numPr>
        <w:tabs>
          <w:tab w:pos="478" w:val="left" w:leader="none"/>
          <w:tab w:pos="479" w:val="left" w:leader="none"/>
        </w:tabs>
        <w:spacing w:line="240" w:lineRule="auto" w:before="43" w:after="0"/>
        <w:ind w:left="478" w:right="0" w:hanging="360"/>
        <w:jc w:val="left"/>
      </w:pPr>
      <w:r>
        <w:rPr/>
        <w:pict>
          <v:line style="position:absolute;mso-position-horizontal-relative:page;mso-position-vertical-relative:paragraph;z-index:-19576" from="220.369995pt,-5.020328pt" to="220.369995pt,267.99967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2.029999pt;margin-top:-5.020328pt;width:287.4pt;height:273.0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2468"/>
                    <w:gridCol w:w="2888"/>
                  </w:tblGrid>
                  <w:tr>
                    <w:trPr>
                      <w:trHeight w:val="3789" w:hRule="atLeast"/>
                    </w:trPr>
                    <w:tc>
                      <w:tcPr>
                        <w:tcW w:w="2860" w:type="dxa"/>
                        <w:gridSpan w:val="2"/>
                        <w:tcBorders>
                          <w:right w:val="single" w:sz="8" w:space="0" w:color="000000"/>
                        </w:tcBorders>
                      </w:tcPr>
                      <w:p>
                        <w:pPr>
                          <w:pStyle w:val="TableParagraph"/>
                          <w:spacing w:line="386" w:lineRule="auto"/>
                          <w:ind w:left="232" w:right="1115" w:hanging="183"/>
                          <w:rPr>
                            <w:b/>
                            <w:sz w:val="21"/>
                          </w:rPr>
                        </w:pPr>
                        <w:r>
                          <w:rPr>
                            <w:rFonts w:ascii="Times New Roman" w:eastAsia="Times New Roman"/>
                            <w:sz w:val="21"/>
                          </w:rPr>
                          <w:t>3.6 </w:t>
                        </w:r>
                        <w:r>
                          <w:rPr>
                            <w:sz w:val="21"/>
                          </w:rPr>
                          <w:t>宣告死亡处理</w:t>
                        </w:r>
                        <w:r>
                          <w:rPr>
                            <w:b/>
                            <w:sz w:val="21"/>
                          </w:rPr>
                          <w:t>现金价值权益</w:t>
                        </w:r>
                      </w:p>
                      <w:p>
                        <w:pPr>
                          <w:pStyle w:val="TableParagraph"/>
                          <w:numPr>
                            <w:ilvl w:val="1"/>
                            <w:numId w:val="1"/>
                          </w:numPr>
                          <w:tabs>
                            <w:tab w:pos="470" w:val="left" w:leader="none"/>
                          </w:tabs>
                          <w:spacing w:line="200" w:lineRule="exact" w:before="12" w:after="0"/>
                          <w:ind w:left="232" w:right="0" w:hanging="182"/>
                          <w:jc w:val="left"/>
                          <w:rPr>
                            <w:sz w:val="21"/>
                          </w:rPr>
                        </w:pPr>
                        <w:r>
                          <w:rPr>
                            <w:spacing w:val="-1"/>
                            <w:sz w:val="21"/>
                          </w:rPr>
                          <w:t>现金价值</w:t>
                        </w:r>
                      </w:p>
                      <w:p>
                        <w:pPr>
                          <w:pStyle w:val="TableParagraph"/>
                          <w:numPr>
                            <w:ilvl w:val="1"/>
                            <w:numId w:val="1"/>
                          </w:numPr>
                          <w:tabs>
                            <w:tab w:pos="470" w:val="left" w:leader="none"/>
                          </w:tabs>
                          <w:spacing w:line="386" w:lineRule="auto" w:before="20" w:after="0"/>
                          <w:ind w:left="232" w:right="1535" w:hanging="182"/>
                          <w:jc w:val="left"/>
                          <w:rPr>
                            <w:b/>
                            <w:sz w:val="21"/>
                          </w:rPr>
                        </w:pPr>
                        <w:r>
                          <w:rPr>
                            <w:spacing w:val="-1"/>
                            <w:sz w:val="21"/>
                          </w:rPr>
                          <w:t>减额交清</w:t>
                        </w:r>
                        <w:r>
                          <w:rPr>
                            <w:b/>
                            <w:spacing w:val="-1"/>
                            <w:sz w:val="21"/>
                          </w:rPr>
                          <w:t>解除合同</w:t>
                        </w:r>
                      </w:p>
                      <w:p>
                        <w:pPr>
                          <w:pStyle w:val="TableParagraph"/>
                          <w:spacing w:line="200" w:lineRule="exact"/>
                          <w:ind w:left="50"/>
                          <w:rPr>
                            <w:sz w:val="21"/>
                          </w:rPr>
                        </w:pPr>
                        <w:r>
                          <w:rPr>
                            <w:rFonts w:ascii="Times New Roman" w:eastAsia="Times New Roman"/>
                            <w:sz w:val="21"/>
                          </w:rPr>
                          <w:t>5.1   </w:t>
                        </w:r>
                        <w:r>
                          <w:rPr>
                            <w:sz w:val="21"/>
                          </w:rPr>
                          <w:t>您解除合同的手续及风</w:t>
                        </w:r>
                      </w:p>
                      <w:p>
                        <w:pPr>
                          <w:pStyle w:val="TableParagraph"/>
                          <w:spacing w:before="22"/>
                          <w:ind w:left="470"/>
                          <w:rPr>
                            <w:sz w:val="21"/>
                          </w:rPr>
                        </w:pPr>
                        <w:r>
                          <w:rPr>
                            <w:w w:val="100"/>
                            <w:sz w:val="21"/>
                          </w:rPr>
                          <w:t>险</w:t>
                        </w:r>
                      </w:p>
                      <w:p>
                        <w:pPr>
                          <w:pStyle w:val="TableParagraph"/>
                          <w:spacing w:before="9"/>
                          <w:ind w:left="0"/>
                          <w:rPr>
                            <w:sz w:val="14"/>
                          </w:rPr>
                        </w:pPr>
                      </w:p>
                      <w:p>
                        <w:pPr>
                          <w:pStyle w:val="TableParagraph"/>
                          <w:spacing w:before="1"/>
                          <w:ind w:left="232"/>
                          <w:rPr>
                            <w:b/>
                            <w:sz w:val="21"/>
                          </w:rPr>
                        </w:pPr>
                        <w:r>
                          <w:rPr>
                            <w:b/>
                            <w:sz w:val="21"/>
                          </w:rPr>
                          <w:t>其他需要关注的事项</w:t>
                        </w:r>
                      </w:p>
                      <w:p>
                        <w:pPr>
                          <w:pStyle w:val="TableParagraph"/>
                          <w:spacing w:before="37"/>
                          <w:ind w:left="50"/>
                          <w:rPr>
                            <w:sz w:val="21"/>
                          </w:rPr>
                        </w:pPr>
                        <w:r>
                          <w:rPr>
                            <w:rFonts w:ascii="Times New Roman" w:eastAsia="Times New Roman"/>
                            <w:sz w:val="21"/>
                          </w:rPr>
                          <w:t>6.1   </w:t>
                        </w:r>
                        <w:r>
                          <w:rPr>
                            <w:sz w:val="21"/>
                          </w:rPr>
                          <w:t>基本保险金额的变更</w:t>
                        </w:r>
                      </w:p>
                      <w:p>
                        <w:pPr>
                          <w:pStyle w:val="TableParagraph"/>
                          <w:spacing w:before="177"/>
                          <w:ind w:left="232"/>
                          <w:rPr>
                            <w:b/>
                            <w:sz w:val="21"/>
                          </w:rPr>
                        </w:pPr>
                        <w:r>
                          <w:rPr>
                            <w:b/>
                            <w:sz w:val="21"/>
                          </w:rPr>
                          <w:t>释义</w:t>
                        </w:r>
                      </w:p>
                    </w:tc>
                    <w:tc>
                      <w:tcPr>
                        <w:tcW w:w="2888" w:type="dxa"/>
                        <w:tcBorders>
                          <w:left w:val="single" w:sz="8" w:space="0" w:color="000000"/>
                        </w:tcBorders>
                      </w:tcPr>
                      <w:p>
                        <w:pPr>
                          <w:pStyle w:val="TableParagraph"/>
                          <w:numPr>
                            <w:ilvl w:val="1"/>
                            <w:numId w:val="2"/>
                          </w:numPr>
                          <w:tabs>
                            <w:tab w:pos="692" w:val="left" w:leader="none"/>
                          </w:tabs>
                          <w:spacing w:line="278" w:lineRule="exact" w:before="0" w:after="0"/>
                          <w:ind w:left="691" w:right="0" w:hanging="420"/>
                          <w:jc w:val="left"/>
                          <w:rPr>
                            <w:sz w:val="21"/>
                          </w:rPr>
                        </w:pPr>
                        <w:r>
                          <w:rPr>
                            <w:spacing w:val="-1"/>
                            <w:sz w:val="21"/>
                          </w:rPr>
                          <w:t>永久不可逆</w:t>
                        </w:r>
                      </w:p>
                      <w:p>
                        <w:pPr>
                          <w:pStyle w:val="TableParagraph"/>
                          <w:numPr>
                            <w:ilvl w:val="1"/>
                            <w:numId w:val="2"/>
                          </w:numPr>
                          <w:tabs>
                            <w:tab w:pos="692" w:val="left" w:leader="none"/>
                          </w:tabs>
                          <w:spacing w:line="240" w:lineRule="auto" w:before="21" w:after="0"/>
                          <w:ind w:left="691" w:right="0" w:hanging="420"/>
                          <w:jc w:val="left"/>
                          <w:rPr>
                            <w:sz w:val="21"/>
                          </w:rPr>
                        </w:pPr>
                        <w:r>
                          <w:rPr>
                            <w:sz w:val="21"/>
                          </w:rPr>
                          <w:t>原位癌</w:t>
                        </w:r>
                      </w:p>
                      <w:p>
                        <w:pPr>
                          <w:pStyle w:val="TableParagraph"/>
                          <w:numPr>
                            <w:ilvl w:val="1"/>
                            <w:numId w:val="2"/>
                          </w:numPr>
                          <w:tabs>
                            <w:tab w:pos="692" w:val="left" w:leader="none"/>
                          </w:tabs>
                          <w:spacing w:line="240" w:lineRule="auto" w:before="21" w:after="0"/>
                          <w:ind w:left="691" w:right="0" w:hanging="420"/>
                          <w:jc w:val="left"/>
                          <w:rPr>
                            <w:sz w:val="21"/>
                          </w:rPr>
                        </w:pPr>
                        <w:r>
                          <w:rPr>
                            <w:spacing w:val="-1"/>
                            <w:sz w:val="21"/>
                          </w:rPr>
                          <w:t>意外伤害</w:t>
                        </w:r>
                      </w:p>
                      <w:p>
                        <w:pPr>
                          <w:pStyle w:val="TableParagraph"/>
                          <w:numPr>
                            <w:ilvl w:val="1"/>
                            <w:numId w:val="2"/>
                          </w:numPr>
                          <w:tabs>
                            <w:tab w:pos="692" w:val="left" w:leader="none"/>
                          </w:tabs>
                          <w:spacing w:line="240" w:lineRule="auto" w:before="21" w:after="0"/>
                          <w:ind w:left="691" w:right="0" w:hanging="420"/>
                          <w:jc w:val="left"/>
                          <w:rPr>
                            <w:sz w:val="21"/>
                          </w:rPr>
                        </w:pPr>
                        <w:r>
                          <w:rPr>
                            <w:sz w:val="21"/>
                          </w:rPr>
                          <w:t>发病</w:t>
                        </w:r>
                      </w:p>
                      <w:p>
                        <w:pPr>
                          <w:pStyle w:val="TableParagraph"/>
                          <w:numPr>
                            <w:ilvl w:val="1"/>
                            <w:numId w:val="2"/>
                          </w:numPr>
                          <w:tabs>
                            <w:tab w:pos="692" w:val="left" w:leader="none"/>
                          </w:tabs>
                          <w:spacing w:line="240" w:lineRule="auto" w:before="21" w:after="0"/>
                          <w:ind w:left="691" w:right="0" w:hanging="420"/>
                          <w:jc w:val="left"/>
                          <w:rPr>
                            <w:sz w:val="21"/>
                          </w:rPr>
                        </w:pPr>
                        <w:r>
                          <w:rPr>
                            <w:spacing w:val="-3"/>
                            <w:sz w:val="21"/>
                          </w:rPr>
                          <w:t>指定或认可的医院</w:t>
                        </w:r>
                      </w:p>
                      <w:p>
                        <w:pPr>
                          <w:pStyle w:val="TableParagraph"/>
                          <w:numPr>
                            <w:ilvl w:val="1"/>
                            <w:numId w:val="2"/>
                          </w:numPr>
                          <w:tabs>
                            <w:tab w:pos="692" w:val="left" w:leader="none"/>
                          </w:tabs>
                          <w:spacing w:line="240" w:lineRule="auto" w:before="21" w:after="0"/>
                          <w:ind w:left="691" w:right="0" w:hanging="420"/>
                          <w:jc w:val="left"/>
                          <w:rPr>
                            <w:sz w:val="21"/>
                          </w:rPr>
                        </w:pPr>
                        <w:r>
                          <w:rPr>
                            <w:spacing w:val="-1"/>
                            <w:sz w:val="21"/>
                          </w:rPr>
                          <w:t>专科医生</w:t>
                        </w:r>
                      </w:p>
                      <w:p>
                        <w:pPr>
                          <w:pStyle w:val="TableParagraph"/>
                          <w:numPr>
                            <w:ilvl w:val="1"/>
                            <w:numId w:val="2"/>
                          </w:numPr>
                          <w:tabs>
                            <w:tab w:pos="692" w:val="left" w:leader="none"/>
                          </w:tabs>
                          <w:spacing w:line="240" w:lineRule="auto" w:before="21" w:after="0"/>
                          <w:ind w:left="691" w:right="0" w:hanging="420"/>
                          <w:jc w:val="left"/>
                          <w:rPr>
                            <w:sz w:val="21"/>
                          </w:rPr>
                        </w:pPr>
                        <w:r>
                          <w:rPr>
                            <w:sz w:val="21"/>
                          </w:rPr>
                          <w:t>毒品</w:t>
                        </w:r>
                      </w:p>
                      <w:p>
                        <w:pPr>
                          <w:pStyle w:val="TableParagraph"/>
                          <w:numPr>
                            <w:ilvl w:val="1"/>
                            <w:numId w:val="2"/>
                          </w:numPr>
                          <w:tabs>
                            <w:tab w:pos="692" w:val="left" w:leader="none"/>
                          </w:tabs>
                          <w:spacing w:line="240" w:lineRule="auto" w:before="21" w:after="0"/>
                          <w:ind w:left="691" w:right="0" w:hanging="420"/>
                          <w:jc w:val="left"/>
                          <w:rPr>
                            <w:sz w:val="21"/>
                          </w:rPr>
                        </w:pPr>
                        <w:r>
                          <w:rPr>
                            <w:spacing w:val="-1"/>
                            <w:sz w:val="21"/>
                          </w:rPr>
                          <w:t>酒后驾驶</w:t>
                        </w:r>
                      </w:p>
                      <w:p>
                        <w:pPr>
                          <w:pStyle w:val="TableParagraph"/>
                          <w:numPr>
                            <w:ilvl w:val="1"/>
                            <w:numId w:val="2"/>
                          </w:numPr>
                          <w:tabs>
                            <w:tab w:pos="692" w:val="left" w:leader="none"/>
                          </w:tabs>
                          <w:spacing w:line="240" w:lineRule="auto" w:before="21" w:after="0"/>
                          <w:ind w:left="691" w:right="0" w:hanging="420"/>
                          <w:jc w:val="left"/>
                          <w:rPr>
                            <w:sz w:val="21"/>
                          </w:rPr>
                        </w:pPr>
                        <w:r>
                          <w:rPr>
                            <w:spacing w:val="-3"/>
                            <w:sz w:val="21"/>
                          </w:rPr>
                          <w:t>无合法有效驾驶证驾驶</w:t>
                        </w:r>
                      </w:p>
                      <w:p>
                        <w:pPr>
                          <w:pStyle w:val="TableParagraph"/>
                          <w:numPr>
                            <w:ilvl w:val="1"/>
                            <w:numId w:val="2"/>
                          </w:numPr>
                          <w:tabs>
                            <w:tab w:pos="692" w:val="left" w:leader="none"/>
                          </w:tabs>
                          <w:spacing w:line="240" w:lineRule="auto" w:before="21" w:after="0"/>
                          <w:ind w:left="691" w:right="0" w:hanging="420"/>
                          <w:jc w:val="left"/>
                          <w:rPr>
                            <w:sz w:val="21"/>
                          </w:rPr>
                        </w:pPr>
                        <w:r>
                          <w:rPr>
                            <w:spacing w:val="-2"/>
                            <w:sz w:val="21"/>
                          </w:rPr>
                          <w:t>无有效行驶证</w:t>
                        </w:r>
                      </w:p>
                      <w:p>
                        <w:pPr>
                          <w:pStyle w:val="TableParagraph"/>
                          <w:numPr>
                            <w:ilvl w:val="1"/>
                            <w:numId w:val="2"/>
                          </w:numPr>
                          <w:tabs>
                            <w:tab w:pos="692" w:val="left" w:leader="none"/>
                          </w:tabs>
                          <w:spacing w:line="256" w:lineRule="auto" w:before="21" w:after="0"/>
                          <w:ind w:left="691" w:right="48" w:hanging="420"/>
                          <w:jc w:val="left"/>
                          <w:rPr>
                            <w:sz w:val="21"/>
                          </w:rPr>
                        </w:pPr>
                        <w:r>
                          <w:rPr>
                            <w:sz w:val="21"/>
                          </w:rPr>
                          <w:t>感染艾滋病病毒或患艾滋病</w:t>
                        </w:r>
                      </w:p>
                    </w:tc>
                  </w:tr>
                  <w:tr>
                    <w:trPr>
                      <w:trHeight w:val="272" w:hRule="atLeast"/>
                    </w:trPr>
                    <w:tc>
                      <w:tcPr>
                        <w:tcW w:w="392" w:type="dxa"/>
                      </w:tcPr>
                      <w:p>
                        <w:pPr>
                          <w:pStyle w:val="TableParagraph"/>
                          <w:spacing w:line="234" w:lineRule="exact"/>
                          <w:ind w:left="31" w:right="58"/>
                          <w:jc w:val="center"/>
                          <w:rPr>
                            <w:rFonts w:ascii="Times New Roman"/>
                            <w:sz w:val="21"/>
                          </w:rPr>
                        </w:pPr>
                        <w:r>
                          <w:rPr>
                            <w:rFonts w:ascii="Times New Roman"/>
                            <w:sz w:val="21"/>
                          </w:rPr>
                          <w:t>7.1</w:t>
                        </w:r>
                      </w:p>
                    </w:tc>
                    <w:tc>
                      <w:tcPr>
                        <w:tcW w:w="2468" w:type="dxa"/>
                        <w:tcBorders>
                          <w:right w:val="single" w:sz="8" w:space="0" w:color="000000"/>
                        </w:tcBorders>
                      </w:tcPr>
                      <w:p>
                        <w:pPr>
                          <w:pStyle w:val="TableParagraph"/>
                          <w:spacing w:line="218" w:lineRule="exact"/>
                          <w:ind w:left="78"/>
                          <w:rPr>
                            <w:sz w:val="21"/>
                          </w:rPr>
                        </w:pPr>
                        <w:r>
                          <w:rPr>
                            <w:sz w:val="21"/>
                          </w:rPr>
                          <w:t>重大疾病</w:t>
                        </w:r>
                      </w:p>
                    </w:tc>
                    <w:tc>
                      <w:tcPr>
                        <w:tcW w:w="2888" w:type="dxa"/>
                        <w:tcBorders>
                          <w:left w:val="single" w:sz="8" w:space="0" w:color="000000"/>
                        </w:tcBorders>
                      </w:tcPr>
                      <w:p>
                        <w:pPr>
                          <w:pStyle w:val="TableParagraph"/>
                          <w:spacing w:line="234" w:lineRule="exact"/>
                          <w:ind w:left="271"/>
                          <w:rPr>
                            <w:sz w:val="21"/>
                          </w:rPr>
                        </w:pPr>
                        <w:r>
                          <w:rPr>
                            <w:rFonts w:ascii="Times New Roman" w:eastAsia="Times New Roman"/>
                            <w:sz w:val="21"/>
                          </w:rPr>
                          <w:t>7.16 </w:t>
                        </w:r>
                        <w:r>
                          <w:rPr>
                            <w:sz w:val="21"/>
                          </w:rPr>
                          <w:t>遗传性疾病</w:t>
                        </w:r>
                      </w:p>
                    </w:tc>
                  </w:tr>
                  <w:tr>
                    <w:trPr>
                      <w:trHeight w:val="311" w:hRule="atLeast"/>
                    </w:trPr>
                    <w:tc>
                      <w:tcPr>
                        <w:tcW w:w="392" w:type="dxa"/>
                      </w:tcPr>
                      <w:p>
                        <w:pPr>
                          <w:pStyle w:val="TableParagraph"/>
                          <w:spacing w:before="31"/>
                          <w:ind w:left="31" w:right="58"/>
                          <w:jc w:val="center"/>
                          <w:rPr>
                            <w:rFonts w:ascii="Times New Roman"/>
                            <w:sz w:val="21"/>
                          </w:rPr>
                        </w:pPr>
                        <w:r>
                          <w:rPr>
                            <w:rFonts w:ascii="Times New Roman"/>
                            <w:sz w:val="21"/>
                          </w:rPr>
                          <w:t>7.2</w:t>
                        </w:r>
                      </w:p>
                    </w:tc>
                    <w:tc>
                      <w:tcPr>
                        <w:tcW w:w="2468" w:type="dxa"/>
                        <w:tcBorders>
                          <w:right w:val="single" w:sz="8" w:space="0" w:color="000000"/>
                        </w:tcBorders>
                      </w:tcPr>
                      <w:p>
                        <w:pPr>
                          <w:pStyle w:val="TableParagraph"/>
                          <w:spacing w:line="257" w:lineRule="exact"/>
                          <w:ind w:left="78"/>
                          <w:rPr>
                            <w:sz w:val="21"/>
                          </w:rPr>
                        </w:pPr>
                        <w:r>
                          <w:rPr>
                            <w:sz w:val="21"/>
                          </w:rPr>
                          <w:t>肢体机能完全丧失</w:t>
                        </w:r>
                      </w:p>
                    </w:tc>
                    <w:tc>
                      <w:tcPr>
                        <w:tcW w:w="2888" w:type="dxa"/>
                        <w:tcBorders>
                          <w:left w:val="single" w:sz="8" w:space="0" w:color="000000"/>
                        </w:tcBorders>
                      </w:tcPr>
                      <w:p>
                        <w:pPr>
                          <w:pStyle w:val="TableParagraph"/>
                          <w:spacing w:line="273" w:lineRule="exact"/>
                          <w:ind w:left="271"/>
                          <w:rPr>
                            <w:sz w:val="21"/>
                          </w:rPr>
                        </w:pPr>
                        <w:r>
                          <w:rPr>
                            <w:rFonts w:ascii="Times New Roman" w:eastAsia="Times New Roman"/>
                            <w:sz w:val="21"/>
                          </w:rPr>
                          <w:t>7.17 </w:t>
                        </w:r>
                        <w:r>
                          <w:rPr>
                            <w:sz w:val="21"/>
                          </w:rPr>
                          <w:t>先天性畸形、变形或染</w:t>
                        </w:r>
                      </w:p>
                    </w:tc>
                  </w:tr>
                  <w:tr>
                    <w:trPr>
                      <w:trHeight w:val="312" w:hRule="atLeast"/>
                    </w:trPr>
                    <w:tc>
                      <w:tcPr>
                        <w:tcW w:w="392" w:type="dxa"/>
                      </w:tcPr>
                      <w:p>
                        <w:pPr>
                          <w:pStyle w:val="TableParagraph"/>
                          <w:spacing w:before="31"/>
                          <w:ind w:left="31" w:right="58"/>
                          <w:jc w:val="center"/>
                          <w:rPr>
                            <w:rFonts w:ascii="Times New Roman"/>
                            <w:sz w:val="21"/>
                          </w:rPr>
                        </w:pPr>
                        <w:r>
                          <w:rPr>
                            <w:rFonts w:ascii="Times New Roman"/>
                            <w:sz w:val="21"/>
                          </w:rPr>
                          <w:t>7.3</w:t>
                        </w:r>
                      </w:p>
                    </w:tc>
                    <w:tc>
                      <w:tcPr>
                        <w:tcW w:w="2468" w:type="dxa"/>
                        <w:tcBorders>
                          <w:right w:val="single" w:sz="8" w:space="0" w:color="000000"/>
                        </w:tcBorders>
                      </w:tcPr>
                      <w:p>
                        <w:pPr>
                          <w:pStyle w:val="TableParagraph"/>
                          <w:spacing w:line="257" w:lineRule="exact"/>
                          <w:ind w:left="78"/>
                          <w:rPr>
                            <w:sz w:val="21"/>
                          </w:rPr>
                        </w:pPr>
                        <w:r>
                          <w:rPr>
                            <w:sz w:val="21"/>
                          </w:rPr>
                          <w:t>语言能力或咀嚼吞咽能</w:t>
                        </w:r>
                      </w:p>
                    </w:tc>
                    <w:tc>
                      <w:tcPr>
                        <w:tcW w:w="2888" w:type="dxa"/>
                        <w:tcBorders>
                          <w:left w:val="single" w:sz="8" w:space="0" w:color="000000"/>
                        </w:tcBorders>
                      </w:tcPr>
                      <w:p>
                        <w:pPr>
                          <w:pStyle w:val="TableParagraph"/>
                          <w:spacing w:line="257" w:lineRule="exact"/>
                          <w:ind w:left="691"/>
                          <w:rPr>
                            <w:sz w:val="21"/>
                          </w:rPr>
                        </w:pPr>
                        <w:r>
                          <w:rPr>
                            <w:sz w:val="21"/>
                          </w:rPr>
                          <w:t>色体异常</w:t>
                        </w:r>
                      </w:p>
                    </w:tc>
                  </w:tr>
                  <w:tr>
                    <w:trPr>
                      <w:trHeight w:val="311" w:hRule="atLeast"/>
                    </w:trPr>
                    <w:tc>
                      <w:tcPr>
                        <w:tcW w:w="392" w:type="dxa"/>
                      </w:tcPr>
                      <w:p>
                        <w:pPr>
                          <w:pStyle w:val="TableParagraph"/>
                          <w:ind w:left="0"/>
                          <w:rPr>
                            <w:rFonts w:ascii="Times New Roman"/>
                            <w:sz w:val="20"/>
                          </w:rPr>
                        </w:pPr>
                      </w:p>
                    </w:tc>
                    <w:tc>
                      <w:tcPr>
                        <w:tcW w:w="2468" w:type="dxa"/>
                        <w:tcBorders>
                          <w:right w:val="single" w:sz="8" w:space="0" w:color="000000"/>
                        </w:tcBorders>
                      </w:tcPr>
                      <w:p>
                        <w:pPr>
                          <w:pStyle w:val="TableParagraph"/>
                          <w:spacing w:line="257" w:lineRule="exact"/>
                          <w:ind w:left="78"/>
                          <w:rPr>
                            <w:sz w:val="21"/>
                          </w:rPr>
                        </w:pPr>
                        <w:r>
                          <w:rPr>
                            <w:sz w:val="21"/>
                          </w:rPr>
                          <w:t>力完全丧失</w:t>
                        </w:r>
                      </w:p>
                    </w:tc>
                    <w:tc>
                      <w:tcPr>
                        <w:tcW w:w="2888" w:type="dxa"/>
                        <w:tcBorders>
                          <w:left w:val="single" w:sz="8" w:space="0" w:color="000000"/>
                        </w:tcBorders>
                      </w:tcPr>
                      <w:p>
                        <w:pPr>
                          <w:pStyle w:val="TableParagraph"/>
                          <w:spacing w:line="273" w:lineRule="exact"/>
                          <w:ind w:left="271"/>
                          <w:rPr>
                            <w:sz w:val="21"/>
                          </w:rPr>
                        </w:pPr>
                        <w:r>
                          <w:rPr>
                            <w:rFonts w:ascii="Times New Roman" w:eastAsia="Times New Roman"/>
                            <w:sz w:val="21"/>
                          </w:rPr>
                          <w:t>7.18 </w:t>
                        </w:r>
                        <w:r>
                          <w:rPr>
                            <w:sz w:val="21"/>
                          </w:rPr>
                          <w:t>现金价值</w:t>
                        </w:r>
                      </w:p>
                    </w:tc>
                  </w:tr>
                  <w:tr>
                    <w:trPr>
                      <w:trHeight w:val="462" w:hRule="atLeast"/>
                    </w:trPr>
                    <w:tc>
                      <w:tcPr>
                        <w:tcW w:w="392" w:type="dxa"/>
                      </w:tcPr>
                      <w:p>
                        <w:pPr>
                          <w:pStyle w:val="TableParagraph"/>
                          <w:spacing w:before="31"/>
                          <w:ind w:left="31" w:right="58"/>
                          <w:jc w:val="center"/>
                          <w:rPr>
                            <w:rFonts w:ascii="Times New Roman"/>
                            <w:sz w:val="21"/>
                          </w:rPr>
                        </w:pPr>
                        <w:r>
                          <w:rPr>
                            <w:rFonts w:ascii="Times New Roman"/>
                            <w:sz w:val="21"/>
                          </w:rPr>
                          <w:t>7.4</w:t>
                        </w:r>
                      </w:p>
                    </w:tc>
                    <w:tc>
                      <w:tcPr>
                        <w:tcW w:w="2468" w:type="dxa"/>
                        <w:tcBorders>
                          <w:right w:val="single" w:sz="8" w:space="0" w:color="000000"/>
                        </w:tcBorders>
                      </w:tcPr>
                      <w:p>
                        <w:pPr>
                          <w:pStyle w:val="TableParagraph"/>
                          <w:spacing w:line="257" w:lineRule="exact"/>
                          <w:ind w:left="78"/>
                          <w:rPr>
                            <w:sz w:val="21"/>
                          </w:rPr>
                        </w:pPr>
                        <w:r>
                          <w:rPr>
                            <w:sz w:val="21"/>
                          </w:rPr>
                          <w:t>六项基本日常生活活动</w:t>
                        </w:r>
                      </w:p>
                    </w:tc>
                    <w:tc>
                      <w:tcPr>
                        <w:tcW w:w="2888" w:type="dxa"/>
                        <w:tcBorders>
                          <w:left w:val="single" w:sz="8" w:space="0" w:color="000000"/>
                        </w:tcBorders>
                      </w:tcPr>
                      <w:p>
                        <w:pPr>
                          <w:pStyle w:val="TableParagraph"/>
                          <w:ind w:left="0"/>
                          <w:rPr>
                            <w:rFonts w:ascii="Times New Roman"/>
                            <w:sz w:val="20"/>
                          </w:rPr>
                        </w:pPr>
                      </w:p>
                    </w:tc>
                  </w:tr>
                </w:tbl>
                <w:p>
                  <w:pPr>
                    <w:pStyle w:val="BodyText"/>
                    <w:spacing w:before="0"/>
                  </w:pPr>
                </w:p>
              </w:txbxContent>
            </v:textbox>
            <w10:wrap type="none"/>
          </v:shape>
        </w:pict>
      </w:r>
      <w:r>
        <w:rPr/>
        <w:t>您与我们订立的合同</w:t>
      </w:r>
    </w:p>
    <w:p>
      <w:pPr>
        <w:pStyle w:val="ListParagraph"/>
        <w:numPr>
          <w:ilvl w:val="1"/>
          <w:numId w:val="3"/>
        </w:numPr>
        <w:tabs>
          <w:tab w:pos="717" w:val="left" w:leader="none"/>
          <w:tab w:pos="3318" w:val="right" w:leader="none"/>
        </w:tabs>
        <w:spacing w:line="240" w:lineRule="auto" w:before="21" w:after="0"/>
        <w:ind w:left="716" w:right="0" w:hanging="420"/>
        <w:jc w:val="left"/>
        <w:rPr>
          <w:rFonts w:ascii="Times New Roman" w:eastAsia="Times New Roman"/>
          <w:b/>
          <w:sz w:val="21"/>
        </w:rPr>
      </w:pPr>
      <w:r>
        <w:rPr>
          <w:sz w:val="21"/>
        </w:rPr>
        <w:t>合同</w:t>
      </w:r>
      <w:r>
        <w:rPr>
          <w:spacing w:val="-3"/>
          <w:sz w:val="21"/>
        </w:rPr>
        <w:t>构</w:t>
      </w:r>
      <w:r>
        <w:rPr>
          <w:sz w:val="21"/>
        </w:rPr>
        <w:t>成</w:t>
        <w:tab/>
      </w:r>
      <w:r>
        <w:rPr>
          <w:rFonts w:ascii="Times New Roman" w:eastAsia="Times New Roman"/>
          <w:b/>
          <w:sz w:val="21"/>
        </w:rPr>
        <w:t>4</w:t>
      </w:r>
    </w:p>
    <w:p>
      <w:pPr>
        <w:pStyle w:val="ListParagraph"/>
        <w:numPr>
          <w:ilvl w:val="1"/>
          <w:numId w:val="3"/>
        </w:numPr>
        <w:tabs>
          <w:tab w:pos="717" w:val="left" w:leader="none"/>
        </w:tabs>
        <w:spacing w:line="240" w:lineRule="auto" w:before="21" w:after="0"/>
        <w:ind w:left="716" w:right="0" w:hanging="420"/>
        <w:jc w:val="left"/>
        <w:rPr>
          <w:sz w:val="21"/>
        </w:rPr>
      </w:pPr>
      <w:r>
        <w:rPr>
          <w:spacing w:val="-1"/>
          <w:sz w:val="21"/>
        </w:rPr>
        <w:t>投保范围</w:t>
      </w:r>
    </w:p>
    <w:p>
      <w:pPr>
        <w:pStyle w:val="ListParagraph"/>
        <w:numPr>
          <w:ilvl w:val="1"/>
          <w:numId w:val="3"/>
        </w:numPr>
        <w:tabs>
          <w:tab w:pos="717" w:val="left" w:leader="none"/>
        </w:tabs>
        <w:spacing w:line="240" w:lineRule="auto" w:before="21" w:after="0"/>
        <w:ind w:left="716" w:right="0" w:hanging="420"/>
        <w:jc w:val="left"/>
        <w:rPr>
          <w:sz w:val="21"/>
        </w:rPr>
      </w:pPr>
      <w:r>
        <w:rPr>
          <w:spacing w:val="-2"/>
          <w:sz w:val="21"/>
        </w:rPr>
        <w:t>合同成立与生效</w:t>
      </w:r>
    </w:p>
    <w:p>
      <w:pPr>
        <w:pStyle w:val="ListParagraph"/>
        <w:numPr>
          <w:ilvl w:val="1"/>
          <w:numId w:val="3"/>
        </w:numPr>
        <w:tabs>
          <w:tab w:pos="717" w:val="left" w:leader="none"/>
        </w:tabs>
        <w:spacing w:line="248" w:lineRule="exact" w:before="21" w:after="0"/>
        <w:ind w:left="716" w:right="0" w:hanging="420"/>
        <w:jc w:val="left"/>
        <w:rPr>
          <w:sz w:val="21"/>
        </w:rPr>
      </w:pPr>
      <w:r>
        <w:rPr>
          <w:spacing w:val="-1"/>
          <w:sz w:val="21"/>
        </w:rPr>
        <w:t>合同终止</w:t>
      </w:r>
    </w:p>
    <w:p>
      <w:pPr>
        <w:pStyle w:val="Heading3"/>
        <w:spacing w:line="199" w:lineRule="exact"/>
        <w:ind w:left="3213" w:firstLine="0"/>
        <w:rPr>
          <w:rFonts w:ascii="Times New Roman"/>
        </w:rPr>
      </w:pPr>
      <w:r>
        <w:rPr>
          <w:rFonts w:ascii="Times New Roman"/>
          <w:w w:val="100"/>
        </w:rPr>
        <w:t>5</w:t>
      </w:r>
    </w:p>
    <w:p>
      <w:pPr>
        <w:pStyle w:val="ListParagraph"/>
        <w:numPr>
          <w:ilvl w:val="0"/>
          <w:numId w:val="3"/>
        </w:numPr>
        <w:tabs>
          <w:tab w:pos="478" w:val="left" w:leader="none"/>
          <w:tab w:pos="479" w:val="left" w:leader="none"/>
        </w:tabs>
        <w:spacing w:line="240" w:lineRule="auto" w:before="21" w:after="0"/>
        <w:ind w:left="478" w:right="0" w:hanging="360"/>
        <w:jc w:val="left"/>
        <w:rPr>
          <w:b/>
          <w:sz w:val="21"/>
        </w:rPr>
      </w:pPr>
      <w:r>
        <w:rPr>
          <w:b/>
          <w:sz w:val="21"/>
        </w:rPr>
        <w:t>我们提供的保障</w:t>
      </w:r>
    </w:p>
    <w:p>
      <w:pPr>
        <w:pStyle w:val="ListParagraph"/>
        <w:numPr>
          <w:ilvl w:val="1"/>
          <w:numId w:val="3"/>
        </w:numPr>
        <w:tabs>
          <w:tab w:pos="717" w:val="left" w:leader="none"/>
        </w:tabs>
        <w:spacing w:line="240" w:lineRule="auto" w:before="20" w:after="0"/>
        <w:ind w:left="716" w:right="0" w:hanging="420"/>
        <w:jc w:val="left"/>
        <w:rPr>
          <w:sz w:val="21"/>
        </w:rPr>
      </w:pPr>
      <w:r>
        <w:rPr>
          <w:spacing w:val="-2"/>
          <w:sz w:val="21"/>
        </w:rPr>
        <w:t>基本保险金额</w:t>
      </w:r>
    </w:p>
    <w:p>
      <w:pPr>
        <w:pStyle w:val="ListParagraph"/>
        <w:numPr>
          <w:ilvl w:val="1"/>
          <w:numId w:val="3"/>
        </w:numPr>
        <w:tabs>
          <w:tab w:pos="717" w:val="left" w:leader="none"/>
        </w:tabs>
        <w:spacing w:line="248" w:lineRule="exact" w:before="20" w:after="0"/>
        <w:ind w:left="716" w:right="0" w:hanging="420"/>
        <w:jc w:val="left"/>
        <w:rPr>
          <w:sz w:val="21"/>
        </w:rPr>
      </w:pPr>
      <w:r>
        <w:rPr>
          <w:spacing w:val="-1"/>
          <w:sz w:val="21"/>
        </w:rPr>
        <w:t>保险期间</w:t>
      </w:r>
    </w:p>
    <w:p>
      <w:pPr>
        <w:pStyle w:val="Heading3"/>
        <w:spacing w:line="131" w:lineRule="exact"/>
        <w:ind w:left="3213" w:firstLine="0"/>
        <w:rPr>
          <w:rFonts w:ascii="Times New Roman"/>
        </w:rPr>
      </w:pPr>
      <w:r>
        <w:rPr>
          <w:rFonts w:ascii="Times New Roman"/>
          <w:w w:val="100"/>
        </w:rPr>
        <w:t>6</w:t>
      </w:r>
    </w:p>
    <w:p>
      <w:pPr>
        <w:pStyle w:val="ListParagraph"/>
        <w:numPr>
          <w:ilvl w:val="1"/>
          <w:numId w:val="3"/>
        </w:numPr>
        <w:tabs>
          <w:tab w:pos="717" w:val="left" w:leader="none"/>
        </w:tabs>
        <w:spacing w:line="223" w:lineRule="exact" w:before="0" w:after="0"/>
        <w:ind w:left="716" w:right="0" w:hanging="420"/>
        <w:jc w:val="left"/>
        <w:rPr>
          <w:sz w:val="21"/>
        </w:rPr>
      </w:pPr>
      <w:r>
        <w:rPr>
          <w:spacing w:val="-1"/>
          <w:sz w:val="21"/>
        </w:rPr>
        <w:t>保险责任</w:t>
      </w:r>
    </w:p>
    <w:p>
      <w:pPr>
        <w:pStyle w:val="ListParagraph"/>
        <w:numPr>
          <w:ilvl w:val="1"/>
          <w:numId w:val="3"/>
        </w:numPr>
        <w:tabs>
          <w:tab w:pos="717" w:val="left" w:leader="none"/>
        </w:tabs>
        <w:spacing w:line="240" w:lineRule="auto" w:before="20" w:after="0"/>
        <w:ind w:left="716" w:right="0" w:hanging="420"/>
        <w:jc w:val="left"/>
        <w:rPr>
          <w:sz w:val="21"/>
        </w:rPr>
      </w:pPr>
      <w:r>
        <w:rPr>
          <w:spacing w:val="-1"/>
          <w:sz w:val="21"/>
        </w:rPr>
        <w:t>责任免除</w:t>
      </w:r>
    </w:p>
    <w:p>
      <w:pPr>
        <w:pStyle w:val="Heading3"/>
        <w:spacing w:line="174" w:lineRule="exact" w:before="70"/>
        <w:ind w:left="3213" w:firstLine="0"/>
        <w:rPr>
          <w:rFonts w:ascii="Times New Roman"/>
        </w:rPr>
      </w:pPr>
      <w:r>
        <w:rPr>
          <w:rFonts w:ascii="Times New Roman"/>
          <w:w w:val="100"/>
        </w:rPr>
        <w:t>7</w:t>
      </w:r>
    </w:p>
    <w:p>
      <w:pPr>
        <w:pStyle w:val="ListParagraph"/>
        <w:numPr>
          <w:ilvl w:val="0"/>
          <w:numId w:val="3"/>
        </w:numPr>
        <w:tabs>
          <w:tab w:pos="478" w:val="left" w:leader="none"/>
          <w:tab w:pos="479" w:val="left" w:leader="none"/>
        </w:tabs>
        <w:spacing w:line="224" w:lineRule="exact" w:before="0" w:after="0"/>
        <w:ind w:left="478" w:right="0" w:hanging="360"/>
        <w:jc w:val="left"/>
        <w:rPr>
          <w:b/>
          <w:sz w:val="21"/>
        </w:rPr>
      </w:pPr>
      <w:r>
        <w:rPr>
          <w:b/>
          <w:sz w:val="21"/>
        </w:rPr>
        <w:t>保险金的申请</w:t>
      </w:r>
    </w:p>
    <w:p>
      <w:pPr>
        <w:pStyle w:val="ListParagraph"/>
        <w:numPr>
          <w:ilvl w:val="1"/>
          <w:numId w:val="3"/>
        </w:numPr>
        <w:tabs>
          <w:tab w:pos="717" w:val="left" w:leader="none"/>
        </w:tabs>
        <w:spacing w:line="240" w:lineRule="auto" w:before="21" w:after="0"/>
        <w:ind w:left="716" w:right="0" w:hanging="420"/>
        <w:jc w:val="left"/>
        <w:rPr>
          <w:sz w:val="21"/>
        </w:rPr>
      </w:pPr>
      <w:r>
        <w:rPr>
          <w:sz w:val="21"/>
        </w:rPr>
        <w:t>受益人</w:t>
      </w:r>
    </w:p>
    <w:p>
      <w:pPr>
        <w:pStyle w:val="ListParagraph"/>
        <w:numPr>
          <w:ilvl w:val="1"/>
          <w:numId w:val="3"/>
        </w:numPr>
        <w:tabs>
          <w:tab w:pos="717" w:val="left" w:leader="none"/>
        </w:tabs>
        <w:spacing w:line="240" w:lineRule="auto" w:before="21" w:after="0"/>
        <w:ind w:left="716" w:right="0" w:hanging="420"/>
        <w:jc w:val="left"/>
        <w:rPr>
          <w:sz w:val="21"/>
        </w:rPr>
      </w:pPr>
      <w:r>
        <w:rPr>
          <w:spacing w:val="-2"/>
          <w:sz w:val="21"/>
        </w:rPr>
        <w:t>保险事故通知</w:t>
      </w:r>
    </w:p>
    <w:p>
      <w:pPr>
        <w:pStyle w:val="ListParagraph"/>
        <w:numPr>
          <w:ilvl w:val="1"/>
          <w:numId w:val="3"/>
        </w:numPr>
        <w:tabs>
          <w:tab w:pos="717" w:val="left" w:leader="none"/>
        </w:tabs>
        <w:spacing w:line="240" w:lineRule="auto" w:before="21" w:after="0"/>
        <w:ind w:left="716" w:right="0" w:hanging="420"/>
        <w:jc w:val="left"/>
        <w:rPr>
          <w:sz w:val="21"/>
        </w:rPr>
      </w:pPr>
      <w:r>
        <w:rPr>
          <w:spacing w:val="-1"/>
          <w:sz w:val="21"/>
        </w:rPr>
        <w:t>保险金申请</w:t>
      </w:r>
    </w:p>
    <w:p>
      <w:pPr>
        <w:pStyle w:val="ListParagraph"/>
        <w:numPr>
          <w:ilvl w:val="1"/>
          <w:numId w:val="3"/>
        </w:numPr>
        <w:tabs>
          <w:tab w:pos="717" w:val="left" w:leader="none"/>
        </w:tabs>
        <w:spacing w:line="240" w:lineRule="auto" w:before="21" w:after="0"/>
        <w:ind w:left="716" w:right="0" w:hanging="420"/>
        <w:jc w:val="left"/>
        <w:rPr>
          <w:sz w:val="21"/>
        </w:rPr>
      </w:pPr>
      <w:r>
        <w:rPr>
          <w:spacing w:val="-1"/>
          <w:sz w:val="21"/>
        </w:rPr>
        <w:t>保险金给付</w:t>
      </w:r>
    </w:p>
    <w:p>
      <w:pPr>
        <w:pStyle w:val="ListParagraph"/>
        <w:numPr>
          <w:ilvl w:val="1"/>
          <w:numId w:val="3"/>
        </w:numPr>
        <w:tabs>
          <w:tab w:pos="717" w:val="left" w:leader="none"/>
        </w:tabs>
        <w:spacing w:line="240" w:lineRule="auto" w:before="21" w:after="0"/>
        <w:ind w:left="716" w:right="0" w:hanging="420"/>
        <w:jc w:val="left"/>
        <w:rPr>
          <w:sz w:val="21"/>
        </w:rPr>
      </w:pPr>
      <w:r>
        <w:rPr>
          <w:spacing w:val="-1"/>
          <w:sz w:val="21"/>
        </w:rPr>
        <w:t>诉讼时效</w:t>
      </w:r>
    </w:p>
    <w:p>
      <w:pPr>
        <w:spacing w:after="0" w:line="240" w:lineRule="auto"/>
        <w:jc w:val="left"/>
        <w:rPr>
          <w:sz w:val="21"/>
        </w:rPr>
        <w:sectPr>
          <w:type w:val="continuous"/>
          <w:pgSz w:w="11910" w:h="16840"/>
          <w:pgMar w:top="540" w:bottom="280" w:left="1300" w:right="220"/>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8"/>
        <w:rPr>
          <w:sz w:val="23"/>
        </w:rPr>
      </w:pPr>
    </w:p>
    <w:p>
      <w:pPr>
        <w:pStyle w:val="BodyText"/>
        <w:spacing w:before="36"/>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1410"/>
      </w:pPr>
      <w:r>
        <w:rPr/>
        <w:t>同方全球附加多重给付重大疾病保险条款</w:t>
      </w:r>
    </w:p>
    <w:p>
      <w:pPr>
        <w:pStyle w:val="BodyText"/>
        <w:spacing w:line="256" w:lineRule="auto" w:before="395"/>
        <w:ind w:left="138" w:right="130"/>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指同方全球人寿保险有限公司，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同方全球附加多重给付重大疾病保险合同</w:t>
      </w:r>
      <w:r>
        <w:rPr>
          <w:rFonts w:ascii="Times New Roman" w:hAnsi="Times New Roman" w:eastAsia="Times New Roman"/>
        </w:rPr>
        <w:t>”</w:t>
      </w:r>
      <w:r>
        <w:rPr/>
        <w:t>。</w:t>
      </w:r>
    </w:p>
    <w:p>
      <w:pPr>
        <w:pStyle w:val="BodyText"/>
        <w:spacing w:before="3"/>
        <w:rPr>
          <w:sz w:val="22"/>
        </w:rPr>
      </w:pPr>
    </w:p>
    <w:p>
      <w:pPr>
        <w:pStyle w:val="Heading2"/>
        <w:numPr>
          <w:ilvl w:val="0"/>
          <w:numId w:val="4"/>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72;mso-wrap-distance-left:0;mso-wrap-distance-right:0" from="69.503998pt,19.295618pt" to="524.013998pt,19.295618pt" stroked="true" strokeweight="1.44pt" strokecolor="#000000">
            <v:stroke dashstyle="solid"/>
            <w10:wrap type="topAndBottom"/>
          </v:line>
        </w:pict>
      </w:r>
      <w:r>
        <w:rPr>
          <w:w w:val="95"/>
        </w:rPr>
        <w:t>您与我们订立的合同</w:t>
      </w:r>
    </w:p>
    <w:p>
      <w:pPr>
        <w:pStyle w:val="BodyText"/>
        <w:spacing w:before="5"/>
        <w:rPr>
          <w:b/>
          <w:sz w:val="5"/>
        </w:rPr>
      </w:pPr>
    </w:p>
    <w:p>
      <w:pPr>
        <w:pStyle w:val="Heading3"/>
        <w:numPr>
          <w:ilvl w:val="1"/>
          <w:numId w:val="4"/>
        </w:numPr>
        <w:tabs>
          <w:tab w:pos="714" w:val="left" w:leader="none"/>
          <w:tab w:pos="715" w:val="left" w:leader="none"/>
        </w:tabs>
        <w:spacing w:line="240" w:lineRule="auto" w:before="43" w:after="0"/>
        <w:ind w:left="714" w:right="0" w:hanging="576"/>
        <w:jc w:val="left"/>
      </w:pPr>
      <w:r>
        <w:rPr/>
        <w:t>合同构成</w:t>
      </w:r>
    </w:p>
    <w:p>
      <w:pPr>
        <w:pStyle w:val="BodyText"/>
        <w:spacing w:before="3"/>
        <w:rPr>
          <w:b/>
          <w:sz w:val="10"/>
        </w:rPr>
      </w:pPr>
    </w:p>
    <w:p>
      <w:pPr>
        <w:pStyle w:val="BodyText"/>
        <w:spacing w:line="266" w:lineRule="auto" w:before="43"/>
        <w:ind w:left="1610" w:right="128"/>
        <w:jc w:val="both"/>
      </w:pPr>
      <w:r>
        <w:rPr/>
        <w:t>本附加合同依您的申请，附加于您与我们订立的主保险合同（以下简称</w:t>
      </w:r>
      <w:r>
        <w:rPr>
          <w:rFonts w:ascii="Times New Roman" w:hAnsi="Times New Roman" w:eastAsia="Times New Roman"/>
        </w:rPr>
        <w:t>“</w:t>
      </w:r>
      <w:r>
        <w:rPr/>
        <w:t>主合同</w:t>
      </w:r>
      <w:r>
        <w:rPr>
          <w:rFonts w:ascii="Times New Roman" w:hAnsi="Times New Roman" w:eastAsia="Times New Roman"/>
        </w:rPr>
        <w:t>”</w:t>
      </w:r>
      <w:r>
        <w:rPr/>
        <w:t>） 之上，并经我们审核同意，在保险单或批注中列明后生效。本附加合同未约定的事项，以主合同为准；如果主合同与本附加合同的条款内容互有冲突，则以本附加合同为准。</w:t>
      </w:r>
    </w:p>
    <w:p>
      <w:pPr>
        <w:pStyle w:val="BodyText"/>
        <w:spacing w:before="10"/>
        <w:rPr>
          <w:sz w:val="9"/>
        </w:rPr>
      </w:pPr>
    </w:p>
    <w:p>
      <w:pPr>
        <w:pStyle w:val="Heading3"/>
        <w:numPr>
          <w:ilvl w:val="1"/>
          <w:numId w:val="4"/>
        </w:numPr>
        <w:tabs>
          <w:tab w:pos="714" w:val="left" w:leader="none"/>
          <w:tab w:pos="715" w:val="left" w:leader="none"/>
        </w:tabs>
        <w:spacing w:line="240" w:lineRule="auto" w:before="43" w:after="0"/>
        <w:ind w:left="714" w:right="0" w:hanging="576"/>
        <w:jc w:val="left"/>
      </w:pPr>
      <w:r>
        <w:rPr/>
        <w:t>投保范围</w:t>
      </w:r>
    </w:p>
    <w:p>
      <w:pPr>
        <w:pStyle w:val="BodyText"/>
        <w:spacing w:before="10"/>
        <w:rPr>
          <w:b/>
          <w:sz w:val="10"/>
        </w:rPr>
      </w:pPr>
    </w:p>
    <w:p>
      <w:pPr>
        <w:pStyle w:val="BodyText"/>
        <w:spacing w:before="36"/>
        <w:ind w:left="1610"/>
      </w:pPr>
      <w:r>
        <w:rPr/>
        <w:t>本附加合同接受的被保险人的投保年龄为出生满三十天至六十周岁。</w:t>
      </w:r>
    </w:p>
    <w:p>
      <w:pPr>
        <w:pStyle w:val="BodyText"/>
        <w:spacing w:before="9"/>
        <w:rPr>
          <w:sz w:val="14"/>
        </w:rPr>
      </w:pPr>
    </w:p>
    <w:p>
      <w:pPr>
        <w:pStyle w:val="Heading3"/>
        <w:numPr>
          <w:ilvl w:val="1"/>
          <w:numId w:val="4"/>
        </w:numPr>
        <w:tabs>
          <w:tab w:pos="714" w:val="left" w:leader="none"/>
          <w:tab w:pos="715" w:val="left" w:leader="none"/>
        </w:tabs>
        <w:spacing w:line="240" w:lineRule="auto" w:before="0" w:after="0"/>
        <w:ind w:left="714" w:right="0" w:hanging="576"/>
        <w:jc w:val="left"/>
      </w:pPr>
      <w:r>
        <w:rPr/>
        <w:t>合同成立与生效</w:t>
      </w:r>
    </w:p>
    <w:p>
      <w:pPr>
        <w:pStyle w:val="BodyText"/>
        <w:spacing w:line="273" w:lineRule="auto" w:before="176"/>
        <w:ind w:left="1610" w:right="127"/>
      </w:pPr>
      <w:r>
        <w:rPr/>
        <w:t>若您于投保主合同时投保本附加合同，则主合同的合同成立日与生效日分别为本附加合同的合同成立日与生效日，并在保险单上载明。</w:t>
      </w:r>
    </w:p>
    <w:p>
      <w:pPr>
        <w:pStyle w:val="BodyText"/>
        <w:spacing w:line="273" w:lineRule="auto" w:before="163"/>
        <w:ind w:left="1610" w:right="128"/>
        <w:jc w:val="both"/>
      </w:pPr>
      <w:r>
        <w:rPr/>
        <w:t>若您于主合同有效期内申请附加本附加合同，我们同意承保，则本附加合同成立， 合同成立日期在批注上载明。您交纳应交的保险费且我们同意承保后，则本附加合同自批注上所载的生效日的零时起生效。</w:t>
      </w:r>
    </w:p>
    <w:p>
      <w:pPr>
        <w:pStyle w:val="Heading3"/>
        <w:numPr>
          <w:ilvl w:val="1"/>
          <w:numId w:val="4"/>
        </w:numPr>
        <w:tabs>
          <w:tab w:pos="714" w:val="left" w:leader="none"/>
          <w:tab w:pos="715" w:val="left" w:leader="none"/>
        </w:tabs>
        <w:spacing w:line="240" w:lineRule="auto" w:before="163" w:after="0"/>
        <w:ind w:left="714" w:right="0" w:hanging="576"/>
        <w:jc w:val="left"/>
      </w:pPr>
      <w:r>
        <w:rPr/>
        <w:t>合同终止</w:t>
      </w:r>
    </w:p>
    <w:p>
      <w:pPr>
        <w:pStyle w:val="BodyText"/>
        <w:ind w:left="1557"/>
        <w:jc w:val="both"/>
      </w:pPr>
      <w:r>
        <w:rPr/>
        <w:t>本附加合同因以下事项而终止效力：</w:t>
      </w:r>
    </w:p>
    <w:p>
      <w:pPr>
        <w:pStyle w:val="BodyText"/>
        <w:spacing w:before="10"/>
        <w:rPr>
          <w:sz w:val="14"/>
        </w:rPr>
      </w:pPr>
    </w:p>
    <w:p>
      <w:pPr>
        <w:pStyle w:val="ListParagraph"/>
        <w:numPr>
          <w:ilvl w:val="2"/>
          <w:numId w:val="4"/>
        </w:numPr>
        <w:tabs>
          <w:tab w:pos="1896" w:val="left" w:leader="none"/>
        </w:tabs>
        <w:spacing w:line="240" w:lineRule="auto" w:before="0" w:after="0"/>
        <w:ind w:left="1895" w:right="0" w:hanging="317"/>
        <w:jc w:val="both"/>
        <w:rPr>
          <w:sz w:val="21"/>
        </w:rPr>
      </w:pPr>
      <w:r>
        <w:rPr>
          <w:spacing w:val="-3"/>
          <w:sz w:val="21"/>
        </w:rPr>
        <w:t>主合同效力终止时；</w:t>
      </w:r>
    </w:p>
    <w:p>
      <w:pPr>
        <w:pStyle w:val="ListParagraph"/>
        <w:numPr>
          <w:ilvl w:val="2"/>
          <w:numId w:val="4"/>
        </w:numPr>
        <w:tabs>
          <w:tab w:pos="1896" w:val="left" w:leader="none"/>
        </w:tabs>
        <w:spacing w:line="240" w:lineRule="auto" w:before="177" w:after="0"/>
        <w:ind w:left="1895" w:right="0" w:hanging="317"/>
        <w:jc w:val="both"/>
        <w:rPr>
          <w:sz w:val="21"/>
        </w:rPr>
      </w:pPr>
      <w:r>
        <w:rPr>
          <w:spacing w:val="-3"/>
          <w:sz w:val="21"/>
        </w:rPr>
        <w:t>您于本附加合同有效期内向我们申请解除合同；</w:t>
      </w:r>
    </w:p>
    <w:p>
      <w:pPr>
        <w:pStyle w:val="ListParagraph"/>
        <w:numPr>
          <w:ilvl w:val="2"/>
          <w:numId w:val="4"/>
        </w:numPr>
        <w:tabs>
          <w:tab w:pos="1896" w:val="left" w:leader="none"/>
        </w:tabs>
        <w:spacing w:line="240" w:lineRule="auto" w:before="177" w:after="0"/>
        <w:ind w:left="1895" w:right="0" w:hanging="317"/>
        <w:jc w:val="both"/>
        <w:rPr>
          <w:sz w:val="21"/>
        </w:rPr>
      </w:pPr>
      <w:r>
        <w:rPr>
          <w:spacing w:val="-3"/>
          <w:sz w:val="21"/>
        </w:rPr>
        <w:t>本附加合同保险期间届满；</w:t>
      </w:r>
    </w:p>
    <w:p>
      <w:pPr>
        <w:pStyle w:val="ListParagraph"/>
        <w:numPr>
          <w:ilvl w:val="2"/>
          <w:numId w:val="4"/>
        </w:numPr>
        <w:tabs>
          <w:tab w:pos="1896" w:val="left" w:leader="none"/>
        </w:tabs>
        <w:spacing w:line="240" w:lineRule="auto" w:before="177" w:after="0"/>
        <w:ind w:left="1895" w:right="0" w:hanging="317"/>
        <w:jc w:val="both"/>
        <w:rPr>
          <w:sz w:val="21"/>
        </w:rPr>
      </w:pPr>
      <w:r>
        <w:rPr>
          <w:spacing w:val="-3"/>
          <w:sz w:val="21"/>
        </w:rPr>
        <w:t>本附加合同约定的其他终止事项。</w:t>
      </w:r>
    </w:p>
    <w:p>
      <w:pPr>
        <w:pStyle w:val="BodyText"/>
        <w:spacing w:before="6"/>
        <w:rPr>
          <w:sz w:val="23"/>
        </w:rPr>
      </w:pPr>
    </w:p>
    <w:p>
      <w:pPr>
        <w:pStyle w:val="Heading2"/>
        <w:numPr>
          <w:ilvl w:val="0"/>
          <w:numId w:val="4"/>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96;mso-wrap-distance-left:0;mso-wrap-distance-right:0" from="69.503998pt,19.295626pt" to="524.013998pt,19.295626pt" stroked="true" strokeweight="1.44pt" strokecolor="#000000">
            <v:stroke dashstyle="solid"/>
            <w10:wrap type="topAndBottom"/>
          </v:line>
        </w:pict>
      </w:r>
      <w:r>
        <w:rPr>
          <w:w w:val="95"/>
        </w:rPr>
        <w:t>我们提供的保障</w:t>
      </w:r>
    </w:p>
    <w:p>
      <w:pPr>
        <w:pStyle w:val="BodyText"/>
        <w:spacing w:before="5"/>
        <w:rPr>
          <w:b/>
          <w:sz w:val="5"/>
        </w:rPr>
      </w:pPr>
    </w:p>
    <w:p>
      <w:pPr>
        <w:pStyle w:val="Heading3"/>
        <w:numPr>
          <w:ilvl w:val="1"/>
          <w:numId w:val="4"/>
        </w:numPr>
        <w:tabs>
          <w:tab w:pos="714" w:val="left" w:leader="none"/>
          <w:tab w:pos="715" w:val="left" w:leader="none"/>
        </w:tabs>
        <w:spacing w:line="240" w:lineRule="auto" w:before="43" w:after="0"/>
        <w:ind w:left="714" w:right="0" w:hanging="576"/>
        <w:jc w:val="left"/>
      </w:pPr>
      <w:r>
        <w:rPr>
          <w:spacing w:val="-1"/>
        </w:rPr>
        <w:t>基本保险金额</w:t>
      </w:r>
    </w:p>
    <w:p>
      <w:pPr>
        <w:pStyle w:val="BodyText"/>
        <w:spacing w:line="273" w:lineRule="auto"/>
        <w:ind w:left="1610" w:right="128"/>
        <w:jc w:val="both"/>
      </w:pPr>
      <w:r>
        <w:rPr/>
        <w:t>本附加合同的基本保险金额由您于投保时与我们约定，并在保险单或批注上载明。若该金额经本附加合同其它条款修正而发生变更，则以变更后的金额为基本保险金额。</w:t>
      </w:r>
    </w:p>
    <w:p>
      <w:pPr>
        <w:pStyle w:val="Heading3"/>
        <w:numPr>
          <w:ilvl w:val="1"/>
          <w:numId w:val="4"/>
        </w:numPr>
        <w:tabs>
          <w:tab w:pos="714" w:val="left" w:leader="none"/>
          <w:tab w:pos="715" w:val="left" w:leader="none"/>
        </w:tabs>
        <w:spacing w:line="240" w:lineRule="auto" w:before="164" w:after="0"/>
        <w:ind w:left="714" w:right="0" w:hanging="576"/>
        <w:jc w:val="left"/>
      </w:pPr>
      <w:r>
        <w:rPr/>
        <w:t>保险期间</w:t>
      </w:r>
    </w:p>
    <w:p>
      <w:pPr>
        <w:pStyle w:val="BodyText"/>
        <w:spacing w:line="273" w:lineRule="auto"/>
        <w:ind w:left="1610" w:right="128"/>
        <w:jc w:val="both"/>
      </w:pPr>
      <w:r>
        <w:rPr/>
        <w:t>本附加合同的保险期间有六年、十年、十五年、二十年四种。自本附加合同生效日零时起至本附加合同约定的终止日零时止。您可以与我们约定其中一种保险期间并</w:t>
      </w:r>
    </w:p>
    <w:p>
      <w:pPr>
        <w:spacing w:after="0" w:line="273" w:lineRule="auto"/>
        <w:jc w:val="both"/>
        <w:sectPr>
          <w:pgSz w:w="11910" w:h="16840"/>
          <w:pgMar w:top="1420" w:bottom="280" w:left="1280" w:right="1320"/>
        </w:sectPr>
      </w:pPr>
    </w:p>
    <w:p>
      <w:pPr>
        <w:pStyle w:val="BodyText"/>
        <w:spacing w:before="9"/>
        <w:ind w:left="1590"/>
      </w:pPr>
      <w:r>
        <w:rPr/>
        <w:t>在保险单或批注上载明。</w:t>
      </w:r>
    </w:p>
    <w:p>
      <w:pPr>
        <w:pStyle w:val="BodyText"/>
        <w:spacing w:before="6"/>
        <w:rPr>
          <w:sz w:val="11"/>
        </w:rPr>
      </w:pPr>
    </w:p>
    <w:p>
      <w:pPr>
        <w:pStyle w:val="Heading3"/>
        <w:numPr>
          <w:ilvl w:val="1"/>
          <w:numId w:val="4"/>
        </w:numPr>
        <w:tabs>
          <w:tab w:pos="694" w:val="left" w:leader="none"/>
          <w:tab w:pos="695" w:val="left" w:leader="none"/>
        </w:tabs>
        <w:spacing w:line="240" w:lineRule="auto" w:before="43" w:after="0"/>
        <w:ind w:left="694" w:right="0" w:hanging="576"/>
        <w:jc w:val="left"/>
      </w:pPr>
      <w:r>
        <w:rPr/>
        <w:t>保险责任</w:t>
      </w:r>
    </w:p>
    <w:p>
      <w:pPr>
        <w:pStyle w:val="BodyText"/>
        <w:spacing w:before="9"/>
        <w:rPr>
          <w:b/>
          <w:sz w:val="10"/>
        </w:rPr>
      </w:pPr>
    </w:p>
    <w:p>
      <w:pPr>
        <w:pStyle w:val="BodyText"/>
        <w:spacing w:before="37"/>
        <w:ind w:left="1590"/>
      </w:pPr>
      <w:r>
        <w:rPr/>
        <w:t>在本附加合同有效期内，我们承担下列保险责任：</w:t>
      </w:r>
    </w:p>
    <w:p>
      <w:pPr>
        <w:pStyle w:val="BodyText"/>
        <w:spacing w:before="10"/>
        <w:rPr>
          <w:sz w:val="14"/>
        </w:rPr>
      </w:pPr>
    </w:p>
    <w:p>
      <w:pPr>
        <w:pStyle w:val="Heading3"/>
        <w:numPr>
          <w:ilvl w:val="2"/>
          <w:numId w:val="5"/>
        </w:numPr>
        <w:tabs>
          <w:tab w:pos="1065" w:val="left" w:leader="none"/>
        </w:tabs>
        <w:spacing w:line="240" w:lineRule="auto" w:before="0" w:after="0"/>
        <w:ind w:left="1064" w:right="0" w:hanging="569"/>
        <w:jc w:val="left"/>
      </w:pPr>
      <w:r>
        <w:rPr/>
        <w:t>首次重大疾病保险金</w:t>
      </w:r>
    </w:p>
    <w:p>
      <w:pPr>
        <w:pStyle w:val="BodyText"/>
        <w:spacing w:line="268" w:lineRule="auto" w:before="141"/>
        <w:ind w:left="1590" w:right="108"/>
        <w:jc w:val="both"/>
      </w:pPr>
      <w:r>
        <w:rPr>
          <w:spacing w:val="-2"/>
        </w:rPr>
        <w:t>如果被保险人因</w:t>
      </w:r>
      <w:r>
        <w:rPr>
          <w:b/>
          <w:spacing w:val="-1"/>
        </w:rPr>
        <w:t>意外伤害</w:t>
      </w:r>
      <w:r>
        <w:rPr>
          <w:spacing w:val="-3"/>
        </w:rPr>
        <w:t>事故或于本附加合同生效</w:t>
      </w:r>
      <w:r>
        <w:rPr/>
        <w:t>（</w:t>
      </w:r>
      <w:r>
        <w:rPr>
          <w:spacing w:val="-3"/>
        </w:rPr>
        <w:t>或最后一次复效，以较迟者为准</w:t>
      </w:r>
      <w:r>
        <w:rPr>
          <w:spacing w:val="-8"/>
        </w:rPr>
        <w:t>）</w:t>
      </w:r>
      <w:r>
        <w:rPr>
          <w:spacing w:val="-2"/>
        </w:rPr>
        <w:t>日起</w:t>
      </w:r>
      <w:r>
        <w:rPr>
          <w:rFonts w:ascii="黑体" w:hAnsi="黑体" w:eastAsia="黑体" w:hint="eastAsia"/>
          <w:spacing w:val="-2"/>
        </w:rPr>
        <w:t>九十天后</w:t>
      </w:r>
      <w:r>
        <w:rPr>
          <w:spacing w:val="-2"/>
        </w:rPr>
        <w:t>首次</w:t>
      </w:r>
      <w:r>
        <w:rPr>
          <w:b/>
        </w:rPr>
        <w:t>发病</w:t>
      </w:r>
      <w:r>
        <w:rPr>
          <w:spacing w:val="-3"/>
        </w:rPr>
        <w:t>，经我们</w:t>
      </w:r>
      <w:r>
        <w:rPr>
          <w:b/>
          <w:spacing w:val="-1"/>
        </w:rPr>
        <w:t>指定或认可的医院</w:t>
      </w:r>
      <w:r>
        <w:rPr>
          <w:spacing w:val="-3"/>
        </w:rPr>
        <w:t>的</w:t>
      </w:r>
      <w:r>
        <w:rPr>
          <w:b/>
        </w:rPr>
        <w:t>专科医生</w:t>
      </w:r>
      <w:r>
        <w:rPr>
          <w:spacing w:val="-3"/>
        </w:rPr>
        <w:t>确诊首次罹患本附加合同约定的</w:t>
      </w:r>
      <w:r>
        <w:rPr>
          <w:b/>
          <w:spacing w:val="-1"/>
        </w:rPr>
        <w:t>重大疾病</w:t>
      </w:r>
      <w:r>
        <w:rPr>
          <w:spacing w:val="-9"/>
        </w:rPr>
        <w:t>，则我们按基本保险金额给付</w:t>
      </w:r>
      <w:r>
        <w:rPr>
          <w:rFonts w:ascii="Times New Roman" w:hAnsi="Times New Roman" w:eastAsia="Times New Roman"/>
          <w:spacing w:val="-3"/>
        </w:rPr>
        <w:t>“</w:t>
      </w:r>
      <w:r>
        <w:rPr>
          <w:spacing w:val="-3"/>
        </w:rPr>
        <w:t>首次重大疾病保险金</w:t>
      </w:r>
      <w:r>
        <w:rPr>
          <w:rFonts w:ascii="Times New Roman" w:hAnsi="Times New Roman" w:eastAsia="Times New Roman"/>
        </w:rPr>
        <w:t>”(</w:t>
      </w:r>
      <w:r>
        <w:rPr>
          <w:rFonts w:ascii="黑体" w:hAnsi="黑体" w:eastAsia="黑体" w:hint="eastAsia"/>
        </w:rPr>
        <w:t>如果</w:t>
      </w:r>
      <w:r>
        <w:rPr>
          <w:rFonts w:ascii="黑体" w:hAnsi="黑体" w:eastAsia="黑体" w:hint="eastAsia"/>
          <w:spacing w:val="-3"/>
        </w:rPr>
        <w:t>被保险人同时确诊罹患一项以上</w:t>
      </w:r>
      <w:r>
        <w:rPr>
          <w:rFonts w:ascii="黑体" w:hAnsi="黑体" w:eastAsia="黑体" w:hint="eastAsia"/>
          <w:b/>
        </w:rPr>
        <w:t>重大疾病</w:t>
      </w:r>
      <w:r>
        <w:rPr>
          <w:rFonts w:ascii="黑体" w:hAnsi="黑体" w:eastAsia="黑体" w:hint="eastAsia"/>
          <w:spacing w:val="-3"/>
        </w:rPr>
        <w:t>时，该给付以一项为限</w:t>
      </w:r>
      <w:r>
        <w:rPr/>
        <w:t>）</w:t>
      </w:r>
      <w:r>
        <w:rPr>
          <w:spacing w:val="-3"/>
        </w:rPr>
        <w:t>予被保险人，同时本附加合同的</w:t>
      </w:r>
      <w:r>
        <w:rPr>
          <w:b/>
          <w:spacing w:val="-1"/>
        </w:rPr>
        <w:t>现金价值</w:t>
      </w:r>
      <w:r>
        <w:rPr>
          <w:spacing w:val="-3"/>
        </w:rPr>
        <w:t>和身故保险金减至为零。</w:t>
      </w:r>
    </w:p>
    <w:p>
      <w:pPr>
        <w:pStyle w:val="Heading3"/>
        <w:numPr>
          <w:ilvl w:val="2"/>
          <w:numId w:val="5"/>
        </w:numPr>
        <w:tabs>
          <w:tab w:pos="1065" w:val="left" w:leader="none"/>
        </w:tabs>
        <w:spacing w:line="240" w:lineRule="auto" w:before="167" w:after="0"/>
        <w:ind w:left="1064" w:right="0" w:hanging="569"/>
        <w:jc w:val="left"/>
      </w:pPr>
      <w:r>
        <w:rPr>
          <w:spacing w:val="-1"/>
        </w:rPr>
        <w:t>第二次重大疾病保险金</w:t>
      </w:r>
    </w:p>
    <w:p>
      <w:pPr>
        <w:pStyle w:val="BodyText"/>
        <w:spacing w:line="268" w:lineRule="auto" w:before="140"/>
        <w:ind w:left="1590" w:right="107"/>
        <w:jc w:val="both"/>
      </w:pPr>
      <w:r>
        <w:rPr/>
        <w:t>如果被保险人自首次重大疾病确诊之日起满</w:t>
      </w:r>
      <w:r>
        <w:rPr>
          <w:rFonts w:ascii="黑体" w:hAnsi="黑体" w:eastAsia="黑体" w:hint="eastAsia"/>
        </w:rPr>
        <w:t>三百六十五天</w:t>
      </w:r>
      <w:r>
        <w:rPr/>
        <w:t>后首次</w:t>
      </w:r>
      <w:r>
        <w:rPr>
          <w:b/>
        </w:rPr>
        <w:t>发病，</w:t>
      </w:r>
      <w:r>
        <w:rPr/>
        <w:t>经我们</w:t>
      </w:r>
      <w:r>
        <w:rPr>
          <w:b/>
        </w:rPr>
        <w:t>指定或认可的医院</w:t>
      </w:r>
      <w:r>
        <w:rPr/>
        <w:t>的</w:t>
      </w:r>
      <w:r>
        <w:rPr>
          <w:b/>
        </w:rPr>
        <w:t>专科医生</w:t>
      </w:r>
      <w:r>
        <w:rPr/>
        <w:t>确诊首次罹患首次重大疾病所属</w:t>
      </w:r>
      <w:r>
        <w:rPr>
          <w:b/>
        </w:rPr>
        <w:t>组别</w:t>
      </w:r>
      <w:r>
        <w:rPr/>
        <w:t>之外的、且本附加合同约定的重大疾病，则我们按基本保险金额给付</w:t>
      </w:r>
      <w:r>
        <w:rPr>
          <w:rFonts w:ascii="Times New Roman" w:hAnsi="Times New Roman" w:eastAsia="Times New Roman"/>
        </w:rPr>
        <w:t>“</w:t>
      </w:r>
      <w:r>
        <w:rPr/>
        <w:t>第二次重大疾病保险金</w:t>
      </w:r>
      <w:r>
        <w:rPr>
          <w:rFonts w:ascii="Times New Roman" w:hAnsi="Times New Roman" w:eastAsia="Times New Roman"/>
        </w:rPr>
        <w:t>”</w:t>
      </w:r>
      <w:r>
        <w:rPr/>
        <w:t>（</w:t>
      </w:r>
      <w:r>
        <w:rPr>
          <w:rFonts w:ascii="黑体" w:hAnsi="黑体" w:eastAsia="黑体" w:hint="eastAsia"/>
        </w:rPr>
        <w:t>如果被保险人同时确诊罹患一项以上</w:t>
      </w:r>
      <w:r>
        <w:rPr>
          <w:rFonts w:ascii="黑体" w:hAnsi="黑体" w:eastAsia="黑体" w:hint="eastAsia"/>
          <w:b/>
        </w:rPr>
        <w:t>重大疾病</w:t>
      </w:r>
      <w:r>
        <w:rPr>
          <w:rFonts w:ascii="黑体" w:hAnsi="黑体" w:eastAsia="黑体" w:hint="eastAsia"/>
        </w:rPr>
        <w:t>时，该给付以一项为限</w:t>
      </w:r>
      <w:r>
        <w:rPr/>
        <w:t>）予被保险人，本附加合同效力终止。</w:t>
      </w:r>
    </w:p>
    <w:p>
      <w:pPr>
        <w:pStyle w:val="Heading3"/>
        <w:numPr>
          <w:ilvl w:val="2"/>
          <w:numId w:val="5"/>
        </w:numPr>
        <w:tabs>
          <w:tab w:pos="1065" w:val="left" w:leader="none"/>
        </w:tabs>
        <w:spacing w:line="240" w:lineRule="auto" w:before="167" w:after="0"/>
        <w:ind w:left="1064" w:right="0" w:hanging="569"/>
        <w:jc w:val="left"/>
      </w:pPr>
      <w:r>
        <w:rPr/>
        <w:t>身故保险金</w:t>
      </w:r>
    </w:p>
    <w:p>
      <w:pPr>
        <w:pStyle w:val="BodyText"/>
        <w:spacing w:line="273" w:lineRule="auto" w:before="141"/>
        <w:ind w:left="1590" w:right="107"/>
        <w:jc w:val="both"/>
      </w:pPr>
      <w:r>
        <w:rPr/>
        <w:t>如果被保险人身故，则我们按基本保险金额给付“身故保险金”予身故保险金受益人，本附加合同效力终止。若被保险人已领取首次重大疾病保险金，我们不再给付身故保险金。</w:t>
      </w:r>
    </w:p>
    <w:p>
      <w:pPr>
        <w:pStyle w:val="Heading3"/>
        <w:numPr>
          <w:ilvl w:val="2"/>
          <w:numId w:val="5"/>
        </w:numPr>
        <w:tabs>
          <w:tab w:pos="1065" w:val="left" w:leader="none"/>
        </w:tabs>
        <w:spacing w:line="240" w:lineRule="auto" w:before="164" w:after="0"/>
        <w:ind w:left="1064" w:right="0" w:hanging="569"/>
        <w:jc w:val="left"/>
      </w:pPr>
      <w:r>
        <w:rPr/>
        <w:t>重大疾病保险费豁免</w:t>
      </w:r>
    </w:p>
    <w:p>
      <w:pPr>
        <w:pStyle w:val="BodyText"/>
        <w:spacing w:line="273" w:lineRule="auto" w:before="141"/>
        <w:ind w:left="1590" w:right="107"/>
        <w:jc w:val="both"/>
      </w:pPr>
      <w:r>
        <w:rPr/>
        <w:t>如果被保险人因</w:t>
      </w:r>
      <w:r>
        <w:rPr>
          <w:b/>
        </w:rPr>
        <w:t>意外伤害</w:t>
      </w:r>
      <w:r>
        <w:rPr/>
        <w:t>事故或于本附加合同生效（或最后一次复效，以较迟者为准）日起</w:t>
      </w:r>
      <w:r>
        <w:rPr>
          <w:rFonts w:ascii="黑体" w:eastAsia="黑体" w:hint="eastAsia"/>
        </w:rPr>
        <w:t>九十天后</w:t>
      </w:r>
      <w:r>
        <w:rPr/>
        <w:t>首次</w:t>
      </w:r>
      <w:r>
        <w:rPr>
          <w:b/>
        </w:rPr>
        <w:t>发病</w:t>
      </w:r>
      <w:r>
        <w:rPr/>
        <w:t>，经我们</w:t>
      </w:r>
      <w:r>
        <w:rPr>
          <w:b/>
        </w:rPr>
        <w:t>指定或认可的医院</w:t>
      </w:r>
      <w:r>
        <w:rPr/>
        <w:t>的</w:t>
      </w:r>
      <w:r>
        <w:rPr>
          <w:b/>
        </w:rPr>
        <w:t>专科医生</w:t>
      </w:r>
      <w:r>
        <w:rPr/>
        <w:t>确诊首次罹患本附加合同约定的</w:t>
      </w:r>
      <w:r>
        <w:rPr>
          <w:b/>
        </w:rPr>
        <w:t>重大疾病</w:t>
      </w:r>
      <w:r>
        <w:rPr/>
        <w:t>，则我们将豁免自首次重大疾病确诊之日后的下一个保单年度开始的本附加合同所应交纳的各期的保险费。</w:t>
      </w:r>
    </w:p>
    <w:p>
      <w:pPr>
        <w:pStyle w:val="Heading3"/>
        <w:numPr>
          <w:ilvl w:val="1"/>
          <w:numId w:val="5"/>
        </w:numPr>
        <w:tabs>
          <w:tab w:pos="694" w:val="left" w:leader="none"/>
          <w:tab w:pos="695" w:val="left" w:leader="none"/>
        </w:tabs>
        <w:spacing w:line="240" w:lineRule="auto" w:before="163" w:after="0"/>
        <w:ind w:left="694" w:right="0" w:hanging="576"/>
        <w:jc w:val="left"/>
        <w:rPr>
          <w:rFonts w:ascii="Times New Roman" w:eastAsia="Times New Roman"/>
        </w:rPr>
      </w:pPr>
      <w:r>
        <w:rPr/>
        <w:t>责任免除</w:t>
      </w:r>
    </w:p>
    <w:p>
      <w:pPr>
        <w:pStyle w:val="ListParagraph"/>
        <w:numPr>
          <w:ilvl w:val="2"/>
          <w:numId w:val="5"/>
        </w:numPr>
        <w:tabs>
          <w:tab w:pos="1065" w:val="left" w:leader="none"/>
        </w:tabs>
        <w:spacing w:line="240" w:lineRule="auto" w:before="177" w:after="0"/>
        <w:ind w:left="1064" w:right="0" w:hanging="569"/>
        <w:jc w:val="left"/>
        <w:rPr>
          <w:b/>
          <w:sz w:val="21"/>
        </w:rPr>
      </w:pPr>
      <w:r>
        <w:rPr>
          <w:rFonts w:ascii="Times New Roman" w:hAnsi="Times New Roman" w:eastAsia="Times New Roman"/>
          <w:b/>
          <w:sz w:val="21"/>
        </w:rPr>
        <w:t>“</w:t>
      </w:r>
      <w:r>
        <w:rPr>
          <w:b/>
          <w:sz w:val="21"/>
        </w:rPr>
        <w:t>身故保险金</w:t>
      </w:r>
      <w:r>
        <w:rPr>
          <w:rFonts w:ascii="Times New Roman" w:hAnsi="Times New Roman" w:eastAsia="Times New Roman"/>
          <w:b/>
          <w:spacing w:val="-3"/>
          <w:sz w:val="21"/>
        </w:rPr>
        <w:t>”</w:t>
      </w:r>
      <w:r>
        <w:rPr>
          <w:b/>
          <w:sz w:val="21"/>
        </w:rPr>
        <w:t>的责任免除</w:t>
      </w:r>
    </w:p>
    <w:p>
      <w:pPr>
        <w:pStyle w:val="BodyText"/>
        <w:spacing w:line="256" w:lineRule="auto" w:before="141"/>
        <w:ind w:left="1590" w:right="112"/>
        <w:jc w:val="both"/>
        <w:rPr>
          <w:rFonts w:ascii="黑体" w:hAnsi="黑体" w:eastAsia="黑体" w:hint="eastAsia"/>
        </w:rPr>
      </w:pPr>
      <w:r>
        <w:rPr>
          <w:rFonts w:ascii="黑体" w:hAnsi="黑体" w:eastAsia="黑体" w:hint="eastAsia"/>
          <w:spacing w:val="-10"/>
        </w:rPr>
        <w:t>在本附加合同有效期内，因下列原因之一导致被保险人身故，我们不承担给付</w:t>
      </w:r>
      <w:r>
        <w:rPr>
          <w:rFonts w:ascii="Times New Roman" w:hAnsi="Times New Roman" w:eastAsia="Times New Roman"/>
        </w:rPr>
        <w:t>“</w:t>
      </w:r>
      <w:r>
        <w:rPr>
          <w:rFonts w:ascii="黑体" w:hAnsi="黑体" w:eastAsia="黑体" w:hint="eastAsia"/>
          <w:spacing w:val="-3"/>
        </w:rPr>
        <w:t>身故</w:t>
      </w:r>
      <w:r>
        <w:rPr>
          <w:rFonts w:ascii="黑体" w:hAnsi="黑体" w:eastAsia="黑体" w:hint="eastAsia"/>
          <w:spacing w:val="-2"/>
        </w:rPr>
        <w:t>保险金</w:t>
      </w:r>
      <w:r>
        <w:rPr>
          <w:rFonts w:ascii="Times New Roman" w:hAnsi="Times New Roman" w:eastAsia="Times New Roman"/>
        </w:rPr>
        <w:t>”</w:t>
      </w:r>
      <w:r>
        <w:rPr>
          <w:rFonts w:ascii="黑体" w:hAnsi="黑体" w:eastAsia="黑体" w:hint="eastAsia"/>
          <w:spacing w:val="-3"/>
        </w:rPr>
        <w:t>的责任：</w:t>
      </w:r>
    </w:p>
    <w:p>
      <w:pPr>
        <w:pStyle w:val="ListParagraph"/>
        <w:numPr>
          <w:ilvl w:val="3"/>
          <w:numId w:val="5"/>
        </w:numPr>
        <w:tabs>
          <w:tab w:pos="1876" w:val="left" w:leader="none"/>
        </w:tabs>
        <w:spacing w:line="240" w:lineRule="auto" w:before="160" w:after="0"/>
        <w:ind w:left="1875" w:right="0" w:hanging="317"/>
        <w:jc w:val="both"/>
        <w:rPr>
          <w:rFonts w:ascii="黑体" w:eastAsia="黑体" w:hint="eastAsia"/>
          <w:sz w:val="21"/>
        </w:rPr>
      </w:pPr>
      <w:r>
        <w:rPr>
          <w:rFonts w:ascii="黑体" w:eastAsia="黑体" w:hint="eastAsia"/>
          <w:spacing w:val="-3"/>
          <w:sz w:val="21"/>
        </w:rPr>
        <w:t>您对被保险人的故意杀害、故意伤害；</w:t>
      </w:r>
    </w:p>
    <w:p>
      <w:pPr>
        <w:pStyle w:val="ListParagraph"/>
        <w:numPr>
          <w:ilvl w:val="3"/>
          <w:numId w:val="5"/>
        </w:numPr>
        <w:tabs>
          <w:tab w:pos="1876" w:val="left" w:leader="none"/>
        </w:tabs>
        <w:spacing w:line="240" w:lineRule="auto" w:before="176" w:after="0"/>
        <w:ind w:left="1875" w:right="0" w:hanging="317"/>
        <w:jc w:val="both"/>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3"/>
          <w:numId w:val="5"/>
        </w:numPr>
        <w:tabs>
          <w:tab w:pos="1876" w:val="left" w:leader="none"/>
        </w:tabs>
        <w:spacing w:line="256" w:lineRule="auto" w:before="177" w:after="0"/>
        <w:ind w:left="1875" w:right="110" w:hanging="317"/>
        <w:jc w:val="left"/>
        <w:rPr>
          <w:rFonts w:ascii="黑体" w:eastAsia="黑体" w:hint="eastAsia"/>
          <w:sz w:val="21"/>
        </w:rPr>
      </w:pPr>
      <w:r>
        <w:rPr>
          <w:rFonts w:ascii="黑体" w:eastAsia="黑体" w:hint="eastAsia"/>
          <w:spacing w:val="-6"/>
          <w:sz w:val="21"/>
        </w:rPr>
        <w:t>被保险人自本附加合同成立或者合同效力恢复之日起两年内自杀，但被保险人自</w:t>
      </w:r>
      <w:r>
        <w:rPr>
          <w:rFonts w:ascii="黑体" w:eastAsia="黑体" w:hint="eastAsia"/>
          <w:spacing w:val="-4"/>
          <w:sz w:val="21"/>
        </w:rPr>
        <w:t>杀时为无民事行为能力人的除外；</w:t>
      </w:r>
    </w:p>
    <w:p>
      <w:pPr>
        <w:pStyle w:val="ListParagraph"/>
        <w:numPr>
          <w:ilvl w:val="3"/>
          <w:numId w:val="5"/>
        </w:numPr>
        <w:tabs>
          <w:tab w:pos="1876" w:val="left" w:leader="none"/>
        </w:tabs>
        <w:spacing w:line="240" w:lineRule="auto" w:before="178" w:after="0"/>
        <w:ind w:left="1875" w:right="0" w:hanging="317"/>
        <w:jc w:val="both"/>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3"/>
          <w:numId w:val="5"/>
        </w:numPr>
        <w:tabs>
          <w:tab w:pos="1876" w:val="left" w:leader="none"/>
        </w:tabs>
        <w:spacing w:line="240" w:lineRule="auto" w:before="177" w:after="0"/>
        <w:ind w:left="1875" w:right="0" w:hanging="317"/>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3"/>
          <w:numId w:val="5"/>
        </w:numPr>
        <w:tabs>
          <w:tab w:pos="1876" w:val="left" w:leader="none"/>
        </w:tabs>
        <w:spacing w:line="240" w:lineRule="auto" w:before="177" w:after="0"/>
        <w:ind w:left="1875" w:right="0" w:hanging="317"/>
        <w:jc w:val="both"/>
        <w:rPr>
          <w:rFonts w:ascii="黑体" w:eastAsia="黑体" w:hint="eastAsia"/>
          <w:sz w:val="21"/>
        </w:rPr>
      </w:pPr>
      <w:r>
        <w:rPr>
          <w:rFonts w:ascii="黑体" w:eastAsia="黑体" w:hint="eastAsia"/>
          <w:spacing w:val="-3"/>
          <w:sz w:val="21"/>
        </w:rPr>
        <w:t>战争、军事冲突、暴乱或武装叛乱；</w:t>
      </w:r>
    </w:p>
    <w:p>
      <w:pPr>
        <w:spacing w:after="0" w:line="240" w:lineRule="auto"/>
        <w:jc w:val="both"/>
        <w:rPr>
          <w:rFonts w:ascii="黑体" w:eastAsia="黑体" w:hint="eastAsia"/>
          <w:sz w:val="21"/>
        </w:rPr>
        <w:sectPr>
          <w:pgSz w:w="11910" w:h="16840"/>
          <w:pgMar w:top="1400" w:bottom="280" w:left="1300" w:right="1340"/>
        </w:sectPr>
      </w:pPr>
    </w:p>
    <w:p>
      <w:pPr>
        <w:pStyle w:val="ListParagraph"/>
        <w:numPr>
          <w:ilvl w:val="3"/>
          <w:numId w:val="5"/>
        </w:numPr>
        <w:tabs>
          <w:tab w:pos="1896" w:val="left" w:leader="none"/>
        </w:tabs>
        <w:spacing w:line="240" w:lineRule="auto" w:before="29" w:after="0"/>
        <w:ind w:left="1895" w:right="0" w:hanging="317"/>
        <w:jc w:val="left"/>
        <w:rPr>
          <w:rFonts w:ascii="黑体" w:eastAsia="黑体" w:hint="eastAsia"/>
          <w:sz w:val="21"/>
        </w:rPr>
      </w:pPr>
      <w:r>
        <w:rPr>
          <w:rFonts w:ascii="黑体" w:eastAsia="黑体" w:hint="eastAsia"/>
          <w:spacing w:val="-3"/>
          <w:sz w:val="21"/>
        </w:rPr>
        <w:t>核爆炸、核辐射或核污染。</w:t>
      </w:r>
    </w:p>
    <w:p>
      <w:pPr>
        <w:pStyle w:val="BodyText"/>
        <w:spacing w:line="273" w:lineRule="auto"/>
        <w:ind w:left="1581" w:right="132"/>
        <w:rPr>
          <w:rFonts w:ascii="黑体" w:eastAsia="黑体" w:hint="eastAsia"/>
        </w:rPr>
      </w:pPr>
      <w:r>
        <w:rPr>
          <w:rFonts w:ascii="黑体" w:eastAsia="黑体" w:hint="eastAsia"/>
        </w:rPr>
        <w:t>发Th上述第１项情形导致被保险人身故的，本附加合同效力终止，您已交足两年以上保险费的，我们向除您以外的身故保险金受益人退还本附加合同的</w:t>
      </w:r>
      <w:r>
        <w:rPr>
          <w:rFonts w:ascii="黑体" w:eastAsia="黑体" w:hint="eastAsia"/>
          <w:b/>
        </w:rPr>
        <w:t>现金价值</w:t>
      </w:r>
      <w:r>
        <w:rPr>
          <w:rFonts w:ascii="黑体" w:eastAsia="黑体" w:hint="eastAsia"/>
        </w:rPr>
        <w:t>。</w:t>
      </w:r>
    </w:p>
    <w:p>
      <w:pPr>
        <w:pStyle w:val="BodyText"/>
        <w:spacing w:line="273" w:lineRule="auto" w:before="163"/>
        <w:ind w:left="1581" w:right="132"/>
        <w:rPr>
          <w:rFonts w:ascii="黑体" w:eastAsia="黑体" w:hint="eastAsia"/>
        </w:rPr>
      </w:pPr>
      <w:r>
        <w:rPr>
          <w:rFonts w:ascii="黑体" w:eastAsia="黑体" w:hint="eastAsia"/>
        </w:rPr>
        <w:t>发Th上述其他情形导致被保险人身故的，本附加合同效力终止，我们向您退还本附加合同的</w:t>
      </w:r>
      <w:r>
        <w:rPr>
          <w:rFonts w:ascii="黑体" w:eastAsia="黑体" w:hint="eastAsia"/>
          <w:b/>
        </w:rPr>
        <w:t>现金价值</w:t>
      </w:r>
      <w:r>
        <w:rPr>
          <w:rFonts w:ascii="黑体" w:eastAsia="黑体" w:hint="eastAsia"/>
        </w:rPr>
        <w:t>。</w:t>
      </w:r>
    </w:p>
    <w:p>
      <w:pPr>
        <w:pStyle w:val="Heading3"/>
        <w:numPr>
          <w:ilvl w:val="2"/>
          <w:numId w:val="5"/>
        </w:numPr>
        <w:tabs>
          <w:tab w:pos="1085" w:val="left" w:leader="none"/>
        </w:tabs>
        <w:spacing w:line="240" w:lineRule="auto" w:before="163" w:after="0"/>
        <w:ind w:left="1084" w:right="0" w:hanging="569"/>
        <w:jc w:val="left"/>
      </w:pPr>
      <w:r>
        <w:rPr/>
        <w:t>除</w:t>
      </w:r>
      <w:r>
        <w:rPr>
          <w:rFonts w:ascii="Times New Roman" w:hAnsi="Times New Roman" w:eastAsia="Times New Roman"/>
          <w:spacing w:val="-3"/>
        </w:rPr>
        <w:t>“</w:t>
      </w:r>
      <w:r>
        <w:rPr/>
        <w:t>身故保险金</w:t>
      </w:r>
      <w:r>
        <w:rPr>
          <w:rFonts w:ascii="Times New Roman" w:hAnsi="Times New Roman" w:eastAsia="Times New Roman"/>
        </w:rPr>
        <w:t>”</w:t>
      </w:r>
      <w:r>
        <w:rPr>
          <w:spacing w:val="-1"/>
        </w:rPr>
        <w:t>外的各项保险金的责任免除</w:t>
      </w:r>
    </w:p>
    <w:p>
      <w:pPr>
        <w:pStyle w:val="BodyText"/>
        <w:spacing w:line="264" w:lineRule="auto" w:before="140"/>
        <w:ind w:left="1610" w:right="128"/>
        <w:jc w:val="both"/>
      </w:pPr>
      <w:r>
        <w:rPr>
          <w:rFonts w:ascii="黑体" w:hAnsi="黑体" w:eastAsia="黑体" w:hint="eastAsia"/>
          <w:spacing w:val="-3"/>
        </w:rPr>
        <w:t>在本附加合同有效期内，因下列原因之一导致被保险人罹患本附加合同约定的</w:t>
      </w:r>
      <w:r>
        <w:rPr>
          <w:rFonts w:ascii="黑体" w:hAnsi="黑体" w:eastAsia="黑体" w:hint="eastAsia"/>
          <w:b/>
        </w:rPr>
        <w:t>重大疾病</w:t>
      </w:r>
      <w:r>
        <w:rPr>
          <w:rFonts w:ascii="黑体" w:hAnsi="黑体" w:eastAsia="黑体" w:hint="eastAsia"/>
          <w:spacing w:val="-5"/>
        </w:rPr>
        <w:t>，我们不承担给付</w:t>
      </w:r>
      <w:r>
        <w:rPr>
          <w:rFonts w:ascii="Times New Roman" w:hAnsi="Times New Roman" w:eastAsia="Times New Roman"/>
        </w:rPr>
        <w:t>“</w:t>
      </w:r>
      <w:r>
        <w:rPr>
          <w:rFonts w:ascii="黑体" w:hAnsi="黑体" w:eastAsia="黑体" w:hint="eastAsia"/>
          <w:spacing w:val="-3"/>
        </w:rPr>
        <w:t>首次重大疾病保险金</w:t>
      </w:r>
      <w:r>
        <w:rPr>
          <w:rFonts w:ascii="Times New Roman" w:hAnsi="Times New Roman" w:eastAsia="Times New Roman"/>
          <w:spacing w:val="-3"/>
        </w:rPr>
        <w:t>”</w:t>
      </w:r>
      <w:r>
        <w:rPr>
          <w:rFonts w:ascii="黑体" w:hAnsi="黑体" w:eastAsia="黑体" w:hint="eastAsia"/>
          <w:spacing w:val="-15"/>
        </w:rPr>
        <w:t>、</w:t>
      </w:r>
      <w:r>
        <w:rPr>
          <w:rFonts w:ascii="Times New Roman" w:hAnsi="Times New Roman" w:eastAsia="Times New Roman"/>
          <w:spacing w:val="-3"/>
        </w:rPr>
        <w:t>“</w:t>
      </w:r>
      <w:r>
        <w:rPr>
          <w:rFonts w:ascii="黑体" w:hAnsi="黑体" w:eastAsia="黑体" w:hint="eastAsia"/>
          <w:spacing w:val="-3"/>
        </w:rPr>
        <w:t>第二次重大疾病保险金</w:t>
      </w:r>
      <w:r>
        <w:rPr>
          <w:rFonts w:ascii="Times New Roman" w:hAnsi="Times New Roman" w:eastAsia="Times New Roman"/>
          <w:spacing w:val="-3"/>
        </w:rPr>
        <w:t>”</w:t>
      </w:r>
      <w:r>
        <w:rPr>
          <w:rFonts w:ascii="黑体" w:hAnsi="黑体" w:eastAsia="黑体" w:hint="eastAsia"/>
          <w:spacing w:val="-15"/>
        </w:rPr>
        <w:t>、</w:t>
      </w:r>
      <w:r>
        <w:rPr>
          <w:rFonts w:ascii="Times New Roman" w:hAnsi="Times New Roman" w:eastAsia="Times New Roman"/>
          <w:spacing w:val="-3"/>
        </w:rPr>
        <w:t>“</w:t>
      </w:r>
      <w:r>
        <w:rPr>
          <w:rFonts w:ascii="黑体" w:hAnsi="黑体" w:eastAsia="黑体" w:hint="eastAsia"/>
        </w:rPr>
        <w:t>重大疾</w:t>
      </w:r>
      <w:r>
        <w:rPr>
          <w:rFonts w:ascii="黑体" w:hAnsi="黑体" w:eastAsia="黑体" w:hint="eastAsia"/>
          <w:spacing w:val="-3"/>
        </w:rPr>
        <w:t>病保险费豁免</w:t>
      </w:r>
      <w:r>
        <w:rPr>
          <w:rFonts w:ascii="Times New Roman" w:hAnsi="Times New Roman" w:eastAsia="Times New Roman"/>
          <w:spacing w:val="-3"/>
        </w:rPr>
        <w:t>”</w:t>
      </w:r>
      <w:r>
        <w:rPr>
          <w:rFonts w:ascii="黑体" w:hAnsi="黑体" w:eastAsia="黑体" w:hint="eastAsia"/>
          <w:spacing w:val="-2"/>
        </w:rPr>
        <w:t>的责任</w:t>
      </w:r>
      <w:r>
        <w:rPr/>
        <w:t>：</w:t>
      </w:r>
    </w:p>
    <w:p>
      <w:pPr>
        <w:pStyle w:val="ListParagraph"/>
        <w:numPr>
          <w:ilvl w:val="3"/>
          <w:numId w:val="5"/>
        </w:numPr>
        <w:tabs>
          <w:tab w:pos="1896" w:val="left" w:leader="none"/>
        </w:tabs>
        <w:spacing w:line="240" w:lineRule="auto" w:before="153" w:after="0"/>
        <w:ind w:left="1895" w:right="0" w:hanging="317"/>
        <w:jc w:val="both"/>
        <w:rPr>
          <w:rFonts w:ascii="黑体" w:eastAsia="黑体" w:hint="eastAsia"/>
          <w:sz w:val="21"/>
        </w:rPr>
      </w:pPr>
      <w:r>
        <w:rPr>
          <w:rFonts w:ascii="黑体" w:eastAsia="黑体" w:hint="eastAsia"/>
          <w:spacing w:val="-3"/>
          <w:sz w:val="21"/>
        </w:rPr>
        <w:t>您对被保险人的故意杀害、故意伤害；</w:t>
      </w:r>
    </w:p>
    <w:p>
      <w:pPr>
        <w:pStyle w:val="ListParagraph"/>
        <w:numPr>
          <w:ilvl w:val="3"/>
          <w:numId w:val="5"/>
        </w:numPr>
        <w:tabs>
          <w:tab w:pos="1896" w:val="left" w:leader="none"/>
        </w:tabs>
        <w:spacing w:line="240" w:lineRule="auto" w:before="177" w:after="0"/>
        <w:ind w:left="1895" w:right="0" w:hanging="338"/>
        <w:jc w:val="both"/>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3"/>
          <w:numId w:val="5"/>
        </w:numPr>
        <w:tabs>
          <w:tab w:pos="1896" w:val="left" w:leader="none"/>
        </w:tabs>
        <w:spacing w:line="240" w:lineRule="auto" w:before="176" w:after="0"/>
        <w:ind w:left="1895" w:right="0" w:hanging="338"/>
        <w:jc w:val="both"/>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3"/>
          <w:numId w:val="5"/>
        </w:numPr>
        <w:tabs>
          <w:tab w:pos="1896" w:val="left" w:leader="none"/>
        </w:tabs>
        <w:spacing w:line="240" w:lineRule="auto" w:before="176" w:after="0"/>
        <w:ind w:left="1895" w:right="0" w:hanging="338"/>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3"/>
          <w:numId w:val="5"/>
        </w:numPr>
        <w:tabs>
          <w:tab w:pos="1896" w:val="left" w:leader="none"/>
        </w:tabs>
        <w:spacing w:line="240" w:lineRule="auto" w:before="176" w:after="0"/>
        <w:ind w:left="1895" w:right="0" w:hanging="338"/>
        <w:jc w:val="both"/>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3"/>
          <w:numId w:val="5"/>
        </w:numPr>
        <w:tabs>
          <w:tab w:pos="1896" w:val="left" w:leader="none"/>
        </w:tabs>
        <w:spacing w:line="240" w:lineRule="auto" w:before="176" w:after="0"/>
        <w:ind w:left="1895" w:right="0" w:hanging="338"/>
        <w:jc w:val="both"/>
        <w:rPr>
          <w:rFonts w:ascii="黑体" w:eastAsia="黑体" w:hint="eastAsia"/>
          <w:sz w:val="21"/>
        </w:rPr>
      </w:pPr>
      <w:r>
        <w:rPr>
          <w:rFonts w:ascii="黑体" w:eastAsia="黑体" w:hint="eastAsia"/>
          <w:spacing w:val="-3"/>
          <w:sz w:val="21"/>
        </w:rPr>
        <w:t>战争、军事冲突、暴乱或武装叛乱；</w:t>
      </w:r>
    </w:p>
    <w:p>
      <w:pPr>
        <w:pStyle w:val="ListParagraph"/>
        <w:numPr>
          <w:ilvl w:val="3"/>
          <w:numId w:val="5"/>
        </w:numPr>
        <w:tabs>
          <w:tab w:pos="1896" w:val="left" w:leader="none"/>
        </w:tabs>
        <w:spacing w:line="240" w:lineRule="auto" w:before="176" w:after="0"/>
        <w:ind w:left="1895" w:right="0" w:hanging="338"/>
        <w:jc w:val="both"/>
        <w:rPr>
          <w:rFonts w:ascii="黑体" w:eastAsia="黑体" w:hint="eastAsia"/>
          <w:sz w:val="21"/>
        </w:rPr>
      </w:pPr>
      <w:r>
        <w:rPr>
          <w:rFonts w:ascii="黑体" w:eastAsia="黑体" w:hint="eastAsia"/>
          <w:spacing w:val="-3"/>
          <w:sz w:val="21"/>
        </w:rPr>
        <w:t>核爆炸、核辐射或核污染；</w:t>
      </w:r>
    </w:p>
    <w:p>
      <w:pPr>
        <w:pStyle w:val="Heading3"/>
        <w:numPr>
          <w:ilvl w:val="3"/>
          <w:numId w:val="5"/>
        </w:numPr>
        <w:tabs>
          <w:tab w:pos="1896" w:val="left" w:leader="none"/>
        </w:tabs>
        <w:spacing w:line="240" w:lineRule="auto" w:before="176" w:after="0"/>
        <w:ind w:left="1895" w:right="0" w:hanging="338"/>
        <w:jc w:val="both"/>
        <w:rPr>
          <w:rFonts w:ascii="黑体" w:eastAsia="黑体" w:hint="eastAsia"/>
          <w:b w:val="0"/>
        </w:rPr>
      </w:pPr>
      <w:r>
        <w:rPr>
          <w:rFonts w:ascii="黑体" w:eastAsia="黑体" w:hint="eastAsia"/>
          <w:spacing w:val="-2"/>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5"/>
        </w:numPr>
        <w:tabs>
          <w:tab w:pos="570" w:val="left" w:leader="none"/>
          <w:tab w:pos="571" w:val="left" w:leader="none"/>
        </w:tabs>
        <w:spacing w:line="240" w:lineRule="auto" w:before="0" w:after="0"/>
        <w:ind w:left="570" w:right="0" w:hanging="432"/>
        <w:jc w:val="left"/>
        <w:rPr>
          <w:rFonts w:ascii="Times New Roman" w:eastAsia="Times New Roman"/>
          <w:b/>
          <w:sz w:val="24"/>
        </w:rPr>
      </w:pPr>
      <w:r>
        <w:rPr/>
        <w:pict>
          <v:line style="position:absolute;mso-position-horizontal-relative:page;mso-position-vertical-relative:paragraph;z-index:1120;mso-wrap-distance-left:0;mso-wrap-distance-right:0" from="69.503998pt,19.295618pt" to="524.013998pt,19.295618pt" stroked="true" strokeweight="1.44pt" strokecolor="#000000">
            <v:stroke dashstyle="solid"/>
            <w10:wrap type="topAndBottom"/>
          </v:line>
        </w:pict>
      </w:r>
      <w:r>
        <w:rPr>
          <w:b/>
          <w:w w:val="95"/>
          <w:sz w:val="24"/>
        </w:rPr>
        <w:t>保险金的申请</w:t>
      </w:r>
    </w:p>
    <w:p>
      <w:pPr>
        <w:pStyle w:val="BodyText"/>
        <w:spacing w:before="5"/>
        <w:rPr>
          <w:b/>
          <w:sz w:val="5"/>
        </w:rPr>
      </w:pPr>
    </w:p>
    <w:p>
      <w:pPr>
        <w:pStyle w:val="ListParagraph"/>
        <w:numPr>
          <w:ilvl w:val="1"/>
          <w:numId w:val="6"/>
        </w:numPr>
        <w:tabs>
          <w:tab w:pos="714" w:val="left" w:leader="none"/>
          <w:tab w:pos="715" w:val="left" w:leader="none"/>
        </w:tabs>
        <w:spacing w:line="240" w:lineRule="auto" w:before="44" w:after="0"/>
        <w:ind w:left="714" w:right="0" w:hanging="576"/>
        <w:jc w:val="left"/>
        <w:rPr>
          <w:b/>
          <w:sz w:val="21"/>
        </w:rPr>
      </w:pPr>
      <w:r>
        <w:rPr>
          <w:b/>
          <w:sz w:val="21"/>
        </w:rPr>
        <w:t>受益人</w:t>
      </w:r>
    </w:p>
    <w:p>
      <w:pPr>
        <w:pStyle w:val="BodyText"/>
        <w:spacing w:before="10"/>
        <w:rPr>
          <w:b/>
          <w:sz w:val="10"/>
        </w:rPr>
      </w:pPr>
    </w:p>
    <w:p>
      <w:pPr>
        <w:pStyle w:val="BodyText"/>
        <w:spacing w:before="36"/>
        <w:ind w:left="1610"/>
      </w:pPr>
      <w:r>
        <w:rPr/>
        <w:t>您或者被保险人可以指定一人或多人为身故保险金受益人。</w:t>
      </w:r>
    </w:p>
    <w:p>
      <w:pPr>
        <w:pStyle w:val="BodyText"/>
        <w:spacing w:before="9"/>
        <w:rPr>
          <w:sz w:val="14"/>
        </w:rPr>
      </w:pPr>
    </w:p>
    <w:p>
      <w:pPr>
        <w:pStyle w:val="BodyText"/>
        <w:spacing w:line="273" w:lineRule="auto" w:before="0"/>
        <w:ind w:left="1610" w:right="128"/>
      </w:pPr>
      <w:r>
        <w:rPr/>
        <w:t>身故保险金受益人为多人时，可以确定受益顺序和受益份额；如果没有确定份额， 各受益人按照相等份额享有受益权。</w:t>
      </w:r>
    </w:p>
    <w:p>
      <w:pPr>
        <w:pStyle w:val="BodyText"/>
        <w:spacing w:line="273" w:lineRule="auto" w:before="163"/>
        <w:ind w:left="1610" w:right="128"/>
      </w:pPr>
      <w:r>
        <w:rPr/>
        <w:t>被保险人为无民事行为能力人或限制民事行为能力人的，可以由其监护人指定受益人。</w:t>
      </w:r>
    </w:p>
    <w:p>
      <w:pPr>
        <w:pStyle w:val="BodyText"/>
        <w:spacing w:line="273" w:lineRule="auto" w:before="163"/>
        <w:ind w:left="1610" w:right="128"/>
      </w:pPr>
      <w:r>
        <w:rPr/>
        <w:t>您或者被保险人可以变更身故保险金受益人并书面通知我们。我们收到变更受益人的书面通知后，在保险单或其他保险凭证上批注或附贴批单。</w:t>
      </w:r>
    </w:p>
    <w:p>
      <w:pPr>
        <w:pStyle w:val="BodyText"/>
        <w:spacing w:before="163"/>
        <w:ind w:left="1610"/>
      </w:pPr>
      <w:r>
        <w:rPr/>
        <w:t>您在指定和变更身故保险金受益人时，必须经过被保险人同意。</w:t>
      </w:r>
    </w:p>
    <w:p>
      <w:pPr>
        <w:pStyle w:val="BodyText"/>
        <w:spacing w:before="10"/>
        <w:rPr>
          <w:sz w:val="14"/>
        </w:rPr>
      </w:pPr>
    </w:p>
    <w:p>
      <w:pPr>
        <w:pStyle w:val="BodyText"/>
        <w:spacing w:line="273" w:lineRule="auto" w:before="0"/>
        <w:ind w:left="1610" w:right="128"/>
      </w:pPr>
      <w:r>
        <w:rPr>
          <w:spacing w:val="-16"/>
        </w:rPr>
        <w:t>被保险人身故后，有下列情形之一的，保险金作为被保险人的遗产，由我们依照《中</w:t>
      </w:r>
      <w:r>
        <w:rPr>
          <w:spacing w:val="-7"/>
        </w:rPr>
        <w:t>华人民共和国继承法》的规定履行给付保险金的义务：</w:t>
      </w:r>
    </w:p>
    <w:p>
      <w:pPr>
        <w:pStyle w:val="BodyText"/>
        <w:spacing w:before="163"/>
        <w:ind w:left="1610"/>
      </w:pPr>
      <w:r>
        <w:rPr>
          <w:rFonts w:ascii="Times New Roman" w:eastAsia="Times New Roman"/>
        </w:rPr>
        <w:t>1</w:t>
      </w:r>
      <w:r>
        <w:rPr/>
        <w:t>． 没有指定受益人，或者受益人指定不明无法确定的；</w:t>
      </w:r>
    </w:p>
    <w:p>
      <w:pPr>
        <w:pStyle w:val="BodyText"/>
        <w:spacing w:before="176"/>
        <w:ind w:left="1610"/>
      </w:pPr>
      <w:r>
        <w:rPr>
          <w:rFonts w:ascii="Times New Roman" w:eastAsia="Times New Roman"/>
        </w:rPr>
        <w:t>2</w:t>
      </w:r>
      <w:r>
        <w:rPr/>
        <w:t>． 受益人先于被保险人身故，没有其他受益人的；</w:t>
      </w:r>
    </w:p>
    <w:p>
      <w:pPr>
        <w:pStyle w:val="BodyText"/>
        <w:spacing w:before="176"/>
        <w:ind w:left="1610"/>
      </w:pPr>
      <w:r>
        <w:rPr>
          <w:rFonts w:ascii="Times New Roman" w:eastAsia="Times New Roman"/>
        </w:rPr>
        <w:t>3</w:t>
      </w:r>
      <w:r>
        <w:rPr/>
        <w:t>． 受益人依法丧失受益权或者放弃受益权，没有其他受益人的。</w:t>
      </w:r>
    </w:p>
    <w:p>
      <w:pPr>
        <w:spacing w:after="0"/>
        <w:sectPr>
          <w:pgSz w:w="11910" w:h="16840"/>
          <w:pgMar w:top="1380" w:bottom="280" w:left="1280" w:right="1320"/>
        </w:sectPr>
      </w:pPr>
    </w:p>
    <w:p>
      <w:pPr>
        <w:pStyle w:val="BodyText"/>
        <w:spacing w:line="273" w:lineRule="auto" w:before="9"/>
        <w:ind w:left="1590" w:right="208"/>
      </w:pPr>
      <w:r>
        <w:rPr/>
        <w:t>受益人与被保险人在同一事件中身故，且不能确定身故先后顺序的，推定受益人身故在先。</w:t>
      </w:r>
    </w:p>
    <w:p>
      <w:pPr>
        <w:pStyle w:val="BodyText"/>
        <w:spacing w:line="273" w:lineRule="auto" w:before="163"/>
        <w:ind w:left="1590" w:right="208"/>
        <w:rPr>
          <w:rFonts w:ascii="黑体" w:eastAsia="黑体" w:hint="eastAsia"/>
        </w:rPr>
      </w:pPr>
      <w:r>
        <w:rPr>
          <w:rFonts w:ascii="黑体" w:eastAsia="黑体" w:hint="eastAsia"/>
        </w:rPr>
        <w:t>受益人故意造成被保险人身故、伤残、疾病的，或者故意杀害被保险人未遂的，该受益人丧失受益权。</w:t>
      </w:r>
    </w:p>
    <w:p>
      <w:pPr>
        <w:pStyle w:val="Heading3"/>
        <w:numPr>
          <w:ilvl w:val="1"/>
          <w:numId w:val="6"/>
        </w:numPr>
        <w:tabs>
          <w:tab w:pos="694" w:val="left" w:leader="none"/>
          <w:tab w:pos="695" w:val="left" w:leader="none"/>
        </w:tabs>
        <w:spacing w:line="240" w:lineRule="auto" w:before="163" w:after="0"/>
        <w:ind w:left="694" w:right="0" w:hanging="576"/>
        <w:jc w:val="left"/>
      </w:pPr>
      <w:r>
        <w:rPr>
          <w:spacing w:val="-1"/>
        </w:rPr>
        <w:t>保险事故通知</w:t>
      </w:r>
    </w:p>
    <w:p>
      <w:pPr>
        <w:pStyle w:val="BodyText"/>
        <w:ind w:left="1590"/>
      </w:pPr>
      <w:r>
        <w:rPr/>
        <w:t>您、被保险人或受益人应于知道保险事故发生之日起十日内通知我们。</w:t>
      </w:r>
    </w:p>
    <w:p>
      <w:pPr>
        <w:pStyle w:val="BodyText"/>
        <w:spacing w:before="9"/>
        <w:rPr>
          <w:sz w:val="14"/>
        </w:rPr>
      </w:pPr>
    </w:p>
    <w:p>
      <w:pPr>
        <w:pStyle w:val="BodyText"/>
        <w:spacing w:line="273" w:lineRule="auto" w:before="1"/>
        <w:ind w:left="1590" w:right="102"/>
      </w:pPr>
      <w:r>
        <w:rPr>
          <w:rFonts w:ascii="黑体" w:eastAsia="黑体" w:hint="eastAsia"/>
          <w:spacing w:val="-10"/>
        </w:rPr>
        <w:t>如果您、被保险人或受益人故意或者因重大过失未及时通知，致使保险事故的性质、</w:t>
      </w:r>
      <w:r>
        <w:rPr>
          <w:rFonts w:ascii="黑体" w:eastAsia="黑体" w:hint="eastAsia"/>
          <w:spacing w:val="-11"/>
        </w:rPr>
        <w:t>原因、损失程度等难以确定的，我们对无法确定的部分，不承担给付保险金的责任， </w:t>
      </w:r>
      <w:r>
        <w:rPr>
          <w:spacing w:val="-6"/>
        </w:rPr>
        <w:t>但我们通过其他途径已经及时知道或者应当及时知道保险事故发生或者虽未及时通</w:t>
      </w:r>
      <w:r>
        <w:rPr>
          <w:spacing w:val="-4"/>
        </w:rPr>
        <w:t>知但不影响我们确定保险事故的性质、原因、损失程度的除外。</w:t>
      </w:r>
    </w:p>
    <w:p>
      <w:pPr>
        <w:pStyle w:val="Heading3"/>
        <w:numPr>
          <w:ilvl w:val="1"/>
          <w:numId w:val="6"/>
        </w:numPr>
        <w:tabs>
          <w:tab w:pos="694" w:val="left" w:leader="none"/>
          <w:tab w:pos="695" w:val="left" w:leader="none"/>
        </w:tabs>
        <w:spacing w:line="240" w:lineRule="auto" w:before="164" w:after="0"/>
        <w:ind w:left="694" w:right="0" w:hanging="576"/>
        <w:jc w:val="left"/>
      </w:pPr>
      <w:r>
        <w:rPr/>
        <w:t>保险金申请</w:t>
      </w:r>
    </w:p>
    <w:p>
      <w:pPr>
        <w:pStyle w:val="BodyText"/>
        <w:spacing w:before="178"/>
        <w:ind w:left="1590"/>
      </w:pPr>
      <w:r>
        <w:rPr/>
        <w:t>若被保险人发生本附加合同约定的保险事故，请按照下列要求申请相应保险金：</w:t>
      </w:r>
    </w:p>
    <w:p>
      <w:pPr>
        <w:pStyle w:val="BodyText"/>
        <w:spacing w:before="10"/>
        <w:rPr>
          <w:sz w:val="14"/>
        </w:rPr>
      </w:pPr>
    </w:p>
    <w:p>
      <w:pPr>
        <w:pStyle w:val="ListParagraph"/>
        <w:numPr>
          <w:ilvl w:val="2"/>
          <w:numId w:val="6"/>
        </w:numPr>
        <w:tabs>
          <w:tab w:pos="1065" w:val="left" w:leader="none"/>
        </w:tabs>
        <w:spacing w:line="357" w:lineRule="auto" w:before="0" w:after="0"/>
        <w:ind w:left="1590" w:right="1257" w:hanging="1095"/>
        <w:jc w:val="left"/>
        <w:rPr>
          <w:sz w:val="21"/>
        </w:rPr>
      </w:pPr>
      <w:r>
        <w:rPr>
          <w:b/>
          <w:spacing w:val="-3"/>
          <w:sz w:val="21"/>
        </w:rPr>
        <w:t>首次重大疾病保险金、第二次重大疾病保险金、重大疾病保险费豁免申请  </w:t>
      </w:r>
      <w:r>
        <w:rPr>
          <w:spacing w:val="-3"/>
          <w:sz w:val="21"/>
        </w:rPr>
        <w:t>申请人应填写保险金给付申请书，并向我们提供下列证明和资料原件：</w:t>
      </w:r>
    </w:p>
    <w:p>
      <w:pPr>
        <w:pStyle w:val="BodyText"/>
        <w:spacing w:before="90"/>
        <w:ind w:left="1537"/>
      </w:pPr>
      <w:r>
        <w:rPr>
          <w:rFonts w:ascii="Times New Roman" w:eastAsia="Times New Roman"/>
        </w:rPr>
        <w:t>1</w:t>
      </w:r>
      <w:r>
        <w:rPr/>
        <w:t>． 保险合同；</w:t>
      </w:r>
    </w:p>
    <w:p>
      <w:pPr>
        <w:pStyle w:val="BodyText"/>
        <w:ind w:left="1537"/>
      </w:pPr>
      <w:r>
        <w:rPr>
          <w:rFonts w:ascii="Times New Roman" w:eastAsia="Times New Roman"/>
        </w:rPr>
        <w:t>2</w:t>
      </w:r>
      <w:r>
        <w:rPr/>
        <w:t>． 被保险人的有效身份证件；</w:t>
      </w:r>
    </w:p>
    <w:p>
      <w:pPr>
        <w:spacing w:line="256" w:lineRule="auto" w:before="177"/>
        <w:ind w:left="1962" w:right="213" w:hanging="425"/>
        <w:jc w:val="left"/>
        <w:rPr>
          <w:sz w:val="21"/>
        </w:rPr>
      </w:pPr>
      <w:r>
        <w:rPr>
          <w:rFonts w:ascii="Times New Roman" w:eastAsia="Times New Roman"/>
          <w:sz w:val="21"/>
        </w:rPr>
        <w:t>3</w:t>
      </w:r>
      <w:r>
        <w:rPr>
          <w:sz w:val="21"/>
        </w:rPr>
        <w:t>． 由我们</w:t>
      </w:r>
      <w:r>
        <w:rPr>
          <w:b/>
          <w:sz w:val="21"/>
        </w:rPr>
        <w:t>指定或认可的医院</w:t>
      </w:r>
      <w:r>
        <w:rPr>
          <w:sz w:val="21"/>
        </w:rPr>
        <w:t>的</w:t>
      </w:r>
      <w:r>
        <w:rPr>
          <w:b/>
          <w:sz w:val="21"/>
        </w:rPr>
        <w:t>专科医生</w:t>
      </w:r>
      <w:r>
        <w:rPr>
          <w:sz w:val="21"/>
        </w:rPr>
        <w:t>出具的病历、必须的病理检验、血液检查及其他科学诊断报告、诊断书或手术证明；</w:t>
      </w:r>
    </w:p>
    <w:p>
      <w:pPr>
        <w:pStyle w:val="BodyText"/>
        <w:spacing w:before="178"/>
        <w:ind w:left="1537"/>
      </w:pPr>
      <w:r>
        <w:rPr>
          <w:rFonts w:ascii="Times New Roman" w:eastAsia="Times New Roman"/>
        </w:rPr>
        <w:t>4</w:t>
      </w:r>
      <w:r>
        <w:rPr/>
        <w:t>． 司法鉴定机构所出具的被保险人伤残程度鉴定报告书；</w:t>
      </w:r>
    </w:p>
    <w:p>
      <w:pPr>
        <w:pStyle w:val="BodyText"/>
        <w:ind w:left="1537"/>
      </w:pPr>
      <w:r>
        <w:rPr>
          <w:rFonts w:ascii="Times New Roman" w:eastAsia="Times New Roman"/>
        </w:rPr>
        <w:t>5</w:t>
      </w:r>
      <w:r>
        <w:rPr/>
        <w:t>． 其它与确定保险事故的性质、原因等有关的证明和资料。</w:t>
      </w:r>
    </w:p>
    <w:p>
      <w:pPr>
        <w:pStyle w:val="Heading3"/>
        <w:numPr>
          <w:ilvl w:val="2"/>
          <w:numId w:val="6"/>
        </w:numPr>
        <w:tabs>
          <w:tab w:pos="1065" w:val="left" w:leader="none"/>
        </w:tabs>
        <w:spacing w:line="240" w:lineRule="auto" w:before="177" w:after="0"/>
        <w:ind w:left="1590" w:right="0" w:hanging="1095"/>
        <w:jc w:val="left"/>
      </w:pPr>
      <w:r>
        <w:rPr/>
        <w:t>身故保险金申请</w:t>
      </w:r>
    </w:p>
    <w:p>
      <w:pPr>
        <w:pStyle w:val="BodyText"/>
        <w:spacing w:before="141"/>
        <w:ind w:left="1590"/>
      </w:pPr>
      <w:r>
        <w:rPr/>
        <w:t>申请人应填写保险金给付申请书，并向我们提供下列证明和资料原件：</w:t>
      </w:r>
    </w:p>
    <w:p>
      <w:pPr>
        <w:pStyle w:val="BodyText"/>
        <w:spacing w:before="9"/>
        <w:rPr>
          <w:sz w:val="14"/>
        </w:rPr>
      </w:pPr>
    </w:p>
    <w:p>
      <w:pPr>
        <w:pStyle w:val="ListParagraph"/>
        <w:numPr>
          <w:ilvl w:val="3"/>
          <w:numId w:val="6"/>
        </w:numPr>
        <w:tabs>
          <w:tab w:pos="1978" w:val="left" w:leader="none"/>
          <w:tab w:pos="1979" w:val="left" w:leader="none"/>
        </w:tabs>
        <w:spacing w:line="240" w:lineRule="auto" w:before="0" w:after="0"/>
        <w:ind w:left="1962" w:right="0" w:hanging="425"/>
        <w:jc w:val="left"/>
        <w:rPr>
          <w:sz w:val="21"/>
        </w:rPr>
      </w:pPr>
      <w:r>
        <w:rPr>
          <w:spacing w:val="-1"/>
          <w:sz w:val="21"/>
        </w:rPr>
        <w:t>保险合同；</w:t>
      </w:r>
    </w:p>
    <w:p>
      <w:pPr>
        <w:pStyle w:val="ListParagraph"/>
        <w:numPr>
          <w:ilvl w:val="3"/>
          <w:numId w:val="6"/>
        </w:numPr>
        <w:tabs>
          <w:tab w:pos="1978" w:val="left" w:leader="none"/>
          <w:tab w:pos="1979" w:val="left" w:leader="none"/>
        </w:tabs>
        <w:spacing w:line="240" w:lineRule="auto" w:before="176" w:after="0"/>
        <w:ind w:left="1962" w:right="0" w:hanging="425"/>
        <w:jc w:val="left"/>
        <w:rPr>
          <w:sz w:val="21"/>
        </w:rPr>
      </w:pPr>
      <w:r>
        <w:rPr>
          <w:spacing w:val="-3"/>
          <w:sz w:val="21"/>
        </w:rPr>
        <w:t>身故保险金受益人的有效身份证件；</w:t>
      </w:r>
    </w:p>
    <w:p>
      <w:pPr>
        <w:pStyle w:val="ListParagraph"/>
        <w:numPr>
          <w:ilvl w:val="3"/>
          <w:numId w:val="6"/>
        </w:numPr>
        <w:tabs>
          <w:tab w:pos="1978" w:val="left" w:leader="none"/>
          <w:tab w:pos="1979" w:val="left" w:leader="none"/>
        </w:tabs>
        <w:spacing w:line="256" w:lineRule="auto" w:before="176" w:after="0"/>
        <w:ind w:left="1962" w:right="211" w:hanging="425"/>
        <w:jc w:val="left"/>
        <w:rPr>
          <w:sz w:val="21"/>
        </w:rPr>
      </w:pPr>
      <w:r>
        <w:rPr>
          <w:spacing w:val="-3"/>
          <w:sz w:val="21"/>
        </w:rPr>
        <w:t>国家卫生行政部门认定的医疗机构、公安部门或其他相关机构出具的被保险人的死亡证明；</w:t>
      </w:r>
    </w:p>
    <w:p>
      <w:pPr>
        <w:pStyle w:val="ListParagraph"/>
        <w:numPr>
          <w:ilvl w:val="3"/>
          <w:numId w:val="6"/>
        </w:numPr>
        <w:tabs>
          <w:tab w:pos="1978" w:val="left" w:leader="none"/>
          <w:tab w:pos="1979" w:val="left" w:leader="none"/>
        </w:tabs>
        <w:spacing w:line="240" w:lineRule="auto" w:before="178" w:after="0"/>
        <w:ind w:left="1962" w:right="0" w:hanging="425"/>
        <w:jc w:val="left"/>
        <w:rPr>
          <w:sz w:val="21"/>
        </w:rPr>
      </w:pPr>
      <w:r>
        <w:rPr>
          <w:spacing w:val="-3"/>
          <w:sz w:val="21"/>
        </w:rPr>
        <w:t>其它与确定保险事故的性质、原因等有关的证明和资料。</w:t>
      </w:r>
    </w:p>
    <w:p>
      <w:pPr>
        <w:pStyle w:val="BodyText"/>
        <w:ind w:left="1590"/>
      </w:pPr>
      <w:r>
        <w:rPr/>
        <w:t>保险金作为被保险人遗产时，还必须提供可证明合法继承权的相关权利文件。</w:t>
      </w:r>
    </w:p>
    <w:p>
      <w:pPr>
        <w:pStyle w:val="BodyText"/>
        <w:spacing w:before="10"/>
        <w:rPr>
          <w:sz w:val="14"/>
        </w:rPr>
      </w:pPr>
    </w:p>
    <w:p>
      <w:pPr>
        <w:pStyle w:val="BodyText"/>
        <w:spacing w:line="256" w:lineRule="auto" w:before="0"/>
        <w:ind w:left="1590" w:right="208"/>
      </w:pPr>
      <w:r>
        <w:rPr>
          <w:spacing w:val="-15"/>
        </w:rPr>
        <w:t>上述 </w:t>
      </w:r>
      <w:r>
        <w:rPr>
          <w:rFonts w:ascii="Times New Roman" w:eastAsia="Times New Roman"/>
        </w:rPr>
        <w:t>3.3.1 </w:t>
      </w:r>
      <w:r>
        <w:rPr>
          <w:spacing w:val="-23"/>
        </w:rPr>
        <w:t>至 </w:t>
      </w:r>
      <w:r>
        <w:rPr>
          <w:rFonts w:ascii="Times New Roman" w:eastAsia="Times New Roman"/>
        </w:rPr>
        <w:t>3.3.2 </w:t>
      </w:r>
      <w:r>
        <w:rPr>
          <w:spacing w:val="-3"/>
        </w:rPr>
        <w:t>中的证明和资料不完整的，我们将及时一次性通知申请人补充提供有关证明和资料。</w:t>
      </w:r>
    </w:p>
    <w:p>
      <w:pPr>
        <w:pStyle w:val="Heading3"/>
        <w:numPr>
          <w:ilvl w:val="1"/>
          <w:numId w:val="6"/>
        </w:numPr>
        <w:tabs>
          <w:tab w:pos="694" w:val="left" w:leader="none"/>
          <w:tab w:pos="695" w:val="left" w:leader="none"/>
        </w:tabs>
        <w:spacing w:line="240" w:lineRule="auto" w:before="178" w:after="0"/>
        <w:ind w:left="694" w:right="0" w:hanging="576"/>
        <w:jc w:val="left"/>
      </w:pPr>
      <w:r>
        <w:rPr/>
        <w:t>保险金给付</w:t>
      </w:r>
    </w:p>
    <w:p>
      <w:pPr>
        <w:pStyle w:val="BodyText"/>
        <w:spacing w:line="273" w:lineRule="auto"/>
        <w:ind w:left="1590" w:right="208"/>
      </w:pPr>
      <w:r>
        <w:rPr/>
        <w:t>我们在收到保险金给付申请书及合同约定的证明和资料后，将在五日内作出核定； 情形复杂的，在三十日内作出核定，但因第三方原因导致的延迟除外。</w:t>
      </w:r>
    </w:p>
    <w:p>
      <w:pPr>
        <w:spacing w:after="0" w:line="273" w:lineRule="auto"/>
        <w:sectPr>
          <w:pgSz w:w="11910" w:h="16840"/>
          <w:pgMar w:top="1400" w:bottom="280" w:left="1300" w:right="1240"/>
        </w:sectPr>
      </w:pPr>
    </w:p>
    <w:p>
      <w:pPr>
        <w:pStyle w:val="BodyText"/>
        <w:spacing w:line="273" w:lineRule="auto" w:before="9"/>
        <w:ind w:left="1610" w:right="102"/>
      </w:pPr>
      <w:r>
        <w:rPr>
          <w:spacing w:val="-12"/>
        </w:rPr>
        <w:t>对属于保险责任的，我们将在与被保险人或受益人达成给付保险金的协议后十日内， </w:t>
      </w:r>
      <w:r>
        <w:rPr>
          <w:spacing w:val="-6"/>
        </w:rPr>
        <w:t>履行给付保险金义务。</w:t>
      </w:r>
    </w:p>
    <w:p>
      <w:pPr>
        <w:pStyle w:val="BodyText"/>
        <w:spacing w:line="273" w:lineRule="auto" w:before="163"/>
        <w:ind w:left="1610" w:right="208"/>
        <w:jc w:val="both"/>
      </w:pPr>
      <w:r>
        <w:rPr/>
        <w:t>我们未及时履行前款规定义务的，除支付保险金外，应当赔偿被保险人或受益人因此受到的损失。</w:t>
      </w:r>
    </w:p>
    <w:p>
      <w:pPr>
        <w:pStyle w:val="BodyText"/>
        <w:spacing w:line="273" w:lineRule="auto" w:before="163"/>
        <w:ind w:left="1610" w:right="208"/>
        <w:jc w:val="both"/>
      </w:pPr>
      <w:r>
        <w:rPr/>
        <w:t>对不属于保险责任的，我们自作出核定之日起三日内向被保险人或受益人发出拒绝给付保险金通知书并说明理由。</w:t>
      </w:r>
    </w:p>
    <w:p>
      <w:pPr>
        <w:pStyle w:val="BodyText"/>
        <w:spacing w:line="273" w:lineRule="auto" w:before="163"/>
        <w:ind w:left="1610" w:right="208"/>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pStyle w:val="BodyText"/>
        <w:spacing w:before="2"/>
        <w:rPr>
          <w:sz w:val="9"/>
        </w:rPr>
      </w:pPr>
    </w:p>
    <w:p>
      <w:pPr>
        <w:pStyle w:val="Heading3"/>
        <w:numPr>
          <w:ilvl w:val="1"/>
          <w:numId w:val="6"/>
        </w:numPr>
        <w:tabs>
          <w:tab w:pos="714" w:val="left" w:leader="none"/>
          <w:tab w:pos="715" w:val="left" w:leader="none"/>
        </w:tabs>
        <w:spacing w:line="240" w:lineRule="auto" w:before="43" w:after="0"/>
        <w:ind w:left="714" w:right="0" w:hanging="576"/>
        <w:jc w:val="left"/>
      </w:pPr>
      <w:r>
        <w:rPr/>
        <w:t>诉讼时效</w:t>
      </w:r>
    </w:p>
    <w:p>
      <w:pPr>
        <w:pStyle w:val="BodyText"/>
        <w:spacing w:before="3"/>
        <w:rPr>
          <w:b/>
          <w:sz w:val="10"/>
        </w:rPr>
      </w:pPr>
    </w:p>
    <w:p>
      <w:pPr>
        <w:pStyle w:val="BodyText"/>
        <w:spacing w:line="261" w:lineRule="auto" w:before="43"/>
        <w:ind w:left="1610" w:right="208"/>
        <w:jc w:val="both"/>
      </w:pPr>
      <w:r>
        <w:rPr/>
        <w:t>受益人向我们请求给付</w:t>
      </w:r>
      <w:r>
        <w:rPr>
          <w:rFonts w:ascii="Times New Roman" w:hAnsi="Times New Roman" w:eastAsia="Times New Roman"/>
        </w:rPr>
        <w:t>“</w:t>
      </w:r>
      <w:r>
        <w:rPr/>
        <w:t>身故保险金</w:t>
      </w:r>
      <w:r>
        <w:rPr>
          <w:rFonts w:ascii="Times New Roman" w:hAnsi="Times New Roman" w:eastAsia="Times New Roman"/>
        </w:rPr>
        <w:t>”</w:t>
      </w:r>
      <w:r>
        <w:rPr/>
        <w:t>的诉讼时效期间为五年，自其知道或者应当知道保险事故发生之日起计算。除</w:t>
      </w:r>
      <w:r>
        <w:rPr>
          <w:rFonts w:ascii="Times New Roman" w:hAnsi="Times New Roman" w:eastAsia="Times New Roman"/>
        </w:rPr>
        <w:t>“</w:t>
      </w:r>
      <w:r>
        <w:rPr/>
        <w:t>身故保险金</w:t>
      </w:r>
      <w:r>
        <w:rPr>
          <w:rFonts w:ascii="Times New Roman" w:hAnsi="Times New Roman" w:eastAsia="Times New Roman"/>
        </w:rPr>
        <w:t>”</w:t>
      </w:r>
      <w:r>
        <w:rPr/>
        <w:t>外其他保险金，被保险人向我们请求给付保险金的诉讼时效期间为两年，自其知道或者应当知道保险事故发生之日起计算。</w:t>
      </w:r>
    </w:p>
    <w:p>
      <w:pPr>
        <w:pStyle w:val="Heading3"/>
        <w:numPr>
          <w:ilvl w:val="1"/>
          <w:numId w:val="6"/>
        </w:numPr>
        <w:tabs>
          <w:tab w:pos="714" w:val="left" w:leader="none"/>
          <w:tab w:pos="715" w:val="left" w:leader="none"/>
        </w:tabs>
        <w:spacing w:line="240" w:lineRule="auto" w:before="174" w:after="0"/>
        <w:ind w:left="714" w:right="0" w:hanging="576"/>
        <w:jc w:val="left"/>
      </w:pPr>
      <w:r>
        <w:rPr>
          <w:spacing w:val="-1"/>
        </w:rPr>
        <w:t>宣告死亡处理</w:t>
      </w:r>
    </w:p>
    <w:p>
      <w:pPr>
        <w:pStyle w:val="BodyText"/>
        <w:spacing w:line="273" w:lineRule="auto"/>
        <w:ind w:left="1610" w:right="208"/>
        <w:jc w:val="both"/>
      </w:pPr>
      <w:r>
        <w:rPr/>
        <w:t>在本附加合同有效期内，若被保险人失踪且经法院宣告为身故，我们按被保险人身故处理，给付</w:t>
      </w:r>
      <w:r>
        <w:rPr>
          <w:rFonts w:ascii="Times New Roman" w:hAnsi="Times New Roman" w:eastAsia="Times New Roman"/>
        </w:rPr>
        <w:t>“</w:t>
      </w:r>
      <w:r>
        <w:rPr/>
        <w:t>身故保险金</w:t>
      </w:r>
      <w:r>
        <w:rPr>
          <w:rFonts w:ascii="Times New Roman" w:hAnsi="Times New Roman" w:eastAsia="Times New Roman"/>
        </w:rPr>
        <w:t>”</w:t>
      </w:r>
      <w:r>
        <w:rPr/>
        <w:t>，本附加合同效力终止。</w:t>
      </w:r>
    </w:p>
    <w:p>
      <w:pPr>
        <w:pStyle w:val="BodyText"/>
        <w:spacing w:line="273" w:lineRule="auto" w:before="144"/>
        <w:ind w:left="1610" w:right="208"/>
        <w:jc w:val="both"/>
      </w:pPr>
      <w:r>
        <w:rPr/>
        <w:t>若日后发现被保险人重新出现或确知其下落时，保险金领取人应于知道后三十日内向我们返还已领取的</w:t>
      </w:r>
      <w:r>
        <w:rPr>
          <w:rFonts w:ascii="Times New Roman" w:hAnsi="Times New Roman" w:eastAsia="Times New Roman"/>
        </w:rPr>
        <w:t>“</w:t>
      </w:r>
      <w:r>
        <w:rPr/>
        <w:t>身故保险金</w:t>
      </w:r>
      <w:r>
        <w:rPr>
          <w:rFonts w:ascii="Times New Roman" w:hAnsi="Times New Roman" w:eastAsia="Times New Roman"/>
        </w:rPr>
        <w:t>”</w:t>
      </w:r>
      <w:r>
        <w:rPr/>
        <w:t>。本附加合同的效力由我们与您依法协商处理。</w:t>
      </w:r>
    </w:p>
    <w:p>
      <w:pPr>
        <w:pStyle w:val="BodyText"/>
        <w:spacing w:before="12"/>
        <w:rPr>
          <w:sz w:val="20"/>
        </w:rPr>
      </w:pPr>
    </w:p>
    <w:p>
      <w:pPr>
        <w:pStyle w:val="Heading2"/>
        <w:numPr>
          <w:ilvl w:val="0"/>
          <w:numId w:val="6"/>
        </w:numPr>
        <w:tabs>
          <w:tab w:pos="570" w:val="left" w:leader="none"/>
          <w:tab w:pos="571" w:val="left" w:leader="none"/>
        </w:tabs>
        <w:spacing w:line="240" w:lineRule="auto" w:before="1" w:after="0"/>
        <w:ind w:left="570" w:right="0" w:hanging="432"/>
        <w:jc w:val="left"/>
        <w:rPr>
          <w:rFonts w:ascii="Times New Roman" w:eastAsia="Times New Roman"/>
        </w:rPr>
      </w:pPr>
      <w:r>
        <w:rPr/>
        <w:pict>
          <v:line style="position:absolute;mso-position-horizontal-relative:page;mso-position-vertical-relative:paragraph;z-index:1144;mso-wrap-distance-left:0;mso-wrap-distance-right:0" from="69.503998pt,19.345631pt" to="524.013998pt,19.345631pt" stroked="true" strokeweight="1.44pt" strokecolor="#000000">
            <v:stroke dashstyle="solid"/>
            <w10:wrap type="topAndBottom"/>
          </v:line>
        </w:pict>
      </w:r>
      <w:r>
        <w:rPr>
          <w:w w:val="95"/>
        </w:rPr>
        <w:t>现金价值权益</w:t>
      </w:r>
    </w:p>
    <w:p>
      <w:pPr>
        <w:pStyle w:val="BodyText"/>
        <w:spacing w:before="5"/>
        <w:rPr>
          <w:b/>
          <w:sz w:val="5"/>
        </w:rPr>
      </w:pPr>
    </w:p>
    <w:p>
      <w:pPr>
        <w:pStyle w:val="Heading3"/>
        <w:numPr>
          <w:ilvl w:val="1"/>
          <w:numId w:val="6"/>
        </w:numPr>
        <w:tabs>
          <w:tab w:pos="714" w:val="left" w:leader="none"/>
          <w:tab w:pos="715" w:val="left" w:leader="none"/>
        </w:tabs>
        <w:spacing w:line="240" w:lineRule="auto" w:before="44" w:after="0"/>
        <w:ind w:left="714" w:right="0" w:hanging="576"/>
        <w:jc w:val="left"/>
      </w:pPr>
      <w:r>
        <w:rPr>
          <w:spacing w:val="-1"/>
        </w:rPr>
        <w:t>现金价值</w:t>
      </w:r>
    </w:p>
    <w:p>
      <w:pPr>
        <w:pStyle w:val="BodyText"/>
        <w:spacing w:before="3"/>
        <w:rPr>
          <w:b/>
          <w:sz w:val="10"/>
        </w:rPr>
      </w:pPr>
    </w:p>
    <w:p>
      <w:pPr>
        <w:pStyle w:val="BodyText"/>
        <w:spacing w:before="43"/>
        <w:ind w:left="1610"/>
        <w:rPr>
          <w:rFonts w:ascii="Times New Roman" w:hAnsi="Times New Roman" w:eastAsia="Times New Roman"/>
        </w:rPr>
      </w:pPr>
      <w:r>
        <w:rPr/>
        <w:t>本附加合同的</w:t>
      </w:r>
      <w:r>
        <w:rPr>
          <w:b/>
        </w:rPr>
        <w:t>现金价值</w:t>
      </w:r>
      <w:r>
        <w:rPr/>
        <w:t>会在保险单或批注上载明。在给付  </w:t>
      </w:r>
      <w:r>
        <w:rPr>
          <w:rFonts w:ascii="Times New Roman" w:hAnsi="Times New Roman" w:eastAsia="Times New Roman"/>
        </w:rPr>
        <w:t>“</w:t>
      </w:r>
      <w:r>
        <w:rPr/>
        <w:t>首次重大疾病保险金</w:t>
      </w:r>
      <w:r>
        <w:rPr>
          <w:rFonts w:ascii="Times New Roman" w:hAnsi="Times New Roman" w:eastAsia="Times New Roman"/>
        </w:rPr>
        <w:t>”</w:t>
      </w:r>
    </w:p>
    <w:p>
      <w:pPr>
        <w:spacing w:before="20"/>
        <w:ind w:left="1610" w:right="0" w:firstLine="0"/>
        <w:jc w:val="left"/>
        <w:rPr>
          <w:sz w:val="21"/>
        </w:rPr>
      </w:pPr>
      <w:r>
        <w:rPr>
          <w:sz w:val="21"/>
        </w:rPr>
        <w:t>后，本附加合同的</w:t>
      </w:r>
      <w:r>
        <w:rPr>
          <w:b/>
          <w:sz w:val="21"/>
        </w:rPr>
        <w:t>现金价值</w:t>
      </w:r>
      <w:r>
        <w:rPr>
          <w:sz w:val="21"/>
        </w:rPr>
        <w:t>减至为零。</w:t>
      </w:r>
    </w:p>
    <w:p>
      <w:pPr>
        <w:pStyle w:val="BodyText"/>
        <w:spacing w:before="5"/>
        <w:rPr>
          <w:sz w:val="11"/>
        </w:rPr>
      </w:pPr>
    </w:p>
    <w:p>
      <w:pPr>
        <w:pStyle w:val="Heading3"/>
        <w:numPr>
          <w:ilvl w:val="1"/>
          <w:numId w:val="6"/>
        </w:numPr>
        <w:tabs>
          <w:tab w:pos="714" w:val="left" w:leader="none"/>
          <w:tab w:pos="715" w:val="left" w:leader="none"/>
        </w:tabs>
        <w:spacing w:line="240" w:lineRule="auto" w:before="43" w:after="0"/>
        <w:ind w:left="714" w:right="0" w:hanging="576"/>
        <w:jc w:val="left"/>
      </w:pPr>
      <w:r>
        <w:rPr>
          <w:spacing w:val="-1"/>
        </w:rPr>
        <w:t>减额交清</w:t>
      </w:r>
    </w:p>
    <w:p>
      <w:pPr>
        <w:pStyle w:val="BodyText"/>
        <w:spacing w:before="9"/>
        <w:rPr>
          <w:b/>
          <w:sz w:val="10"/>
        </w:rPr>
      </w:pPr>
    </w:p>
    <w:p>
      <w:pPr>
        <w:pStyle w:val="BodyText"/>
        <w:spacing w:before="37"/>
        <w:ind w:left="1610"/>
      </w:pPr>
      <w:r>
        <w:rPr/>
        <w:t>本附加合同不提供减额交清。</w:t>
      </w:r>
    </w:p>
    <w:p>
      <w:pPr>
        <w:pStyle w:val="BodyText"/>
        <w:spacing w:before="2"/>
        <w:rPr>
          <w:sz w:val="22"/>
        </w:rPr>
      </w:pPr>
    </w:p>
    <w:p>
      <w:pPr>
        <w:pStyle w:val="Heading2"/>
        <w:numPr>
          <w:ilvl w:val="0"/>
          <w:numId w:val="6"/>
        </w:numPr>
        <w:tabs>
          <w:tab w:pos="570" w:val="left" w:leader="none"/>
          <w:tab w:pos="571" w:val="left" w:leader="none"/>
        </w:tabs>
        <w:spacing w:line="240" w:lineRule="auto" w:before="34" w:after="0"/>
        <w:ind w:left="570" w:right="0" w:hanging="432"/>
        <w:jc w:val="left"/>
        <w:rPr>
          <w:rFonts w:ascii="Times New Roman" w:eastAsia="Times New Roman"/>
        </w:rPr>
      </w:pPr>
      <w:r>
        <w:rPr/>
        <w:pict>
          <v:line style="position:absolute;mso-position-horizontal-relative:page;mso-position-vertical-relative:paragraph;z-index:1168;mso-wrap-distance-left:0;mso-wrap-distance-right:0" from="69.503998pt,20.995628pt" to="524.013998pt,20.995628pt" stroked="true" strokeweight="1.44pt" strokecolor="#000000">
            <v:stroke dashstyle="solid"/>
            <w10:wrap type="topAndBottom"/>
          </v:line>
        </w:pict>
      </w:r>
      <w:r>
        <w:rPr/>
        <w:t>解除合同</w:t>
      </w:r>
    </w:p>
    <w:p>
      <w:pPr>
        <w:pStyle w:val="BodyText"/>
        <w:spacing w:before="5"/>
        <w:rPr>
          <w:b/>
          <w:sz w:val="5"/>
        </w:rPr>
      </w:pPr>
    </w:p>
    <w:p>
      <w:pPr>
        <w:pStyle w:val="Heading3"/>
        <w:numPr>
          <w:ilvl w:val="1"/>
          <w:numId w:val="6"/>
        </w:numPr>
        <w:tabs>
          <w:tab w:pos="714" w:val="left" w:leader="none"/>
          <w:tab w:pos="715" w:val="left" w:leader="none"/>
        </w:tabs>
        <w:spacing w:line="240" w:lineRule="auto" w:before="43" w:after="0"/>
        <w:ind w:left="714" w:right="0" w:hanging="576"/>
        <w:jc w:val="left"/>
      </w:pPr>
      <w:r>
        <w:rPr>
          <w:spacing w:val="-1"/>
        </w:rPr>
        <w:t>您解除合同的手续及风险</w:t>
      </w:r>
    </w:p>
    <w:p>
      <w:pPr>
        <w:pStyle w:val="BodyText"/>
        <w:spacing w:line="273" w:lineRule="auto"/>
        <w:ind w:left="1610" w:right="208"/>
      </w:pPr>
      <w:r>
        <w:rPr/>
        <w:t>您于犹豫期后，可以向我们书面申请解除本附加合同，并向我们提供下列证明和资料：</w:t>
      </w:r>
    </w:p>
    <w:p>
      <w:pPr>
        <w:pStyle w:val="ListParagraph"/>
        <w:numPr>
          <w:ilvl w:val="0"/>
          <w:numId w:val="7"/>
        </w:numPr>
        <w:tabs>
          <w:tab w:pos="1896" w:val="left" w:leader="none"/>
        </w:tabs>
        <w:spacing w:line="240" w:lineRule="auto" w:before="164" w:after="0"/>
        <w:ind w:left="1895" w:right="0" w:hanging="338"/>
        <w:jc w:val="left"/>
        <w:rPr>
          <w:sz w:val="21"/>
        </w:rPr>
      </w:pPr>
      <w:r>
        <w:rPr>
          <w:spacing w:val="-1"/>
          <w:sz w:val="21"/>
        </w:rPr>
        <w:t>保险合同；</w:t>
      </w:r>
    </w:p>
    <w:p>
      <w:pPr>
        <w:pStyle w:val="ListParagraph"/>
        <w:numPr>
          <w:ilvl w:val="0"/>
          <w:numId w:val="7"/>
        </w:numPr>
        <w:tabs>
          <w:tab w:pos="1896" w:val="left" w:leader="none"/>
        </w:tabs>
        <w:spacing w:line="240" w:lineRule="auto" w:before="177" w:after="0"/>
        <w:ind w:left="1895" w:right="0" w:hanging="338"/>
        <w:jc w:val="left"/>
        <w:rPr>
          <w:sz w:val="21"/>
        </w:rPr>
      </w:pPr>
      <w:r>
        <w:rPr>
          <w:spacing w:val="-3"/>
          <w:sz w:val="21"/>
        </w:rPr>
        <w:t>解除合同申请书；</w:t>
      </w:r>
    </w:p>
    <w:p>
      <w:pPr>
        <w:pStyle w:val="ListParagraph"/>
        <w:numPr>
          <w:ilvl w:val="0"/>
          <w:numId w:val="7"/>
        </w:numPr>
        <w:tabs>
          <w:tab w:pos="1896" w:val="left" w:leader="none"/>
        </w:tabs>
        <w:spacing w:line="240" w:lineRule="auto" w:before="177" w:after="0"/>
        <w:ind w:left="1895" w:right="0" w:hanging="338"/>
        <w:jc w:val="left"/>
        <w:rPr>
          <w:sz w:val="21"/>
        </w:rPr>
      </w:pPr>
      <w:r>
        <w:rPr>
          <w:spacing w:val="-3"/>
          <w:sz w:val="21"/>
        </w:rPr>
        <w:t>您的有效身份证件。</w:t>
      </w:r>
    </w:p>
    <w:p>
      <w:pPr>
        <w:pStyle w:val="BodyText"/>
        <w:ind w:left="1610"/>
      </w:pPr>
      <w:r>
        <w:rPr/>
        <w:t>自我们收到您的解除合同申请书时起，本附加合同效力终止。我们自收到您的解除</w:t>
      </w:r>
    </w:p>
    <w:p>
      <w:pPr>
        <w:spacing w:after="0"/>
        <w:sectPr>
          <w:pgSz w:w="11910" w:h="16840"/>
          <w:pgMar w:top="1400" w:bottom="280" w:left="1280" w:right="1240"/>
        </w:sectPr>
      </w:pPr>
    </w:p>
    <w:p>
      <w:pPr>
        <w:pStyle w:val="BodyText"/>
        <w:spacing w:line="273" w:lineRule="auto" w:before="9"/>
        <w:ind w:left="1610" w:right="205"/>
      </w:pPr>
      <w:r>
        <w:rPr/>
        <w:t>合同申请书之日起三十日内，向您退还本附加合同解除时的</w:t>
      </w:r>
      <w:r>
        <w:rPr>
          <w:b/>
        </w:rPr>
        <w:t>现金价值</w:t>
      </w:r>
      <w:r>
        <w:rPr/>
        <w:t>。若有借款， 则先扣除未偿还的借款及借款利息。</w:t>
      </w:r>
    </w:p>
    <w:p>
      <w:pPr>
        <w:pStyle w:val="BodyText"/>
        <w:spacing w:before="163"/>
        <w:ind w:left="1610"/>
        <w:rPr>
          <w:rFonts w:ascii="黑体" w:eastAsia="黑体" w:hint="eastAsia"/>
        </w:rPr>
      </w:pPr>
      <w:r>
        <w:rPr>
          <w:rFonts w:ascii="黑体" w:eastAsia="黑体" w:hint="eastAsia"/>
        </w:rPr>
        <w:t>您犹豫期后解除合同会遭受一定损失。</w:t>
      </w:r>
    </w:p>
    <w:p>
      <w:pPr>
        <w:pStyle w:val="BodyText"/>
        <w:spacing w:before="9"/>
        <w:rPr>
          <w:rFonts w:ascii="黑体"/>
          <w:sz w:val="24"/>
        </w:rPr>
      </w:pPr>
    </w:p>
    <w:p>
      <w:pPr>
        <w:pStyle w:val="Heading2"/>
        <w:numPr>
          <w:ilvl w:val="0"/>
          <w:numId w:val="6"/>
        </w:numPr>
        <w:tabs>
          <w:tab w:pos="570" w:val="left" w:leader="none"/>
          <w:tab w:pos="571" w:val="left" w:leader="none"/>
        </w:tabs>
        <w:spacing w:line="240" w:lineRule="auto" w:before="0" w:after="0"/>
        <w:ind w:left="570" w:right="0" w:hanging="432"/>
        <w:jc w:val="left"/>
        <w:rPr>
          <w:rFonts w:ascii="Times New Roman" w:eastAsia="Times New Roman"/>
        </w:rPr>
      </w:pPr>
      <w:r>
        <w:rPr/>
        <w:pict>
          <v:line style="position:absolute;mso-position-horizontal-relative:page;mso-position-vertical-relative:paragraph;z-index:1192;mso-wrap-distance-left:0;mso-wrap-distance-right:0" from="69.503998pt,19.295643pt" to="524.013998pt,19.295643pt" stroked="true" strokeweight="1.44pt" strokecolor="#000000">
            <v:stroke dashstyle="solid"/>
            <w10:wrap type="topAndBottom"/>
          </v:line>
        </w:pict>
      </w:r>
      <w:r>
        <w:rPr>
          <w:w w:val="95"/>
        </w:rPr>
        <w:t>其他需要关注的事项</w:t>
      </w:r>
    </w:p>
    <w:p>
      <w:pPr>
        <w:pStyle w:val="BodyText"/>
        <w:spacing w:before="5"/>
        <w:rPr>
          <w:b/>
          <w:sz w:val="5"/>
        </w:rPr>
      </w:pPr>
    </w:p>
    <w:p>
      <w:pPr>
        <w:pStyle w:val="Heading3"/>
        <w:numPr>
          <w:ilvl w:val="1"/>
          <w:numId w:val="6"/>
        </w:numPr>
        <w:tabs>
          <w:tab w:pos="714" w:val="left" w:leader="none"/>
          <w:tab w:pos="715" w:val="left" w:leader="none"/>
        </w:tabs>
        <w:spacing w:line="240" w:lineRule="auto" w:before="43" w:after="0"/>
        <w:ind w:left="714" w:right="0" w:hanging="576"/>
        <w:jc w:val="left"/>
      </w:pPr>
      <w:r>
        <w:rPr/>
        <w:t>基本保险金额的变更</w:t>
      </w:r>
    </w:p>
    <w:p>
      <w:pPr>
        <w:pStyle w:val="BodyText"/>
        <w:spacing w:line="273" w:lineRule="auto"/>
        <w:ind w:left="1610" w:right="207"/>
        <w:jc w:val="both"/>
      </w:pPr>
      <w:r>
        <w:rPr/>
        <w:t>您在本附加合同有效期内，可提出变更本附加合同基本保险金额的书面申请，交纳上述变更所需的费用，经我们同意并在本附加合同上批注后生效。若申请增加本附加合同的基本保险金额，增加的基本保险金额所对应的保险责任自批注上所载的生效日的零时起生效；若申请减少本附加合同的基本保险金额，基本保险金额的减少部分视为解除合同，减少的基本保险金额所对应的保险责任自批注上所载的生效日的零时起效力终止，累计已交纳的保险费应以减少后的基本保险金额为基础计算。</w:t>
      </w:r>
    </w:p>
    <w:p>
      <w:pPr>
        <w:pStyle w:val="BodyText"/>
        <w:spacing w:before="7"/>
        <w:rPr>
          <w:sz w:val="22"/>
        </w:rPr>
      </w:pPr>
    </w:p>
    <w:p>
      <w:pPr>
        <w:pStyle w:val="Heading2"/>
        <w:numPr>
          <w:ilvl w:val="0"/>
          <w:numId w:val="6"/>
        </w:numPr>
        <w:tabs>
          <w:tab w:pos="570" w:val="left" w:leader="none"/>
          <w:tab w:pos="571" w:val="left" w:leader="none"/>
        </w:tabs>
        <w:spacing w:line="240" w:lineRule="auto" w:before="0" w:after="0"/>
        <w:ind w:left="570" w:right="0" w:hanging="432"/>
        <w:jc w:val="left"/>
        <w:rPr>
          <w:rFonts w:ascii="Times New Roman" w:eastAsia="Times New Roman"/>
        </w:rPr>
      </w:pPr>
      <w:r>
        <w:rPr/>
        <w:pict>
          <v:line style="position:absolute;mso-position-horizontal-relative:page;mso-position-vertical-relative:paragraph;z-index:1216;mso-wrap-distance-left:0;mso-wrap-distance-right:0" from="69.503998pt,19.295654pt" to="524.013998pt,19.295654pt" stroked="true" strokeweight="1.44pt" strokecolor="#000000">
            <v:stroke dashstyle="solid"/>
            <w10:wrap type="topAndBottom"/>
          </v:line>
        </w:pict>
      </w:r>
      <w:r>
        <w:rPr/>
        <w:t>释义</w:t>
      </w:r>
    </w:p>
    <w:p>
      <w:pPr>
        <w:pStyle w:val="BodyText"/>
        <w:spacing w:before="5"/>
        <w:rPr>
          <w:b/>
          <w:sz w:val="5"/>
        </w:rPr>
      </w:pPr>
    </w:p>
    <w:p>
      <w:pPr>
        <w:pStyle w:val="Heading3"/>
        <w:numPr>
          <w:ilvl w:val="1"/>
          <w:numId w:val="6"/>
        </w:numPr>
        <w:tabs>
          <w:tab w:pos="714" w:val="left" w:leader="none"/>
          <w:tab w:pos="715" w:val="left" w:leader="none"/>
        </w:tabs>
        <w:spacing w:line="240" w:lineRule="auto" w:before="43" w:after="0"/>
        <w:ind w:left="714" w:right="0" w:hanging="576"/>
        <w:jc w:val="left"/>
      </w:pPr>
      <w:r>
        <w:rPr/>
        <w:t>重大疾病</w:t>
      </w:r>
    </w:p>
    <w:p>
      <w:pPr>
        <w:pStyle w:val="BodyText"/>
        <w:spacing w:before="9"/>
        <w:rPr>
          <w:b/>
          <w:sz w:val="10"/>
        </w:rPr>
      </w:pPr>
    </w:p>
    <w:p>
      <w:pPr>
        <w:pStyle w:val="BodyText"/>
        <w:spacing w:line="273" w:lineRule="auto" w:before="37"/>
        <w:ind w:left="1610" w:right="207"/>
      </w:pPr>
      <w:r>
        <w:rPr/>
        <w:t>重大疾病指下列所定义的三十六项疾病或手术，其中前二十三种重大疾病采用中国保险行业协会颁布的《重大疾病保险的疾病定义使用规范》中的定义。</w:t>
      </w:r>
    </w:p>
    <w:p>
      <w:pPr>
        <w:pStyle w:val="Heading3"/>
        <w:numPr>
          <w:ilvl w:val="2"/>
          <w:numId w:val="6"/>
        </w:numPr>
        <w:tabs>
          <w:tab w:pos="1085" w:val="left" w:leader="none"/>
        </w:tabs>
        <w:spacing w:line="240" w:lineRule="auto" w:before="164" w:after="0"/>
        <w:ind w:left="1084" w:right="0" w:hanging="569"/>
        <w:jc w:val="left"/>
      </w:pPr>
      <w:r>
        <w:rPr/>
        <w:t>恶性肿瘤</w:t>
      </w:r>
    </w:p>
    <w:p>
      <w:pPr>
        <w:pStyle w:val="BodyText"/>
        <w:spacing w:line="266" w:lineRule="auto" w:before="141"/>
        <w:ind w:left="1610" w:right="102"/>
      </w:pPr>
      <w:r>
        <w:rPr>
          <w:spacing w:val="-8"/>
        </w:rPr>
        <w:t>指恶性细胞不受控制的进行性增长和扩散，浸润和破坏周围正常组织，可以经血管、</w:t>
      </w:r>
      <w:r>
        <w:rPr>
          <w:spacing w:val="-5"/>
        </w:rPr>
        <w:t>淋巴管和体腔扩散转移到身体其它部位的疾病。经病理学检查结果明确诊断，临床</w:t>
      </w:r>
      <w:r>
        <w:rPr>
          <w:spacing w:val="-6"/>
        </w:rPr>
        <w:t>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before="170"/>
        <w:ind w:left="1610"/>
        <w:rPr>
          <w:rFonts w:ascii="黑体" w:eastAsia="黑体" w:hint="eastAsia"/>
        </w:rPr>
      </w:pPr>
      <w:r>
        <w:rPr>
          <w:rFonts w:ascii="黑体" w:eastAsia="黑体" w:hint="eastAsia"/>
        </w:rPr>
        <w:t>下列疾病不在保障范围内：</w:t>
      </w:r>
    </w:p>
    <w:p>
      <w:pPr>
        <w:pStyle w:val="BodyText"/>
        <w:spacing w:before="9"/>
        <w:rPr>
          <w:rFonts w:ascii="黑体"/>
          <w:sz w:val="14"/>
        </w:rPr>
      </w:pPr>
    </w:p>
    <w:p>
      <w:pPr>
        <w:spacing w:before="1"/>
        <w:ind w:left="1610" w:right="0" w:firstLine="0"/>
        <w:jc w:val="left"/>
        <w:rPr>
          <w:rFonts w:ascii="黑体" w:eastAsia="黑体" w:hint="eastAsia"/>
          <w:sz w:val="21"/>
        </w:rPr>
      </w:pPr>
      <w:r>
        <w:rPr>
          <w:rFonts w:ascii="Times New Roman" w:eastAsia="Times New Roman"/>
          <w:sz w:val="21"/>
        </w:rPr>
        <w:t>1</w:t>
      </w:r>
      <w:r>
        <w:rPr>
          <w:rFonts w:ascii="黑体" w:eastAsia="黑体" w:hint="eastAsia"/>
          <w:sz w:val="21"/>
        </w:rPr>
        <w:t>． </w:t>
      </w:r>
      <w:r>
        <w:rPr>
          <w:rFonts w:ascii="黑体" w:eastAsia="黑体" w:hint="eastAsia"/>
          <w:b/>
          <w:sz w:val="21"/>
        </w:rPr>
        <w:t>原位癌</w:t>
      </w:r>
      <w:r>
        <w:rPr>
          <w:rFonts w:ascii="黑体" w:eastAsia="黑体" w:hint="eastAsia"/>
          <w:sz w:val="21"/>
        </w:rPr>
        <w:t>；</w:t>
      </w:r>
    </w:p>
    <w:p>
      <w:pPr>
        <w:pStyle w:val="BodyText"/>
        <w:ind w:left="1610"/>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 </w:t>
      </w:r>
      <w:r>
        <w:rPr>
          <w:rFonts w:ascii="Times New Roman" w:eastAsia="Times New Roman"/>
        </w:rPr>
        <w:t>A </w:t>
      </w:r>
      <w:r>
        <w:rPr>
          <w:rFonts w:ascii="黑体" w:eastAsia="黑体" w:hint="eastAsia"/>
        </w:rPr>
        <w:t>期程度的慢性淋巴细胞白血病；</w:t>
      </w:r>
    </w:p>
    <w:p>
      <w:pPr>
        <w:pStyle w:val="BodyText"/>
        <w:ind w:left="1610"/>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ind w:left="16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ind w:left="161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 </w:t>
      </w:r>
      <w:r>
        <w:rPr>
          <w:rFonts w:ascii="黑体" w:eastAsia="黑体" w:hint="eastAsia"/>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rFonts w:ascii="黑体" w:eastAsia="黑体" w:hint="eastAsia"/>
          <w:vertAlign w:val="baseline"/>
        </w:rPr>
        <w:t>期或更轻分期的前列腺癌；</w:t>
      </w:r>
    </w:p>
    <w:p>
      <w:pPr>
        <w:spacing w:before="177"/>
        <w:ind w:left="1610" w:right="0" w:firstLine="0"/>
        <w:jc w:val="left"/>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6"/>
        </w:numPr>
        <w:tabs>
          <w:tab w:pos="1085" w:val="left" w:leader="none"/>
        </w:tabs>
        <w:spacing w:line="240" w:lineRule="auto" w:before="177" w:after="0"/>
        <w:ind w:left="1084" w:right="0" w:hanging="569"/>
        <w:jc w:val="left"/>
      </w:pPr>
      <w:r>
        <w:rPr/>
        <w:t>急性心肌梗塞</w:t>
      </w:r>
    </w:p>
    <w:p>
      <w:pPr>
        <w:pStyle w:val="BodyText"/>
        <w:spacing w:line="273" w:lineRule="auto" w:before="142"/>
        <w:ind w:left="1610" w:right="208"/>
      </w:pPr>
      <w:r>
        <w:rPr/>
        <w:t>指因冠状动脉阻塞导致的相应区域供血不足造成部分心肌坏死。须满足下列至少三项条件：</w:t>
      </w:r>
    </w:p>
    <w:p>
      <w:pPr>
        <w:pStyle w:val="BodyText"/>
        <w:spacing w:before="164"/>
        <w:ind w:left="1610"/>
      </w:pPr>
      <w:r>
        <w:rPr>
          <w:rFonts w:ascii="Times New Roman" w:eastAsia="Times New Roman"/>
        </w:rPr>
        <w:t>1</w:t>
      </w:r>
      <w:r>
        <w:rPr/>
        <w:t>． 典型临床表现，例如急性胸痛等；</w:t>
      </w:r>
    </w:p>
    <w:p>
      <w:pPr>
        <w:pStyle w:val="BodyText"/>
        <w:ind w:left="1610"/>
      </w:pPr>
      <w:r>
        <w:rPr>
          <w:rFonts w:ascii="Times New Roman" w:eastAsia="Times New Roman"/>
        </w:rPr>
        <w:t>2</w:t>
      </w:r>
      <w:r>
        <w:rPr/>
        <w:t>． 新近的心电图改变提示急性心肌梗塞；</w:t>
      </w:r>
    </w:p>
    <w:p>
      <w:pPr>
        <w:pStyle w:val="BodyText"/>
        <w:spacing w:before="176"/>
        <w:ind w:left="1610"/>
      </w:pPr>
      <w:r>
        <w:rPr>
          <w:rFonts w:ascii="Times New Roman" w:eastAsia="Times New Roman"/>
        </w:rPr>
        <w:t>3</w:t>
      </w:r>
      <w:r>
        <w:rPr/>
        <w:t>． 心肌酶或肌钙蛋白有诊断意义的升高，或呈符合急性心肌梗塞的动态性变化；</w:t>
      </w:r>
    </w:p>
    <w:p>
      <w:pPr>
        <w:spacing w:after="0"/>
        <w:sectPr>
          <w:pgSz w:w="11910" w:h="16840"/>
          <w:pgMar w:top="1400" w:bottom="280" w:left="1280" w:right="1240"/>
        </w:sectPr>
      </w:pPr>
    </w:p>
    <w:p>
      <w:pPr>
        <w:pStyle w:val="BodyText"/>
        <w:spacing w:before="29"/>
        <w:ind w:left="1210"/>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6"/>
        </w:numPr>
        <w:tabs>
          <w:tab w:pos="685" w:val="left" w:leader="none"/>
        </w:tabs>
        <w:spacing w:line="240" w:lineRule="auto" w:before="177" w:after="0"/>
        <w:ind w:left="684" w:right="0" w:hanging="569"/>
        <w:jc w:val="left"/>
      </w:pPr>
      <w:r>
        <w:rPr/>
        <w:t>脑中风后遗症</w:t>
      </w:r>
    </w:p>
    <w:p>
      <w:pPr>
        <w:pStyle w:val="BodyText"/>
        <w:spacing w:line="264" w:lineRule="auto" w:before="140"/>
        <w:ind w:left="1210" w:right="208"/>
        <w:jc w:val="both"/>
      </w:pPr>
      <w:r>
        <w:rPr>
          <w:spacing w:val="-3"/>
        </w:rPr>
        <w:t>指因脑血管的突发病变引起脑血管出血、栓塞或梗塞，并导致神经系统永久性的功</w:t>
      </w:r>
      <w:r>
        <w:rPr>
          <w:spacing w:val="-5"/>
        </w:rPr>
        <w:t>能障碍。神经系统永久性的功能障碍，指疾病确诊 </w:t>
      </w:r>
      <w:r>
        <w:rPr>
          <w:rFonts w:ascii="Times New Roman" w:eastAsia="Times New Roman"/>
        </w:rPr>
        <w:t>180 </w:t>
      </w:r>
      <w:r>
        <w:rPr>
          <w:spacing w:val="-3"/>
        </w:rPr>
        <w:t>天后，仍遗留下列一种或一种以上障碍：</w:t>
      </w:r>
    </w:p>
    <w:p>
      <w:pPr>
        <w:spacing w:before="171"/>
        <w:ind w:left="1210"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7"/>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6"/>
        </w:numPr>
        <w:tabs>
          <w:tab w:pos="685" w:val="left" w:leader="none"/>
        </w:tabs>
        <w:spacing w:line="240" w:lineRule="auto" w:before="178" w:after="0"/>
        <w:ind w:left="684" w:right="0" w:hanging="569"/>
        <w:jc w:val="left"/>
      </w:pPr>
      <w:r>
        <w:rPr>
          <w:spacing w:val="-2"/>
        </w:rPr>
        <w:t>重大器官移植术或造血干细胞移植术</w:t>
      </w:r>
    </w:p>
    <w:p>
      <w:pPr>
        <w:pStyle w:val="BodyText"/>
        <w:spacing w:line="273" w:lineRule="auto" w:before="142"/>
        <w:ind w:left="1210" w:right="208"/>
      </w:pPr>
      <w:r>
        <w:rPr/>
        <w:t>重大器官移植术，指因相应器官功能衰竭，已经实施了肾脏、肝脏、心脏或肺脏的异体移植手术。</w:t>
      </w:r>
    </w:p>
    <w:p>
      <w:pPr>
        <w:pStyle w:val="BodyText"/>
        <w:spacing w:line="273" w:lineRule="auto" w:before="164"/>
        <w:ind w:left="1210" w:right="105"/>
      </w:pPr>
      <w:r>
        <w:rPr>
          <w:spacing w:val="-3"/>
        </w:rPr>
        <w:t>造血干细胞移植术，指因造血功能损害或造血系统恶性肿瘤，已经实施了造血干细</w:t>
      </w:r>
      <w:r>
        <w:rPr>
          <w:spacing w:val="-34"/>
        </w:rPr>
        <w:t>胞</w:t>
      </w:r>
      <w:r>
        <w:rPr>
          <w:spacing w:val="-3"/>
        </w:rPr>
        <w:t>（</w:t>
      </w:r>
      <w:r>
        <w:rPr>
          <w:spacing w:val="-7"/>
        </w:rPr>
        <w:t>包括骨髓造血干细胞、外周血造血干细胞和脐血造血干细胞</w:t>
      </w:r>
      <w:r>
        <w:rPr>
          <w:spacing w:val="-36"/>
        </w:rPr>
        <w:t>）</w:t>
      </w:r>
      <w:r>
        <w:rPr>
          <w:spacing w:val="-3"/>
        </w:rPr>
        <w:t>的异体移植手术。</w:t>
      </w:r>
    </w:p>
    <w:p>
      <w:pPr>
        <w:pStyle w:val="Heading3"/>
        <w:numPr>
          <w:ilvl w:val="2"/>
          <w:numId w:val="6"/>
        </w:numPr>
        <w:tabs>
          <w:tab w:pos="685" w:val="left" w:leader="none"/>
        </w:tabs>
        <w:spacing w:line="240" w:lineRule="auto" w:before="164" w:after="0"/>
        <w:ind w:left="684" w:right="0" w:hanging="569"/>
        <w:jc w:val="left"/>
      </w:pPr>
      <w:r>
        <w:rPr/>
        <w:t>冠状动脉搭桥术（</w:t>
      </w:r>
      <w:r>
        <w:rPr>
          <w:spacing w:val="-3"/>
        </w:rPr>
        <w:t>或称冠状动脉旁路移植术</w:t>
      </w:r>
      <w:r>
        <w:rPr/>
        <w:t>）</w:t>
      </w:r>
    </w:p>
    <w:p>
      <w:pPr>
        <w:pStyle w:val="BodyText"/>
        <w:spacing w:before="141"/>
        <w:ind w:left="1210"/>
      </w:pPr>
      <w:r>
        <w:rPr/>
        <w:t>指为治疗严重的冠心病，实际实施了开胸进行的冠状动脉血管旁路移植的手术。</w:t>
      </w:r>
    </w:p>
    <w:p>
      <w:pPr>
        <w:pStyle w:val="BodyText"/>
        <w:spacing w:before="9"/>
        <w:rPr>
          <w:sz w:val="14"/>
        </w:rPr>
      </w:pPr>
    </w:p>
    <w:p>
      <w:pPr>
        <w:pStyle w:val="BodyText"/>
        <w:spacing w:line="273" w:lineRule="auto" w:before="0"/>
        <w:ind w:left="1210" w:right="102"/>
        <w:rPr>
          <w:rFonts w:ascii="黑体" w:eastAsia="黑体" w:hint="eastAsia"/>
        </w:rPr>
      </w:pPr>
      <w:r>
        <w:rPr>
          <w:rFonts w:ascii="黑体" w:eastAsia="黑体" w:hint="eastAsia"/>
          <w:spacing w:val="-11"/>
        </w:rPr>
        <w:t>冠状动脉支架植入术、心导管球囊扩张术、激光射频技术及其它非开胸的介入手术、</w:t>
      </w:r>
      <w:r>
        <w:rPr>
          <w:rFonts w:ascii="黑体" w:eastAsia="黑体" w:hint="eastAsia"/>
          <w:spacing w:val="-6"/>
        </w:rPr>
        <w:t>腔镜手术不在保障范围内。</w:t>
      </w:r>
    </w:p>
    <w:p>
      <w:pPr>
        <w:pStyle w:val="Heading3"/>
        <w:numPr>
          <w:ilvl w:val="2"/>
          <w:numId w:val="6"/>
        </w:numPr>
        <w:tabs>
          <w:tab w:pos="685" w:val="left" w:leader="none"/>
        </w:tabs>
        <w:spacing w:line="240" w:lineRule="auto" w:before="163" w:after="0"/>
        <w:ind w:left="684" w:right="0" w:hanging="569"/>
        <w:jc w:val="left"/>
      </w:pPr>
      <w:r>
        <w:rPr/>
        <w:t>终末期肾病（</w:t>
      </w:r>
      <w:r>
        <w:rPr>
          <w:spacing w:val="-2"/>
        </w:rPr>
        <w:t>或称慢性肾功能衰竭尿毒症期</w:t>
      </w:r>
      <w:r>
        <w:rPr/>
        <w:t>）</w:t>
      </w:r>
    </w:p>
    <w:p>
      <w:pPr>
        <w:pStyle w:val="BodyText"/>
        <w:spacing w:line="256" w:lineRule="auto" w:before="141"/>
        <w:ind w:left="1210" w:right="207"/>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6"/>
        </w:numPr>
        <w:tabs>
          <w:tab w:pos="685" w:val="left" w:leader="none"/>
        </w:tabs>
        <w:spacing w:line="240" w:lineRule="auto" w:before="178" w:after="0"/>
        <w:ind w:left="684" w:right="0" w:hanging="569"/>
        <w:jc w:val="left"/>
      </w:pPr>
      <w:r>
        <w:rPr/>
        <w:t>多个肢体缺失</w:t>
      </w:r>
    </w:p>
    <w:p>
      <w:pPr>
        <w:pStyle w:val="BodyText"/>
        <w:spacing w:line="273" w:lineRule="auto" w:before="141"/>
        <w:ind w:left="1210" w:right="208"/>
      </w:pPr>
      <w:r>
        <w:rPr/>
        <w:t>指因疾病或</w:t>
      </w:r>
      <w:r>
        <w:rPr>
          <w:b/>
        </w:rPr>
        <w:t>意外伤害</w:t>
      </w:r>
      <w:r>
        <w:rPr/>
        <w:t>导致两个或两个以上肢体自腕关节或踝关节近端（靠近躯干端）以上完全性断离。</w:t>
      </w:r>
    </w:p>
    <w:p>
      <w:pPr>
        <w:pStyle w:val="Heading3"/>
        <w:numPr>
          <w:ilvl w:val="2"/>
          <w:numId w:val="6"/>
        </w:numPr>
        <w:tabs>
          <w:tab w:pos="685" w:val="left" w:leader="none"/>
        </w:tabs>
        <w:spacing w:line="240" w:lineRule="auto" w:before="163" w:after="0"/>
        <w:ind w:left="684" w:right="0" w:hanging="569"/>
        <w:jc w:val="left"/>
      </w:pPr>
      <w:r>
        <w:rPr>
          <w:spacing w:val="-1"/>
        </w:rPr>
        <w:t>急性或亚急性重症肝炎</w:t>
      </w:r>
    </w:p>
    <w:p>
      <w:pPr>
        <w:pStyle w:val="BodyText"/>
        <w:spacing w:line="273" w:lineRule="auto" w:before="140"/>
        <w:ind w:left="1210" w:right="208"/>
      </w:pPr>
      <w:r>
        <w:rPr/>
        <w:t>指因肝炎病毒感染引起肝脏组织弥漫性坏死，导致急性肝功能衰竭，且经血清学或病毒学检查证实，并须满足下列全部条件：</w:t>
      </w:r>
    </w:p>
    <w:p>
      <w:pPr>
        <w:pStyle w:val="BodyText"/>
        <w:spacing w:before="163"/>
        <w:ind w:left="1210"/>
      </w:pPr>
      <w:r>
        <w:rPr>
          <w:rFonts w:ascii="Times New Roman" w:eastAsia="Times New Roman"/>
        </w:rPr>
        <w:t>1</w:t>
      </w:r>
      <w:r>
        <w:rPr/>
        <w:t>． 重度黄疸或黄疸迅速加重；</w:t>
      </w:r>
    </w:p>
    <w:p>
      <w:pPr>
        <w:pStyle w:val="BodyText"/>
        <w:ind w:left="1210"/>
      </w:pPr>
      <w:r>
        <w:rPr>
          <w:rFonts w:ascii="Times New Roman" w:eastAsia="Times New Roman"/>
        </w:rPr>
        <w:t>2</w:t>
      </w:r>
      <w:r>
        <w:rPr/>
        <w:t>． 肝性脑病；</w:t>
      </w:r>
    </w:p>
    <w:p>
      <w:pPr>
        <w:pStyle w:val="BodyText"/>
        <w:ind w:left="1210"/>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6"/>
        <w:ind w:left="1210"/>
      </w:pPr>
      <w:r>
        <w:rPr>
          <w:rFonts w:ascii="Times New Roman" w:eastAsia="Times New Roman"/>
        </w:rPr>
        <w:t>4</w:t>
      </w:r>
      <w:r>
        <w:rPr/>
        <w:t>． 肝功能指标进行性恶化。</w:t>
      </w:r>
    </w:p>
    <w:p>
      <w:pPr>
        <w:pStyle w:val="Heading3"/>
        <w:numPr>
          <w:ilvl w:val="2"/>
          <w:numId w:val="6"/>
        </w:numPr>
        <w:tabs>
          <w:tab w:pos="685" w:val="left" w:leader="none"/>
        </w:tabs>
        <w:spacing w:line="240" w:lineRule="auto" w:before="176" w:after="0"/>
        <w:ind w:left="684" w:right="0" w:hanging="569"/>
        <w:jc w:val="left"/>
      </w:pPr>
      <w:r>
        <w:rPr/>
        <w:t>良性脑肿瘤</w:t>
      </w:r>
    </w:p>
    <w:p>
      <w:pPr>
        <w:pStyle w:val="BodyText"/>
        <w:spacing w:line="273" w:lineRule="auto" w:before="140"/>
        <w:ind w:left="1210" w:right="107"/>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p>
    <w:p>
      <w:pPr>
        <w:spacing w:after="0" w:line="273" w:lineRule="auto"/>
        <w:sectPr>
          <w:pgSz w:w="11910" w:h="16840"/>
          <w:pgMar w:top="1380" w:bottom="280" w:left="1680" w:right="1240"/>
        </w:sectPr>
      </w:pPr>
    </w:p>
    <w:p>
      <w:pPr>
        <w:pStyle w:val="BodyText"/>
        <w:spacing w:before="29"/>
        <w:ind w:left="1210"/>
      </w:pPr>
      <w:r>
        <w:rPr/>
        <w:t>或正电子发射断层扫描（</w:t>
      </w:r>
      <w:r>
        <w:rPr>
          <w:rFonts w:ascii="Times New Roman" w:eastAsia="Times New Roman"/>
        </w:rPr>
        <w:t>PET</w:t>
      </w:r>
      <w:r>
        <w:rPr/>
        <w:t>）等影像学检查证实，并须满足下列至少一项条件：</w:t>
      </w:r>
    </w:p>
    <w:p>
      <w:pPr>
        <w:pStyle w:val="BodyText"/>
        <w:ind w:left="1210"/>
      </w:pPr>
      <w:r>
        <w:rPr>
          <w:rFonts w:ascii="Times New Roman" w:eastAsia="Times New Roman"/>
        </w:rPr>
        <w:t>1</w:t>
      </w:r>
      <w:r>
        <w:rPr/>
        <w:t>． 实际实施了开颅进行的脑肿瘤完全切除或部分切除的手术；</w:t>
      </w:r>
    </w:p>
    <w:p>
      <w:pPr>
        <w:pStyle w:val="BodyText"/>
        <w:spacing w:before="176"/>
        <w:ind w:left="1210"/>
      </w:pPr>
      <w:r>
        <w:rPr>
          <w:rFonts w:ascii="Times New Roman" w:eastAsia="Times New Roman"/>
        </w:rPr>
        <w:t>2</w:t>
      </w:r>
      <w:r>
        <w:rPr/>
        <w:t>． 实际实施了对脑肿瘤进行的放射治疗。</w:t>
      </w:r>
    </w:p>
    <w:p>
      <w:pPr>
        <w:pStyle w:val="BodyText"/>
        <w:spacing w:before="176"/>
        <w:ind w:left="1210"/>
        <w:rPr>
          <w:rFonts w:ascii="黑体" w:eastAsia="黑体" w:hint="eastAsia"/>
        </w:rPr>
      </w:pPr>
      <w:r>
        <w:rPr>
          <w:rFonts w:ascii="黑体" w:eastAsia="黑体" w:hint="eastAsia"/>
        </w:rPr>
        <w:t>脑垂体瘤、脑囊肿、脑血管性疾病不在保障范围内。</w:t>
      </w:r>
    </w:p>
    <w:p>
      <w:pPr>
        <w:pStyle w:val="BodyText"/>
        <w:spacing w:before="9"/>
        <w:rPr>
          <w:rFonts w:ascii="黑体"/>
          <w:sz w:val="14"/>
        </w:rPr>
      </w:pPr>
    </w:p>
    <w:p>
      <w:pPr>
        <w:pStyle w:val="Heading3"/>
        <w:numPr>
          <w:ilvl w:val="2"/>
          <w:numId w:val="6"/>
        </w:numPr>
        <w:tabs>
          <w:tab w:pos="836" w:val="left" w:leader="none"/>
        </w:tabs>
        <w:spacing w:line="240" w:lineRule="auto" w:before="0" w:after="0"/>
        <w:ind w:left="835" w:right="0" w:hanging="720"/>
        <w:jc w:val="left"/>
      </w:pPr>
      <w:r>
        <w:rPr>
          <w:spacing w:val="-1"/>
        </w:rPr>
        <w:t>慢性肝功能衰竭失代偿期</w:t>
      </w:r>
    </w:p>
    <w:p>
      <w:pPr>
        <w:pStyle w:val="BodyText"/>
        <w:spacing w:before="141"/>
        <w:ind w:left="1210"/>
      </w:pPr>
      <w:r>
        <w:rPr/>
        <w:t>指因慢性肝脏疾病导致肝功能衰竭。须满足下列全部条件：</w:t>
      </w:r>
    </w:p>
    <w:p>
      <w:pPr>
        <w:pStyle w:val="BodyText"/>
        <w:spacing w:before="10"/>
        <w:rPr>
          <w:sz w:val="14"/>
        </w:rPr>
      </w:pPr>
    </w:p>
    <w:p>
      <w:pPr>
        <w:pStyle w:val="BodyText"/>
        <w:spacing w:before="0"/>
        <w:ind w:left="1210"/>
      </w:pPr>
      <w:r>
        <w:rPr>
          <w:rFonts w:ascii="Times New Roman" w:eastAsia="Times New Roman"/>
        </w:rPr>
        <w:t>1</w:t>
      </w:r>
      <w:r>
        <w:rPr/>
        <w:t>． 持续性黄疸；</w:t>
      </w:r>
    </w:p>
    <w:p>
      <w:pPr>
        <w:pStyle w:val="BodyText"/>
        <w:ind w:left="1210"/>
      </w:pPr>
      <w:r>
        <w:rPr>
          <w:rFonts w:ascii="Times New Roman" w:eastAsia="Times New Roman"/>
        </w:rPr>
        <w:t>2</w:t>
      </w:r>
      <w:r>
        <w:rPr/>
        <w:t>． 腹水；</w:t>
      </w:r>
    </w:p>
    <w:p>
      <w:pPr>
        <w:pStyle w:val="BodyText"/>
        <w:ind w:left="1210"/>
      </w:pPr>
      <w:r>
        <w:rPr>
          <w:rFonts w:ascii="Times New Roman" w:eastAsia="Times New Roman"/>
        </w:rPr>
        <w:t>3</w:t>
      </w:r>
      <w:r>
        <w:rPr/>
        <w:t>． 肝性脑病；</w:t>
      </w:r>
    </w:p>
    <w:p>
      <w:pPr>
        <w:pStyle w:val="BodyText"/>
        <w:ind w:left="1210"/>
      </w:pPr>
      <w:r>
        <w:rPr>
          <w:rFonts w:ascii="Times New Roman" w:eastAsia="Times New Roman"/>
        </w:rPr>
        <w:t>4</w:t>
      </w:r>
      <w:r>
        <w:rPr/>
        <w:t>． 充血性脾肿大伴脾功能亢进或食管胃底静脉曲张。</w:t>
      </w:r>
    </w:p>
    <w:p>
      <w:pPr>
        <w:pStyle w:val="BodyText"/>
        <w:spacing w:before="176"/>
        <w:ind w:left="1210"/>
        <w:rPr>
          <w:rFonts w:ascii="黑体" w:eastAsia="黑体" w:hint="eastAsia"/>
        </w:rPr>
      </w:pPr>
      <w:r>
        <w:rPr>
          <w:rFonts w:ascii="黑体" w:eastAsia="黑体" w:hint="eastAsia"/>
        </w:rPr>
        <w:t>因酗酒或药物滥用导致的肝功能衰竭不在保障范围内。</w:t>
      </w:r>
    </w:p>
    <w:p>
      <w:pPr>
        <w:pStyle w:val="BodyText"/>
        <w:spacing w:before="9"/>
        <w:rPr>
          <w:rFonts w:ascii="黑体"/>
          <w:sz w:val="14"/>
        </w:rPr>
      </w:pPr>
    </w:p>
    <w:p>
      <w:pPr>
        <w:pStyle w:val="Heading3"/>
        <w:numPr>
          <w:ilvl w:val="2"/>
          <w:numId w:val="6"/>
        </w:numPr>
        <w:tabs>
          <w:tab w:pos="836" w:val="left" w:leader="none"/>
        </w:tabs>
        <w:spacing w:line="240" w:lineRule="auto" w:before="0" w:after="0"/>
        <w:ind w:left="835" w:right="0" w:hanging="720"/>
        <w:jc w:val="left"/>
      </w:pPr>
      <w:r>
        <w:rPr>
          <w:spacing w:val="-2"/>
        </w:rPr>
        <w:t>脑炎后遗症或脑膜炎后遗症</w:t>
      </w:r>
    </w:p>
    <w:p>
      <w:pPr>
        <w:pStyle w:val="BodyText"/>
        <w:spacing w:line="273" w:lineRule="auto" w:before="141"/>
        <w:ind w:left="1210" w:right="2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5"/>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6"/>
        </w:numPr>
        <w:tabs>
          <w:tab w:pos="836" w:val="left" w:leader="none"/>
        </w:tabs>
        <w:spacing w:line="240" w:lineRule="auto" w:before="179" w:after="0"/>
        <w:ind w:left="835" w:right="0" w:hanging="720"/>
        <w:jc w:val="left"/>
      </w:pPr>
      <w:r>
        <w:rPr/>
        <w:t>双耳失聪</w:t>
      </w:r>
    </w:p>
    <w:p>
      <w:pPr>
        <w:spacing w:before="141"/>
        <w:ind w:left="1210"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1"/>
        <w:ind w:left="1210" w:right="207"/>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178"/>
        <w:ind w:left="1210"/>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6"/>
        </w:numPr>
        <w:tabs>
          <w:tab w:pos="836" w:val="left" w:leader="none"/>
        </w:tabs>
        <w:spacing w:line="240" w:lineRule="auto" w:before="0" w:after="0"/>
        <w:ind w:left="835" w:right="0" w:hanging="720"/>
        <w:jc w:val="left"/>
      </w:pPr>
      <w:r>
        <w:rPr/>
        <w:t>双目失明</w:t>
      </w:r>
    </w:p>
    <w:p>
      <w:pPr>
        <w:spacing w:line="273" w:lineRule="auto" w:before="141"/>
        <w:ind w:left="1210" w:right="208"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4"/>
        <w:ind w:left="1210"/>
      </w:pPr>
      <w:r>
        <w:rPr>
          <w:rFonts w:ascii="Times New Roman" w:eastAsia="Times New Roman"/>
        </w:rPr>
        <w:t>1</w:t>
      </w:r>
      <w:r>
        <w:rPr/>
        <w:t>． 眼球缺失或摘除；</w:t>
      </w:r>
    </w:p>
    <w:p>
      <w:pPr>
        <w:pStyle w:val="BodyText"/>
        <w:spacing w:before="178"/>
        <w:ind w:left="1210"/>
      </w:pPr>
      <w:r>
        <w:rPr>
          <w:rFonts w:ascii="Times New Roman" w:eastAsia="Times New Roman"/>
        </w:rPr>
        <w:t>2</w:t>
      </w:r>
      <w:r>
        <w:rPr>
          <w:spacing w:val="-11"/>
        </w:rPr>
        <w:t>． 矫正视力低于 </w:t>
      </w:r>
      <w:r>
        <w:rPr>
          <w:rFonts w:ascii="Times New Roman" w:eastAsia="Times New Roman"/>
          <w:spacing w:val="-4"/>
        </w:rPr>
        <w:t>0.02</w:t>
      </w:r>
      <w:r>
        <w:rPr>
          <w:spacing w:val="-4"/>
        </w:rPr>
        <w:t>（</w:t>
      </w:r>
      <w:r>
        <w:rPr>
          <w:spacing w:val="-5"/>
        </w:rPr>
        <w:t>采用国际标准视力表，如果使用其它视力表应进行换算</w:t>
      </w:r>
      <w:r>
        <w:rPr>
          <w:spacing w:val="-8"/>
        </w:rPr>
        <w:t>）；</w:t>
      </w:r>
    </w:p>
    <w:p>
      <w:pPr>
        <w:pStyle w:val="BodyText"/>
        <w:ind w:left="1210"/>
      </w:pPr>
      <w:r>
        <w:rPr>
          <w:rFonts w:ascii="Times New Roman" w:eastAsia="Times New Roman"/>
        </w:rPr>
        <w:t>3</w:t>
      </w:r>
      <w:r>
        <w:rPr/>
        <w:t>． 视野半径小于 </w:t>
      </w:r>
      <w:r>
        <w:rPr>
          <w:rFonts w:ascii="Times New Roman" w:eastAsia="Times New Roman"/>
        </w:rPr>
        <w:t>5 </w:t>
      </w:r>
      <w:r>
        <w:rPr/>
        <w:t>度。</w:t>
      </w:r>
    </w:p>
    <w:p>
      <w:pPr>
        <w:pStyle w:val="BodyText"/>
        <w:ind w:left="1210"/>
        <w:rPr>
          <w:rFonts w:ascii="黑体" w:eastAsia="黑体" w:hint="eastAsia"/>
        </w:rPr>
      </w:pPr>
      <w:r>
        <w:rPr>
          <w:rFonts w:ascii="黑体" w:eastAsia="黑体" w:hint="eastAsia"/>
        </w:rPr>
        <w:t>本附加合同仅对三周岁以上的被保险人予以理赔。</w:t>
      </w:r>
    </w:p>
    <w:p>
      <w:pPr>
        <w:pStyle w:val="BodyText"/>
        <w:spacing w:before="10"/>
        <w:rPr>
          <w:rFonts w:ascii="黑体"/>
          <w:sz w:val="14"/>
        </w:rPr>
      </w:pPr>
    </w:p>
    <w:p>
      <w:pPr>
        <w:pStyle w:val="Heading3"/>
        <w:numPr>
          <w:ilvl w:val="2"/>
          <w:numId w:val="6"/>
        </w:numPr>
        <w:tabs>
          <w:tab w:pos="836" w:val="left" w:leader="none"/>
        </w:tabs>
        <w:spacing w:line="240" w:lineRule="auto" w:before="0" w:after="0"/>
        <w:ind w:left="835" w:right="0" w:hanging="720"/>
        <w:jc w:val="left"/>
      </w:pPr>
      <w:r>
        <w:rPr/>
        <w:t>心脏瓣膜手术</w:t>
      </w:r>
    </w:p>
    <w:p>
      <w:pPr>
        <w:pStyle w:val="BodyText"/>
        <w:spacing w:before="141"/>
        <w:ind w:left="1210"/>
      </w:pPr>
      <w:r>
        <w:rPr/>
        <w:t>指为治疗心脏瓣膜疾病，实际实施了开胸进行的心脏瓣膜置换或修复的手术。</w:t>
      </w:r>
    </w:p>
    <w:p>
      <w:pPr>
        <w:spacing w:after="0"/>
        <w:sectPr>
          <w:pgSz w:w="11910" w:h="16840"/>
          <w:pgMar w:top="1380" w:bottom="280" w:left="1680" w:right="1240"/>
        </w:sectPr>
      </w:pPr>
    </w:p>
    <w:p>
      <w:pPr>
        <w:pStyle w:val="Heading3"/>
        <w:numPr>
          <w:ilvl w:val="2"/>
          <w:numId w:val="6"/>
        </w:numPr>
        <w:tabs>
          <w:tab w:pos="836" w:val="left" w:leader="none"/>
        </w:tabs>
        <w:spacing w:line="240" w:lineRule="auto" w:before="29" w:after="0"/>
        <w:ind w:left="835" w:right="0" w:hanging="720"/>
        <w:jc w:val="left"/>
      </w:pPr>
      <w:r>
        <w:rPr/>
        <w:t>严重阿尔茨海默病</w:t>
      </w:r>
    </w:p>
    <w:p>
      <w:pPr>
        <w:pStyle w:val="BodyText"/>
        <w:spacing w:line="268" w:lineRule="auto" w:before="141"/>
        <w:ind w:left="1210" w:right="207"/>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7"/>
        <w:ind w:left="1210"/>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BodyText"/>
        <w:spacing w:before="0"/>
        <w:ind w:left="1210"/>
        <w:rPr>
          <w:rFonts w:ascii="黑体" w:eastAsia="黑体" w:hint="eastAsia"/>
        </w:rPr>
      </w:pPr>
      <w:r>
        <w:rPr>
          <w:rFonts w:ascii="黑体" w:eastAsia="黑体" w:hint="eastAsia"/>
        </w:rPr>
        <w:t>本附加合同仅对 </w:t>
      </w:r>
      <w:r>
        <w:rPr>
          <w:rFonts w:ascii="Times New Roman" w:eastAsia="Times New Roman"/>
        </w:rPr>
        <w:t>70 </w:t>
      </w:r>
      <w:r>
        <w:rPr>
          <w:rFonts w:ascii="黑体" w:eastAsia="黑体" w:hint="eastAsia"/>
        </w:rPr>
        <w:t>周岁及以下的被保险人予以理赔。</w:t>
      </w:r>
    </w:p>
    <w:p>
      <w:pPr>
        <w:pStyle w:val="Heading3"/>
        <w:numPr>
          <w:ilvl w:val="2"/>
          <w:numId w:val="6"/>
        </w:numPr>
        <w:tabs>
          <w:tab w:pos="836" w:val="left" w:leader="none"/>
        </w:tabs>
        <w:spacing w:line="240" w:lineRule="auto" w:before="176" w:after="0"/>
        <w:ind w:left="835" w:right="0" w:hanging="720"/>
        <w:jc w:val="left"/>
      </w:pPr>
      <w:r>
        <w:rPr/>
        <w:t>严重脑损伤</w:t>
      </w:r>
    </w:p>
    <w:p>
      <w:pPr>
        <w:pStyle w:val="BodyText"/>
        <w:spacing w:line="261" w:lineRule="auto" w:before="140"/>
        <w:ind w:left="1210" w:right="102"/>
      </w:pPr>
      <w:r>
        <w:rPr>
          <w:spacing w:val="-11"/>
        </w:rPr>
        <w:t>指因头部遭受机械性外力，引起脑重要部位损伤，导致神经系统永久性的功能障碍。</w:t>
      </w:r>
      <w:r>
        <w:rPr>
          <w:spacing w:val="-7"/>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3"/>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10" w:firstLine="0"/>
      </w:pPr>
      <w:r>
        <w:rPr>
          <w:rFonts w:ascii="Times New Roman" w:eastAsia="Times New Roman"/>
          <w:b w:val="0"/>
        </w:rPr>
        <w:t>2</w:t>
      </w:r>
      <w:r>
        <w:rPr>
          <w:b w:val="0"/>
        </w:rPr>
        <w:t>． </w:t>
      </w:r>
      <w:r>
        <w:rPr/>
        <w:t>语言能力或咀嚼吞咽能力完全丧失；</w:t>
      </w:r>
    </w:p>
    <w:p>
      <w:pPr>
        <w:spacing w:line="256" w:lineRule="auto" w:before="176"/>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6"/>
        </w:numPr>
        <w:tabs>
          <w:tab w:pos="836" w:val="left" w:leader="none"/>
        </w:tabs>
        <w:spacing w:line="240" w:lineRule="auto" w:before="177" w:after="0"/>
        <w:ind w:left="835" w:right="0" w:hanging="720"/>
        <w:jc w:val="left"/>
      </w:pPr>
      <w:r>
        <w:rPr/>
        <w:t>严重帕金森病</w:t>
      </w:r>
    </w:p>
    <w:p>
      <w:pPr>
        <w:pStyle w:val="BodyText"/>
        <w:spacing w:line="273" w:lineRule="auto" w:before="140"/>
        <w:ind w:left="1210" w:right="208"/>
      </w:pPr>
      <w:r>
        <w:rPr/>
        <w:t>是一种中枢神经系统的退行性疾病，临床表现为震颤麻痹、共济失调等。须满足下列全部条件：</w:t>
      </w:r>
    </w:p>
    <w:p>
      <w:pPr>
        <w:pStyle w:val="BodyText"/>
        <w:spacing w:before="163"/>
        <w:ind w:left="1210"/>
      </w:pPr>
      <w:r>
        <w:rPr>
          <w:rFonts w:ascii="Times New Roman" w:eastAsia="Times New Roman"/>
        </w:rPr>
        <w:t>1</w:t>
      </w:r>
      <w:r>
        <w:rPr/>
        <w:t>． 药物治疗无法控制病情；</w:t>
      </w:r>
    </w:p>
    <w:p>
      <w:pPr>
        <w:spacing w:line="256" w:lineRule="auto" w:before="176"/>
        <w:ind w:left="1570" w:right="210"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10"/>
        <w:rPr>
          <w:rFonts w:ascii="黑体" w:eastAsia="黑体" w:hint="eastAsia"/>
        </w:rPr>
      </w:pPr>
      <w:r>
        <w:rPr>
          <w:rFonts w:ascii="黑体" w:eastAsia="黑体" w:hint="eastAsia"/>
        </w:rPr>
        <w:t>继发性帕金森综合征不在保障范围内。</w:t>
      </w:r>
    </w:p>
    <w:p>
      <w:pPr>
        <w:pStyle w:val="BodyText"/>
        <w:spacing w:before="10"/>
        <w:rPr>
          <w:rFonts w:ascii="黑体"/>
          <w:sz w:val="14"/>
        </w:rPr>
      </w:pPr>
    </w:p>
    <w:p>
      <w:pPr>
        <w:pStyle w:val="BodyText"/>
        <w:spacing w:before="0"/>
        <w:ind w:left="1210"/>
        <w:rPr>
          <w:rFonts w:ascii="黑体" w:eastAsia="黑体" w:hint="eastAsia"/>
        </w:rPr>
      </w:pPr>
      <w:r>
        <w:rPr>
          <w:rFonts w:ascii="黑体" w:eastAsia="黑体" w:hint="eastAsia"/>
        </w:rPr>
        <w:t>本附加合同仅对 </w:t>
      </w:r>
      <w:r>
        <w:rPr>
          <w:rFonts w:ascii="Times New Roman" w:eastAsia="Times New Roman"/>
        </w:rPr>
        <w:t>70 </w:t>
      </w:r>
      <w:r>
        <w:rPr>
          <w:rFonts w:ascii="黑体" w:eastAsia="黑体" w:hint="eastAsia"/>
        </w:rPr>
        <w:t>周岁及以下的被保险人予以理赔。</w:t>
      </w:r>
    </w:p>
    <w:p>
      <w:pPr>
        <w:pStyle w:val="Heading3"/>
        <w:numPr>
          <w:ilvl w:val="2"/>
          <w:numId w:val="6"/>
        </w:numPr>
        <w:tabs>
          <w:tab w:pos="836" w:val="left" w:leader="none"/>
        </w:tabs>
        <w:spacing w:line="240" w:lineRule="auto" w:before="177" w:after="0"/>
        <w:ind w:left="835" w:right="0" w:hanging="720"/>
        <w:jc w:val="left"/>
      </w:pPr>
      <w:r>
        <w:rPr/>
        <w:t>严重Ⅲ度烧伤</w:t>
      </w:r>
    </w:p>
    <w:p>
      <w:pPr>
        <w:pStyle w:val="BodyText"/>
        <w:spacing w:line="256" w:lineRule="auto" w:before="141"/>
        <w:ind w:left="1210" w:right="207"/>
      </w:pPr>
      <w:r>
        <w:rPr>
          <w:spacing w:val="-7"/>
        </w:rPr>
        <w:t>指烧伤程度为Ⅲ度，且Ⅲ度烧伤的面积达到全身体表面积的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6"/>
        </w:rPr>
        <w:t>以上。体表</w:t>
      </w:r>
      <w:r>
        <w:rPr>
          <w:spacing w:val="-4"/>
        </w:rPr>
        <w:t>面积根据《中国新九分法》计算。</w:t>
      </w:r>
    </w:p>
    <w:p>
      <w:pPr>
        <w:pStyle w:val="Heading3"/>
        <w:numPr>
          <w:ilvl w:val="2"/>
          <w:numId w:val="6"/>
        </w:numPr>
        <w:tabs>
          <w:tab w:pos="836" w:val="left" w:leader="none"/>
        </w:tabs>
        <w:spacing w:line="240" w:lineRule="auto" w:before="178" w:after="0"/>
        <w:ind w:left="835" w:right="0" w:hanging="720"/>
        <w:jc w:val="left"/>
      </w:pPr>
      <w:r>
        <w:rPr>
          <w:spacing w:val="-1"/>
        </w:rPr>
        <w:t>严重原发性肺动脉高压</w:t>
      </w:r>
    </w:p>
    <w:p>
      <w:pPr>
        <w:pStyle w:val="BodyText"/>
        <w:spacing w:line="264" w:lineRule="auto" w:before="141"/>
        <w:ind w:left="1210" w:right="104"/>
      </w:pPr>
      <w:r>
        <w:rPr>
          <w:spacing w:val="-3"/>
        </w:rPr>
        <w:t>指不明原因的肺动脉压力持续性增高，进行性发展而导致的慢性疾病，已经造成</w:t>
      </w:r>
      <w:r>
        <w:rPr>
          <w:b/>
        </w:rPr>
        <w:t>永久不可逆</w:t>
      </w:r>
      <w:r>
        <w:rPr>
          <w:spacing w:val="-7"/>
        </w:rPr>
        <w:t>性的体力活动能力受限，达到美国纽约心脏病学会心功能状态分级 </w:t>
      </w:r>
      <w:r>
        <w:rPr>
          <w:rFonts w:ascii="Times New Roman" w:eastAsia="Times New Roman"/>
        </w:rPr>
        <w:t>IV </w:t>
      </w:r>
      <w:r>
        <w:rPr>
          <w:spacing w:val="-3"/>
        </w:rPr>
        <w:t>级， </w:t>
      </w:r>
      <w:r>
        <w:rPr>
          <w:spacing w:val="-6"/>
        </w:rPr>
        <w:t>且静息状态下肺动脉平均压超过 </w:t>
      </w:r>
      <w:r>
        <w:rPr>
          <w:rFonts w:ascii="Times New Roman" w:eastAsia="Times New Roman"/>
        </w:rPr>
        <w:t>30mmHg</w:t>
      </w:r>
      <w:r>
        <w:rPr/>
        <w:t>。</w:t>
      </w:r>
    </w:p>
    <w:p>
      <w:pPr>
        <w:pStyle w:val="Heading3"/>
        <w:numPr>
          <w:ilvl w:val="2"/>
          <w:numId w:val="6"/>
        </w:numPr>
        <w:tabs>
          <w:tab w:pos="836" w:val="left" w:leader="none"/>
        </w:tabs>
        <w:spacing w:line="240" w:lineRule="auto" w:before="153" w:after="0"/>
        <w:ind w:left="835" w:right="0" w:hanging="720"/>
        <w:jc w:val="left"/>
      </w:pPr>
      <w:r>
        <w:rPr/>
        <w:t>严重运动神经元病</w:t>
      </w:r>
    </w:p>
    <w:p>
      <w:pPr>
        <w:pStyle w:val="BodyText"/>
        <w:spacing w:line="273" w:lineRule="auto" w:before="140"/>
        <w:ind w:left="1210" w:right="208"/>
      </w:pPr>
      <w:r>
        <w:rPr/>
        <w:t>是一组中枢神经系统运动神经元的进行性变性疾病，包括进行性脊肌萎缩症、进行性延髓麻痹症、原发性侧索硬化症、肌萎缩性侧索硬化症。须满足自主生活能力完</w:t>
      </w:r>
    </w:p>
    <w:p>
      <w:pPr>
        <w:spacing w:after="0" w:line="273" w:lineRule="auto"/>
        <w:sectPr>
          <w:pgSz w:w="11910" w:h="16840"/>
          <w:pgMar w:top="1380" w:bottom="280" w:left="1680" w:right="1240"/>
        </w:sectPr>
      </w:pPr>
    </w:p>
    <w:p>
      <w:pPr>
        <w:spacing w:before="9"/>
        <w:ind w:left="1210" w:right="0" w:firstLine="0"/>
        <w:jc w:val="left"/>
        <w:rPr>
          <w:sz w:val="21"/>
        </w:rPr>
      </w:pPr>
      <w:r>
        <w:rPr>
          <w:sz w:val="21"/>
        </w:rPr>
        <w:t>全丧失，无法独立完成</w:t>
      </w:r>
      <w:r>
        <w:rPr>
          <w:b/>
          <w:sz w:val="21"/>
        </w:rPr>
        <w:t>六项基本日常生活活动</w:t>
      </w:r>
      <w:r>
        <w:rPr>
          <w:sz w:val="21"/>
        </w:rPr>
        <w:t>中的三项或三项以上的条件。</w:t>
      </w:r>
    </w:p>
    <w:p>
      <w:pPr>
        <w:pStyle w:val="BodyText"/>
        <w:spacing w:before="10"/>
        <w:rPr>
          <w:sz w:val="14"/>
        </w:rPr>
      </w:pPr>
    </w:p>
    <w:p>
      <w:pPr>
        <w:pStyle w:val="Heading3"/>
        <w:numPr>
          <w:ilvl w:val="2"/>
          <w:numId w:val="6"/>
        </w:numPr>
        <w:tabs>
          <w:tab w:pos="836" w:val="left" w:leader="none"/>
        </w:tabs>
        <w:spacing w:line="240" w:lineRule="auto" w:before="0" w:after="0"/>
        <w:ind w:left="835" w:right="0" w:hanging="720"/>
        <w:jc w:val="left"/>
      </w:pPr>
      <w:r>
        <w:rPr/>
        <w:t>语言能力丧失</w:t>
      </w:r>
    </w:p>
    <w:p>
      <w:pPr>
        <w:pStyle w:val="BodyText"/>
        <w:spacing w:line="256" w:lineRule="auto" w:before="141"/>
        <w:ind w:left="1210" w:right="107"/>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line="408" w:lineRule="auto" w:before="178"/>
        <w:ind w:left="1210" w:right="2839"/>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pStyle w:val="Heading3"/>
        <w:numPr>
          <w:ilvl w:val="2"/>
          <w:numId w:val="6"/>
        </w:numPr>
        <w:tabs>
          <w:tab w:pos="836" w:val="left" w:leader="none"/>
        </w:tabs>
        <w:spacing w:line="240" w:lineRule="auto" w:before="45" w:after="0"/>
        <w:ind w:left="835" w:right="0" w:hanging="720"/>
        <w:jc w:val="left"/>
      </w:pPr>
      <w:r>
        <w:rPr/>
        <w:t>重型再生障碍性贫血</w:t>
      </w:r>
    </w:p>
    <w:p>
      <w:pPr>
        <w:pStyle w:val="BodyText"/>
        <w:spacing w:line="273" w:lineRule="auto" w:before="140"/>
        <w:ind w:left="1210" w:right="108"/>
      </w:pPr>
      <w:r>
        <w:rPr/>
        <w:t>指因骨髓造血功能慢性持续性衰竭导致的贫血、中性粒细胞减少及血小板减少。须满足下列全部条件：</w:t>
      </w:r>
    </w:p>
    <w:p>
      <w:pPr>
        <w:pStyle w:val="BodyText"/>
        <w:spacing w:before="163"/>
        <w:ind w:left="1210"/>
        <w:jc w:val="both"/>
      </w:pPr>
      <w:r>
        <w:rPr>
          <w:rFonts w:ascii="Times New Roman" w:eastAsia="Times New Roman"/>
        </w:rPr>
        <w:t>1</w:t>
      </w:r>
      <w:r>
        <w:rPr/>
        <w:t>． 骨髓穿刺检查或骨髓活检结果支持诊断；</w:t>
      </w:r>
    </w:p>
    <w:p>
      <w:pPr>
        <w:pStyle w:val="BodyText"/>
        <w:ind w:left="1210"/>
        <w:jc w:val="both"/>
      </w:pPr>
      <w:r>
        <w:rPr>
          <w:rFonts w:ascii="Times New Roman" w:eastAsia="Times New Roman"/>
        </w:rPr>
        <w:t>2</w:t>
      </w:r>
      <w:r>
        <w:rPr/>
        <w:t>． 外周血象须具备以下三项条件：</w:t>
      </w:r>
    </w:p>
    <w:p>
      <w:pPr>
        <w:pStyle w:val="BodyText"/>
        <w:tabs>
          <w:tab w:pos="2078" w:val="left" w:leader="none"/>
        </w:tabs>
        <w:spacing w:before="176"/>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spacing w:before="176"/>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6"/>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6"/>
        </w:numPr>
        <w:tabs>
          <w:tab w:pos="836" w:val="left" w:leader="none"/>
        </w:tabs>
        <w:spacing w:line="240" w:lineRule="auto" w:before="176" w:after="0"/>
        <w:ind w:left="835" w:right="0" w:hanging="720"/>
        <w:jc w:val="left"/>
      </w:pPr>
      <w:r>
        <w:rPr/>
        <w:t>主动脉手术</w:t>
      </w:r>
    </w:p>
    <w:p>
      <w:pPr>
        <w:pStyle w:val="BodyText"/>
        <w:spacing w:line="273" w:lineRule="auto" w:before="140"/>
        <w:ind w:left="1210" w:right="10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210"/>
        <w:rPr>
          <w:rFonts w:ascii="黑体" w:eastAsia="黑体" w:hint="eastAsia"/>
        </w:rPr>
      </w:pPr>
      <w:r>
        <w:rPr>
          <w:rFonts w:ascii="黑体" w:eastAsia="黑体" w:hint="eastAsia"/>
        </w:rPr>
        <w:t>动脉内血管成形术不在保障范围内。</w:t>
      </w:r>
    </w:p>
    <w:p>
      <w:pPr>
        <w:pStyle w:val="BodyText"/>
        <w:spacing w:before="10"/>
        <w:rPr>
          <w:rFonts w:ascii="黑体"/>
          <w:sz w:val="14"/>
        </w:rPr>
      </w:pPr>
    </w:p>
    <w:p>
      <w:pPr>
        <w:pStyle w:val="Heading3"/>
        <w:numPr>
          <w:ilvl w:val="2"/>
          <w:numId w:val="6"/>
        </w:numPr>
        <w:tabs>
          <w:tab w:pos="836" w:val="left" w:leader="none"/>
        </w:tabs>
        <w:spacing w:line="240" w:lineRule="auto" w:before="0" w:after="0"/>
        <w:ind w:left="835" w:right="0" w:hanging="720"/>
        <w:jc w:val="left"/>
      </w:pPr>
      <w:r>
        <w:rPr/>
        <w:t>严重的系统性硬化症</w:t>
      </w:r>
    </w:p>
    <w:p>
      <w:pPr>
        <w:pStyle w:val="BodyText"/>
        <w:spacing w:line="273" w:lineRule="auto" w:before="141"/>
        <w:ind w:left="1210" w:right="108"/>
        <w:jc w:val="both"/>
      </w:pPr>
      <w:r>
        <w:rPr/>
        <w:t>是一种以皮肤、血管和内脏器官的进行性、弥漫性纤维化为特点的系统性结缔组织病。须经专科医生根据组织活检和血清学检查结果作出明确诊断并提供下列一项或一项以上内脏器官受累的检查报告及诊疗记录：</w:t>
      </w:r>
    </w:p>
    <w:p>
      <w:pPr>
        <w:pStyle w:val="BodyText"/>
        <w:spacing w:before="163"/>
        <w:ind w:left="1210"/>
      </w:pPr>
      <w:r>
        <w:rPr/>
        <w:t>肺脏：肺纤维化，已经发展为肺动脉高压、肺心病；</w:t>
      </w:r>
    </w:p>
    <w:p>
      <w:pPr>
        <w:pStyle w:val="BodyText"/>
        <w:spacing w:before="9"/>
        <w:rPr>
          <w:sz w:val="14"/>
        </w:rPr>
      </w:pPr>
    </w:p>
    <w:p>
      <w:pPr>
        <w:pStyle w:val="BodyText"/>
        <w:spacing w:line="408" w:lineRule="auto" w:before="0"/>
        <w:ind w:left="1210" w:right="737"/>
      </w:pPr>
      <w:r>
        <w:rPr/>
        <w:t>心脏：心室功能受损，至少达到美国纽约心脏病学会心功能状态分级Ⅲ级； 肾脏：肾脏受损，已经出现肾功能不全。</w:t>
      </w:r>
    </w:p>
    <w:p>
      <w:pPr>
        <w:pStyle w:val="BodyText"/>
        <w:spacing w:before="46"/>
        <w:ind w:left="1210"/>
        <w:jc w:val="both"/>
        <w:rPr>
          <w:rFonts w:ascii="黑体" w:eastAsia="黑体" w:hint="eastAsia"/>
        </w:rPr>
      </w:pPr>
      <w:r>
        <w:rPr>
          <w:rFonts w:ascii="黑体" w:eastAsia="黑体" w:hint="eastAsia"/>
        </w:rPr>
        <w:t>下列疾病不在保障范围内：</w:t>
      </w:r>
    </w:p>
    <w:p>
      <w:pPr>
        <w:pStyle w:val="BodyText"/>
        <w:spacing w:before="10"/>
        <w:rPr>
          <w:rFonts w:ascii="黑体"/>
          <w:sz w:val="14"/>
        </w:rPr>
      </w:pPr>
    </w:p>
    <w:p>
      <w:pPr>
        <w:pStyle w:val="BodyText"/>
        <w:spacing w:before="0"/>
        <w:ind w:left="1210"/>
        <w:jc w:val="both"/>
        <w:rPr>
          <w:rFonts w:ascii="黑体" w:eastAsia="黑体" w:hint="eastAsia"/>
        </w:rPr>
      </w:pPr>
      <w:r>
        <w:rPr>
          <w:rFonts w:ascii="Times New Roman" w:eastAsia="Times New Roman"/>
        </w:rPr>
        <w:t>1</w:t>
      </w:r>
      <w:r>
        <w:rPr>
          <w:rFonts w:ascii="黑体" w:eastAsia="黑体" w:hint="eastAsia"/>
        </w:rPr>
        <w:t>． 局部性硬皮病（如：带状硬皮病、硬斑病）；</w:t>
      </w:r>
    </w:p>
    <w:p>
      <w:pPr>
        <w:pStyle w:val="BodyText"/>
        <w:spacing w:before="176"/>
        <w:ind w:left="1210"/>
        <w:jc w:val="both"/>
        <w:rPr>
          <w:rFonts w:ascii="黑体" w:eastAsia="黑体" w:hint="eastAsia"/>
        </w:rPr>
      </w:pPr>
      <w:r>
        <w:rPr>
          <w:rFonts w:ascii="Times New Roman" w:eastAsia="Times New Roman"/>
        </w:rPr>
        <w:t>2</w:t>
      </w:r>
      <w:r>
        <w:rPr>
          <w:rFonts w:ascii="黑体" w:eastAsia="黑体" w:hint="eastAsia"/>
        </w:rPr>
        <w:t>． 嗜酸性粒细胞性筋膜炎；</w:t>
      </w:r>
    </w:p>
    <w:p>
      <w:pPr>
        <w:pStyle w:val="BodyText"/>
        <w:spacing w:before="176"/>
        <w:ind w:left="1210"/>
        <w:jc w:val="both"/>
        <w:rPr>
          <w:rFonts w:ascii="黑体" w:eastAsia="黑体" w:hint="eastAsia"/>
        </w:rPr>
      </w:pPr>
      <w:r>
        <w:rPr>
          <w:rFonts w:ascii="Times New Roman" w:eastAsia="Times New Roman"/>
        </w:rPr>
        <w:t>3</w:t>
      </w:r>
      <w:r>
        <w:rPr/>
        <w:t>． </w:t>
      </w:r>
      <w:r>
        <w:rPr>
          <w:rFonts w:ascii="黑体" w:eastAsia="黑体" w:hint="eastAsia"/>
        </w:rPr>
        <w:t>CREST 综合征。</w:t>
      </w:r>
    </w:p>
    <w:p>
      <w:pPr>
        <w:pStyle w:val="Heading3"/>
        <w:numPr>
          <w:ilvl w:val="2"/>
          <w:numId w:val="6"/>
        </w:numPr>
        <w:tabs>
          <w:tab w:pos="836" w:val="left" w:leader="none"/>
        </w:tabs>
        <w:spacing w:line="240" w:lineRule="auto" w:before="176" w:after="0"/>
        <w:ind w:left="835" w:right="0" w:hanging="720"/>
        <w:jc w:val="left"/>
      </w:pPr>
      <w:r>
        <w:rPr/>
        <w:t>严重的原发性心肌病</w:t>
      </w:r>
    </w:p>
    <w:p>
      <w:pPr>
        <w:pStyle w:val="BodyText"/>
        <w:spacing w:before="140"/>
        <w:ind w:left="1210"/>
        <w:jc w:val="both"/>
      </w:pPr>
      <w:r>
        <w:rPr/>
        <w:t>是指不明原因引起的一类心肌病变，包括原发性扩张型心肌病、原发性肥厚型心肌</w:t>
      </w:r>
    </w:p>
    <w:p>
      <w:pPr>
        <w:spacing w:after="0"/>
        <w:jc w:val="both"/>
        <w:sectPr>
          <w:pgSz w:w="11910" w:h="16840"/>
          <w:pgMar w:top="1400" w:bottom="280" w:left="1680" w:right="1340"/>
        </w:sectPr>
      </w:pPr>
    </w:p>
    <w:p>
      <w:pPr>
        <w:pStyle w:val="BodyText"/>
        <w:spacing w:line="261" w:lineRule="auto" w:before="9"/>
        <w:ind w:left="1210" w:right="207"/>
        <w:jc w:val="both"/>
      </w:pPr>
      <w:r>
        <w:rPr>
          <w:spacing w:val="-3"/>
        </w:rPr>
        <w:t>病及原发性限制型心肌病三种，病变必须已造成事实上心室功能障碍而出现明显的心功能衰竭，达到美国纽约心脏病协会心功能状态分级 </w:t>
      </w:r>
      <w:r>
        <w:rPr>
          <w:rFonts w:ascii="Times New Roman" w:eastAsia="Times New Roman"/>
          <w:spacing w:val="-3"/>
        </w:rPr>
        <w:t>IV </w:t>
      </w:r>
      <w:r>
        <w:rPr>
          <w:spacing w:val="-3"/>
        </w:rPr>
        <w:t>级，且有相关住院医疗</w:t>
      </w:r>
      <w:r>
        <w:rPr>
          <w:spacing w:val="-7"/>
        </w:rPr>
        <w:t>记录显示 </w:t>
      </w:r>
      <w:r>
        <w:rPr>
          <w:rFonts w:ascii="Times New Roman" w:eastAsia="Times New Roman"/>
        </w:rPr>
        <w:t>IV </w:t>
      </w:r>
      <w:r>
        <w:rPr>
          <w:spacing w:val="-5"/>
        </w:rPr>
        <w:t>级心功能状态持续至少 </w:t>
      </w:r>
      <w:r>
        <w:rPr>
          <w:rFonts w:ascii="Times New Roman" w:eastAsia="Times New Roman"/>
        </w:rPr>
        <w:t>180 </w:t>
      </w:r>
      <w:r>
        <w:rPr>
          <w:spacing w:val="-3"/>
        </w:rPr>
        <w:t>天。该疾病索赔时须要经专科医师做出明确诊断。继发于全身性疾病或其它器官系统疾病不属本保障范围。</w:t>
      </w:r>
    </w:p>
    <w:p>
      <w:pPr>
        <w:pStyle w:val="Heading3"/>
        <w:numPr>
          <w:ilvl w:val="2"/>
          <w:numId w:val="6"/>
        </w:numPr>
        <w:tabs>
          <w:tab w:pos="836" w:val="left" w:leader="none"/>
        </w:tabs>
        <w:spacing w:line="240" w:lineRule="auto" w:before="174" w:after="0"/>
        <w:ind w:left="835" w:right="0" w:hanging="720"/>
        <w:jc w:val="left"/>
      </w:pPr>
      <w:r>
        <w:rPr/>
        <w:t>肾髓质囊性病</w:t>
      </w:r>
    </w:p>
    <w:p>
      <w:pPr>
        <w:pStyle w:val="BodyText"/>
        <w:spacing w:before="141"/>
        <w:ind w:left="1210"/>
      </w:pPr>
      <w:r>
        <w:rPr/>
        <w:t>肾髓质囊性病的诊断必须同时符合下列要求：</w:t>
      </w:r>
    </w:p>
    <w:p>
      <w:pPr>
        <w:pStyle w:val="BodyText"/>
        <w:spacing w:before="9"/>
        <w:rPr>
          <w:sz w:val="14"/>
        </w:rPr>
      </w:pPr>
    </w:p>
    <w:p>
      <w:pPr>
        <w:pStyle w:val="BodyText"/>
        <w:spacing w:before="1"/>
        <w:ind w:left="1210"/>
      </w:pPr>
      <w:r>
        <w:rPr>
          <w:rFonts w:ascii="Times New Roman" w:eastAsia="Times New Roman"/>
        </w:rPr>
        <w:t>1</w:t>
      </w:r>
      <w:r>
        <w:rPr/>
        <w:t>． 肾髓质有囊肿、肾小管萎缩及间质纤维化等病理改变；</w:t>
      </w:r>
    </w:p>
    <w:p>
      <w:pPr>
        <w:pStyle w:val="BodyText"/>
        <w:ind w:left="1210"/>
      </w:pPr>
      <w:r>
        <w:rPr>
          <w:rFonts w:ascii="Times New Roman" w:eastAsia="Times New Roman"/>
        </w:rPr>
        <w:t>2</w:t>
      </w:r>
      <w:r>
        <w:rPr/>
        <w:t>． 贫血、多尿及肾功能衰竭等临床表现；</w:t>
      </w:r>
    </w:p>
    <w:p>
      <w:pPr>
        <w:pStyle w:val="BodyText"/>
        <w:ind w:left="1210"/>
      </w:pPr>
      <w:r>
        <w:rPr>
          <w:rFonts w:ascii="Times New Roman" w:eastAsia="Times New Roman"/>
        </w:rPr>
        <w:t>3</w:t>
      </w:r>
      <w:r>
        <w:rPr/>
        <w:t>． 诊断须由肾组织活检确定。</w:t>
      </w:r>
    </w:p>
    <w:p>
      <w:pPr>
        <w:pStyle w:val="Heading3"/>
        <w:numPr>
          <w:ilvl w:val="2"/>
          <w:numId w:val="6"/>
        </w:numPr>
        <w:tabs>
          <w:tab w:pos="836" w:val="left" w:leader="none"/>
        </w:tabs>
        <w:spacing w:line="240" w:lineRule="auto" w:before="177" w:after="0"/>
        <w:ind w:left="835" w:right="0" w:hanging="720"/>
        <w:jc w:val="left"/>
      </w:pPr>
      <w:r>
        <w:rPr/>
        <w:t>主动脉夹层瘤</w:t>
      </w:r>
    </w:p>
    <w:p>
      <w:pPr>
        <w:pStyle w:val="BodyText"/>
        <w:spacing w:line="266" w:lineRule="auto" w:before="141"/>
        <w:ind w:left="1210" w:right="102"/>
      </w:pPr>
      <w:r>
        <w:rPr>
          <w:spacing w:val="-3"/>
        </w:rPr>
        <w:t>是指主动脉壁在受到某些病理因素的破坏后，高速、高压的主动脉血流将其内膜撕裂，以致主动脉腔内的血流通过主动脉内膜的破裂口进入主动脉内壁而形成血肿。</w:t>
      </w:r>
      <w:r>
        <w:rPr>
          <w:spacing w:val="-10"/>
          <w:w w:val="100"/>
        </w:rPr>
        <w:t>被保险人需通过电脑断层扫描</w:t>
      </w:r>
      <w:r>
        <w:rPr>
          <w:spacing w:val="-3"/>
          <w:w w:val="100"/>
        </w:rPr>
        <w:t>（</w:t>
      </w:r>
      <w:r>
        <w:rPr>
          <w:rFonts w:ascii="Times New Roman" w:eastAsia="Times New Roman"/>
          <w:w w:val="100"/>
        </w:rPr>
        <w:t>C</w:t>
      </w:r>
      <w:r>
        <w:rPr>
          <w:rFonts w:ascii="Times New Roman" w:eastAsia="Times New Roman"/>
          <w:spacing w:val="-2"/>
          <w:w w:val="100"/>
        </w:rPr>
        <w:t>T</w:t>
      </w:r>
      <w:r>
        <w:rPr>
          <w:spacing w:val="-89"/>
          <w:w w:val="100"/>
        </w:rPr>
        <w:t>）</w:t>
      </w:r>
      <w:r>
        <w:rPr>
          <w:spacing w:val="-32"/>
          <w:w w:val="100"/>
        </w:rPr>
        <w:t>、磁共振扫描</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89"/>
          <w:w w:val="100"/>
        </w:rPr>
        <w:t>）</w:t>
      </w:r>
      <w:r>
        <w:rPr>
          <w:spacing w:val="-24"/>
          <w:w w:val="100"/>
        </w:rPr>
        <w:t>、磁共振血管检验法</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A</w:t>
      </w:r>
      <w:r>
        <w:rPr>
          <w:w w:val="100"/>
        </w:rPr>
        <w:t>）</w:t>
      </w:r>
      <w:r>
        <w:rPr>
          <w:spacing w:val="-3"/>
        </w:rPr>
        <w:t>或血管扫描等检查</w:t>
      </w:r>
      <w:r>
        <w:rPr>
          <w:rFonts w:ascii="Times New Roman" w:eastAsia="Times New Roman"/>
          <w:spacing w:val="-3"/>
        </w:rPr>
        <w:t>,</w:t>
      </w:r>
      <w:r>
        <w:rPr>
          <w:spacing w:val="-3"/>
        </w:rPr>
        <w:t>并须经本公司指定或认可的医疗机构的心血管专科医师确诊</w:t>
      </w:r>
    </w:p>
    <w:p>
      <w:pPr>
        <w:pStyle w:val="Heading3"/>
        <w:numPr>
          <w:ilvl w:val="2"/>
          <w:numId w:val="6"/>
        </w:numPr>
        <w:tabs>
          <w:tab w:pos="836" w:val="left" w:leader="none"/>
        </w:tabs>
        <w:spacing w:line="240" w:lineRule="auto" w:before="151" w:after="0"/>
        <w:ind w:left="835" w:right="0" w:hanging="720"/>
        <w:jc w:val="left"/>
      </w:pPr>
      <w:r>
        <w:rPr/>
        <w:t>因输血感染艾滋病</w:t>
      </w:r>
    </w:p>
    <w:p>
      <w:pPr>
        <w:pStyle w:val="BodyText"/>
        <w:spacing w:before="141"/>
        <w:ind w:left="1210"/>
      </w:pPr>
      <w:r>
        <w:rPr/>
        <w:t>被保险人感染上人类免疫缺陷病毒（</w:t>
      </w:r>
      <w:r>
        <w:rPr>
          <w:rFonts w:ascii="Times New Roman" w:eastAsia="Times New Roman"/>
        </w:rPr>
        <w:t>HIV</w:t>
      </w:r>
      <w:r>
        <w:rPr/>
        <w:t>）并且符合下列所有条件：</w:t>
      </w:r>
    </w:p>
    <w:p>
      <w:pPr>
        <w:pStyle w:val="BodyText"/>
        <w:spacing w:line="256" w:lineRule="auto"/>
        <w:ind w:left="1570" w:right="214" w:hanging="360"/>
      </w:pPr>
      <w:r>
        <w:rPr>
          <w:rFonts w:ascii="Times New Roman" w:eastAsia="Times New Roman"/>
        </w:rPr>
        <w:t>1</w:t>
      </w:r>
      <w:r>
        <w:rPr/>
        <w:t>． 在保障起始日或复效日之后，被保险人因治疗必需而接受输血，并且因输血而感染 </w:t>
      </w:r>
      <w:r>
        <w:rPr>
          <w:rFonts w:ascii="Times New Roman" w:eastAsia="Times New Roman"/>
        </w:rPr>
        <w:t>HIV</w:t>
      </w:r>
      <w:r>
        <w:rPr/>
        <w:t>；</w:t>
      </w:r>
    </w:p>
    <w:p>
      <w:pPr>
        <w:pStyle w:val="BodyText"/>
        <w:spacing w:before="160"/>
        <w:ind w:left="1210"/>
      </w:pPr>
      <w:r>
        <w:rPr>
          <w:rFonts w:ascii="Times New Roman" w:eastAsia="Times New Roman"/>
        </w:rPr>
        <w:t>2</w:t>
      </w:r>
      <w:r>
        <w:rPr/>
        <w:t>． 提供输血治疗的输血中心或医院出具该项输血感染属医疗责任事故的报告</w:t>
      </w:r>
    </w:p>
    <w:p>
      <w:pPr>
        <w:pStyle w:val="BodyText"/>
        <w:spacing w:before="176"/>
        <w:ind w:left="1210"/>
      </w:pPr>
      <w:r>
        <w:rPr>
          <w:rFonts w:ascii="Times New Roman" w:eastAsia="Times New Roman"/>
        </w:rPr>
        <w:t>3</w:t>
      </w:r>
      <w:r>
        <w:rPr/>
        <w:t>． 提供输血治疗的输血中心或医院必须拥有合法经营执照；</w:t>
      </w:r>
    </w:p>
    <w:p>
      <w:pPr>
        <w:pStyle w:val="BodyText"/>
        <w:ind w:left="1210"/>
      </w:pPr>
      <w:r>
        <w:rPr>
          <w:rFonts w:ascii="Times New Roman" w:eastAsia="Times New Roman"/>
        </w:rPr>
        <w:t>4</w:t>
      </w:r>
      <w:r>
        <w:rPr/>
        <w:t>． 受感染的被保险人不是血友病患者；</w:t>
      </w:r>
    </w:p>
    <w:p>
      <w:pPr>
        <w:pStyle w:val="BodyText"/>
        <w:spacing w:line="273" w:lineRule="auto"/>
        <w:ind w:left="1210" w:right="207"/>
        <w:rPr>
          <w:rFonts w:ascii="黑体" w:eastAsia="黑体" w:hint="eastAsia"/>
        </w:rPr>
      </w:pPr>
      <w:r>
        <w:rPr>
          <w:rFonts w:ascii="黑体" w:eastAsia="黑体" w:hint="eastAsia"/>
          <w:spacing w:val="-3"/>
        </w:rPr>
        <w:t>任何因其他传播方式</w:t>
      </w:r>
      <w:r>
        <w:rPr>
          <w:rFonts w:ascii="黑体" w:eastAsia="黑体" w:hint="eastAsia"/>
        </w:rPr>
        <w:t>（</w:t>
      </w:r>
      <w:r>
        <w:rPr>
          <w:rFonts w:ascii="黑体" w:eastAsia="黑体" w:hint="eastAsia"/>
          <w:spacing w:val="-3"/>
        </w:rPr>
        <w:t>包括：性传播或静脉注射毒品</w:t>
      </w:r>
      <w:r>
        <w:rPr>
          <w:rFonts w:ascii="黑体" w:eastAsia="黑体" w:hint="eastAsia"/>
        </w:rPr>
        <w:t>）</w:t>
      </w:r>
      <w:r>
        <w:rPr>
          <w:rFonts w:ascii="黑体" w:eastAsia="黑体" w:hint="eastAsia"/>
          <w:spacing w:val="-11"/>
        </w:rPr>
        <w:t>导致的 </w:t>
      </w:r>
      <w:r>
        <w:rPr>
          <w:rFonts w:ascii="黑体" w:eastAsia="黑体" w:hint="eastAsia"/>
        </w:rPr>
        <w:t>HIV</w:t>
      </w:r>
      <w:r>
        <w:rPr>
          <w:rFonts w:ascii="黑体" w:eastAsia="黑体" w:hint="eastAsia"/>
          <w:spacing w:val="-7"/>
        </w:rPr>
        <w:t> 感染不在本保单</w:t>
      </w:r>
      <w:r>
        <w:rPr>
          <w:rFonts w:ascii="黑体" w:eastAsia="黑体" w:hint="eastAsia"/>
          <w:spacing w:val="-5"/>
        </w:rPr>
        <w:t>保障范围内。</w:t>
      </w:r>
    </w:p>
    <w:p>
      <w:pPr>
        <w:pStyle w:val="Heading3"/>
        <w:numPr>
          <w:ilvl w:val="2"/>
          <w:numId w:val="6"/>
        </w:numPr>
        <w:tabs>
          <w:tab w:pos="836" w:val="left" w:leader="none"/>
        </w:tabs>
        <w:spacing w:line="240" w:lineRule="auto" w:before="163" w:after="0"/>
        <w:ind w:left="835" w:right="0" w:hanging="720"/>
        <w:jc w:val="left"/>
      </w:pPr>
      <w:r>
        <w:rPr/>
        <w:t>重症肌无力</w:t>
      </w:r>
    </w:p>
    <w:p>
      <w:pPr>
        <w:pStyle w:val="BodyText"/>
        <w:spacing w:line="273" w:lineRule="auto" w:before="140"/>
        <w:ind w:left="1210" w:right="208"/>
        <w:jc w:val="both"/>
      </w:pPr>
      <w:r>
        <w:rPr/>
        <w:t>是指一种神经与肌肉接头部位传递障碍的自身免疫性疾病，临床特征是局部或全身横纹肌于活动时易于疲劳无力，颅神经眼外肌最易累及，也可涉及呼吸肌、下肢近端肌群乃至全身肌肉，须经本公司认可的神经科医师确诊。其诊断必须同时具有下列情况：</w:t>
      </w:r>
    </w:p>
    <w:p>
      <w:pPr>
        <w:pStyle w:val="BodyText"/>
        <w:spacing w:before="163"/>
        <w:ind w:left="1210"/>
      </w:pPr>
      <w:r>
        <w:rPr>
          <w:rFonts w:ascii="Times New Roman" w:eastAsia="Times New Roman"/>
        </w:rPr>
        <w:t>1</w:t>
      </w:r>
      <w:r>
        <w:rPr/>
        <w:t>． 经药物、胸腺手术治疗一年以上无法控制病情，丧失正常工作能力；</w:t>
      </w:r>
    </w:p>
    <w:p>
      <w:pPr>
        <w:pStyle w:val="BodyText"/>
        <w:spacing w:line="256" w:lineRule="auto"/>
        <w:ind w:left="1570" w:right="214" w:hanging="360"/>
      </w:pPr>
      <w:r>
        <w:rPr>
          <w:rFonts w:ascii="Times New Roman" w:eastAsia="Times New Roman"/>
        </w:rPr>
        <w:t>2</w:t>
      </w:r>
      <w:r>
        <w:rPr/>
        <w:t>． 出现眼睑下垂，或延髓肌受累引起的构音困难、进食呛咳，或由于肌无力累及延髓肌、呼吸肌而致机体呼吸功能不正常的危急状态即肌无力危象；</w:t>
      </w:r>
    </w:p>
    <w:p>
      <w:pPr>
        <w:pStyle w:val="BodyText"/>
        <w:spacing w:line="256" w:lineRule="auto"/>
        <w:ind w:left="1570" w:right="214" w:hanging="360"/>
      </w:pPr>
      <w:r>
        <w:rPr>
          <w:rFonts w:ascii="Times New Roman" w:eastAsia="Times New Roman"/>
        </w:rPr>
        <w:t>3</w:t>
      </w:r>
      <w:r>
        <w:rPr/>
        <w:t>． 症状缓解、复发及恶化交替出现，临床接受新斯的明等抗胆碱酯酶药物治疗的病史。</w:t>
      </w:r>
    </w:p>
    <w:p>
      <w:pPr>
        <w:spacing w:after="0" w:line="256" w:lineRule="auto"/>
        <w:sectPr>
          <w:pgSz w:w="11910" w:h="16840"/>
          <w:pgMar w:top="1400" w:bottom="280" w:left="1680" w:right="1240"/>
        </w:sectPr>
      </w:pPr>
    </w:p>
    <w:p>
      <w:pPr>
        <w:pStyle w:val="Heading3"/>
        <w:numPr>
          <w:ilvl w:val="2"/>
          <w:numId w:val="6"/>
        </w:numPr>
        <w:tabs>
          <w:tab w:pos="836" w:val="left" w:leader="none"/>
        </w:tabs>
        <w:spacing w:line="240" w:lineRule="auto" w:before="29" w:after="0"/>
        <w:ind w:left="835" w:right="0" w:hanging="720"/>
        <w:jc w:val="left"/>
      </w:pPr>
      <w:r>
        <w:rPr>
          <w:spacing w:val="-1"/>
        </w:rPr>
        <w:t>严重的类风湿性关节炎</w:t>
      </w:r>
    </w:p>
    <w:p>
      <w:pPr>
        <w:pStyle w:val="BodyText"/>
        <w:spacing w:line="273" w:lineRule="auto" w:before="141"/>
        <w:ind w:left="1210" w:right="208"/>
        <w:jc w:val="both"/>
      </w:pPr>
      <w:r>
        <w:rPr/>
        <w:t>是指广泛的慢性渐进性的关节损害，伴有明显的关节畸形，至少累及三个或三个以上关节（如：手，腕，肘，髋，膝，踝关节）。此疾病必须已经导致了自主生活能力完全丧失，不能独立完成六项基本日常生活活动中的三项或三项以上的情形。</w:t>
      </w:r>
    </w:p>
    <w:p>
      <w:pPr>
        <w:pStyle w:val="BodyText"/>
        <w:spacing w:before="163"/>
        <w:ind w:left="1210"/>
        <w:rPr>
          <w:rFonts w:ascii="Times New Roman" w:eastAsia="Times New Roman"/>
        </w:rPr>
      </w:pPr>
      <w:r>
        <w:rPr/>
        <w:t>上述疾病需由专科医生确诊，并提供相应医疗记录以证实上述病情已经存在至少 </w:t>
      </w:r>
      <w:r>
        <w:rPr>
          <w:rFonts w:ascii="Times New Roman" w:eastAsia="Times New Roman"/>
        </w:rPr>
        <w:t>3</w:t>
      </w:r>
    </w:p>
    <w:p>
      <w:pPr>
        <w:pStyle w:val="BodyText"/>
        <w:spacing w:before="21"/>
        <w:ind w:left="1210"/>
      </w:pPr>
      <w:r>
        <w:rPr/>
        <w:t>个月。</w:t>
      </w:r>
    </w:p>
    <w:p>
      <w:pPr>
        <w:pStyle w:val="BodyText"/>
        <w:spacing w:before="9"/>
        <w:rPr>
          <w:sz w:val="14"/>
        </w:rPr>
      </w:pPr>
    </w:p>
    <w:p>
      <w:pPr>
        <w:pStyle w:val="Heading3"/>
        <w:numPr>
          <w:ilvl w:val="2"/>
          <w:numId w:val="6"/>
        </w:numPr>
        <w:tabs>
          <w:tab w:pos="836" w:val="left" w:leader="none"/>
        </w:tabs>
        <w:spacing w:line="240" w:lineRule="auto" w:before="1" w:after="0"/>
        <w:ind w:left="835" w:right="0" w:hanging="720"/>
        <w:jc w:val="left"/>
      </w:pPr>
      <w:r>
        <w:rPr/>
        <w:t>系统性红斑狼疮</w:t>
      </w:r>
    </w:p>
    <w:p>
      <w:pPr>
        <w:pStyle w:val="BodyText"/>
        <w:spacing w:line="264" w:lineRule="auto" w:before="141"/>
        <w:ind w:left="1210" w:right="102"/>
      </w:pPr>
      <w:r>
        <w:rPr>
          <w:spacing w:val="-3"/>
        </w:rPr>
        <w:t>红斑狼疮是指由于自身抗体和免疫复合物的沉积破坏了血管和细胞而导致的累及多系统损害的一种自体免疫性疾病。本保障仅限于被保险人因系统性红斑狼疮并发狼</w:t>
      </w:r>
      <w:r>
        <w:rPr>
          <w:spacing w:val="-13"/>
        </w:rPr>
        <w:t>疮性肾炎并引起肾功能损害，且肾脏病理诊断符合以下列明的世界卫生组织</w:t>
      </w:r>
      <w:r>
        <w:rPr/>
        <w:t>（</w:t>
      </w:r>
      <w:r>
        <w:rPr>
          <w:rFonts w:ascii="Times New Roman" w:eastAsia="Times New Roman"/>
        </w:rPr>
        <w:t>WHO</w:t>
      </w:r>
      <w:r>
        <w:rPr/>
        <w:t>） </w:t>
      </w:r>
      <w:r>
        <w:rPr>
          <w:spacing w:val="-7"/>
        </w:rPr>
        <w:t>对狼疮性肾炎所分类中的第 </w:t>
      </w:r>
      <w:r>
        <w:rPr>
          <w:rFonts w:ascii="Times New Roman" w:eastAsia="Times New Roman"/>
          <w:spacing w:val="-2"/>
        </w:rPr>
        <w:t>III</w:t>
      </w:r>
      <w:r>
        <w:rPr>
          <w:spacing w:val="-17"/>
        </w:rPr>
        <w:t>、</w:t>
      </w:r>
      <w:r>
        <w:rPr>
          <w:rFonts w:ascii="Times New Roman" w:eastAsia="Times New Roman"/>
        </w:rPr>
        <w:t>IV</w:t>
      </w:r>
      <w:r>
        <w:rPr>
          <w:spacing w:val="-17"/>
        </w:rPr>
        <w:t>、</w:t>
      </w:r>
      <w:r>
        <w:rPr>
          <w:rFonts w:ascii="Times New Roman" w:eastAsia="Times New Roman"/>
        </w:rPr>
        <w:t>V</w:t>
      </w:r>
      <w:r>
        <w:rPr>
          <w:spacing w:val="-17"/>
        </w:rPr>
        <w:t>、</w:t>
      </w:r>
      <w:r>
        <w:rPr>
          <w:rFonts w:ascii="Times New Roman" w:eastAsia="Times New Roman"/>
        </w:rPr>
        <w:t>VI </w:t>
      </w:r>
      <w:r>
        <w:rPr>
          <w:spacing w:val="-5"/>
        </w:rPr>
        <w:t>型。诊断须由有资格的风湿和免疫病专</w:t>
      </w:r>
      <w:r>
        <w:rPr>
          <w:spacing w:val="-4"/>
        </w:rPr>
        <w:t>科医生确认。</w:t>
      </w:r>
    </w:p>
    <w:p>
      <w:pPr>
        <w:pStyle w:val="BodyText"/>
        <w:spacing w:before="172"/>
        <w:ind w:left="1210"/>
      </w:pPr>
      <w:r>
        <w:rPr/>
        <w:t>世界卫生组织（</w:t>
      </w:r>
      <w:r>
        <w:rPr>
          <w:rFonts w:ascii="Times New Roman" w:eastAsia="Times New Roman"/>
        </w:rPr>
        <w:t>WHO</w:t>
      </w:r>
      <w:r>
        <w:rPr/>
        <w:t>）对狼疮性肾炎的分类标准：</w:t>
      </w:r>
    </w:p>
    <w:p>
      <w:pPr>
        <w:pStyle w:val="BodyText"/>
        <w:ind w:left="1210"/>
      </w:pPr>
      <w:r>
        <w:rPr>
          <w:rFonts w:ascii="Times New Roman" w:hAnsi="Times New Roman" w:eastAsia="Times New Roman"/>
        </w:rPr>
        <w:t>1</w:t>
      </w:r>
      <w:r>
        <w:rPr/>
        <w:t>． </w:t>
      </w:r>
      <w:r>
        <w:rPr>
          <w:rFonts w:ascii="Times New Roman" w:hAnsi="Times New Roman" w:eastAsia="Times New Roman"/>
        </w:rPr>
        <w:t>I  </w:t>
      </w:r>
      <w:r>
        <w:rPr/>
        <w:t>型–正常肾小球型；</w:t>
      </w:r>
    </w:p>
    <w:p>
      <w:pPr>
        <w:pStyle w:val="BodyText"/>
        <w:ind w:left="1210"/>
      </w:pPr>
      <w:r>
        <w:rPr>
          <w:rFonts w:ascii="Times New Roman" w:hAnsi="Times New Roman" w:eastAsia="Times New Roman"/>
        </w:rPr>
        <w:t>2</w:t>
      </w:r>
      <w:r>
        <w:rPr/>
        <w:t>． </w:t>
      </w:r>
      <w:r>
        <w:rPr>
          <w:rFonts w:ascii="Times New Roman" w:hAnsi="Times New Roman" w:eastAsia="Times New Roman"/>
        </w:rPr>
        <w:t>II </w:t>
      </w:r>
      <w:r>
        <w:rPr/>
        <w:t>型–系膜增生型；</w:t>
      </w:r>
    </w:p>
    <w:p>
      <w:pPr>
        <w:pStyle w:val="BodyText"/>
        <w:ind w:left="1210"/>
      </w:pPr>
      <w:r>
        <w:rPr>
          <w:rFonts w:ascii="Times New Roman" w:hAnsi="Times New Roman" w:eastAsia="Times New Roman"/>
        </w:rPr>
        <w:t>3</w:t>
      </w:r>
      <w:r>
        <w:rPr/>
        <w:t>． </w:t>
      </w:r>
      <w:r>
        <w:rPr>
          <w:rFonts w:ascii="Times New Roman" w:hAnsi="Times New Roman" w:eastAsia="Times New Roman"/>
        </w:rPr>
        <w:t>III </w:t>
      </w:r>
      <w:r>
        <w:rPr/>
        <w:t>型–局灶及节段增生型；</w:t>
      </w:r>
    </w:p>
    <w:p>
      <w:pPr>
        <w:pStyle w:val="BodyText"/>
        <w:ind w:left="1210"/>
      </w:pPr>
      <w:r>
        <w:rPr>
          <w:rFonts w:ascii="Times New Roman" w:hAnsi="Times New Roman" w:eastAsia="Times New Roman"/>
        </w:rPr>
        <w:t>4</w:t>
      </w:r>
      <w:r>
        <w:rPr/>
        <w:t>． </w:t>
      </w:r>
      <w:r>
        <w:rPr>
          <w:rFonts w:ascii="Times New Roman" w:hAnsi="Times New Roman" w:eastAsia="Times New Roman"/>
        </w:rPr>
        <w:t>IV </w:t>
      </w:r>
      <w:r>
        <w:rPr/>
        <w:t>型–弥漫增生型；</w:t>
      </w:r>
    </w:p>
    <w:p>
      <w:pPr>
        <w:pStyle w:val="BodyText"/>
        <w:ind w:left="1210"/>
      </w:pPr>
      <w:r>
        <w:rPr>
          <w:rFonts w:ascii="Times New Roman" w:hAnsi="Times New Roman" w:eastAsia="Times New Roman"/>
        </w:rPr>
        <w:t>5</w:t>
      </w:r>
      <w:r>
        <w:rPr/>
        <w:t>． </w:t>
      </w:r>
      <w:r>
        <w:rPr>
          <w:rFonts w:ascii="Times New Roman" w:hAnsi="Times New Roman" w:eastAsia="Times New Roman"/>
        </w:rPr>
        <w:t>V </w:t>
      </w:r>
      <w:r>
        <w:rPr/>
        <w:t>型–膜型；</w:t>
      </w:r>
    </w:p>
    <w:p>
      <w:pPr>
        <w:pStyle w:val="BodyText"/>
        <w:ind w:left="1210"/>
      </w:pPr>
      <w:r>
        <w:rPr>
          <w:rFonts w:ascii="Times New Roman" w:hAnsi="Times New Roman" w:eastAsia="Times New Roman"/>
        </w:rPr>
        <w:t>6</w:t>
      </w:r>
      <w:r>
        <w:rPr/>
        <w:t>． </w:t>
      </w:r>
      <w:r>
        <w:rPr>
          <w:rFonts w:ascii="Times New Roman" w:hAnsi="Times New Roman" w:eastAsia="Times New Roman"/>
        </w:rPr>
        <w:t>VI </w:t>
      </w:r>
      <w:r>
        <w:rPr/>
        <w:t>型–肾小球硬化型。</w:t>
      </w:r>
    </w:p>
    <w:p>
      <w:pPr>
        <w:pStyle w:val="Heading3"/>
        <w:numPr>
          <w:ilvl w:val="2"/>
          <w:numId w:val="6"/>
        </w:numPr>
        <w:tabs>
          <w:tab w:pos="836" w:val="left" w:leader="none"/>
        </w:tabs>
        <w:spacing w:line="240" w:lineRule="auto" w:before="177" w:after="0"/>
        <w:ind w:left="835" w:right="0" w:hanging="720"/>
        <w:jc w:val="left"/>
      </w:pPr>
      <w:r>
        <w:rPr/>
        <w:t>慢性复发性胰腺炎</w:t>
      </w:r>
    </w:p>
    <w:p>
      <w:pPr>
        <w:pStyle w:val="BodyText"/>
        <w:spacing w:line="264" w:lineRule="auto" w:before="142"/>
        <w:ind w:left="1210" w:right="208"/>
        <w:jc w:val="both"/>
      </w:pPr>
      <w:r>
        <w:rPr>
          <w:spacing w:val="-3"/>
        </w:rPr>
        <w:t>有腹痛等典型症状的胰腺炎反复发作，导致胰腺进行性破坏，并导致胰腺功能紊乱而导致严重糖尿病以及营养不良、恶液质。</w:t>
      </w:r>
      <w:r>
        <w:rPr>
          <w:rFonts w:ascii="Times New Roman" w:eastAsia="Times New Roman"/>
          <w:spacing w:val="-3"/>
        </w:rPr>
        <w:t>CT </w:t>
      </w:r>
      <w:r>
        <w:rPr/>
        <w:t>检查证实胰腺存在广泛钙化，且必</w:t>
      </w:r>
      <w:r>
        <w:rPr>
          <w:spacing w:val="-5"/>
        </w:rPr>
        <w:t>须接受酶替代以及胰岛素替代治疗 </w:t>
      </w:r>
      <w:r>
        <w:rPr>
          <w:rFonts w:ascii="Times New Roman" w:eastAsia="Times New Roman"/>
        </w:rPr>
        <w:t>6 </w:t>
      </w:r>
      <w:r>
        <w:rPr>
          <w:spacing w:val="-3"/>
        </w:rPr>
        <w:t>个月以上。诊断必须由消化科专科医生确诊。</w:t>
      </w:r>
    </w:p>
    <w:p>
      <w:pPr>
        <w:pStyle w:val="BodyText"/>
        <w:spacing w:before="154"/>
        <w:ind w:left="1210"/>
        <w:rPr>
          <w:rFonts w:ascii="黑体" w:eastAsia="黑体" w:hint="eastAsia"/>
        </w:rPr>
      </w:pPr>
      <w:r>
        <w:rPr>
          <w:rFonts w:ascii="黑体" w:eastAsia="黑体" w:hint="eastAsia"/>
        </w:rPr>
        <w:t>酒精导致的慢性复发性胰腺炎除外。</w:t>
      </w:r>
    </w:p>
    <w:p>
      <w:pPr>
        <w:pStyle w:val="BodyText"/>
        <w:spacing w:before="9"/>
        <w:rPr>
          <w:rFonts w:ascii="黑体"/>
          <w:sz w:val="14"/>
        </w:rPr>
      </w:pPr>
    </w:p>
    <w:p>
      <w:pPr>
        <w:pStyle w:val="Heading3"/>
        <w:numPr>
          <w:ilvl w:val="2"/>
          <w:numId w:val="6"/>
        </w:numPr>
        <w:tabs>
          <w:tab w:pos="836" w:val="left" w:leader="none"/>
        </w:tabs>
        <w:spacing w:line="240" w:lineRule="auto" w:before="0" w:after="0"/>
        <w:ind w:left="835" w:right="0" w:hanging="720"/>
        <w:jc w:val="left"/>
      </w:pPr>
      <w:r>
        <w:rPr/>
        <w:t>严重的肌营养不良症</w:t>
      </w:r>
    </w:p>
    <w:p>
      <w:pPr>
        <w:pStyle w:val="BodyText"/>
        <w:spacing w:line="273" w:lineRule="auto" w:before="140"/>
        <w:ind w:left="1210" w:right="208"/>
      </w:pPr>
      <w:r>
        <w:rPr/>
        <w:t>肌营养不良症是一组遗传性肌肉变性坏死性病变，临床特征为与神经系统无关的骨骼肌对称地进行性无力和萎缩，其诊断需同时符合以下条件：</w:t>
      </w:r>
    </w:p>
    <w:p>
      <w:pPr>
        <w:pStyle w:val="BodyText"/>
        <w:spacing w:before="163"/>
        <w:ind w:left="1210"/>
      </w:pPr>
      <w:r>
        <w:rPr>
          <w:rFonts w:ascii="Times New Roman" w:eastAsia="Times New Roman"/>
        </w:rPr>
        <w:t>1</w:t>
      </w:r>
      <w:r>
        <w:rPr/>
        <w:t>． 肌电图显示典型肌营养不良症的阳性改变；</w:t>
      </w:r>
    </w:p>
    <w:p>
      <w:pPr>
        <w:pStyle w:val="BodyText"/>
        <w:ind w:left="1210"/>
      </w:pPr>
      <w:r>
        <w:rPr>
          <w:rFonts w:ascii="Times New Roman" w:eastAsia="Times New Roman"/>
        </w:rPr>
        <w:t>2</w:t>
      </w:r>
      <w:r>
        <w:rPr/>
        <w:t>． 血清肌酸磷酸激酶（</w:t>
      </w:r>
      <w:r>
        <w:rPr>
          <w:rFonts w:ascii="Times New Roman" w:eastAsia="Times New Roman"/>
        </w:rPr>
        <w:t>CPK</w:t>
      </w:r>
      <w:r>
        <w:rPr/>
        <w:t>）升高</w:t>
      </w:r>
    </w:p>
    <w:p>
      <w:pPr>
        <w:pStyle w:val="BodyText"/>
        <w:spacing w:before="178"/>
        <w:ind w:left="1210"/>
      </w:pPr>
      <w:r>
        <w:rPr>
          <w:rFonts w:ascii="Times New Roman" w:eastAsia="Times New Roman"/>
        </w:rPr>
        <w:t>3</w:t>
      </w:r>
      <w:r>
        <w:rPr/>
        <w:t>． 肌肉活检的病理学诊断符合肌营养不良症的肌肉细胞变性、坏死等阳性改变。</w:t>
      </w:r>
    </w:p>
    <w:p>
      <w:pPr>
        <w:pStyle w:val="BodyText"/>
        <w:spacing w:line="256" w:lineRule="auto"/>
        <w:ind w:left="1570" w:right="148" w:hanging="360"/>
      </w:pPr>
      <w:r>
        <w:rPr>
          <w:rFonts w:ascii="Times New Roman" w:eastAsia="Times New Roman"/>
        </w:rPr>
        <w:t>4</w:t>
      </w:r>
      <w:r>
        <w:rPr/>
        <w:t>． 疾病确诊 </w:t>
      </w:r>
      <w:r>
        <w:rPr>
          <w:rFonts w:ascii="Times New Roman" w:eastAsia="Times New Roman"/>
        </w:rPr>
        <w:t>180 </w:t>
      </w:r>
      <w:r>
        <w:rPr/>
        <w:t>天以后，被保险人仍完全丧失独立生活能力，无法独立完成六项基本日常生活活动中的三项或三项以上</w:t>
      </w:r>
    </w:p>
    <w:p>
      <w:pPr>
        <w:pStyle w:val="Heading3"/>
        <w:numPr>
          <w:ilvl w:val="2"/>
          <w:numId w:val="6"/>
        </w:numPr>
        <w:tabs>
          <w:tab w:pos="836" w:val="left" w:leader="none"/>
        </w:tabs>
        <w:spacing w:line="240" w:lineRule="auto" w:before="178" w:after="0"/>
        <w:ind w:left="835" w:right="0" w:hanging="720"/>
        <w:jc w:val="left"/>
      </w:pPr>
      <w:r>
        <w:rPr/>
        <w:t>严重的多发性硬化</w:t>
      </w:r>
    </w:p>
    <w:p>
      <w:pPr>
        <w:pStyle w:val="BodyText"/>
        <w:spacing w:before="141"/>
        <w:ind w:left="1210"/>
      </w:pPr>
      <w:r>
        <w:rPr/>
        <w:t>多发性硬化症为中枢神经系统白质多灶性脱髓鞘病变，病变有时累及灰质。多发性</w:t>
      </w:r>
    </w:p>
    <w:p>
      <w:pPr>
        <w:spacing w:after="0"/>
        <w:sectPr>
          <w:pgSz w:w="11910" w:h="16840"/>
          <w:pgMar w:top="1380" w:bottom="280" w:left="1680" w:right="1240"/>
        </w:sectPr>
      </w:pPr>
    </w:p>
    <w:p>
      <w:pPr>
        <w:pStyle w:val="BodyText"/>
        <w:spacing w:line="266" w:lineRule="auto" w:before="9"/>
        <w:ind w:left="1690" w:right="267"/>
        <w:jc w:val="both"/>
      </w:pPr>
      <w:r>
        <w:rPr>
          <w:spacing w:val="-3"/>
        </w:rPr>
        <w:t>硬化症必须由我们认可的医院的神经专科医生确诊。必须伴有典型的脱髓鞘症状和</w:t>
      </w:r>
      <w:r>
        <w:rPr>
          <w:spacing w:val="-5"/>
        </w:rPr>
        <w:t>运动及感觉功能障碍的证据并有 </w:t>
      </w:r>
      <w:r>
        <w:rPr>
          <w:rFonts w:ascii="Times New Roman" w:eastAsia="Times New Roman"/>
        </w:rPr>
        <w:t>MRI </w:t>
      </w:r>
      <w:r>
        <w:rPr>
          <w:spacing w:val="-3"/>
        </w:rPr>
        <w:t>和脑脊液检查的典型改变。 多发性硬化症必须造成神经系统永久性功能损害并且已导致被保险人自主生活能力完全丧失，无法</w:t>
      </w:r>
      <w:r>
        <w:rPr>
          <w:spacing w:val="-5"/>
        </w:rPr>
        <w:t>独立完成六项基本日常生活活动中的三项或三项以上持续达 </w:t>
      </w:r>
      <w:r>
        <w:rPr>
          <w:rFonts w:ascii="Times New Roman" w:eastAsia="Times New Roman"/>
        </w:rPr>
        <w:t>180 </w:t>
      </w:r>
      <w:r>
        <w:rPr>
          <w:spacing w:val="-3"/>
        </w:rPr>
        <w:t>天以上。</w:t>
      </w:r>
    </w:p>
    <w:p>
      <w:pPr>
        <w:pStyle w:val="Heading3"/>
        <w:numPr>
          <w:ilvl w:val="2"/>
          <w:numId w:val="6"/>
        </w:numPr>
        <w:tabs>
          <w:tab w:pos="1316" w:val="left" w:leader="none"/>
        </w:tabs>
        <w:spacing w:line="240" w:lineRule="auto" w:before="151" w:after="0"/>
        <w:ind w:left="1315" w:right="0" w:hanging="720"/>
        <w:jc w:val="left"/>
      </w:pPr>
      <w:r>
        <w:rPr/>
        <w:t>急性脊髓灰质炎</w:t>
      </w:r>
    </w:p>
    <w:p>
      <w:pPr>
        <w:pStyle w:val="BodyText"/>
        <w:spacing w:line="273" w:lineRule="auto" w:before="140"/>
        <w:ind w:left="1690" w:right="268"/>
        <w:jc w:val="both"/>
        <w:rPr>
          <w:rFonts w:ascii="黑体" w:eastAsia="黑体" w:hint="eastAsia"/>
        </w:rPr>
      </w:pPr>
      <w:r>
        <w:rPr/>
        <w:t>是指由于急性脊髓灰质炎病毒感染所导致的运动功能障碍或呼吸功能减弱的瘫痪性疾病。诊断必须由本公司认可的神经科专科医生确诊并提供相关的脊髓灰质炎病毒感染的证据（例如：脑脊液检查或血清学抗体检查报告）。</w:t>
      </w:r>
      <w:r>
        <w:rPr>
          <w:rFonts w:ascii="黑体" w:eastAsia="黑体" w:hint="eastAsia"/>
        </w:rPr>
        <w:t>未导致肢体瘫痪及其它病因所致的瘫痪，例如格林一巴利综合症(急性感染性多神经炎)则不在此保障范围以内。</w:t>
      </w:r>
    </w:p>
    <w:p>
      <w:pPr>
        <w:pStyle w:val="Heading3"/>
        <w:numPr>
          <w:ilvl w:val="2"/>
          <w:numId w:val="6"/>
        </w:numPr>
        <w:tabs>
          <w:tab w:pos="1316" w:val="left" w:leader="none"/>
        </w:tabs>
        <w:spacing w:line="240" w:lineRule="auto" w:before="163" w:after="0"/>
        <w:ind w:left="1315" w:right="0" w:hanging="720"/>
        <w:jc w:val="left"/>
      </w:pPr>
      <w:r>
        <w:rPr/>
        <w:t>终末期肺病</w:t>
      </w:r>
    </w:p>
    <w:p>
      <w:pPr>
        <w:pStyle w:val="BodyText"/>
        <w:spacing w:line="273" w:lineRule="auto" w:before="141"/>
        <w:ind w:left="1690" w:right="268"/>
        <w:jc w:val="both"/>
      </w:pPr>
      <w:r>
        <w:rPr/>
        <w:t>是指被保险人必须经本公司认可的医院的呼吸科专科医师确诊患有慢性肺部疾病而出现慢性呼吸功能衰竭，其诊断标准包括以下各项：</w:t>
      </w:r>
    </w:p>
    <w:p>
      <w:pPr>
        <w:pStyle w:val="BodyText"/>
        <w:spacing w:before="163"/>
        <w:ind w:left="1690"/>
        <w:jc w:val="both"/>
      </w:pPr>
      <w:r>
        <w:rPr>
          <w:rFonts w:ascii="Times New Roman" w:eastAsia="Times New Roman"/>
        </w:rPr>
        <w:t>1</w:t>
      </w:r>
      <w:r>
        <w:rPr/>
        <w:t>． 肺功能测试其 </w:t>
      </w:r>
      <w:r>
        <w:rPr>
          <w:rFonts w:ascii="Times New Roman" w:eastAsia="Times New Roman"/>
        </w:rPr>
        <w:t>FEV1 </w:t>
      </w:r>
      <w:r>
        <w:rPr/>
        <w:t>持续低于 </w:t>
      </w:r>
      <w:r>
        <w:rPr>
          <w:rFonts w:ascii="Times New Roman" w:eastAsia="Times New Roman"/>
        </w:rPr>
        <w:t>1 </w:t>
      </w:r>
      <w:r>
        <w:rPr/>
        <w:t>升。</w:t>
      </w:r>
    </w:p>
    <w:p>
      <w:pPr>
        <w:pStyle w:val="BodyText"/>
        <w:spacing w:before="176"/>
        <w:ind w:left="1690"/>
        <w:jc w:val="both"/>
      </w:pPr>
      <w:r>
        <w:rPr>
          <w:rFonts w:ascii="Times New Roman" w:eastAsia="Times New Roman"/>
        </w:rPr>
        <w:t>2</w:t>
      </w:r>
      <w:r>
        <w:rPr/>
        <w:t>． 病人血氧不足必须持续地进行输氧治疗。</w:t>
      </w:r>
    </w:p>
    <w:p>
      <w:pPr>
        <w:pStyle w:val="BodyText"/>
        <w:spacing w:before="176"/>
        <w:ind w:left="1690"/>
        <w:jc w:val="both"/>
      </w:pPr>
      <w:r>
        <w:rPr>
          <w:rFonts w:ascii="Times New Roman" w:eastAsia="Times New Roman"/>
        </w:rPr>
        <w:t>3</w:t>
      </w:r>
      <w:r>
        <w:rPr/>
        <w:t>． 动脉血气分析氧分压等于或低于 </w:t>
      </w:r>
      <w:r>
        <w:rPr>
          <w:rFonts w:ascii="Times New Roman" w:eastAsia="Times New Roman"/>
        </w:rPr>
        <w:t>55mmHg</w:t>
      </w:r>
      <w:r>
        <w:rPr/>
        <w:t>。</w:t>
      </w:r>
    </w:p>
    <w:p>
      <w:pPr>
        <w:pStyle w:val="BodyText"/>
        <w:spacing w:before="176"/>
        <w:ind w:left="1690"/>
        <w:jc w:val="both"/>
      </w:pPr>
      <w:r>
        <w:rPr>
          <w:rFonts w:ascii="Times New Roman" w:eastAsia="Times New Roman"/>
        </w:rPr>
        <w:t>4</w:t>
      </w:r>
      <w:r>
        <w:rPr/>
        <w:t>． 休息时出现呼吸困难。</w:t>
      </w:r>
    </w:p>
    <w:p>
      <w:pPr>
        <w:pStyle w:val="Heading3"/>
        <w:numPr>
          <w:ilvl w:val="2"/>
          <w:numId w:val="6"/>
        </w:numPr>
        <w:tabs>
          <w:tab w:pos="1316" w:val="left" w:leader="none"/>
        </w:tabs>
        <w:spacing w:line="240" w:lineRule="auto" w:before="176" w:after="0"/>
        <w:ind w:left="1315" w:right="0" w:hanging="720"/>
        <w:jc w:val="left"/>
      </w:pPr>
      <w:r>
        <w:rPr/>
        <w:t>组别</w:t>
      </w:r>
    </w:p>
    <w:p>
      <w:pPr>
        <w:pStyle w:val="BodyText"/>
        <w:spacing w:before="140"/>
        <w:ind w:left="1690"/>
        <w:jc w:val="both"/>
      </w:pPr>
      <w:r>
        <w:rPr/>
        <w:t>本附加合同所列的 </w:t>
      </w:r>
      <w:r>
        <w:rPr>
          <w:rFonts w:ascii="Times New Roman" w:eastAsia="Times New Roman"/>
        </w:rPr>
        <w:t>36 </w:t>
      </w:r>
      <w:r>
        <w:rPr/>
        <w:t>种重大疾病分为以下 </w:t>
      </w:r>
      <w:r>
        <w:rPr>
          <w:rFonts w:ascii="Times New Roman" w:eastAsia="Times New Roman"/>
        </w:rPr>
        <w:t>2 </w:t>
      </w:r>
      <w:r>
        <w:rPr/>
        <w:t>组：</w:t>
      </w:r>
    </w:p>
    <w:p>
      <w:pPr>
        <w:pStyle w:val="BodyText"/>
        <w:spacing w:before="5" w:after="1"/>
        <w:rPr>
          <w:sz w:val="14"/>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5"/>
        <w:gridCol w:w="4643"/>
      </w:tblGrid>
      <w:tr>
        <w:trPr>
          <w:trHeight w:val="441" w:hRule="atLeast"/>
        </w:trPr>
        <w:tc>
          <w:tcPr>
            <w:tcW w:w="4645" w:type="dxa"/>
            <w:tcBorders>
              <w:bottom w:val="single" w:sz="6" w:space="0" w:color="000000"/>
            </w:tcBorders>
          </w:tcPr>
          <w:p>
            <w:pPr>
              <w:pStyle w:val="TableParagraph"/>
              <w:spacing w:line="278" w:lineRule="exact"/>
              <w:ind w:left="1539" w:right="1533"/>
              <w:jc w:val="center"/>
              <w:rPr>
                <w:sz w:val="21"/>
              </w:rPr>
            </w:pPr>
            <w:r>
              <w:rPr>
                <w:sz w:val="21"/>
              </w:rPr>
              <w:t>第一组（</w:t>
            </w:r>
            <w:r>
              <w:rPr>
                <w:rFonts w:ascii="Times New Roman" w:eastAsia="Times New Roman"/>
                <w:sz w:val="21"/>
              </w:rPr>
              <w:t>15 </w:t>
            </w:r>
            <w:r>
              <w:rPr>
                <w:sz w:val="21"/>
              </w:rPr>
              <w:t>种）</w:t>
            </w:r>
          </w:p>
        </w:tc>
        <w:tc>
          <w:tcPr>
            <w:tcW w:w="4643" w:type="dxa"/>
            <w:tcBorders>
              <w:bottom w:val="single" w:sz="6" w:space="0" w:color="000000"/>
            </w:tcBorders>
          </w:tcPr>
          <w:p>
            <w:pPr>
              <w:pStyle w:val="TableParagraph"/>
              <w:spacing w:line="278" w:lineRule="exact"/>
              <w:ind w:left="1536" w:right="1533"/>
              <w:jc w:val="center"/>
              <w:rPr>
                <w:sz w:val="21"/>
              </w:rPr>
            </w:pPr>
            <w:r>
              <w:rPr>
                <w:sz w:val="21"/>
              </w:rPr>
              <w:t>第二组（</w:t>
            </w:r>
            <w:r>
              <w:rPr>
                <w:rFonts w:ascii="Times New Roman" w:eastAsia="Times New Roman"/>
                <w:sz w:val="21"/>
              </w:rPr>
              <w:t>21 </w:t>
            </w:r>
            <w:r>
              <w:rPr>
                <w:sz w:val="21"/>
              </w:rPr>
              <w:t>种）</w:t>
            </w:r>
          </w:p>
        </w:tc>
      </w:tr>
      <w:tr>
        <w:trPr>
          <w:trHeight w:val="381" w:hRule="atLeast"/>
        </w:trPr>
        <w:tc>
          <w:tcPr>
            <w:tcW w:w="4645" w:type="dxa"/>
            <w:tcBorders>
              <w:top w:val="single" w:sz="6" w:space="0" w:color="000000"/>
              <w:bottom w:val="nil"/>
            </w:tcBorders>
          </w:tcPr>
          <w:p>
            <w:pPr>
              <w:pStyle w:val="TableParagraph"/>
              <w:tabs>
                <w:tab w:pos="738" w:val="left" w:leader="none"/>
              </w:tabs>
              <w:spacing w:line="276" w:lineRule="exact"/>
              <w:ind w:left="107"/>
              <w:rPr>
                <w:b/>
                <w:sz w:val="21"/>
              </w:rPr>
            </w:pPr>
            <w:r>
              <w:rPr>
                <w:rFonts w:ascii="Times New Roman" w:eastAsia="Times New Roman"/>
                <w:b/>
                <w:sz w:val="21"/>
              </w:rPr>
              <w:t>7.1.1</w:t>
              <w:tab/>
            </w:r>
            <w:r>
              <w:rPr>
                <w:b/>
                <w:sz w:val="21"/>
              </w:rPr>
              <w:t>恶性肿瘤</w:t>
            </w:r>
          </w:p>
        </w:tc>
        <w:tc>
          <w:tcPr>
            <w:tcW w:w="4643" w:type="dxa"/>
            <w:tcBorders>
              <w:top w:val="single" w:sz="6" w:space="0" w:color="000000"/>
              <w:bottom w:val="nil"/>
            </w:tcBorders>
          </w:tcPr>
          <w:p>
            <w:pPr>
              <w:pStyle w:val="TableParagraph"/>
              <w:tabs>
                <w:tab w:pos="736" w:val="left" w:leader="none"/>
              </w:tabs>
              <w:spacing w:line="276" w:lineRule="exact"/>
              <w:rPr>
                <w:b/>
                <w:sz w:val="21"/>
              </w:rPr>
            </w:pPr>
            <w:r>
              <w:rPr>
                <w:rFonts w:ascii="Times New Roman" w:eastAsia="Times New Roman"/>
                <w:b/>
                <w:sz w:val="21"/>
              </w:rPr>
              <w:t>7.1.2</w:t>
              <w:tab/>
            </w:r>
            <w:r>
              <w:rPr>
                <w:b/>
                <w:sz w:val="21"/>
              </w:rPr>
              <w:t>急性心肌梗塞</w:t>
            </w:r>
          </w:p>
        </w:tc>
      </w:tr>
      <w:tr>
        <w:trPr>
          <w:trHeight w:val="448" w:hRule="atLeast"/>
        </w:trPr>
        <w:tc>
          <w:tcPr>
            <w:tcW w:w="4645" w:type="dxa"/>
            <w:tcBorders>
              <w:top w:val="nil"/>
              <w:bottom w:val="nil"/>
            </w:tcBorders>
          </w:tcPr>
          <w:p>
            <w:pPr>
              <w:pStyle w:val="TableParagraph"/>
              <w:tabs>
                <w:tab w:pos="738" w:val="left" w:leader="none"/>
              </w:tabs>
              <w:spacing w:before="48"/>
              <w:ind w:left="107"/>
              <w:rPr>
                <w:b/>
                <w:sz w:val="21"/>
              </w:rPr>
            </w:pPr>
            <w:r>
              <w:rPr>
                <w:rFonts w:ascii="Times New Roman" w:eastAsia="Times New Roman"/>
                <w:b/>
                <w:sz w:val="21"/>
              </w:rPr>
              <w:t>7.1.4</w:t>
              <w:tab/>
            </w:r>
            <w:r>
              <w:rPr>
                <w:b/>
                <w:spacing w:val="-1"/>
                <w:sz w:val="21"/>
              </w:rPr>
              <w:t>重大器官移植术或造血干细胞移植术</w:t>
            </w:r>
          </w:p>
        </w:tc>
        <w:tc>
          <w:tcPr>
            <w:tcW w:w="4643" w:type="dxa"/>
            <w:tcBorders>
              <w:top w:val="nil"/>
              <w:bottom w:val="nil"/>
            </w:tcBorders>
          </w:tcPr>
          <w:p>
            <w:pPr>
              <w:pStyle w:val="TableParagraph"/>
              <w:tabs>
                <w:tab w:pos="736" w:val="left" w:leader="none"/>
              </w:tabs>
              <w:spacing w:before="48"/>
              <w:rPr>
                <w:b/>
                <w:sz w:val="21"/>
              </w:rPr>
            </w:pPr>
            <w:r>
              <w:rPr>
                <w:rFonts w:ascii="Times New Roman" w:eastAsia="Times New Roman"/>
                <w:b/>
                <w:sz w:val="21"/>
              </w:rPr>
              <w:t>7.1.3</w:t>
              <w:tab/>
            </w:r>
            <w:r>
              <w:rPr>
                <w:b/>
                <w:sz w:val="21"/>
              </w:rPr>
              <w:t>脑中风后遗症</w:t>
            </w:r>
          </w:p>
        </w:tc>
      </w:tr>
      <w:tr>
        <w:trPr>
          <w:trHeight w:val="724" w:hRule="atLeast"/>
        </w:trPr>
        <w:tc>
          <w:tcPr>
            <w:tcW w:w="4645" w:type="dxa"/>
            <w:tcBorders>
              <w:top w:val="nil"/>
              <w:bottom w:val="nil"/>
            </w:tcBorders>
          </w:tcPr>
          <w:p>
            <w:pPr>
              <w:pStyle w:val="TableParagraph"/>
              <w:tabs>
                <w:tab w:pos="738" w:val="left" w:leader="none"/>
              </w:tabs>
              <w:spacing w:line="256" w:lineRule="auto" w:before="52"/>
              <w:ind w:left="107" w:right="94"/>
              <w:rPr>
                <w:b/>
                <w:sz w:val="21"/>
              </w:rPr>
            </w:pPr>
            <w:r>
              <w:rPr>
                <w:rFonts w:ascii="Times New Roman" w:eastAsia="Times New Roman"/>
                <w:b/>
                <w:sz w:val="21"/>
              </w:rPr>
              <w:t>7.1.6</w:t>
              <w:tab/>
            </w:r>
            <w:r>
              <w:rPr>
                <w:b/>
                <w:sz w:val="21"/>
              </w:rPr>
              <w:t>终末期肾病（</w:t>
            </w:r>
            <w:r>
              <w:rPr>
                <w:b/>
                <w:spacing w:val="-2"/>
                <w:sz w:val="21"/>
              </w:rPr>
              <w:t>或称慢性肾功能衰竭尿毒症 期）</w:t>
            </w:r>
          </w:p>
        </w:tc>
        <w:tc>
          <w:tcPr>
            <w:tcW w:w="4643" w:type="dxa"/>
            <w:tcBorders>
              <w:top w:val="nil"/>
              <w:bottom w:val="nil"/>
            </w:tcBorders>
          </w:tcPr>
          <w:p>
            <w:pPr>
              <w:pStyle w:val="TableParagraph"/>
              <w:tabs>
                <w:tab w:pos="736" w:val="left" w:leader="none"/>
              </w:tabs>
              <w:spacing w:line="256" w:lineRule="auto" w:before="52"/>
              <w:ind w:right="95"/>
              <w:rPr>
                <w:b/>
                <w:sz w:val="21"/>
              </w:rPr>
            </w:pPr>
            <w:r>
              <w:rPr>
                <w:rFonts w:ascii="Times New Roman" w:eastAsia="Times New Roman"/>
                <w:b/>
                <w:sz w:val="21"/>
              </w:rPr>
              <w:t>7.1.5</w:t>
              <w:tab/>
            </w:r>
            <w:r>
              <w:rPr>
                <w:b/>
                <w:sz w:val="21"/>
              </w:rPr>
              <w:t>冠状动脉搭桥术</w:t>
            </w:r>
            <w:r>
              <w:rPr>
                <w:b/>
                <w:spacing w:val="-3"/>
                <w:sz w:val="21"/>
              </w:rPr>
              <w:t>（</w:t>
            </w:r>
            <w:r>
              <w:rPr>
                <w:b/>
                <w:sz w:val="21"/>
              </w:rPr>
              <w:t>或称冠状动脉旁路移植 术）</w:t>
            </w:r>
          </w:p>
        </w:tc>
      </w:tr>
      <w:tr>
        <w:trPr>
          <w:trHeight w:val="427" w:hRule="atLeast"/>
        </w:trPr>
        <w:tc>
          <w:tcPr>
            <w:tcW w:w="4645" w:type="dxa"/>
            <w:tcBorders>
              <w:top w:val="nil"/>
              <w:bottom w:val="nil"/>
            </w:tcBorders>
          </w:tcPr>
          <w:p>
            <w:pPr>
              <w:pStyle w:val="TableParagraph"/>
              <w:tabs>
                <w:tab w:pos="738" w:val="left" w:leader="none"/>
              </w:tabs>
              <w:spacing w:before="27"/>
              <w:ind w:left="107"/>
              <w:rPr>
                <w:b/>
                <w:sz w:val="21"/>
              </w:rPr>
            </w:pPr>
            <w:r>
              <w:rPr>
                <w:rFonts w:ascii="Times New Roman" w:eastAsia="Times New Roman"/>
                <w:b/>
                <w:sz w:val="21"/>
              </w:rPr>
              <w:t>7.1.8</w:t>
              <w:tab/>
            </w:r>
            <w:r>
              <w:rPr>
                <w:b/>
                <w:spacing w:val="-1"/>
                <w:sz w:val="21"/>
              </w:rPr>
              <w:t>急性或亚急性重症肝炎</w:t>
            </w:r>
          </w:p>
        </w:tc>
        <w:tc>
          <w:tcPr>
            <w:tcW w:w="4643" w:type="dxa"/>
            <w:tcBorders>
              <w:top w:val="nil"/>
              <w:bottom w:val="nil"/>
            </w:tcBorders>
          </w:tcPr>
          <w:p>
            <w:pPr>
              <w:pStyle w:val="TableParagraph"/>
              <w:tabs>
                <w:tab w:pos="736" w:val="left" w:leader="none"/>
              </w:tabs>
              <w:spacing w:before="27"/>
              <w:rPr>
                <w:b/>
                <w:sz w:val="21"/>
              </w:rPr>
            </w:pPr>
            <w:r>
              <w:rPr>
                <w:rFonts w:ascii="Times New Roman" w:eastAsia="Times New Roman"/>
                <w:b/>
                <w:sz w:val="21"/>
              </w:rPr>
              <w:t>7.1.7</w:t>
              <w:tab/>
            </w:r>
            <w:r>
              <w:rPr>
                <w:b/>
                <w:sz w:val="21"/>
              </w:rPr>
              <w:t>多个肢体缺失</w:t>
            </w:r>
          </w:p>
        </w:tc>
      </w:tr>
      <w:tr>
        <w:trPr>
          <w:trHeight w:val="454" w:hRule="atLeast"/>
        </w:trPr>
        <w:tc>
          <w:tcPr>
            <w:tcW w:w="4645" w:type="dxa"/>
            <w:tcBorders>
              <w:top w:val="nil"/>
              <w:bottom w:val="nil"/>
            </w:tcBorders>
          </w:tcPr>
          <w:p>
            <w:pPr>
              <w:pStyle w:val="TableParagraph"/>
              <w:tabs>
                <w:tab w:pos="738" w:val="left" w:leader="none"/>
              </w:tabs>
              <w:spacing w:before="52"/>
              <w:ind w:left="107"/>
              <w:rPr>
                <w:b/>
                <w:sz w:val="21"/>
              </w:rPr>
            </w:pPr>
            <w:r>
              <w:rPr>
                <w:rFonts w:ascii="Times New Roman" w:eastAsia="Times New Roman"/>
                <w:b/>
                <w:sz w:val="21"/>
              </w:rPr>
              <w:t>7.1.9</w:t>
              <w:tab/>
            </w:r>
            <w:r>
              <w:rPr>
                <w:b/>
                <w:sz w:val="21"/>
              </w:rPr>
              <w:t>良性脑肿瘤</w:t>
            </w:r>
          </w:p>
        </w:tc>
        <w:tc>
          <w:tcPr>
            <w:tcW w:w="4643" w:type="dxa"/>
            <w:tcBorders>
              <w:top w:val="nil"/>
              <w:bottom w:val="nil"/>
            </w:tcBorders>
          </w:tcPr>
          <w:p>
            <w:pPr>
              <w:pStyle w:val="TableParagraph"/>
              <w:tabs>
                <w:tab w:pos="830" w:val="left" w:leader="none"/>
              </w:tabs>
              <w:spacing w:before="52"/>
              <w:rPr>
                <w:b/>
                <w:sz w:val="21"/>
              </w:rPr>
            </w:pPr>
            <w:r>
              <w:rPr>
                <w:rFonts w:ascii="Times New Roman" w:eastAsia="Times New Roman"/>
                <w:b/>
                <w:spacing w:val="-3"/>
                <w:sz w:val="21"/>
              </w:rPr>
              <w:t>7.1.11</w:t>
              <w:tab/>
            </w:r>
            <w:r>
              <w:rPr>
                <w:b/>
                <w:spacing w:val="-1"/>
                <w:sz w:val="21"/>
              </w:rPr>
              <w:t>脑炎后遗症或脑膜炎后遗症</w:t>
            </w:r>
          </w:p>
        </w:tc>
      </w:tr>
      <w:tr>
        <w:trPr>
          <w:trHeight w:val="454" w:hRule="atLeast"/>
        </w:trPr>
        <w:tc>
          <w:tcPr>
            <w:tcW w:w="4645" w:type="dxa"/>
            <w:tcBorders>
              <w:top w:val="nil"/>
              <w:bottom w:val="nil"/>
            </w:tcBorders>
          </w:tcPr>
          <w:p>
            <w:pPr>
              <w:pStyle w:val="TableParagraph"/>
              <w:tabs>
                <w:tab w:pos="844" w:val="left" w:leader="none"/>
              </w:tabs>
              <w:spacing w:before="54"/>
              <w:ind w:left="107"/>
              <w:rPr>
                <w:b/>
                <w:sz w:val="21"/>
              </w:rPr>
            </w:pPr>
            <w:r>
              <w:rPr>
                <w:rFonts w:ascii="Times New Roman" w:eastAsia="Times New Roman"/>
                <w:b/>
                <w:sz w:val="21"/>
              </w:rPr>
              <w:t>7.1.10</w:t>
              <w:tab/>
            </w:r>
            <w:r>
              <w:rPr>
                <w:b/>
                <w:spacing w:val="-2"/>
                <w:sz w:val="21"/>
              </w:rPr>
              <w:t>慢性肝功能衰竭失代偿期</w:t>
            </w:r>
          </w:p>
        </w:tc>
        <w:tc>
          <w:tcPr>
            <w:tcW w:w="4643" w:type="dxa"/>
            <w:tcBorders>
              <w:top w:val="nil"/>
              <w:bottom w:val="nil"/>
            </w:tcBorders>
          </w:tcPr>
          <w:p>
            <w:pPr>
              <w:pStyle w:val="TableParagraph"/>
              <w:tabs>
                <w:tab w:pos="842" w:val="left" w:leader="none"/>
              </w:tabs>
              <w:spacing w:before="54"/>
              <w:rPr>
                <w:b/>
                <w:sz w:val="21"/>
              </w:rPr>
            </w:pPr>
            <w:r>
              <w:rPr>
                <w:rFonts w:ascii="Times New Roman" w:eastAsia="Times New Roman"/>
                <w:b/>
                <w:sz w:val="21"/>
              </w:rPr>
              <w:t>7.1.12</w:t>
              <w:tab/>
            </w:r>
            <w:r>
              <w:rPr>
                <w:b/>
                <w:sz w:val="21"/>
              </w:rPr>
              <w:t>双耳失聪</w:t>
            </w:r>
          </w:p>
        </w:tc>
      </w:tr>
      <w:tr>
        <w:trPr>
          <w:trHeight w:val="453" w:hRule="atLeast"/>
        </w:trPr>
        <w:tc>
          <w:tcPr>
            <w:tcW w:w="4645" w:type="dxa"/>
            <w:tcBorders>
              <w:top w:val="nil"/>
              <w:bottom w:val="nil"/>
            </w:tcBorders>
          </w:tcPr>
          <w:p>
            <w:pPr>
              <w:pStyle w:val="TableParagraph"/>
              <w:tabs>
                <w:tab w:pos="844" w:val="left" w:leader="none"/>
              </w:tabs>
              <w:spacing w:before="52"/>
              <w:ind w:left="107"/>
              <w:rPr>
                <w:b/>
                <w:sz w:val="21"/>
              </w:rPr>
            </w:pPr>
            <w:r>
              <w:rPr>
                <w:rFonts w:ascii="Times New Roman" w:hAnsi="Times New Roman" w:eastAsia="Times New Roman"/>
                <w:b/>
                <w:sz w:val="21"/>
              </w:rPr>
              <w:t>7.1.18</w:t>
              <w:tab/>
            </w:r>
            <w:r>
              <w:rPr>
                <w:b/>
                <w:spacing w:val="-1"/>
                <w:sz w:val="21"/>
              </w:rPr>
              <w:t>严重Ⅲ度烧伤</w:t>
            </w:r>
          </w:p>
        </w:tc>
        <w:tc>
          <w:tcPr>
            <w:tcW w:w="4643"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7.1.13</w:t>
              <w:tab/>
            </w:r>
            <w:r>
              <w:rPr>
                <w:b/>
                <w:sz w:val="21"/>
              </w:rPr>
              <w:t>双目失明</w:t>
            </w:r>
          </w:p>
        </w:tc>
      </w:tr>
      <w:tr>
        <w:trPr>
          <w:trHeight w:val="453" w:hRule="atLeast"/>
        </w:trPr>
        <w:tc>
          <w:tcPr>
            <w:tcW w:w="4645" w:type="dxa"/>
            <w:tcBorders>
              <w:top w:val="nil"/>
              <w:bottom w:val="nil"/>
            </w:tcBorders>
          </w:tcPr>
          <w:p>
            <w:pPr>
              <w:pStyle w:val="TableParagraph"/>
              <w:tabs>
                <w:tab w:pos="844" w:val="left" w:leader="none"/>
              </w:tabs>
              <w:spacing w:before="52"/>
              <w:ind w:left="107"/>
              <w:rPr>
                <w:b/>
                <w:sz w:val="21"/>
              </w:rPr>
            </w:pPr>
            <w:r>
              <w:rPr>
                <w:rFonts w:ascii="Times New Roman" w:eastAsia="Times New Roman"/>
                <w:b/>
                <w:sz w:val="21"/>
              </w:rPr>
              <w:t>7.1.22</w:t>
              <w:tab/>
            </w:r>
            <w:r>
              <w:rPr>
                <w:b/>
                <w:spacing w:val="-2"/>
                <w:sz w:val="21"/>
              </w:rPr>
              <w:t>重型再生障碍性贫血</w:t>
            </w:r>
          </w:p>
        </w:tc>
        <w:tc>
          <w:tcPr>
            <w:tcW w:w="4643"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7.1.14</w:t>
              <w:tab/>
            </w:r>
            <w:r>
              <w:rPr>
                <w:b/>
                <w:sz w:val="21"/>
              </w:rPr>
              <w:t>心脏瓣膜手术</w:t>
            </w:r>
          </w:p>
        </w:tc>
      </w:tr>
      <w:tr>
        <w:trPr>
          <w:trHeight w:val="453" w:hRule="atLeast"/>
        </w:trPr>
        <w:tc>
          <w:tcPr>
            <w:tcW w:w="4645" w:type="dxa"/>
            <w:tcBorders>
              <w:top w:val="nil"/>
              <w:bottom w:val="nil"/>
            </w:tcBorders>
          </w:tcPr>
          <w:p>
            <w:pPr>
              <w:pStyle w:val="TableParagraph"/>
              <w:tabs>
                <w:tab w:pos="844" w:val="left" w:leader="none"/>
              </w:tabs>
              <w:spacing w:before="53"/>
              <w:ind w:left="107"/>
              <w:rPr>
                <w:b/>
                <w:sz w:val="21"/>
              </w:rPr>
            </w:pPr>
            <w:r>
              <w:rPr>
                <w:rFonts w:ascii="Times New Roman" w:eastAsia="Times New Roman"/>
                <w:b/>
                <w:sz w:val="21"/>
              </w:rPr>
              <w:t>7.1.24</w:t>
              <w:tab/>
            </w:r>
            <w:r>
              <w:rPr>
                <w:b/>
                <w:spacing w:val="-2"/>
                <w:sz w:val="21"/>
              </w:rPr>
              <w:t>严重的系统性硬化症</w:t>
            </w:r>
          </w:p>
        </w:tc>
        <w:tc>
          <w:tcPr>
            <w:tcW w:w="4643" w:type="dxa"/>
            <w:tcBorders>
              <w:top w:val="nil"/>
              <w:bottom w:val="nil"/>
            </w:tcBorders>
          </w:tcPr>
          <w:p>
            <w:pPr>
              <w:pStyle w:val="TableParagraph"/>
              <w:tabs>
                <w:tab w:pos="842" w:val="left" w:leader="none"/>
              </w:tabs>
              <w:spacing w:before="53"/>
              <w:rPr>
                <w:b/>
                <w:sz w:val="21"/>
              </w:rPr>
            </w:pPr>
            <w:r>
              <w:rPr>
                <w:rFonts w:ascii="Times New Roman" w:eastAsia="Times New Roman"/>
                <w:b/>
                <w:sz w:val="21"/>
              </w:rPr>
              <w:t>7.1.15</w:t>
              <w:tab/>
            </w:r>
            <w:r>
              <w:rPr>
                <w:b/>
                <w:spacing w:val="-1"/>
                <w:sz w:val="21"/>
              </w:rPr>
              <w:t>严重阿尔茨海默病</w:t>
            </w:r>
          </w:p>
        </w:tc>
      </w:tr>
      <w:tr>
        <w:trPr>
          <w:trHeight w:val="453" w:hRule="atLeast"/>
        </w:trPr>
        <w:tc>
          <w:tcPr>
            <w:tcW w:w="4645" w:type="dxa"/>
            <w:tcBorders>
              <w:top w:val="nil"/>
              <w:bottom w:val="nil"/>
            </w:tcBorders>
          </w:tcPr>
          <w:p>
            <w:pPr>
              <w:pStyle w:val="TableParagraph"/>
              <w:tabs>
                <w:tab w:pos="844" w:val="left" w:leader="none"/>
              </w:tabs>
              <w:spacing w:before="52"/>
              <w:ind w:left="107"/>
              <w:rPr>
                <w:b/>
                <w:sz w:val="21"/>
              </w:rPr>
            </w:pPr>
            <w:r>
              <w:rPr>
                <w:rFonts w:ascii="Times New Roman" w:eastAsia="Times New Roman"/>
                <w:b/>
                <w:sz w:val="21"/>
              </w:rPr>
              <w:t>7.1.25</w:t>
              <w:tab/>
            </w:r>
            <w:r>
              <w:rPr>
                <w:b/>
                <w:spacing w:val="-2"/>
                <w:sz w:val="21"/>
              </w:rPr>
              <w:t>严重的原发性心肌病</w:t>
            </w:r>
          </w:p>
        </w:tc>
        <w:tc>
          <w:tcPr>
            <w:tcW w:w="4643"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7.1.16</w:t>
              <w:tab/>
            </w:r>
            <w:r>
              <w:rPr>
                <w:b/>
                <w:sz w:val="21"/>
              </w:rPr>
              <w:t>严重脑损伤</w:t>
            </w:r>
          </w:p>
        </w:tc>
      </w:tr>
      <w:tr>
        <w:trPr>
          <w:trHeight w:val="454" w:hRule="atLeast"/>
        </w:trPr>
        <w:tc>
          <w:tcPr>
            <w:tcW w:w="4645" w:type="dxa"/>
            <w:tcBorders>
              <w:top w:val="nil"/>
              <w:bottom w:val="nil"/>
            </w:tcBorders>
          </w:tcPr>
          <w:p>
            <w:pPr>
              <w:pStyle w:val="TableParagraph"/>
              <w:tabs>
                <w:tab w:pos="844" w:val="left" w:leader="none"/>
              </w:tabs>
              <w:spacing w:before="52"/>
              <w:ind w:left="107"/>
              <w:rPr>
                <w:b/>
                <w:sz w:val="21"/>
              </w:rPr>
            </w:pPr>
            <w:r>
              <w:rPr>
                <w:rFonts w:ascii="Times New Roman" w:eastAsia="Times New Roman"/>
                <w:b/>
                <w:sz w:val="21"/>
              </w:rPr>
              <w:t>7.1.26</w:t>
              <w:tab/>
            </w:r>
            <w:r>
              <w:rPr>
                <w:b/>
                <w:sz w:val="21"/>
              </w:rPr>
              <w:t>肾髓质囊性病</w:t>
            </w:r>
          </w:p>
        </w:tc>
        <w:tc>
          <w:tcPr>
            <w:tcW w:w="4643"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7.1.17</w:t>
              <w:tab/>
            </w:r>
            <w:r>
              <w:rPr>
                <w:b/>
                <w:sz w:val="21"/>
              </w:rPr>
              <w:t>严重帕金森病</w:t>
            </w:r>
          </w:p>
        </w:tc>
      </w:tr>
      <w:tr>
        <w:trPr>
          <w:trHeight w:val="520" w:hRule="atLeast"/>
        </w:trPr>
        <w:tc>
          <w:tcPr>
            <w:tcW w:w="4645" w:type="dxa"/>
            <w:tcBorders>
              <w:top w:val="nil"/>
              <w:bottom w:val="nil"/>
            </w:tcBorders>
          </w:tcPr>
          <w:p>
            <w:pPr>
              <w:pStyle w:val="TableParagraph"/>
              <w:tabs>
                <w:tab w:pos="844" w:val="left" w:leader="none"/>
              </w:tabs>
              <w:spacing w:before="54"/>
              <w:ind w:left="107"/>
              <w:rPr>
                <w:b/>
                <w:sz w:val="21"/>
              </w:rPr>
            </w:pPr>
            <w:r>
              <w:rPr>
                <w:rFonts w:ascii="Times New Roman" w:eastAsia="Times New Roman"/>
                <w:b/>
                <w:sz w:val="21"/>
              </w:rPr>
              <w:t>7.1.28</w:t>
              <w:tab/>
            </w:r>
            <w:r>
              <w:rPr>
                <w:b/>
                <w:spacing w:val="-1"/>
                <w:sz w:val="21"/>
              </w:rPr>
              <w:t>因输血感染艾滋病</w:t>
            </w:r>
          </w:p>
        </w:tc>
        <w:tc>
          <w:tcPr>
            <w:tcW w:w="4643" w:type="dxa"/>
            <w:tcBorders>
              <w:top w:val="nil"/>
              <w:bottom w:val="nil"/>
            </w:tcBorders>
          </w:tcPr>
          <w:p>
            <w:pPr>
              <w:pStyle w:val="TableParagraph"/>
              <w:tabs>
                <w:tab w:pos="842" w:val="left" w:leader="none"/>
              </w:tabs>
              <w:spacing w:before="54"/>
              <w:rPr>
                <w:b/>
                <w:sz w:val="21"/>
              </w:rPr>
            </w:pPr>
            <w:r>
              <w:rPr>
                <w:rFonts w:ascii="Times New Roman" w:eastAsia="Times New Roman"/>
                <w:b/>
                <w:sz w:val="21"/>
              </w:rPr>
              <w:t>7.1.19</w:t>
              <w:tab/>
            </w:r>
            <w:r>
              <w:rPr>
                <w:b/>
                <w:spacing w:val="-2"/>
                <w:sz w:val="21"/>
              </w:rPr>
              <w:t>严重原发性肺动脉高压</w:t>
            </w:r>
          </w:p>
        </w:tc>
      </w:tr>
    </w:tbl>
    <w:p>
      <w:pPr>
        <w:spacing w:after="0"/>
        <w:rPr>
          <w:sz w:val="21"/>
        </w:rPr>
        <w:sectPr>
          <w:pgSz w:w="11910" w:h="16840"/>
          <w:pgMar w:top="1400" w:bottom="280" w:left="1200" w:right="118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5"/>
        <w:gridCol w:w="4643"/>
      </w:tblGrid>
      <w:tr>
        <w:trPr>
          <w:trHeight w:val="388" w:hRule="atLeast"/>
        </w:trPr>
        <w:tc>
          <w:tcPr>
            <w:tcW w:w="4645" w:type="dxa"/>
            <w:tcBorders>
              <w:top w:val="nil"/>
              <w:bottom w:val="nil"/>
            </w:tcBorders>
          </w:tcPr>
          <w:p>
            <w:pPr>
              <w:pStyle w:val="TableParagraph"/>
              <w:tabs>
                <w:tab w:pos="844" w:val="left" w:leader="none"/>
              </w:tabs>
              <w:spacing w:line="278" w:lineRule="exact"/>
              <w:ind w:left="107"/>
              <w:rPr>
                <w:b/>
                <w:sz w:val="21"/>
              </w:rPr>
            </w:pPr>
            <w:r>
              <w:rPr>
                <w:rFonts w:ascii="Times New Roman" w:eastAsia="Times New Roman"/>
                <w:b/>
                <w:sz w:val="21"/>
              </w:rPr>
              <w:t>7.1.31</w:t>
              <w:tab/>
            </w:r>
            <w:r>
              <w:rPr>
                <w:b/>
                <w:sz w:val="21"/>
              </w:rPr>
              <w:t>系统性红斑狼疮</w:t>
            </w:r>
          </w:p>
        </w:tc>
        <w:tc>
          <w:tcPr>
            <w:tcW w:w="4643" w:type="dxa"/>
            <w:tcBorders>
              <w:top w:val="nil"/>
              <w:bottom w:val="nil"/>
            </w:tcBorders>
          </w:tcPr>
          <w:p>
            <w:pPr>
              <w:pStyle w:val="TableParagraph"/>
              <w:tabs>
                <w:tab w:pos="842" w:val="left" w:leader="none"/>
              </w:tabs>
              <w:spacing w:line="278" w:lineRule="exact"/>
              <w:rPr>
                <w:b/>
                <w:sz w:val="21"/>
              </w:rPr>
            </w:pPr>
            <w:r>
              <w:rPr>
                <w:rFonts w:ascii="Times New Roman" w:eastAsia="Times New Roman"/>
                <w:b/>
                <w:sz w:val="21"/>
              </w:rPr>
              <w:t>7.1.20</w:t>
              <w:tab/>
            </w:r>
            <w:r>
              <w:rPr>
                <w:b/>
                <w:spacing w:val="-1"/>
                <w:sz w:val="21"/>
              </w:rPr>
              <w:t>严重运动神经元病</w:t>
            </w:r>
          </w:p>
        </w:tc>
      </w:tr>
      <w:tr>
        <w:trPr>
          <w:trHeight w:val="453" w:hRule="atLeast"/>
        </w:trPr>
        <w:tc>
          <w:tcPr>
            <w:tcW w:w="4645" w:type="dxa"/>
            <w:tcBorders>
              <w:top w:val="nil"/>
              <w:bottom w:val="nil"/>
            </w:tcBorders>
          </w:tcPr>
          <w:p>
            <w:pPr>
              <w:pStyle w:val="TableParagraph"/>
              <w:tabs>
                <w:tab w:pos="844" w:val="left" w:leader="none"/>
              </w:tabs>
              <w:spacing w:before="53"/>
              <w:ind w:left="107"/>
              <w:rPr>
                <w:b/>
                <w:sz w:val="21"/>
              </w:rPr>
            </w:pPr>
            <w:r>
              <w:rPr>
                <w:rFonts w:ascii="Times New Roman" w:eastAsia="Times New Roman"/>
                <w:b/>
                <w:sz w:val="21"/>
              </w:rPr>
              <w:t>7.1.32</w:t>
              <w:tab/>
            </w:r>
            <w:r>
              <w:rPr>
                <w:b/>
                <w:spacing w:val="-1"/>
                <w:sz w:val="21"/>
              </w:rPr>
              <w:t>慢性复发性胰腺炎</w:t>
            </w:r>
          </w:p>
        </w:tc>
        <w:tc>
          <w:tcPr>
            <w:tcW w:w="4643" w:type="dxa"/>
            <w:tcBorders>
              <w:top w:val="nil"/>
              <w:bottom w:val="nil"/>
            </w:tcBorders>
          </w:tcPr>
          <w:p>
            <w:pPr>
              <w:pStyle w:val="TableParagraph"/>
              <w:tabs>
                <w:tab w:pos="842" w:val="left" w:leader="none"/>
              </w:tabs>
              <w:spacing w:before="53"/>
              <w:rPr>
                <w:b/>
                <w:sz w:val="21"/>
              </w:rPr>
            </w:pPr>
            <w:r>
              <w:rPr>
                <w:rFonts w:ascii="Times New Roman" w:eastAsia="Times New Roman"/>
                <w:b/>
                <w:sz w:val="21"/>
              </w:rPr>
              <w:t>7.1.21</w:t>
              <w:tab/>
            </w:r>
            <w:r>
              <w:rPr>
                <w:b/>
                <w:sz w:val="21"/>
              </w:rPr>
              <w:t>语言能力丧失</w:t>
            </w:r>
          </w:p>
        </w:tc>
      </w:tr>
      <w:tr>
        <w:trPr>
          <w:trHeight w:val="453" w:hRule="atLeast"/>
        </w:trPr>
        <w:tc>
          <w:tcPr>
            <w:tcW w:w="4645" w:type="dxa"/>
            <w:tcBorders>
              <w:top w:val="nil"/>
              <w:bottom w:val="nil"/>
            </w:tcBorders>
          </w:tcPr>
          <w:p>
            <w:pPr>
              <w:pStyle w:val="TableParagraph"/>
              <w:tabs>
                <w:tab w:pos="844" w:val="left" w:leader="none"/>
              </w:tabs>
              <w:spacing w:before="52"/>
              <w:ind w:left="107"/>
              <w:rPr>
                <w:b/>
                <w:sz w:val="21"/>
              </w:rPr>
            </w:pPr>
            <w:r>
              <w:rPr>
                <w:rFonts w:ascii="Times New Roman" w:eastAsia="Times New Roman"/>
                <w:b/>
                <w:sz w:val="21"/>
              </w:rPr>
              <w:t>7.1.36</w:t>
              <w:tab/>
            </w:r>
            <w:r>
              <w:rPr>
                <w:b/>
                <w:sz w:val="21"/>
              </w:rPr>
              <w:t>终末期肺病</w:t>
            </w:r>
          </w:p>
        </w:tc>
        <w:tc>
          <w:tcPr>
            <w:tcW w:w="4643"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7.1.23</w:t>
              <w:tab/>
            </w:r>
            <w:r>
              <w:rPr>
                <w:b/>
                <w:sz w:val="21"/>
              </w:rPr>
              <w:t>主动脉手术</w:t>
            </w:r>
          </w:p>
        </w:tc>
      </w:tr>
      <w:tr>
        <w:trPr>
          <w:trHeight w:val="454" w:hRule="atLeast"/>
        </w:trPr>
        <w:tc>
          <w:tcPr>
            <w:tcW w:w="4645" w:type="dxa"/>
            <w:tcBorders>
              <w:top w:val="nil"/>
              <w:bottom w:val="nil"/>
            </w:tcBorders>
          </w:tcPr>
          <w:p>
            <w:pPr>
              <w:pStyle w:val="TableParagraph"/>
              <w:ind w:left="0"/>
              <w:rPr>
                <w:rFonts w:ascii="Times New Roman"/>
                <w:sz w:val="20"/>
              </w:rPr>
            </w:pPr>
          </w:p>
        </w:tc>
        <w:tc>
          <w:tcPr>
            <w:tcW w:w="4643"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7.1.27</w:t>
              <w:tab/>
            </w:r>
            <w:r>
              <w:rPr>
                <w:b/>
                <w:sz w:val="21"/>
              </w:rPr>
              <w:t>主动脉夹层瘤</w:t>
            </w:r>
          </w:p>
        </w:tc>
      </w:tr>
      <w:tr>
        <w:trPr>
          <w:trHeight w:val="454" w:hRule="atLeast"/>
        </w:trPr>
        <w:tc>
          <w:tcPr>
            <w:tcW w:w="4645" w:type="dxa"/>
            <w:tcBorders>
              <w:top w:val="nil"/>
              <w:bottom w:val="nil"/>
            </w:tcBorders>
          </w:tcPr>
          <w:p>
            <w:pPr>
              <w:pStyle w:val="TableParagraph"/>
              <w:ind w:left="0"/>
              <w:rPr>
                <w:rFonts w:ascii="Times New Roman"/>
                <w:sz w:val="20"/>
              </w:rPr>
            </w:pPr>
          </w:p>
        </w:tc>
        <w:tc>
          <w:tcPr>
            <w:tcW w:w="4643" w:type="dxa"/>
            <w:tcBorders>
              <w:top w:val="nil"/>
              <w:bottom w:val="nil"/>
            </w:tcBorders>
          </w:tcPr>
          <w:p>
            <w:pPr>
              <w:pStyle w:val="TableParagraph"/>
              <w:tabs>
                <w:tab w:pos="842" w:val="left" w:leader="none"/>
              </w:tabs>
              <w:spacing w:before="54"/>
              <w:rPr>
                <w:b/>
                <w:sz w:val="21"/>
              </w:rPr>
            </w:pPr>
            <w:r>
              <w:rPr>
                <w:rFonts w:ascii="Times New Roman" w:eastAsia="Times New Roman"/>
                <w:b/>
                <w:sz w:val="21"/>
              </w:rPr>
              <w:t>7.1.29</w:t>
              <w:tab/>
            </w:r>
            <w:r>
              <w:rPr>
                <w:b/>
                <w:sz w:val="21"/>
              </w:rPr>
              <w:t>重症肌无力</w:t>
            </w:r>
          </w:p>
        </w:tc>
      </w:tr>
      <w:tr>
        <w:trPr>
          <w:trHeight w:val="453" w:hRule="atLeast"/>
        </w:trPr>
        <w:tc>
          <w:tcPr>
            <w:tcW w:w="4645" w:type="dxa"/>
            <w:tcBorders>
              <w:top w:val="nil"/>
              <w:bottom w:val="nil"/>
            </w:tcBorders>
          </w:tcPr>
          <w:p>
            <w:pPr>
              <w:pStyle w:val="TableParagraph"/>
              <w:ind w:left="0"/>
              <w:rPr>
                <w:rFonts w:ascii="Times New Roman"/>
                <w:sz w:val="20"/>
              </w:rPr>
            </w:pPr>
          </w:p>
        </w:tc>
        <w:tc>
          <w:tcPr>
            <w:tcW w:w="4643"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7.1.30</w:t>
              <w:tab/>
            </w:r>
            <w:r>
              <w:rPr>
                <w:b/>
                <w:spacing w:val="-2"/>
                <w:sz w:val="21"/>
              </w:rPr>
              <w:t>严重的类风湿性关节炎</w:t>
            </w:r>
          </w:p>
        </w:tc>
      </w:tr>
      <w:tr>
        <w:trPr>
          <w:trHeight w:val="453" w:hRule="atLeast"/>
        </w:trPr>
        <w:tc>
          <w:tcPr>
            <w:tcW w:w="4645" w:type="dxa"/>
            <w:tcBorders>
              <w:top w:val="nil"/>
              <w:bottom w:val="nil"/>
            </w:tcBorders>
          </w:tcPr>
          <w:p>
            <w:pPr>
              <w:pStyle w:val="TableParagraph"/>
              <w:ind w:left="0"/>
              <w:rPr>
                <w:rFonts w:ascii="Times New Roman"/>
                <w:sz w:val="20"/>
              </w:rPr>
            </w:pPr>
          </w:p>
        </w:tc>
        <w:tc>
          <w:tcPr>
            <w:tcW w:w="4643"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7.1.33</w:t>
              <w:tab/>
            </w:r>
            <w:r>
              <w:rPr>
                <w:b/>
                <w:spacing w:val="-2"/>
                <w:sz w:val="21"/>
              </w:rPr>
              <w:t>严重的肌营养不良症</w:t>
            </w:r>
          </w:p>
        </w:tc>
      </w:tr>
      <w:tr>
        <w:trPr>
          <w:trHeight w:val="453" w:hRule="atLeast"/>
        </w:trPr>
        <w:tc>
          <w:tcPr>
            <w:tcW w:w="4645" w:type="dxa"/>
            <w:tcBorders>
              <w:top w:val="nil"/>
              <w:bottom w:val="nil"/>
            </w:tcBorders>
          </w:tcPr>
          <w:p>
            <w:pPr>
              <w:pStyle w:val="TableParagraph"/>
              <w:ind w:left="0"/>
              <w:rPr>
                <w:rFonts w:ascii="Times New Roman"/>
                <w:sz w:val="20"/>
              </w:rPr>
            </w:pPr>
          </w:p>
        </w:tc>
        <w:tc>
          <w:tcPr>
            <w:tcW w:w="4643"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7.1.34</w:t>
              <w:tab/>
            </w:r>
            <w:r>
              <w:rPr>
                <w:b/>
                <w:spacing w:val="-1"/>
                <w:sz w:val="21"/>
              </w:rPr>
              <w:t>严重的多发性硬化</w:t>
            </w:r>
          </w:p>
        </w:tc>
      </w:tr>
      <w:tr>
        <w:trPr>
          <w:trHeight w:val="521" w:hRule="atLeast"/>
        </w:trPr>
        <w:tc>
          <w:tcPr>
            <w:tcW w:w="4645" w:type="dxa"/>
            <w:tcBorders>
              <w:top w:val="nil"/>
            </w:tcBorders>
          </w:tcPr>
          <w:p>
            <w:pPr>
              <w:pStyle w:val="TableParagraph"/>
              <w:ind w:left="0"/>
              <w:rPr>
                <w:rFonts w:ascii="Times New Roman"/>
                <w:sz w:val="20"/>
              </w:rPr>
            </w:pPr>
          </w:p>
        </w:tc>
        <w:tc>
          <w:tcPr>
            <w:tcW w:w="4643" w:type="dxa"/>
            <w:tcBorders>
              <w:top w:val="nil"/>
            </w:tcBorders>
          </w:tcPr>
          <w:p>
            <w:pPr>
              <w:pStyle w:val="TableParagraph"/>
              <w:tabs>
                <w:tab w:pos="842" w:val="left" w:leader="none"/>
              </w:tabs>
              <w:spacing w:before="52"/>
              <w:rPr>
                <w:b/>
                <w:sz w:val="21"/>
              </w:rPr>
            </w:pPr>
            <w:r>
              <w:rPr>
                <w:rFonts w:ascii="Times New Roman" w:eastAsia="Times New Roman"/>
                <w:b/>
                <w:sz w:val="21"/>
              </w:rPr>
              <w:t>7.1.35</w:t>
              <w:tab/>
            </w:r>
            <w:r>
              <w:rPr>
                <w:b/>
                <w:sz w:val="21"/>
              </w:rPr>
              <w:t>急性脊髓灰质炎</w:t>
            </w:r>
          </w:p>
        </w:tc>
      </w:tr>
    </w:tbl>
    <w:p>
      <w:pPr>
        <w:pStyle w:val="BodyText"/>
        <w:spacing w:before="9"/>
        <w:rPr>
          <w:sz w:val="7"/>
        </w:rPr>
      </w:pPr>
    </w:p>
    <w:p>
      <w:pPr>
        <w:pStyle w:val="Heading3"/>
        <w:numPr>
          <w:ilvl w:val="1"/>
          <w:numId w:val="6"/>
        </w:numPr>
        <w:tabs>
          <w:tab w:pos="794" w:val="left" w:leader="none"/>
          <w:tab w:pos="795" w:val="left" w:leader="none"/>
        </w:tabs>
        <w:spacing w:line="240" w:lineRule="auto" w:before="43" w:after="0"/>
        <w:ind w:left="794" w:right="0" w:hanging="576"/>
        <w:jc w:val="left"/>
      </w:pPr>
      <w:r>
        <w:rPr/>
        <w:t>肢体机能完全丧失</w:t>
      </w:r>
    </w:p>
    <w:p>
      <w:pPr>
        <w:pStyle w:val="BodyText"/>
        <w:spacing w:line="273" w:lineRule="auto" w:before="176"/>
        <w:ind w:left="1690" w:right="267"/>
      </w:pPr>
      <w:r>
        <w:rPr/>
        <w:t>指肢体的三大关节中的两大关节僵硬，或不能随意识活动。肢体是指包括肩关节的整个上肢或包括髋关节的整个下肢。</w:t>
      </w:r>
    </w:p>
    <w:p>
      <w:pPr>
        <w:pStyle w:val="Heading3"/>
        <w:numPr>
          <w:ilvl w:val="1"/>
          <w:numId w:val="6"/>
        </w:numPr>
        <w:tabs>
          <w:tab w:pos="794" w:val="left" w:leader="none"/>
          <w:tab w:pos="795" w:val="left" w:leader="none"/>
        </w:tabs>
        <w:spacing w:line="240" w:lineRule="auto" w:before="163" w:after="0"/>
        <w:ind w:left="794" w:right="0" w:hanging="576"/>
        <w:jc w:val="left"/>
      </w:pPr>
      <w:r>
        <w:rPr>
          <w:spacing w:val="-2"/>
        </w:rPr>
        <w:t>语言能力或咀嚼吞咽能力完全丧失</w:t>
      </w:r>
    </w:p>
    <w:p>
      <w:pPr>
        <w:pStyle w:val="BodyText"/>
        <w:spacing w:line="273" w:lineRule="auto"/>
        <w:ind w:left="1690" w:right="162"/>
      </w:pPr>
      <w:r>
        <w:rPr>
          <w:spacing w:val="-8"/>
        </w:rPr>
        <w:t>语言能力完全丧失，指无法发出四种语音</w:t>
      </w:r>
      <w:r>
        <w:rPr/>
        <w:t>（</w:t>
      </w:r>
      <w:r>
        <w:rPr>
          <w:spacing w:val="-10"/>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690" w:right="268"/>
      </w:pPr>
      <w:r>
        <w:rPr/>
        <w:t>咀嚼吞咽能力完全丧失，指因牙齿以外的原因导致器质障碍或机能障碍，以致不能作咀嚼吞咽运动，除流质食物外不能摄取或吞咽的状态。</w:t>
      </w:r>
    </w:p>
    <w:p>
      <w:pPr>
        <w:pStyle w:val="Heading3"/>
        <w:numPr>
          <w:ilvl w:val="1"/>
          <w:numId w:val="6"/>
        </w:numPr>
        <w:tabs>
          <w:tab w:pos="794" w:val="left" w:leader="none"/>
          <w:tab w:pos="795" w:val="left" w:leader="none"/>
        </w:tabs>
        <w:spacing w:line="240" w:lineRule="auto" w:before="163" w:after="0"/>
        <w:ind w:left="794" w:right="0" w:hanging="576"/>
        <w:jc w:val="left"/>
      </w:pPr>
      <w:r>
        <w:rPr>
          <w:spacing w:val="-1"/>
        </w:rPr>
        <w:t>六项基本日常生活活动</w:t>
      </w:r>
    </w:p>
    <w:p>
      <w:pPr>
        <w:pStyle w:val="BodyText"/>
        <w:ind w:left="1690"/>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690" w:right="162"/>
      </w:pPr>
      <w:r>
        <w:rPr>
          <w:spacing w:val="-9"/>
        </w:rPr>
        <w:t>（</w:t>
      </w:r>
      <w:r>
        <w:rPr>
          <w:rFonts w:ascii="Times New Roman" w:eastAsia="Times New Roman"/>
          <w:spacing w:val="-9"/>
        </w:rPr>
        <w:t>3</w:t>
      </w:r>
      <w:r>
        <w:rPr>
          <w:spacing w:val="-9"/>
        </w:rPr>
        <w:t>）</w:t>
      </w:r>
      <w:r>
        <w:rPr>
          <w:spacing w:val="-8"/>
        </w:rPr>
        <w:t>行动：自己上下床或上下轮椅；</w:t>
      </w:r>
      <w:r>
        <w:rPr>
          <w:spacing w:val="-19"/>
        </w:rPr>
        <w:t>（</w:t>
      </w:r>
      <w:r>
        <w:rPr>
          <w:rFonts w:ascii="Times New Roman" w:eastAsia="Times New Roman"/>
          <w:spacing w:val="-19"/>
        </w:rPr>
        <w:t>4</w:t>
      </w:r>
      <w:r>
        <w:rPr>
          <w:spacing w:val="-19"/>
        </w:rPr>
        <w:t>）</w:t>
      </w:r>
      <w:r>
        <w:rPr>
          <w:spacing w:val="-8"/>
        </w:rPr>
        <w:t>如厕：自己控制进行大小便；</w:t>
      </w:r>
      <w:r>
        <w:rPr>
          <w:spacing w:val="-20"/>
        </w:rPr>
        <w:t>（</w:t>
      </w:r>
      <w:r>
        <w:rPr>
          <w:rFonts w:ascii="Times New Roman" w:eastAsia="Times New Roman"/>
          <w:spacing w:val="-20"/>
        </w:rPr>
        <w:t>5</w:t>
      </w:r>
      <w:r>
        <w:rPr>
          <w:spacing w:val="-20"/>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6"/>
        </w:numPr>
        <w:tabs>
          <w:tab w:pos="794" w:val="left" w:leader="none"/>
          <w:tab w:pos="795" w:val="left" w:leader="none"/>
        </w:tabs>
        <w:spacing w:line="240" w:lineRule="auto" w:before="161" w:after="0"/>
        <w:ind w:left="794" w:right="0" w:hanging="576"/>
        <w:jc w:val="left"/>
      </w:pPr>
      <w:r>
        <w:rPr/>
        <w:t>永久不可逆</w:t>
      </w:r>
    </w:p>
    <w:p>
      <w:pPr>
        <w:pStyle w:val="BodyText"/>
        <w:spacing w:line="256" w:lineRule="auto"/>
        <w:ind w:left="1690" w:right="205"/>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6"/>
        </w:numPr>
        <w:tabs>
          <w:tab w:pos="794" w:val="left" w:leader="none"/>
          <w:tab w:pos="795" w:val="left" w:leader="none"/>
        </w:tabs>
        <w:spacing w:line="240" w:lineRule="auto" w:before="178" w:after="0"/>
        <w:ind w:left="794" w:right="0" w:hanging="576"/>
        <w:jc w:val="left"/>
      </w:pPr>
      <w:r>
        <w:rPr/>
        <w:t>原位癌</w:t>
      </w:r>
    </w:p>
    <w:p>
      <w:pPr>
        <w:pStyle w:val="BodyText"/>
        <w:spacing w:line="273" w:lineRule="auto"/>
        <w:ind w:left="1690" w:right="268"/>
        <w:jc w:val="both"/>
      </w:pPr>
      <w:r>
        <w:rPr/>
        <w:t>原位癌指恶性细胞局限于上皮内尚未穿破基底膜浸润周围正常组织的癌细胞新生物。原位癌必须经对固定活组织的组织病理学检查明确诊断。被保险人必须已经接受了针对原位癌病灶的积极治疗。</w:t>
      </w:r>
    </w:p>
    <w:p>
      <w:pPr>
        <w:pStyle w:val="Heading3"/>
        <w:numPr>
          <w:ilvl w:val="1"/>
          <w:numId w:val="6"/>
        </w:numPr>
        <w:tabs>
          <w:tab w:pos="794" w:val="left" w:leader="none"/>
          <w:tab w:pos="795" w:val="left" w:leader="none"/>
        </w:tabs>
        <w:spacing w:line="240" w:lineRule="auto" w:before="164" w:after="0"/>
        <w:ind w:left="794" w:right="0" w:hanging="576"/>
        <w:jc w:val="left"/>
      </w:pPr>
      <w:r>
        <w:rPr/>
        <w:t>意外伤害</w:t>
      </w:r>
    </w:p>
    <w:p>
      <w:pPr>
        <w:pStyle w:val="BodyText"/>
        <w:ind w:left="1690"/>
        <w:jc w:val="both"/>
      </w:pPr>
      <w:r>
        <w:rPr/>
        <w:t>指遭受外来的、突发的、非本意的、非疾病的客观事件直接致使身体受到的伤害。</w:t>
      </w:r>
    </w:p>
    <w:p>
      <w:pPr>
        <w:pStyle w:val="BodyText"/>
        <w:spacing w:before="10"/>
        <w:rPr>
          <w:sz w:val="14"/>
        </w:rPr>
      </w:pPr>
    </w:p>
    <w:p>
      <w:pPr>
        <w:pStyle w:val="Heading3"/>
        <w:numPr>
          <w:ilvl w:val="1"/>
          <w:numId w:val="6"/>
        </w:numPr>
        <w:tabs>
          <w:tab w:pos="794" w:val="left" w:leader="none"/>
          <w:tab w:pos="795" w:val="left" w:leader="none"/>
        </w:tabs>
        <w:spacing w:line="240" w:lineRule="auto" w:before="0" w:after="0"/>
        <w:ind w:left="794" w:right="0" w:hanging="576"/>
        <w:jc w:val="left"/>
      </w:pPr>
      <w:r>
        <w:rPr/>
        <w:t>发病</w:t>
      </w:r>
    </w:p>
    <w:p>
      <w:pPr>
        <w:pStyle w:val="BodyText"/>
        <w:spacing w:line="273" w:lineRule="auto"/>
        <w:ind w:left="1690" w:right="267"/>
      </w:pPr>
      <w:r>
        <w:rPr/>
        <w:t>指出现疾病的前兆或异常的身体状况，或已经显现足以促使一般普通谨慎人士引起注意、寻求诊断、治疗或护理的病症。</w:t>
      </w:r>
    </w:p>
    <w:p>
      <w:pPr>
        <w:spacing w:after="0" w:line="273" w:lineRule="auto"/>
        <w:sectPr>
          <w:pgSz w:w="11910" w:h="16840"/>
          <w:pgMar w:top="1420" w:bottom="280" w:left="1200" w:right="1180"/>
        </w:sectPr>
      </w:pPr>
    </w:p>
    <w:p>
      <w:pPr>
        <w:pStyle w:val="Heading3"/>
        <w:numPr>
          <w:ilvl w:val="1"/>
          <w:numId w:val="6"/>
        </w:numPr>
        <w:tabs>
          <w:tab w:pos="694" w:val="left" w:leader="none"/>
          <w:tab w:pos="695" w:val="left" w:leader="none"/>
        </w:tabs>
        <w:spacing w:line="240" w:lineRule="auto" w:before="29" w:after="0"/>
        <w:ind w:left="694" w:right="0" w:hanging="576"/>
        <w:jc w:val="left"/>
      </w:pPr>
      <w:r>
        <w:rPr/>
        <w:t>指定或认可的医院</w:t>
      </w:r>
    </w:p>
    <w:p>
      <w:pPr>
        <w:pStyle w:val="BodyText"/>
        <w:spacing w:line="273" w:lineRule="auto"/>
        <w:ind w:left="1590" w:right="210"/>
      </w:pPr>
      <w:r>
        <w:rPr/>
        <w:t>本附加合同所称的指定或认可的医院为中华人民共和国境内（港澳台除外）且符合下列所有条件：</w:t>
      </w:r>
    </w:p>
    <w:p>
      <w:pPr>
        <w:pStyle w:val="BodyText"/>
        <w:spacing w:before="163"/>
        <w:ind w:left="1590"/>
      </w:pPr>
      <w:r>
        <w:rPr>
          <w:rFonts w:ascii="Times New Roman" w:eastAsia="Times New Roman"/>
        </w:rPr>
        <w:t>1</w:t>
      </w:r>
      <w:r>
        <w:rPr/>
        <w:t>． 拥有合法经营执照；</w:t>
      </w:r>
    </w:p>
    <w:p>
      <w:pPr>
        <w:pStyle w:val="BodyText"/>
        <w:ind w:left="1590"/>
      </w:pPr>
      <w:r>
        <w:rPr>
          <w:rFonts w:ascii="Times New Roman" w:eastAsia="Times New Roman"/>
        </w:rPr>
        <w:t>2</w:t>
      </w:r>
      <w:r>
        <w:rPr/>
        <w:t>． 设立的主要目的为向受伤者和患病者提供留院治疗和护理服务；</w:t>
      </w:r>
    </w:p>
    <w:p>
      <w:pPr>
        <w:pStyle w:val="BodyText"/>
        <w:spacing w:line="256" w:lineRule="auto"/>
        <w:ind w:left="1950" w:right="131" w:hanging="360"/>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小时的医疗和护理服务；</w:t>
      </w:r>
    </w:p>
    <w:p>
      <w:pPr>
        <w:pStyle w:val="BodyText"/>
        <w:spacing w:line="256" w:lineRule="auto" w:before="178"/>
        <w:ind w:left="1950" w:right="210" w:hanging="360"/>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590"/>
      </w:pPr>
      <w:r>
        <w:rPr>
          <w:rFonts w:ascii="Times New Roman" w:eastAsia="Times New Roman"/>
        </w:rPr>
        <w:t>5</w:t>
      </w:r>
      <w:r>
        <w:rPr/>
        <w:t>． 非主要作为康复医院、诊所、护理、疗养、戒酒、戒毒或类似的医疗机构。</w:t>
      </w:r>
    </w:p>
    <w:p>
      <w:pPr>
        <w:pStyle w:val="Heading3"/>
        <w:numPr>
          <w:ilvl w:val="1"/>
          <w:numId w:val="6"/>
        </w:numPr>
        <w:tabs>
          <w:tab w:pos="694" w:val="left" w:leader="none"/>
          <w:tab w:pos="695" w:val="left" w:leader="none"/>
        </w:tabs>
        <w:spacing w:line="240" w:lineRule="auto" w:before="177" w:after="0"/>
        <w:ind w:left="694" w:right="0" w:hanging="576"/>
        <w:jc w:val="left"/>
      </w:pPr>
      <w:r>
        <w:rPr/>
        <w:t>专科医生</w:t>
      </w:r>
    </w:p>
    <w:p>
      <w:pPr>
        <w:pStyle w:val="BodyText"/>
        <w:spacing w:before="176"/>
        <w:ind w:left="1590"/>
      </w:pPr>
      <w:r>
        <w:rPr/>
        <w:t>专科医生应当同时满足以下四项资格条件：</w:t>
      </w:r>
    </w:p>
    <w:p>
      <w:pPr>
        <w:pStyle w:val="BodyText"/>
        <w:spacing w:before="9"/>
        <w:rPr>
          <w:sz w:val="14"/>
        </w:rPr>
      </w:pPr>
    </w:p>
    <w:p>
      <w:pPr>
        <w:pStyle w:val="BodyText"/>
        <w:spacing w:before="0"/>
        <w:ind w:left="1590"/>
      </w:pPr>
      <w:r>
        <w:rPr>
          <w:rFonts w:ascii="Times New Roman" w:eastAsia="Times New Roman"/>
        </w:rPr>
        <w:t>1</w:t>
      </w:r>
      <w:r>
        <w:rPr/>
        <w:t>． 具有有效的中华人民共和国《医师资格证书》；</w:t>
      </w:r>
    </w:p>
    <w:p>
      <w:pPr>
        <w:pStyle w:val="BodyText"/>
        <w:ind w:left="1590"/>
      </w:pPr>
      <w:r>
        <w:rPr>
          <w:rFonts w:ascii="Times New Roman" w:eastAsia="Times New Roman"/>
        </w:rPr>
        <w:t>2</w:t>
      </w:r>
      <w:r>
        <w:rPr/>
        <w:t>． 具有有效的中华人民共和国《医师执业证书》，并按期到相关部门登记注册；</w:t>
      </w:r>
    </w:p>
    <w:p>
      <w:pPr>
        <w:pStyle w:val="BodyText"/>
        <w:ind w:left="1590"/>
      </w:pPr>
      <w:r>
        <w:rPr>
          <w:rFonts w:ascii="Times New Roman" w:eastAsia="Times New Roman"/>
        </w:rPr>
        <w:t>3</w:t>
      </w:r>
      <w:r>
        <w:rPr/>
        <w:t>． 具有有效的中华人民共和国主治医师或主治医师以上职称的《医师职称证书》；</w:t>
      </w:r>
    </w:p>
    <w:p>
      <w:pPr>
        <w:pStyle w:val="BodyText"/>
        <w:ind w:left="1590"/>
      </w:pPr>
      <w:r>
        <w:rPr>
          <w:rFonts w:ascii="Times New Roman" w:eastAsia="Times New Roman"/>
        </w:rPr>
        <w:t>4</w:t>
      </w:r>
      <w:r>
        <w:rPr/>
        <w:t>． 在二级或二级以上医院的相应科室从事临床工作三年以上。</w:t>
      </w:r>
    </w:p>
    <w:p>
      <w:pPr>
        <w:pStyle w:val="Heading3"/>
        <w:numPr>
          <w:ilvl w:val="1"/>
          <w:numId w:val="6"/>
        </w:numPr>
        <w:tabs>
          <w:tab w:pos="694" w:val="left" w:leader="none"/>
          <w:tab w:pos="695" w:val="left" w:leader="none"/>
        </w:tabs>
        <w:spacing w:line="240" w:lineRule="auto" w:before="177" w:after="0"/>
        <w:ind w:left="694" w:right="0" w:hanging="576"/>
        <w:jc w:val="left"/>
      </w:pPr>
      <w:r>
        <w:rPr/>
        <w:t>毒品</w:t>
      </w:r>
    </w:p>
    <w:p>
      <w:pPr>
        <w:pStyle w:val="BodyText"/>
        <w:spacing w:line="273" w:lineRule="auto"/>
        <w:ind w:left="1590" w:right="208"/>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6"/>
        </w:numPr>
        <w:tabs>
          <w:tab w:pos="694" w:val="left" w:leader="none"/>
          <w:tab w:pos="695" w:val="left" w:leader="none"/>
        </w:tabs>
        <w:spacing w:line="240" w:lineRule="auto" w:before="164" w:after="0"/>
        <w:ind w:left="694" w:right="0" w:hanging="576"/>
        <w:jc w:val="left"/>
      </w:pPr>
      <w:r>
        <w:rPr/>
        <w:t>酒后驾驶</w:t>
      </w:r>
    </w:p>
    <w:p>
      <w:pPr>
        <w:pStyle w:val="BodyText"/>
        <w:spacing w:line="273" w:lineRule="auto"/>
        <w:ind w:left="1590" w:right="208"/>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3"/>
        <w:numPr>
          <w:ilvl w:val="1"/>
          <w:numId w:val="6"/>
        </w:numPr>
        <w:tabs>
          <w:tab w:pos="694" w:val="left" w:leader="none"/>
          <w:tab w:pos="695" w:val="left" w:leader="none"/>
        </w:tabs>
        <w:spacing w:line="240" w:lineRule="auto" w:before="163" w:after="0"/>
        <w:ind w:left="694" w:right="0" w:hanging="576"/>
        <w:jc w:val="left"/>
      </w:pPr>
      <w:r>
        <w:rPr>
          <w:spacing w:val="-1"/>
        </w:rPr>
        <w:t>无合法有效驾驶证驾驶</w:t>
      </w:r>
    </w:p>
    <w:p>
      <w:pPr>
        <w:pStyle w:val="BodyText"/>
        <w:ind w:left="1590"/>
      </w:pPr>
      <w:r>
        <w:rPr/>
        <w:t>指下列情形之一：</w:t>
      </w:r>
    </w:p>
    <w:p>
      <w:pPr>
        <w:pStyle w:val="BodyText"/>
        <w:spacing w:before="10"/>
        <w:rPr>
          <w:sz w:val="14"/>
        </w:rPr>
      </w:pPr>
    </w:p>
    <w:p>
      <w:pPr>
        <w:pStyle w:val="ListParagraph"/>
        <w:numPr>
          <w:ilvl w:val="0"/>
          <w:numId w:val="8"/>
        </w:numPr>
        <w:tabs>
          <w:tab w:pos="1918" w:val="left" w:leader="none"/>
          <w:tab w:pos="1919" w:val="left" w:leader="none"/>
        </w:tabs>
        <w:spacing w:line="240" w:lineRule="auto" w:before="0" w:after="0"/>
        <w:ind w:left="1918" w:right="0" w:hanging="360"/>
        <w:jc w:val="left"/>
        <w:rPr>
          <w:sz w:val="21"/>
        </w:rPr>
      </w:pPr>
      <w:r>
        <w:rPr>
          <w:spacing w:val="-3"/>
          <w:sz w:val="21"/>
        </w:rPr>
        <w:t>没有取得驾驶资格；</w:t>
      </w:r>
    </w:p>
    <w:p>
      <w:pPr>
        <w:pStyle w:val="ListParagraph"/>
        <w:numPr>
          <w:ilvl w:val="0"/>
          <w:numId w:val="8"/>
        </w:numPr>
        <w:tabs>
          <w:tab w:pos="1918" w:val="left" w:leader="none"/>
          <w:tab w:pos="1919" w:val="left" w:leader="none"/>
        </w:tabs>
        <w:spacing w:line="240" w:lineRule="auto" w:before="178" w:after="0"/>
        <w:ind w:left="1918" w:right="0" w:hanging="360"/>
        <w:jc w:val="left"/>
        <w:rPr>
          <w:sz w:val="21"/>
        </w:rPr>
      </w:pPr>
      <w:r>
        <w:rPr>
          <w:spacing w:val="-3"/>
          <w:sz w:val="21"/>
        </w:rPr>
        <w:t>驾驶与驾驶证准驾车型不相符合的车辆；</w:t>
      </w:r>
    </w:p>
    <w:p>
      <w:pPr>
        <w:pStyle w:val="ListParagraph"/>
        <w:numPr>
          <w:ilvl w:val="0"/>
          <w:numId w:val="8"/>
        </w:numPr>
        <w:tabs>
          <w:tab w:pos="1918" w:val="left" w:leader="none"/>
          <w:tab w:pos="1919" w:val="left" w:leader="none"/>
        </w:tabs>
        <w:spacing w:line="240" w:lineRule="auto" w:before="177" w:after="0"/>
        <w:ind w:left="1918" w:right="0" w:hanging="360"/>
        <w:jc w:val="left"/>
        <w:rPr>
          <w:sz w:val="21"/>
        </w:rPr>
      </w:pPr>
      <w:r>
        <w:rPr>
          <w:spacing w:val="-3"/>
          <w:sz w:val="21"/>
        </w:rPr>
        <w:t>持审验不合格的驾驶证驾驶；</w:t>
      </w:r>
    </w:p>
    <w:p>
      <w:pPr>
        <w:pStyle w:val="ListParagraph"/>
        <w:numPr>
          <w:ilvl w:val="0"/>
          <w:numId w:val="8"/>
        </w:numPr>
        <w:tabs>
          <w:tab w:pos="1918" w:val="left" w:leader="none"/>
          <w:tab w:pos="1919" w:val="left" w:leader="none"/>
        </w:tabs>
        <w:spacing w:line="256" w:lineRule="auto" w:before="177" w:after="0"/>
        <w:ind w:left="1918" w:right="299" w:hanging="360"/>
        <w:jc w:val="left"/>
        <w:rPr>
          <w:sz w:val="21"/>
        </w:rPr>
      </w:pPr>
      <w:r>
        <w:rPr>
          <w:spacing w:val="-3"/>
          <w:sz w:val="21"/>
        </w:rPr>
        <w:t>持学习驾驶证学习驾车时，无教练员随车指导，或不按指定时间、路线学习驾车。</w:t>
      </w:r>
    </w:p>
    <w:p>
      <w:pPr>
        <w:pStyle w:val="Heading3"/>
        <w:numPr>
          <w:ilvl w:val="1"/>
          <w:numId w:val="6"/>
        </w:numPr>
        <w:tabs>
          <w:tab w:pos="694" w:val="left" w:leader="none"/>
          <w:tab w:pos="695" w:val="left" w:leader="none"/>
        </w:tabs>
        <w:spacing w:line="240" w:lineRule="auto" w:before="178" w:after="0"/>
        <w:ind w:left="694" w:right="0" w:hanging="576"/>
        <w:jc w:val="left"/>
      </w:pPr>
      <w:r>
        <w:rPr/>
        <w:t>无有效行驶证</w:t>
      </w:r>
    </w:p>
    <w:p>
      <w:pPr>
        <w:spacing w:after="0" w:line="240" w:lineRule="auto"/>
        <w:jc w:val="left"/>
        <w:sectPr>
          <w:pgSz w:w="11910" w:h="16840"/>
          <w:pgMar w:top="1380" w:bottom="280" w:left="1300" w:right="1240"/>
        </w:sectPr>
      </w:pPr>
    </w:p>
    <w:p>
      <w:pPr>
        <w:pStyle w:val="BodyText"/>
        <w:spacing w:before="9"/>
        <w:ind w:left="1590"/>
      </w:pPr>
      <w:r>
        <w:rPr/>
        <w:t>指下列情形之一：</w:t>
      </w:r>
    </w:p>
    <w:p>
      <w:pPr>
        <w:pStyle w:val="BodyText"/>
        <w:spacing w:before="10"/>
        <w:rPr>
          <w:sz w:val="14"/>
        </w:rPr>
      </w:pPr>
    </w:p>
    <w:p>
      <w:pPr>
        <w:pStyle w:val="ListParagraph"/>
        <w:numPr>
          <w:ilvl w:val="0"/>
          <w:numId w:val="9"/>
        </w:numPr>
        <w:tabs>
          <w:tab w:pos="1918" w:val="left" w:leader="none"/>
          <w:tab w:pos="1919" w:val="left" w:leader="none"/>
        </w:tabs>
        <w:spacing w:line="240" w:lineRule="auto" w:before="0" w:after="0"/>
        <w:ind w:left="1918" w:right="0" w:hanging="360"/>
        <w:jc w:val="left"/>
        <w:rPr>
          <w:sz w:val="21"/>
        </w:rPr>
      </w:pPr>
      <w:r>
        <w:rPr>
          <w:spacing w:val="-3"/>
          <w:sz w:val="21"/>
        </w:rPr>
        <w:t>机动车被依法注销登记的；</w:t>
      </w:r>
    </w:p>
    <w:p>
      <w:pPr>
        <w:pStyle w:val="ListParagraph"/>
        <w:numPr>
          <w:ilvl w:val="0"/>
          <w:numId w:val="9"/>
        </w:numPr>
        <w:tabs>
          <w:tab w:pos="1918" w:val="left" w:leader="none"/>
          <w:tab w:pos="1919" w:val="left" w:leader="none"/>
        </w:tabs>
        <w:spacing w:line="240" w:lineRule="auto" w:before="177" w:after="0"/>
        <w:ind w:left="1918" w:right="0" w:hanging="360"/>
        <w:jc w:val="left"/>
        <w:rPr>
          <w:sz w:val="21"/>
        </w:rPr>
      </w:pPr>
      <w:r>
        <w:rPr>
          <w:spacing w:val="-3"/>
          <w:sz w:val="21"/>
        </w:rPr>
        <w:t>未依法按时进行或通过机动车安全技术检验。</w:t>
      </w:r>
    </w:p>
    <w:p>
      <w:pPr>
        <w:pStyle w:val="Heading3"/>
        <w:numPr>
          <w:ilvl w:val="1"/>
          <w:numId w:val="6"/>
        </w:numPr>
        <w:tabs>
          <w:tab w:pos="694" w:val="left" w:leader="none"/>
          <w:tab w:pos="695" w:val="left" w:leader="none"/>
        </w:tabs>
        <w:spacing w:line="240" w:lineRule="auto" w:before="177" w:after="0"/>
        <w:ind w:left="694" w:right="0" w:hanging="576"/>
        <w:jc w:val="left"/>
      </w:pPr>
      <w:r>
        <w:rPr>
          <w:spacing w:val="-3"/>
        </w:rPr>
        <w:t>感染艾滋病病毒或患艾滋病</w:t>
      </w:r>
    </w:p>
    <w:p>
      <w:pPr>
        <w:pStyle w:val="BodyText"/>
        <w:spacing w:line="256" w:lineRule="auto"/>
        <w:ind w:left="1590" w:right="144"/>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line="273" w:lineRule="auto" w:before="161"/>
        <w:ind w:left="1590" w:right="104"/>
      </w:pPr>
      <w:r>
        <w:rPr>
          <w:spacing w:val="-3"/>
        </w:rPr>
        <w:t>在人体血液或其它样本中检测到艾滋病病毒或其抗体呈阳性，没有出现临床症状或</w:t>
      </w:r>
      <w:r>
        <w:rPr>
          <w:spacing w:val="-12"/>
        </w:rPr>
        <w:t>体征的，为感染艾滋病病毒；如果同时出现了明显临床症状或体征的，为患艾滋病。</w:t>
      </w:r>
    </w:p>
    <w:p>
      <w:pPr>
        <w:pStyle w:val="Heading3"/>
        <w:numPr>
          <w:ilvl w:val="1"/>
          <w:numId w:val="6"/>
        </w:numPr>
        <w:tabs>
          <w:tab w:pos="694" w:val="left" w:leader="none"/>
          <w:tab w:pos="695" w:val="left" w:leader="none"/>
        </w:tabs>
        <w:spacing w:line="240" w:lineRule="auto" w:before="164" w:after="0"/>
        <w:ind w:left="694" w:right="0" w:hanging="576"/>
        <w:jc w:val="left"/>
      </w:pPr>
      <w:r>
        <w:rPr/>
        <w:t>遗传性疾病</w:t>
      </w:r>
    </w:p>
    <w:p>
      <w:pPr>
        <w:pStyle w:val="BodyText"/>
        <w:spacing w:line="273" w:lineRule="auto"/>
        <w:ind w:left="1590" w:right="208"/>
      </w:pPr>
      <w:r>
        <w:rPr/>
        <w:t>指生殖细胞或受精卵的遗传物质（染色体和基因）发生突变或畸变所引起的疾病， 通常具有由亲代传至后代的垂直传递的特征。</w:t>
      </w:r>
    </w:p>
    <w:p>
      <w:pPr>
        <w:pStyle w:val="Heading3"/>
        <w:numPr>
          <w:ilvl w:val="1"/>
          <w:numId w:val="6"/>
        </w:numPr>
        <w:tabs>
          <w:tab w:pos="694" w:val="left" w:leader="none"/>
          <w:tab w:pos="695" w:val="left" w:leader="none"/>
        </w:tabs>
        <w:spacing w:line="240" w:lineRule="auto" w:before="163" w:after="0"/>
        <w:ind w:left="694" w:right="0" w:hanging="576"/>
        <w:jc w:val="left"/>
      </w:pPr>
      <w:r>
        <w:rPr>
          <w:spacing w:val="-2"/>
        </w:rPr>
        <w:t>先天性畸形、变形或染色体异常</w:t>
      </w:r>
    </w:p>
    <w:p>
      <w:pPr>
        <w:pStyle w:val="BodyText"/>
        <w:spacing w:line="273" w:lineRule="auto"/>
        <w:ind w:left="1590" w:right="203"/>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pStyle w:val="Heading3"/>
        <w:numPr>
          <w:ilvl w:val="1"/>
          <w:numId w:val="6"/>
        </w:numPr>
        <w:tabs>
          <w:tab w:pos="694" w:val="left" w:leader="none"/>
          <w:tab w:pos="695" w:val="left" w:leader="none"/>
        </w:tabs>
        <w:spacing w:line="240" w:lineRule="auto" w:before="144" w:after="0"/>
        <w:ind w:left="694" w:right="0" w:hanging="576"/>
        <w:jc w:val="left"/>
      </w:pPr>
      <w:r>
        <w:rPr/>
        <w:t>现金价值</w:t>
      </w:r>
    </w:p>
    <w:p>
      <w:pPr>
        <w:pStyle w:val="BodyText"/>
        <w:spacing w:line="273" w:lineRule="auto" w:before="176"/>
        <w:ind w:left="1590" w:right="208"/>
      </w:pPr>
      <w:r>
        <w:rPr/>
        <w:t>指保险单所具有的价值，通常体现为解除合同时，根据精算原理计算的，由我们退还的那部分金额。</w:t>
      </w:r>
    </w:p>
    <w:sectPr>
      <w:pgSz w:w="11910" w:h="16840"/>
      <w:pgMar w:top="1400" w:bottom="280" w:left="13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91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664" w:hanging="360"/>
      </w:pPr>
      <w:rPr>
        <w:rFonts w:hint="default"/>
      </w:rPr>
    </w:lvl>
    <w:lvl w:ilvl="2">
      <w:start w:val="0"/>
      <w:numFmt w:val="bullet"/>
      <w:lvlText w:val="•"/>
      <w:lvlJc w:val="left"/>
      <w:pPr>
        <w:ind w:left="3409" w:hanging="360"/>
      </w:pPr>
      <w:rPr>
        <w:rFonts w:hint="default"/>
      </w:rPr>
    </w:lvl>
    <w:lvl w:ilvl="3">
      <w:start w:val="0"/>
      <w:numFmt w:val="bullet"/>
      <w:lvlText w:val="•"/>
      <w:lvlJc w:val="left"/>
      <w:pPr>
        <w:ind w:left="4153" w:hanging="360"/>
      </w:pPr>
      <w:rPr>
        <w:rFonts w:hint="default"/>
      </w:rPr>
    </w:lvl>
    <w:lvl w:ilvl="4">
      <w:start w:val="0"/>
      <w:numFmt w:val="bullet"/>
      <w:lvlText w:val="•"/>
      <w:lvlJc w:val="left"/>
      <w:pPr>
        <w:ind w:left="4898" w:hanging="360"/>
      </w:pPr>
      <w:rPr>
        <w:rFonts w:hint="default"/>
      </w:rPr>
    </w:lvl>
    <w:lvl w:ilvl="5">
      <w:start w:val="0"/>
      <w:numFmt w:val="bullet"/>
      <w:lvlText w:val="•"/>
      <w:lvlJc w:val="left"/>
      <w:pPr>
        <w:ind w:left="5643" w:hanging="360"/>
      </w:pPr>
      <w:rPr>
        <w:rFonts w:hint="default"/>
      </w:rPr>
    </w:lvl>
    <w:lvl w:ilvl="6">
      <w:start w:val="0"/>
      <w:numFmt w:val="bullet"/>
      <w:lvlText w:val="•"/>
      <w:lvlJc w:val="left"/>
      <w:pPr>
        <w:ind w:left="6387" w:hanging="360"/>
      </w:pPr>
      <w:rPr>
        <w:rFonts w:hint="default"/>
      </w:rPr>
    </w:lvl>
    <w:lvl w:ilvl="7">
      <w:start w:val="0"/>
      <w:numFmt w:val="bullet"/>
      <w:lvlText w:val="•"/>
      <w:lvlJc w:val="left"/>
      <w:pPr>
        <w:ind w:left="7132" w:hanging="360"/>
      </w:pPr>
      <w:rPr>
        <w:rFonts w:hint="default"/>
      </w:rPr>
    </w:lvl>
    <w:lvl w:ilvl="8">
      <w:start w:val="0"/>
      <w:numFmt w:val="bullet"/>
      <w:lvlText w:val="•"/>
      <w:lvlJc w:val="left"/>
      <w:pPr>
        <w:ind w:left="7877" w:hanging="360"/>
      </w:pPr>
      <w:rPr>
        <w:rFonts w:hint="default"/>
      </w:rPr>
    </w:lvl>
  </w:abstractNum>
  <w:abstractNum w:abstractNumId="7">
    <w:multiLevelType w:val="hybridMultilevel"/>
    <w:lvl w:ilvl="0">
      <w:start w:val="1"/>
      <w:numFmt w:val="decimal"/>
      <w:lvlText w:val="%1."/>
      <w:lvlJc w:val="left"/>
      <w:pPr>
        <w:ind w:left="191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664" w:hanging="360"/>
      </w:pPr>
      <w:rPr>
        <w:rFonts w:hint="default"/>
      </w:rPr>
    </w:lvl>
    <w:lvl w:ilvl="2">
      <w:start w:val="0"/>
      <w:numFmt w:val="bullet"/>
      <w:lvlText w:val="•"/>
      <w:lvlJc w:val="left"/>
      <w:pPr>
        <w:ind w:left="3409" w:hanging="360"/>
      </w:pPr>
      <w:rPr>
        <w:rFonts w:hint="default"/>
      </w:rPr>
    </w:lvl>
    <w:lvl w:ilvl="3">
      <w:start w:val="0"/>
      <w:numFmt w:val="bullet"/>
      <w:lvlText w:val="•"/>
      <w:lvlJc w:val="left"/>
      <w:pPr>
        <w:ind w:left="4153" w:hanging="360"/>
      </w:pPr>
      <w:rPr>
        <w:rFonts w:hint="default"/>
      </w:rPr>
    </w:lvl>
    <w:lvl w:ilvl="4">
      <w:start w:val="0"/>
      <w:numFmt w:val="bullet"/>
      <w:lvlText w:val="•"/>
      <w:lvlJc w:val="left"/>
      <w:pPr>
        <w:ind w:left="4898" w:hanging="360"/>
      </w:pPr>
      <w:rPr>
        <w:rFonts w:hint="default"/>
      </w:rPr>
    </w:lvl>
    <w:lvl w:ilvl="5">
      <w:start w:val="0"/>
      <w:numFmt w:val="bullet"/>
      <w:lvlText w:val="•"/>
      <w:lvlJc w:val="left"/>
      <w:pPr>
        <w:ind w:left="5643" w:hanging="360"/>
      </w:pPr>
      <w:rPr>
        <w:rFonts w:hint="default"/>
      </w:rPr>
    </w:lvl>
    <w:lvl w:ilvl="6">
      <w:start w:val="0"/>
      <w:numFmt w:val="bullet"/>
      <w:lvlText w:val="•"/>
      <w:lvlJc w:val="left"/>
      <w:pPr>
        <w:ind w:left="6387" w:hanging="360"/>
      </w:pPr>
      <w:rPr>
        <w:rFonts w:hint="default"/>
      </w:rPr>
    </w:lvl>
    <w:lvl w:ilvl="7">
      <w:start w:val="0"/>
      <w:numFmt w:val="bullet"/>
      <w:lvlText w:val="•"/>
      <w:lvlJc w:val="left"/>
      <w:pPr>
        <w:ind w:left="7132" w:hanging="360"/>
      </w:pPr>
      <w:rPr>
        <w:rFonts w:hint="default"/>
      </w:rPr>
    </w:lvl>
    <w:lvl w:ilvl="8">
      <w:start w:val="0"/>
      <w:numFmt w:val="bullet"/>
      <w:lvlText w:val="•"/>
      <w:lvlJc w:val="left"/>
      <w:pPr>
        <w:ind w:left="7877" w:hanging="360"/>
      </w:pPr>
      <w:rPr>
        <w:rFonts w:hint="default"/>
      </w:rPr>
    </w:lvl>
  </w:abstractNum>
  <w:abstractNum w:abstractNumId="6">
    <w:multiLevelType w:val="hybridMultilevel"/>
    <w:lvl w:ilvl="0">
      <w:start w:val="1"/>
      <w:numFmt w:val="decimal"/>
      <w:lvlText w:val="%1."/>
      <w:lvlJc w:val="left"/>
      <w:pPr>
        <w:ind w:left="1895" w:hanging="339"/>
        <w:jc w:val="left"/>
      </w:pPr>
      <w:rPr>
        <w:rFonts w:hint="default" w:ascii="Times New Roman" w:hAnsi="Times New Roman" w:eastAsia="Times New Roman" w:cs="Times New Roman"/>
        <w:w w:val="100"/>
        <w:sz w:val="21"/>
        <w:szCs w:val="21"/>
      </w:rPr>
    </w:lvl>
    <w:lvl w:ilvl="1">
      <w:start w:val="0"/>
      <w:numFmt w:val="bullet"/>
      <w:lvlText w:val="•"/>
      <w:lvlJc w:val="left"/>
      <w:pPr>
        <w:ind w:left="2648" w:hanging="339"/>
      </w:pPr>
      <w:rPr>
        <w:rFonts w:hint="default"/>
      </w:rPr>
    </w:lvl>
    <w:lvl w:ilvl="2">
      <w:start w:val="0"/>
      <w:numFmt w:val="bullet"/>
      <w:lvlText w:val="•"/>
      <w:lvlJc w:val="left"/>
      <w:pPr>
        <w:ind w:left="3397" w:hanging="339"/>
      </w:pPr>
      <w:rPr>
        <w:rFonts w:hint="default"/>
      </w:rPr>
    </w:lvl>
    <w:lvl w:ilvl="3">
      <w:start w:val="0"/>
      <w:numFmt w:val="bullet"/>
      <w:lvlText w:val="•"/>
      <w:lvlJc w:val="left"/>
      <w:pPr>
        <w:ind w:left="4145" w:hanging="339"/>
      </w:pPr>
      <w:rPr>
        <w:rFonts w:hint="default"/>
      </w:rPr>
    </w:lvl>
    <w:lvl w:ilvl="4">
      <w:start w:val="0"/>
      <w:numFmt w:val="bullet"/>
      <w:lvlText w:val="•"/>
      <w:lvlJc w:val="left"/>
      <w:pPr>
        <w:ind w:left="4894" w:hanging="339"/>
      </w:pPr>
      <w:rPr>
        <w:rFonts w:hint="default"/>
      </w:rPr>
    </w:lvl>
    <w:lvl w:ilvl="5">
      <w:start w:val="0"/>
      <w:numFmt w:val="bullet"/>
      <w:lvlText w:val="•"/>
      <w:lvlJc w:val="left"/>
      <w:pPr>
        <w:ind w:left="5643" w:hanging="339"/>
      </w:pPr>
      <w:rPr>
        <w:rFonts w:hint="default"/>
      </w:rPr>
    </w:lvl>
    <w:lvl w:ilvl="6">
      <w:start w:val="0"/>
      <w:numFmt w:val="bullet"/>
      <w:lvlText w:val="•"/>
      <w:lvlJc w:val="left"/>
      <w:pPr>
        <w:ind w:left="6391" w:hanging="339"/>
      </w:pPr>
      <w:rPr>
        <w:rFonts w:hint="default"/>
      </w:rPr>
    </w:lvl>
    <w:lvl w:ilvl="7">
      <w:start w:val="0"/>
      <w:numFmt w:val="bullet"/>
      <w:lvlText w:val="•"/>
      <w:lvlJc w:val="left"/>
      <w:pPr>
        <w:ind w:left="7140" w:hanging="339"/>
      </w:pPr>
      <w:rPr>
        <w:rFonts w:hint="default"/>
      </w:rPr>
    </w:lvl>
    <w:lvl w:ilvl="8">
      <w:start w:val="0"/>
      <w:numFmt w:val="bullet"/>
      <w:lvlText w:val="•"/>
      <w:lvlJc w:val="left"/>
      <w:pPr>
        <w:ind w:left="7889" w:hanging="339"/>
      </w:pPr>
      <w:rPr>
        <w:rFonts w:hint="default"/>
      </w:rPr>
    </w:lvl>
  </w:abstractNum>
  <w:abstractNum w:abstractNumId="5">
    <w:multiLevelType w:val="hybridMultilevel"/>
    <w:lvl w:ilvl="0">
      <w:start w:val="3"/>
      <w:numFmt w:val="decimal"/>
      <w:lvlText w:val="%1"/>
      <w:lvlJc w:val="left"/>
      <w:pPr>
        <w:ind w:left="714" w:hanging="576"/>
        <w:jc w:val="left"/>
      </w:pPr>
      <w:rPr>
        <w:rFonts w:hint="default"/>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590" w:hanging="569"/>
        <w:jc w:val="left"/>
      </w:pPr>
      <w:rPr>
        <w:rFonts w:hint="default" w:ascii="Times New Roman" w:hAnsi="Times New Roman" w:eastAsia="Times New Roman" w:cs="Times New Roman"/>
        <w:b/>
        <w:bCs/>
        <w:w w:val="100"/>
        <w:sz w:val="21"/>
        <w:szCs w:val="21"/>
      </w:rPr>
    </w:lvl>
    <w:lvl w:ilvl="3">
      <w:start w:val="1"/>
      <w:numFmt w:val="decimal"/>
      <w:lvlText w:val="%4."/>
      <w:lvlJc w:val="left"/>
      <w:pPr>
        <w:ind w:left="1962" w:hanging="442"/>
        <w:jc w:val="left"/>
      </w:pPr>
      <w:rPr>
        <w:rFonts w:hint="default" w:ascii="Times New Roman" w:hAnsi="Times New Roman" w:eastAsia="Times New Roman" w:cs="Times New Roman"/>
        <w:w w:val="100"/>
        <w:sz w:val="21"/>
        <w:szCs w:val="21"/>
      </w:rPr>
    </w:lvl>
    <w:lvl w:ilvl="4">
      <w:start w:val="0"/>
      <w:numFmt w:val="bullet"/>
      <w:lvlText w:val="•"/>
      <w:lvlJc w:val="left"/>
      <w:pPr>
        <w:ind w:left="3006" w:hanging="442"/>
      </w:pPr>
      <w:rPr>
        <w:rFonts w:hint="default"/>
      </w:rPr>
    </w:lvl>
    <w:lvl w:ilvl="5">
      <w:start w:val="0"/>
      <w:numFmt w:val="bullet"/>
      <w:lvlText w:val="•"/>
      <w:lvlJc w:val="left"/>
      <w:pPr>
        <w:ind w:left="4053" w:hanging="442"/>
      </w:pPr>
      <w:rPr>
        <w:rFonts w:hint="default"/>
      </w:rPr>
    </w:lvl>
    <w:lvl w:ilvl="6">
      <w:start w:val="0"/>
      <w:numFmt w:val="bullet"/>
      <w:lvlText w:val="•"/>
      <w:lvlJc w:val="left"/>
      <w:pPr>
        <w:ind w:left="5099" w:hanging="442"/>
      </w:pPr>
      <w:rPr>
        <w:rFonts w:hint="default"/>
      </w:rPr>
    </w:lvl>
    <w:lvl w:ilvl="7">
      <w:start w:val="0"/>
      <w:numFmt w:val="bullet"/>
      <w:lvlText w:val="•"/>
      <w:lvlJc w:val="left"/>
      <w:pPr>
        <w:ind w:left="6146" w:hanging="442"/>
      </w:pPr>
      <w:rPr>
        <w:rFonts w:hint="default"/>
      </w:rPr>
    </w:lvl>
    <w:lvl w:ilvl="8">
      <w:start w:val="0"/>
      <w:numFmt w:val="bullet"/>
      <w:lvlText w:val="•"/>
      <w:lvlJc w:val="left"/>
      <w:pPr>
        <w:ind w:left="7193" w:hanging="442"/>
      </w:pPr>
      <w:rPr>
        <w:rFonts w:hint="default"/>
      </w:rPr>
    </w:lvl>
  </w:abstractNum>
  <w:abstractNum w:abstractNumId="4">
    <w:multiLevelType w:val="hybridMultilevel"/>
    <w:lvl w:ilvl="0">
      <w:start w:val="2"/>
      <w:numFmt w:val="decimal"/>
      <w:lvlText w:val="%1"/>
      <w:lvlJc w:val="left"/>
      <w:pPr>
        <w:ind w:left="1064" w:hanging="569"/>
        <w:jc w:val="right"/>
      </w:pPr>
      <w:rPr>
        <w:rFonts w:hint="default"/>
      </w:rPr>
    </w:lvl>
    <w:lvl w:ilvl="1">
      <w:start w:val="3"/>
      <w:numFmt w:val="decimal"/>
      <w:lvlText w:val="%1.%2"/>
      <w:lvlJc w:val="left"/>
      <w:pPr>
        <w:ind w:left="1064" w:hanging="569"/>
        <w:jc w:val="right"/>
      </w:pPr>
      <w:rPr>
        <w:rFonts w:hint="default"/>
      </w:rPr>
    </w:lvl>
    <w:lvl w:ilvl="2">
      <w:start w:val="1"/>
      <w:numFmt w:val="decimal"/>
      <w:lvlText w:val="%1.%2.%3"/>
      <w:lvlJc w:val="left"/>
      <w:pPr>
        <w:ind w:left="1064" w:hanging="569"/>
        <w:jc w:val="left"/>
      </w:pPr>
      <w:rPr>
        <w:rFonts w:hint="default" w:ascii="Times New Roman" w:hAnsi="Times New Roman" w:eastAsia="Times New Roman" w:cs="Times New Roman"/>
        <w:b/>
        <w:bCs/>
        <w:w w:val="100"/>
        <w:sz w:val="21"/>
        <w:szCs w:val="21"/>
      </w:rPr>
    </w:lvl>
    <w:lvl w:ilvl="3">
      <w:start w:val="1"/>
      <w:numFmt w:val="decimal"/>
      <w:lvlText w:val="%4."/>
      <w:lvlJc w:val="left"/>
      <w:pPr>
        <w:ind w:left="1875" w:hanging="317"/>
        <w:jc w:val="left"/>
      </w:pPr>
      <w:rPr>
        <w:rFonts w:hint="default" w:ascii="Times New Roman" w:hAnsi="Times New Roman" w:eastAsia="Times New Roman" w:cs="Times New Roman"/>
        <w:w w:val="100"/>
        <w:sz w:val="21"/>
        <w:szCs w:val="21"/>
      </w:rPr>
    </w:lvl>
    <w:lvl w:ilvl="4">
      <w:start w:val="0"/>
      <w:numFmt w:val="bullet"/>
      <w:lvlText w:val="•"/>
      <w:lvlJc w:val="left"/>
      <w:pPr>
        <w:ind w:left="3741" w:hanging="317"/>
      </w:pPr>
      <w:rPr>
        <w:rFonts w:hint="default"/>
      </w:rPr>
    </w:lvl>
    <w:lvl w:ilvl="5">
      <w:start w:val="0"/>
      <w:numFmt w:val="bullet"/>
      <w:lvlText w:val="•"/>
      <w:lvlJc w:val="left"/>
      <w:pPr>
        <w:ind w:left="4662" w:hanging="317"/>
      </w:pPr>
      <w:rPr>
        <w:rFonts w:hint="default"/>
      </w:rPr>
    </w:lvl>
    <w:lvl w:ilvl="6">
      <w:start w:val="0"/>
      <w:numFmt w:val="bullet"/>
      <w:lvlText w:val="•"/>
      <w:lvlJc w:val="left"/>
      <w:pPr>
        <w:ind w:left="5583" w:hanging="317"/>
      </w:pPr>
      <w:rPr>
        <w:rFonts w:hint="default"/>
      </w:rPr>
    </w:lvl>
    <w:lvl w:ilvl="7">
      <w:start w:val="0"/>
      <w:numFmt w:val="bullet"/>
      <w:lvlText w:val="•"/>
      <w:lvlJc w:val="left"/>
      <w:pPr>
        <w:ind w:left="6504" w:hanging="317"/>
      </w:pPr>
      <w:rPr>
        <w:rFonts w:hint="default"/>
      </w:rPr>
    </w:lvl>
    <w:lvl w:ilvl="8">
      <w:start w:val="0"/>
      <w:numFmt w:val="bullet"/>
      <w:lvlText w:val="•"/>
      <w:lvlJc w:val="left"/>
      <w:pPr>
        <w:ind w:left="7424" w:hanging="317"/>
      </w:pPr>
      <w:rPr>
        <w:rFonts w:hint="default"/>
      </w:rPr>
    </w:lvl>
  </w:abstractNum>
  <w:abstractNum w:abstractNumId="3">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25" w:hanging="317"/>
      </w:pPr>
      <w:rPr>
        <w:rFonts w:hint="default"/>
      </w:rPr>
    </w:lvl>
    <w:lvl w:ilvl="4">
      <w:start w:val="0"/>
      <w:numFmt w:val="bullet"/>
      <w:lvlText w:val="•"/>
      <w:lvlJc w:val="left"/>
      <w:pPr>
        <w:ind w:left="3751" w:hanging="317"/>
      </w:pPr>
      <w:rPr>
        <w:rFonts w:hint="default"/>
      </w:rPr>
    </w:lvl>
    <w:lvl w:ilvl="5">
      <w:start w:val="0"/>
      <w:numFmt w:val="bullet"/>
      <w:lvlText w:val="•"/>
      <w:lvlJc w:val="left"/>
      <w:pPr>
        <w:ind w:left="4677" w:hanging="317"/>
      </w:pPr>
      <w:rPr>
        <w:rFonts w:hint="default"/>
      </w:rPr>
    </w:lvl>
    <w:lvl w:ilvl="6">
      <w:start w:val="0"/>
      <w:numFmt w:val="bullet"/>
      <w:lvlText w:val="•"/>
      <w:lvlJc w:val="left"/>
      <w:pPr>
        <w:ind w:left="5603" w:hanging="317"/>
      </w:pPr>
      <w:rPr>
        <w:rFonts w:hint="default"/>
      </w:rPr>
    </w:lvl>
    <w:lvl w:ilvl="7">
      <w:start w:val="0"/>
      <w:numFmt w:val="bullet"/>
      <w:lvlText w:val="•"/>
      <w:lvlJc w:val="left"/>
      <w:pPr>
        <w:ind w:left="6529" w:hanging="317"/>
      </w:pPr>
      <w:rPr>
        <w:rFonts w:hint="default"/>
      </w:rPr>
    </w:lvl>
    <w:lvl w:ilvl="8">
      <w:start w:val="0"/>
      <w:numFmt w:val="bullet"/>
      <w:lvlText w:val="•"/>
      <w:lvlJc w:val="left"/>
      <w:pPr>
        <w:ind w:left="7454" w:hanging="317"/>
      </w:pPr>
      <w:rPr>
        <w:rFonts w:hint="default"/>
      </w:rPr>
    </w:lvl>
  </w:abstractNum>
  <w:abstractNum w:abstractNumId="1">
    <w:multiLevelType w:val="hybridMultilevel"/>
    <w:lvl w:ilvl="0">
      <w:start w:val="7"/>
      <w:numFmt w:val="decimal"/>
      <w:lvlText w:val="%1"/>
      <w:lvlJc w:val="left"/>
      <w:pPr>
        <w:ind w:left="691" w:hanging="420"/>
        <w:jc w:val="left"/>
      </w:pPr>
      <w:rPr>
        <w:rFonts w:hint="default"/>
      </w:rPr>
    </w:lvl>
    <w:lvl w:ilvl="1">
      <w:start w:val="5"/>
      <w:numFmt w:val="decimal"/>
      <w:lvlText w:val="%1.%2"/>
      <w:lvlJc w:val="left"/>
      <w:pPr>
        <w:ind w:left="691" w:hanging="420"/>
        <w:jc w:val="left"/>
      </w:pPr>
      <w:rPr>
        <w:rFonts w:hint="default" w:ascii="Times New Roman" w:hAnsi="Times New Roman" w:eastAsia="Times New Roman" w:cs="Times New Roman"/>
        <w:w w:val="100"/>
        <w:sz w:val="21"/>
        <w:szCs w:val="21"/>
      </w:rPr>
    </w:lvl>
    <w:lvl w:ilvl="2">
      <w:start w:val="0"/>
      <w:numFmt w:val="bullet"/>
      <w:lvlText w:val="•"/>
      <w:lvlJc w:val="left"/>
      <w:pPr>
        <w:ind w:left="1135" w:hanging="420"/>
      </w:pPr>
      <w:rPr>
        <w:rFonts w:hint="default"/>
      </w:rPr>
    </w:lvl>
    <w:lvl w:ilvl="3">
      <w:start w:val="0"/>
      <w:numFmt w:val="bullet"/>
      <w:lvlText w:val="•"/>
      <w:lvlJc w:val="left"/>
      <w:pPr>
        <w:ind w:left="1353" w:hanging="420"/>
      </w:pPr>
      <w:rPr>
        <w:rFonts w:hint="default"/>
      </w:rPr>
    </w:lvl>
    <w:lvl w:ilvl="4">
      <w:start w:val="0"/>
      <w:numFmt w:val="bullet"/>
      <w:lvlText w:val="•"/>
      <w:lvlJc w:val="left"/>
      <w:pPr>
        <w:ind w:left="1571" w:hanging="420"/>
      </w:pPr>
      <w:rPr>
        <w:rFonts w:hint="default"/>
      </w:rPr>
    </w:lvl>
    <w:lvl w:ilvl="5">
      <w:start w:val="0"/>
      <w:numFmt w:val="bullet"/>
      <w:lvlText w:val="•"/>
      <w:lvlJc w:val="left"/>
      <w:pPr>
        <w:ind w:left="1789" w:hanging="420"/>
      </w:pPr>
      <w:rPr>
        <w:rFonts w:hint="default"/>
      </w:rPr>
    </w:lvl>
    <w:lvl w:ilvl="6">
      <w:start w:val="0"/>
      <w:numFmt w:val="bullet"/>
      <w:lvlText w:val="•"/>
      <w:lvlJc w:val="left"/>
      <w:pPr>
        <w:ind w:left="2006" w:hanging="420"/>
      </w:pPr>
      <w:rPr>
        <w:rFonts w:hint="default"/>
      </w:rPr>
    </w:lvl>
    <w:lvl w:ilvl="7">
      <w:start w:val="0"/>
      <w:numFmt w:val="bullet"/>
      <w:lvlText w:val="•"/>
      <w:lvlJc w:val="left"/>
      <w:pPr>
        <w:ind w:left="2224" w:hanging="420"/>
      </w:pPr>
      <w:rPr>
        <w:rFonts w:hint="default"/>
      </w:rPr>
    </w:lvl>
    <w:lvl w:ilvl="8">
      <w:start w:val="0"/>
      <w:numFmt w:val="bullet"/>
      <w:lvlText w:val="•"/>
      <w:lvlJc w:val="left"/>
      <w:pPr>
        <w:ind w:left="2442" w:hanging="420"/>
      </w:pPr>
      <w:rPr>
        <w:rFonts w:hint="default"/>
      </w:rPr>
    </w:lvl>
  </w:abstractNum>
  <w:abstractNum w:abstractNumId="0">
    <w:multiLevelType w:val="hybridMultilevel"/>
    <w:lvl w:ilvl="0">
      <w:start w:val="4"/>
      <w:numFmt w:val="decimal"/>
      <w:lvlText w:val="%1"/>
      <w:lvlJc w:val="left"/>
      <w:pPr>
        <w:ind w:left="232" w:hanging="420"/>
        <w:jc w:val="left"/>
      </w:pPr>
      <w:rPr>
        <w:rFonts w:hint="default"/>
      </w:rPr>
    </w:lvl>
    <w:lvl w:ilvl="1">
      <w:start w:val="1"/>
      <w:numFmt w:val="decimal"/>
      <w:lvlText w:val="%1.%2"/>
      <w:lvlJc w:val="left"/>
      <w:pPr>
        <w:ind w:left="232" w:hanging="420"/>
        <w:jc w:val="left"/>
      </w:pPr>
      <w:rPr>
        <w:rFonts w:hint="default" w:ascii="Times New Roman" w:hAnsi="Times New Roman" w:eastAsia="Times New Roman" w:cs="Times New Roman"/>
        <w:w w:val="100"/>
        <w:sz w:val="21"/>
        <w:szCs w:val="21"/>
      </w:rPr>
    </w:lvl>
    <w:lvl w:ilvl="2">
      <w:start w:val="0"/>
      <w:numFmt w:val="bullet"/>
      <w:lvlText w:val="•"/>
      <w:lvlJc w:val="left"/>
      <w:pPr>
        <w:ind w:left="762" w:hanging="420"/>
      </w:pPr>
      <w:rPr>
        <w:rFonts w:hint="default"/>
      </w:rPr>
    </w:lvl>
    <w:lvl w:ilvl="3">
      <w:start w:val="0"/>
      <w:numFmt w:val="bullet"/>
      <w:lvlText w:val="•"/>
      <w:lvlJc w:val="left"/>
      <w:pPr>
        <w:ind w:left="1023" w:hanging="420"/>
      </w:pPr>
      <w:rPr>
        <w:rFonts w:hint="default"/>
      </w:rPr>
    </w:lvl>
    <w:lvl w:ilvl="4">
      <w:start w:val="0"/>
      <w:numFmt w:val="bullet"/>
      <w:lvlText w:val="•"/>
      <w:lvlJc w:val="left"/>
      <w:pPr>
        <w:ind w:left="1284" w:hanging="420"/>
      </w:pPr>
      <w:rPr>
        <w:rFonts w:hint="default"/>
      </w:rPr>
    </w:lvl>
    <w:lvl w:ilvl="5">
      <w:start w:val="0"/>
      <w:numFmt w:val="bullet"/>
      <w:lvlText w:val="•"/>
      <w:lvlJc w:val="left"/>
      <w:pPr>
        <w:ind w:left="1545" w:hanging="420"/>
      </w:pPr>
      <w:rPr>
        <w:rFonts w:hint="default"/>
      </w:rPr>
    </w:lvl>
    <w:lvl w:ilvl="6">
      <w:start w:val="0"/>
      <w:numFmt w:val="bullet"/>
      <w:lvlText w:val="•"/>
      <w:lvlJc w:val="left"/>
      <w:pPr>
        <w:ind w:left="1806" w:hanging="420"/>
      </w:pPr>
      <w:rPr>
        <w:rFonts w:hint="default"/>
      </w:rPr>
    </w:lvl>
    <w:lvl w:ilvl="7">
      <w:start w:val="0"/>
      <w:numFmt w:val="bullet"/>
      <w:lvlText w:val="•"/>
      <w:lvlJc w:val="left"/>
      <w:pPr>
        <w:ind w:left="2067" w:hanging="420"/>
      </w:pPr>
      <w:rPr>
        <w:rFonts w:hint="default"/>
      </w:rPr>
    </w:lvl>
    <w:lvl w:ilvl="8">
      <w:start w:val="0"/>
      <w:numFmt w:val="bullet"/>
      <w:lvlText w:val="•"/>
      <w:lvlJc w:val="left"/>
      <w:pPr>
        <w:ind w:left="2328" w:hanging="420"/>
      </w:pPr>
      <w:rPr>
        <w:rFonts w:hint="default"/>
      </w:rPr>
    </w:lvl>
  </w:abstractNum>
  <w:abstractNum w:abstractNumId="2">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0"/>
        <w:jc w:val="left"/>
      </w:pPr>
      <w:rPr>
        <w:rFonts w:hint="default" w:ascii="Times New Roman" w:hAnsi="Times New Roman" w:eastAsia="Times New Roman" w:cs="Times New Roman"/>
        <w:w w:val="100"/>
        <w:sz w:val="21"/>
        <w:szCs w:val="21"/>
      </w:rPr>
    </w:lvl>
    <w:lvl w:ilvl="2">
      <w:start w:val="0"/>
      <w:numFmt w:val="bullet"/>
      <w:lvlText w:val="•"/>
      <w:lvlJc w:val="left"/>
      <w:pPr>
        <w:ind w:left="1794" w:hanging="420"/>
      </w:pPr>
      <w:rPr>
        <w:rFonts w:hint="default"/>
      </w:rPr>
    </w:lvl>
    <w:lvl w:ilvl="3">
      <w:start w:val="0"/>
      <w:numFmt w:val="bullet"/>
      <w:lvlText w:val="•"/>
      <w:lvlJc w:val="left"/>
      <w:pPr>
        <w:ind w:left="2868" w:hanging="420"/>
      </w:pPr>
      <w:rPr>
        <w:rFonts w:hint="default"/>
      </w:rPr>
    </w:lvl>
    <w:lvl w:ilvl="4">
      <w:start w:val="0"/>
      <w:numFmt w:val="bullet"/>
      <w:lvlText w:val="•"/>
      <w:lvlJc w:val="left"/>
      <w:pPr>
        <w:ind w:left="3942" w:hanging="420"/>
      </w:pPr>
      <w:rPr>
        <w:rFonts w:hint="default"/>
      </w:rPr>
    </w:lvl>
    <w:lvl w:ilvl="5">
      <w:start w:val="0"/>
      <w:numFmt w:val="bullet"/>
      <w:lvlText w:val="•"/>
      <w:lvlJc w:val="left"/>
      <w:pPr>
        <w:ind w:left="5016" w:hanging="420"/>
      </w:pPr>
      <w:rPr>
        <w:rFonts w:hint="default"/>
      </w:rPr>
    </w:lvl>
    <w:lvl w:ilvl="6">
      <w:start w:val="0"/>
      <w:numFmt w:val="bullet"/>
      <w:lvlText w:val="•"/>
      <w:lvlJc w:val="left"/>
      <w:pPr>
        <w:ind w:left="6090" w:hanging="420"/>
      </w:pPr>
      <w:rPr>
        <w:rFonts w:hint="default"/>
      </w:rPr>
    </w:lvl>
    <w:lvl w:ilvl="7">
      <w:start w:val="0"/>
      <w:numFmt w:val="bullet"/>
      <w:lvlText w:val="•"/>
      <w:lvlJc w:val="left"/>
      <w:pPr>
        <w:ind w:left="7164" w:hanging="420"/>
      </w:pPr>
      <w:rPr>
        <w:rFonts w:hint="default"/>
      </w:rPr>
    </w:lvl>
    <w:lvl w:ilvl="8">
      <w:start w:val="0"/>
      <w:numFmt w:val="bullet"/>
      <w:lvlText w:val="•"/>
      <w:lvlJc w:val="left"/>
      <w:pPr>
        <w:ind w:left="8238"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77"/>
    </w:pPr>
    <w:rPr>
      <w:rFonts w:ascii="宋体" w:hAnsi="宋体" w:eastAsia="宋体" w:cs="宋体"/>
      <w:sz w:val="21"/>
      <w:szCs w:val="21"/>
    </w:rPr>
  </w:style>
  <w:style w:styleId="Heading1" w:type="paragraph">
    <w:name w:val="Heading 1"/>
    <w:basedOn w:val="Normal"/>
    <w:uiPriority w:val="1"/>
    <w:qFormat/>
    <w:pPr>
      <w:ind w:left="1309"/>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ind w:left="835" w:hanging="576"/>
      <w:outlineLvl w:val="3"/>
    </w:pPr>
    <w:rPr>
      <w:rFonts w:ascii="宋体" w:hAnsi="宋体" w:eastAsia="宋体" w:cs="宋体"/>
      <w:b/>
      <w:bCs/>
      <w:sz w:val="21"/>
      <w:szCs w:val="21"/>
    </w:rPr>
  </w:style>
  <w:style w:styleId="ListParagraph" w:type="paragraph">
    <w:name w:val="List Paragraph"/>
    <w:basedOn w:val="Normal"/>
    <w:uiPriority w:val="1"/>
    <w:qFormat/>
    <w:pPr>
      <w:ind w:left="835" w:hanging="576"/>
    </w:pPr>
    <w:rPr>
      <w:rFonts w:ascii="宋体" w:hAnsi="宋体" w:eastAsia="宋体" w:cs="宋体"/>
    </w:rPr>
  </w:style>
  <w:style w:styleId="TableParagraph" w:type="paragraph">
    <w:name w:val="Table Paragraph"/>
    <w:basedOn w:val="Normal"/>
    <w:uiPriority w:val="1"/>
    <w:qFormat/>
    <w:pPr>
      <w:ind w:left="10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2018-10-20T02:29:43Z</dcterms:created>
  <dcterms:modified xsi:type="dcterms:W3CDTF">2018-10-20T02:29:43Z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2015-06-23T00:00:00Z</vt:filetime>
  </property>
  <property fmtid="{D5CDD505-2E9C-101B-9397-08002B2CF9AE}" pid="3" name="Creator">
    <vt:lpwstr>Microsoft® Office Word 2007</vt:lpwstr>
  </property>
  <property fmtid="{D5CDD505-2E9C-101B-9397-08002B2CF9AE}" pid="4" name="LastSaved">
    <vt:filetime>2018-10-19T00:00:00Z</vt:filetime>
  </property>
</Properties>
</file>