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1048">
            <wp:simplePos x="0" y="0"/>
            <wp:positionH relativeFrom="page">
              <wp:posOffset>6044184</wp:posOffset>
            </wp:positionH>
            <wp:positionV relativeFrom="paragraph">
              <wp:posOffset>244885</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人保健康[2009]疾病保险 108 号</w:t>
      </w:r>
    </w:p>
    <w:p>
      <w:pPr>
        <w:pStyle w:val="BodyText"/>
        <w:spacing w:before="0"/>
        <w:ind w:left="0"/>
        <w:rPr>
          <w:sz w:val="20"/>
        </w:rPr>
      </w:pPr>
    </w:p>
    <w:p>
      <w:pPr>
        <w:pStyle w:val="BodyText"/>
        <w:spacing w:before="0"/>
        <w:ind w:left="0"/>
        <w:rPr>
          <w:sz w:val="20"/>
        </w:rPr>
      </w:pPr>
    </w:p>
    <w:p>
      <w:pPr>
        <w:pStyle w:val="BodyText"/>
        <w:spacing w:before="9"/>
        <w:ind w:left="0"/>
        <w:rPr>
          <w:sz w:val="18"/>
        </w:rPr>
      </w:pPr>
    </w:p>
    <w:p>
      <w:pPr>
        <w:spacing w:after="0"/>
        <w:rPr>
          <w:sz w:val="18"/>
        </w:rPr>
        <w:sectPr>
          <w:type w:val="continuous"/>
          <w:pgSz w:w="11910" w:h="16840"/>
          <w:pgMar w:top="280" w:bottom="280" w:left="1060" w:right="240"/>
        </w:sectPr>
      </w:pPr>
    </w:p>
    <w:p>
      <w:pPr>
        <w:spacing w:line="297" w:lineRule="auto" w:before="2"/>
        <w:ind w:left="2322" w:right="0" w:firstLine="321"/>
        <w:jc w:val="left"/>
        <w:rPr>
          <w:b/>
          <w:sz w:val="32"/>
        </w:rPr>
      </w:pPr>
      <w:r>
        <w:rPr>
          <w:b/>
          <w:sz w:val="32"/>
        </w:rPr>
        <w:t>中国人民健康保险股份有限公司 </w:t>
      </w:r>
      <w:r>
        <w:rPr>
          <w:b/>
          <w:w w:val="95"/>
          <w:sz w:val="32"/>
        </w:rPr>
        <w:t>关爱专家终身重疾团体疾病保险条款</w:t>
      </w:r>
    </w:p>
    <w:p>
      <w:pPr>
        <w:pStyle w:val="BodyText"/>
        <w:spacing w:before="39"/>
        <w:ind w:left="2766"/>
      </w:pPr>
      <w:r>
        <w:rPr/>
        <w:t>(2009 年 9 月向中国保险监督管理委员会备案)</w:t>
      </w:r>
    </w:p>
    <w:p>
      <w:pPr>
        <w:pStyle w:val="BodyText"/>
        <w:spacing w:before="0"/>
        <w:ind w:left="0"/>
        <w:rPr>
          <w:sz w:val="20"/>
        </w:rPr>
      </w:pPr>
      <w:r>
        <w:rPr/>
        <w:br w:type="column"/>
      </w:r>
      <w:r>
        <w:rPr>
          <w:sz w:val="20"/>
        </w:rPr>
      </w:r>
    </w:p>
    <w:p>
      <w:pPr>
        <w:pStyle w:val="BodyText"/>
        <w:spacing w:before="12"/>
        <w:ind w:left="0"/>
        <w:rPr>
          <w:sz w:val="17"/>
        </w:rPr>
      </w:pPr>
    </w:p>
    <w:p>
      <w:pPr>
        <w:pStyle w:val="BodyText"/>
        <w:spacing w:before="0"/>
        <w:ind w:left="475"/>
      </w:pPr>
      <w:r>
        <w:rPr/>
        <w:t>请扫描以查询验证条款</w:t>
      </w:r>
    </w:p>
    <w:p>
      <w:pPr>
        <w:spacing w:after="0"/>
        <w:sectPr>
          <w:type w:val="continuous"/>
          <w:pgSz w:w="11910" w:h="16840"/>
          <w:pgMar w:top="280" w:bottom="280" w:left="1060" w:right="240"/>
          <w:cols w:num="2" w:equalWidth="0">
            <w:col w:w="7463" w:space="40"/>
            <w:col w:w="3107"/>
          </w:cols>
        </w:sectPr>
      </w:pPr>
    </w:p>
    <w:p>
      <w:pPr>
        <w:pStyle w:val="BodyText"/>
        <w:spacing w:before="8" w:after="1"/>
        <w:ind w:left="0"/>
        <w:rPr>
          <w:sz w:val="7"/>
        </w:rPr>
      </w:pPr>
    </w:p>
    <w:p>
      <w:pPr>
        <w:pStyle w:val="BodyText"/>
        <w:spacing w:before="0"/>
        <w:ind w:left="106"/>
        <w:rPr>
          <w:sz w:val="20"/>
        </w:rPr>
      </w:pPr>
      <w:r>
        <w:rPr>
          <w:sz w:val="20"/>
        </w:rPr>
        <w:pict>
          <v:shapetype id="_x0000_t202" o:spt="202" coordsize="21600,21600" path="m,l,21600r21600,l21600,xe">
            <v:stroke joinstyle="miter"/>
            <v:path gradientshapeok="t" o:connecttype="rect"/>
          </v:shapetype>
          <v:shape style="width:478pt;height:19.45pt;mso-position-horizontal-relative:char;mso-position-vertical-relative:line" type="#_x0000_t202" filled="true" fillcolor="#cccccc" stroked="false">
            <w10:anchorlock/>
            <v:textbox inset="0,0,0,0">
              <w:txbxContent>
                <w:p>
                  <w:pPr>
                    <w:tabs>
                      <w:tab w:pos="667" w:val="left" w:leader="none"/>
                    </w:tabs>
                    <w:spacing w:line="275" w:lineRule="exact" w:before="0"/>
                    <w:ind w:left="122" w:right="0" w:firstLine="0"/>
                    <w:jc w:val="left"/>
                    <w:rPr>
                      <w:b/>
                      <w:sz w:val="24"/>
                    </w:rPr>
                  </w:pPr>
                  <w:r>
                    <w:rPr>
                      <w:b/>
                      <w:sz w:val="24"/>
                    </w:rPr>
                    <w:t>1</w:t>
                    <w:tab/>
                    <w:t>保险责任及责任免除</w:t>
                  </w:r>
                </w:p>
              </w:txbxContent>
            </v:textbox>
            <v:fill type="solid"/>
          </v:shape>
        </w:pict>
      </w:r>
      <w:r>
        <w:rPr>
          <w:sz w:val="20"/>
        </w:rPr>
      </w:r>
    </w:p>
    <w:p>
      <w:pPr>
        <w:pStyle w:val="ListParagraph"/>
        <w:numPr>
          <w:ilvl w:val="1"/>
          <w:numId w:val="1"/>
        </w:numPr>
        <w:tabs>
          <w:tab w:pos="773" w:val="left" w:leader="none"/>
          <w:tab w:pos="774" w:val="left" w:leader="none"/>
        </w:tabs>
        <w:spacing w:line="223" w:lineRule="exact" w:before="0" w:after="0"/>
        <w:ind w:left="773" w:right="0" w:hanging="545"/>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1"/>
        </w:numPr>
        <w:tabs>
          <w:tab w:pos="773" w:val="left" w:leader="none"/>
          <w:tab w:pos="774" w:val="left" w:leader="none"/>
        </w:tabs>
        <w:spacing w:line="297" w:lineRule="auto" w:before="66" w:after="0"/>
        <w:ind w:left="773" w:right="4680" w:hanging="545"/>
        <w:jc w:val="left"/>
        <w:rPr>
          <w:b/>
          <w:sz w:val="21"/>
        </w:rPr>
      </w:pPr>
      <w:r>
        <w:rPr>
          <w:b/>
          <w:spacing w:val="-1"/>
          <w:sz w:val="21"/>
        </w:rPr>
        <w:t>保险责任 </w:t>
      </w:r>
      <w:r>
        <w:rPr>
          <w:sz w:val="21"/>
        </w:rPr>
        <w:t>本合同有效期内，本公司承担下列保险责任： </w:t>
      </w:r>
      <w:r>
        <w:rPr>
          <w:b/>
          <w:w w:val="95"/>
          <w:sz w:val="21"/>
        </w:rPr>
        <w:t>重大疾病保险金</w:t>
      </w:r>
    </w:p>
    <w:p>
      <w:pPr>
        <w:pStyle w:val="BodyText"/>
        <w:spacing w:line="297" w:lineRule="auto" w:before="15"/>
        <w:ind w:right="990"/>
      </w:pPr>
      <w:r>
        <w:rPr/>
        <w:t>被保险人因意外伤害原因，初次发生本合同约定的重大疾病，本公司按照该被保险人的保险金额给付重大疾病保险金，同时对该被保险人的保险责任终止。</w:t>
      </w:r>
    </w:p>
    <w:p>
      <w:pPr>
        <w:pStyle w:val="BodyText"/>
        <w:spacing w:line="297" w:lineRule="auto" w:before="13"/>
        <w:ind w:right="1044"/>
        <w:jc w:val="both"/>
      </w:pPr>
      <w:r>
        <w:rPr/>
        <w:t>被保险人自本公司对其开始承保之日起或自本合同最后一次复效之日起（以较迟者为准）180</w:t>
      </w:r>
      <w:r>
        <w:rPr>
          <w:spacing w:val="-19"/>
        </w:rPr>
        <w:t> 天</w:t>
      </w:r>
      <w:r>
        <w:rPr>
          <w:spacing w:val="-17"/>
        </w:rPr>
        <w:t>后因意外伤害之外的其它原因，初次发生本合同约定的重大疾病，本公司按照该被保险人的保险金额给付重大疾病保险金，同时对该被保险人的保险责任终止。</w:t>
      </w:r>
    </w:p>
    <w:p>
      <w:pPr>
        <w:pStyle w:val="Heading2"/>
        <w:spacing w:before="13"/>
        <w:jc w:val="both"/>
      </w:pPr>
      <w:r>
        <w:rPr>
          <w:w w:val="95"/>
        </w:rPr>
        <w:t>身故保险金</w:t>
      </w:r>
    </w:p>
    <w:p>
      <w:pPr>
        <w:pStyle w:val="BodyText"/>
        <w:spacing w:line="297" w:lineRule="auto"/>
        <w:ind w:right="990"/>
      </w:pPr>
      <w:r>
        <w:rPr/>
        <w:t>被保险人因意外伤害原因身故，本公司按照该被保险人的保险金额给付身故保险金，同时对该被保险人的保险责任终止。</w:t>
      </w:r>
    </w:p>
    <w:p>
      <w:pPr>
        <w:pStyle w:val="BodyText"/>
        <w:spacing w:line="297" w:lineRule="auto" w:before="14"/>
        <w:ind w:right="1044"/>
        <w:jc w:val="both"/>
      </w:pPr>
      <w:r>
        <w:rPr/>
        <w:t>被保险人自本公司对其开始承保之日起或自本合同最后一次复效之日起（以较迟者为准）180</w:t>
      </w:r>
      <w:r>
        <w:rPr>
          <w:spacing w:val="-19"/>
        </w:rPr>
        <w:t> 天</w:t>
      </w:r>
      <w:r>
        <w:rPr>
          <w:spacing w:val="-18"/>
        </w:rPr>
        <w:t>后因意外伤害之外的其它原因身故，本公司按照该被保险人的保险金额给付身故保险金，同时对该被保险人的保险责任终止。</w:t>
      </w:r>
    </w:p>
    <w:p>
      <w:pPr>
        <w:pStyle w:val="BodyText"/>
        <w:spacing w:line="297" w:lineRule="auto" w:before="15"/>
        <w:ind w:right="1044"/>
        <w:jc w:val="both"/>
      </w:pPr>
      <w:r>
        <w:rPr/>
        <w:t>被保险人自本公司对其开始承保之日起或自本合同最后一次复效之日起（以较迟者为准）180</w:t>
      </w:r>
      <w:r>
        <w:rPr>
          <w:spacing w:val="-19"/>
        </w:rPr>
        <w:t> 天</w:t>
      </w:r>
      <w:r>
        <w:rPr>
          <w:spacing w:val="-17"/>
        </w:rPr>
        <w:t>内因意外伤害之外的其它原因，初次发生本合同约定的重大疾病或身故，本公司无息返还投保人</w:t>
      </w:r>
      <w:r>
        <w:rPr/>
        <w:t>已为该被保险人交纳的保险费</w:t>
      </w:r>
      <w:r>
        <w:rPr>
          <w:spacing w:val="0"/>
        </w:rPr>
        <w:t>（</w:t>
      </w:r>
      <w:r>
        <w:rPr/>
        <w:t>不包含因健康等原因所增加的保险费</w:t>
      </w:r>
      <w:r>
        <w:rPr>
          <w:spacing w:val="-102"/>
        </w:rPr>
        <w:t>）</w:t>
      </w:r>
      <w:r>
        <w:rPr/>
        <w:t>，同时对该被保险人的保险责任终止。</w:t>
      </w:r>
    </w:p>
    <w:p>
      <w:pPr>
        <w:pStyle w:val="BodyText"/>
        <w:spacing w:before="13"/>
        <w:jc w:val="both"/>
      </w:pPr>
      <w:r>
        <w:rPr/>
        <w:t>保险期间内，每位被保险人的重大疾病保险金和身故保险金的给付总和以约定的保险金额为限。</w:t>
      </w:r>
    </w:p>
    <w:p>
      <w:pPr>
        <w:pStyle w:val="Heading2"/>
        <w:numPr>
          <w:ilvl w:val="1"/>
          <w:numId w:val="1"/>
        </w:numPr>
        <w:tabs>
          <w:tab w:pos="773" w:val="left" w:leader="none"/>
          <w:tab w:pos="774" w:val="left" w:leader="none"/>
        </w:tabs>
        <w:spacing w:line="240" w:lineRule="auto" w:before="65" w:after="0"/>
        <w:ind w:left="773" w:right="0" w:hanging="545"/>
        <w:jc w:val="left"/>
      </w:pPr>
      <w:r>
        <w:rPr/>
        <w:t>责任免除</w:t>
      </w:r>
    </w:p>
    <w:p>
      <w:pPr>
        <w:spacing w:before="65"/>
        <w:ind w:left="773" w:right="0" w:firstLine="0"/>
        <w:jc w:val="both"/>
        <w:rPr>
          <w:b/>
          <w:sz w:val="21"/>
        </w:rPr>
      </w:pPr>
      <w:r>
        <w:rPr>
          <w:b/>
          <w:w w:val="95"/>
          <w:sz w:val="21"/>
          <w:shd w:fill="CCCCCC" w:color="auto" w:val="clear"/>
        </w:rPr>
        <w:t>因下列情形之一引起的保险事故，本公司不承担给付保险金的责任</w:t>
      </w:r>
      <w:r>
        <w:rPr>
          <w:b/>
          <w:w w:val="95"/>
          <w:sz w:val="21"/>
        </w:rPr>
        <w:t>：</w:t>
      </w:r>
    </w:p>
    <w:p>
      <w:pPr>
        <w:pStyle w:val="ListParagraph"/>
        <w:numPr>
          <w:ilvl w:val="2"/>
          <w:numId w:val="1"/>
        </w:numPr>
        <w:tabs>
          <w:tab w:pos="1194" w:val="left" w:leader="none"/>
        </w:tabs>
        <w:spacing w:line="240" w:lineRule="auto" w:before="64" w:after="0"/>
        <w:ind w:left="1193" w:right="0" w:hanging="420"/>
        <w:jc w:val="both"/>
        <w:rPr>
          <w:b/>
          <w:sz w:val="21"/>
        </w:rPr>
      </w:pPr>
      <w:r>
        <w:rPr>
          <w:b/>
          <w:w w:val="95"/>
          <w:sz w:val="21"/>
        </w:rPr>
        <w:t>投保人对被保险人的故意杀害、故意伤害；</w:t>
      </w:r>
    </w:p>
    <w:p>
      <w:pPr>
        <w:pStyle w:val="ListParagraph"/>
        <w:numPr>
          <w:ilvl w:val="2"/>
          <w:numId w:val="1"/>
        </w:numPr>
        <w:tabs>
          <w:tab w:pos="1194" w:val="left" w:leader="none"/>
        </w:tabs>
        <w:spacing w:line="240" w:lineRule="auto" w:before="66" w:after="0"/>
        <w:ind w:left="1193" w:right="0" w:hanging="420"/>
        <w:jc w:val="both"/>
        <w:rPr>
          <w:b/>
          <w:sz w:val="21"/>
        </w:rPr>
      </w:pPr>
      <w:r>
        <w:rPr>
          <w:b/>
          <w:w w:val="95"/>
          <w:sz w:val="21"/>
        </w:rPr>
        <w:t>被保险人故意自伤、故意犯罪或者抗拒依法采取的刑事强制措施；</w:t>
      </w:r>
    </w:p>
    <w:p>
      <w:pPr>
        <w:pStyle w:val="ListParagraph"/>
        <w:numPr>
          <w:ilvl w:val="2"/>
          <w:numId w:val="1"/>
        </w:numPr>
        <w:tabs>
          <w:tab w:pos="1193" w:val="left" w:leader="none"/>
          <w:tab w:pos="1194" w:val="left" w:leader="none"/>
        </w:tabs>
        <w:spacing w:line="297" w:lineRule="auto" w:before="66" w:after="0"/>
        <w:ind w:left="1193" w:right="1046" w:hanging="420"/>
        <w:jc w:val="left"/>
        <w:rPr>
          <w:b/>
          <w:sz w:val="21"/>
        </w:rPr>
      </w:pPr>
      <w:r>
        <w:rPr>
          <w:b/>
          <w:sz w:val="21"/>
        </w:rPr>
        <w:t>被保险人自本公司对其开始承保之日起或自本合同最后一次复效之日起（以较迟者为准）2 </w:t>
      </w:r>
      <w:r>
        <w:rPr>
          <w:b/>
          <w:w w:val="95"/>
          <w:sz w:val="21"/>
        </w:rPr>
        <w:t>年内自杀身故，但被保险人自杀时为无民事行为能力人的除外；</w:t>
      </w:r>
    </w:p>
    <w:p>
      <w:pPr>
        <w:pStyle w:val="ListParagraph"/>
        <w:numPr>
          <w:ilvl w:val="2"/>
          <w:numId w:val="1"/>
        </w:numPr>
        <w:tabs>
          <w:tab w:pos="1194" w:val="left" w:leader="none"/>
        </w:tabs>
        <w:spacing w:line="240" w:lineRule="auto" w:before="15" w:after="0"/>
        <w:ind w:left="1193" w:right="0" w:hanging="420"/>
        <w:jc w:val="both"/>
        <w:rPr>
          <w:b/>
          <w:sz w:val="21"/>
        </w:rPr>
      </w:pPr>
      <w:r>
        <w:rPr>
          <w:b/>
          <w:w w:val="95"/>
          <w:sz w:val="21"/>
        </w:rPr>
        <w:t>战争、军事冲突、暴乱或武装叛乱；</w:t>
      </w:r>
    </w:p>
    <w:p>
      <w:pPr>
        <w:pStyle w:val="ListParagraph"/>
        <w:numPr>
          <w:ilvl w:val="2"/>
          <w:numId w:val="1"/>
        </w:numPr>
        <w:tabs>
          <w:tab w:pos="1194" w:val="left" w:leader="none"/>
        </w:tabs>
        <w:spacing w:line="240" w:lineRule="auto" w:before="65" w:after="0"/>
        <w:ind w:left="1193" w:right="0" w:hanging="420"/>
        <w:jc w:val="both"/>
        <w:rPr>
          <w:b/>
          <w:sz w:val="21"/>
        </w:rPr>
      </w:pPr>
      <w:r>
        <w:rPr>
          <w:b/>
          <w:w w:val="95"/>
          <w:sz w:val="21"/>
        </w:rPr>
        <w:t>核爆炸、核辐射或核污染；</w:t>
      </w:r>
    </w:p>
    <w:p>
      <w:pPr>
        <w:pStyle w:val="ListParagraph"/>
        <w:numPr>
          <w:ilvl w:val="2"/>
          <w:numId w:val="1"/>
        </w:numPr>
        <w:tabs>
          <w:tab w:pos="1194" w:val="left" w:leader="none"/>
        </w:tabs>
        <w:spacing w:line="240" w:lineRule="auto" w:before="64" w:after="0"/>
        <w:ind w:left="1193" w:right="0" w:hanging="420"/>
        <w:jc w:val="both"/>
        <w:rPr>
          <w:b/>
          <w:sz w:val="21"/>
        </w:rPr>
      </w:pPr>
      <w:r>
        <w:rPr>
          <w:b/>
          <w:w w:val="95"/>
          <w:sz w:val="21"/>
        </w:rPr>
        <w:t>被保险人患有遗传性疾病，先天性畸形、变形或染色体异常。</w:t>
      </w:r>
    </w:p>
    <w:p>
      <w:pPr>
        <w:spacing w:before="65"/>
        <w:ind w:left="773"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197" w:val="left" w:leader="none"/>
        </w:tabs>
        <w:spacing w:line="240" w:lineRule="auto" w:before="65" w:after="0"/>
        <w:ind w:left="1196" w:right="0" w:hanging="423"/>
        <w:jc w:val="both"/>
        <w:rPr>
          <w:b/>
          <w:sz w:val="21"/>
        </w:rPr>
      </w:pPr>
      <w:r>
        <w:rPr>
          <w:b/>
          <w:w w:val="95"/>
          <w:sz w:val="21"/>
        </w:rPr>
        <w:t>醉酒、吸食、服用或注射毒品；</w:t>
      </w:r>
    </w:p>
    <w:p>
      <w:pPr>
        <w:pStyle w:val="ListParagraph"/>
        <w:numPr>
          <w:ilvl w:val="0"/>
          <w:numId w:val="2"/>
        </w:numPr>
        <w:tabs>
          <w:tab w:pos="1197" w:val="left" w:leader="none"/>
        </w:tabs>
        <w:spacing w:line="240" w:lineRule="auto" w:before="65" w:after="0"/>
        <w:ind w:left="1196" w:right="0" w:hanging="423"/>
        <w:jc w:val="both"/>
        <w:rPr>
          <w:b/>
          <w:sz w:val="21"/>
        </w:rPr>
      </w:pPr>
      <w:r>
        <w:rPr>
          <w:b/>
          <w:w w:val="95"/>
          <w:sz w:val="21"/>
        </w:rPr>
        <w:t>酒后驾驶、无合法有效驾驶证驾驶，或驾驶无有效行驶证的机动车；</w:t>
      </w:r>
    </w:p>
    <w:p>
      <w:pPr>
        <w:pStyle w:val="ListParagraph"/>
        <w:numPr>
          <w:ilvl w:val="0"/>
          <w:numId w:val="2"/>
        </w:numPr>
        <w:tabs>
          <w:tab w:pos="1197" w:val="left" w:leader="none"/>
        </w:tabs>
        <w:spacing w:line="240" w:lineRule="auto" w:before="64" w:after="0"/>
        <w:ind w:left="1196" w:right="0" w:hanging="423"/>
        <w:jc w:val="both"/>
        <w:rPr>
          <w:b/>
          <w:sz w:val="21"/>
        </w:rPr>
      </w:pPr>
      <w:r>
        <w:rPr>
          <w:b/>
          <w:w w:val="95"/>
          <w:sz w:val="21"/>
        </w:rPr>
        <w:t>感染艾滋病病毒或患艾滋病。</w:t>
      </w:r>
    </w:p>
    <w:p>
      <w:pPr>
        <w:spacing w:line="297" w:lineRule="auto" w:before="66"/>
        <w:ind w:left="773" w:right="1046" w:firstLine="0"/>
        <w:jc w:val="both"/>
        <w:rPr>
          <w:b/>
          <w:sz w:val="21"/>
        </w:rPr>
      </w:pPr>
      <w:r>
        <w:rPr>
          <w:b/>
          <w:spacing w:val="-3"/>
          <w:sz w:val="21"/>
        </w:rPr>
        <w:t>因上述情况导致被保险人身故或初次发生本合同约定的重大疾病的，对该被保险人的保险责任终</w:t>
      </w:r>
      <w:r>
        <w:rPr>
          <w:b/>
          <w:spacing w:val="-7"/>
          <w:sz w:val="21"/>
        </w:rPr>
        <w:t>止，本公司向投保人退还该被保险人的现金价值。但因投保人对被保险人的故意杀害、故意伤害</w:t>
      </w:r>
      <w:r>
        <w:rPr>
          <w:b/>
          <w:spacing w:val="-10"/>
          <w:sz w:val="21"/>
        </w:rPr>
        <w:t>导致被保险人身故或初次发生本合同约定的重大疾病的，本公司向受益人退还该被保险人的现金价值。</w:t>
      </w:r>
    </w:p>
    <w:p>
      <w:pPr>
        <w:spacing w:after="0" w:line="297" w:lineRule="auto"/>
        <w:jc w:val="both"/>
        <w:rPr>
          <w:sz w:val="21"/>
        </w:rPr>
        <w:sectPr>
          <w:type w:val="continuous"/>
          <w:pgSz w:w="11910" w:h="16840"/>
          <w:pgMar w:top="280" w:bottom="280" w:left="1060" w:right="240"/>
        </w:sectPr>
      </w:pPr>
    </w:p>
    <w:p>
      <w:pPr>
        <w:pStyle w:val="BodyText"/>
        <w:spacing w:before="0"/>
        <w:ind w:left="106"/>
        <w:rPr>
          <w:sz w:val="20"/>
        </w:rPr>
      </w:pPr>
      <w:r>
        <w:rPr>
          <w:sz w:val="20"/>
        </w:rPr>
        <w:pict>
          <v:shape style="width:478pt;height:19.5pt;mso-position-horizontal-relative:char;mso-position-vertical-relative:line" type="#_x0000_t202" filled="true" fillcolor="#cccccc" stroked="false">
            <w10:anchorlock/>
            <v:textbox inset="0,0,0,0">
              <w:txbxContent>
                <w:p>
                  <w:pPr>
                    <w:tabs>
                      <w:tab w:pos="667" w:val="left" w:leader="none"/>
                    </w:tabs>
                    <w:spacing w:line="275" w:lineRule="exact" w:before="0"/>
                    <w:ind w:left="122" w:right="0" w:firstLine="0"/>
                    <w:jc w:val="left"/>
                    <w:rPr>
                      <w:b/>
                      <w:sz w:val="24"/>
                    </w:rPr>
                  </w:pPr>
                  <w:r>
                    <w:rPr>
                      <w:b/>
                      <w:sz w:val="24"/>
                    </w:rPr>
                    <w:t>2</w:t>
                    <w:tab/>
                    <w:t>合同效力</w:t>
                  </w:r>
                </w:p>
              </w:txbxContent>
            </v:textbox>
            <v:fill type="solid"/>
          </v:shape>
        </w:pict>
      </w:r>
      <w:r>
        <w:rPr>
          <w:sz w:val="20"/>
        </w:rPr>
      </w:r>
    </w:p>
    <w:p>
      <w:pPr>
        <w:pStyle w:val="ListParagraph"/>
        <w:numPr>
          <w:ilvl w:val="1"/>
          <w:numId w:val="3"/>
        </w:numPr>
        <w:tabs>
          <w:tab w:pos="773" w:val="left" w:leader="none"/>
          <w:tab w:pos="774" w:val="left" w:leader="none"/>
        </w:tabs>
        <w:spacing w:line="225" w:lineRule="exact" w:before="0" w:after="0"/>
        <w:ind w:left="773" w:right="0" w:hanging="545"/>
        <w:jc w:val="left"/>
        <w:rPr>
          <w:b/>
          <w:sz w:val="21"/>
        </w:rPr>
      </w:pPr>
      <w:r>
        <w:rPr>
          <w:b/>
          <w:w w:val="95"/>
          <w:sz w:val="21"/>
        </w:rPr>
        <w:t>合同成立与生效</w:t>
      </w:r>
    </w:p>
    <w:p>
      <w:pPr>
        <w:pStyle w:val="BodyText"/>
        <w:spacing w:before="64"/>
      </w:pPr>
      <w:r>
        <w:rPr/>
        <w:t>投保人提出保险申请，本公司同意承保，本合同成立，合同成立日期于保险单上载明。</w:t>
      </w:r>
    </w:p>
    <w:p>
      <w:pPr>
        <w:pStyle w:val="BodyText"/>
        <w:spacing w:line="297" w:lineRule="auto"/>
        <w:ind w:right="177"/>
      </w:pPr>
      <w:r>
        <w:rPr/>
        <w:t>除另有约定外，自本合同成立，本公司收取保险费并签发保险单的次日零时起本合同生效，本公司自载明于保险单上的生效日开始承担本合同约定的保险责任。</w:t>
      </w:r>
    </w:p>
    <w:p>
      <w:pPr>
        <w:pStyle w:val="Heading2"/>
        <w:numPr>
          <w:ilvl w:val="1"/>
          <w:numId w:val="3"/>
        </w:numPr>
        <w:tabs>
          <w:tab w:pos="773" w:val="left" w:leader="none"/>
          <w:tab w:pos="774" w:val="left" w:leader="none"/>
        </w:tabs>
        <w:spacing w:line="240" w:lineRule="auto" w:before="14" w:after="0"/>
        <w:ind w:left="773" w:right="0" w:hanging="545"/>
        <w:jc w:val="left"/>
      </w:pPr>
      <w:r>
        <w:rPr/>
        <w:t>犹豫期</w:t>
      </w:r>
    </w:p>
    <w:p>
      <w:pPr>
        <w:pStyle w:val="BodyText"/>
        <w:spacing w:line="297" w:lineRule="auto" w:before="66"/>
        <w:ind w:right="170"/>
      </w:pPr>
      <w:r>
        <w:rPr/>
        <w:t>自投保人签收保险单之日起有 10 天的犹豫期。如果投保人在此期间内向本公司书面申请撤销合同，本合同不产生效力，本公司将不承担任何保险责任。</w:t>
      </w:r>
    </w:p>
    <w:p>
      <w:pPr>
        <w:pStyle w:val="BodyText"/>
        <w:spacing w:before="14"/>
      </w:pPr>
      <w:r>
        <w:rPr/>
        <w:t>投保人犹豫期内撤销合同，本公司将无息退还投保人所交的全部保险费。</w:t>
      </w:r>
    </w:p>
    <w:p>
      <w:pPr>
        <w:pStyle w:val="ListParagraph"/>
        <w:numPr>
          <w:ilvl w:val="1"/>
          <w:numId w:val="3"/>
        </w:numPr>
        <w:tabs>
          <w:tab w:pos="773" w:val="left" w:leader="none"/>
          <w:tab w:pos="774" w:val="left" w:leader="none"/>
        </w:tabs>
        <w:spacing w:line="240" w:lineRule="auto" w:before="65" w:after="0"/>
        <w:ind w:left="773" w:right="0" w:hanging="545"/>
        <w:jc w:val="left"/>
        <w:rPr>
          <w:sz w:val="21"/>
        </w:rPr>
      </w:pPr>
      <w:r>
        <w:rPr>
          <w:b/>
          <w:spacing w:val="-1"/>
          <w:sz w:val="21"/>
        </w:rPr>
        <w:t>保险期间 </w:t>
      </w:r>
      <w:r>
        <w:rPr>
          <w:sz w:val="21"/>
        </w:rPr>
        <w:t>本合同保险期间为终身。</w:t>
      </w:r>
    </w:p>
    <w:p>
      <w:pPr>
        <w:pStyle w:val="Heading2"/>
        <w:numPr>
          <w:ilvl w:val="1"/>
          <w:numId w:val="3"/>
        </w:numPr>
        <w:tabs>
          <w:tab w:pos="773" w:val="left" w:leader="none"/>
          <w:tab w:pos="774" w:val="left" w:leader="none"/>
        </w:tabs>
        <w:spacing w:line="240" w:lineRule="auto" w:before="65" w:after="0"/>
        <w:ind w:left="773" w:right="0" w:hanging="545"/>
        <w:jc w:val="left"/>
      </w:pPr>
      <w:r>
        <w:rPr>
          <w:w w:val="95"/>
        </w:rPr>
        <w:t>解除合同的手续及风险</w:t>
      </w:r>
    </w:p>
    <w:p>
      <w:pPr>
        <w:pStyle w:val="BodyText"/>
        <w:spacing w:line="297" w:lineRule="auto" w:before="64"/>
        <w:ind w:right="170"/>
      </w:pPr>
      <w:r>
        <w:rPr/>
        <w:t>投保人犹豫期后可以书面申请解除本合同。自本公司接到申请书之日起，本合同效力终止。本公司自收到解除合同申请书之日起 30 日内向投保人退还本合同的现金价值。</w:t>
      </w:r>
    </w:p>
    <w:p>
      <w:pPr>
        <w:pStyle w:val="BodyText"/>
        <w:spacing w:before="15"/>
      </w:pPr>
      <w:r>
        <w:rPr/>
        <w:t>投保人犹豫期后解除合同会遭受一定损失。</w:t>
      </w:r>
    </w:p>
    <w:p>
      <w:pPr>
        <w:pStyle w:val="Heading2"/>
        <w:numPr>
          <w:ilvl w:val="1"/>
          <w:numId w:val="3"/>
        </w:numPr>
        <w:tabs>
          <w:tab w:pos="773" w:val="left" w:leader="none"/>
          <w:tab w:pos="774" w:val="left" w:leader="none"/>
        </w:tabs>
        <w:spacing w:line="240" w:lineRule="auto" w:before="65" w:after="0"/>
        <w:ind w:left="773" w:right="0" w:hanging="545"/>
        <w:jc w:val="left"/>
      </w:pPr>
      <w:r>
        <w:rPr>
          <w:w w:val="95"/>
        </w:rPr>
        <w:t>被保险人变动</w:t>
      </w:r>
    </w:p>
    <w:p>
      <w:pPr>
        <w:pStyle w:val="BodyText"/>
        <w:spacing w:line="297" w:lineRule="auto" w:before="64"/>
        <w:ind w:right="120" w:hanging="1"/>
      </w:pPr>
      <w:r>
        <w:rPr>
          <w:spacing w:val="-8"/>
        </w:rPr>
        <w:t>如因人员变动需要增加被保险人时，投保人应书面通知本公司。经审核同意并收取相应保险费后， 本公司按约定的日期开始承担该被保险人的保险责任。</w:t>
      </w:r>
    </w:p>
    <w:p>
      <w:pPr>
        <w:pStyle w:val="BodyText"/>
        <w:spacing w:line="297" w:lineRule="auto" w:before="15"/>
        <w:ind w:right="224"/>
      </w:pPr>
      <w:r>
        <w:rPr>
          <w:spacing w:val="-2"/>
        </w:rPr>
        <w:t>如因离职或其他原因需要减少被保险人时，投保人应书面通知本公司，相关被保险人资格自通知</w:t>
      </w:r>
      <w:r>
        <w:rPr>
          <w:spacing w:val="-5"/>
        </w:rPr>
        <w:t>到达之日起丧失；如投保人要求的相关被保险人资格取消之日在通知到达日之后，则相关被保险人资格自投保人要求取消之日零时起丧失。如果该被保险人未发生本合同责任范围内的保险事故，本公司向投保人退还该被保险人的现金价值。</w:t>
      </w:r>
    </w:p>
    <w:p>
      <w:pPr>
        <w:pStyle w:val="BodyText"/>
        <w:spacing w:line="297" w:lineRule="auto" w:before="14"/>
        <w:ind w:right="120"/>
      </w:pPr>
      <w:r>
        <w:rPr/>
        <w:pict>
          <v:shape style="position:absolute;margin-left:58.32pt;margin-top:36.542187pt;width:478pt;height:19.45pt;mso-position-horizontal-relative:page;mso-position-vertical-relative:paragraph;z-index:1096;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3</w:t>
                    <w:tab/>
                    <w:t>保险费</w:t>
                  </w:r>
                </w:p>
              </w:txbxContent>
            </v:textbox>
            <v:fill type="solid"/>
            <w10:wrap type="topAndBottom"/>
          </v:shape>
        </w:pict>
      </w:r>
      <w:r>
        <w:rPr>
          <w:spacing w:val="-5"/>
        </w:rPr>
        <w:t>本合同的被保险人总数小于 </w:t>
      </w:r>
      <w:r>
        <w:rPr/>
        <w:t>5</w:t>
      </w:r>
      <w:r>
        <w:rPr>
          <w:spacing w:val="-14"/>
        </w:rPr>
        <w:t> 人，或低于有参加保险资格人数的 </w:t>
      </w:r>
      <w:r>
        <w:rPr/>
        <w:t>75%</w:t>
      </w:r>
      <w:r>
        <w:rPr>
          <w:spacing w:val="-7"/>
        </w:rPr>
        <w:t>时，本公司有权解除本合同， 并向投保人退还本合同的现金价值。</w:t>
      </w:r>
    </w:p>
    <w:p>
      <w:pPr>
        <w:pStyle w:val="Heading2"/>
        <w:numPr>
          <w:ilvl w:val="1"/>
          <w:numId w:val="4"/>
        </w:numPr>
        <w:tabs>
          <w:tab w:pos="773" w:val="left" w:leader="none"/>
          <w:tab w:pos="774" w:val="left" w:leader="none"/>
        </w:tabs>
        <w:spacing w:line="245" w:lineRule="exact" w:before="0" w:after="0"/>
        <w:ind w:left="773" w:right="0" w:hanging="545"/>
        <w:jc w:val="left"/>
      </w:pPr>
      <w:r>
        <w:rPr>
          <w:position w:val="-1"/>
        </w:rPr>
        <w:t>保险费</w:t>
      </w:r>
    </w:p>
    <w:p>
      <w:pPr>
        <w:pStyle w:val="BodyText"/>
        <w:spacing w:before="77"/>
      </w:pPr>
      <w:r>
        <w:rPr/>
        <w:t>保险费将根据投保人与本公司约定的保障内容进行确定，投保人应按合同约定交纳保险费。</w:t>
      </w:r>
    </w:p>
    <w:p>
      <w:pPr>
        <w:pStyle w:val="BodyText"/>
        <w:spacing w:line="297" w:lineRule="auto" w:before="55"/>
        <w:ind w:right="170"/>
      </w:pPr>
      <w:r>
        <w:rPr/>
        <w:t>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4"/>
        </w:numPr>
        <w:tabs>
          <w:tab w:pos="773" w:val="left" w:leader="none"/>
          <w:tab w:pos="774" w:val="left" w:leader="none"/>
        </w:tabs>
        <w:spacing w:line="240" w:lineRule="auto" w:before="14" w:after="0"/>
        <w:ind w:left="773" w:right="0" w:hanging="545"/>
        <w:jc w:val="left"/>
      </w:pPr>
      <w:r>
        <w:rPr>
          <w:w w:val="95"/>
        </w:rPr>
        <w:t>保险费的支付、宽限期、合同效力的中止和恢复</w:t>
      </w:r>
    </w:p>
    <w:p>
      <w:pPr>
        <w:pStyle w:val="BodyText"/>
        <w:spacing w:line="297" w:lineRule="auto"/>
        <w:ind w:right="170"/>
      </w:pPr>
      <w:r>
        <w:rPr/>
        <w:t>投保人分期支付保险费的，续期保险费应按保险单所载明的方式支付，如到期未支付，自保险费约定支付日的次日起 60 天为宽限期。</w:t>
      </w:r>
    </w:p>
    <w:p>
      <w:pPr>
        <w:pStyle w:val="BodyText"/>
        <w:spacing w:line="297" w:lineRule="auto" w:before="13"/>
        <w:ind w:right="170"/>
      </w:pPr>
      <w:r>
        <w:rPr/>
        <w:t>如果被保险人在宽限期内发生保险事故，本公司仍承担保险责任，但在给付保险金时扣除投保人所欠交的保险费。</w:t>
      </w:r>
    </w:p>
    <w:p>
      <w:pPr>
        <w:pStyle w:val="BodyText"/>
        <w:spacing w:line="297" w:lineRule="auto" w:before="15"/>
        <w:ind w:right="170"/>
      </w:pPr>
      <w:r>
        <w:rPr/>
        <w:t>如果宽限期结束时投保人仍未支付保险费，自宽限期满的次日零时起合同效力中止，合同效力中止期间本公司不承担保险责任。</w:t>
      </w:r>
    </w:p>
    <w:p>
      <w:pPr>
        <w:pStyle w:val="BodyText"/>
        <w:spacing w:before="14"/>
      </w:pPr>
      <w:r>
        <w:rPr/>
        <w:t>自本合同效力中止之日起 2 年内，投保人可向本公司申请恢复合同效力。</w:t>
      </w:r>
    </w:p>
    <w:p>
      <w:pPr>
        <w:pStyle w:val="BodyText"/>
        <w:spacing w:line="297" w:lineRule="auto"/>
        <w:ind w:right="224"/>
        <w:jc w:val="both"/>
      </w:pPr>
      <w:r>
        <w:rPr/>
        <w:pict>
          <v:shape style="position:absolute;margin-left:58.32pt;margin-top:56.072876pt;width:478pt;height:19.45pt;mso-position-horizontal-relative:page;mso-position-vertical-relative:paragraph;z-index:1120;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4</w:t>
                    <w:tab/>
                    <w:t>保险金的申请及给付</w:t>
                  </w:r>
                </w:p>
              </w:txbxContent>
            </v:textbox>
            <v:fill type="solid"/>
            <w10:wrap type="topAndBottom"/>
          </v:shape>
        </w:pict>
      </w:r>
      <w:r>
        <w:rPr>
          <w:spacing w:val="-3"/>
        </w:rPr>
        <w:t>经本公司与投保人协商并达成协议，自投保人补交所欠的保险费和利息的次日零时起，本合同效</w:t>
      </w:r>
      <w:r>
        <w:rPr>
          <w:spacing w:val="-8"/>
        </w:rPr>
        <w:t>力恢复。但是，自本合同效力中止之日起满 </w:t>
      </w:r>
      <w:r>
        <w:rPr/>
        <w:t>2</w:t>
      </w:r>
      <w:r>
        <w:rPr>
          <w:spacing w:val="-9"/>
        </w:rPr>
        <w:t> 年双方未达成协议的，本公司有权解除本合同。本公司解除合同的，向投保人退还本合同的现金价值。</w:t>
      </w:r>
    </w:p>
    <w:p>
      <w:pPr>
        <w:pStyle w:val="Heading2"/>
        <w:numPr>
          <w:ilvl w:val="1"/>
          <w:numId w:val="5"/>
        </w:numPr>
        <w:tabs>
          <w:tab w:pos="773" w:val="left" w:leader="none"/>
          <w:tab w:pos="774" w:val="left" w:leader="none"/>
        </w:tabs>
        <w:spacing w:line="225" w:lineRule="exact" w:before="0" w:after="0"/>
        <w:ind w:left="653" w:right="0" w:hanging="425"/>
        <w:jc w:val="left"/>
      </w:pPr>
      <w:r>
        <w:rPr>
          <w:w w:val="95"/>
        </w:rPr>
        <w:t>保险事故通知</w:t>
      </w:r>
    </w:p>
    <w:p>
      <w:pPr>
        <w:spacing w:after="0" w:line="225" w:lineRule="exact"/>
        <w:jc w:val="left"/>
        <w:sectPr>
          <w:pgSz w:w="11910" w:h="16840"/>
          <w:pgMar w:top="1400" w:bottom="280" w:left="1060" w:right="1060"/>
        </w:sectPr>
      </w:pPr>
    </w:p>
    <w:p>
      <w:pPr>
        <w:pStyle w:val="BodyText"/>
        <w:spacing w:before="6"/>
        <w:ind w:left="653"/>
      </w:pPr>
      <w:r>
        <w:rPr/>
        <w:t>投保人、被保险人或受益人知道保险事故发生后应当在 10 日内通知本公司。</w:t>
      </w:r>
    </w:p>
    <w:p>
      <w:pPr>
        <w:pStyle w:val="BodyText"/>
        <w:spacing w:line="297" w:lineRule="auto"/>
        <w:ind w:left="653" w:right="108"/>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5"/>
        </w:numPr>
        <w:tabs>
          <w:tab w:pos="653" w:val="left" w:leader="none"/>
          <w:tab w:pos="654" w:val="left" w:leader="none"/>
        </w:tabs>
        <w:spacing w:line="240" w:lineRule="auto" w:before="15" w:after="0"/>
        <w:ind w:left="653" w:right="0" w:hanging="545"/>
        <w:jc w:val="left"/>
      </w:pPr>
      <w:r>
        <w:rPr/>
        <w:t>受益人</w:t>
      </w:r>
    </w:p>
    <w:p>
      <w:pPr>
        <w:pStyle w:val="BodyText"/>
        <w:ind w:left="653"/>
      </w:pPr>
      <w:r>
        <w:rPr/>
        <w:t>投保人或者被保险人可以指定一人或多人为身故保险金受益人。</w:t>
      </w:r>
    </w:p>
    <w:p>
      <w:pPr>
        <w:pStyle w:val="BodyText"/>
        <w:spacing w:line="297" w:lineRule="auto" w:before="66"/>
        <w:ind w:left="653" w:right="144"/>
        <w:jc w:val="both"/>
      </w:pPr>
      <w:r>
        <w:rPr>
          <w:spacing w:val="-3"/>
        </w:rPr>
        <w:t>身故保险金受益人为多人时，投保人或者被保险人可以确定受益顺序和受益份额；同一受益顺序</w:t>
      </w:r>
      <w:r>
        <w:rPr>
          <w:spacing w:val="-6"/>
        </w:rPr>
        <w:t>如果没有确定受益份额，各受益人按照相等份额享有受益权；没有确定受益顺序的，各受益人按同一顺序享有受益权。</w:t>
      </w:r>
    </w:p>
    <w:p>
      <w:pPr>
        <w:pStyle w:val="BodyText"/>
        <w:spacing w:before="14"/>
        <w:ind w:left="653"/>
      </w:pPr>
      <w:r>
        <w:rPr/>
        <w:t>被保险人为无民事行为能力人或限制民事行为能力人的，可以由其监护人指定受益人。</w:t>
      </w:r>
    </w:p>
    <w:p>
      <w:pPr>
        <w:pStyle w:val="BodyText"/>
        <w:spacing w:line="297" w:lineRule="auto"/>
        <w:ind w:left="653" w:right="90"/>
      </w:pPr>
      <w:r>
        <w:rPr/>
        <w:t>投保人或者被保险人可以变更身故保险金受益人并书面通知本公司。本公司收到变更受益人的书面通知后，在保险单或其他保险凭证上批注或附贴批单。</w:t>
      </w:r>
    </w:p>
    <w:p>
      <w:pPr>
        <w:pStyle w:val="BodyText"/>
        <w:spacing w:line="297" w:lineRule="auto" w:before="13"/>
        <w:ind w:left="653" w:right="90"/>
      </w:pPr>
      <w:r>
        <w:rPr/>
        <w:t>投保人在指定和变更身故保险金受益人时，必须经过被保险人书面同意。投保人为与其有劳动关系的劳动者投保的，不得指定被保险人及其近亲属以外的人为受益人。</w:t>
      </w:r>
    </w:p>
    <w:p>
      <w:pPr>
        <w:pStyle w:val="BodyText"/>
        <w:spacing w:line="297" w:lineRule="auto" w:before="15"/>
        <w:ind w:left="653" w:right="145"/>
      </w:pPr>
      <w:r>
        <w:rPr>
          <w:spacing w:val="-5"/>
        </w:rPr>
        <w:t>被保险人身故后，有下列情形之一的，保险金作为被保险人的遗产，由本公司依照《中华人民共和国继承法》的规定履行给付保险金的义务：</w:t>
      </w:r>
    </w:p>
    <w:p>
      <w:pPr>
        <w:pStyle w:val="ListParagraph"/>
        <w:numPr>
          <w:ilvl w:val="2"/>
          <w:numId w:val="5"/>
        </w:numPr>
        <w:tabs>
          <w:tab w:pos="1073" w:val="left" w:leader="none"/>
          <w:tab w:pos="1074" w:val="left" w:leader="none"/>
        </w:tabs>
        <w:spacing w:line="240" w:lineRule="auto" w:before="15" w:after="0"/>
        <w:ind w:left="1073" w:right="0" w:hanging="420"/>
        <w:jc w:val="left"/>
        <w:rPr>
          <w:sz w:val="21"/>
        </w:rPr>
      </w:pPr>
      <w:r>
        <w:rPr>
          <w:sz w:val="21"/>
        </w:rPr>
        <w:t>没有指定受益人，或者受益人指定不明无法确定的；</w:t>
      </w:r>
    </w:p>
    <w:p>
      <w:pPr>
        <w:pStyle w:val="ListParagraph"/>
        <w:numPr>
          <w:ilvl w:val="2"/>
          <w:numId w:val="5"/>
        </w:numPr>
        <w:tabs>
          <w:tab w:pos="1073" w:val="left" w:leader="none"/>
          <w:tab w:pos="1074" w:val="left" w:leader="none"/>
        </w:tabs>
        <w:spacing w:line="240" w:lineRule="auto" w:before="65" w:after="0"/>
        <w:ind w:left="1073" w:right="0" w:hanging="420"/>
        <w:jc w:val="left"/>
        <w:rPr>
          <w:sz w:val="21"/>
        </w:rPr>
      </w:pPr>
      <w:r>
        <w:rPr>
          <w:sz w:val="21"/>
        </w:rPr>
        <w:t>受益人先于被保险人身故，没有其他受益人的；</w:t>
      </w:r>
    </w:p>
    <w:p>
      <w:pPr>
        <w:pStyle w:val="ListParagraph"/>
        <w:numPr>
          <w:ilvl w:val="2"/>
          <w:numId w:val="5"/>
        </w:numPr>
        <w:tabs>
          <w:tab w:pos="1073" w:val="left" w:leader="none"/>
          <w:tab w:pos="1074" w:val="left" w:leader="none"/>
        </w:tabs>
        <w:spacing w:line="240" w:lineRule="auto" w:before="64" w:after="0"/>
        <w:ind w:left="1073" w:right="0" w:hanging="420"/>
        <w:jc w:val="left"/>
        <w:rPr>
          <w:sz w:val="21"/>
        </w:rPr>
      </w:pPr>
      <w:r>
        <w:rPr>
          <w:sz w:val="21"/>
        </w:rPr>
        <w:t>受益人依法丧失受益权或者放弃受益权，没有其他受益人的。</w:t>
      </w:r>
    </w:p>
    <w:p>
      <w:pPr>
        <w:pStyle w:val="BodyText"/>
        <w:ind w:left="653"/>
      </w:pPr>
      <w:r>
        <w:rPr/>
        <w:t>受益人与被保险人在同一事件中身故，且不能确定身故先后顺序的，推定受益人身故在先。</w:t>
      </w:r>
    </w:p>
    <w:p>
      <w:pPr>
        <w:pStyle w:val="BodyText"/>
        <w:spacing w:line="297" w:lineRule="auto"/>
        <w:ind w:left="653" w:right="97"/>
      </w:pPr>
      <w:r>
        <w:rPr/>
        <w:t>受益人故意造成被保险人身故、伤残、疾病的，或者故意杀害被保险人未遂的，该受益人丧失受益权。</w:t>
      </w:r>
    </w:p>
    <w:p>
      <w:pPr>
        <w:pStyle w:val="BodyText"/>
        <w:spacing w:before="14"/>
        <w:ind w:left="653"/>
      </w:pPr>
      <w:r>
        <w:rPr/>
        <w:t>除合同另有约定外，本合同的重大疾病保险金受益人为被保险人本人。</w:t>
      </w:r>
    </w:p>
    <w:p>
      <w:pPr>
        <w:pStyle w:val="ListParagraph"/>
        <w:numPr>
          <w:ilvl w:val="1"/>
          <w:numId w:val="5"/>
        </w:numPr>
        <w:tabs>
          <w:tab w:pos="653" w:val="left" w:leader="none"/>
          <w:tab w:pos="654" w:val="left" w:leader="none"/>
        </w:tabs>
        <w:spacing w:line="297" w:lineRule="auto" w:before="66" w:after="0"/>
        <w:ind w:left="653" w:right="1048" w:hanging="545"/>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BodyText"/>
        <w:spacing w:before="14"/>
        <w:ind w:left="653"/>
      </w:pPr>
      <w:r>
        <w:rPr/>
        <w:t>1）被保险人的有效身份证件；</w:t>
      </w:r>
    </w:p>
    <w:p>
      <w:pPr>
        <w:pStyle w:val="BodyText"/>
        <w:spacing w:line="297" w:lineRule="auto"/>
        <w:ind w:left="969" w:right="145" w:hanging="316"/>
      </w:pPr>
      <w:r>
        <w:rPr/>
        <w:t>2）医院出具的疾病诊断证明书、病历记录和确诊疾病必需的病理显微镜检查、血液检查、影像学检查及其他科学检验报告；</w:t>
      </w:r>
    </w:p>
    <w:p>
      <w:pPr>
        <w:pStyle w:val="BodyText"/>
        <w:spacing w:line="297" w:lineRule="auto" w:before="13"/>
        <w:ind w:left="653" w:right="2314"/>
        <w:rPr>
          <w:b/>
        </w:rPr>
      </w:pPr>
      <w:r>
        <w:rPr/>
        <w:t>3）所能提供的与确认保险事故的性质、原因等相关的其他证明和资料。</w:t>
      </w:r>
      <w:r>
        <w:rPr>
          <w:b/>
          <w:w w:val="95"/>
        </w:rPr>
        <w:t>身故保险金</w:t>
      </w:r>
    </w:p>
    <w:p>
      <w:pPr>
        <w:pStyle w:val="ListParagraph"/>
        <w:numPr>
          <w:ilvl w:val="2"/>
          <w:numId w:val="5"/>
        </w:numPr>
        <w:tabs>
          <w:tab w:pos="1073" w:val="left" w:leader="none"/>
          <w:tab w:pos="1074" w:val="left" w:leader="none"/>
        </w:tabs>
        <w:spacing w:line="240" w:lineRule="auto" w:before="15" w:after="0"/>
        <w:ind w:left="653" w:right="0" w:firstLine="0"/>
        <w:jc w:val="left"/>
        <w:rPr>
          <w:sz w:val="21"/>
        </w:rPr>
      </w:pPr>
      <w:r>
        <w:rPr>
          <w:sz w:val="21"/>
        </w:rPr>
        <w:t>申请人和受益人的有效身份证件；</w:t>
      </w:r>
    </w:p>
    <w:p>
      <w:pPr>
        <w:pStyle w:val="ListParagraph"/>
        <w:numPr>
          <w:ilvl w:val="2"/>
          <w:numId w:val="5"/>
        </w:numPr>
        <w:tabs>
          <w:tab w:pos="1073" w:val="left" w:leader="none"/>
          <w:tab w:pos="1074" w:val="left" w:leader="none"/>
        </w:tabs>
        <w:spacing w:line="240" w:lineRule="auto" w:before="65" w:after="0"/>
        <w:ind w:left="653" w:right="0" w:firstLine="0"/>
        <w:jc w:val="left"/>
        <w:rPr>
          <w:sz w:val="21"/>
        </w:rPr>
      </w:pPr>
      <w:r>
        <w:rPr>
          <w:sz w:val="21"/>
        </w:rPr>
        <w:t>被保险人户籍注销证明；</w:t>
      </w:r>
    </w:p>
    <w:p>
      <w:pPr>
        <w:pStyle w:val="ListParagraph"/>
        <w:numPr>
          <w:ilvl w:val="2"/>
          <w:numId w:val="5"/>
        </w:numPr>
        <w:tabs>
          <w:tab w:pos="1073" w:val="left" w:leader="none"/>
          <w:tab w:pos="1074" w:val="left" w:leader="none"/>
        </w:tabs>
        <w:spacing w:line="240" w:lineRule="auto" w:before="66" w:after="0"/>
        <w:ind w:left="653" w:right="0" w:firstLine="0"/>
        <w:jc w:val="left"/>
        <w:rPr>
          <w:sz w:val="21"/>
        </w:rPr>
      </w:pPr>
      <w:r>
        <w:rPr>
          <w:sz w:val="21"/>
        </w:rPr>
        <w:t>国家卫生行政部门认定的医疗机构、公安部门或其他相关机构出具的被保险人的死亡证明；</w:t>
      </w:r>
    </w:p>
    <w:p>
      <w:pPr>
        <w:pStyle w:val="ListParagraph"/>
        <w:numPr>
          <w:ilvl w:val="2"/>
          <w:numId w:val="5"/>
        </w:numPr>
        <w:tabs>
          <w:tab w:pos="1073" w:val="left" w:leader="none"/>
          <w:tab w:pos="1074" w:val="left" w:leader="none"/>
        </w:tabs>
        <w:spacing w:line="240" w:lineRule="auto" w:before="66" w:after="0"/>
        <w:ind w:left="653" w:right="0" w:firstLine="0"/>
        <w:jc w:val="left"/>
        <w:rPr>
          <w:sz w:val="21"/>
        </w:rPr>
      </w:pPr>
      <w:r>
        <w:rPr>
          <w:sz w:val="21"/>
        </w:rPr>
        <w:t>被保险人由人民法院宣告死亡的，还应提供法院宣告死亡判决书原件；</w:t>
      </w:r>
    </w:p>
    <w:p>
      <w:pPr>
        <w:pStyle w:val="ListParagraph"/>
        <w:numPr>
          <w:ilvl w:val="2"/>
          <w:numId w:val="5"/>
        </w:numPr>
        <w:tabs>
          <w:tab w:pos="1073" w:val="left" w:leader="none"/>
          <w:tab w:pos="1074" w:val="left" w:leader="none"/>
        </w:tabs>
        <w:spacing w:line="297" w:lineRule="auto" w:before="66" w:after="0"/>
        <w:ind w:left="653" w:right="1998"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5"/>
        <w:ind w:left="653"/>
      </w:pPr>
      <w:r>
        <w:rPr/>
        <w:t>以上证明和资料不完整的，本公司将及时一次性通知申请人补充提供有关证明和资料。</w:t>
      </w:r>
    </w:p>
    <w:p>
      <w:pPr>
        <w:pStyle w:val="Heading2"/>
        <w:numPr>
          <w:ilvl w:val="1"/>
          <w:numId w:val="5"/>
        </w:numPr>
        <w:tabs>
          <w:tab w:pos="653" w:val="left" w:leader="none"/>
          <w:tab w:pos="654" w:val="left" w:leader="none"/>
        </w:tabs>
        <w:spacing w:line="240" w:lineRule="auto" w:before="65" w:after="0"/>
        <w:ind w:left="653" w:right="0" w:hanging="545"/>
        <w:jc w:val="left"/>
      </w:pPr>
      <w:r>
        <w:rPr>
          <w:w w:val="95"/>
        </w:rPr>
        <w:t>宣告死亡的处理</w:t>
      </w:r>
    </w:p>
    <w:p>
      <w:pPr>
        <w:pStyle w:val="BodyText"/>
        <w:spacing w:line="297" w:lineRule="auto" w:before="64"/>
        <w:ind w:left="653" w:right="97"/>
      </w:pPr>
      <w:r>
        <w:rPr/>
        <w:t>本合同有效期内，被保险人经人民法院宣告死亡的，本公司将根据法院判决所确定的被保险人死亡日期，按本合同约定的保险责任确定身故保险金的给付。</w:t>
      </w:r>
    </w:p>
    <w:p>
      <w:pPr>
        <w:spacing w:after="0" w:line="297" w:lineRule="auto"/>
        <w:sectPr>
          <w:pgSz w:w="11910" w:h="16840"/>
          <w:pgMar w:top="1360" w:bottom="280" w:left="1180" w:right="1140"/>
        </w:sectPr>
      </w:pPr>
    </w:p>
    <w:p>
      <w:pPr>
        <w:pStyle w:val="BodyText"/>
        <w:spacing w:line="297" w:lineRule="auto" w:before="6"/>
        <w:ind w:left="765" w:right="224" w:hanging="26"/>
        <w:jc w:val="both"/>
      </w:pPr>
      <w:r>
        <w:rPr/>
        <w:t>如被保险人在宣告死亡后生还，保险金领取人应于知道被保险人生还后三十日内将已领取的保险金退还给本公司。</w:t>
      </w:r>
    </w:p>
    <w:p>
      <w:pPr>
        <w:pStyle w:val="Heading2"/>
        <w:numPr>
          <w:ilvl w:val="1"/>
          <w:numId w:val="5"/>
        </w:numPr>
        <w:tabs>
          <w:tab w:pos="772" w:val="left" w:leader="none"/>
          <w:tab w:pos="774" w:val="left" w:leader="none"/>
        </w:tabs>
        <w:spacing w:line="240" w:lineRule="auto" w:before="15" w:after="0"/>
        <w:ind w:left="773" w:right="0" w:hanging="545"/>
        <w:jc w:val="left"/>
      </w:pPr>
      <w:r>
        <w:rPr>
          <w:w w:val="95"/>
        </w:rPr>
        <w:t>保险金的给付</w:t>
      </w:r>
    </w:p>
    <w:p>
      <w:pPr>
        <w:pStyle w:val="BodyText"/>
        <w:spacing w:before="85"/>
      </w:pPr>
      <w:r>
        <w:rPr/>
        <w:t>本公司在收到保险金给付申请书及合同约定的证明和资料后，将及时作出核定；情形复杂的，在</w:t>
      </w:r>
    </w:p>
    <w:p>
      <w:pPr>
        <w:pStyle w:val="BodyText"/>
        <w:spacing w:line="273" w:lineRule="auto" w:before="37"/>
        <w:ind w:right="223"/>
        <w:jc w:val="both"/>
      </w:pPr>
      <w:r>
        <w:rPr/>
        <w:t>30</w:t>
      </w:r>
      <w:r>
        <w:rPr>
          <w:spacing w:val="-9"/>
        </w:rPr>
        <w:t> 日内作出核定。对属于保险责任的，本公司在与受益人达成给付保险金的协议后 </w:t>
      </w:r>
      <w:r>
        <w:rPr/>
        <w:t>10</w:t>
      </w:r>
      <w:r>
        <w:rPr>
          <w:spacing w:val="-10"/>
        </w:rPr>
        <w:t> 日内，履行给付保险金义务。</w:t>
      </w:r>
    </w:p>
    <w:p>
      <w:pPr>
        <w:pStyle w:val="BodyText"/>
        <w:spacing w:before="7"/>
      </w:pPr>
      <w:r>
        <w:rPr/>
        <w:t>本公司未及时履行前款规定义务的，除支付保险金外，应当赔偿受益人因此受到的损失。</w:t>
      </w:r>
    </w:p>
    <w:p>
      <w:pPr>
        <w:pStyle w:val="BodyText"/>
        <w:spacing w:line="273" w:lineRule="auto" w:before="36"/>
        <w:ind w:right="224"/>
        <w:jc w:val="both"/>
      </w:pPr>
      <w:r>
        <w:rPr>
          <w:spacing w:val="-7"/>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765" w:right="223" w:hanging="26"/>
        <w:jc w:val="both"/>
      </w:pPr>
      <w:r>
        <w:rPr>
          <w:spacing w:val="-1"/>
        </w:rPr>
        <w:t>本公司在收到保险金给付申请书及有关证明和资料之日起 </w:t>
      </w:r>
      <w:r>
        <w:rPr/>
        <w:t>60</w:t>
      </w:r>
      <w:r>
        <w:rPr>
          <w:spacing w:val="-1"/>
        </w:rPr>
        <w:t> 日内，对给付保险金的数额不能确</w:t>
      </w:r>
      <w:r>
        <w:rPr>
          <w:spacing w:val="-5"/>
        </w:rPr>
        <w:t>定的，根据已有证明和资料可以确定的数额先予支付；本公司最终确定给付保险金的数额后，将支付相应的差额。</w:t>
      </w:r>
    </w:p>
    <w:p>
      <w:pPr>
        <w:pStyle w:val="ListParagraph"/>
        <w:numPr>
          <w:ilvl w:val="1"/>
          <w:numId w:val="5"/>
        </w:numPr>
        <w:tabs>
          <w:tab w:pos="740" w:val="left" w:leader="none"/>
        </w:tabs>
        <w:spacing w:line="297" w:lineRule="auto" w:before="27" w:after="0"/>
        <w:ind w:left="765" w:right="223" w:hanging="537"/>
        <w:jc w:val="left"/>
        <w:rPr>
          <w:sz w:val="21"/>
        </w:rPr>
      </w:pPr>
      <w:r>
        <w:rPr/>
        <w:pict>
          <v:shape style="position:absolute;margin-left:58.32pt;margin-top:37.192951pt;width:478pt;height:19.45pt;mso-position-horizontal-relative:page;mso-position-vertical-relative:paragraph;z-index:1144;mso-wrap-distance-left:0;mso-wrap-distance-right:0" type="#_x0000_t202" filled="true" fillcolor="#cccccc" stroked="false">
            <v:textbox inset="0,0,0,0">
              <w:txbxContent>
                <w:p>
                  <w:pPr>
                    <w:tabs>
                      <w:tab w:pos="667" w:val="left" w:leader="none"/>
                    </w:tabs>
                    <w:spacing w:line="275" w:lineRule="exact" w:before="0"/>
                    <w:ind w:left="122" w:right="0" w:firstLine="0"/>
                    <w:jc w:val="left"/>
                    <w:rPr>
                      <w:b/>
                      <w:sz w:val="24"/>
                    </w:rPr>
                  </w:pPr>
                  <w:r>
                    <w:rPr>
                      <w:b/>
                      <w:sz w:val="24"/>
                    </w:rPr>
                    <w:t>5</w:t>
                    <w:tab/>
                    <w:t>其他事项</w:t>
                  </w:r>
                </w:p>
              </w:txbxContent>
            </v:textbox>
            <v:fill type="solid"/>
            <w10:wrap type="topAndBottom"/>
          </v:shape>
        </w:pict>
      </w:r>
      <w:r>
        <w:rPr>
          <w:b/>
          <w:spacing w:val="-1"/>
          <w:sz w:val="21"/>
        </w:rPr>
        <w:t>诉讼时效 </w:t>
      </w:r>
      <w:r>
        <w:rPr>
          <w:spacing w:val="-1"/>
          <w:sz w:val="21"/>
        </w:rPr>
        <w:t>受益人向本公司请求给付保险金的诉讼时效期间为 </w:t>
      </w:r>
      <w:r>
        <w:rPr>
          <w:sz w:val="21"/>
        </w:rPr>
        <w:t>2</w:t>
      </w:r>
      <w:r>
        <w:rPr>
          <w:spacing w:val="-2"/>
          <w:sz w:val="21"/>
        </w:rPr>
        <w:t> 年，自其知道或者应当知道保险事故发生之日起计算。</w:t>
      </w:r>
    </w:p>
    <w:p>
      <w:pPr>
        <w:pStyle w:val="Heading2"/>
        <w:numPr>
          <w:ilvl w:val="1"/>
          <w:numId w:val="6"/>
        </w:numPr>
        <w:tabs>
          <w:tab w:pos="773" w:val="left" w:leader="none"/>
          <w:tab w:pos="774" w:val="left" w:leader="none"/>
        </w:tabs>
        <w:spacing w:line="225" w:lineRule="exact" w:before="0" w:after="0"/>
        <w:ind w:left="773" w:right="0" w:hanging="545"/>
        <w:jc w:val="left"/>
      </w:pPr>
      <w:r>
        <w:rPr>
          <w:w w:val="95"/>
        </w:rPr>
        <w:t>明确说明与如实告知</w:t>
      </w:r>
    </w:p>
    <w:p>
      <w:pPr>
        <w:pStyle w:val="BodyText"/>
        <w:spacing w:before="66"/>
      </w:pPr>
      <w:r>
        <w:rPr/>
        <w:t>订立本合同时，本公司应向投保人说明本合同的内容。</w:t>
      </w:r>
    </w:p>
    <w:p>
      <w:pPr>
        <w:pStyle w:val="BodyText"/>
        <w:spacing w:before="64"/>
      </w:pPr>
      <w:r>
        <w:rPr/>
        <w:t>本公司就投保人和被保险人的有关情况提出询问，投保人应当如实告知。</w:t>
      </w:r>
    </w:p>
    <w:p>
      <w:pPr>
        <w:pStyle w:val="BodyText"/>
        <w:spacing w:line="297" w:lineRule="auto"/>
        <w:ind w:right="170"/>
      </w:pPr>
      <w:r>
        <w:rPr/>
        <w:t>如果投保人故意或者因重大过失未履行前款规定的如实告知义务，足以影响本公司决定是否同意承保或者提高保险费率的，本公司有权解除本合同或取消相关被保险人资格。</w:t>
      </w:r>
    </w:p>
    <w:p>
      <w:pPr>
        <w:pStyle w:val="BodyText"/>
        <w:spacing w:line="297" w:lineRule="auto" w:before="15"/>
        <w:ind w:right="170"/>
      </w:pPr>
      <w:r>
        <w:rPr/>
        <w:t>如果投保人故意不履行如实告知义务，对于本合同解除或取消相关被保险人资格前发生的保险事故，本公司不承担给付保险金的责任，并不退还保险费。</w:t>
      </w:r>
    </w:p>
    <w:p>
      <w:pPr>
        <w:pStyle w:val="BodyText"/>
        <w:spacing w:line="297" w:lineRule="auto" w:before="15"/>
        <w:ind w:right="224"/>
        <w:jc w:val="both"/>
      </w:pPr>
      <w:r>
        <w:rPr>
          <w:spacing w:val="-2"/>
        </w:rPr>
        <w:t>如果投保人因重大过失未履行如实告知义务，对保险事故的发生有严重影响的，对于本合同解除</w:t>
      </w:r>
      <w:r>
        <w:rPr>
          <w:spacing w:val="-4"/>
        </w:rPr>
        <w:t>或取消相关被保险人资格前发生的保险事故，本公司不承担给付保险金的责任，但应当退还保险费。</w:t>
      </w:r>
    </w:p>
    <w:p>
      <w:pPr>
        <w:pStyle w:val="BodyText"/>
        <w:spacing w:line="297" w:lineRule="auto" w:before="15"/>
        <w:ind w:right="170"/>
      </w:pPr>
      <w:r>
        <w:rPr/>
        <w:t>本公司在合同订立时已经知道投保人未如实告知的情况的，本公司不得解除合同或取消相关被保险人资格；发生保险事故的，本公司承担给付保险金的责任。</w:t>
      </w:r>
    </w:p>
    <w:p>
      <w:pPr>
        <w:pStyle w:val="ListParagraph"/>
        <w:numPr>
          <w:ilvl w:val="1"/>
          <w:numId w:val="6"/>
        </w:numPr>
        <w:tabs>
          <w:tab w:pos="774" w:val="left" w:leader="none"/>
        </w:tabs>
        <w:spacing w:line="297" w:lineRule="auto" w:before="14" w:after="0"/>
        <w:ind w:left="773" w:right="225" w:hanging="545"/>
        <w:jc w:val="both"/>
        <w:rPr>
          <w:sz w:val="21"/>
        </w:rPr>
      </w:pPr>
      <w:r>
        <w:rPr>
          <w:b/>
          <w:spacing w:val="-1"/>
          <w:sz w:val="21"/>
        </w:rPr>
        <w:t>本公司合同解除权的限制 </w:t>
      </w:r>
      <w:r>
        <w:rPr>
          <w:spacing w:val="-6"/>
          <w:sz w:val="21"/>
        </w:rPr>
        <w:t>前条规定的合同解除权，自本公司知道有解除事由之日起，超过 </w:t>
      </w:r>
      <w:r>
        <w:rPr>
          <w:sz w:val="21"/>
        </w:rPr>
        <w:t>30</w:t>
      </w:r>
      <w:r>
        <w:rPr>
          <w:spacing w:val="-28"/>
          <w:sz w:val="21"/>
        </w:rPr>
        <w:t> 日</w:t>
      </w:r>
      <w:r>
        <w:rPr>
          <w:spacing w:val="-17"/>
          <w:sz w:val="21"/>
        </w:rPr>
        <w:t>不行使而消灭。自本合同成立之日起超过 </w:t>
      </w:r>
      <w:r>
        <w:rPr>
          <w:sz w:val="21"/>
        </w:rPr>
        <w:t>2</w:t>
      </w:r>
      <w:r>
        <w:rPr>
          <w:spacing w:val="-10"/>
          <w:sz w:val="21"/>
        </w:rPr>
        <w:t> 年的，本公司不得解除合同；发生保险事故的，本公司承担给付保险金的责任。</w:t>
      </w:r>
    </w:p>
    <w:p>
      <w:pPr>
        <w:pStyle w:val="ListParagraph"/>
        <w:numPr>
          <w:ilvl w:val="1"/>
          <w:numId w:val="6"/>
        </w:numPr>
        <w:tabs>
          <w:tab w:pos="741" w:val="left" w:leader="none"/>
        </w:tabs>
        <w:spacing w:line="297" w:lineRule="auto" w:before="14" w:after="0"/>
        <w:ind w:left="765" w:right="222" w:hanging="537"/>
        <w:jc w:val="left"/>
        <w:rPr>
          <w:sz w:val="21"/>
        </w:rPr>
      </w:pPr>
      <w:r>
        <w:rPr>
          <w:b/>
          <w:spacing w:val="8"/>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6"/>
        </w:numPr>
        <w:tabs>
          <w:tab w:pos="773" w:val="left" w:leader="none"/>
          <w:tab w:pos="774" w:val="left" w:leader="none"/>
        </w:tabs>
        <w:spacing w:line="240" w:lineRule="auto" w:before="15" w:after="0"/>
        <w:ind w:left="773" w:right="0" w:hanging="545"/>
        <w:jc w:val="left"/>
      </w:pPr>
      <w:r>
        <w:rPr/>
        <w:t>地址变更</w:t>
      </w:r>
    </w:p>
    <w:p>
      <w:pPr>
        <w:pStyle w:val="BodyText"/>
      </w:pPr>
      <w:r>
        <w:rPr/>
        <w:t>本合同有效期内，投保人的住址或通讯地址发生变更时，应及时通知本公司。</w:t>
      </w:r>
    </w:p>
    <w:p>
      <w:pPr>
        <w:pStyle w:val="BodyText"/>
        <w:spacing w:line="297" w:lineRule="auto" w:before="64"/>
        <w:ind w:right="170"/>
      </w:pPr>
      <w:r>
        <w:rPr/>
        <w:t>如果未通知本公司，本公司将按本合同注明的最后住址或通讯地址发送有关通知，并视为已送达投保人。</w:t>
      </w:r>
    </w:p>
    <w:p>
      <w:pPr>
        <w:pStyle w:val="Heading2"/>
        <w:numPr>
          <w:ilvl w:val="1"/>
          <w:numId w:val="6"/>
        </w:numPr>
        <w:tabs>
          <w:tab w:pos="773" w:val="left" w:leader="none"/>
          <w:tab w:pos="774" w:val="left" w:leader="none"/>
        </w:tabs>
        <w:spacing w:line="240" w:lineRule="auto" w:before="15" w:after="0"/>
        <w:ind w:left="773" w:right="0" w:hanging="545"/>
        <w:jc w:val="left"/>
      </w:pPr>
      <w:r>
        <w:rPr>
          <w:w w:val="95"/>
        </w:rPr>
        <w:t>年龄确定与错误处理</w:t>
      </w:r>
    </w:p>
    <w:p>
      <w:pPr>
        <w:pStyle w:val="BodyText"/>
        <w:spacing w:line="297" w:lineRule="auto" w:before="64"/>
        <w:ind w:right="170"/>
      </w:pPr>
      <w:r>
        <w:rPr/>
        <w:t>被保险人的年龄按周岁计算，其中投保年龄以对其开始承担保险责任时的周岁为准。如果发生错误，本公司将按照下列规则处理：</w:t>
      </w:r>
    </w:p>
    <w:p>
      <w:pPr>
        <w:pStyle w:val="ListParagraph"/>
        <w:numPr>
          <w:ilvl w:val="2"/>
          <w:numId w:val="6"/>
        </w:numPr>
        <w:tabs>
          <w:tab w:pos="1194" w:val="left" w:leader="none"/>
        </w:tabs>
        <w:spacing w:line="297" w:lineRule="auto" w:before="15" w:after="0"/>
        <w:ind w:left="1193" w:right="224" w:hanging="420"/>
        <w:jc w:val="both"/>
        <w:rPr>
          <w:sz w:val="21"/>
        </w:rPr>
      </w:pPr>
      <w:r>
        <w:rPr>
          <w:spacing w:val="-3"/>
          <w:sz w:val="21"/>
        </w:rPr>
        <w:t>投保人申报的被保险人年龄不真实，并且其真实年龄不符合本合同约定投保年龄限制的，本</w:t>
      </w:r>
      <w:r>
        <w:rPr>
          <w:spacing w:val="-5"/>
          <w:sz w:val="21"/>
        </w:rPr>
        <w:t>公司有权解除合同或取消该被保险人资格，并对合同解除或取消该被保险人资格前发生的保</w:t>
      </w:r>
      <w:r>
        <w:rPr>
          <w:spacing w:val="-7"/>
          <w:sz w:val="21"/>
        </w:rPr>
        <w:t>险事故不承担给付保险金的责任。解除本合同或取消该被保险人资格的，本公司向投保人退</w:t>
      </w:r>
    </w:p>
    <w:p>
      <w:pPr>
        <w:spacing w:after="0" w:line="297" w:lineRule="auto"/>
        <w:jc w:val="both"/>
        <w:rPr>
          <w:sz w:val="21"/>
        </w:rPr>
        <w:sectPr>
          <w:pgSz w:w="11910" w:h="16840"/>
          <w:pgMar w:top="1360" w:bottom="280" w:left="1060" w:right="1060"/>
        </w:sectPr>
      </w:pPr>
    </w:p>
    <w:p>
      <w:pPr>
        <w:pStyle w:val="BodyText"/>
        <w:spacing w:line="297" w:lineRule="auto" w:before="6"/>
        <w:ind w:left="1193" w:right="224"/>
      </w:pPr>
      <w:r>
        <w:rPr>
          <w:spacing w:val="-4"/>
        </w:rPr>
        <w:t>还本合同或该被保险人的现金价值。本公司行使合同解除权适用本条款第 </w:t>
      </w:r>
      <w:r>
        <w:rPr/>
        <w:t>5.2</w:t>
      </w:r>
      <w:r>
        <w:rPr>
          <w:spacing w:val="-12"/>
        </w:rPr>
        <w:t> 条“本公司合同解除权的限制”的规定。</w:t>
      </w:r>
    </w:p>
    <w:p>
      <w:pPr>
        <w:pStyle w:val="ListParagraph"/>
        <w:numPr>
          <w:ilvl w:val="2"/>
          <w:numId w:val="6"/>
        </w:numPr>
        <w:tabs>
          <w:tab w:pos="1194" w:val="left" w:leader="none"/>
        </w:tabs>
        <w:spacing w:line="297" w:lineRule="auto" w:before="15" w:after="0"/>
        <w:ind w:left="1193" w:right="224" w:hanging="420"/>
        <w:jc w:val="both"/>
        <w:rPr>
          <w:sz w:val="21"/>
        </w:rPr>
      </w:pPr>
      <w:r>
        <w:rPr>
          <w:spacing w:val="-3"/>
          <w:sz w:val="21"/>
        </w:rPr>
        <w:t>投保人申报的被保险人年龄不真实，致使投保人实付保险费少于应付保险费的，本公司有权</w:t>
      </w:r>
      <w:r>
        <w:rPr>
          <w:spacing w:val="-6"/>
          <w:sz w:val="21"/>
        </w:rPr>
        <w:t>更正并要求投保人补交保险费。若已经发生保险事故，在给付保险金时按实付保险费和应付保险费的比例给付。</w:t>
      </w:r>
    </w:p>
    <w:p>
      <w:pPr>
        <w:pStyle w:val="ListParagraph"/>
        <w:numPr>
          <w:ilvl w:val="2"/>
          <w:numId w:val="6"/>
        </w:numPr>
        <w:tabs>
          <w:tab w:pos="1193" w:val="left" w:leader="none"/>
          <w:tab w:pos="1194" w:val="left" w:leader="none"/>
        </w:tabs>
        <w:spacing w:line="297" w:lineRule="auto" w:before="15" w:after="0"/>
        <w:ind w:left="1193" w:right="224"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2"/>
        <w:numPr>
          <w:ilvl w:val="1"/>
          <w:numId w:val="6"/>
        </w:numPr>
        <w:tabs>
          <w:tab w:pos="773" w:val="left" w:leader="none"/>
          <w:tab w:pos="774" w:val="left" w:leader="none"/>
        </w:tabs>
        <w:spacing w:line="240" w:lineRule="auto" w:before="15" w:after="0"/>
        <w:ind w:left="773" w:right="0" w:hanging="545"/>
        <w:jc w:val="left"/>
      </w:pPr>
      <w:r>
        <w:rPr/>
        <w:t>争议处理</w:t>
      </w:r>
    </w:p>
    <w:p>
      <w:pPr>
        <w:pStyle w:val="BodyText"/>
      </w:pPr>
      <w:r>
        <w:rPr/>
        <w:t>合同争议解决方式由当事人在合同约定从下列两种方式中选择一种：</w:t>
      </w:r>
    </w:p>
    <w:p>
      <w:pPr>
        <w:pStyle w:val="BodyText"/>
        <w:tabs>
          <w:tab w:pos="8287" w:val="left" w:leader="none"/>
        </w:tabs>
        <w:spacing w:line="297" w:lineRule="auto"/>
        <w:ind w:right="219"/>
      </w:pPr>
      <w:r>
        <w:rPr/>
        <w:t>1）因履行本合同发生的争议，由当事人协商解决，协商不成的，提交</w:t>
      </w:r>
      <w:r>
        <w:rPr>
          <w:u w:val="single"/>
        </w:rPr>
        <w:t> </w:t>
        <w:tab/>
      </w:r>
      <w:r>
        <w:rPr/>
        <w:t>仲裁委员会仲 裁；</w:t>
      </w:r>
    </w:p>
    <w:p>
      <w:pPr>
        <w:pStyle w:val="BodyText"/>
        <w:spacing w:before="15"/>
      </w:pPr>
      <w:r>
        <w:rPr/>
        <w:t>2）因履行本合同发生的争议，由当事人协商解决，协商不成的，依法向人民法院起诉。</w:t>
      </w:r>
    </w:p>
    <w:p>
      <w:pPr>
        <w:pStyle w:val="ListParagraph"/>
        <w:numPr>
          <w:ilvl w:val="1"/>
          <w:numId w:val="6"/>
        </w:numPr>
        <w:tabs>
          <w:tab w:pos="741" w:val="left" w:leader="none"/>
        </w:tabs>
        <w:spacing w:line="297" w:lineRule="auto" w:before="65" w:after="0"/>
        <w:ind w:left="765" w:right="222" w:hanging="537"/>
        <w:jc w:val="both"/>
        <w:rPr>
          <w:sz w:val="21"/>
        </w:rPr>
      </w:pPr>
      <w:r>
        <w:rPr>
          <w:b/>
          <w:spacing w:val="12"/>
          <w:sz w:val="21"/>
        </w:rPr>
        <w:t>款项扣除 </w:t>
      </w:r>
      <w:r>
        <w:rPr>
          <w:sz w:val="21"/>
        </w:rPr>
        <w:t>本公司在给付各项保险金、退还现金价值或保险费时，如果投保人有欠交的保险费和利息，均需先行归还本公司或由本公司在给付款项中扣除。</w:t>
      </w:r>
    </w:p>
    <w:p>
      <w:pPr>
        <w:pStyle w:val="Heading1"/>
        <w:tabs>
          <w:tab w:pos="9665" w:val="left" w:leader="none"/>
        </w:tabs>
        <w:spacing w:line="240" w:lineRule="auto" w:before="11"/>
        <w:ind w:left="106"/>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7"/>
        </w:numPr>
        <w:tabs>
          <w:tab w:pos="773" w:val="left" w:leader="none"/>
          <w:tab w:pos="774" w:val="left" w:leader="none"/>
        </w:tabs>
        <w:spacing w:line="240" w:lineRule="auto" w:before="78" w:after="0"/>
        <w:ind w:left="773" w:right="0" w:hanging="545"/>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7"/>
        </w:numPr>
        <w:tabs>
          <w:tab w:pos="775" w:val="left" w:leader="none"/>
        </w:tabs>
        <w:spacing w:line="297" w:lineRule="auto" w:before="65" w:after="0"/>
        <w:ind w:left="773" w:right="222" w:hanging="545"/>
        <w:jc w:val="both"/>
        <w:rPr>
          <w:sz w:val="21"/>
        </w:rPr>
      </w:pPr>
      <w:r>
        <w:rPr>
          <w:b/>
          <w:spacing w:val="6"/>
          <w:sz w:val="21"/>
        </w:rPr>
        <w:t>遗传性疾病 </w:t>
      </w:r>
      <w:r>
        <w:rPr>
          <w:sz w:val="21"/>
        </w:rPr>
        <w:t>指生殖细胞或受精卵的遗传物质（染色体和基因）发生突变或畸变所引起的疾病， 通常具有由亲代传至后代的垂直传递的特征。</w:t>
      </w:r>
    </w:p>
    <w:p>
      <w:pPr>
        <w:pStyle w:val="ListParagraph"/>
        <w:numPr>
          <w:ilvl w:val="0"/>
          <w:numId w:val="7"/>
        </w:numPr>
        <w:tabs>
          <w:tab w:pos="775" w:val="left" w:leader="none"/>
        </w:tabs>
        <w:spacing w:line="297" w:lineRule="auto" w:before="14" w:after="0"/>
        <w:ind w:left="773" w:right="224" w:hanging="545"/>
        <w:jc w:val="both"/>
        <w:rPr>
          <w:sz w:val="21"/>
        </w:rPr>
      </w:pPr>
      <w:r>
        <w:rPr>
          <w:b/>
          <w:spacing w:val="1"/>
          <w:sz w:val="21"/>
        </w:rPr>
        <w:t>先天性畸形、变形或染色体异常 </w:t>
      </w:r>
      <w:r>
        <w:rPr>
          <w:sz w:val="21"/>
        </w:rPr>
        <w:t>指被保险人出生时就具有的畸形、变形或染色体异常。先天性</w:t>
      </w:r>
      <w:r>
        <w:rPr>
          <w:spacing w:val="-3"/>
          <w:sz w:val="21"/>
        </w:rPr>
        <w:t>畸形、变形和染色体异常依照世界卫生组织《疾病和有关健康问题的国际统计分类》</w:t>
      </w:r>
      <w:r>
        <w:rPr>
          <w:sz w:val="21"/>
        </w:rPr>
        <w:t>（ICD-10） 确定。</w:t>
      </w:r>
    </w:p>
    <w:p>
      <w:pPr>
        <w:pStyle w:val="ListParagraph"/>
        <w:numPr>
          <w:ilvl w:val="0"/>
          <w:numId w:val="7"/>
        </w:numPr>
        <w:tabs>
          <w:tab w:pos="774" w:val="left" w:leader="none"/>
        </w:tabs>
        <w:spacing w:line="297" w:lineRule="auto" w:before="14" w:after="0"/>
        <w:ind w:left="773" w:right="224" w:hanging="545"/>
        <w:jc w:val="both"/>
        <w:rPr>
          <w:sz w:val="21"/>
        </w:rPr>
      </w:pPr>
      <w:r>
        <w:rPr>
          <w:b/>
          <w:spacing w:val="-2"/>
          <w:sz w:val="21"/>
        </w:rPr>
        <w:t>毒品 </w:t>
      </w:r>
      <w:r>
        <w:rPr>
          <w:spacing w:val="-3"/>
          <w:sz w:val="21"/>
        </w:rPr>
        <w:t>指中华人民共和国刑法规定的鸦片、海洛因、甲基苯丙胺</w:t>
      </w:r>
      <w:r>
        <w:rPr>
          <w:sz w:val="21"/>
        </w:rPr>
        <w:t>（冰毒</w:t>
      </w:r>
      <w:r>
        <w:rPr>
          <w:spacing w:val="-106"/>
          <w:sz w:val="21"/>
        </w:rPr>
        <w:t>）</w:t>
      </w:r>
      <w:r>
        <w:rPr>
          <w:spacing w:val="-5"/>
          <w:sz w:val="21"/>
        </w:rPr>
        <w:t>、吗啡、大麻、可卡因以</w:t>
      </w:r>
      <w:r>
        <w:rPr>
          <w:spacing w:val="-7"/>
          <w:sz w:val="21"/>
        </w:rPr>
        <w:t>及国家规定管制的其他能够使人形成瘾癖的麻醉药品和精神药品，但不包括由医生开具并遵医嘱使用的用于治疗疾病但含有毒品成分的处方药品。</w:t>
      </w:r>
    </w:p>
    <w:p>
      <w:pPr>
        <w:pStyle w:val="ListParagraph"/>
        <w:numPr>
          <w:ilvl w:val="0"/>
          <w:numId w:val="7"/>
        </w:numPr>
        <w:tabs>
          <w:tab w:pos="775" w:val="left" w:leader="none"/>
        </w:tabs>
        <w:spacing w:line="297" w:lineRule="auto" w:before="14" w:after="0"/>
        <w:ind w:left="773" w:right="222" w:hanging="545"/>
        <w:jc w:val="both"/>
        <w:rPr>
          <w:sz w:val="21"/>
        </w:rPr>
      </w:pPr>
      <w:r>
        <w:rPr>
          <w:b/>
          <w:spacing w:val="8"/>
          <w:sz w:val="21"/>
        </w:rPr>
        <w:t>酒后驾驶 </w:t>
      </w:r>
      <w:r>
        <w:rPr>
          <w:sz w:val="21"/>
        </w:rPr>
        <w:t>指经检测或鉴定，发生事故时车辆驾驶人员每百毫升血液中的酒精含量达到或超过一</w:t>
      </w:r>
      <w:r>
        <w:rPr>
          <w:spacing w:val="-5"/>
          <w:sz w:val="21"/>
        </w:rPr>
        <w:t>定的标准，公安机关交通管理部门依据《道路交通安全法》的规定认定为饮酒后驾驶或醉酒后驾驶。</w:t>
      </w:r>
    </w:p>
    <w:p>
      <w:pPr>
        <w:pStyle w:val="ListParagraph"/>
        <w:numPr>
          <w:ilvl w:val="0"/>
          <w:numId w:val="7"/>
        </w:numPr>
        <w:tabs>
          <w:tab w:pos="773" w:val="left" w:leader="none"/>
          <w:tab w:pos="774" w:val="left" w:leader="none"/>
        </w:tabs>
        <w:spacing w:line="297" w:lineRule="auto" w:before="15" w:after="0"/>
        <w:ind w:left="773" w:right="6901" w:hanging="545"/>
        <w:jc w:val="left"/>
        <w:rPr>
          <w:sz w:val="21"/>
        </w:rPr>
      </w:pPr>
      <w:r>
        <w:rPr>
          <w:b/>
          <w:sz w:val="21"/>
        </w:rPr>
        <w:t>无合法有效驾驶证驾驶</w:t>
      </w:r>
      <w:r>
        <w:rPr>
          <w:sz w:val="21"/>
        </w:rPr>
        <w:t>指下列情形之一：</w:t>
      </w:r>
    </w:p>
    <w:p>
      <w:pPr>
        <w:pStyle w:val="ListParagraph"/>
        <w:numPr>
          <w:ilvl w:val="1"/>
          <w:numId w:val="7"/>
        </w:numPr>
        <w:tabs>
          <w:tab w:pos="1193" w:val="left" w:leader="none"/>
          <w:tab w:pos="1194" w:val="left" w:leader="none"/>
        </w:tabs>
        <w:spacing w:line="240" w:lineRule="auto" w:before="15" w:after="0"/>
        <w:ind w:left="1193" w:right="0" w:hanging="420"/>
        <w:jc w:val="left"/>
        <w:rPr>
          <w:sz w:val="21"/>
        </w:rPr>
      </w:pPr>
      <w:r>
        <w:rPr>
          <w:sz w:val="21"/>
        </w:rPr>
        <w:t>未依法取得驾驶证驾驶；</w:t>
      </w:r>
    </w:p>
    <w:p>
      <w:pPr>
        <w:pStyle w:val="ListParagraph"/>
        <w:numPr>
          <w:ilvl w:val="1"/>
          <w:numId w:val="7"/>
        </w:numPr>
        <w:tabs>
          <w:tab w:pos="1193" w:val="left" w:leader="none"/>
          <w:tab w:pos="1194" w:val="left" w:leader="none"/>
        </w:tabs>
        <w:spacing w:line="240" w:lineRule="auto" w:before="66" w:after="0"/>
        <w:ind w:left="1193" w:right="0" w:hanging="420"/>
        <w:jc w:val="left"/>
        <w:rPr>
          <w:sz w:val="21"/>
        </w:rPr>
      </w:pPr>
      <w:r>
        <w:rPr>
          <w:sz w:val="21"/>
        </w:rPr>
        <w:t>驾驶证被依法扣留期间驾驶；</w:t>
      </w:r>
    </w:p>
    <w:p>
      <w:pPr>
        <w:pStyle w:val="ListParagraph"/>
        <w:numPr>
          <w:ilvl w:val="1"/>
          <w:numId w:val="7"/>
        </w:numPr>
        <w:tabs>
          <w:tab w:pos="1193" w:val="left" w:leader="none"/>
          <w:tab w:pos="1194" w:val="left" w:leader="none"/>
        </w:tabs>
        <w:spacing w:line="240" w:lineRule="auto" w:before="64" w:after="0"/>
        <w:ind w:left="1193" w:right="0" w:hanging="420"/>
        <w:jc w:val="left"/>
        <w:rPr>
          <w:sz w:val="21"/>
        </w:rPr>
      </w:pPr>
      <w:r>
        <w:rPr>
          <w:sz w:val="21"/>
        </w:rPr>
        <w:t>驾驶与驾驶证准驾车型不相符合的车辆；</w:t>
      </w:r>
    </w:p>
    <w:p>
      <w:pPr>
        <w:pStyle w:val="ListParagraph"/>
        <w:numPr>
          <w:ilvl w:val="1"/>
          <w:numId w:val="7"/>
        </w:numPr>
        <w:tabs>
          <w:tab w:pos="1193" w:val="left" w:leader="none"/>
          <w:tab w:pos="1194" w:val="left" w:leader="none"/>
        </w:tabs>
        <w:spacing w:line="240" w:lineRule="auto" w:before="65" w:after="0"/>
        <w:ind w:left="1193" w:right="0" w:hanging="420"/>
        <w:jc w:val="left"/>
        <w:rPr>
          <w:sz w:val="21"/>
        </w:rPr>
      </w:pPr>
      <w:r>
        <w:rPr>
          <w:sz w:val="21"/>
        </w:rPr>
        <w:t>持未经审验或者超过有效期限的驾驶证驾驶；</w:t>
      </w:r>
    </w:p>
    <w:p>
      <w:pPr>
        <w:pStyle w:val="ListParagraph"/>
        <w:numPr>
          <w:ilvl w:val="1"/>
          <w:numId w:val="7"/>
        </w:numPr>
        <w:tabs>
          <w:tab w:pos="1193" w:val="left" w:leader="none"/>
          <w:tab w:pos="1194" w:val="left" w:leader="none"/>
        </w:tabs>
        <w:spacing w:line="240" w:lineRule="auto" w:before="65" w:after="0"/>
        <w:ind w:left="1193" w:right="0" w:hanging="420"/>
        <w:jc w:val="left"/>
        <w:rPr>
          <w:sz w:val="21"/>
        </w:rPr>
      </w:pPr>
      <w:r>
        <w:rPr>
          <w:sz w:val="21"/>
        </w:rPr>
        <w:t>持学习驾驶证学习驾车时，无教练员随车指导，或不按指定时间、路线学习驾车；</w:t>
      </w:r>
    </w:p>
    <w:p>
      <w:pPr>
        <w:pStyle w:val="ListParagraph"/>
        <w:numPr>
          <w:ilvl w:val="1"/>
          <w:numId w:val="7"/>
        </w:numPr>
        <w:tabs>
          <w:tab w:pos="1193" w:val="left" w:leader="none"/>
          <w:tab w:pos="1194" w:val="left" w:leader="none"/>
        </w:tabs>
        <w:spacing w:line="240" w:lineRule="auto" w:before="64" w:after="0"/>
        <w:ind w:left="1193" w:right="0" w:hanging="420"/>
        <w:jc w:val="left"/>
        <w:rPr>
          <w:sz w:val="21"/>
        </w:rPr>
      </w:pPr>
      <w:r>
        <w:rPr>
          <w:sz w:val="21"/>
        </w:rPr>
        <w:t>公安交通管理部门认定的其他无有效驾驶证驾驶的情况。</w:t>
      </w:r>
    </w:p>
    <w:p>
      <w:pPr>
        <w:pStyle w:val="Heading2"/>
        <w:numPr>
          <w:ilvl w:val="0"/>
          <w:numId w:val="7"/>
        </w:numPr>
        <w:tabs>
          <w:tab w:pos="773" w:val="left" w:leader="none"/>
          <w:tab w:pos="774" w:val="left" w:leader="none"/>
        </w:tabs>
        <w:spacing w:line="240" w:lineRule="auto" w:before="66" w:after="0"/>
        <w:ind w:left="773" w:right="0" w:hanging="545"/>
        <w:jc w:val="left"/>
      </w:pPr>
      <w:r>
        <w:rPr>
          <w:w w:val="95"/>
        </w:rPr>
        <w:t>无有效行驶证</w:t>
      </w:r>
    </w:p>
    <w:p>
      <w:pPr>
        <w:pStyle w:val="BodyText"/>
        <w:spacing w:before="66"/>
      </w:pPr>
      <w:r>
        <w:rPr/>
        <w:t>指下列情形之一：</w:t>
      </w:r>
    </w:p>
    <w:p>
      <w:pPr>
        <w:pStyle w:val="ListParagraph"/>
        <w:numPr>
          <w:ilvl w:val="0"/>
          <w:numId w:val="8"/>
        </w:numPr>
        <w:tabs>
          <w:tab w:pos="1194" w:val="left" w:leader="none"/>
        </w:tabs>
        <w:spacing w:line="240" w:lineRule="auto" w:before="64" w:after="0"/>
        <w:ind w:left="1193" w:right="0" w:hanging="420"/>
        <w:jc w:val="left"/>
        <w:rPr>
          <w:sz w:val="21"/>
        </w:rPr>
      </w:pPr>
      <w:r>
        <w:rPr>
          <w:spacing w:val="-1"/>
          <w:sz w:val="21"/>
        </w:rPr>
        <w:t>机动车被依法注销登记的；</w:t>
      </w:r>
    </w:p>
    <w:p>
      <w:pPr>
        <w:pStyle w:val="ListParagraph"/>
        <w:numPr>
          <w:ilvl w:val="0"/>
          <w:numId w:val="8"/>
        </w:numPr>
        <w:tabs>
          <w:tab w:pos="1194" w:val="left" w:leader="none"/>
        </w:tabs>
        <w:spacing w:line="240" w:lineRule="auto" w:before="65" w:after="0"/>
        <w:ind w:left="1193" w:right="0" w:hanging="420"/>
        <w:jc w:val="left"/>
        <w:rPr>
          <w:sz w:val="21"/>
        </w:rPr>
      </w:pPr>
      <w:r>
        <w:rPr>
          <w:spacing w:val="-1"/>
          <w:sz w:val="21"/>
        </w:rPr>
        <w:t>未依法按时进行或通过机动车安全技术检验。</w:t>
      </w:r>
    </w:p>
    <w:p>
      <w:pPr>
        <w:pStyle w:val="Heading2"/>
        <w:numPr>
          <w:ilvl w:val="0"/>
          <w:numId w:val="7"/>
        </w:numPr>
        <w:tabs>
          <w:tab w:pos="773" w:val="left" w:leader="none"/>
          <w:tab w:pos="774" w:val="left" w:leader="none"/>
        </w:tabs>
        <w:spacing w:line="240" w:lineRule="auto" w:before="65" w:after="0"/>
        <w:ind w:left="773" w:right="0" w:hanging="545"/>
        <w:jc w:val="left"/>
      </w:pPr>
      <w:r>
        <w:rPr>
          <w:w w:val="95"/>
        </w:rPr>
        <w:t>感染艾滋病病毒或患艾滋病</w:t>
      </w:r>
    </w:p>
    <w:p>
      <w:pPr>
        <w:pStyle w:val="BodyText"/>
      </w:pPr>
      <w:r>
        <w:rPr/>
        <w:t>艾滋病病毒指人类免疫缺陷病毒，英文缩写为 HIV。艾滋病指人类免疫缺陷病毒引起的获得性免</w:t>
      </w:r>
    </w:p>
    <w:p>
      <w:pPr>
        <w:spacing w:after="0"/>
        <w:sectPr>
          <w:pgSz w:w="11910" w:h="16840"/>
          <w:pgMar w:top="1360" w:bottom="280" w:left="1060" w:right="1060"/>
        </w:sectPr>
      </w:pPr>
    </w:p>
    <w:p>
      <w:pPr>
        <w:pStyle w:val="BodyText"/>
        <w:spacing w:before="6"/>
        <w:ind w:left="653"/>
      </w:pPr>
      <w:r>
        <w:rPr/>
        <w:t>疫缺陷综合征，英文缩写为 AIDS。</w:t>
      </w:r>
    </w:p>
    <w:p>
      <w:pPr>
        <w:pStyle w:val="BodyText"/>
        <w:spacing w:line="297" w:lineRule="auto"/>
        <w:ind w:left="653" w:right="15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7"/>
        </w:numPr>
        <w:tabs>
          <w:tab w:pos="653" w:val="left" w:leader="none"/>
          <w:tab w:pos="655" w:val="left" w:leader="none"/>
        </w:tabs>
        <w:spacing w:line="297" w:lineRule="auto" w:before="13" w:after="0"/>
        <w:ind w:left="653" w:right="202" w:hanging="545"/>
        <w:jc w:val="left"/>
        <w:rPr>
          <w:sz w:val="21"/>
        </w:rPr>
      </w:pPr>
      <w:r>
        <w:rPr>
          <w:b/>
          <w:spacing w:val="8"/>
          <w:sz w:val="21"/>
        </w:rPr>
        <w:t>现金价值 </w:t>
      </w:r>
      <w:r>
        <w:rPr>
          <w:sz w:val="21"/>
        </w:rPr>
        <w:t>指保险单所具有的价值，通常体现为解除合同时，根据精算原理计算的，由本公司退还的那部分金额。</w:t>
      </w:r>
    </w:p>
    <w:p>
      <w:pPr>
        <w:pStyle w:val="ListParagraph"/>
        <w:numPr>
          <w:ilvl w:val="0"/>
          <w:numId w:val="7"/>
        </w:numPr>
        <w:tabs>
          <w:tab w:pos="653" w:val="left" w:leader="none"/>
          <w:tab w:pos="654" w:val="left" w:leader="none"/>
        </w:tabs>
        <w:spacing w:line="240" w:lineRule="auto" w:before="15" w:after="0"/>
        <w:ind w:left="653" w:right="0" w:hanging="545"/>
        <w:jc w:val="left"/>
        <w:rPr>
          <w:sz w:val="21"/>
        </w:rPr>
      </w:pPr>
      <w:r>
        <w:rPr>
          <w:b/>
          <w:spacing w:val="-1"/>
          <w:sz w:val="21"/>
        </w:rPr>
        <w:t>利息 </w:t>
      </w:r>
      <w:r>
        <w:rPr>
          <w:sz w:val="21"/>
        </w:rPr>
        <w:t>按“同期人民银行两年期居民定期储蓄存款利率”为利息率按日复利计算。</w:t>
      </w:r>
    </w:p>
    <w:p>
      <w:pPr>
        <w:pStyle w:val="ListParagraph"/>
        <w:numPr>
          <w:ilvl w:val="0"/>
          <w:numId w:val="7"/>
        </w:numPr>
        <w:tabs>
          <w:tab w:pos="654" w:val="left" w:leader="none"/>
        </w:tabs>
        <w:spacing w:line="297" w:lineRule="auto" w:before="65" w:after="0"/>
        <w:ind w:left="653" w:right="204" w:hanging="545"/>
        <w:jc w:val="both"/>
        <w:rPr>
          <w:b/>
          <w:sz w:val="21"/>
        </w:rPr>
      </w:pPr>
      <w:r>
        <w:rPr>
          <w:b/>
          <w:spacing w:val="-2"/>
          <w:sz w:val="21"/>
        </w:rPr>
        <w:t>医院 </w:t>
      </w:r>
      <w:r>
        <w:rPr>
          <w:sz w:val="21"/>
        </w:rPr>
        <w:t>指依法设立的</w:t>
      </w:r>
      <w:r>
        <w:rPr>
          <w:sz w:val="22"/>
        </w:rPr>
        <w:t>国家卫生部医院等级分类中的</w:t>
      </w:r>
      <w:r>
        <w:rPr>
          <w:spacing w:val="-5"/>
          <w:sz w:val="21"/>
        </w:rPr>
        <w:t>二级甲等或二级甲等以上医疗机构，</w:t>
      </w:r>
      <w:r>
        <w:rPr>
          <w:b/>
          <w:sz w:val="21"/>
        </w:rPr>
        <w:t>但不包括</w:t>
      </w:r>
      <w:r>
        <w:rPr>
          <w:b/>
          <w:spacing w:val="-8"/>
          <w:sz w:val="21"/>
        </w:rPr>
        <w:t>疗养院、护理院、康复中心、戒酒或戒毒中心、精神心理治疗中心以及无相应医护人员或设备的</w:t>
      </w:r>
      <w:r>
        <w:rPr>
          <w:b/>
          <w:spacing w:val="-8"/>
          <w:w w:val="95"/>
          <w:sz w:val="21"/>
        </w:rPr>
        <w:t>二级或三级医院的联合医院或联合病房。</w:t>
      </w:r>
    </w:p>
    <w:p>
      <w:pPr>
        <w:pStyle w:val="ListParagraph"/>
        <w:numPr>
          <w:ilvl w:val="0"/>
          <w:numId w:val="7"/>
        </w:numPr>
        <w:tabs>
          <w:tab w:pos="653" w:val="left" w:leader="none"/>
          <w:tab w:pos="654" w:val="left" w:leader="none"/>
        </w:tabs>
        <w:spacing w:line="240" w:lineRule="auto" w:before="15" w:after="0"/>
        <w:ind w:left="653" w:right="0" w:hanging="545"/>
        <w:jc w:val="left"/>
        <w:rPr>
          <w:sz w:val="21"/>
        </w:rPr>
      </w:pPr>
      <w:r>
        <w:rPr>
          <w:b/>
          <w:spacing w:val="-1"/>
          <w:sz w:val="21"/>
        </w:rPr>
        <w:t>周岁 </w:t>
      </w:r>
      <w:r>
        <w:rPr>
          <w:sz w:val="21"/>
        </w:rPr>
        <w:t>以法定身份证明文件中记载的出生日期为基础计算。</w:t>
      </w:r>
    </w:p>
    <w:p>
      <w:pPr>
        <w:pStyle w:val="ListParagraph"/>
        <w:numPr>
          <w:ilvl w:val="0"/>
          <w:numId w:val="7"/>
        </w:numPr>
        <w:tabs>
          <w:tab w:pos="653" w:val="left" w:leader="none"/>
          <w:tab w:pos="654" w:val="left" w:leader="none"/>
        </w:tabs>
        <w:spacing w:line="240" w:lineRule="auto" w:before="65" w:after="0"/>
        <w:ind w:left="653" w:right="0" w:hanging="545"/>
        <w:jc w:val="left"/>
        <w:rPr>
          <w:sz w:val="21"/>
        </w:rPr>
      </w:pPr>
      <w:r>
        <w:rPr>
          <w:b/>
          <w:spacing w:val="-1"/>
          <w:sz w:val="21"/>
        </w:rPr>
        <w:t>重大疾病 </w:t>
      </w:r>
      <w:r>
        <w:rPr>
          <w:sz w:val="21"/>
        </w:rPr>
        <w:t>被保险人发生符合以下疾病定义所述条件的疾病，应当由专科医生明确诊断。</w:t>
      </w:r>
    </w:p>
    <w:p>
      <w:pPr>
        <w:spacing w:before="64"/>
        <w:ind w:left="653" w:right="0" w:firstLine="0"/>
        <w:jc w:val="left"/>
        <w:rPr>
          <w:b/>
          <w:sz w:val="22"/>
        </w:rPr>
      </w:pPr>
      <w:r>
        <w:rPr>
          <w:b/>
          <w:w w:val="95"/>
          <w:sz w:val="22"/>
        </w:rPr>
        <w:t>恶性肿瘤</w:t>
      </w:r>
    </w:p>
    <w:p>
      <w:pPr>
        <w:pStyle w:val="BodyText"/>
        <w:spacing w:line="297" w:lineRule="auto" w:before="69"/>
        <w:ind w:left="653" w:right="203"/>
        <w:jc w:val="both"/>
      </w:pPr>
      <w:r>
        <w:rPr>
          <w:spacing w:val="-3"/>
        </w:rPr>
        <w:t>指恶性细胞不受控制的进行性增长和扩散，浸润和破坏周围正常组织，可以经血管、淋巴管和体</w:t>
      </w:r>
      <w:r>
        <w:rPr>
          <w:spacing w:val="-13"/>
        </w:rPr>
        <w:t>腔扩散转移到身体其它部位的疾病。经病理学检查结果明确诊断，临床诊断属于世界卫生组织《疾</w:t>
      </w:r>
      <w:r>
        <w:rPr>
          <w:spacing w:val="-1"/>
        </w:rPr>
        <w:t>病和有关健康问题的国际统计分类》（ICD-10）的恶性肿瘤范畴。</w:t>
      </w:r>
    </w:p>
    <w:p>
      <w:pPr>
        <w:pStyle w:val="Heading2"/>
        <w:ind w:left="653"/>
      </w:pPr>
      <w:r>
        <w:rPr>
          <w:w w:val="95"/>
        </w:rPr>
        <w:t>下列疾病不在保障范围内：</w:t>
      </w:r>
    </w:p>
    <w:p>
      <w:pPr>
        <w:pStyle w:val="ListParagraph"/>
        <w:numPr>
          <w:ilvl w:val="1"/>
          <w:numId w:val="7"/>
        </w:numPr>
        <w:tabs>
          <w:tab w:pos="970" w:val="left" w:leader="none"/>
        </w:tabs>
        <w:spacing w:line="240" w:lineRule="auto" w:before="64" w:after="0"/>
        <w:ind w:left="653" w:right="0" w:firstLine="0"/>
        <w:jc w:val="left"/>
        <w:rPr>
          <w:sz w:val="21"/>
        </w:rPr>
      </w:pPr>
      <w:r>
        <w:rPr>
          <w:sz w:val="21"/>
        </w:rPr>
        <w:t>原位癌；</w:t>
      </w:r>
    </w:p>
    <w:p>
      <w:pPr>
        <w:pStyle w:val="ListParagraph"/>
        <w:numPr>
          <w:ilvl w:val="1"/>
          <w:numId w:val="7"/>
        </w:numPr>
        <w:tabs>
          <w:tab w:pos="969" w:val="left" w:leader="none"/>
        </w:tabs>
        <w:spacing w:line="240" w:lineRule="auto" w:before="66" w:after="0"/>
        <w:ind w:left="968" w:right="0" w:hanging="315"/>
        <w:jc w:val="left"/>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ListParagraph"/>
        <w:numPr>
          <w:ilvl w:val="1"/>
          <w:numId w:val="7"/>
        </w:numPr>
        <w:tabs>
          <w:tab w:pos="969" w:val="left" w:leader="none"/>
        </w:tabs>
        <w:spacing w:line="240" w:lineRule="auto" w:before="66" w:after="0"/>
        <w:ind w:left="968" w:right="0" w:hanging="315"/>
        <w:jc w:val="left"/>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ListParagraph"/>
        <w:numPr>
          <w:ilvl w:val="1"/>
          <w:numId w:val="7"/>
        </w:numPr>
        <w:tabs>
          <w:tab w:pos="969" w:val="left" w:leader="none"/>
        </w:tabs>
        <w:spacing w:line="240" w:lineRule="auto" w:before="13" w:after="0"/>
        <w:ind w:left="968"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1"/>
          <w:numId w:val="7"/>
        </w:numPr>
        <w:tabs>
          <w:tab w:pos="969" w:val="left" w:leader="none"/>
        </w:tabs>
        <w:spacing w:line="284" w:lineRule="exact" w:before="12" w:after="0"/>
        <w:ind w:left="968" w:right="0" w:hanging="315"/>
        <w:jc w:val="left"/>
        <w:rPr>
          <w:sz w:val="21"/>
        </w:rPr>
      </w:pPr>
      <w:r>
        <w:rPr>
          <w:sz w:val="21"/>
        </w:rPr>
        <w:t>TNM</w:t>
      </w:r>
      <w:r>
        <w:rPr>
          <w:spacing w:val="-26"/>
          <w:sz w:val="21"/>
        </w:rPr>
        <w:t> 分期为 </w:t>
      </w:r>
      <w:r>
        <w:rPr>
          <w:sz w:val="21"/>
        </w:rPr>
        <w:t>T</w:t>
      </w:r>
      <w:r>
        <w:rPr>
          <w:position w:val="-1"/>
          <w:sz w:val="16"/>
        </w:rPr>
        <w:t>1</w:t>
      </w:r>
      <w:r>
        <w:rPr>
          <w:sz w:val="21"/>
        </w:rPr>
        <w:t>N</w:t>
      </w:r>
      <w:r>
        <w:rPr>
          <w:sz w:val="21"/>
          <w:vertAlign w:val="subscript"/>
        </w:rPr>
        <w:t>0</w:t>
      </w:r>
      <w:r>
        <w:rPr>
          <w:sz w:val="21"/>
          <w:vertAlign w:val="baseline"/>
        </w:rPr>
        <w:t>M</w:t>
      </w:r>
      <w:r>
        <w:rPr>
          <w:position w:val="-1"/>
          <w:sz w:val="16"/>
          <w:vertAlign w:val="baseline"/>
        </w:rPr>
        <w:t>0</w:t>
      </w:r>
      <w:r>
        <w:rPr>
          <w:spacing w:val="-56"/>
          <w:position w:val="-1"/>
          <w:sz w:val="16"/>
          <w:vertAlign w:val="baseline"/>
        </w:rPr>
        <w:t> </w:t>
      </w:r>
      <w:r>
        <w:rPr>
          <w:sz w:val="21"/>
          <w:vertAlign w:val="baseline"/>
        </w:rPr>
        <w:t>期或更轻分期的前列腺癌；</w:t>
      </w:r>
    </w:p>
    <w:p>
      <w:pPr>
        <w:pStyle w:val="ListParagraph"/>
        <w:numPr>
          <w:ilvl w:val="1"/>
          <w:numId w:val="7"/>
        </w:numPr>
        <w:tabs>
          <w:tab w:pos="969" w:val="left" w:leader="none"/>
        </w:tabs>
        <w:spacing w:line="237" w:lineRule="auto" w:before="0" w:after="0"/>
        <w:ind w:left="653" w:right="4264" w:firstLine="0"/>
        <w:jc w:val="left"/>
        <w:rPr>
          <w:b/>
          <w:sz w:val="21"/>
        </w:rPr>
      </w:pPr>
      <w:r>
        <w:rPr>
          <w:sz w:val="21"/>
        </w:rPr>
        <w:t>感染艾滋病病毒或患艾滋病期间所患恶性肿瘤。</w:t>
      </w:r>
      <w:r>
        <w:rPr>
          <w:b/>
          <w:w w:val="95"/>
          <w:sz w:val="21"/>
        </w:rPr>
        <w:t>急性心肌梗塞</w:t>
      </w:r>
    </w:p>
    <w:p>
      <w:pPr>
        <w:pStyle w:val="BodyText"/>
        <w:spacing w:before="66"/>
        <w:ind w:left="653"/>
      </w:pPr>
      <w:r>
        <w:rPr/>
        <w:t>指因冠状动脉阻塞导致的相应区域供血不足造成部分心肌坏死。须满足下列至少三项条件：</w:t>
      </w:r>
    </w:p>
    <w:p>
      <w:pPr>
        <w:pStyle w:val="ListParagraph"/>
        <w:numPr>
          <w:ilvl w:val="0"/>
          <w:numId w:val="9"/>
        </w:numPr>
        <w:tabs>
          <w:tab w:pos="969" w:val="left" w:leader="none"/>
        </w:tabs>
        <w:spacing w:line="240" w:lineRule="auto" w:before="64" w:after="0"/>
        <w:ind w:left="653" w:right="0" w:firstLine="0"/>
        <w:jc w:val="left"/>
        <w:rPr>
          <w:sz w:val="21"/>
        </w:rPr>
      </w:pPr>
      <w:r>
        <w:rPr>
          <w:spacing w:val="-1"/>
          <w:sz w:val="21"/>
        </w:rPr>
        <w:t>典型临床表现，例如急性胸痛等；</w:t>
      </w:r>
    </w:p>
    <w:p>
      <w:pPr>
        <w:pStyle w:val="ListParagraph"/>
        <w:numPr>
          <w:ilvl w:val="0"/>
          <w:numId w:val="9"/>
        </w:numPr>
        <w:tabs>
          <w:tab w:pos="969" w:val="left" w:leader="none"/>
        </w:tabs>
        <w:spacing w:line="240" w:lineRule="auto" w:before="66" w:after="0"/>
        <w:ind w:left="653" w:right="0" w:firstLine="0"/>
        <w:jc w:val="left"/>
        <w:rPr>
          <w:sz w:val="21"/>
        </w:rPr>
      </w:pPr>
      <w:r>
        <w:rPr>
          <w:spacing w:val="-1"/>
          <w:sz w:val="21"/>
        </w:rPr>
        <w:t>新近的心电图改变提示急性心肌梗塞；</w:t>
      </w:r>
    </w:p>
    <w:p>
      <w:pPr>
        <w:pStyle w:val="ListParagraph"/>
        <w:numPr>
          <w:ilvl w:val="0"/>
          <w:numId w:val="9"/>
        </w:numPr>
        <w:tabs>
          <w:tab w:pos="969" w:val="left" w:leader="none"/>
        </w:tabs>
        <w:spacing w:line="240" w:lineRule="auto" w:before="66" w:after="0"/>
        <w:ind w:left="968" w:right="0" w:hanging="315"/>
        <w:jc w:val="left"/>
        <w:rPr>
          <w:sz w:val="21"/>
        </w:rPr>
      </w:pPr>
      <w:r>
        <w:rPr>
          <w:spacing w:val="-1"/>
          <w:sz w:val="21"/>
        </w:rPr>
        <w:t>心肌酶或肌钙蛋白有诊断意义的升高，或呈符合急性心肌梗塞的动态性变化；</w:t>
      </w:r>
    </w:p>
    <w:p>
      <w:pPr>
        <w:pStyle w:val="ListParagraph"/>
        <w:numPr>
          <w:ilvl w:val="0"/>
          <w:numId w:val="9"/>
        </w:numPr>
        <w:tabs>
          <w:tab w:pos="969" w:val="left" w:leader="none"/>
        </w:tabs>
        <w:spacing w:line="307" w:lineRule="auto" w:before="64" w:after="0"/>
        <w:ind w:left="653" w:right="1900" w:firstLine="0"/>
        <w:jc w:val="left"/>
        <w:rPr>
          <w:b/>
          <w:sz w:val="21"/>
        </w:rPr>
      </w:pPr>
      <w:r>
        <w:rPr>
          <w:spacing w:val="-18"/>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6"/>
        <w:ind w:left="653" w:right="150"/>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0"/>
        </w:numPr>
        <w:tabs>
          <w:tab w:pos="969" w:val="left" w:leader="none"/>
        </w:tabs>
        <w:spacing w:line="240" w:lineRule="auto" w:before="15" w:after="0"/>
        <w:ind w:left="653" w:right="0" w:firstLine="0"/>
        <w:jc w:val="left"/>
        <w:rPr>
          <w:sz w:val="21"/>
        </w:rPr>
      </w:pPr>
      <w:r>
        <w:rPr>
          <w:spacing w:val="-1"/>
          <w:sz w:val="21"/>
        </w:rPr>
        <w:t>一肢或一肢以上肢体机能完全丧失；</w:t>
      </w:r>
    </w:p>
    <w:p>
      <w:pPr>
        <w:pStyle w:val="ListParagraph"/>
        <w:numPr>
          <w:ilvl w:val="0"/>
          <w:numId w:val="10"/>
        </w:numPr>
        <w:tabs>
          <w:tab w:pos="969" w:val="left" w:leader="none"/>
        </w:tabs>
        <w:spacing w:line="240" w:lineRule="auto" w:before="66" w:after="0"/>
        <w:ind w:left="653" w:right="0" w:firstLine="0"/>
        <w:jc w:val="left"/>
        <w:rPr>
          <w:sz w:val="21"/>
        </w:rPr>
      </w:pPr>
      <w:r>
        <w:rPr>
          <w:spacing w:val="-1"/>
          <w:sz w:val="21"/>
        </w:rPr>
        <w:t>语言能力或咀嚼吞咽能力完全丧失；</w:t>
      </w:r>
    </w:p>
    <w:p>
      <w:pPr>
        <w:pStyle w:val="ListParagraph"/>
        <w:numPr>
          <w:ilvl w:val="0"/>
          <w:numId w:val="10"/>
        </w:numPr>
        <w:tabs>
          <w:tab w:pos="969" w:val="left" w:leader="none"/>
        </w:tabs>
        <w:spacing w:line="297" w:lineRule="auto" w:before="64" w:after="0"/>
        <w:ind w:left="653" w:right="904"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5"/>
        <w:ind w:left="653" w:right="99"/>
      </w:pPr>
      <w:r>
        <w:rPr>
          <w:spacing w:val="-10"/>
        </w:rPr>
        <w:t>重大器官移植术，指因相应器官功能衰竭，已经实施了肾脏、肝脏、心脏或肺脏的异体移植手术。</w:t>
      </w:r>
      <w:r>
        <w:rPr>
          <w:spacing w:val="-12"/>
        </w:rPr>
        <w:t>造血干细胞移植术，指因造血功能损害或造血系统恶性肿瘤，已经实施了造血干细胞</w:t>
      </w:r>
      <w:r>
        <w:rPr/>
        <w:t>（包括骨髓造血干细胞、外周血造血干细胞和脐血造血干细胞）的异体移植手术。</w:t>
      </w:r>
    </w:p>
    <w:p>
      <w:pPr>
        <w:pStyle w:val="Heading2"/>
        <w:ind w:left="653"/>
      </w:pPr>
      <w:r>
        <w:rPr>
          <w:w w:val="95"/>
        </w:rPr>
        <w:t>冠状动脉搭桥术（或称冠状动脉旁路移植术）</w:t>
      </w:r>
    </w:p>
    <w:p>
      <w:pPr>
        <w:pStyle w:val="BodyText"/>
        <w:spacing w:before="64"/>
        <w:ind w:left="653"/>
      </w:pPr>
      <w:r>
        <w:rPr/>
        <w:t>指为治疗严重的冠心病，实际实施了开胸进行的冠状动脉血管旁路移植的手术。</w:t>
      </w:r>
    </w:p>
    <w:p>
      <w:pPr>
        <w:pStyle w:val="Heading2"/>
        <w:spacing w:line="297" w:lineRule="auto" w:before="66"/>
        <w:ind w:left="653" w:right="206"/>
      </w:pPr>
      <w:r>
        <w:rPr>
          <w:spacing w:val="-6"/>
        </w:rPr>
        <w:t>冠状动脉支架植入术、心导管球囊扩张术、激光射频技术及其它非开胸的介入手术、腔镜手术不</w:t>
      </w:r>
      <w:r>
        <w:rPr>
          <w:spacing w:val="-6"/>
          <w:w w:val="95"/>
        </w:rPr>
        <w:t>在保障范围内。</w:t>
      </w:r>
    </w:p>
    <w:p>
      <w:pPr>
        <w:spacing w:after="0" w:line="297" w:lineRule="auto"/>
        <w:sectPr>
          <w:pgSz w:w="11910" w:h="16840"/>
          <w:pgMar w:top="1360" w:bottom="280" w:left="1180" w:right="1080"/>
        </w:sectPr>
      </w:pPr>
    </w:p>
    <w:p>
      <w:pPr>
        <w:spacing w:before="6"/>
        <w:ind w:left="153" w:right="0" w:firstLine="0"/>
        <w:jc w:val="left"/>
        <w:rPr>
          <w:b/>
          <w:sz w:val="21"/>
        </w:rPr>
      </w:pPr>
      <w:r>
        <w:rPr>
          <w:b/>
          <w:w w:val="95"/>
          <w:sz w:val="21"/>
        </w:rPr>
        <w:t>终末期肾病（或称慢性肾功能衰竭尿毒症期）</w:t>
      </w:r>
    </w:p>
    <w:p>
      <w:pPr>
        <w:pStyle w:val="BodyText"/>
        <w:spacing w:line="297" w:lineRule="auto"/>
        <w:ind w:left="153" w:right="50"/>
      </w:pPr>
      <w:r>
        <w:rPr/>
        <w:t>指双肾功能慢性不可逆性衰竭，达到尿毒症期，经诊断后已经进行了至少 90 天的规律性透析治疗或实施了肾脏移植手术。</w:t>
      </w:r>
    </w:p>
    <w:p>
      <w:pPr>
        <w:pStyle w:val="Heading2"/>
        <w:spacing w:before="13"/>
        <w:ind w:left="153"/>
      </w:pPr>
      <w:r>
        <w:rPr>
          <w:w w:val="95"/>
        </w:rPr>
        <w:t>多个肢体缺失</w:t>
      </w:r>
    </w:p>
    <w:p>
      <w:pPr>
        <w:pStyle w:val="BodyText"/>
        <w:spacing w:line="297" w:lineRule="auto"/>
        <w:ind w:left="153" w:right="50"/>
      </w:pPr>
      <w:r>
        <w:rPr/>
        <w:t>指因疾病或意外伤害导致两个或两个以上肢体自腕关节或踝关节近端（靠近躯干端）以上完全性断离。</w:t>
      </w:r>
    </w:p>
    <w:p>
      <w:pPr>
        <w:pStyle w:val="Heading2"/>
        <w:spacing w:before="14"/>
        <w:ind w:left="153"/>
      </w:pPr>
      <w:r>
        <w:rPr>
          <w:w w:val="95"/>
        </w:rPr>
        <w:t>急性或亚急性重症肝炎</w:t>
      </w:r>
    </w:p>
    <w:p>
      <w:pPr>
        <w:pStyle w:val="BodyText"/>
        <w:spacing w:line="297" w:lineRule="auto" w:before="66"/>
        <w:ind w:left="153" w:right="50"/>
      </w:pPr>
      <w:r>
        <w:rPr/>
        <w:t>指因肝炎病毒感染引起肝脏组织弥漫性坏死，导致急性肝功能衰竭，且经血清学或病毒学检查证实，并须满足下列全部条件：</w:t>
      </w:r>
    </w:p>
    <w:p>
      <w:pPr>
        <w:pStyle w:val="ListParagraph"/>
        <w:numPr>
          <w:ilvl w:val="0"/>
          <w:numId w:val="11"/>
        </w:numPr>
        <w:tabs>
          <w:tab w:pos="469" w:val="left" w:leader="none"/>
        </w:tabs>
        <w:spacing w:line="240" w:lineRule="auto" w:before="15" w:after="0"/>
        <w:ind w:left="153" w:right="0" w:firstLine="0"/>
        <w:jc w:val="left"/>
        <w:rPr>
          <w:sz w:val="21"/>
        </w:rPr>
      </w:pPr>
      <w:r>
        <w:rPr>
          <w:spacing w:val="-1"/>
          <w:sz w:val="21"/>
        </w:rPr>
        <w:t>重度黄疸或黄疸迅速加重；</w:t>
      </w:r>
    </w:p>
    <w:p>
      <w:pPr>
        <w:pStyle w:val="ListParagraph"/>
        <w:numPr>
          <w:ilvl w:val="0"/>
          <w:numId w:val="11"/>
        </w:numPr>
        <w:tabs>
          <w:tab w:pos="470" w:val="left" w:leader="none"/>
        </w:tabs>
        <w:spacing w:line="240" w:lineRule="auto" w:before="64" w:after="0"/>
        <w:ind w:left="469" w:right="0" w:hanging="316"/>
        <w:jc w:val="left"/>
        <w:rPr>
          <w:sz w:val="21"/>
        </w:rPr>
      </w:pPr>
      <w:r>
        <w:rPr>
          <w:spacing w:val="-1"/>
          <w:sz w:val="21"/>
        </w:rPr>
        <w:t>肝性脑病；</w:t>
      </w:r>
    </w:p>
    <w:p>
      <w:pPr>
        <w:pStyle w:val="ListParagraph"/>
        <w:numPr>
          <w:ilvl w:val="0"/>
          <w:numId w:val="11"/>
        </w:numPr>
        <w:tabs>
          <w:tab w:pos="469" w:val="left" w:leader="none"/>
        </w:tabs>
        <w:spacing w:line="240" w:lineRule="auto" w:before="66" w:after="0"/>
        <w:ind w:left="468" w:right="0" w:hanging="315"/>
        <w:jc w:val="left"/>
        <w:rPr>
          <w:sz w:val="21"/>
        </w:rPr>
      </w:pPr>
      <w:r>
        <w:rPr>
          <w:sz w:val="21"/>
        </w:rPr>
        <w:t>B</w:t>
      </w:r>
      <w:r>
        <w:rPr>
          <w:spacing w:val="-8"/>
          <w:sz w:val="21"/>
        </w:rPr>
        <w:t> 超或其它影像学检查显示肝脏体积急速萎缩；</w:t>
      </w:r>
    </w:p>
    <w:p>
      <w:pPr>
        <w:pStyle w:val="ListParagraph"/>
        <w:numPr>
          <w:ilvl w:val="0"/>
          <w:numId w:val="11"/>
        </w:numPr>
        <w:tabs>
          <w:tab w:pos="469" w:val="left" w:leader="none"/>
        </w:tabs>
        <w:spacing w:line="297" w:lineRule="auto" w:before="66" w:after="0"/>
        <w:ind w:left="153" w:right="6264" w:firstLine="0"/>
        <w:jc w:val="left"/>
        <w:rPr>
          <w:b/>
          <w:sz w:val="21"/>
        </w:rPr>
      </w:pPr>
      <w:r>
        <w:rPr>
          <w:sz w:val="21"/>
        </w:rPr>
        <w:t>肝功能指标进行性恶化。</w:t>
      </w:r>
      <w:r>
        <w:rPr>
          <w:b/>
          <w:w w:val="95"/>
          <w:sz w:val="21"/>
        </w:rPr>
        <w:t>良性脑肿瘤</w:t>
      </w:r>
    </w:p>
    <w:p>
      <w:pPr>
        <w:pStyle w:val="BodyText"/>
        <w:spacing w:line="297" w:lineRule="auto" w:before="15"/>
        <w:ind w:left="153" w:right="105"/>
      </w:pPr>
      <w:r>
        <w:rPr>
          <w:spacing w:val="-5"/>
        </w:rPr>
        <w:t>指脑的良性肿瘤，已经引起颅内压增高，临床表现为视神经乳头水肿、精神症状、癫痫及运动感</w:t>
      </w:r>
      <w:r>
        <w:rPr>
          <w:spacing w:val="-7"/>
        </w:rPr>
        <w:t>觉障碍等，并危及生命。须由头颅断层扫描</w:t>
      </w:r>
      <w:r>
        <w:rPr/>
        <w:t>（CT</w:t>
      </w:r>
      <w:r>
        <w:rPr>
          <w:spacing w:val="-105"/>
        </w:rPr>
        <w:t>）</w:t>
      </w:r>
      <w:r>
        <w:rPr>
          <w:spacing w:val="-4"/>
        </w:rPr>
        <w:t>、核磁共振检查</w:t>
      </w:r>
      <w:r>
        <w:rPr>
          <w:spacing w:val="-1"/>
        </w:rPr>
        <w:t>（MRI</w:t>
      </w:r>
      <w:r>
        <w:rPr>
          <w:spacing w:val="-7"/>
        </w:rPr>
        <w:t>）</w:t>
      </w:r>
      <w:r>
        <w:rPr>
          <w:spacing w:val="-1"/>
        </w:rPr>
        <w:t>或正电子发射断层扫描</w:t>
      </w:r>
    </w:p>
    <w:p>
      <w:pPr>
        <w:pStyle w:val="BodyText"/>
        <w:spacing w:before="14"/>
        <w:ind w:left="153"/>
      </w:pPr>
      <w:r>
        <w:rPr/>
        <w:t>（PET）等影像学检查证实，并须满足下列至少一项条件：</w:t>
      </w:r>
    </w:p>
    <w:p>
      <w:pPr>
        <w:pStyle w:val="ListParagraph"/>
        <w:numPr>
          <w:ilvl w:val="0"/>
          <w:numId w:val="12"/>
        </w:numPr>
        <w:tabs>
          <w:tab w:pos="469" w:val="left" w:leader="none"/>
        </w:tabs>
        <w:spacing w:line="240" w:lineRule="auto" w:before="66" w:after="0"/>
        <w:ind w:left="468" w:right="0" w:hanging="315"/>
        <w:jc w:val="left"/>
        <w:rPr>
          <w:sz w:val="21"/>
        </w:rPr>
      </w:pPr>
      <w:r>
        <w:rPr>
          <w:spacing w:val="-1"/>
          <w:sz w:val="21"/>
        </w:rPr>
        <w:t>实际实施了开颅进行的脑肿瘤完全切除或部分切除的手术；</w:t>
      </w:r>
    </w:p>
    <w:p>
      <w:pPr>
        <w:pStyle w:val="ListParagraph"/>
        <w:numPr>
          <w:ilvl w:val="0"/>
          <w:numId w:val="12"/>
        </w:numPr>
        <w:tabs>
          <w:tab w:pos="469" w:val="left" w:leader="none"/>
        </w:tabs>
        <w:spacing w:line="240" w:lineRule="auto" w:before="66" w:after="0"/>
        <w:ind w:left="468" w:right="0" w:hanging="315"/>
        <w:jc w:val="left"/>
        <w:rPr>
          <w:sz w:val="21"/>
        </w:rPr>
      </w:pPr>
      <w:r>
        <w:rPr>
          <w:spacing w:val="-1"/>
          <w:sz w:val="21"/>
        </w:rPr>
        <w:t>实际实施了对脑肿瘤进行的放射治疗。</w:t>
      </w:r>
    </w:p>
    <w:p>
      <w:pPr>
        <w:pStyle w:val="Heading2"/>
        <w:spacing w:line="297" w:lineRule="auto" w:before="65"/>
        <w:ind w:left="153" w:right="4040"/>
      </w:pPr>
      <w:r>
        <w:rPr/>
        <w:t>脑垂体瘤、脑囊肿、脑血管性疾病不在保障范围内。</w:t>
      </w:r>
      <w:r>
        <w:rPr>
          <w:w w:val="95"/>
        </w:rPr>
        <w:t>慢性肝功能衰竭失代偿期</w:t>
      </w:r>
    </w:p>
    <w:p>
      <w:pPr>
        <w:pStyle w:val="BodyText"/>
        <w:spacing w:before="15"/>
        <w:ind w:left="153"/>
      </w:pPr>
      <w:r>
        <w:rPr/>
        <w:t>指因慢性肝脏疾病导致肝功能衰竭。须满足下列全部条件：</w:t>
      </w:r>
    </w:p>
    <w:p>
      <w:pPr>
        <w:pStyle w:val="ListParagraph"/>
        <w:numPr>
          <w:ilvl w:val="0"/>
          <w:numId w:val="13"/>
        </w:numPr>
        <w:tabs>
          <w:tab w:pos="469" w:val="left" w:leader="none"/>
        </w:tabs>
        <w:spacing w:line="240" w:lineRule="auto" w:before="65" w:after="0"/>
        <w:ind w:left="153" w:right="0" w:firstLine="0"/>
        <w:jc w:val="left"/>
        <w:rPr>
          <w:sz w:val="21"/>
        </w:rPr>
      </w:pPr>
      <w:r>
        <w:rPr>
          <w:spacing w:val="-1"/>
          <w:sz w:val="21"/>
        </w:rPr>
        <w:t>持续性黄疸；</w:t>
      </w:r>
    </w:p>
    <w:p>
      <w:pPr>
        <w:pStyle w:val="ListParagraph"/>
        <w:numPr>
          <w:ilvl w:val="0"/>
          <w:numId w:val="13"/>
        </w:numPr>
        <w:tabs>
          <w:tab w:pos="469" w:val="left" w:leader="none"/>
        </w:tabs>
        <w:spacing w:line="240" w:lineRule="auto" w:before="64" w:after="0"/>
        <w:ind w:left="468" w:right="0" w:hanging="315"/>
        <w:jc w:val="left"/>
        <w:rPr>
          <w:sz w:val="21"/>
        </w:rPr>
      </w:pPr>
      <w:r>
        <w:rPr>
          <w:sz w:val="21"/>
        </w:rPr>
        <w:t>腹水；</w:t>
      </w:r>
    </w:p>
    <w:p>
      <w:pPr>
        <w:pStyle w:val="ListParagraph"/>
        <w:numPr>
          <w:ilvl w:val="0"/>
          <w:numId w:val="13"/>
        </w:numPr>
        <w:tabs>
          <w:tab w:pos="470" w:val="left" w:leader="none"/>
        </w:tabs>
        <w:spacing w:line="240" w:lineRule="auto" w:before="65" w:after="0"/>
        <w:ind w:left="469" w:right="0" w:hanging="316"/>
        <w:jc w:val="left"/>
        <w:rPr>
          <w:sz w:val="21"/>
        </w:rPr>
      </w:pPr>
      <w:r>
        <w:rPr>
          <w:spacing w:val="-1"/>
          <w:sz w:val="21"/>
        </w:rPr>
        <w:t>肝性脑病；</w:t>
      </w:r>
    </w:p>
    <w:p>
      <w:pPr>
        <w:pStyle w:val="ListParagraph"/>
        <w:numPr>
          <w:ilvl w:val="0"/>
          <w:numId w:val="13"/>
        </w:numPr>
        <w:tabs>
          <w:tab w:pos="469" w:val="left" w:leader="none"/>
        </w:tabs>
        <w:spacing w:line="297" w:lineRule="auto" w:before="65" w:after="0"/>
        <w:ind w:left="153" w:right="3830" w:firstLine="0"/>
        <w:jc w:val="left"/>
        <w:rPr>
          <w:b/>
          <w:sz w:val="21"/>
        </w:rPr>
      </w:pPr>
      <w:r>
        <w:rPr>
          <w:sz w:val="21"/>
        </w:rPr>
        <w:t>充血性脾肿大伴脾功能亢进或食管胃底静脉曲张。</w:t>
      </w:r>
      <w:r>
        <w:rPr>
          <w:b/>
          <w:sz w:val="21"/>
        </w:rPr>
        <w:t>因酗酒或药物滥用导致的肝功能衰竭不在保障范围内</w:t>
      </w:r>
      <w:r>
        <w:rPr>
          <w:sz w:val="21"/>
        </w:rPr>
        <w:t>。</w:t>
      </w:r>
      <w:r>
        <w:rPr>
          <w:b/>
          <w:w w:val="95"/>
          <w:sz w:val="21"/>
        </w:rPr>
        <w:t>脑炎后遗症或脑膜炎后遗症</w:t>
      </w:r>
    </w:p>
    <w:p>
      <w:pPr>
        <w:pStyle w:val="BodyText"/>
        <w:spacing w:line="297" w:lineRule="auto" w:before="15"/>
        <w:ind w:left="153" w:right="50"/>
      </w:pP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469" w:val="left" w:leader="none"/>
        </w:tabs>
        <w:spacing w:line="240" w:lineRule="auto" w:before="15" w:after="0"/>
        <w:ind w:left="153" w:right="0" w:firstLine="0"/>
        <w:jc w:val="left"/>
        <w:rPr>
          <w:sz w:val="21"/>
        </w:rPr>
      </w:pPr>
      <w:r>
        <w:rPr>
          <w:spacing w:val="-1"/>
          <w:sz w:val="21"/>
        </w:rPr>
        <w:t>一肢或一肢以上肢体机能完全丧失；</w:t>
      </w:r>
    </w:p>
    <w:p>
      <w:pPr>
        <w:pStyle w:val="ListParagraph"/>
        <w:numPr>
          <w:ilvl w:val="0"/>
          <w:numId w:val="14"/>
        </w:numPr>
        <w:tabs>
          <w:tab w:pos="469" w:val="left" w:leader="none"/>
        </w:tabs>
        <w:spacing w:line="240" w:lineRule="auto" w:before="65" w:after="0"/>
        <w:ind w:left="153" w:right="0" w:firstLine="0"/>
        <w:jc w:val="left"/>
        <w:rPr>
          <w:sz w:val="21"/>
        </w:rPr>
      </w:pPr>
      <w:r>
        <w:rPr>
          <w:spacing w:val="-1"/>
          <w:sz w:val="21"/>
        </w:rPr>
        <w:t>语言能力或咀嚼吞咽能力完全丧失；</w:t>
      </w:r>
    </w:p>
    <w:p>
      <w:pPr>
        <w:pStyle w:val="ListParagraph"/>
        <w:numPr>
          <w:ilvl w:val="0"/>
          <w:numId w:val="14"/>
        </w:numPr>
        <w:tabs>
          <w:tab w:pos="469" w:val="left" w:leader="none"/>
        </w:tabs>
        <w:spacing w:line="297" w:lineRule="auto" w:before="64" w:after="0"/>
        <w:ind w:left="153" w:right="804"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left="153" w:right="10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分以下，且已经持续使用呼吸机及其它生命维持</w:t>
      </w:r>
      <w:r>
        <w:rPr>
          <w:spacing w:val="-25"/>
        </w:rPr>
        <w:t>系统 </w:t>
      </w:r>
      <w:r>
        <w:rPr/>
        <w:t>96</w:t>
      </w:r>
      <w:r>
        <w:rPr>
          <w:spacing w:val="-10"/>
        </w:rPr>
        <w:t> 小时以上。</w:t>
      </w:r>
    </w:p>
    <w:p>
      <w:pPr>
        <w:pStyle w:val="Heading2"/>
        <w:spacing w:line="297" w:lineRule="auto"/>
        <w:ind w:left="153" w:right="4040"/>
      </w:pPr>
      <w:r>
        <w:rPr/>
        <w:t>因酗酒或药物滥用导致的深度昏迷不在保障范围内。双耳失聪</w:t>
      </w:r>
    </w:p>
    <w:p>
      <w:pPr>
        <w:pStyle w:val="BodyText"/>
        <w:spacing w:before="14"/>
        <w:ind w:left="153"/>
      </w:pPr>
      <w:r>
        <w:rPr>
          <w:spacing w:val="-2"/>
        </w:rPr>
        <w:t>指因疾病或意外伤害导致双耳听力永久不可逆性丧失，在 </w:t>
      </w:r>
      <w:r>
        <w:rPr/>
        <w:t>500</w:t>
      </w:r>
      <w:r>
        <w:rPr>
          <w:spacing w:val="-13"/>
        </w:rPr>
        <w:t> 赫兹、</w:t>
      </w:r>
      <w:r>
        <w:rPr/>
        <w:t>1000</w:t>
      </w:r>
      <w:r>
        <w:rPr>
          <w:spacing w:val="-21"/>
        </w:rPr>
        <w:t> 赫兹和 </w:t>
      </w:r>
      <w:r>
        <w:rPr/>
        <w:t>2000</w:t>
      </w:r>
      <w:r>
        <w:rPr>
          <w:spacing w:val="-11"/>
        </w:rPr>
        <w:t> 赫兹语音</w:t>
      </w:r>
    </w:p>
    <w:p>
      <w:pPr>
        <w:pStyle w:val="BodyText"/>
        <w:spacing w:before="66"/>
        <w:ind w:left="153"/>
      </w:pPr>
      <w:r>
        <w:rPr/>
        <w:t>频率下，平均听阈大于 90 分贝，且经纯音听力测试、声导抗检测或听觉诱发电位检测等证实。</w:t>
      </w:r>
    </w:p>
    <w:p>
      <w:pPr>
        <w:spacing w:after="0"/>
        <w:sectPr>
          <w:pgSz w:w="11910" w:h="16840"/>
          <w:pgMar w:top="1360" w:bottom="280" w:left="1680" w:right="1180"/>
        </w:sectPr>
      </w:pPr>
    </w:p>
    <w:p>
      <w:pPr>
        <w:spacing w:line="297" w:lineRule="auto" w:before="6"/>
        <w:ind w:left="153" w:right="364" w:firstLine="0"/>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before="15"/>
        <w:ind w:left="153"/>
        <w:jc w:val="both"/>
      </w:pPr>
      <w:r>
        <w:rPr/>
        <w:t>指因疾病或意外伤害导致双眼视力永久不可逆性丧失，双眼中较好眼须满足下列至少一项条件：</w:t>
      </w:r>
    </w:p>
    <w:p>
      <w:pPr>
        <w:pStyle w:val="ListParagraph"/>
        <w:numPr>
          <w:ilvl w:val="0"/>
          <w:numId w:val="15"/>
        </w:numPr>
        <w:tabs>
          <w:tab w:pos="469" w:val="left" w:leader="none"/>
        </w:tabs>
        <w:spacing w:line="240" w:lineRule="auto" w:before="64" w:after="0"/>
        <w:ind w:left="468" w:right="0" w:hanging="315"/>
        <w:jc w:val="both"/>
        <w:rPr>
          <w:sz w:val="21"/>
        </w:rPr>
      </w:pPr>
      <w:r>
        <w:rPr>
          <w:spacing w:val="-1"/>
          <w:sz w:val="21"/>
        </w:rPr>
        <w:t>眼球缺失或摘除；</w:t>
      </w:r>
    </w:p>
    <w:p>
      <w:pPr>
        <w:pStyle w:val="ListParagraph"/>
        <w:numPr>
          <w:ilvl w:val="0"/>
          <w:numId w:val="15"/>
        </w:numPr>
        <w:tabs>
          <w:tab w:pos="469" w:val="left" w:leader="none"/>
        </w:tabs>
        <w:spacing w:line="240" w:lineRule="auto" w:before="65" w:after="0"/>
        <w:ind w:left="468" w:right="0" w:hanging="315"/>
        <w:jc w:val="both"/>
        <w:rPr>
          <w:sz w:val="21"/>
        </w:rPr>
      </w:pPr>
      <w:r>
        <w:rPr>
          <w:spacing w:val="-9"/>
          <w:sz w:val="21"/>
        </w:rPr>
        <w:t>矫正视力低于 </w:t>
      </w:r>
      <w:r>
        <w:rPr>
          <w:sz w:val="21"/>
        </w:rPr>
        <w:t>0.02</w:t>
      </w:r>
      <w:r>
        <w:rPr>
          <w:spacing w:val="-2"/>
          <w:sz w:val="21"/>
        </w:rPr>
        <w:t>（</w:t>
      </w:r>
      <w:r>
        <w:rPr>
          <w:sz w:val="21"/>
        </w:rPr>
        <w:t>采用国际标准视力表，如果使用其它视力表应进行换算</w:t>
      </w:r>
      <w:r>
        <w:rPr>
          <w:spacing w:val="-105"/>
          <w:sz w:val="21"/>
        </w:rPr>
        <w:t>）</w:t>
      </w:r>
      <w:r>
        <w:rPr>
          <w:sz w:val="21"/>
        </w:rPr>
        <w:t>；</w:t>
      </w:r>
    </w:p>
    <w:p>
      <w:pPr>
        <w:pStyle w:val="ListParagraph"/>
        <w:numPr>
          <w:ilvl w:val="0"/>
          <w:numId w:val="15"/>
        </w:numPr>
        <w:tabs>
          <w:tab w:pos="470" w:val="left" w:leader="none"/>
        </w:tabs>
        <w:spacing w:line="240" w:lineRule="auto" w:before="65" w:after="0"/>
        <w:ind w:left="469" w:right="0" w:hanging="316"/>
        <w:jc w:val="both"/>
        <w:rPr>
          <w:sz w:val="21"/>
        </w:rPr>
      </w:pPr>
      <w:r>
        <w:rPr>
          <w:spacing w:val="-8"/>
          <w:sz w:val="21"/>
        </w:rPr>
        <w:t>视野半径小于 </w:t>
      </w:r>
      <w:r>
        <w:rPr>
          <w:sz w:val="21"/>
        </w:rPr>
        <w:t>5</w:t>
      </w:r>
      <w:r>
        <w:rPr>
          <w:spacing w:val="-18"/>
          <w:sz w:val="21"/>
        </w:rPr>
        <w:t> 度。</w:t>
      </w:r>
    </w:p>
    <w:p>
      <w:pPr>
        <w:spacing w:line="297" w:lineRule="auto" w:before="64"/>
        <w:ind w:left="153" w:right="364" w:firstLine="0"/>
        <w:jc w:val="left"/>
        <w:rPr>
          <w:b/>
          <w:sz w:val="21"/>
        </w:rPr>
      </w:pPr>
      <w:r>
        <w:rPr>
          <w:b/>
          <w:sz w:val="21"/>
        </w:rPr>
        <w:t>被保险人申请理赔时年龄必须在三周岁以上，</w:t>
      </w:r>
      <w:r>
        <w:rPr>
          <w:sz w:val="21"/>
        </w:rPr>
        <w:t>并且提供理赔当时的视力丧失诊断及检查证据。</w:t>
      </w:r>
      <w:r>
        <w:rPr>
          <w:b/>
          <w:w w:val="95"/>
          <w:sz w:val="21"/>
        </w:rPr>
        <w:t>瘫痪</w:t>
      </w:r>
    </w:p>
    <w:p>
      <w:pPr>
        <w:pStyle w:val="BodyText"/>
        <w:spacing w:line="297" w:lineRule="auto" w:before="15"/>
        <w:ind w:left="153" w:right="204"/>
        <w:jc w:val="both"/>
      </w:pPr>
      <w:r>
        <w:rPr>
          <w:spacing w:val="-2"/>
        </w:rPr>
        <w:t>指因疾病或意外伤害导致两肢或两肢以上肢体机能永久完全丧失。肢体机能永久完全丧失，指疾</w:t>
      </w:r>
      <w:r>
        <w:rPr>
          <w:spacing w:val="-15"/>
        </w:rPr>
        <w:t>病确诊 </w:t>
      </w:r>
      <w:r>
        <w:rPr/>
        <w:t>180</w:t>
      </w:r>
      <w:r>
        <w:rPr>
          <w:spacing w:val="-13"/>
        </w:rPr>
        <w:t> 天后或意外伤害发生 </w:t>
      </w:r>
      <w:r>
        <w:rPr/>
        <w:t>180</w:t>
      </w:r>
      <w:r>
        <w:rPr>
          <w:spacing w:val="-10"/>
        </w:rPr>
        <w:t> 天后，每肢三大关节中的两大关节仍然完全僵硬，或不能随意识活动。</w:t>
      </w:r>
    </w:p>
    <w:p>
      <w:pPr>
        <w:pStyle w:val="Heading2"/>
        <w:ind w:left="153"/>
      </w:pPr>
      <w:r>
        <w:rPr>
          <w:w w:val="95"/>
        </w:rPr>
        <w:t>心脏瓣膜手术</w:t>
      </w:r>
    </w:p>
    <w:p>
      <w:pPr>
        <w:pStyle w:val="BodyText"/>
        <w:spacing w:line="297" w:lineRule="auto"/>
        <w:ind w:left="153" w:right="1848"/>
        <w:rPr>
          <w:b/>
        </w:rPr>
      </w:pPr>
      <w:r>
        <w:rPr/>
        <w:t>指为治疗心脏瓣膜疾病，实际实施了开胸进行的心脏瓣膜置换或修复的手术。</w:t>
      </w:r>
      <w:r>
        <w:rPr>
          <w:b/>
          <w:w w:val="95"/>
        </w:rPr>
        <w:t>严重阿尔茨海默病</w:t>
      </w:r>
    </w:p>
    <w:p>
      <w:pPr>
        <w:pStyle w:val="BodyText"/>
        <w:spacing w:line="297" w:lineRule="auto" w:before="15"/>
        <w:ind w:left="153" w:right="204"/>
        <w:jc w:val="both"/>
      </w:pPr>
      <w:r>
        <w:rPr>
          <w:spacing w:val="-4"/>
        </w:rPr>
        <w:t>指因大脑进行性、不可逆性改变导致智能严重衰退或丧失，临床表现为明显的认知能力障碍、行</w:t>
      </w:r>
      <w:r>
        <w:rPr/>
        <w:t>为异常和社交能力减退，其日常生活必须持续受到他人监护。须由头颅断层扫描</w:t>
      </w:r>
      <w:r>
        <w:rPr>
          <w:spacing w:val="0"/>
        </w:rPr>
        <w:t>（CT</w:t>
      </w:r>
      <w:r>
        <w:rPr>
          <w:spacing w:val="-104"/>
        </w:rPr>
        <w:t>）</w:t>
      </w:r>
      <w:r>
        <w:rPr/>
        <w:t>、核磁共</w:t>
      </w:r>
      <w:r>
        <w:rPr>
          <w:spacing w:val="-3"/>
        </w:rPr>
        <w:t>振检查（MRI）</w:t>
      </w:r>
      <w:r>
        <w:rPr>
          <w:spacing w:val="-1"/>
        </w:rPr>
        <w:t>或正电子发射断层扫描</w:t>
      </w:r>
      <w:r>
        <w:rPr>
          <w:spacing w:val="-3"/>
        </w:rPr>
        <w:t>（PET）</w:t>
      </w:r>
      <w:r>
        <w:rPr>
          <w:spacing w:val="-2"/>
        </w:rPr>
        <w:t>等影像学检查证实，且自主生活能力完全丧失，无</w:t>
      </w:r>
      <w:r>
        <w:rPr>
          <w:spacing w:val="-1"/>
        </w:rPr>
        <w:t>法独立完成六项基本日常生活活动中的三项或三项以上。</w:t>
      </w:r>
    </w:p>
    <w:p>
      <w:pPr>
        <w:pStyle w:val="Heading2"/>
        <w:spacing w:line="297" w:lineRule="auto"/>
        <w:ind w:left="153" w:right="5194"/>
      </w:pPr>
      <w:r>
        <w:rPr/>
        <w:t>神经官能症和精神疾病不在保障范围内。</w:t>
      </w:r>
      <w:r>
        <w:rPr>
          <w:w w:val="95"/>
        </w:rPr>
        <w:t>严重脑损伤</w:t>
      </w:r>
    </w:p>
    <w:p>
      <w:pPr>
        <w:pStyle w:val="BodyText"/>
        <w:spacing w:line="297" w:lineRule="auto" w:before="15"/>
        <w:ind w:left="153" w:right="204"/>
        <w:jc w:val="both"/>
      </w:pPr>
      <w:r>
        <w:rPr>
          <w:spacing w:val="-3"/>
        </w:rPr>
        <w:t>指因头部遭受机械性外力，引起脑重要部位损伤，导致神经系统永久性的功能障碍。须由头颅断</w:t>
      </w:r>
      <w:r>
        <w:rPr>
          <w:spacing w:val="0"/>
        </w:rPr>
        <w:t>层扫描（CT</w:t>
      </w:r>
      <w:r>
        <w:rPr>
          <w:spacing w:val="-104"/>
        </w:rPr>
        <w:t>）</w:t>
      </w:r>
      <w:r>
        <w:rPr/>
        <w:t>、核磁共振检查</w:t>
      </w:r>
      <w:r>
        <w:rPr>
          <w:spacing w:val="0"/>
        </w:rPr>
        <w:t>（MRI</w:t>
      </w:r>
      <w:r>
        <w:rPr>
          <w:spacing w:val="1"/>
        </w:rPr>
        <w:t>）</w:t>
      </w:r>
      <w:r>
        <w:rPr/>
        <w:t>或正电子发射断层扫描</w:t>
      </w:r>
      <w:r>
        <w:rPr>
          <w:spacing w:val="0"/>
        </w:rPr>
        <w:t>（PET）</w:t>
      </w:r>
      <w:r>
        <w:rPr/>
        <w:t>等影像学检查证实。神经系</w:t>
      </w:r>
      <w:r>
        <w:rPr>
          <w:spacing w:val="-4"/>
        </w:rPr>
        <w:t>统永久性的功能障碍，指脑损伤 </w:t>
      </w:r>
      <w:r>
        <w:rPr/>
        <w:t>180</w:t>
      </w:r>
      <w:r>
        <w:rPr>
          <w:spacing w:val="-8"/>
        </w:rPr>
        <w:t> 天后，仍遗留下列一种或一种以上障碍：</w:t>
      </w:r>
    </w:p>
    <w:p>
      <w:pPr>
        <w:pStyle w:val="ListParagraph"/>
        <w:numPr>
          <w:ilvl w:val="0"/>
          <w:numId w:val="16"/>
        </w:numPr>
        <w:tabs>
          <w:tab w:pos="469" w:val="left" w:leader="none"/>
        </w:tabs>
        <w:spacing w:line="240" w:lineRule="auto" w:before="14" w:after="0"/>
        <w:ind w:left="153" w:right="0" w:firstLine="0"/>
        <w:jc w:val="left"/>
        <w:rPr>
          <w:sz w:val="21"/>
        </w:rPr>
      </w:pPr>
      <w:r>
        <w:rPr>
          <w:spacing w:val="-1"/>
          <w:sz w:val="21"/>
        </w:rPr>
        <w:t>一肢或一肢以上肢体机能完全丧失；</w:t>
      </w:r>
    </w:p>
    <w:p>
      <w:pPr>
        <w:pStyle w:val="ListParagraph"/>
        <w:numPr>
          <w:ilvl w:val="0"/>
          <w:numId w:val="16"/>
        </w:numPr>
        <w:tabs>
          <w:tab w:pos="469" w:val="left" w:leader="none"/>
        </w:tabs>
        <w:spacing w:line="240" w:lineRule="auto" w:before="65" w:after="0"/>
        <w:ind w:left="153" w:right="0" w:firstLine="0"/>
        <w:jc w:val="left"/>
        <w:rPr>
          <w:sz w:val="21"/>
        </w:rPr>
      </w:pPr>
      <w:r>
        <w:rPr>
          <w:spacing w:val="-1"/>
          <w:sz w:val="21"/>
        </w:rPr>
        <w:t>语言能力或咀嚼吞咽能力完全丧失；</w:t>
      </w:r>
    </w:p>
    <w:p>
      <w:pPr>
        <w:pStyle w:val="ListParagraph"/>
        <w:numPr>
          <w:ilvl w:val="0"/>
          <w:numId w:val="16"/>
        </w:numPr>
        <w:tabs>
          <w:tab w:pos="469" w:val="left" w:leader="none"/>
        </w:tabs>
        <w:spacing w:line="297" w:lineRule="auto" w:before="65" w:after="0"/>
        <w:ind w:left="153" w:right="904"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5"/>
        <w:ind w:left="153"/>
      </w:pPr>
      <w:r>
        <w:rPr/>
        <w:t>是一种中枢神经系统的退行性疾病，临床表现为震颤麻痹、共济失调等。须满足下列全部条件：</w:t>
      </w:r>
    </w:p>
    <w:p>
      <w:pPr>
        <w:pStyle w:val="ListParagraph"/>
        <w:numPr>
          <w:ilvl w:val="0"/>
          <w:numId w:val="17"/>
        </w:numPr>
        <w:tabs>
          <w:tab w:pos="469" w:val="left" w:leader="none"/>
        </w:tabs>
        <w:spacing w:line="240" w:lineRule="auto" w:before="66" w:after="0"/>
        <w:ind w:left="153" w:right="0" w:firstLine="0"/>
        <w:jc w:val="left"/>
        <w:rPr>
          <w:sz w:val="21"/>
        </w:rPr>
      </w:pPr>
      <w:r>
        <w:rPr>
          <w:spacing w:val="-1"/>
          <w:sz w:val="21"/>
        </w:rPr>
        <w:t>药物治疗无法控制病情；</w:t>
      </w:r>
    </w:p>
    <w:p>
      <w:pPr>
        <w:pStyle w:val="ListParagraph"/>
        <w:numPr>
          <w:ilvl w:val="0"/>
          <w:numId w:val="17"/>
        </w:numPr>
        <w:tabs>
          <w:tab w:pos="469" w:val="left" w:leader="none"/>
        </w:tabs>
        <w:spacing w:line="297" w:lineRule="auto" w:before="65" w:after="0"/>
        <w:ind w:left="153" w:right="904"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Heading2"/>
        <w:ind w:left="153"/>
      </w:pPr>
      <w:r>
        <w:rPr>
          <w:w w:val="95"/>
        </w:rPr>
        <w:t>严重Ⅲ度烧伤</w:t>
      </w:r>
    </w:p>
    <w:p>
      <w:pPr>
        <w:pStyle w:val="BodyText"/>
        <w:spacing w:line="297" w:lineRule="auto" w:before="64"/>
        <w:ind w:left="153" w:right="204"/>
      </w:pPr>
      <w:r>
        <w:rPr>
          <w:spacing w:val="-8"/>
        </w:rPr>
        <w:t>指烧伤程度为Ⅲ度，且Ⅲ度烧伤的面积达到全身体表面积的 </w:t>
      </w:r>
      <w:r>
        <w:rPr/>
        <w:t>20％</w:t>
      </w:r>
      <w:r>
        <w:rPr>
          <w:spacing w:val="-27"/>
        </w:rPr>
        <w:t>或 </w:t>
      </w:r>
      <w:r>
        <w:rPr/>
        <w:t>20％</w:t>
      </w:r>
      <w:r>
        <w:rPr>
          <w:spacing w:val="-10"/>
        </w:rPr>
        <w:t>以上。体表面积根据《中国新九分法》计算。</w:t>
      </w:r>
    </w:p>
    <w:p>
      <w:pPr>
        <w:pStyle w:val="Heading2"/>
        <w:ind w:left="153"/>
      </w:pPr>
      <w:r>
        <w:rPr>
          <w:w w:val="95"/>
        </w:rPr>
        <w:t>严重原发性肺动脉高压</w:t>
      </w:r>
    </w:p>
    <w:p>
      <w:pPr>
        <w:pStyle w:val="BodyText"/>
        <w:spacing w:line="297" w:lineRule="auto"/>
        <w:ind w:left="153" w:right="204"/>
        <w:jc w:val="both"/>
      </w:pPr>
      <w:r>
        <w:rPr>
          <w:spacing w:val="-3"/>
        </w:rPr>
        <w:t>指不明原因的肺动脉压力持续性增高，进行性发展而导致的慢性疾病，已经造成永久不可逆性的</w:t>
      </w:r>
      <w:r>
        <w:rPr>
          <w:spacing w:val="-4"/>
        </w:rPr>
        <w:t>体力活动能力受限，达到美国纽约心脏病学会心功能状态分级 </w:t>
      </w:r>
      <w:r>
        <w:rPr/>
        <w:t>IV</w:t>
      </w:r>
      <w:r>
        <w:rPr>
          <w:spacing w:val="-4"/>
        </w:rPr>
        <w:t> 级，且静息状态下肺动脉平均</w:t>
      </w:r>
      <w:r>
        <w:rPr>
          <w:spacing w:val="-17"/>
        </w:rPr>
        <w:t>压超过 </w:t>
      </w:r>
      <w:r>
        <w:rPr/>
        <w:t>30mmHg。</w:t>
      </w:r>
    </w:p>
    <w:p>
      <w:pPr>
        <w:pStyle w:val="Heading2"/>
        <w:ind w:left="153"/>
      </w:pPr>
      <w:r>
        <w:rPr>
          <w:w w:val="95"/>
        </w:rPr>
        <w:t>严重运动神经元病</w:t>
      </w:r>
    </w:p>
    <w:p>
      <w:pPr>
        <w:pStyle w:val="BodyText"/>
        <w:spacing w:line="297" w:lineRule="auto" w:before="64"/>
        <w:ind w:left="153" w:right="100" w:hanging="1"/>
      </w:pPr>
      <w:r>
        <w:rPr>
          <w:spacing w:val="-6"/>
        </w:rPr>
        <w:t>是一组中枢神经系统运动神经元的进行性变性疾病，包括进行性脊肌萎缩症、进行性延髓麻痹症、</w:t>
      </w:r>
      <w:r>
        <w:rPr>
          <w:spacing w:val="-9"/>
        </w:rPr>
        <w:t>原发性侧索硬化症、肌萎缩性侧索硬化症。须满足自主生活能力完全丧失，无法独立完成六项基</w:t>
      </w:r>
    </w:p>
    <w:p>
      <w:pPr>
        <w:spacing w:after="0" w:line="297" w:lineRule="auto"/>
        <w:sectPr>
          <w:pgSz w:w="11910" w:h="16840"/>
          <w:pgMar w:top="1360" w:bottom="280" w:left="1680" w:right="1080"/>
        </w:sectPr>
      </w:pPr>
    </w:p>
    <w:p>
      <w:pPr>
        <w:spacing w:line="297" w:lineRule="auto" w:before="6"/>
        <w:ind w:left="193" w:right="4728" w:firstLine="0"/>
        <w:jc w:val="left"/>
        <w:rPr>
          <w:b/>
          <w:sz w:val="21"/>
        </w:rPr>
      </w:pPr>
      <w:r>
        <w:rPr>
          <w:sz w:val="21"/>
        </w:rPr>
        <w:t>本日常生活活动中的三项或三项以上的条件。</w:t>
      </w:r>
      <w:r>
        <w:rPr>
          <w:b/>
          <w:w w:val="95"/>
          <w:sz w:val="21"/>
        </w:rPr>
        <w:t>语言能力丧失</w:t>
      </w:r>
    </w:p>
    <w:p>
      <w:pPr>
        <w:pStyle w:val="BodyText"/>
        <w:spacing w:line="297" w:lineRule="auto" w:before="15"/>
        <w:ind w:left="193" w:right="173"/>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9"/>
        </w:rPr>
        <w:t>）</w:t>
      </w:r>
      <w:r>
        <w:rPr>
          <w:spacing w:val="-5"/>
        </w:rPr>
        <w:t>，仍无法通过现有医疗手段恢复。</w:t>
      </w:r>
    </w:p>
    <w:p>
      <w:pPr>
        <w:pStyle w:val="BodyText"/>
        <w:spacing w:before="15"/>
        <w:ind w:left="193"/>
      </w:pPr>
      <w:r>
        <w:rPr/>
        <w:t>精神心理因素所致的语言能力丧失不在保障范围内。</w:t>
      </w:r>
    </w:p>
    <w:p>
      <w:pPr>
        <w:spacing w:line="297" w:lineRule="auto" w:before="65"/>
        <w:ind w:left="193" w:right="146" w:firstLine="0"/>
        <w:jc w:val="left"/>
        <w:rPr>
          <w:sz w:val="21"/>
        </w:rPr>
      </w:pPr>
      <w:r>
        <w:rPr>
          <w:b/>
          <w:sz w:val="21"/>
        </w:rPr>
        <w:t>被保险人申请理赔时年龄必须在三周岁以上，</w:t>
      </w:r>
      <w:r>
        <w:rPr>
          <w:sz w:val="21"/>
        </w:rPr>
        <w:t>并且提供理赔当时的语言能力丧失诊断及检查证据。</w:t>
      </w:r>
    </w:p>
    <w:p>
      <w:pPr>
        <w:pStyle w:val="Heading2"/>
        <w:ind w:left="193"/>
      </w:pPr>
      <w:r>
        <w:rPr>
          <w:w w:val="95"/>
        </w:rPr>
        <w:t>重型再生障碍性贫血</w:t>
      </w:r>
    </w:p>
    <w:p>
      <w:pPr>
        <w:pStyle w:val="BodyText"/>
        <w:spacing w:line="297" w:lineRule="auto" w:before="66"/>
        <w:ind w:left="193" w:right="90"/>
      </w:pPr>
      <w:r>
        <w:rPr/>
        <w:t>指因骨髓造血功能慢性持续性衰竭导致的贫血、中性粒细胞减少及血小板减少。须满足下列全部条件：</w:t>
      </w:r>
    </w:p>
    <w:p>
      <w:pPr>
        <w:pStyle w:val="ListParagraph"/>
        <w:numPr>
          <w:ilvl w:val="0"/>
          <w:numId w:val="18"/>
        </w:numPr>
        <w:tabs>
          <w:tab w:pos="509" w:val="left" w:leader="none"/>
        </w:tabs>
        <w:spacing w:line="240" w:lineRule="auto" w:before="14" w:after="0"/>
        <w:ind w:left="508" w:right="0" w:hanging="315"/>
        <w:jc w:val="left"/>
        <w:rPr>
          <w:sz w:val="21"/>
        </w:rPr>
      </w:pPr>
      <w:r>
        <w:rPr>
          <w:spacing w:val="-1"/>
          <w:sz w:val="21"/>
        </w:rPr>
        <w:t>骨髓穿刺检查或骨髓活检结果支持诊断；</w:t>
      </w:r>
    </w:p>
    <w:p>
      <w:pPr>
        <w:pStyle w:val="ListParagraph"/>
        <w:numPr>
          <w:ilvl w:val="0"/>
          <w:numId w:val="18"/>
        </w:numPr>
        <w:tabs>
          <w:tab w:pos="509" w:val="left" w:leader="none"/>
        </w:tabs>
        <w:spacing w:line="240" w:lineRule="auto" w:before="65" w:after="0"/>
        <w:ind w:left="508" w:right="0" w:hanging="315"/>
        <w:jc w:val="left"/>
        <w:rPr>
          <w:sz w:val="21"/>
        </w:rPr>
      </w:pPr>
      <w:r>
        <w:rPr>
          <w:spacing w:val="-1"/>
          <w:sz w:val="21"/>
        </w:rPr>
        <w:t>外周血象须具备以下三项条件：</w:t>
      </w:r>
    </w:p>
    <w:p>
      <w:pPr>
        <w:pStyle w:val="BodyText"/>
        <w:ind w:left="507"/>
      </w:pPr>
      <w:r>
        <w:rPr/>
        <w:t>① 中性粒细胞绝对值≤0.5×10</w:t>
      </w:r>
      <w:r>
        <w:rPr>
          <w:position w:val="11"/>
          <w:sz w:val="11"/>
        </w:rPr>
        <w:t>9</w:t>
      </w:r>
      <w:r>
        <w:rPr/>
        <w:t>/L ；</w:t>
      </w:r>
    </w:p>
    <w:p>
      <w:pPr>
        <w:pStyle w:val="BodyText"/>
        <w:spacing w:before="64"/>
        <w:ind w:left="508"/>
      </w:pPr>
      <w:r>
        <w:rPr/>
        <w:t>② 网织红细胞＜1%；</w:t>
      </w:r>
    </w:p>
    <w:p>
      <w:pPr>
        <w:spacing w:line="297" w:lineRule="auto" w:before="65"/>
        <w:ind w:left="193" w:right="5724"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4"/>
        <w:ind w:left="193" w:right="108" w:firstLine="0"/>
        <w:jc w:val="left"/>
        <w:rPr>
          <w:b/>
          <w:sz w:val="21"/>
        </w:rPr>
      </w:pPr>
      <w:r>
        <w:rPr>
          <w:sz w:val="21"/>
        </w:rPr>
        <w:t>指为治疗主动脉疾病，实际实施了开胸或开腹进行的切除、置换、修补病损主动脉血管的手术。</w:t>
      </w:r>
      <w:r>
        <w:rPr>
          <w:w w:val="95"/>
          <w:sz w:val="21"/>
        </w:rPr>
        <w:t>主动脉指胸主动脉和腹主动脉，</w:t>
      </w:r>
      <w:r>
        <w:rPr>
          <w:b/>
          <w:w w:val="95"/>
          <w:sz w:val="21"/>
        </w:rPr>
        <w:t>不包括胸主动脉和腹主动脉的分支血管。</w:t>
      </w:r>
    </w:p>
    <w:p>
      <w:pPr>
        <w:pStyle w:val="Heading2"/>
        <w:ind w:left="193"/>
      </w:pPr>
      <w:r>
        <w:rPr>
          <w:w w:val="95"/>
        </w:rPr>
        <w:t>动脉内血管成形术不在保障范围内。</w:t>
      </w:r>
    </w:p>
    <w:p>
      <w:pPr>
        <w:spacing w:line="297" w:lineRule="auto" w:before="64"/>
        <w:ind w:left="193" w:right="498" w:firstLine="0"/>
        <w:jc w:val="left"/>
        <w:rPr>
          <w:b/>
          <w:sz w:val="21"/>
        </w:rPr>
      </w:pPr>
      <w:r>
        <w:rPr>
          <w:b/>
          <w:spacing w:val="-20"/>
          <w:sz w:val="21"/>
        </w:rPr>
        <w:t>以下 </w:t>
      </w:r>
      <w:r>
        <w:rPr>
          <w:b/>
          <w:sz w:val="21"/>
        </w:rPr>
        <w:t>6</w:t>
      </w:r>
      <w:r>
        <w:rPr>
          <w:b/>
          <w:spacing w:val="-8"/>
          <w:sz w:val="21"/>
        </w:rPr>
        <w:t> 种重大疾病不在中国保险行业协会《重大疾病保险的疾病定义使用规范》范围之内。</w:t>
      </w:r>
      <w:r>
        <w:rPr>
          <w:b/>
          <w:spacing w:val="-8"/>
          <w:w w:val="95"/>
          <w:sz w:val="21"/>
        </w:rPr>
        <w:t>终末期慢性呼吸功能衰竭</w:t>
      </w:r>
    </w:p>
    <w:p>
      <w:pPr>
        <w:pStyle w:val="BodyText"/>
        <w:spacing w:before="15"/>
        <w:ind w:left="193"/>
      </w:pPr>
      <w:r>
        <w:rPr/>
        <w:t>指因慢性呼吸系统疾病导致呼吸功能衰竭。诊断必须满足以下所有条件：</w:t>
      </w:r>
    </w:p>
    <w:p>
      <w:pPr>
        <w:pStyle w:val="ListParagraph"/>
        <w:numPr>
          <w:ilvl w:val="0"/>
          <w:numId w:val="19"/>
        </w:numPr>
        <w:tabs>
          <w:tab w:pos="509" w:val="left" w:leader="none"/>
        </w:tabs>
        <w:spacing w:line="240" w:lineRule="auto" w:before="65" w:after="0"/>
        <w:ind w:left="193" w:right="0" w:firstLine="0"/>
        <w:jc w:val="left"/>
        <w:rPr>
          <w:sz w:val="21"/>
        </w:rPr>
      </w:pPr>
      <w:r>
        <w:rPr>
          <w:sz w:val="21"/>
        </w:rPr>
        <w:t>第一秒末用力呼气量（FEV1）</w:t>
      </w:r>
      <w:r>
        <w:rPr>
          <w:spacing w:val="-19"/>
          <w:sz w:val="21"/>
        </w:rPr>
        <w:t>小于 </w:t>
      </w:r>
      <w:r>
        <w:rPr>
          <w:sz w:val="21"/>
        </w:rPr>
        <w:t>1</w:t>
      </w:r>
      <w:r>
        <w:rPr>
          <w:spacing w:val="-19"/>
          <w:sz w:val="21"/>
        </w:rPr>
        <w:t> 升；</w:t>
      </w:r>
    </w:p>
    <w:p>
      <w:pPr>
        <w:pStyle w:val="ListParagraph"/>
        <w:numPr>
          <w:ilvl w:val="0"/>
          <w:numId w:val="19"/>
        </w:numPr>
        <w:tabs>
          <w:tab w:pos="509" w:val="left" w:leader="none"/>
        </w:tabs>
        <w:spacing w:line="240" w:lineRule="auto" w:before="64" w:after="0"/>
        <w:ind w:left="508" w:right="0" w:hanging="315"/>
        <w:jc w:val="left"/>
        <w:rPr>
          <w:sz w:val="21"/>
        </w:rPr>
      </w:pPr>
      <w:r>
        <w:rPr>
          <w:spacing w:val="-5"/>
          <w:sz w:val="21"/>
        </w:rPr>
        <w:t>气道内阻力增加，至少达到 </w:t>
      </w:r>
      <w:r>
        <w:rPr>
          <w:sz w:val="21"/>
        </w:rPr>
        <w:t>0.5</w:t>
      </w:r>
      <w:r>
        <w:rPr>
          <w:spacing w:val="-2"/>
          <w:sz w:val="21"/>
        </w:rPr>
        <w:t> </w:t>
      </w:r>
      <w:r>
        <w:rPr>
          <w:sz w:val="21"/>
        </w:rPr>
        <w:t>kPa/l/s；</w:t>
      </w:r>
    </w:p>
    <w:p>
      <w:pPr>
        <w:pStyle w:val="ListParagraph"/>
        <w:numPr>
          <w:ilvl w:val="0"/>
          <w:numId w:val="19"/>
        </w:numPr>
        <w:tabs>
          <w:tab w:pos="509" w:val="left" w:leader="none"/>
        </w:tabs>
        <w:spacing w:line="240" w:lineRule="auto" w:before="65" w:after="0"/>
        <w:ind w:left="508" w:right="0" w:hanging="315"/>
        <w:jc w:val="left"/>
        <w:rPr>
          <w:sz w:val="21"/>
        </w:rPr>
      </w:pPr>
      <w:r>
        <w:rPr>
          <w:sz w:val="21"/>
        </w:rPr>
        <w:t>残气容积占肺总量(TLC)</w:t>
      </w:r>
      <w:r>
        <w:rPr>
          <w:spacing w:val="-29"/>
          <w:sz w:val="21"/>
        </w:rPr>
        <w:t>的 </w:t>
      </w:r>
      <w:r>
        <w:rPr>
          <w:sz w:val="21"/>
        </w:rPr>
        <w:t>60%以上；</w:t>
      </w:r>
    </w:p>
    <w:p>
      <w:pPr>
        <w:pStyle w:val="ListParagraph"/>
        <w:numPr>
          <w:ilvl w:val="0"/>
          <w:numId w:val="19"/>
        </w:numPr>
        <w:tabs>
          <w:tab w:pos="509" w:val="left" w:leader="none"/>
        </w:tabs>
        <w:spacing w:line="240" w:lineRule="auto" w:before="65" w:after="0"/>
        <w:ind w:left="508" w:right="0" w:hanging="315"/>
        <w:jc w:val="left"/>
        <w:rPr>
          <w:sz w:val="21"/>
        </w:rPr>
      </w:pPr>
      <w:r>
        <w:rPr>
          <w:spacing w:val="-5"/>
          <w:sz w:val="21"/>
        </w:rPr>
        <w:t>胸内气体容积升高，超过 </w:t>
      </w:r>
      <w:r>
        <w:rPr>
          <w:sz w:val="21"/>
        </w:rPr>
        <w:t>170</w:t>
      </w:r>
      <w:r>
        <w:rPr>
          <w:spacing w:val="-2"/>
          <w:sz w:val="21"/>
        </w:rPr>
        <w:t> (基值的百分比)；</w:t>
      </w:r>
    </w:p>
    <w:p>
      <w:pPr>
        <w:pStyle w:val="ListParagraph"/>
        <w:numPr>
          <w:ilvl w:val="0"/>
          <w:numId w:val="19"/>
        </w:numPr>
        <w:tabs>
          <w:tab w:pos="510" w:val="left" w:leader="none"/>
        </w:tabs>
        <w:spacing w:line="297" w:lineRule="auto" w:before="64" w:after="0"/>
        <w:ind w:left="193" w:right="5878"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5"/>
        <w:ind w:left="193" w:right="90"/>
      </w:pPr>
      <w:r>
        <w:rPr/>
        <w:t>系统性红斑狼疮是一种由多种因素引起，累及多系统的自身免疫性疾病，其特点是体内有大量自身抗体和免疫复合物，造成组织损伤。</w:t>
      </w:r>
    </w:p>
    <w:p>
      <w:pPr>
        <w:pStyle w:val="BodyText"/>
        <w:spacing w:before="15"/>
        <w:ind w:left="193"/>
      </w:pPr>
      <w:r>
        <w:rPr/>
        <w:t>系统性红斑狼疮性肾炎是由于系统性红斑狼疮累及肾脏所导致的一种并发症，本险种仅对符合</w:t>
      </w:r>
    </w:p>
    <w:p>
      <w:pPr>
        <w:spacing w:line="297" w:lineRule="auto" w:before="66"/>
        <w:ind w:left="193" w:right="147" w:firstLine="0"/>
        <w:jc w:val="left"/>
        <w:rPr>
          <w:b/>
          <w:sz w:val="21"/>
        </w:rPr>
      </w:pPr>
      <w:r>
        <w:rPr>
          <w:sz w:val="21"/>
        </w:rPr>
        <w:t>WHO</w:t>
      </w:r>
      <w:r>
        <w:rPr>
          <w:spacing w:val="-15"/>
          <w:sz w:val="21"/>
        </w:rPr>
        <w:t> 诊断标准定义 </w:t>
      </w:r>
      <w:r>
        <w:rPr>
          <w:sz w:val="21"/>
        </w:rPr>
        <w:t>III</w:t>
      </w:r>
      <w:r>
        <w:rPr>
          <w:spacing w:val="-27"/>
          <w:sz w:val="21"/>
        </w:rPr>
        <w:t> 型至 </w:t>
      </w:r>
      <w:r>
        <w:rPr>
          <w:sz w:val="21"/>
        </w:rPr>
        <w:t>V</w:t>
      </w:r>
      <w:r>
        <w:rPr>
          <w:spacing w:val="-8"/>
          <w:sz w:val="21"/>
        </w:rPr>
        <w:t> 型的系统性红斑狼疮性肾炎予以理赔。</w:t>
      </w:r>
      <w:r>
        <w:rPr>
          <w:b/>
          <w:sz w:val="21"/>
        </w:rPr>
        <w:t>其他类型的红斑性狼疮，如</w:t>
      </w:r>
      <w:r>
        <w:rPr>
          <w:b/>
          <w:w w:val="95"/>
          <w:sz w:val="21"/>
        </w:rPr>
        <w:t>盘状狼疮、仅累及血液及关节的狼疮不在本险种保障范围內。</w:t>
      </w:r>
    </w:p>
    <w:p>
      <w:pPr>
        <w:pStyle w:val="BodyText"/>
        <w:spacing w:before="15"/>
        <w:ind w:left="103"/>
      </w:pPr>
      <w:r>
        <w:rPr>
          <w:rFonts w:ascii="Times New Roman" w:eastAsia="Times New Roman"/>
          <w:u w:val="single"/>
        </w:rPr>
        <w:t>  </w:t>
      </w:r>
      <w:r>
        <w:rPr>
          <w:u w:val="single"/>
        </w:rPr>
        <w:t>世界卫生组织（WHO）系统性红斑狼疮性肾炎分型:</w:t>
      </w:r>
    </w:p>
    <w:p>
      <w:pPr>
        <w:pStyle w:val="ListParagraph"/>
        <w:numPr>
          <w:ilvl w:val="1"/>
          <w:numId w:val="19"/>
        </w:numPr>
        <w:tabs>
          <w:tab w:pos="1142" w:val="left" w:leader="none"/>
          <w:tab w:pos="4014" w:val="left" w:leader="none"/>
        </w:tabs>
        <w:spacing w:line="240" w:lineRule="auto" w:before="65" w:after="0"/>
        <w:ind w:left="193" w:right="0" w:firstLine="790"/>
        <w:jc w:val="left"/>
        <w:rPr>
          <w:sz w:val="21"/>
        </w:rPr>
      </w:pPr>
      <w:r>
        <w:rPr>
          <w:sz w:val="21"/>
        </w:rPr>
        <w:t>型（微小病变型）</w:t>
        <w:tab/>
        <w:t>镜下阴性，尿液正常</w:t>
      </w:r>
    </w:p>
    <w:p>
      <w:pPr>
        <w:pStyle w:val="ListParagraph"/>
        <w:numPr>
          <w:ilvl w:val="1"/>
          <w:numId w:val="19"/>
        </w:numPr>
        <w:tabs>
          <w:tab w:pos="1247" w:val="left" w:leader="none"/>
          <w:tab w:pos="4014" w:val="left" w:leader="none"/>
        </w:tabs>
        <w:spacing w:line="240" w:lineRule="auto" w:before="65" w:after="0"/>
        <w:ind w:left="1246" w:right="0" w:hanging="263"/>
        <w:jc w:val="left"/>
        <w:rPr>
          <w:sz w:val="21"/>
        </w:rPr>
      </w:pPr>
      <w:r>
        <w:rPr>
          <w:sz w:val="21"/>
        </w:rPr>
        <w:t>型（系膜病变型）</w:t>
        <w:tab/>
        <w:t>中度蛋白尿，偶有尿沉渣改变</w:t>
      </w:r>
    </w:p>
    <w:p>
      <w:pPr>
        <w:pStyle w:val="ListParagraph"/>
        <w:numPr>
          <w:ilvl w:val="1"/>
          <w:numId w:val="19"/>
        </w:numPr>
        <w:tabs>
          <w:tab w:pos="1352" w:val="left" w:leader="none"/>
          <w:tab w:pos="4014" w:val="left" w:leader="none"/>
        </w:tabs>
        <w:spacing w:line="240" w:lineRule="auto" w:before="64" w:after="0"/>
        <w:ind w:left="1351" w:right="0" w:hanging="368"/>
        <w:jc w:val="left"/>
        <w:rPr>
          <w:sz w:val="21"/>
        </w:rPr>
      </w:pPr>
      <w:r>
        <w:rPr>
          <w:sz w:val="21"/>
        </w:rPr>
        <w:t>型（局灶及节段增生型）</w:t>
        <w:tab/>
        <w:t>蛋白尿，尿沉渣改变</w:t>
      </w:r>
    </w:p>
    <w:p>
      <w:pPr>
        <w:pStyle w:val="ListParagraph"/>
        <w:numPr>
          <w:ilvl w:val="1"/>
          <w:numId w:val="19"/>
        </w:numPr>
        <w:tabs>
          <w:tab w:pos="1247" w:val="left" w:leader="none"/>
          <w:tab w:pos="4014" w:val="left" w:leader="none"/>
        </w:tabs>
        <w:spacing w:line="240" w:lineRule="auto" w:before="86" w:after="0"/>
        <w:ind w:left="1246" w:right="0" w:hanging="263"/>
        <w:jc w:val="left"/>
        <w:rPr>
          <w:sz w:val="21"/>
        </w:rPr>
      </w:pPr>
      <w:r>
        <w:rPr>
          <w:sz w:val="21"/>
        </w:rPr>
        <w:t>型（弥漫增生型）</w:t>
        <w:tab/>
        <w:t>急性肾炎伴有尿沉渣改变及／或肾病综合征</w:t>
      </w:r>
    </w:p>
    <w:p>
      <w:pPr>
        <w:pStyle w:val="ListParagraph"/>
        <w:numPr>
          <w:ilvl w:val="1"/>
          <w:numId w:val="19"/>
        </w:numPr>
        <w:tabs>
          <w:tab w:pos="1142" w:val="left" w:leader="none"/>
          <w:tab w:pos="4014" w:val="left" w:leader="none"/>
        </w:tabs>
        <w:spacing w:line="297" w:lineRule="auto" w:before="85" w:after="0"/>
        <w:ind w:left="193" w:right="2797" w:firstLine="790"/>
        <w:jc w:val="left"/>
        <w:rPr>
          <w:b/>
          <w:sz w:val="21"/>
        </w:rPr>
      </w:pPr>
      <w:r>
        <w:rPr>
          <w:sz w:val="21"/>
        </w:rPr>
        <w:t>型（膜型）</w:t>
        <w:tab/>
        <w:t>肾病综合征或重度蛋白尿</w:t>
      </w:r>
      <w:r>
        <w:rPr>
          <w:b/>
          <w:w w:val="95"/>
          <w:sz w:val="21"/>
        </w:rPr>
        <w:t>严重多发性硬化症</w:t>
      </w:r>
    </w:p>
    <w:p>
      <w:pPr>
        <w:pStyle w:val="BodyText"/>
        <w:spacing w:before="15"/>
        <w:ind w:left="193"/>
      </w:pPr>
      <w:r>
        <w:rPr/>
        <w:t>指以中枢神经系统白质多灶性脱髓鞘病变为特征的一种疾病，病变有时累及灰质。本险种仅对多</w:t>
      </w:r>
    </w:p>
    <w:p>
      <w:pPr>
        <w:spacing w:after="0"/>
        <w:sectPr>
          <w:pgSz w:w="11910" w:h="16840"/>
          <w:pgMar w:top="1360" w:bottom="280" w:left="1640" w:right="1140"/>
        </w:sectPr>
      </w:pPr>
    </w:p>
    <w:p>
      <w:pPr>
        <w:pStyle w:val="BodyText"/>
        <w:spacing w:line="297" w:lineRule="auto" w:before="6"/>
        <w:ind w:left="653" w:right="50"/>
      </w:pPr>
      <w:r>
        <w:rPr/>
        <w:t>发性硬化症造成神经系统功能损害，导致被保险人自主生活能力完全丧失，无法独立完成六项基本日常生活活动中的三项或三项以上的情况予以理赔。</w:t>
      </w:r>
    </w:p>
    <w:p>
      <w:pPr>
        <w:pStyle w:val="Heading2"/>
        <w:ind w:left="653"/>
      </w:pPr>
      <w:r>
        <w:rPr>
          <w:w w:val="95"/>
        </w:rPr>
        <w:t>严重肌营养不良症</w:t>
      </w:r>
    </w:p>
    <w:p>
      <w:pPr>
        <w:pStyle w:val="BodyText"/>
        <w:spacing w:line="297" w:lineRule="auto" w:before="64"/>
        <w:ind w:left="653" w:right="104"/>
        <w:jc w:val="both"/>
      </w:pPr>
      <w:r>
        <w:rPr>
          <w:spacing w:val="-3"/>
        </w:rPr>
        <w:t>指一组肌肉变性病变，临床特征为与神经系统病变无关的肌肉无力和肌肉萎缩。本险种仅对肌营</w:t>
      </w:r>
      <w:r>
        <w:rPr>
          <w:spacing w:val="-5"/>
        </w:rPr>
        <w:t>养不良症导致被保险人自主生活能力完全丧失，无法独立完成六项基本日常生活活动中的三项或三项以上的情况予以理赔。</w:t>
      </w:r>
    </w:p>
    <w:p>
      <w:pPr>
        <w:pStyle w:val="Heading2"/>
        <w:spacing w:before="14"/>
        <w:ind w:left="653"/>
      </w:pPr>
      <w:r>
        <w:rPr>
          <w:w w:val="95"/>
        </w:rPr>
        <w:t>急性出血坏死性胰腺炎</w:t>
      </w:r>
    </w:p>
    <w:p>
      <w:pPr>
        <w:spacing w:line="297" w:lineRule="auto" w:before="66"/>
        <w:ind w:left="653" w:right="104" w:firstLine="0"/>
        <w:jc w:val="both"/>
        <w:rPr>
          <w:b/>
          <w:sz w:val="21"/>
        </w:rPr>
      </w:pPr>
      <w:r>
        <w:rPr>
          <w:spacing w:val="-2"/>
          <w:sz w:val="21"/>
        </w:rPr>
        <w:t>指被保险人因为急性出血坏死性胰腺炎已经接受了外科开腹手术治疗，以进行坏死组织清除、坏</w:t>
      </w:r>
      <w:r>
        <w:rPr>
          <w:spacing w:val="-8"/>
          <w:sz w:val="21"/>
        </w:rPr>
        <w:t>死病灶切除或胰腺切除。</w:t>
      </w:r>
      <w:r>
        <w:rPr>
          <w:b/>
          <w:sz w:val="21"/>
        </w:rPr>
        <w:t>因饮酒过量所致的急性出血坏死性胰腺炎或经腹腔镜手术进行的治疗不</w:t>
      </w:r>
      <w:r>
        <w:rPr>
          <w:b/>
          <w:w w:val="95"/>
          <w:sz w:val="21"/>
        </w:rPr>
        <w:t>在本险种保障范围内。</w:t>
      </w:r>
    </w:p>
    <w:p>
      <w:pPr>
        <w:pStyle w:val="Heading2"/>
        <w:spacing w:before="14"/>
        <w:ind w:left="653"/>
      </w:pPr>
      <w:r>
        <w:rPr/>
        <w:t>克隆病</w:t>
      </w:r>
    </w:p>
    <w:p>
      <w:pPr>
        <w:pStyle w:val="BodyText"/>
        <w:spacing w:line="297" w:lineRule="auto"/>
        <w:ind w:left="653" w:right="50"/>
      </w:pP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7"/>
        </w:numPr>
        <w:tabs>
          <w:tab w:pos="653" w:val="left" w:leader="none"/>
          <w:tab w:pos="654" w:val="left" w:leader="none"/>
        </w:tabs>
        <w:spacing w:line="240" w:lineRule="auto" w:before="13" w:after="0"/>
        <w:ind w:left="653" w:right="0" w:hanging="545"/>
        <w:jc w:val="left"/>
      </w:pPr>
      <w:r>
        <w:rPr/>
        <w:t>专科医生</w:t>
      </w:r>
    </w:p>
    <w:p>
      <w:pPr>
        <w:pStyle w:val="BodyText"/>
        <w:ind w:left="653"/>
        <w:jc w:val="both"/>
      </w:pPr>
      <w:r>
        <w:rPr/>
        <w:t>重大疾病定义中所指的“专科医生”应当同时满足以下四项资格条件：</w:t>
      </w:r>
    </w:p>
    <w:p>
      <w:pPr>
        <w:pStyle w:val="ListParagraph"/>
        <w:numPr>
          <w:ilvl w:val="1"/>
          <w:numId w:val="7"/>
        </w:numPr>
        <w:tabs>
          <w:tab w:pos="969" w:val="left" w:leader="none"/>
        </w:tabs>
        <w:spacing w:line="240" w:lineRule="auto" w:before="65" w:after="0"/>
        <w:ind w:left="968" w:right="0" w:hanging="315"/>
        <w:jc w:val="both"/>
        <w:rPr>
          <w:sz w:val="21"/>
        </w:rPr>
      </w:pPr>
      <w:r>
        <w:rPr>
          <w:spacing w:val="-7"/>
          <w:sz w:val="21"/>
        </w:rPr>
        <w:t>具有有效的中华人民共和国《医师资格证书》；</w:t>
      </w:r>
    </w:p>
    <w:p>
      <w:pPr>
        <w:pStyle w:val="ListParagraph"/>
        <w:numPr>
          <w:ilvl w:val="1"/>
          <w:numId w:val="7"/>
        </w:numPr>
        <w:tabs>
          <w:tab w:pos="969" w:val="left" w:leader="none"/>
        </w:tabs>
        <w:spacing w:line="240" w:lineRule="auto" w:before="64" w:after="0"/>
        <w:ind w:left="968" w:right="0" w:hanging="315"/>
        <w:jc w:val="both"/>
        <w:rPr>
          <w:sz w:val="21"/>
        </w:rPr>
      </w:pPr>
      <w:r>
        <w:rPr>
          <w:spacing w:val="-7"/>
          <w:sz w:val="21"/>
        </w:rPr>
        <w:t>具有有效的中华人民共和国《医师执业证书》，并按期到相关部门登记注册；</w:t>
      </w:r>
    </w:p>
    <w:p>
      <w:pPr>
        <w:pStyle w:val="ListParagraph"/>
        <w:numPr>
          <w:ilvl w:val="1"/>
          <w:numId w:val="7"/>
        </w:numPr>
        <w:tabs>
          <w:tab w:pos="969" w:val="left" w:leader="none"/>
        </w:tabs>
        <w:spacing w:line="240" w:lineRule="auto" w:before="66" w:after="0"/>
        <w:ind w:left="968" w:right="0" w:hanging="315"/>
        <w:jc w:val="both"/>
        <w:rPr>
          <w:sz w:val="21"/>
        </w:rPr>
      </w:pPr>
      <w:r>
        <w:rPr>
          <w:spacing w:val="-5"/>
          <w:sz w:val="21"/>
        </w:rPr>
        <w:t>具有有效的中华人民共和国主治医师或主治医师以上职称的《医师职称证书》；</w:t>
      </w:r>
    </w:p>
    <w:p>
      <w:pPr>
        <w:pStyle w:val="ListParagraph"/>
        <w:numPr>
          <w:ilvl w:val="1"/>
          <w:numId w:val="7"/>
        </w:numPr>
        <w:tabs>
          <w:tab w:pos="969" w:val="left" w:leader="none"/>
        </w:tabs>
        <w:spacing w:line="240" w:lineRule="auto" w:before="66" w:after="0"/>
        <w:ind w:left="968" w:right="0" w:hanging="315"/>
        <w:jc w:val="both"/>
        <w:rPr>
          <w:sz w:val="21"/>
        </w:rPr>
      </w:pPr>
      <w:r>
        <w:rPr>
          <w:spacing w:val="-1"/>
          <w:sz w:val="21"/>
        </w:rPr>
        <w:t>在二级或二级以上医院的相应科室从事临床工作三年以上。</w:t>
      </w:r>
    </w:p>
    <w:p>
      <w:pPr>
        <w:pStyle w:val="ListParagraph"/>
        <w:numPr>
          <w:ilvl w:val="0"/>
          <w:numId w:val="7"/>
        </w:numPr>
        <w:tabs>
          <w:tab w:pos="653" w:val="left" w:leader="none"/>
          <w:tab w:pos="654" w:val="left" w:leader="none"/>
        </w:tabs>
        <w:spacing w:line="297" w:lineRule="auto" w:before="64" w:after="0"/>
        <w:ind w:left="653" w:right="106" w:hanging="545"/>
        <w:jc w:val="left"/>
        <w:rPr>
          <w:sz w:val="21"/>
        </w:rPr>
      </w:pPr>
      <w:r>
        <w:rPr>
          <w:b/>
          <w:spacing w:val="3"/>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7"/>
        </w:numPr>
        <w:tabs>
          <w:tab w:pos="653" w:val="left" w:leader="none"/>
          <w:tab w:pos="654" w:val="left" w:leader="none"/>
        </w:tabs>
        <w:spacing w:line="240" w:lineRule="auto" w:before="15" w:after="0"/>
        <w:ind w:left="653" w:right="0" w:hanging="545"/>
        <w:jc w:val="left"/>
      </w:pPr>
      <w:r>
        <w:rPr>
          <w:w w:val="95"/>
        </w:rPr>
        <w:t>语言能力或咀嚼吞咽能力完全丧失</w:t>
      </w:r>
    </w:p>
    <w:p>
      <w:pPr>
        <w:pStyle w:val="BodyText"/>
        <w:spacing w:line="297" w:lineRule="auto" w:before="66"/>
        <w:ind w:left="653" w:right="50"/>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5"/>
        <w:ind w:left="653" w:right="50"/>
      </w:pPr>
      <w:r>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7"/>
        </w:numPr>
        <w:tabs>
          <w:tab w:pos="653" w:val="left" w:leader="none"/>
          <w:tab w:pos="654" w:val="left" w:leader="none"/>
        </w:tabs>
        <w:spacing w:line="240" w:lineRule="auto" w:before="14" w:after="0"/>
        <w:ind w:left="653" w:right="0" w:hanging="545"/>
        <w:jc w:val="left"/>
      </w:pPr>
      <w:r>
        <w:rPr>
          <w:w w:val="95"/>
        </w:rPr>
        <w:t>六项基本日常生活活动</w:t>
      </w:r>
    </w:p>
    <w:p>
      <w:pPr>
        <w:pStyle w:val="BodyText"/>
        <w:spacing w:before="66"/>
        <w:ind w:left="653"/>
        <w:jc w:val="both"/>
      </w:pPr>
      <w:r>
        <w:rPr/>
        <w:t>重大疾病定义中所指的“六项基本日常生活活动”是指：</w:t>
      </w:r>
    </w:p>
    <w:p>
      <w:pPr>
        <w:pStyle w:val="ListParagraph"/>
        <w:numPr>
          <w:ilvl w:val="1"/>
          <w:numId w:val="7"/>
        </w:numPr>
        <w:tabs>
          <w:tab w:pos="969" w:val="left" w:leader="none"/>
        </w:tabs>
        <w:spacing w:line="240" w:lineRule="auto" w:before="66" w:after="0"/>
        <w:ind w:left="968" w:right="0" w:hanging="315"/>
        <w:jc w:val="both"/>
        <w:rPr>
          <w:sz w:val="21"/>
        </w:rPr>
      </w:pPr>
      <w:r>
        <w:rPr>
          <w:spacing w:val="-1"/>
          <w:sz w:val="21"/>
        </w:rPr>
        <w:t>穿衣：自己能够穿衣及脱衣；</w:t>
      </w:r>
    </w:p>
    <w:p>
      <w:pPr>
        <w:pStyle w:val="ListParagraph"/>
        <w:numPr>
          <w:ilvl w:val="1"/>
          <w:numId w:val="7"/>
        </w:numPr>
        <w:tabs>
          <w:tab w:pos="969" w:val="left" w:leader="none"/>
        </w:tabs>
        <w:spacing w:line="240" w:lineRule="auto" w:before="65" w:after="0"/>
        <w:ind w:left="968" w:right="0" w:hanging="315"/>
        <w:jc w:val="both"/>
        <w:rPr>
          <w:sz w:val="21"/>
        </w:rPr>
      </w:pPr>
      <w:r>
        <w:rPr>
          <w:spacing w:val="-1"/>
          <w:sz w:val="21"/>
        </w:rPr>
        <w:t>移动：自己从一个房间到另一个房间；</w:t>
      </w:r>
    </w:p>
    <w:p>
      <w:pPr>
        <w:pStyle w:val="ListParagraph"/>
        <w:numPr>
          <w:ilvl w:val="1"/>
          <w:numId w:val="7"/>
        </w:numPr>
        <w:tabs>
          <w:tab w:pos="969" w:val="left" w:leader="none"/>
        </w:tabs>
        <w:spacing w:line="240" w:lineRule="auto" w:before="66" w:after="0"/>
        <w:ind w:left="968" w:right="0" w:hanging="315"/>
        <w:jc w:val="both"/>
        <w:rPr>
          <w:sz w:val="21"/>
        </w:rPr>
      </w:pPr>
      <w:r>
        <w:rPr>
          <w:spacing w:val="-1"/>
          <w:sz w:val="21"/>
        </w:rPr>
        <w:t>行动：自己上下床或上下轮椅；</w:t>
      </w:r>
    </w:p>
    <w:p>
      <w:pPr>
        <w:pStyle w:val="ListParagraph"/>
        <w:numPr>
          <w:ilvl w:val="1"/>
          <w:numId w:val="7"/>
        </w:numPr>
        <w:tabs>
          <w:tab w:pos="969" w:val="left" w:leader="none"/>
        </w:tabs>
        <w:spacing w:line="240" w:lineRule="auto" w:before="66" w:after="0"/>
        <w:ind w:left="968" w:right="0" w:hanging="315"/>
        <w:jc w:val="both"/>
        <w:rPr>
          <w:sz w:val="21"/>
        </w:rPr>
      </w:pPr>
      <w:r>
        <w:rPr>
          <w:spacing w:val="-1"/>
          <w:sz w:val="21"/>
        </w:rPr>
        <w:t>如厕：自己控制进行大小便；</w:t>
      </w:r>
    </w:p>
    <w:p>
      <w:pPr>
        <w:pStyle w:val="ListParagraph"/>
        <w:numPr>
          <w:ilvl w:val="1"/>
          <w:numId w:val="7"/>
        </w:numPr>
        <w:tabs>
          <w:tab w:pos="969" w:val="left" w:leader="none"/>
        </w:tabs>
        <w:spacing w:line="240" w:lineRule="auto" w:before="65" w:after="0"/>
        <w:ind w:left="968" w:right="0" w:hanging="315"/>
        <w:jc w:val="both"/>
        <w:rPr>
          <w:sz w:val="21"/>
        </w:rPr>
      </w:pPr>
      <w:r>
        <w:rPr>
          <w:spacing w:val="-1"/>
          <w:sz w:val="21"/>
        </w:rPr>
        <w:t>进食：自己从已准备好的碗或碟中取食物放入口中；</w:t>
      </w:r>
    </w:p>
    <w:p>
      <w:pPr>
        <w:pStyle w:val="ListParagraph"/>
        <w:numPr>
          <w:ilvl w:val="1"/>
          <w:numId w:val="7"/>
        </w:numPr>
        <w:tabs>
          <w:tab w:pos="969" w:val="left" w:leader="none"/>
        </w:tabs>
        <w:spacing w:line="240" w:lineRule="auto" w:before="66" w:after="0"/>
        <w:ind w:left="968" w:right="0" w:hanging="315"/>
        <w:jc w:val="both"/>
        <w:rPr>
          <w:sz w:val="21"/>
        </w:rPr>
      </w:pPr>
      <w:r>
        <w:rPr>
          <w:spacing w:val="-1"/>
          <w:sz w:val="21"/>
        </w:rPr>
        <w:t>洗澡：自己进行淋浴或盆浴。</w:t>
      </w:r>
    </w:p>
    <w:p>
      <w:pPr>
        <w:pStyle w:val="ListParagraph"/>
        <w:numPr>
          <w:ilvl w:val="0"/>
          <w:numId w:val="7"/>
        </w:numPr>
        <w:tabs>
          <w:tab w:pos="653" w:val="left" w:leader="none"/>
          <w:tab w:pos="654" w:val="left" w:leader="none"/>
        </w:tabs>
        <w:spacing w:line="297" w:lineRule="auto" w:before="66" w:after="0"/>
        <w:ind w:left="653" w:right="102" w:hanging="545"/>
        <w:jc w:val="left"/>
        <w:rPr>
          <w:sz w:val="21"/>
        </w:rPr>
      </w:pPr>
      <w:r>
        <w:rPr>
          <w:b/>
          <w:spacing w:val="6"/>
          <w:sz w:val="21"/>
        </w:rPr>
        <w:t>永久不可逆 </w:t>
      </w:r>
      <w:r>
        <w:rPr>
          <w:sz w:val="21"/>
        </w:rPr>
        <w:t>重大疾病定义中所指的“永久不可逆”是指自疾病确诊或意外伤害发生之日起，经</w:t>
      </w:r>
      <w:r>
        <w:rPr>
          <w:spacing w:val="-9"/>
          <w:sz w:val="21"/>
        </w:rPr>
        <w:t>过积极治疗 </w:t>
      </w:r>
      <w:r>
        <w:rPr>
          <w:sz w:val="21"/>
        </w:rPr>
        <w:t>180</w:t>
      </w:r>
      <w:r>
        <w:rPr>
          <w:spacing w:val="-8"/>
          <w:sz w:val="21"/>
        </w:rPr>
        <w:t> 天后，仍无法通过现有医疗手段恢复。</w:t>
      </w:r>
    </w:p>
    <w:sectPr>
      <w:pgSz w:w="11910" w:h="16840"/>
      <w:pgMar w:top="136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93" w:hanging="316"/>
        <w:jc w:val="left"/>
      </w:pPr>
      <w:rPr>
        <w:rFonts w:hint="default" w:ascii="宋体" w:hAnsi="宋体" w:eastAsia="宋体" w:cs="宋体"/>
        <w:spacing w:val="-53"/>
        <w:w w:val="100"/>
        <w:sz w:val="21"/>
        <w:szCs w:val="21"/>
      </w:rPr>
    </w:lvl>
    <w:lvl w:ilvl="1">
      <w:start w:val="1"/>
      <w:numFmt w:val="upperRoman"/>
      <w:lvlText w:val="%2"/>
      <w:lvlJc w:val="left"/>
      <w:pPr>
        <w:ind w:left="193" w:hanging="159"/>
        <w:jc w:val="left"/>
      </w:pPr>
      <w:rPr>
        <w:rFonts w:hint="default" w:ascii="宋体" w:hAnsi="宋体" w:eastAsia="宋体" w:cs="宋体"/>
        <w:w w:val="100"/>
        <w:sz w:val="21"/>
        <w:szCs w:val="21"/>
      </w:rPr>
    </w:lvl>
    <w:lvl w:ilvl="2">
      <w:start w:val="0"/>
      <w:numFmt w:val="bullet"/>
      <w:lvlText w:val="•"/>
      <w:lvlJc w:val="left"/>
      <w:pPr>
        <w:ind w:left="1984" w:hanging="159"/>
      </w:pPr>
      <w:rPr>
        <w:rFonts w:hint="default"/>
      </w:rPr>
    </w:lvl>
    <w:lvl w:ilvl="3">
      <w:start w:val="0"/>
      <w:numFmt w:val="bullet"/>
      <w:lvlText w:val="•"/>
      <w:lvlJc w:val="left"/>
      <w:pPr>
        <w:ind w:left="2877" w:hanging="159"/>
      </w:pPr>
      <w:rPr>
        <w:rFonts w:hint="default"/>
      </w:rPr>
    </w:lvl>
    <w:lvl w:ilvl="4">
      <w:start w:val="0"/>
      <w:numFmt w:val="bullet"/>
      <w:lvlText w:val="•"/>
      <w:lvlJc w:val="left"/>
      <w:pPr>
        <w:ind w:left="3769" w:hanging="159"/>
      </w:pPr>
      <w:rPr>
        <w:rFonts w:hint="default"/>
      </w:rPr>
    </w:lvl>
    <w:lvl w:ilvl="5">
      <w:start w:val="0"/>
      <w:numFmt w:val="bullet"/>
      <w:lvlText w:val="•"/>
      <w:lvlJc w:val="left"/>
      <w:pPr>
        <w:ind w:left="4662" w:hanging="159"/>
      </w:pPr>
      <w:rPr>
        <w:rFonts w:hint="default"/>
      </w:rPr>
    </w:lvl>
    <w:lvl w:ilvl="6">
      <w:start w:val="0"/>
      <w:numFmt w:val="bullet"/>
      <w:lvlText w:val="•"/>
      <w:lvlJc w:val="left"/>
      <w:pPr>
        <w:ind w:left="5554" w:hanging="159"/>
      </w:pPr>
      <w:rPr>
        <w:rFonts w:hint="default"/>
      </w:rPr>
    </w:lvl>
    <w:lvl w:ilvl="7">
      <w:start w:val="0"/>
      <w:numFmt w:val="bullet"/>
      <w:lvlText w:val="•"/>
      <w:lvlJc w:val="left"/>
      <w:pPr>
        <w:ind w:left="6447" w:hanging="159"/>
      </w:pPr>
      <w:rPr>
        <w:rFonts w:hint="default"/>
      </w:rPr>
    </w:lvl>
    <w:lvl w:ilvl="8">
      <w:start w:val="0"/>
      <w:numFmt w:val="bullet"/>
      <w:lvlText w:val="•"/>
      <w:lvlJc w:val="left"/>
      <w:pPr>
        <w:ind w:left="7339" w:hanging="159"/>
      </w:pPr>
      <w:rPr>
        <w:rFonts w:hint="default"/>
      </w:rPr>
    </w:lvl>
  </w:abstractNum>
  <w:abstractNum w:abstractNumId="17">
    <w:multiLevelType w:val="hybridMultilevel"/>
    <w:lvl w:ilvl="0">
      <w:start w:val="1"/>
      <w:numFmt w:val="decimal"/>
      <w:lvlText w:val="%1)"/>
      <w:lvlJc w:val="left"/>
      <w:pPr>
        <w:ind w:left="508" w:hanging="316"/>
        <w:jc w:val="left"/>
      </w:pPr>
      <w:rPr>
        <w:rFonts w:hint="default" w:ascii="宋体" w:hAnsi="宋体" w:eastAsia="宋体" w:cs="宋体"/>
        <w:spacing w:val="-2"/>
        <w:w w:val="100"/>
        <w:sz w:val="21"/>
        <w:szCs w:val="21"/>
      </w:rPr>
    </w:lvl>
    <w:lvl w:ilvl="1">
      <w:start w:val="0"/>
      <w:numFmt w:val="bullet"/>
      <w:lvlText w:val="•"/>
      <w:lvlJc w:val="left"/>
      <w:pPr>
        <w:ind w:left="1362" w:hanging="316"/>
      </w:pPr>
      <w:rPr>
        <w:rFonts w:hint="default"/>
      </w:rPr>
    </w:lvl>
    <w:lvl w:ilvl="2">
      <w:start w:val="0"/>
      <w:numFmt w:val="bullet"/>
      <w:lvlText w:val="•"/>
      <w:lvlJc w:val="left"/>
      <w:pPr>
        <w:ind w:left="2224" w:hanging="316"/>
      </w:pPr>
      <w:rPr>
        <w:rFonts w:hint="default"/>
      </w:rPr>
    </w:lvl>
    <w:lvl w:ilvl="3">
      <w:start w:val="0"/>
      <w:numFmt w:val="bullet"/>
      <w:lvlText w:val="•"/>
      <w:lvlJc w:val="left"/>
      <w:pPr>
        <w:ind w:left="3087" w:hanging="316"/>
      </w:pPr>
      <w:rPr>
        <w:rFonts w:hint="default"/>
      </w:rPr>
    </w:lvl>
    <w:lvl w:ilvl="4">
      <w:start w:val="0"/>
      <w:numFmt w:val="bullet"/>
      <w:lvlText w:val="•"/>
      <w:lvlJc w:val="left"/>
      <w:pPr>
        <w:ind w:left="3949" w:hanging="316"/>
      </w:pPr>
      <w:rPr>
        <w:rFonts w:hint="default"/>
      </w:rPr>
    </w:lvl>
    <w:lvl w:ilvl="5">
      <w:start w:val="0"/>
      <w:numFmt w:val="bullet"/>
      <w:lvlText w:val="•"/>
      <w:lvlJc w:val="left"/>
      <w:pPr>
        <w:ind w:left="4812" w:hanging="316"/>
      </w:pPr>
      <w:rPr>
        <w:rFonts w:hint="default"/>
      </w:rPr>
    </w:lvl>
    <w:lvl w:ilvl="6">
      <w:start w:val="0"/>
      <w:numFmt w:val="bullet"/>
      <w:lvlText w:val="•"/>
      <w:lvlJc w:val="left"/>
      <w:pPr>
        <w:ind w:left="5674" w:hanging="316"/>
      </w:pPr>
      <w:rPr>
        <w:rFonts w:hint="default"/>
      </w:rPr>
    </w:lvl>
    <w:lvl w:ilvl="7">
      <w:start w:val="0"/>
      <w:numFmt w:val="bullet"/>
      <w:lvlText w:val="•"/>
      <w:lvlJc w:val="left"/>
      <w:pPr>
        <w:ind w:left="6537" w:hanging="316"/>
      </w:pPr>
      <w:rPr>
        <w:rFonts w:hint="default"/>
      </w:rPr>
    </w:lvl>
    <w:lvl w:ilvl="8">
      <w:start w:val="0"/>
      <w:numFmt w:val="bullet"/>
      <w:lvlText w:val="•"/>
      <w:lvlJc w:val="left"/>
      <w:pPr>
        <w:ind w:left="7399" w:hanging="316"/>
      </w:pPr>
      <w:rPr>
        <w:rFonts w:hint="default"/>
      </w:rPr>
    </w:lvl>
  </w:abstractNum>
  <w:abstractNum w:abstractNumId="16">
    <w:multiLevelType w:val="hybridMultilevel"/>
    <w:lvl w:ilvl="0">
      <w:start w:val="1"/>
      <w:numFmt w:val="decimal"/>
      <w:lvlText w:val="%1)"/>
      <w:lvlJc w:val="left"/>
      <w:pPr>
        <w:ind w:left="153" w:hanging="316"/>
        <w:jc w:val="left"/>
      </w:pPr>
      <w:rPr>
        <w:rFonts w:hint="default" w:ascii="宋体" w:hAnsi="宋体" w:eastAsia="宋体" w:cs="宋体"/>
        <w:spacing w:val="-2"/>
        <w:w w:val="100"/>
        <w:sz w:val="21"/>
        <w:szCs w:val="21"/>
      </w:rPr>
    </w:lvl>
    <w:lvl w:ilvl="1">
      <w:start w:val="0"/>
      <w:numFmt w:val="bullet"/>
      <w:lvlText w:val="•"/>
      <w:lvlJc w:val="left"/>
      <w:pPr>
        <w:ind w:left="1058" w:hanging="316"/>
      </w:pPr>
      <w:rPr>
        <w:rFonts w:hint="default"/>
      </w:rPr>
    </w:lvl>
    <w:lvl w:ilvl="2">
      <w:start w:val="0"/>
      <w:numFmt w:val="bullet"/>
      <w:lvlText w:val="•"/>
      <w:lvlJc w:val="left"/>
      <w:pPr>
        <w:ind w:left="1956" w:hanging="316"/>
      </w:pPr>
      <w:rPr>
        <w:rFonts w:hint="default"/>
      </w:rPr>
    </w:lvl>
    <w:lvl w:ilvl="3">
      <w:start w:val="0"/>
      <w:numFmt w:val="bullet"/>
      <w:lvlText w:val="•"/>
      <w:lvlJc w:val="left"/>
      <w:pPr>
        <w:ind w:left="2855" w:hanging="316"/>
      </w:pPr>
      <w:rPr>
        <w:rFonts w:hint="default"/>
      </w:rPr>
    </w:lvl>
    <w:lvl w:ilvl="4">
      <w:start w:val="0"/>
      <w:numFmt w:val="bullet"/>
      <w:lvlText w:val="•"/>
      <w:lvlJc w:val="left"/>
      <w:pPr>
        <w:ind w:left="3753" w:hanging="316"/>
      </w:pPr>
      <w:rPr>
        <w:rFonts w:hint="default"/>
      </w:rPr>
    </w:lvl>
    <w:lvl w:ilvl="5">
      <w:start w:val="0"/>
      <w:numFmt w:val="bullet"/>
      <w:lvlText w:val="•"/>
      <w:lvlJc w:val="left"/>
      <w:pPr>
        <w:ind w:left="4652" w:hanging="316"/>
      </w:pPr>
      <w:rPr>
        <w:rFonts w:hint="default"/>
      </w:rPr>
    </w:lvl>
    <w:lvl w:ilvl="6">
      <w:start w:val="0"/>
      <w:numFmt w:val="bullet"/>
      <w:lvlText w:val="•"/>
      <w:lvlJc w:val="left"/>
      <w:pPr>
        <w:ind w:left="5550" w:hanging="316"/>
      </w:pPr>
      <w:rPr>
        <w:rFonts w:hint="default"/>
      </w:rPr>
    </w:lvl>
    <w:lvl w:ilvl="7">
      <w:start w:val="0"/>
      <w:numFmt w:val="bullet"/>
      <w:lvlText w:val="•"/>
      <w:lvlJc w:val="left"/>
      <w:pPr>
        <w:ind w:left="6449" w:hanging="316"/>
      </w:pPr>
      <w:rPr>
        <w:rFonts w:hint="default"/>
      </w:rPr>
    </w:lvl>
    <w:lvl w:ilvl="8">
      <w:start w:val="0"/>
      <w:numFmt w:val="bullet"/>
      <w:lvlText w:val="•"/>
      <w:lvlJc w:val="left"/>
      <w:pPr>
        <w:ind w:left="7347" w:hanging="316"/>
      </w:pPr>
      <w:rPr>
        <w:rFonts w:hint="default"/>
      </w:rPr>
    </w:lvl>
  </w:abstractNum>
  <w:abstractNum w:abstractNumId="15">
    <w:multiLevelType w:val="hybridMultilevel"/>
    <w:lvl w:ilvl="0">
      <w:start w:val="1"/>
      <w:numFmt w:val="decimal"/>
      <w:lvlText w:val="%1)"/>
      <w:lvlJc w:val="left"/>
      <w:pPr>
        <w:ind w:left="153" w:hanging="316"/>
        <w:jc w:val="left"/>
      </w:pPr>
      <w:rPr>
        <w:rFonts w:hint="default" w:ascii="宋体" w:hAnsi="宋体" w:eastAsia="宋体" w:cs="宋体"/>
        <w:spacing w:val="-2"/>
        <w:w w:val="100"/>
        <w:sz w:val="21"/>
        <w:szCs w:val="21"/>
      </w:rPr>
    </w:lvl>
    <w:lvl w:ilvl="1">
      <w:start w:val="0"/>
      <w:numFmt w:val="bullet"/>
      <w:lvlText w:val="•"/>
      <w:lvlJc w:val="left"/>
      <w:pPr>
        <w:ind w:left="1058" w:hanging="316"/>
      </w:pPr>
      <w:rPr>
        <w:rFonts w:hint="default"/>
      </w:rPr>
    </w:lvl>
    <w:lvl w:ilvl="2">
      <w:start w:val="0"/>
      <w:numFmt w:val="bullet"/>
      <w:lvlText w:val="•"/>
      <w:lvlJc w:val="left"/>
      <w:pPr>
        <w:ind w:left="1956" w:hanging="316"/>
      </w:pPr>
      <w:rPr>
        <w:rFonts w:hint="default"/>
      </w:rPr>
    </w:lvl>
    <w:lvl w:ilvl="3">
      <w:start w:val="0"/>
      <w:numFmt w:val="bullet"/>
      <w:lvlText w:val="•"/>
      <w:lvlJc w:val="left"/>
      <w:pPr>
        <w:ind w:left="2855" w:hanging="316"/>
      </w:pPr>
      <w:rPr>
        <w:rFonts w:hint="default"/>
      </w:rPr>
    </w:lvl>
    <w:lvl w:ilvl="4">
      <w:start w:val="0"/>
      <w:numFmt w:val="bullet"/>
      <w:lvlText w:val="•"/>
      <w:lvlJc w:val="left"/>
      <w:pPr>
        <w:ind w:left="3753" w:hanging="316"/>
      </w:pPr>
      <w:rPr>
        <w:rFonts w:hint="default"/>
      </w:rPr>
    </w:lvl>
    <w:lvl w:ilvl="5">
      <w:start w:val="0"/>
      <w:numFmt w:val="bullet"/>
      <w:lvlText w:val="•"/>
      <w:lvlJc w:val="left"/>
      <w:pPr>
        <w:ind w:left="4652" w:hanging="316"/>
      </w:pPr>
      <w:rPr>
        <w:rFonts w:hint="default"/>
      </w:rPr>
    </w:lvl>
    <w:lvl w:ilvl="6">
      <w:start w:val="0"/>
      <w:numFmt w:val="bullet"/>
      <w:lvlText w:val="•"/>
      <w:lvlJc w:val="left"/>
      <w:pPr>
        <w:ind w:left="5550" w:hanging="316"/>
      </w:pPr>
      <w:rPr>
        <w:rFonts w:hint="default"/>
      </w:rPr>
    </w:lvl>
    <w:lvl w:ilvl="7">
      <w:start w:val="0"/>
      <w:numFmt w:val="bullet"/>
      <w:lvlText w:val="•"/>
      <w:lvlJc w:val="left"/>
      <w:pPr>
        <w:ind w:left="6449" w:hanging="316"/>
      </w:pPr>
      <w:rPr>
        <w:rFonts w:hint="default"/>
      </w:rPr>
    </w:lvl>
    <w:lvl w:ilvl="8">
      <w:start w:val="0"/>
      <w:numFmt w:val="bullet"/>
      <w:lvlText w:val="•"/>
      <w:lvlJc w:val="left"/>
      <w:pPr>
        <w:ind w:left="7347" w:hanging="316"/>
      </w:pPr>
      <w:rPr>
        <w:rFonts w:hint="default"/>
      </w:rPr>
    </w:lvl>
  </w:abstractNum>
  <w:abstractNum w:abstractNumId="14">
    <w:multiLevelType w:val="hybridMultilevel"/>
    <w:lvl w:ilvl="0">
      <w:start w:val="1"/>
      <w:numFmt w:val="decimal"/>
      <w:lvlText w:val="%1)"/>
      <w:lvlJc w:val="left"/>
      <w:pPr>
        <w:ind w:left="468" w:hanging="316"/>
        <w:jc w:val="left"/>
      </w:pPr>
      <w:rPr>
        <w:rFonts w:hint="default" w:ascii="宋体" w:hAnsi="宋体" w:eastAsia="宋体" w:cs="宋体"/>
        <w:spacing w:val="-2"/>
        <w:w w:val="100"/>
        <w:sz w:val="21"/>
        <w:szCs w:val="21"/>
      </w:rPr>
    </w:lvl>
    <w:lvl w:ilvl="1">
      <w:start w:val="0"/>
      <w:numFmt w:val="bullet"/>
      <w:lvlText w:val="•"/>
      <w:lvlJc w:val="left"/>
      <w:pPr>
        <w:ind w:left="1328" w:hanging="316"/>
      </w:pPr>
      <w:rPr>
        <w:rFonts w:hint="default"/>
      </w:rPr>
    </w:lvl>
    <w:lvl w:ilvl="2">
      <w:start w:val="0"/>
      <w:numFmt w:val="bullet"/>
      <w:lvlText w:val="•"/>
      <w:lvlJc w:val="left"/>
      <w:pPr>
        <w:ind w:left="2196" w:hanging="316"/>
      </w:pPr>
      <w:rPr>
        <w:rFonts w:hint="default"/>
      </w:rPr>
    </w:lvl>
    <w:lvl w:ilvl="3">
      <w:start w:val="0"/>
      <w:numFmt w:val="bullet"/>
      <w:lvlText w:val="•"/>
      <w:lvlJc w:val="left"/>
      <w:pPr>
        <w:ind w:left="30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802" w:hanging="316"/>
      </w:pPr>
      <w:rPr>
        <w:rFonts w:hint="default"/>
      </w:rPr>
    </w:lvl>
    <w:lvl w:ilvl="6">
      <w:start w:val="0"/>
      <w:numFmt w:val="bullet"/>
      <w:lvlText w:val="•"/>
      <w:lvlJc w:val="left"/>
      <w:pPr>
        <w:ind w:left="5670" w:hanging="316"/>
      </w:pPr>
      <w:rPr>
        <w:rFonts w:hint="default"/>
      </w:rPr>
    </w:lvl>
    <w:lvl w:ilvl="7">
      <w:start w:val="0"/>
      <w:numFmt w:val="bullet"/>
      <w:lvlText w:val="•"/>
      <w:lvlJc w:val="left"/>
      <w:pPr>
        <w:ind w:left="6539" w:hanging="316"/>
      </w:pPr>
      <w:rPr>
        <w:rFonts w:hint="default"/>
      </w:rPr>
    </w:lvl>
    <w:lvl w:ilvl="8">
      <w:start w:val="0"/>
      <w:numFmt w:val="bullet"/>
      <w:lvlText w:val="•"/>
      <w:lvlJc w:val="left"/>
      <w:pPr>
        <w:ind w:left="7407" w:hanging="316"/>
      </w:pPr>
      <w:rPr>
        <w:rFonts w:hint="default"/>
      </w:rPr>
    </w:lvl>
  </w:abstractNum>
  <w:abstractNum w:abstractNumId="13">
    <w:multiLevelType w:val="hybridMultilevel"/>
    <w:lvl w:ilvl="0">
      <w:start w:val="1"/>
      <w:numFmt w:val="decimal"/>
      <w:lvlText w:val="%1)"/>
      <w:lvlJc w:val="left"/>
      <w:pPr>
        <w:ind w:left="153" w:hanging="316"/>
        <w:jc w:val="left"/>
      </w:pPr>
      <w:rPr>
        <w:rFonts w:hint="default" w:ascii="宋体" w:hAnsi="宋体" w:eastAsia="宋体" w:cs="宋体"/>
        <w:spacing w:val="-2"/>
        <w:w w:val="100"/>
        <w:sz w:val="21"/>
        <w:szCs w:val="21"/>
      </w:rPr>
    </w:lvl>
    <w:lvl w:ilvl="1">
      <w:start w:val="0"/>
      <w:numFmt w:val="bullet"/>
      <w:lvlText w:val="•"/>
      <w:lvlJc w:val="left"/>
      <w:pPr>
        <w:ind w:left="1048" w:hanging="316"/>
      </w:pPr>
      <w:rPr>
        <w:rFonts w:hint="default"/>
      </w:rPr>
    </w:lvl>
    <w:lvl w:ilvl="2">
      <w:start w:val="0"/>
      <w:numFmt w:val="bullet"/>
      <w:lvlText w:val="•"/>
      <w:lvlJc w:val="left"/>
      <w:pPr>
        <w:ind w:left="1936" w:hanging="316"/>
      </w:pPr>
      <w:rPr>
        <w:rFonts w:hint="default"/>
      </w:rPr>
    </w:lvl>
    <w:lvl w:ilvl="3">
      <w:start w:val="0"/>
      <w:numFmt w:val="bullet"/>
      <w:lvlText w:val="•"/>
      <w:lvlJc w:val="left"/>
      <w:pPr>
        <w:ind w:left="2825" w:hanging="316"/>
      </w:pPr>
      <w:rPr>
        <w:rFonts w:hint="default"/>
      </w:rPr>
    </w:lvl>
    <w:lvl w:ilvl="4">
      <w:start w:val="0"/>
      <w:numFmt w:val="bullet"/>
      <w:lvlText w:val="•"/>
      <w:lvlJc w:val="left"/>
      <w:pPr>
        <w:ind w:left="3713" w:hanging="316"/>
      </w:pPr>
      <w:rPr>
        <w:rFonts w:hint="default"/>
      </w:rPr>
    </w:lvl>
    <w:lvl w:ilvl="5">
      <w:start w:val="0"/>
      <w:numFmt w:val="bullet"/>
      <w:lvlText w:val="•"/>
      <w:lvlJc w:val="left"/>
      <w:pPr>
        <w:ind w:left="4602" w:hanging="316"/>
      </w:pPr>
      <w:rPr>
        <w:rFonts w:hint="default"/>
      </w:rPr>
    </w:lvl>
    <w:lvl w:ilvl="6">
      <w:start w:val="0"/>
      <w:numFmt w:val="bullet"/>
      <w:lvlText w:val="•"/>
      <w:lvlJc w:val="left"/>
      <w:pPr>
        <w:ind w:left="5490" w:hanging="316"/>
      </w:pPr>
      <w:rPr>
        <w:rFonts w:hint="default"/>
      </w:rPr>
    </w:lvl>
    <w:lvl w:ilvl="7">
      <w:start w:val="0"/>
      <w:numFmt w:val="bullet"/>
      <w:lvlText w:val="•"/>
      <w:lvlJc w:val="left"/>
      <w:pPr>
        <w:ind w:left="6379" w:hanging="316"/>
      </w:pPr>
      <w:rPr>
        <w:rFonts w:hint="default"/>
      </w:rPr>
    </w:lvl>
    <w:lvl w:ilvl="8">
      <w:start w:val="0"/>
      <w:numFmt w:val="bullet"/>
      <w:lvlText w:val="•"/>
      <w:lvlJc w:val="left"/>
      <w:pPr>
        <w:ind w:left="7267" w:hanging="316"/>
      </w:pPr>
      <w:rPr>
        <w:rFonts w:hint="default"/>
      </w:rPr>
    </w:lvl>
  </w:abstractNum>
  <w:abstractNum w:abstractNumId="12">
    <w:multiLevelType w:val="hybridMultilevel"/>
    <w:lvl w:ilvl="0">
      <w:start w:val="1"/>
      <w:numFmt w:val="decimal"/>
      <w:lvlText w:val="%1)"/>
      <w:lvlJc w:val="left"/>
      <w:pPr>
        <w:ind w:left="153" w:hanging="316"/>
        <w:jc w:val="left"/>
      </w:pPr>
      <w:rPr>
        <w:rFonts w:hint="default" w:ascii="宋体" w:hAnsi="宋体" w:eastAsia="宋体" w:cs="宋体"/>
        <w:spacing w:val="-2"/>
        <w:w w:val="100"/>
        <w:sz w:val="21"/>
        <w:szCs w:val="21"/>
      </w:rPr>
    </w:lvl>
    <w:lvl w:ilvl="1">
      <w:start w:val="0"/>
      <w:numFmt w:val="bullet"/>
      <w:lvlText w:val="•"/>
      <w:lvlJc w:val="left"/>
      <w:pPr>
        <w:ind w:left="1048" w:hanging="316"/>
      </w:pPr>
      <w:rPr>
        <w:rFonts w:hint="default"/>
      </w:rPr>
    </w:lvl>
    <w:lvl w:ilvl="2">
      <w:start w:val="0"/>
      <w:numFmt w:val="bullet"/>
      <w:lvlText w:val="•"/>
      <w:lvlJc w:val="left"/>
      <w:pPr>
        <w:ind w:left="1936" w:hanging="316"/>
      </w:pPr>
      <w:rPr>
        <w:rFonts w:hint="default"/>
      </w:rPr>
    </w:lvl>
    <w:lvl w:ilvl="3">
      <w:start w:val="0"/>
      <w:numFmt w:val="bullet"/>
      <w:lvlText w:val="•"/>
      <w:lvlJc w:val="left"/>
      <w:pPr>
        <w:ind w:left="2825" w:hanging="316"/>
      </w:pPr>
      <w:rPr>
        <w:rFonts w:hint="default"/>
      </w:rPr>
    </w:lvl>
    <w:lvl w:ilvl="4">
      <w:start w:val="0"/>
      <w:numFmt w:val="bullet"/>
      <w:lvlText w:val="•"/>
      <w:lvlJc w:val="left"/>
      <w:pPr>
        <w:ind w:left="3713" w:hanging="316"/>
      </w:pPr>
      <w:rPr>
        <w:rFonts w:hint="default"/>
      </w:rPr>
    </w:lvl>
    <w:lvl w:ilvl="5">
      <w:start w:val="0"/>
      <w:numFmt w:val="bullet"/>
      <w:lvlText w:val="•"/>
      <w:lvlJc w:val="left"/>
      <w:pPr>
        <w:ind w:left="4602" w:hanging="316"/>
      </w:pPr>
      <w:rPr>
        <w:rFonts w:hint="default"/>
      </w:rPr>
    </w:lvl>
    <w:lvl w:ilvl="6">
      <w:start w:val="0"/>
      <w:numFmt w:val="bullet"/>
      <w:lvlText w:val="•"/>
      <w:lvlJc w:val="left"/>
      <w:pPr>
        <w:ind w:left="5490" w:hanging="316"/>
      </w:pPr>
      <w:rPr>
        <w:rFonts w:hint="default"/>
      </w:rPr>
    </w:lvl>
    <w:lvl w:ilvl="7">
      <w:start w:val="0"/>
      <w:numFmt w:val="bullet"/>
      <w:lvlText w:val="•"/>
      <w:lvlJc w:val="left"/>
      <w:pPr>
        <w:ind w:left="6379" w:hanging="316"/>
      </w:pPr>
      <w:rPr>
        <w:rFonts w:hint="default"/>
      </w:rPr>
    </w:lvl>
    <w:lvl w:ilvl="8">
      <w:start w:val="0"/>
      <w:numFmt w:val="bullet"/>
      <w:lvlText w:val="•"/>
      <w:lvlJc w:val="left"/>
      <w:pPr>
        <w:ind w:left="7267" w:hanging="316"/>
      </w:pPr>
      <w:rPr>
        <w:rFonts w:hint="default"/>
      </w:rPr>
    </w:lvl>
  </w:abstractNum>
  <w:abstractNum w:abstractNumId="11">
    <w:multiLevelType w:val="hybridMultilevel"/>
    <w:lvl w:ilvl="0">
      <w:start w:val="1"/>
      <w:numFmt w:val="decimal"/>
      <w:lvlText w:val="%1)"/>
      <w:lvlJc w:val="left"/>
      <w:pPr>
        <w:ind w:left="468" w:hanging="316"/>
        <w:jc w:val="left"/>
      </w:pPr>
      <w:rPr>
        <w:rFonts w:hint="default" w:ascii="宋体" w:hAnsi="宋体" w:eastAsia="宋体" w:cs="宋体"/>
        <w:spacing w:val="-2"/>
        <w:w w:val="100"/>
        <w:sz w:val="21"/>
        <w:szCs w:val="21"/>
      </w:rPr>
    </w:lvl>
    <w:lvl w:ilvl="1">
      <w:start w:val="0"/>
      <w:numFmt w:val="bullet"/>
      <w:lvlText w:val="•"/>
      <w:lvlJc w:val="left"/>
      <w:pPr>
        <w:ind w:left="1318" w:hanging="316"/>
      </w:pPr>
      <w:rPr>
        <w:rFonts w:hint="default"/>
      </w:rPr>
    </w:lvl>
    <w:lvl w:ilvl="2">
      <w:start w:val="0"/>
      <w:numFmt w:val="bullet"/>
      <w:lvlText w:val="•"/>
      <w:lvlJc w:val="left"/>
      <w:pPr>
        <w:ind w:left="2176" w:hanging="316"/>
      </w:pPr>
      <w:rPr>
        <w:rFonts w:hint="default"/>
      </w:rPr>
    </w:lvl>
    <w:lvl w:ilvl="3">
      <w:start w:val="0"/>
      <w:numFmt w:val="bullet"/>
      <w:lvlText w:val="•"/>
      <w:lvlJc w:val="left"/>
      <w:pPr>
        <w:ind w:left="3035" w:hanging="316"/>
      </w:pPr>
      <w:rPr>
        <w:rFonts w:hint="default"/>
      </w:rPr>
    </w:lvl>
    <w:lvl w:ilvl="4">
      <w:start w:val="0"/>
      <w:numFmt w:val="bullet"/>
      <w:lvlText w:val="•"/>
      <w:lvlJc w:val="left"/>
      <w:pPr>
        <w:ind w:left="3893" w:hanging="316"/>
      </w:pPr>
      <w:rPr>
        <w:rFonts w:hint="default"/>
      </w:rPr>
    </w:lvl>
    <w:lvl w:ilvl="5">
      <w:start w:val="0"/>
      <w:numFmt w:val="bullet"/>
      <w:lvlText w:val="•"/>
      <w:lvlJc w:val="left"/>
      <w:pPr>
        <w:ind w:left="4752" w:hanging="316"/>
      </w:pPr>
      <w:rPr>
        <w:rFonts w:hint="default"/>
      </w:rPr>
    </w:lvl>
    <w:lvl w:ilvl="6">
      <w:start w:val="0"/>
      <w:numFmt w:val="bullet"/>
      <w:lvlText w:val="•"/>
      <w:lvlJc w:val="left"/>
      <w:pPr>
        <w:ind w:left="5610" w:hanging="316"/>
      </w:pPr>
      <w:rPr>
        <w:rFonts w:hint="default"/>
      </w:rPr>
    </w:lvl>
    <w:lvl w:ilvl="7">
      <w:start w:val="0"/>
      <w:numFmt w:val="bullet"/>
      <w:lvlText w:val="•"/>
      <w:lvlJc w:val="left"/>
      <w:pPr>
        <w:ind w:left="6469" w:hanging="316"/>
      </w:pPr>
      <w:rPr>
        <w:rFonts w:hint="default"/>
      </w:rPr>
    </w:lvl>
    <w:lvl w:ilvl="8">
      <w:start w:val="0"/>
      <w:numFmt w:val="bullet"/>
      <w:lvlText w:val="•"/>
      <w:lvlJc w:val="left"/>
      <w:pPr>
        <w:ind w:left="7327" w:hanging="316"/>
      </w:pPr>
      <w:rPr>
        <w:rFonts w:hint="default"/>
      </w:rPr>
    </w:lvl>
  </w:abstractNum>
  <w:abstractNum w:abstractNumId="10">
    <w:multiLevelType w:val="hybridMultilevel"/>
    <w:lvl w:ilvl="0">
      <w:start w:val="1"/>
      <w:numFmt w:val="decimal"/>
      <w:lvlText w:val="%1)"/>
      <w:lvlJc w:val="left"/>
      <w:pPr>
        <w:ind w:left="153" w:hanging="316"/>
        <w:jc w:val="left"/>
      </w:pPr>
      <w:rPr>
        <w:rFonts w:hint="default" w:ascii="宋体" w:hAnsi="宋体" w:eastAsia="宋体" w:cs="宋体"/>
        <w:spacing w:val="-2"/>
        <w:w w:val="100"/>
        <w:sz w:val="21"/>
        <w:szCs w:val="21"/>
      </w:rPr>
    </w:lvl>
    <w:lvl w:ilvl="1">
      <w:start w:val="0"/>
      <w:numFmt w:val="bullet"/>
      <w:lvlText w:val="•"/>
      <w:lvlJc w:val="left"/>
      <w:pPr>
        <w:ind w:left="1048" w:hanging="316"/>
      </w:pPr>
      <w:rPr>
        <w:rFonts w:hint="default"/>
      </w:rPr>
    </w:lvl>
    <w:lvl w:ilvl="2">
      <w:start w:val="0"/>
      <w:numFmt w:val="bullet"/>
      <w:lvlText w:val="•"/>
      <w:lvlJc w:val="left"/>
      <w:pPr>
        <w:ind w:left="1936" w:hanging="316"/>
      </w:pPr>
      <w:rPr>
        <w:rFonts w:hint="default"/>
      </w:rPr>
    </w:lvl>
    <w:lvl w:ilvl="3">
      <w:start w:val="0"/>
      <w:numFmt w:val="bullet"/>
      <w:lvlText w:val="•"/>
      <w:lvlJc w:val="left"/>
      <w:pPr>
        <w:ind w:left="2825" w:hanging="316"/>
      </w:pPr>
      <w:rPr>
        <w:rFonts w:hint="default"/>
      </w:rPr>
    </w:lvl>
    <w:lvl w:ilvl="4">
      <w:start w:val="0"/>
      <w:numFmt w:val="bullet"/>
      <w:lvlText w:val="•"/>
      <w:lvlJc w:val="left"/>
      <w:pPr>
        <w:ind w:left="3713" w:hanging="316"/>
      </w:pPr>
      <w:rPr>
        <w:rFonts w:hint="default"/>
      </w:rPr>
    </w:lvl>
    <w:lvl w:ilvl="5">
      <w:start w:val="0"/>
      <w:numFmt w:val="bullet"/>
      <w:lvlText w:val="•"/>
      <w:lvlJc w:val="left"/>
      <w:pPr>
        <w:ind w:left="4602" w:hanging="316"/>
      </w:pPr>
      <w:rPr>
        <w:rFonts w:hint="default"/>
      </w:rPr>
    </w:lvl>
    <w:lvl w:ilvl="6">
      <w:start w:val="0"/>
      <w:numFmt w:val="bullet"/>
      <w:lvlText w:val="•"/>
      <w:lvlJc w:val="left"/>
      <w:pPr>
        <w:ind w:left="5490" w:hanging="316"/>
      </w:pPr>
      <w:rPr>
        <w:rFonts w:hint="default"/>
      </w:rPr>
    </w:lvl>
    <w:lvl w:ilvl="7">
      <w:start w:val="0"/>
      <w:numFmt w:val="bullet"/>
      <w:lvlText w:val="•"/>
      <w:lvlJc w:val="left"/>
      <w:pPr>
        <w:ind w:left="6379" w:hanging="316"/>
      </w:pPr>
      <w:rPr>
        <w:rFonts w:hint="default"/>
      </w:rPr>
    </w:lvl>
    <w:lvl w:ilvl="8">
      <w:start w:val="0"/>
      <w:numFmt w:val="bullet"/>
      <w:lvlText w:val="•"/>
      <w:lvlJc w:val="left"/>
      <w:pPr>
        <w:ind w:left="7267" w:hanging="316"/>
      </w:pPr>
      <w:rPr>
        <w:rFonts w:hint="default"/>
      </w:rPr>
    </w:lvl>
  </w:abstractNum>
  <w:abstractNum w:abstractNumId="9">
    <w:multiLevelType w:val="hybridMultilevel"/>
    <w:lvl w:ilvl="0">
      <w:start w:val="1"/>
      <w:numFmt w:val="decimal"/>
      <w:lvlText w:val="%1)"/>
      <w:lvlJc w:val="left"/>
      <w:pPr>
        <w:ind w:left="653" w:hanging="316"/>
        <w:jc w:val="left"/>
      </w:pPr>
      <w:rPr>
        <w:rFonts w:hint="default" w:ascii="宋体" w:hAnsi="宋体" w:eastAsia="宋体" w:cs="宋体"/>
        <w:spacing w:val="-2"/>
        <w:w w:val="100"/>
        <w:sz w:val="21"/>
        <w:szCs w:val="21"/>
      </w:rPr>
    </w:lvl>
    <w:lvl w:ilvl="1">
      <w:start w:val="0"/>
      <w:numFmt w:val="bullet"/>
      <w:lvlText w:val="•"/>
      <w:lvlJc w:val="left"/>
      <w:pPr>
        <w:ind w:left="1558" w:hanging="316"/>
      </w:pPr>
      <w:rPr>
        <w:rFonts w:hint="default"/>
      </w:rPr>
    </w:lvl>
    <w:lvl w:ilvl="2">
      <w:start w:val="0"/>
      <w:numFmt w:val="bullet"/>
      <w:lvlText w:val="•"/>
      <w:lvlJc w:val="left"/>
      <w:pPr>
        <w:ind w:left="2456" w:hanging="316"/>
      </w:pPr>
      <w:rPr>
        <w:rFonts w:hint="default"/>
      </w:rPr>
    </w:lvl>
    <w:lvl w:ilvl="3">
      <w:start w:val="0"/>
      <w:numFmt w:val="bullet"/>
      <w:lvlText w:val="•"/>
      <w:lvlJc w:val="left"/>
      <w:pPr>
        <w:ind w:left="3355" w:hanging="316"/>
      </w:pPr>
      <w:rPr>
        <w:rFonts w:hint="default"/>
      </w:rPr>
    </w:lvl>
    <w:lvl w:ilvl="4">
      <w:start w:val="0"/>
      <w:numFmt w:val="bullet"/>
      <w:lvlText w:val="•"/>
      <w:lvlJc w:val="left"/>
      <w:pPr>
        <w:ind w:left="4253" w:hanging="316"/>
      </w:pPr>
      <w:rPr>
        <w:rFonts w:hint="default"/>
      </w:rPr>
    </w:lvl>
    <w:lvl w:ilvl="5">
      <w:start w:val="0"/>
      <w:numFmt w:val="bullet"/>
      <w:lvlText w:val="•"/>
      <w:lvlJc w:val="left"/>
      <w:pPr>
        <w:ind w:left="5152" w:hanging="316"/>
      </w:pPr>
      <w:rPr>
        <w:rFonts w:hint="default"/>
      </w:rPr>
    </w:lvl>
    <w:lvl w:ilvl="6">
      <w:start w:val="0"/>
      <w:numFmt w:val="bullet"/>
      <w:lvlText w:val="•"/>
      <w:lvlJc w:val="left"/>
      <w:pPr>
        <w:ind w:left="6050" w:hanging="316"/>
      </w:pPr>
      <w:rPr>
        <w:rFonts w:hint="default"/>
      </w:rPr>
    </w:lvl>
    <w:lvl w:ilvl="7">
      <w:start w:val="0"/>
      <w:numFmt w:val="bullet"/>
      <w:lvlText w:val="•"/>
      <w:lvlJc w:val="left"/>
      <w:pPr>
        <w:ind w:left="6949" w:hanging="316"/>
      </w:pPr>
      <w:rPr>
        <w:rFonts w:hint="default"/>
      </w:rPr>
    </w:lvl>
    <w:lvl w:ilvl="8">
      <w:start w:val="0"/>
      <w:numFmt w:val="bullet"/>
      <w:lvlText w:val="•"/>
      <w:lvlJc w:val="left"/>
      <w:pPr>
        <w:ind w:left="7847" w:hanging="316"/>
      </w:pPr>
      <w:rPr>
        <w:rFonts w:hint="default"/>
      </w:rPr>
    </w:lvl>
  </w:abstractNum>
  <w:abstractNum w:abstractNumId="8">
    <w:multiLevelType w:val="hybridMultilevel"/>
    <w:lvl w:ilvl="0">
      <w:start w:val="1"/>
      <w:numFmt w:val="decimal"/>
      <w:lvlText w:val="%1)"/>
      <w:lvlJc w:val="left"/>
      <w:pPr>
        <w:ind w:left="653" w:hanging="316"/>
        <w:jc w:val="left"/>
      </w:pPr>
      <w:rPr>
        <w:rFonts w:hint="default" w:ascii="宋体" w:hAnsi="宋体" w:eastAsia="宋体" w:cs="宋体"/>
        <w:spacing w:val="-2"/>
        <w:w w:val="100"/>
        <w:sz w:val="21"/>
        <w:szCs w:val="21"/>
      </w:rPr>
    </w:lvl>
    <w:lvl w:ilvl="1">
      <w:start w:val="0"/>
      <w:numFmt w:val="bullet"/>
      <w:lvlText w:val="•"/>
      <w:lvlJc w:val="left"/>
      <w:pPr>
        <w:ind w:left="1558" w:hanging="316"/>
      </w:pPr>
      <w:rPr>
        <w:rFonts w:hint="default"/>
      </w:rPr>
    </w:lvl>
    <w:lvl w:ilvl="2">
      <w:start w:val="0"/>
      <w:numFmt w:val="bullet"/>
      <w:lvlText w:val="•"/>
      <w:lvlJc w:val="left"/>
      <w:pPr>
        <w:ind w:left="2456" w:hanging="316"/>
      </w:pPr>
      <w:rPr>
        <w:rFonts w:hint="default"/>
      </w:rPr>
    </w:lvl>
    <w:lvl w:ilvl="3">
      <w:start w:val="0"/>
      <w:numFmt w:val="bullet"/>
      <w:lvlText w:val="•"/>
      <w:lvlJc w:val="left"/>
      <w:pPr>
        <w:ind w:left="3355" w:hanging="316"/>
      </w:pPr>
      <w:rPr>
        <w:rFonts w:hint="default"/>
      </w:rPr>
    </w:lvl>
    <w:lvl w:ilvl="4">
      <w:start w:val="0"/>
      <w:numFmt w:val="bullet"/>
      <w:lvlText w:val="•"/>
      <w:lvlJc w:val="left"/>
      <w:pPr>
        <w:ind w:left="4253" w:hanging="316"/>
      </w:pPr>
      <w:rPr>
        <w:rFonts w:hint="default"/>
      </w:rPr>
    </w:lvl>
    <w:lvl w:ilvl="5">
      <w:start w:val="0"/>
      <w:numFmt w:val="bullet"/>
      <w:lvlText w:val="•"/>
      <w:lvlJc w:val="left"/>
      <w:pPr>
        <w:ind w:left="5152" w:hanging="316"/>
      </w:pPr>
      <w:rPr>
        <w:rFonts w:hint="default"/>
      </w:rPr>
    </w:lvl>
    <w:lvl w:ilvl="6">
      <w:start w:val="0"/>
      <w:numFmt w:val="bullet"/>
      <w:lvlText w:val="•"/>
      <w:lvlJc w:val="left"/>
      <w:pPr>
        <w:ind w:left="6050" w:hanging="316"/>
      </w:pPr>
      <w:rPr>
        <w:rFonts w:hint="default"/>
      </w:rPr>
    </w:lvl>
    <w:lvl w:ilvl="7">
      <w:start w:val="0"/>
      <w:numFmt w:val="bullet"/>
      <w:lvlText w:val="•"/>
      <w:lvlJc w:val="left"/>
      <w:pPr>
        <w:ind w:left="6949" w:hanging="316"/>
      </w:pPr>
      <w:rPr>
        <w:rFonts w:hint="default"/>
      </w:rPr>
    </w:lvl>
    <w:lvl w:ilvl="8">
      <w:start w:val="0"/>
      <w:numFmt w:val="bullet"/>
      <w:lvlText w:val="•"/>
      <w:lvlJc w:val="left"/>
      <w:pPr>
        <w:ind w:left="7847" w:hanging="316"/>
      </w:pPr>
      <w:rPr>
        <w:rFonts w:hint="default"/>
      </w:rPr>
    </w:lvl>
  </w:abstractNum>
  <w:abstractNum w:abstractNumId="7">
    <w:multiLevelType w:val="hybridMultilevel"/>
    <w:lvl w:ilvl="0">
      <w:start w:val="1"/>
      <w:numFmt w:val="decimal"/>
      <w:lvlText w:val="%1）"/>
      <w:lvlJc w:val="left"/>
      <w:pPr>
        <w:ind w:left="1193" w:hanging="421"/>
        <w:jc w:val="left"/>
      </w:pPr>
      <w:rPr>
        <w:rFonts w:hint="default" w:ascii="宋体" w:hAnsi="宋体" w:eastAsia="宋体" w:cs="宋体"/>
        <w:spacing w:val="-2"/>
        <w:w w:val="100"/>
        <w:sz w:val="21"/>
        <w:szCs w:val="21"/>
      </w:rPr>
    </w:lvl>
    <w:lvl w:ilvl="1">
      <w:start w:val="0"/>
      <w:numFmt w:val="bullet"/>
      <w:lvlText w:val="•"/>
      <w:lvlJc w:val="left"/>
      <w:pPr>
        <w:ind w:left="2058" w:hanging="421"/>
      </w:pPr>
      <w:rPr>
        <w:rFonts w:hint="default"/>
      </w:rPr>
    </w:lvl>
    <w:lvl w:ilvl="2">
      <w:start w:val="0"/>
      <w:numFmt w:val="bullet"/>
      <w:lvlText w:val="•"/>
      <w:lvlJc w:val="left"/>
      <w:pPr>
        <w:ind w:left="2916" w:hanging="421"/>
      </w:pPr>
      <w:rPr>
        <w:rFonts w:hint="default"/>
      </w:rPr>
    </w:lvl>
    <w:lvl w:ilvl="3">
      <w:start w:val="0"/>
      <w:numFmt w:val="bullet"/>
      <w:lvlText w:val="•"/>
      <w:lvlJc w:val="left"/>
      <w:pPr>
        <w:ind w:left="3775" w:hanging="421"/>
      </w:pPr>
      <w:rPr>
        <w:rFonts w:hint="default"/>
      </w:rPr>
    </w:lvl>
    <w:lvl w:ilvl="4">
      <w:start w:val="0"/>
      <w:numFmt w:val="bullet"/>
      <w:lvlText w:val="•"/>
      <w:lvlJc w:val="left"/>
      <w:pPr>
        <w:ind w:left="4633" w:hanging="421"/>
      </w:pPr>
      <w:rPr>
        <w:rFonts w:hint="default"/>
      </w:rPr>
    </w:lvl>
    <w:lvl w:ilvl="5">
      <w:start w:val="0"/>
      <w:numFmt w:val="bullet"/>
      <w:lvlText w:val="•"/>
      <w:lvlJc w:val="left"/>
      <w:pPr>
        <w:ind w:left="5492" w:hanging="421"/>
      </w:pPr>
      <w:rPr>
        <w:rFonts w:hint="default"/>
      </w:rPr>
    </w:lvl>
    <w:lvl w:ilvl="6">
      <w:start w:val="0"/>
      <w:numFmt w:val="bullet"/>
      <w:lvlText w:val="•"/>
      <w:lvlJc w:val="left"/>
      <w:pPr>
        <w:ind w:left="6350" w:hanging="421"/>
      </w:pPr>
      <w:rPr>
        <w:rFonts w:hint="default"/>
      </w:rPr>
    </w:lvl>
    <w:lvl w:ilvl="7">
      <w:start w:val="0"/>
      <w:numFmt w:val="bullet"/>
      <w:lvlText w:val="•"/>
      <w:lvlJc w:val="left"/>
      <w:pPr>
        <w:ind w:left="7209" w:hanging="421"/>
      </w:pPr>
      <w:rPr>
        <w:rFonts w:hint="default"/>
      </w:rPr>
    </w:lvl>
    <w:lvl w:ilvl="8">
      <w:start w:val="0"/>
      <w:numFmt w:val="bullet"/>
      <w:lvlText w:val="•"/>
      <w:lvlJc w:val="left"/>
      <w:pPr>
        <w:ind w:left="8067" w:hanging="421"/>
      </w:pPr>
      <w:rPr>
        <w:rFonts w:hint="default"/>
      </w:rPr>
    </w:lvl>
  </w:abstractNum>
  <w:abstractNum w:abstractNumId="6">
    <w:multiLevelType w:val="hybridMultilevel"/>
    <w:lvl w:ilvl="0">
      <w:start w:val="1"/>
      <w:numFmt w:val="decimal"/>
      <w:lvlText w:val="%1"/>
      <w:lvlJc w:val="left"/>
      <w:pPr>
        <w:ind w:left="773" w:hanging="545"/>
        <w:jc w:val="right"/>
      </w:pPr>
      <w:rPr>
        <w:rFonts w:hint="default" w:ascii="宋体" w:hAnsi="宋体" w:eastAsia="宋体" w:cs="宋体"/>
        <w:b/>
        <w:bCs/>
        <w:w w:val="99"/>
        <w:sz w:val="21"/>
        <w:szCs w:val="21"/>
      </w:rPr>
    </w:lvl>
    <w:lvl w:ilvl="1">
      <w:start w:val="1"/>
      <w:numFmt w:val="decimal"/>
      <w:lvlText w:val="%2)"/>
      <w:lvlJc w:val="left"/>
      <w:pPr>
        <w:ind w:left="1193" w:hanging="420"/>
        <w:jc w:val="left"/>
      </w:pPr>
      <w:rPr>
        <w:rFonts w:hint="default" w:ascii="宋体" w:hAnsi="宋体" w:eastAsia="宋体" w:cs="宋体"/>
        <w:w w:val="100"/>
        <w:sz w:val="21"/>
        <w:szCs w:val="21"/>
      </w:rPr>
    </w:lvl>
    <w:lvl w:ilvl="2">
      <w:start w:val="0"/>
      <w:numFmt w:val="bullet"/>
      <w:lvlText w:val="•"/>
      <w:lvlJc w:val="left"/>
      <w:pPr>
        <w:ind w:left="960" w:hanging="420"/>
      </w:pPr>
      <w:rPr>
        <w:rFonts w:hint="default"/>
      </w:rPr>
    </w:lvl>
    <w:lvl w:ilvl="3">
      <w:start w:val="0"/>
      <w:numFmt w:val="bullet"/>
      <w:lvlText w:val="•"/>
      <w:lvlJc w:val="left"/>
      <w:pPr>
        <w:ind w:left="1200" w:hanging="420"/>
      </w:pPr>
      <w:rPr>
        <w:rFonts w:hint="default"/>
      </w:rPr>
    </w:lvl>
    <w:lvl w:ilvl="4">
      <w:start w:val="0"/>
      <w:numFmt w:val="bullet"/>
      <w:lvlText w:val="•"/>
      <w:lvlJc w:val="left"/>
      <w:pPr>
        <w:ind w:left="2392" w:hanging="420"/>
      </w:pPr>
      <w:rPr>
        <w:rFonts w:hint="default"/>
      </w:rPr>
    </w:lvl>
    <w:lvl w:ilvl="5">
      <w:start w:val="0"/>
      <w:numFmt w:val="bullet"/>
      <w:lvlText w:val="•"/>
      <w:lvlJc w:val="left"/>
      <w:pPr>
        <w:ind w:left="3584" w:hanging="420"/>
      </w:pPr>
      <w:rPr>
        <w:rFonts w:hint="default"/>
      </w:rPr>
    </w:lvl>
    <w:lvl w:ilvl="6">
      <w:start w:val="0"/>
      <w:numFmt w:val="bullet"/>
      <w:lvlText w:val="•"/>
      <w:lvlJc w:val="left"/>
      <w:pPr>
        <w:ind w:left="4776" w:hanging="420"/>
      </w:pPr>
      <w:rPr>
        <w:rFonts w:hint="default"/>
      </w:rPr>
    </w:lvl>
    <w:lvl w:ilvl="7">
      <w:start w:val="0"/>
      <w:numFmt w:val="bullet"/>
      <w:lvlText w:val="•"/>
      <w:lvlJc w:val="left"/>
      <w:pPr>
        <w:ind w:left="5968" w:hanging="420"/>
      </w:pPr>
      <w:rPr>
        <w:rFonts w:hint="default"/>
      </w:rPr>
    </w:lvl>
    <w:lvl w:ilvl="8">
      <w:start w:val="0"/>
      <w:numFmt w:val="bullet"/>
      <w:lvlText w:val="•"/>
      <w:lvlJc w:val="left"/>
      <w:pPr>
        <w:ind w:left="7160" w:hanging="420"/>
      </w:pPr>
      <w:rPr>
        <w:rFonts w:hint="default"/>
      </w:rPr>
    </w:lvl>
  </w:abstractNum>
  <w:abstractNum w:abstractNumId="5">
    <w:multiLevelType w:val="hybridMultilevel"/>
    <w:lvl w:ilvl="0">
      <w:start w:val="5"/>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spacing w:val="0"/>
        <w:w w:val="99"/>
        <w:sz w:val="21"/>
        <w:szCs w:val="21"/>
      </w:rPr>
    </w:lvl>
    <w:lvl w:ilvl="2">
      <w:start w:val="1"/>
      <w:numFmt w:val="decimal"/>
      <w:lvlText w:val="%3)"/>
      <w:lvlJc w:val="left"/>
      <w:pPr>
        <w:ind w:left="1193" w:hanging="420"/>
        <w:jc w:val="left"/>
      </w:pPr>
      <w:rPr>
        <w:rFonts w:hint="default" w:ascii="宋体" w:hAnsi="宋体" w:eastAsia="宋体" w:cs="宋体"/>
        <w:spacing w:val="-36"/>
        <w:w w:val="100"/>
        <w:sz w:val="21"/>
        <w:szCs w:val="21"/>
      </w:rPr>
    </w:lvl>
    <w:lvl w:ilvl="3">
      <w:start w:val="0"/>
      <w:numFmt w:val="bullet"/>
      <w:lvlText w:val="•"/>
      <w:lvlJc w:val="left"/>
      <w:pPr>
        <w:ind w:left="3107" w:hanging="420"/>
      </w:pPr>
      <w:rPr>
        <w:rFonts w:hint="default"/>
      </w:rPr>
    </w:lvl>
    <w:lvl w:ilvl="4">
      <w:start w:val="0"/>
      <w:numFmt w:val="bullet"/>
      <w:lvlText w:val="•"/>
      <w:lvlJc w:val="left"/>
      <w:pPr>
        <w:ind w:left="4061" w:hanging="420"/>
      </w:pPr>
      <w:rPr>
        <w:rFonts w:hint="default"/>
      </w:rPr>
    </w:lvl>
    <w:lvl w:ilvl="5">
      <w:start w:val="0"/>
      <w:numFmt w:val="bullet"/>
      <w:lvlText w:val="•"/>
      <w:lvlJc w:val="left"/>
      <w:pPr>
        <w:ind w:left="5015" w:hanging="420"/>
      </w:pPr>
      <w:rPr>
        <w:rFonts w:hint="default"/>
      </w:rPr>
    </w:lvl>
    <w:lvl w:ilvl="6">
      <w:start w:val="0"/>
      <w:numFmt w:val="bullet"/>
      <w:lvlText w:val="•"/>
      <w:lvlJc w:val="left"/>
      <w:pPr>
        <w:ind w:left="5969" w:hanging="420"/>
      </w:pPr>
      <w:rPr>
        <w:rFonts w:hint="default"/>
      </w:rPr>
    </w:lvl>
    <w:lvl w:ilvl="7">
      <w:start w:val="0"/>
      <w:numFmt w:val="bullet"/>
      <w:lvlText w:val="•"/>
      <w:lvlJc w:val="left"/>
      <w:pPr>
        <w:ind w:left="6922" w:hanging="420"/>
      </w:pPr>
      <w:rPr>
        <w:rFonts w:hint="default"/>
      </w:rPr>
    </w:lvl>
    <w:lvl w:ilvl="8">
      <w:start w:val="0"/>
      <w:numFmt w:val="bullet"/>
      <w:lvlText w:val="•"/>
      <w:lvlJc w:val="left"/>
      <w:pPr>
        <w:ind w:left="7876" w:hanging="420"/>
      </w:pPr>
      <w:rPr>
        <w:rFonts w:hint="default"/>
      </w:rPr>
    </w:lvl>
  </w:abstractNum>
  <w:abstractNum w:abstractNumId="4">
    <w:multiLevelType w:val="hybridMultilevel"/>
    <w:lvl w:ilvl="0">
      <w:start w:val="4"/>
      <w:numFmt w:val="decimal"/>
      <w:lvlText w:val="%1"/>
      <w:lvlJc w:val="left"/>
      <w:pPr>
        <w:ind w:left="773" w:hanging="545"/>
        <w:jc w:val="left"/>
      </w:pPr>
      <w:rPr>
        <w:rFonts w:hint="default"/>
      </w:rPr>
    </w:lvl>
    <w:lvl w:ilvl="1">
      <w:start w:val="1"/>
      <w:numFmt w:val="decimal"/>
      <w:lvlText w:val="%1.%2"/>
      <w:lvlJc w:val="left"/>
      <w:pPr>
        <w:ind w:left="653" w:hanging="545"/>
        <w:jc w:val="right"/>
      </w:pPr>
      <w:rPr>
        <w:rFonts w:hint="default" w:ascii="宋体" w:hAnsi="宋体" w:eastAsia="宋体" w:cs="宋体"/>
        <w:b/>
        <w:bCs/>
        <w:w w:val="99"/>
        <w:sz w:val="21"/>
        <w:szCs w:val="21"/>
      </w:rPr>
    </w:lvl>
    <w:lvl w:ilvl="2">
      <w:start w:val="1"/>
      <w:numFmt w:val="decimal"/>
      <w:lvlText w:val="%3)"/>
      <w:lvlJc w:val="left"/>
      <w:pPr>
        <w:ind w:left="1073" w:hanging="420"/>
        <w:jc w:val="left"/>
      </w:pPr>
      <w:rPr>
        <w:rFonts w:hint="default" w:ascii="宋体" w:hAnsi="宋体" w:eastAsia="宋体" w:cs="宋体"/>
        <w:w w:val="100"/>
        <w:sz w:val="21"/>
        <w:szCs w:val="21"/>
      </w:rPr>
    </w:lvl>
    <w:lvl w:ilvl="3">
      <w:start w:val="0"/>
      <w:numFmt w:val="bullet"/>
      <w:lvlText w:val="•"/>
      <w:lvlJc w:val="left"/>
      <w:pPr>
        <w:ind w:left="2143" w:hanging="420"/>
      </w:pPr>
      <w:rPr>
        <w:rFonts w:hint="default"/>
      </w:rPr>
    </w:lvl>
    <w:lvl w:ilvl="4">
      <w:start w:val="0"/>
      <w:numFmt w:val="bullet"/>
      <w:lvlText w:val="•"/>
      <w:lvlJc w:val="left"/>
      <w:pPr>
        <w:ind w:left="3206" w:hanging="420"/>
      </w:pPr>
      <w:rPr>
        <w:rFonts w:hint="default"/>
      </w:rPr>
    </w:lvl>
    <w:lvl w:ilvl="5">
      <w:start w:val="0"/>
      <w:numFmt w:val="bullet"/>
      <w:lvlText w:val="•"/>
      <w:lvlJc w:val="left"/>
      <w:pPr>
        <w:ind w:left="4269" w:hanging="420"/>
      </w:pPr>
      <w:rPr>
        <w:rFonts w:hint="default"/>
      </w:rPr>
    </w:lvl>
    <w:lvl w:ilvl="6">
      <w:start w:val="0"/>
      <w:numFmt w:val="bullet"/>
      <w:lvlText w:val="•"/>
      <w:lvlJc w:val="left"/>
      <w:pPr>
        <w:ind w:left="5332"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458" w:hanging="420"/>
      </w:pPr>
      <w:rPr>
        <w:rFonts w:hint="default"/>
      </w:rPr>
    </w:lvl>
  </w:abstractNum>
  <w:abstractNum w:abstractNumId="3">
    <w:multiLevelType w:val="hybridMultilevel"/>
    <w:lvl w:ilvl="0">
      <w:start w:val="3"/>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w w:val="99"/>
        <w:sz w:val="21"/>
        <w:szCs w:val="21"/>
      </w:rPr>
    </w:lvl>
    <w:lvl w:ilvl="2">
      <w:start w:val="0"/>
      <w:numFmt w:val="bullet"/>
      <w:lvlText w:val="•"/>
      <w:lvlJc w:val="left"/>
      <w:pPr>
        <w:ind w:left="2580" w:hanging="545"/>
      </w:pPr>
      <w:rPr>
        <w:rFonts w:hint="default"/>
      </w:rPr>
    </w:lvl>
    <w:lvl w:ilvl="3">
      <w:start w:val="0"/>
      <w:numFmt w:val="bullet"/>
      <w:lvlText w:val="•"/>
      <w:lvlJc w:val="left"/>
      <w:pPr>
        <w:ind w:left="3481" w:hanging="545"/>
      </w:pPr>
      <w:rPr>
        <w:rFonts w:hint="default"/>
      </w:rPr>
    </w:lvl>
    <w:lvl w:ilvl="4">
      <w:start w:val="0"/>
      <w:numFmt w:val="bullet"/>
      <w:lvlText w:val="•"/>
      <w:lvlJc w:val="left"/>
      <w:pPr>
        <w:ind w:left="4381" w:hanging="545"/>
      </w:pPr>
      <w:rPr>
        <w:rFonts w:hint="default"/>
      </w:rPr>
    </w:lvl>
    <w:lvl w:ilvl="5">
      <w:start w:val="0"/>
      <w:numFmt w:val="bullet"/>
      <w:lvlText w:val="•"/>
      <w:lvlJc w:val="left"/>
      <w:pPr>
        <w:ind w:left="5282" w:hanging="545"/>
      </w:pPr>
      <w:rPr>
        <w:rFonts w:hint="default"/>
      </w:rPr>
    </w:lvl>
    <w:lvl w:ilvl="6">
      <w:start w:val="0"/>
      <w:numFmt w:val="bullet"/>
      <w:lvlText w:val="•"/>
      <w:lvlJc w:val="left"/>
      <w:pPr>
        <w:ind w:left="6182" w:hanging="545"/>
      </w:pPr>
      <w:rPr>
        <w:rFonts w:hint="default"/>
      </w:rPr>
    </w:lvl>
    <w:lvl w:ilvl="7">
      <w:start w:val="0"/>
      <w:numFmt w:val="bullet"/>
      <w:lvlText w:val="•"/>
      <w:lvlJc w:val="left"/>
      <w:pPr>
        <w:ind w:left="7083" w:hanging="545"/>
      </w:pPr>
      <w:rPr>
        <w:rFonts w:hint="default"/>
      </w:rPr>
    </w:lvl>
    <w:lvl w:ilvl="8">
      <w:start w:val="0"/>
      <w:numFmt w:val="bullet"/>
      <w:lvlText w:val="•"/>
      <w:lvlJc w:val="left"/>
      <w:pPr>
        <w:ind w:left="7983" w:hanging="545"/>
      </w:pPr>
      <w:rPr>
        <w:rFonts w:hint="default"/>
      </w:rPr>
    </w:lvl>
  </w:abstractNum>
  <w:abstractNum w:abstractNumId="2">
    <w:multiLevelType w:val="hybridMultilevel"/>
    <w:lvl w:ilvl="0">
      <w:start w:val="2"/>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w w:val="99"/>
        <w:sz w:val="21"/>
        <w:szCs w:val="21"/>
      </w:rPr>
    </w:lvl>
    <w:lvl w:ilvl="2">
      <w:start w:val="0"/>
      <w:numFmt w:val="bullet"/>
      <w:lvlText w:val="•"/>
      <w:lvlJc w:val="left"/>
      <w:pPr>
        <w:ind w:left="2580" w:hanging="545"/>
      </w:pPr>
      <w:rPr>
        <w:rFonts w:hint="default"/>
      </w:rPr>
    </w:lvl>
    <w:lvl w:ilvl="3">
      <w:start w:val="0"/>
      <w:numFmt w:val="bullet"/>
      <w:lvlText w:val="•"/>
      <w:lvlJc w:val="left"/>
      <w:pPr>
        <w:ind w:left="3481" w:hanging="545"/>
      </w:pPr>
      <w:rPr>
        <w:rFonts w:hint="default"/>
      </w:rPr>
    </w:lvl>
    <w:lvl w:ilvl="4">
      <w:start w:val="0"/>
      <w:numFmt w:val="bullet"/>
      <w:lvlText w:val="•"/>
      <w:lvlJc w:val="left"/>
      <w:pPr>
        <w:ind w:left="4381" w:hanging="545"/>
      </w:pPr>
      <w:rPr>
        <w:rFonts w:hint="default"/>
      </w:rPr>
    </w:lvl>
    <w:lvl w:ilvl="5">
      <w:start w:val="0"/>
      <w:numFmt w:val="bullet"/>
      <w:lvlText w:val="•"/>
      <w:lvlJc w:val="left"/>
      <w:pPr>
        <w:ind w:left="5282" w:hanging="545"/>
      </w:pPr>
      <w:rPr>
        <w:rFonts w:hint="default"/>
      </w:rPr>
    </w:lvl>
    <w:lvl w:ilvl="6">
      <w:start w:val="0"/>
      <w:numFmt w:val="bullet"/>
      <w:lvlText w:val="•"/>
      <w:lvlJc w:val="left"/>
      <w:pPr>
        <w:ind w:left="6182" w:hanging="545"/>
      </w:pPr>
      <w:rPr>
        <w:rFonts w:hint="default"/>
      </w:rPr>
    </w:lvl>
    <w:lvl w:ilvl="7">
      <w:start w:val="0"/>
      <w:numFmt w:val="bullet"/>
      <w:lvlText w:val="•"/>
      <w:lvlJc w:val="left"/>
      <w:pPr>
        <w:ind w:left="7083" w:hanging="545"/>
      </w:pPr>
      <w:rPr>
        <w:rFonts w:hint="default"/>
      </w:rPr>
    </w:lvl>
    <w:lvl w:ilvl="8">
      <w:start w:val="0"/>
      <w:numFmt w:val="bullet"/>
      <w:lvlText w:val="•"/>
      <w:lvlJc w:val="left"/>
      <w:pPr>
        <w:ind w:left="7983" w:hanging="545"/>
      </w:pPr>
      <w:rPr>
        <w:rFonts w:hint="default"/>
      </w:rPr>
    </w:lvl>
  </w:abstractNum>
  <w:abstractNum w:abstractNumId="1">
    <w:multiLevelType w:val="hybridMultilevel"/>
    <w:lvl w:ilvl="0">
      <w:start w:val="1"/>
      <w:numFmt w:val="decimal"/>
      <w:lvlText w:val="%1)"/>
      <w:lvlJc w:val="left"/>
      <w:pPr>
        <w:ind w:left="1196" w:hanging="423"/>
        <w:jc w:val="left"/>
      </w:pPr>
      <w:rPr>
        <w:rFonts w:hint="default" w:ascii="宋体" w:hAnsi="宋体" w:eastAsia="宋体" w:cs="宋体"/>
        <w:b/>
        <w:bCs/>
        <w:w w:val="99"/>
        <w:sz w:val="21"/>
        <w:szCs w:val="21"/>
      </w:rPr>
    </w:lvl>
    <w:lvl w:ilvl="1">
      <w:start w:val="0"/>
      <w:numFmt w:val="bullet"/>
      <w:lvlText w:val="•"/>
      <w:lvlJc w:val="left"/>
      <w:pPr>
        <w:ind w:left="2140" w:hanging="423"/>
      </w:pPr>
      <w:rPr>
        <w:rFonts w:hint="default"/>
      </w:rPr>
    </w:lvl>
    <w:lvl w:ilvl="2">
      <w:start w:val="0"/>
      <w:numFmt w:val="bullet"/>
      <w:lvlText w:val="•"/>
      <w:lvlJc w:val="left"/>
      <w:pPr>
        <w:ind w:left="3080" w:hanging="423"/>
      </w:pPr>
      <w:rPr>
        <w:rFonts w:hint="default"/>
      </w:rPr>
    </w:lvl>
    <w:lvl w:ilvl="3">
      <w:start w:val="0"/>
      <w:numFmt w:val="bullet"/>
      <w:lvlText w:val="•"/>
      <w:lvlJc w:val="left"/>
      <w:pPr>
        <w:ind w:left="4021" w:hanging="423"/>
      </w:pPr>
      <w:rPr>
        <w:rFonts w:hint="default"/>
      </w:rPr>
    </w:lvl>
    <w:lvl w:ilvl="4">
      <w:start w:val="0"/>
      <w:numFmt w:val="bullet"/>
      <w:lvlText w:val="•"/>
      <w:lvlJc w:val="left"/>
      <w:pPr>
        <w:ind w:left="4961" w:hanging="423"/>
      </w:pPr>
      <w:rPr>
        <w:rFonts w:hint="default"/>
      </w:rPr>
    </w:lvl>
    <w:lvl w:ilvl="5">
      <w:start w:val="0"/>
      <w:numFmt w:val="bullet"/>
      <w:lvlText w:val="•"/>
      <w:lvlJc w:val="left"/>
      <w:pPr>
        <w:ind w:left="5902" w:hanging="423"/>
      </w:pPr>
      <w:rPr>
        <w:rFonts w:hint="default"/>
      </w:rPr>
    </w:lvl>
    <w:lvl w:ilvl="6">
      <w:start w:val="0"/>
      <w:numFmt w:val="bullet"/>
      <w:lvlText w:val="•"/>
      <w:lvlJc w:val="left"/>
      <w:pPr>
        <w:ind w:left="6842" w:hanging="423"/>
      </w:pPr>
      <w:rPr>
        <w:rFonts w:hint="default"/>
      </w:rPr>
    </w:lvl>
    <w:lvl w:ilvl="7">
      <w:start w:val="0"/>
      <w:numFmt w:val="bullet"/>
      <w:lvlText w:val="•"/>
      <w:lvlJc w:val="left"/>
      <w:pPr>
        <w:ind w:left="7783" w:hanging="423"/>
      </w:pPr>
      <w:rPr>
        <w:rFonts w:hint="default"/>
      </w:rPr>
    </w:lvl>
    <w:lvl w:ilvl="8">
      <w:start w:val="0"/>
      <w:numFmt w:val="bullet"/>
      <w:lvlText w:val="•"/>
      <w:lvlJc w:val="left"/>
      <w:pPr>
        <w:ind w:left="8723" w:hanging="423"/>
      </w:pPr>
      <w:rPr>
        <w:rFonts w:hint="default"/>
      </w:rPr>
    </w:lvl>
  </w:abstractNum>
  <w:abstractNum w:abstractNumId="0">
    <w:multiLevelType w:val="hybridMultilevel"/>
    <w:lvl w:ilvl="0">
      <w:start w:val="1"/>
      <w:numFmt w:val="decimal"/>
      <w:lvlText w:val="%1"/>
      <w:lvlJc w:val="left"/>
      <w:pPr>
        <w:ind w:left="773" w:hanging="545"/>
        <w:jc w:val="left"/>
      </w:pPr>
      <w:rPr>
        <w:rFonts w:hint="default"/>
      </w:rPr>
    </w:lvl>
    <w:lvl w:ilvl="1">
      <w:start w:val="1"/>
      <w:numFmt w:val="decimal"/>
      <w:lvlText w:val="%1.%2"/>
      <w:lvlJc w:val="left"/>
      <w:pPr>
        <w:ind w:left="773" w:hanging="545"/>
        <w:jc w:val="left"/>
      </w:pPr>
      <w:rPr>
        <w:rFonts w:hint="default" w:ascii="宋体" w:hAnsi="宋体" w:eastAsia="宋体" w:cs="宋体"/>
        <w:b/>
        <w:bCs/>
        <w:spacing w:val="0"/>
        <w:w w:val="99"/>
        <w:sz w:val="21"/>
        <w:szCs w:val="21"/>
      </w:rPr>
    </w:lvl>
    <w:lvl w:ilvl="2">
      <w:start w:val="1"/>
      <w:numFmt w:val="decimal"/>
      <w:lvlText w:val="%3)"/>
      <w:lvlJc w:val="left"/>
      <w:pPr>
        <w:ind w:left="1193" w:hanging="420"/>
        <w:jc w:val="left"/>
      </w:pPr>
      <w:rPr>
        <w:rFonts w:hint="default" w:ascii="宋体" w:hAnsi="宋体" w:eastAsia="宋体" w:cs="宋体"/>
        <w:b/>
        <w:bCs/>
        <w:w w:val="99"/>
        <w:sz w:val="21"/>
        <w:szCs w:val="21"/>
      </w:rPr>
    </w:lvl>
    <w:lvl w:ilvl="3">
      <w:start w:val="0"/>
      <w:numFmt w:val="bullet"/>
      <w:lvlText w:val="•"/>
      <w:lvlJc w:val="left"/>
      <w:pPr>
        <w:ind w:left="3289" w:hanging="420"/>
      </w:pPr>
      <w:rPr>
        <w:rFonts w:hint="default"/>
      </w:rPr>
    </w:lvl>
    <w:lvl w:ilvl="4">
      <w:start w:val="0"/>
      <w:numFmt w:val="bullet"/>
      <w:lvlText w:val="•"/>
      <w:lvlJc w:val="left"/>
      <w:pPr>
        <w:ind w:left="4334" w:hanging="420"/>
      </w:pPr>
      <w:rPr>
        <w:rFonts w:hint="default"/>
      </w:rPr>
    </w:lvl>
    <w:lvl w:ilvl="5">
      <w:start w:val="0"/>
      <w:numFmt w:val="bullet"/>
      <w:lvlText w:val="•"/>
      <w:lvlJc w:val="left"/>
      <w:pPr>
        <w:ind w:left="5379" w:hanging="420"/>
      </w:pPr>
      <w:rPr>
        <w:rFonts w:hint="default"/>
      </w:rPr>
    </w:lvl>
    <w:lvl w:ilvl="6">
      <w:start w:val="0"/>
      <w:numFmt w:val="bullet"/>
      <w:lvlText w:val="•"/>
      <w:lvlJc w:val="left"/>
      <w:pPr>
        <w:ind w:left="6424" w:hanging="420"/>
      </w:pPr>
      <w:rPr>
        <w:rFonts w:hint="default"/>
      </w:rPr>
    </w:lvl>
    <w:lvl w:ilvl="7">
      <w:start w:val="0"/>
      <w:numFmt w:val="bullet"/>
      <w:lvlText w:val="•"/>
      <w:lvlJc w:val="left"/>
      <w:pPr>
        <w:ind w:left="7469" w:hanging="420"/>
      </w:pPr>
      <w:rPr>
        <w:rFonts w:hint="default"/>
      </w:rPr>
    </w:lvl>
    <w:lvl w:ilvl="8">
      <w:start w:val="0"/>
      <w:numFmt w:val="bullet"/>
      <w:lvlText w:val="•"/>
      <w:lvlJc w:val="left"/>
      <w:pPr>
        <w:ind w:left="8514"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773"/>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773"/>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653" w:hanging="54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&lt;4D6963726F736F667420576F7264202D20A1B6B9D8B0AED7A8BCD2D6D5C9EDD6D8BCB2CDC5CCE5BCB2B2A1B1A3CFD5A1B7CCF5BFEEA3A8B6FECEACC2EBA3A92E646F63&gt;</dc:title>
  <dcterms:created xsi:type="dcterms:W3CDTF">2018-10-19T22:13:06Z</dcterms:created>
  <dcterms:modified xsi:type="dcterms:W3CDTF">2018-10-19T22:13:06Z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